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137B" w:rsidTr="0010095E">
        <w:trPr>
          <w:trHeight w:hRule="exact" w:val="1418"/>
        </w:trPr>
        <w:tc>
          <w:tcPr>
            <w:tcW w:w="6804" w:type="dxa"/>
            <w:shd w:val="clear" w:color="auto" w:fill="auto"/>
            <w:vAlign w:val="center"/>
          </w:tcPr>
          <w:p w:rsidR="00751A4A" w:rsidRPr="0036137B" w:rsidRDefault="00C5249A" w:rsidP="0010095E">
            <w:pPr>
              <w:pStyle w:val="EPName"/>
            </w:pPr>
            <w:r w:rsidRPr="0036137B">
              <w:t>Evropski parlament</w:t>
            </w:r>
          </w:p>
          <w:p w:rsidR="00751A4A" w:rsidRPr="0036137B" w:rsidRDefault="00817416" w:rsidP="00756632">
            <w:pPr>
              <w:pStyle w:val="EPTerm"/>
              <w:rPr>
                <w:rStyle w:val="HideTWBExt"/>
                <w:noProof w:val="0"/>
                <w:vanish w:val="0"/>
                <w:color w:val="auto"/>
              </w:rPr>
            </w:pPr>
            <w:r w:rsidRPr="0036137B">
              <w:t>2019-2024</w:t>
            </w:r>
          </w:p>
        </w:tc>
        <w:tc>
          <w:tcPr>
            <w:tcW w:w="2268" w:type="dxa"/>
            <w:shd w:val="clear" w:color="auto" w:fill="auto"/>
          </w:tcPr>
          <w:p w:rsidR="00751A4A" w:rsidRPr="0036137B" w:rsidRDefault="00187494" w:rsidP="0010095E">
            <w:pPr>
              <w:pStyle w:val="EPLogo"/>
            </w:pPr>
            <w:r w:rsidRPr="0036137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6137B" w:rsidRDefault="00D058B8" w:rsidP="004C5D52">
      <w:pPr>
        <w:pStyle w:val="LineTop"/>
      </w:pPr>
    </w:p>
    <w:p w:rsidR="00680577" w:rsidRPr="0036137B" w:rsidRDefault="00C5249A" w:rsidP="00680577">
      <w:pPr>
        <w:pStyle w:val="EPBodyTA1"/>
      </w:pPr>
      <w:r w:rsidRPr="0036137B">
        <w:t>SPREJETA BESEDILA</w:t>
      </w:r>
    </w:p>
    <w:p w:rsidR="00D058B8" w:rsidRPr="0036137B" w:rsidRDefault="00D058B8" w:rsidP="00D058B8">
      <w:pPr>
        <w:pStyle w:val="LineBottom"/>
      </w:pPr>
    </w:p>
    <w:p w:rsidR="00C5249A" w:rsidRPr="0036137B" w:rsidRDefault="00C5249A" w:rsidP="00C5249A">
      <w:pPr>
        <w:pStyle w:val="ATHeading1"/>
      </w:pPr>
      <w:bookmarkStart w:id="0" w:name="TANumber"/>
      <w:r w:rsidRPr="0036137B">
        <w:t>P9_TA(2024)</w:t>
      </w:r>
      <w:bookmarkEnd w:id="0"/>
      <w:r w:rsidR="002C5886">
        <w:t>0081</w:t>
      </w:r>
    </w:p>
    <w:p w:rsidR="00C5249A" w:rsidRPr="0036137B" w:rsidRDefault="00BE11C3" w:rsidP="00C5249A">
      <w:pPr>
        <w:pStyle w:val="ATHeading2"/>
      </w:pPr>
      <w:r w:rsidRPr="00BE11C3">
        <w:t>Večletni finančni okvir za obdobje 2021–2027</w:t>
      </w:r>
    </w:p>
    <w:p w:rsidR="00C5249A" w:rsidRPr="0036137B" w:rsidRDefault="00C5249A" w:rsidP="00C5249A">
      <w:pPr>
        <w:rPr>
          <w:i/>
          <w:vanish/>
        </w:rPr>
      </w:pPr>
      <w:r w:rsidRPr="0036137B">
        <w:rPr>
          <w:i/>
        </w:rPr>
        <w:fldChar w:fldCharType="begin"/>
      </w:r>
      <w:r w:rsidRPr="0036137B">
        <w:rPr>
          <w:i/>
        </w:rPr>
        <w:instrText xml:space="preserve"> TC"(</w:instrText>
      </w:r>
      <w:bookmarkStart w:id="1" w:name="DocNumber"/>
      <w:r w:rsidRPr="0036137B">
        <w:rPr>
          <w:i/>
        </w:rPr>
        <w:instrText>A9-0051/2024</w:instrText>
      </w:r>
      <w:bookmarkEnd w:id="1"/>
      <w:r w:rsidRPr="0036137B">
        <w:rPr>
          <w:i/>
        </w:rPr>
        <w:instrText xml:space="preserve"> - </w:instrText>
      </w:r>
      <w:r w:rsidR="008F6AFA">
        <w:rPr>
          <w:i/>
        </w:rPr>
        <w:instrText>Sop</w:instrText>
      </w:r>
      <w:r w:rsidR="008F6AFA" w:rsidRPr="0036137B">
        <w:rPr>
          <w:i/>
        </w:rPr>
        <w:instrText>oročevalca</w:instrText>
      </w:r>
      <w:r w:rsidRPr="0036137B">
        <w:rPr>
          <w:i/>
        </w:rPr>
        <w:instrText xml:space="preserve">: Jan Olbrycht, Margarida Marques)"\l3 \n&gt; \* MERGEFORMAT </w:instrText>
      </w:r>
      <w:r w:rsidRPr="0036137B">
        <w:rPr>
          <w:i/>
        </w:rPr>
        <w:fldChar w:fldCharType="end"/>
      </w:r>
    </w:p>
    <w:p w:rsidR="00C5249A" w:rsidRPr="0036137B" w:rsidRDefault="00C5249A" w:rsidP="00C5249A">
      <w:pPr>
        <w:rPr>
          <w:vanish/>
        </w:rPr>
      </w:pPr>
      <w:bookmarkStart w:id="2" w:name="Commission"/>
      <w:r w:rsidRPr="0036137B">
        <w:rPr>
          <w:vanish/>
        </w:rPr>
        <w:t>Odbor za proračun</w:t>
      </w:r>
      <w:bookmarkEnd w:id="2"/>
    </w:p>
    <w:p w:rsidR="00C5249A" w:rsidRPr="0036137B" w:rsidRDefault="00C5249A" w:rsidP="00C5249A">
      <w:pPr>
        <w:rPr>
          <w:vanish/>
        </w:rPr>
      </w:pPr>
      <w:bookmarkStart w:id="3" w:name="PE"/>
      <w:r w:rsidRPr="0036137B">
        <w:rPr>
          <w:vanish/>
        </w:rPr>
        <w:t>PE758.992</w:t>
      </w:r>
      <w:bookmarkEnd w:id="3"/>
    </w:p>
    <w:p w:rsidR="00C5249A" w:rsidRPr="0036137B" w:rsidRDefault="00C5249A" w:rsidP="00C5249A">
      <w:pPr>
        <w:pStyle w:val="ATHeading3"/>
      </w:pPr>
      <w:bookmarkStart w:id="4" w:name="Sujet"/>
      <w:r w:rsidRPr="0036137B">
        <w:t xml:space="preserve">Zakonodajna resolucija Evropskega parlamenta z dne </w:t>
      </w:r>
      <w:r w:rsidR="008F6AFA">
        <w:t>27. februarja</w:t>
      </w:r>
      <w:r w:rsidRPr="0036137B">
        <w:t xml:space="preserve"> 2024 o osnutku uredbe Sveta o spremembi Uredbe (EU, Euratom) 2020/2093 o določitvi večletnega finančnega okvira za obdobje 2021–2027</w:t>
      </w:r>
      <w:bookmarkEnd w:id="4"/>
      <w:r w:rsidRPr="0036137B">
        <w:t xml:space="preserve"> </w:t>
      </w:r>
      <w:bookmarkStart w:id="5" w:name="References"/>
      <w:r w:rsidRPr="0036137B">
        <w:t>(05818/2024 – C9-0030/2024 – 2023/0201(APP))</w:t>
      </w:r>
      <w:bookmarkEnd w:id="5"/>
    </w:p>
    <w:p w:rsidR="00C5249A" w:rsidRPr="0036137B" w:rsidRDefault="00C5249A" w:rsidP="00C5249A"/>
    <w:p w:rsidR="003A39B8" w:rsidRPr="0036137B" w:rsidRDefault="003A39B8" w:rsidP="003A39B8">
      <w:pPr>
        <w:pStyle w:val="NormalBold"/>
      </w:pPr>
      <w:bookmarkStart w:id="6" w:name="TextBodyBegin"/>
      <w:bookmarkEnd w:id="6"/>
      <w:r w:rsidRPr="0036137B">
        <w:t>(Posebni zakonodajni postopek – odobritev)</w:t>
      </w:r>
    </w:p>
    <w:p w:rsidR="003A39B8" w:rsidRPr="0036137B" w:rsidRDefault="003A39B8" w:rsidP="003A39B8">
      <w:pPr>
        <w:pStyle w:val="EPComma"/>
      </w:pPr>
      <w:r w:rsidRPr="0036137B">
        <w:rPr>
          <w:i/>
        </w:rPr>
        <w:t>Evropski parlament</w:t>
      </w:r>
      <w:r w:rsidRPr="0036137B">
        <w:t>,</w:t>
      </w:r>
    </w:p>
    <w:p w:rsidR="003A39B8" w:rsidRPr="0036137B" w:rsidRDefault="003A39B8" w:rsidP="003A39B8">
      <w:pPr>
        <w:pStyle w:val="NormalHanging12a"/>
      </w:pPr>
      <w:r w:rsidRPr="0036137B">
        <w:t>–</w:t>
      </w:r>
      <w:r w:rsidRPr="0036137B">
        <w:tab/>
        <w:t>ob upoštevanju osnutka uredbe Sveta o spremembi Uredbe (EU, Euratom) 2020/2093 o določitvi večletnega finančnega okvira za obdobje 2021–2027 (05818/2024),</w:t>
      </w:r>
    </w:p>
    <w:p w:rsidR="003A39B8" w:rsidRPr="0036137B" w:rsidRDefault="003A39B8" w:rsidP="003A39B8">
      <w:pPr>
        <w:pStyle w:val="NormalHanging12a"/>
      </w:pPr>
      <w:r w:rsidRPr="0036137B">
        <w:t>–</w:t>
      </w:r>
      <w:r w:rsidRPr="0036137B">
        <w:tab/>
        <w:t>ob upoštevanju zahteve za odobritev, ki jo je Svet podal v skladu s členom 312(2) Pogodbe o delovanju Evropske unije (C9</w:t>
      </w:r>
      <w:r w:rsidRPr="0036137B">
        <w:noBreakHyphen/>
        <w:t>0030/2024),</w:t>
      </w:r>
    </w:p>
    <w:p w:rsidR="003A39B8" w:rsidRPr="0036137B" w:rsidRDefault="003A39B8" w:rsidP="003A39B8">
      <w:pPr>
        <w:pStyle w:val="NormalHanging12a"/>
      </w:pPr>
      <w:r w:rsidRPr="0036137B">
        <w:t>–</w:t>
      </w:r>
      <w:r w:rsidRPr="0036137B">
        <w:tab/>
        <w:t>ob upoštevanju predloga Komisije z dne 20. junija 2023 za uredbo Sveta o spremembi Uredbe (EU, Euratom) 2020/2093 o določitvi večletnega finančnega okvira za obdobje 2021–2027 (COM(2023)0337),</w:t>
      </w:r>
    </w:p>
    <w:p w:rsidR="003A39B8" w:rsidRPr="0036137B" w:rsidRDefault="003A39B8" w:rsidP="003A39B8">
      <w:pPr>
        <w:pStyle w:val="NormalHanging12a"/>
        <w:rPr>
          <w:snapToGrid w:val="0"/>
          <w:szCs w:val="24"/>
        </w:rPr>
      </w:pPr>
      <w:r w:rsidRPr="0036137B">
        <w:t>–</w:t>
      </w:r>
      <w:r w:rsidRPr="0036137B">
        <w:tab/>
      </w:r>
      <w:r w:rsidRPr="0036137B">
        <w:rPr>
          <w:snapToGrid w:val="0"/>
        </w:rPr>
        <w:t>ob upoštevanju svoje resolucije z dne 3. oktobra 2023 o predlogu za vmesno revizijo večletnega finančnega okvira za obdobje 2021–2027</w:t>
      </w:r>
      <w:r w:rsidRPr="0036137B">
        <w:rPr>
          <w:snapToGrid w:val="0"/>
          <w:szCs w:val="24"/>
          <w:vertAlign w:val="superscript"/>
        </w:rPr>
        <w:footnoteReference w:id="1"/>
      </w:r>
      <w:r w:rsidRPr="0036137B">
        <w:rPr>
          <w:snapToGrid w:val="0"/>
        </w:rPr>
        <w:t>,</w:t>
      </w:r>
    </w:p>
    <w:p w:rsidR="003A39B8" w:rsidRPr="0036137B" w:rsidRDefault="003A39B8" w:rsidP="003A39B8">
      <w:pPr>
        <w:pStyle w:val="NormalHanging12a"/>
      </w:pPr>
      <w:r w:rsidRPr="0036137B">
        <w:t>–</w:t>
      </w:r>
      <w:r w:rsidRPr="0036137B">
        <w:tab/>
        <w:t>ob upoštevanju člena 92 in člena 105(1) in (4) Poslovnika,</w:t>
      </w:r>
    </w:p>
    <w:p w:rsidR="003A39B8" w:rsidRPr="0036137B" w:rsidRDefault="003A39B8" w:rsidP="003A39B8">
      <w:pPr>
        <w:pStyle w:val="NormalHanging12a"/>
      </w:pPr>
      <w:r w:rsidRPr="0036137B">
        <w:t>–</w:t>
      </w:r>
      <w:r w:rsidRPr="0036137B">
        <w:tab/>
        <w:t>ob upoštevanju priporočila Odbora za proračun (A9</w:t>
      </w:r>
      <w:r w:rsidRPr="0036137B">
        <w:noBreakHyphen/>
        <w:t>0051/2024),</w:t>
      </w:r>
    </w:p>
    <w:p w:rsidR="003A39B8" w:rsidRPr="0036137B" w:rsidRDefault="003A39B8" w:rsidP="003A39B8">
      <w:pPr>
        <w:pStyle w:val="NormalHanging12a"/>
      </w:pPr>
      <w:r w:rsidRPr="0036137B">
        <w:t>1.</w:t>
      </w:r>
      <w:r w:rsidRPr="0036137B">
        <w:tab/>
        <w:t>odobri osnutek uredbe Sveta iz priloge k tej resoluciji;</w:t>
      </w:r>
    </w:p>
    <w:p w:rsidR="003A39B8" w:rsidRPr="0036137B" w:rsidRDefault="003A39B8" w:rsidP="003A39B8">
      <w:pPr>
        <w:pStyle w:val="NormalHanging12a"/>
      </w:pPr>
      <w:r w:rsidRPr="0036137B">
        <w:t>2.</w:t>
      </w:r>
      <w:r w:rsidRPr="0036137B">
        <w:tab/>
        <w:t>odobri skupno izjavo Parlamenta, Sveta in Komisije, priloženo tej resoluciji;</w:t>
      </w:r>
    </w:p>
    <w:p w:rsidR="003A39B8" w:rsidRPr="0036137B" w:rsidRDefault="003A39B8" w:rsidP="003A39B8">
      <w:pPr>
        <w:pStyle w:val="NormalHanging12a"/>
      </w:pPr>
      <w:r w:rsidRPr="0036137B">
        <w:t>3.</w:t>
      </w:r>
      <w:r w:rsidRPr="0036137B">
        <w:tab/>
        <w:t>naroči svoji predsednici, naj stališče Parlamenta posreduje Svetu in Komisiji ter nacionalnim parlamentom.</w:t>
      </w:r>
    </w:p>
    <w:p w:rsidR="003A39B8" w:rsidRPr="0036137B" w:rsidRDefault="003A39B8" w:rsidP="003A39B8">
      <w:r w:rsidRPr="0036137B">
        <w:br w:type="page"/>
      </w:r>
    </w:p>
    <w:p w:rsidR="003A39B8" w:rsidRPr="0036137B" w:rsidRDefault="003A39B8" w:rsidP="003A39B8">
      <w:pPr>
        <w:pStyle w:val="PageHeading"/>
        <w:rPr>
          <w:caps/>
        </w:rPr>
      </w:pPr>
      <w:bookmarkStart w:id="7" w:name="_Toc159509473"/>
      <w:bookmarkStart w:id="8" w:name="_Toc159568878"/>
      <w:r w:rsidRPr="0036137B">
        <w:rPr>
          <w:caps/>
        </w:rPr>
        <w:lastRenderedPageBreak/>
        <w:t xml:space="preserve">priloga 1: </w:t>
      </w:r>
      <w:bookmarkEnd w:id="7"/>
      <w:r w:rsidRPr="0036137B">
        <w:rPr>
          <w:caps/>
        </w:rPr>
        <w:t xml:space="preserve">osnutEK uredbe Sveta o spremembi Uredbe </w:t>
      </w:r>
      <w:r w:rsidR="00ED15FB">
        <w:rPr>
          <w:caps/>
        </w:rPr>
        <w:t xml:space="preserve">(EU, EURATOM) </w:t>
      </w:r>
      <w:r w:rsidRPr="0036137B">
        <w:rPr>
          <w:caps/>
        </w:rPr>
        <w:t>2020/2093 o določitvi večletnega finančnega okvira za obdobje 2021–2027</w:t>
      </w:r>
      <w:bookmarkEnd w:id="8"/>
    </w:p>
    <w:p w:rsidR="003A39B8" w:rsidRPr="0036137B" w:rsidRDefault="003A39B8" w:rsidP="003A39B8">
      <w:pPr>
        <w:pStyle w:val="Typedudocument"/>
      </w:pPr>
      <w:r w:rsidRPr="0036137B">
        <w:t>UREDBA SVETA (EU, Euratom) 2024/…</w:t>
      </w:r>
    </w:p>
    <w:p w:rsidR="003A39B8" w:rsidRPr="0036137B" w:rsidRDefault="003A39B8" w:rsidP="003A39B8">
      <w:pPr>
        <w:pStyle w:val="Datedadoption"/>
      </w:pPr>
      <w:r w:rsidRPr="0036137B">
        <w:t>z dne ...</w:t>
      </w:r>
    </w:p>
    <w:p w:rsidR="003A39B8" w:rsidRPr="0036137B" w:rsidRDefault="003A39B8" w:rsidP="003A39B8">
      <w:pPr>
        <w:pStyle w:val="Titreobjet"/>
        <w:spacing w:after="120" w:line="240" w:lineRule="auto"/>
      </w:pPr>
      <w:r w:rsidRPr="0036137B">
        <w:t>o spremembi Uredbe (EU, Euratom) 2020/2093 o določitvi</w:t>
      </w:r>
      <w:r w:rsidRPr="0036137B">
        <w:br/>
        <w:t>večletnega finančnega okvira za obdobje 2021–2027</w:t>
      </w:r>
    </w:p>
    <w:p w:rsidR="003A39B8" w:rsidRPr="0036137B" w:rsidRDefault="003A39B8" w:rsidP="003A39B8">
      <w:pPr>
        <w:pStyle w:val="Institutionquiagit"/>
        <w:spacing w:after="240" w:line="240" w:lineRule="auto"/>
      </w:pPr>
      <w:r w:rsidRPr="0036137B">
        <w:t>SVET EVROPSKE UNIJE JE –</w:t>
      </w:r>
    </w:p>
    <w:p w:rsidR="003A39B8" w:rsidRPr="0036137B" w:rsidRDefault="003A39B8" w:rsidP="003A39B8">
      <w:pPr>
        <w:spacing w:after="240"/>
      </w:pPr>
      <w:r w:rsidRPr="0036137B">
        <w:t>ob upoštevanju Pogodbe o delovanju Evropske unije in zlasti člena 312 Pogodbe,</w:t>
      </w:r>
    </w:p>
    <w:p w:rsidR="003A39B8" w:rsidRPr="0036137B" w:rsidRDefault="003A39B8" w:rsidP="003A39B8">
      <w:pPr>
        <w:spacing w:after="240"/>
      </w:pPr>
      <w:r w:rsidRPr="0036137B">
        <w:t>ob upoštevanju Pogodbe o ustanovitvi Evropske skupnosti za atomsko energijo in zlasti člena 106a Pogodbe,</w:t>
      </w:r>
    </w:p>
    <w:p w:rsidR="003A39B8" w:rsidRPr="0036137B" w:rsidRDefault="003A39B8" w:rsidP="003A39B8">
      <w:pPr>
        <w:spacing w:after="240"/>
      </w:pPr>
      <w:r w:rsidRPr="0036137B">
        <w:t>ob upoštevanju predloga Evropske komisije,</w:t>
      </w:r>
    </w:p>
    <w:p w:rsidR="003A39B8" w:rsidRPr="0036137B" w:rsidRDefault="003A39B8" w:rsidP="003A39B8">
      <w:pPr>
        <w:spacing w:after="240"/>
      </w:pPr>
      <w:r w:rsidRPr="0036137B">
        <w:t>ob upoštevanju odobritve Evropskega parlamenta</w:t>
      </w:r>
      <w:r w:rsidRPr="0036137B">
        <w:rPr>
          <w:rStyle w:val="FootnoteReference"/>
        </w:rPr>
        <w:footnoteReference w:id="2"/>
      </w:r>
      <w:r w:rsidRPr="0036137B">
        <w:t>,</w:t>
      </w:r>
    </w:p>
    <w:p w:rsidR="003A39B8" w:rsidRPr="0036137B" w:rsidRDefault="003A39B8" w:rsidP="003A39B8">
      <w:pPr>
        <w:spacing w:after="240"/>
      </w:pPr>
      <w:r w:rsidRPr="0036137B">
        <w:t>po posredovanju osnutka zakonodajnega akta nacionalnim parlamentom,</w:t>
      </w:r>
    </w:p>
    <w:p w:rsidR="003A39B8" w:rsidRPr="0036137B" w:rsidRDefault="003A39B8" w:rsidP="003A39B8">
      <w:pPr>
        <w:spacing w:after="240"/>
      </w:pPr>
      <w:r w:rsidRPr="0036137B">
        <w:t>v skladu s posebnim zakonodajnim postopkom,</w:t>
      </w:r>
    </w:p>
    <w:p w:rsidR="003A39B8" w:rsidRPr="0036137B" w:rsidRDefault="003A39B8" w:rsidP="003A39B8">
      <w:pPr>
        <w:spacing w:after="240"/>
      </w:pPr>
      <w:r w:rsidRPr="0036137B">
        <w:br w:type="page"/>
        <w:t>ob upoštevanju naslednjega:</w:t>
      </w:r>
    </w:p>
    <w:p w:rsidR="003A39B8" w:rsidRPr="0036137B" w:rsidRDefault="003A39B8" w:rsidP="003A39B8">
      <w:pPr>
        <w:pStyle w:val="ManualConsidrant"/>
        <w:spacing w:line="240" w:lineRule="auto"/>
        <w:ind w:left="851" w:hanging="851"/>
      </w:pPr>
      <w:r w:rsidRPr="0036137B">
        <w:t>(1)</w:t>
      </w:r>
      <w:r w:rsidRPr="0036137B">
        <w:tab/>
        <w:t>Komisija je predstavila pregled delovanja večletnega finančnega okvira za obdobje 2021–2027 iz Uredbe Sveta (EU, Euratom) 2020/2093</w:t>
      </w:r>
      <w:r w:rsidRPr="0036137B">
        <w:rPr>
          <w:rStyle w:val="FootnoteReference"/>
        </w:rPr>
        <w:footnoteReference w:id="3"/>
      </w:r>
      <w:r w:rsidRPr="0036137B">
        <w:t xml:space="preserve"> po prvih letih njegovega izvajanja, vključno z oceno vzdržnosti zgornjih mej odhodkov.</w:t>
      </w:r>
    </w:p>
    <w:p w:rsidR="003A39B8" w:rsidRPr="0036137B" w:rsidRDefault="003A39B8" w:rsidP="003A39B8">
      <w:pPr>
        <w:pStyle w:val="ManualConsidrant"/>
        <w:spacing w:line="240" w:lineRule="auto"/>
        <w:ind w:left="851" w:hanging="851"/>
      </w:pPr>
      <w:r w:rsidRPr="0036137B">
        <w:t>(2)</w:t>
      </w:r>
      <w:r w:rsidRPr="0036137B">
        <w:tab/>
        <w:t>Unija se od decembra 2020 sooča z vrsto edinstvenih in nepričakovanih izzivov. Ukrepala je hitro in uporabila vsa sredstva, ki jih ima na voljo, vendar je omejena proračunska prilagodljivost večletnega finančnega okvira za obdobje 2021–2027 skoraj izčrpana, kar ovira zmožnost proračuna Unije za obravnavanje tudi najnujnejših izzivov.</w:t>
      </w:r>
    </w:p>
    <w:p w:rsidR="003A39B8" w:rsidRPr="0036137B" w:rsidRDefault="003A39B8" w:rsidP="003A39B8">
      <w:pPr>
        <w:pStyle w:val="ManualConsidrant"/>
        <w:spacing w:line="240" w:lineRule="auto"/>
        <w:ind w:left="851" w:hanging="851"/>
      </w:pPr>
      <w:r w:rsidRPr="0036137B">
        <w:t>(3)</w:t>
      </w:r>
      <w:r w:rsidRPr="0036137B">
        <w:tab/>
        <w:t>V prvih letih izvajanja večletnega finančnega okvira so se za reševanje številnih izzivov veliko uporabljali posebni instrumenti. Še vedno je potrebno nadaljnje ukrepanje, hkrati pa so proračunska sredstva za soočanje s takšnimi razmerami v preostalem obdobju večletnega finančnega okvira omejena.</w:t>
      </w:r>
    </w:p>
    <w:p w:rsidR="003A39B8" w:rsidRPr="0036137B" w:rsidRDefault="003A39B8" w:rsidP="003A39B8">
      <w:pPr>
        <w:pStyle w:val="ManualConsidrant"/>
        <w:spacing w:line="240" w:lineRule="auto"/>
      </w:pPr>
      <w:r w:rsidRPr="0036137B">
        <w:br w:type="page"/>
        <w:t>(4)</w:t>
      </w:r>
      <w:r w:rsidRPr="0036137B">
        <w:tab/>
        <w:t>Proračun Unije bi moral Uniji omogočati, da se na pojavljajoče se izzive odzove s potrebnimi politikami in izpolni pravne obveznosti, česar ni mogoče doseči v okviru obstoječih zgornjih mej ali s prilagodljivostjo, ki je že izčrpana. Spremeniti bi bilo treba zgornje meje odhodkov v odobritvah za prevzem obveznosti za razdelke 1, 2, 3, 4, 5 in 6 za leta 2024, 2025, 2026 in 2027. Zgornje meje odhodkov v odobritvah plačil se lahko ohranijo na sedanji ravni, vendar bi bilo treba prilagoditi omejitev odobritev plačil za enotni instrument za rezervo za leto 2026, da se prepreči tveganje zaostankov. Poleg tega bi bilo treba spremeniti skupni znesek dodatnih sredstev v okviru prilagoditve za posamezne programe iz člena 5 in povezano preglednico iz Priloge II k Uredbi (EU, Euratom) 2020/2093.</w:t>
      </w:r>
    </w:p>
    <w:p w:rsidR="003A39B8" w:rsidRPr="0036137B" w:rsidRDefault="003A39B8" w:rsidP="003A39B8">
      <w:pPr>
        <w:pStyle w:val="ManualConsidrant"/>
        <w:spacing w:line="240" w:lineRule="auto"/>
      </w:pPr>
      <w:r w:rsidRPr="0036137B">
        <w:t>(5)</w:t>
      </w:r>
      <w:r w:rsidRPr="0036137B">
        <w:tab/>
        <w:t xml:space="preserve">Spremeniti bi bilo treba tudi zneske rezerve za prilagoditev na </w:t>
      </w:r>
      <w:proofErr w:type="spellStart"/>
      <w:r w:rsidRPr="0036137B">
        <w:t>brexit</w:t>
      </w:r>
      <w:proofErr w:type="spellEnd"/>
      <w:r w:rsidRPr="0036137B">
        <w:t xml:space="preserve"> in Evropski sklad za prilagoditev globalizaciji.</w:t>
      </w:r>
    </w:p>
    <w:p w:rsidR="003A39B8" w:rsidRPr="0036137B" w:rsidRDefault="003A39B8" w:rsidP="003A39B8">
      <w:pPr>
        <w:pStyle w:val="ManualConsidrant"/>
        <w:spacing w:line="240" w:lineRule="auto"/>
      </w:pPr>
      <w:r w:rsidRPr="0036137B">
        <w:t>(6)</w:t>
      </w:r>
      <w:r w:rsidRPr="0036137B">
        <w:tab/>
        <w:t>Z nezakonito rusko vojno agresijo proti Ukrajini je evropska tla ponovno zatresla vojna. Unija bo podpirala Ukrajino, dokler bo to potrebno, in ji odločno pomagala na njeni evropski poti. V ta namen sta Evropski parlament in Svet sprejela Uredbo (EU) 2024/... Evropskega parlamenta in Sveta</w:t>
      </w:r>
      <w:r w:rsidRPr="0036137B">
        <w:rPr>
          <w:rStyle w:val="FootnoteReference"/>
        </w:rPr>
        <w:footnoteReference w:id="4"/>
      </w:r>
      <w:r w:rsidRPr="0036137B">
        <w:rPr>
          <w:rStyle w:val="FootnoteReference"/>
        </w:rPr>
        <w:footnoteReference w:customMarkFollows="1" w:id="5"/>
        <w:t>+</w:t>
      </w:r>
      <w:r w:rsidRPr="0036137B">
        <w:t xml:space="preserve">, ki je odziv Unije za podporo </w:t>
      </w:r>
      <w:proofErr w:type="spellStart"/>
      <w:r w:rsidRPr="0036137B">
        <w:t>makrofinančni</w:t>
      </w:r>
      <w:proofErr w:type="spellEnd"/>
      <w:r w:rsidRPr="0036137B">
        <w:t xml:space="preserve"> stabilnosti, obnovi in modernizaciji Ukrajine, hkrati pa podpira reformna prizadevanja Ukrajine v okviru njene pristopne poti k Uniji (v nadaljnjem besedilu: instrument za Ukrajino).</w:t>
      </w:r>
    </w:p>
    <w:p w:rsidR="003A39B8" w:rsidRPr="0036137B" w:rsidRDefault="003A39B8" w:rsidP="003A39B8">
      <w:pPr>
        <w:pStyle w:val="ManualConsidrant"/>
        <w:spacing w:line="240" w:lineRule="auto"/>
      </w:pPr>
      <w:r w:rsidRPr="0036137B">
        <w:br w:type="page"/>
        <w:t>(7)</w:t>
      </w:r>
      <w:r w:rsidRPr="0036137B">
        <w:tab/>
        <w:t>Glede na negotovosti, povezane z rusko vojno agresijo, bi moral biti instrument za Ukrajino prožen instrument, da se podpora do leta 2027 zagotovi v ustrezni obliki in na ustreznih ravneh. Podpora v okviru instrumenta za Ukrajino bi morala biti zagotovljena v obliki posojil in nepovratne podpore ter z oblikovanjem rezervacij za proračunska jamstva.</w:t>
      </w:r>
    </w:p>
    <w:p w:rsidR="003A39B8" w:rsidRPr="0036137B" w:rsidRDefault="003A39B8" w:rsidP="003A39B8">
      <w:pPr>
        <w:pStyle w:val="ManualConsidrant"/>
        <w:spacing w:line="240" w:lineRule="auto"/>
      </w:pPr>
      <w:r w:rsidRPr="0036137B">
        <w:t>(8)</w:t>
      </w:r>
      <w:r w:rsidRPr="0036137B">
        <w:tab/>
        <w:t>Za del podpore iz instrumenta za Ukrajino, ki se zagotavlja v obliki posojil, je primerno do leta 2027 podaljšati obstoječe proračunsko jamstvo Unije za kritje finančne pomoči, ki je na voljo Ukrajini. Zato bi moralo biti mogoče, da se potrebne odobritve v proračunu Unije nad zgornjimi mejami večletnega finančnega okvira mobilizirajo za finančno pomoč Ukrajini, ki bo na voljo do konca leta 2027. Poleg kritja kratkoročne finančne pomoči Ukrajini, kot je že predvideno v Uredbi (EU) 2022/2463, bi moralo proračunsko jamstvo Unije kriti finančno pomoč Ukrajini v višini do 33 milijard EUR, kot je določeno v Uredbi (EU) 2024/...</w:t>
      </w:r>
      <w:r w:rsidRPr="0036137B">
        <w:rPr>
          <w:rStyle w:val="FootnoteReference"/>
        </w:rPr>
        <w:footnoteReference w:customMarkFollows="1" w:id="6"/>
        <w:t>+</w:t>
      </w:r>
      <w:r w:rsidRPr="0036137B">
        <w:t>.</w:t>
      </w:r>
    </w:p>
    <w:p w:rsidR="003A39B8" w:rsidRPr="0036137B" w:rsidRDefault="003A39B8" w:rsidP="003A39B8">
      <w:pPr>
        <w:pStyle w:val="ManualConsidrant"/>
        <w:spacing w:line="240" w:lineRule="auto"/>
      </w:pPr>
      <w:r w:rsidRPr="0036137B">
        <w:br w:type="page"/>
        <w:t>(9)</w:t>
      </w:r>
      <w:r w:rsidRPr="0036137B">
        <w:tab/>
        <w:t>Za del podpore iz instrumenta za Ukrajino, ki se zagotavlja v obliki nepovratne podpore in oblikovanja rezervacij za proračunska jamstva, bi bilo treba odobritve zagotoviti prek novega tematskega posebnega instrumenta, t. i. „rezerve za Ukrajino“. Odobritve za prevzem obveznosti in ustrezne odobritve plačil bi bilo treba uporabiti letno v okviru proračunskega postopka iz člena 314 Pogodbe o delovanju Evropske unije (PDEU), in sicer nad zgornjimi mejami večletnega finančnega okvira. Za urejen razvoj odhodkov, ki se načrtujejo v skladu z ustreznimi določbami Uredbe (EU) 2024/...</w:t>
      </w:r>
      <w:r w:rsidRPr="0036137B">
        <w:rPr>
          <w:rStyle w:val="FootnoteReference"/>
        </w:rPr>
        <w:footnoteReference w:customMarkFollows="1" w:id="7"/>
        <w:t>+</w:t>
      </w:r>
      <w:r w:rsidRPr="0036137B">
        <w:t>, in zlasti glede na zneske, ki jih je treba določiti v načrtu za Ukrajino, je primerno določiti skupne in letne najvišje zneske, ki se lahko dajo na voljo za rezervo za Ukrajino v obdobju 2024–2027. Za zagotovitev vsestranskega izvajanja in prilagodljivosti med leti bi moralo biti mogoče, v mejah skupnega zneska, v naslednjih letih do leta 2027 uporabiti neporabljeni del letnega zneska v danem letu, poleg najvišjega letnega zneska za zadevno leto.</w:t>
      </w:r>
    </w:p>
    <w:p w:rsidR="003A39B8" w:rsidRPr="0036137B" w:rsidRDefault="003A39B8" w:rsidP="003A39B8">
      <w:pPr>
        <w:pStyle w:val="ManualConsidrant"/>
        <w:spacing w:line="240" w:lineRule="auto"/>
      </w:pPr>
      <w:r w:rsidRPr="0036137B">
        <w:br w:type="page"/>
        <w:t>(10)</w:t>
      </w:r>
      <w:r w:rsidRPr="0036137B">
        <w:tab/>
        <w:t xml:space="preserve">Od leta 2022 so se obrestne mere za vse izdajatelje obveznic, vključno z Unijo, v Uniji in večini večjih gospodarstev močno zvišale. Zato se pričakuje, da bodo stroški financiranja najemanja posojil za Instrument Evropske unije za okrevanje </w:t>
      </w:r>
      <w:proofErr w:type="spellStart"/>
      <w:r w:rsidRPr="0036137B">
        <w:t>NextGenerationEU</w:t>
      </w:r>
      <w:proofErr w:type="spellEnd"/>
      <w:r w:rsidRPr="0036137B">
        <w:t xml:space="preserve"> (v nadaljnjem besedilu: EURI), ki se krijejo iz proračuna Unije v skladu s členom 5(2) Sklepa Sveta (EU, Euratom) 2020/2053</w:t>
      </w:r>
      <w:r w:rsidRPr="0036137B">
        <w:rPr>
          <w:rStyle w:val="FootnoteReference"/>
        </w:rPr>
        <w:footnoteReference w:id="8"/>
      </w:r>
      <w:r w:rsidRPr="0036137B">
        <w:t>, presegli ocene, prvotno načrtovane v okviru zgornjih mej večletnega finančnega okvira ob njegovem sprejetju decembra 2020, in sicer 2 332 milijonov EUR v letu 2025 (v cenah iz leta 2018), 3 196 milijonov EUR v letu 2026 (v cenah iz leta 2018) in 4 168 milijonov EUR v letu 2027 (v cenah iz leta 2018).</w:t>
      </w:r>
    </w:p>
    <w:p w:rsidR="003A39B8" w:rsidRPr="0036137B" w:rsidRDefault="003A39B8" w:rsidP="003A39B8">
      <w:pPr>
        <w:pStyle w:val="ManualConsidrant"/>
        <w:spacing w:line="240" w:lineRule="auto"/>
      </w:pPr>
      <w:r w:rsidRPr="0036137B">
        <w:t>(11)</w:t>
      </w:r>
      <w:r w:rsidRPr="0036137B">
        <w:tab/>
        <w:t>Glede na negotovost v zvezi s prihodnjim razvojem obrestnih mer v spreminjajočih se tržnih razmerah in splošne potrebe po izposojanju za financiranje tekočih programov Unije, ki se financirajo iz EURI, je primerno, da se kot del določb, potrebnih za nemoten potek letnega proračunskega postopka in zagotovitev, da so na voljo finančna sredstva, ki Uniji omogočajo izpolnjevanje njenih pravnih obveznosti, določi izjemen in začasen mehanizem za čas trajanja sedanjega večletnega finančnega okvira za kritje stroškov financiranja zadolževanja za EURI, ki presegajo prvotno načrtovane zneske. Zato bi bilo treba vzpostaviti nov tematski posebni instrument – instrument EURI, katerega edini cilj bi bilo kritje neporavnane prekoračitve stroškov. Ta instrument bi moral biti izjemen in ne bi smel biti precedens za prihodnje ureditve za večletne finančne okvire po letu 2027, zlasti za kritje stroškov plačil obresti za sredstva, izposojena na trgih za financiranje EURI.</w:t>
      </w:r>
    </w:p>
    <w:p w:rsidR="003A39B8" w:rsidRPr="0036137B" w:rsidRDefault="003A39B8" w:rsidP="003A39B8">
      <w:pPr>
        <w:pStyle w:val="ManualConsidrant"/>
        <w:spacing w:line="240" w:lineRule="auto"/>
      </w:pPr>
      <w:r w:rsidRPr="0036137B">
        <w:br w:type="page"/>
        <w:t>(12)</w:t>
      </w:r>
      <w:r w:rsidRPr="0036137B">
        <w:tab/>
        <w:t xml:space="preserve">Proračunski organ bi moral EURI uporabiti med letnim proračunskim postopkom le, če je to potrebno. Brez poseganja v pristojnosti proračunskega organa, bi ga bilo treba uporabiti po iskanju drugih možnosti financiranja, tudi prek manevrskega prostora, ustvarjenega z izvrševanjem proračuna programov in prerazporeditvijo prednostnih nalog, in </w:t>
      </w:r>
      <w:proofErr w:type="spellStart"/>
      <w:r w:rsidRPr="0036137B">
        <w:t>netematskih</w:t>
      </w:r>
      <w:proofErr w:type="spellEnd"/>
      <w:r w:rsidRPr="0036137B">
        <w:t xml:space="preserve"> posebnih instrumentov, za kritje znatnega dela potrebnih zneskov, ki presegajo zneske, prvotno navedene v obstoječi proračunski vrstici EURI v razdelku 2b, kolikor je to mogoče, da se kot merilo uporabi znesek, ki ustreza približno 50 odstotkom prekoračitev stroškov plačil obresti EURI. To bo izvedeno v skladu z veljavnimi sektorskimi pravili in drugimi pravnimi obveznostmi ter ob upoštevanju prednostnih nalog, preudarnega oblikovanja proračuna in dobrega finančnega </w:t>
      </w:r>
      <w:proofErr w:type="spellStart"/>
      <w:r w:rsidRPr="0036137B">
        <w:t>poslovodenja</w:t>
      </w:r>
      <w:proofErr w:type="spellEnd"/>
      <w:r w:rsidRPr="0036137B">
        <w:t>, ki zahtevajo predvsem ustrezne razlike do zgornje meje za nepredvidene odhodke. Prerazporeditve sredstev in ponovna določitev prednostnih nalog iz tega odstavka ne bodo vplivale na nacionalne ovojnice držav članic, za katere so bile prevzete pravne obveznosti, predvsem tiste v okviru skupne kmetijske politike in kohezijske politike. Odobritve za prevzem obveznosti in ustrezne odobritve plačil instrumenta EURI v proračunu Unije bi se morale zagotoviti nad zgornjimi mejami večletnega finančnega okvira. V okviru instrumenta EURI bi bilo treba najprej črpati znesek, enak sproščenim obveznostim, ki niso zunanji namenski prejemki, do katerih je prišlo od začetka sedanjega večletnega finančnega okvira. Zneski sproščenih obveznosti, ki so ponovno na voljo v skladu z obstoječimi ustreznimi določbami, se ne bi smeli upoštevati. Razpoložljivi znesek sproščenih obveznosti za instrument EURI bi bilo treba izračunati vsako leto v okviru tehnične prilagoditve večletnega finančnega okvira, pri čemer bi bilo treba jasno prikazati skupna razpoložljiva sredstva in zneske, ki so bili že upoštevani pri prejšnji uporabi instrumenta EURI. V nepričakovanih razmerah, ko prekoračitev še vedno obstaja, bi bilo treba v okviru instrumenta EURI v skrajnem primeru kot varovalni mehanizem uporabiti potreben dodatni znesek za celotno financiranje stroškov. Če ena ali več držav članic izjemoma meni, da obstajajo resni pomisleki v zvezi z uporabo tega varovalnega mehanizma, lahko zaprosijo predsednika Evropskega sveta, naj zadevo predloži v obravnavo na naslednjem zasedanju Evropskega sveta. Ta postopek praviloma ne bi smel trajati dlje kot en mesec in bi moral v celoti spoštovati pristojnosti institucij, kot so določene v Pogodbah..</w:t>
      </w:r>
    </w:p>
    <w:p w:rsidR="003A39B8" w:rsidRPr="0036137B" w:rsidRDefault="003A39B8" w:rsidP="003A39B8">
      <w:pPr>
        <w:pStyle w:val="ManualConsidrant"/>
        <w:spacing w:line="240" w:lineRule="auto"/>
      </w:pPr>
      <w:r w:rsidRPr="0036137B">
        <w:br w:type="page"/>
        <w:t>(13)</w:t>
      </w:r>
      <w:r w:rsidRPr="0036137B">
        <w:tab/>
        <w:t>Glede na naravne nesreče, ki so se zgodile v državah članicah in državah, ki vodijo pristopna pogajanja z Unijo, ter naravne nesreče in humanitarne krize v tretjih državah in da bi zagotovili ustrezno financiranje za oboje, bi bilo treba obstoječo rezervo za solidarnost in nujno pomoč okrepiti in razdeliti na dva ločena instrumenta: „rezervo za evropsko solidarnost“ za zagotavljanje podpore prizadetim državam in regijam v okviru Solidarnostnega sklada Evropske unije, ustanovljenega z Uredbo Sveta (ES) št. 2012/2002</w:t>
      </w:r>
      <w:r w:rsidRPr="0036137B">
        <w:rPr>
          <w:rStyle w:val="FootnoteReference"/>
        </w:rPr>
        <w:footnoteReference w:id="9"/>
      </w:r>
      <w:r w:rsidRPr="0036137B">
        <w:t>, in „rezerve za nujno pomoč“ za zagotavljanje proračunskih okrepitev ustreznih programov Unije v odziv na krize in izredne razmere v Uniji in zunaj nje.</w:t>
      </w:r>
    </w:p>
    <w:p w:rsidR="003A39B8" w:rsidRPr="0036137B" w:rsidRDefault="003A39B8" w:rsidP="003A39B8">
      <w:pPr>
        <w:pStyle w:val="ManualConsidrant"/>
        <w:spacing w:line="240" w:lineRule="auto"/>
      </w:pPr>
      <w:r w:rsidRPr="0036137B">
        <w:t>(14)</w:t>
      </w:r>
      <w:r w:rsidRPr="0036137B">
        <w:tab/>
        <w:t>Instrument prilagodljivosti bi bilo treba okrepiti, da se ohrani zadostna zmogljivost Unije za odzivanje na nepredvidene okoliščine do leta 2027. Zapadle zneske iz evropske rezerve za solidarnost in rezerve za nujno pomoč dati bi bilo treba dati na voljo instrumentu prilagodljivosti od leta 2024.</w:t>
      </w:r>
    </w:p>
    <w:p w:rsidR="003A39B8" w:rsidRPr="0036137B" w:rsidRDefault="003A39B8" w:rsidP="003A39B8">
      <w:pPr>
        <w:pStyle w:val="ManualConsidrant"/>
        <w:spacing w:line="240" w:lineRule="auto"/>
      </w:pPr>
      <w:r w:rsidRPr="0036137B">
        <w:t>(15)</w:t>
      </w:r>
      <w:r w:rsidRPr="0036137B">
        <w:tab/>
        <w:t>Glede na te nepričakovane dogodke in nove izzive je treba večletni finančni okvir revidirati, zato bi bilo treba Uredbo (EU, Euratom) 2020/2093 ustrezno spremeniti.</w:t>
      </w:r>
    </w:p>
    <w:p w:rsidR="003A39B8" w:rsidRPr="0036137B" w:rsidRDefault="003A39B8" w:rsidP="003A39B8">
      <w:pPr>
        <w:pStyle w:val="ManualConsidrant"/>
        <w:spacing w:line="240" w:lineRule="auto"/>
      </w:pPr>
      <w:r w:rsidRPr="0036137B">
        <w:br w:type="page"/>
        <w:t>(16)</w:t>
      </w:r>
      <w:r w:rsidRPr="0036137B">
        <w:tab/>
        <w:t>Spremembe Uredbe (EU, Euratom) 2020/2093 ne posegajo v obveznost spoštovanja zgornjih mej lastnih sredstev iz člena 3(1) in člena 6 Sklepa (EU, Euratom) 2020/2053.</w:t>
      </w:r>
    </w:p>
    <w:p w:rsidR="003A39B8" w:rsidRPr="0036137B" w:rsidRDefault="003A39B8" w:rsidP="003A39B8">
      <w:pPr>
        <w:pStyle w:val="ManualConsidrant"/>
        <w:spacing w:line="240" w:lineRule="auto"/>
      </w:pPr>
      <w:r w:rsidRPr="0036137B">
        <w:t>(17)</w:t>
      </w:r>
      <w:r w:rsidRPr="0036137B">
        <w:tab/>
        <w:t xml:space="preserve">Glede na razmere v Ukrajini bi morala ta uredba nujno začeti veljati na dan objave v </w:t>
      </w:r>
      <w:r w:rsidRPr="0036137B">
        <w:rPr>
          <w:i/>
        </w:rPr>
        <w:t>Uradnem listu Evropske unije</w:t>
      </w:r>
      <w:r w:rsidRPr="0036137B">
        <w:t xml:space="preserve"> in bi se morala uporabljati z retroaktivnim učinkom od 1. januarja 2024 –</w:t>
      </w:r>
    </w:p>
    <w:p w:rsidR="003A39B8" w:rsidRPr="0036137B" w:rsidRDefault="003A39B8" w:rsidP="003A39B8">
      <w:pPr>
        <w:pStyle w:val="Formuledadoption"/>
        <w:spacing w:before="240" w:line="240" w:lineRule="auto"/>
      </w:pPr>
      <w:r w:rsidRPr="0036137B">
        <w:t>SPREJEL NASLEDNJO UREDBO:</w:t>
      </w:r>
    </w:p>
    <w:p w:rsidR="003A39B8" w:rsidRPr="0036137B" w:rsidRDefault="003A39B8" w:rsidP="003A39B8">
      <w:pPr>
        <w:pStyle w:val="Titrearticle"/>
        <w:spacing w:line="240" w:lineRule="auto"/>
      </w:pPr>
      <w:r w:rsidRPr="0036137B">
        <w:br w:type="page"/>
        <w:t>Člen 1</w:t>
      </w:r>
    </w:p>
    <w:p w:rsidR="003A39B8" w:rsidRPr="0036137B" w:rsidRDefault="003A39B8" w:rsidP="003A39B8">
      <w:r w:rsidRPr="0036137B">
        <w:t>Uredba (EU, Euratom) 2020/2093 se spremeni:</w:t>
      </w:r>
    </w:p>
    <w:p w:rsidR="003A39B8" w:rsidRPr="0036137B" w:rsidRDefault="003A39B8" w:rsidP="003A39B8">
      <w:pPr>
        <w:pStyle w:val="Point0"/>
        <w:spacing w:line="240" w:lineRule="auto"/>
      </w:pPr>
      <w:r w:rsidRPr="0036137B">
        <w:t>(1)</w:t>
      </w:r>
      <w:r w:rsidRPr="0036137B">
        <w:tab/>
        <w:t>člen 2 se spremeni:</w:t>
      </w:r>
    </w:p>
    <w:p w:rsidR="003A39B8" w:rsidRPr="0036137B" w:rsidRDefault="003A39B8" w:rsidP="003A39B8">
      <w:pPr>
        <w:pStyle w:val="Point1"/>
        <w:spacing w:line="240" w:lineRule="auto"/>
      </w:pPr>
      <w:r w:rsidRPr="0036137B">
        <w:t>(a)</w:t>
      </w:r>
      <w:r w:rsidRPr="0036137B">
        <w:tab/>
        <w:t>v odstavku 2 se prvi pododstavek nadomesti z naslednjim:</w:t>
      </w:r>
    </w:p>
    <w:p w:rsidR="003A39B8" w:rsidRPr="0036137B" w:rsidRDefault="003A39B8" w:rsidP="003A39B8">
      <w:pPr>
        <w:pStyle w:val="Point2"/>
        <w:spacing w:line="240" w:lineRule="auto"/>
      </w:pPr>
      <w:r w:rsidRPr="0036137B">
        <w:t>„2.</w:t>
      </w:r>
      <w:r w:rsidRPr="0036137B">
        <w:tab/>
        <w:t>Kadar je treba uporabiti sredstva iz posebnih instrumentov iz členov 8, 9, 10, 10a, 10b in 12, se odobritve za prevzem obveznosti in ustrezne odobritve plačil vključijo v proračun nad ustreznimi zgornjimi mejami večletnega finančnega okvira.“;</w:t>
      </w:r>
    </w:p>
    <w:p w:rsidR="003A39B8" w:rsidRPr="0036137B" w:rsidRDefault="003A39B8" w:rsidP="003A39B8">
      <w:pPr>
        <w:pStyle w:val="Point1"/>
        <w:spacing w:line="240" w:lineRule="auto"/>
      </w:pPr>
      <w:r w:rsidRPr="0036137B">
        <w:t>(b)</w:t>
      </w:r>
      <w:r w:rsidRPr="0036137B">
        <w:tab/>
        <w:t>v odstavku 3 se doda naslednji pododstavek:</w:t>
      </w:r>
    </w:p>
    <w:p w:rsidR="003A39B8" w:rsidRPr="0036137B" w:rsidRDefault="003A39B8" w:rsidP="003A39B8">
      <w:pPr>
        <w:pStyle w:val="Text2"/>
        <w:spacing w:line="240" w:lineRule="auto"/>
      </w:pPr>
      <w:r w:rsidRPr="0036137B">
        <w:t>„Kadar je treba uporabiti jamstvo za finančno pomoč Ukrajini, ki je na voljo za leta 2024 do 2027 za skupni znesek posojil v višini do 33 000 milijonov EUR v tekočih cenah kot je določeno v Uredbi (EU) 2024/.... Evropskega parlamenta in Sveta</w:t>
      </w:r>
      <w:r w:rsidRPr="0036137B">
        <w:rPr>
          <w:vertAlign w:val="superscript"/>
        </w:rPr>
        <w:t>*</w:t>
      </w:r>
      <w:r w:rsidRPr="0036137B">
        <w:rPr>
          <w:rStyle w:val="FootnoteReference"/>
          <w:bCs/>
        </w:rPr>
        <w:footnoteReference w:customMarkFollows="1" w:id="10"/>
        <w:t>+</w:t>
      </w:r>
      <w:r w:rsidRPr="0036137B">
        <w:t>, in odobreno v skladu s členom 220(1) finančne uredbe, se potrebni znesek uporabi nad zgornjimi mejami večletnega finančnega okvira.</w:t>
      </w:r>
    </w:p>
    <w:p w:rsidR="003A39B8" w:rsidRPr="0036137B" w:rsidRDefault="003A39B8" w:rsidP="003A39B8">
      <w:pPr>
        <w:pStyle w:val="Text2"/>
        <w:spacing w:line="240" w:lineRule="auto"/>
      </w:pPr>
      <w:r w:rsidRPr="0036137B">
        <w:t>_______________</w:t>
      </w:r>
    </w:p>
    <w:p w:rsidR="003A39B8" w:rsidRPr="0036137B" w:rsidRDefault="003A39B8" w:rsidP="003A39B8">
      <w:pPr>
        <w:pStyle w:val="Point2"/>
        <w:spacing w:before="0" w:after="0" w:line="240" w:lineRule="auto"/>
        <w:ind w:left="1985"/>
      </w:pPr>
      <w:r w:rsidRPr="0036137B">
        <w:rPr>
          <w:vertAlign w:val="superscript"/>
        </w:rPr>
        <w:t>*</w:t>
      </w:r>
      <w:r w:rsidRPr="0036137B">
        <w:tab/>
        <w:t>Uredba (EU) 2024/... Evropskega parlamenta in Sveta z dne … o vzpostavitvi instrumenta za Ukrajino (UL L, ..., ELI: …).“;</w:t>
      </w:r>
    </w:p>
    <w:p w:rsidR="003A39B8" w:rsidRPr="0036137B" w:rsidRDefault="003A39B8" w:rsidP="003A39B8">
      <w:pPr>
        <w:pStyle w:val="Point0"/>
        <w:spacing w:line="240" w:lineRule="auto"/>
      </w:pPr>
      <w:r w:rsidRPr="0036137B">
        <w:br w:type="page"/>
        <w:t>(2)</w:t>
      </w:r>
      <w:r w:rsidRPr="0036137B">
        <w:tab/>
        <w:t>v členu 4(1), se dodata naslednji točki:</w:t>
      </w:r>
    </w:p>
    <w:p w:rsidR="003A39B8" w:rsidRPr="0036137B" w:rsidRDefault="003A39B8" w:rsidP="003A39B8">
      <w:pPr>
        <w:pStyle w:val="Point1"/>
        <w:spacing w:line="240" w:lineRule="auto"/>
      </w:pPr>
      <w:r w:rsidRPr="0036137B">
        <w:t>„(f)</w:t>
      </w:r>
      <w:r w:rsidRPr="0036137B">
        <w:tab/>
        <w:t>izračun zneska, ki je na voljo za Instrument Evropske unije za okrevanje v skladu s členom 10a(3), točka (a);</w:t>
      </w:r>
    </w:p>
    <w:p w:rsidR="003A39B8" w:rsidRPr="0036137B" w:rsidRDefault="003A39B8" w:rsidP="003A39B8">
      <w:pPr>
        <w:pStyle w:val="Point1"/>
        <w:spacing w:line="240" w:lineRule="auto"/>
      </w:pPr>
      <w:r w:rsidRPr="0036137B">
        <w:t>(g)</w:t>
      </w:r>
      <w:r w:rsidRPr="0036137B">
        <w:tab/>
        <w:t>izračun zneskov, ki se dajo na razpolago instrumentu prilagodljivosti na podlagi člena 12(1), drugi pododstavek.“;</w:t>
      </w:r>
    </w:p>
    <w:p w:rsidR="003A39B8" w:rsidRPr="0036137B" w:rsidRDefault="003A39B8" w:rsidP="003A39B8">
      <w:pPr>
        <w:pStyle w:val="Point0"/>
        <w:spacing w:line="240" w:lineRule="auto"/>
      </w:pPr>
      <w:r w:rsidRPr="0036137B">
        <w:t>(3)</w:t>
      </w:r>
      <w:r w:rsidRPr="0036137B">
        <w:tab/>
        <w:t>V členu 5(1) se drugi pododstavek nadomesti z naslednjim:</w:t>
      </w:r>
    </w:p>
    <w:p w:rsidR="003A39B8" w:rsidRPr="0036137B" w:rsidRDefault="003A39B8" w:rsidP="003A39B8">
      <w:pPr>
        <w:pStyle w:val="Text1"/>
        <w:spacing w:line="240" w:lineRule="auto"/>
        <w:rPr>
          <w:bCs/>
        </w:rPr>
      </w:pPr>
      <w:r w:rsidRPr="0036137B">
        <w:t>„Skupni znesek dodatnih dodeljenih sredstev za obdobje 2022–2027 za odobritve za prevzem obveznosti in odobritve plačil znaša 10155 milijona EUR (v cenah iz leta 2018). Za vsako leto od leta 2022 do leta 2026 letni znesek dodatnih dodeljenih sredstev za odobritve za prevzem obveznosti oziroma odobritve plačil znaša najmanj 1500 milijonov EUR (v cenah iz leta 2018) in ne presega 2000 milijonov EUR (v cenah iz leta 2018).“;</w:t>
      </w:r>
    </w:p>
    <w:p w:rsidR="003A39B8" w:rsidRPr="0036137B" w:rsidRDefault="003A39B8" w:rsidP="003A39B8">
      <w:pPr>
        <w:pStyle w:val="Point0"/>
        <w:spacing w:line="240" w:lineRule="auto"/>
      </w:pPr>
      <w:r w:rsidRPr="0036137B">
        <w:br w:type="page"/>
        <w:t>(4)</w:t>
      </w:r>
      <w:r w:rsidRPr="0036137B">
        <w:tab/>
        <w:t>člena 8 in 9 se nadomestita z naslednjim:</w:t>
      </w:r>
    </w:p>
    <w:p w:rsidR="003A39B8" w:rsidRPr="0036137B" w:rsidRDefault="003A39B8" w:rsidP="003A39B8">
      <w:pPr>
        <w:pStyle w:val="Text1"/>
        <w:spacing w:line="240" w:lineRule="auto"/>
        <w:rPr>
          <w:i/>
          <w:iCs/>
        </w:rPr>
      </w:pPr>
      <w:r w:rsidRPr="0036137B">
        <w:t>„</w:t>
      </w:r>
      <w:r w:rsidRPr="0036137B">
        <w:rPr>
          <w:i/>
        </w:rPr>
        <w:t>Člen 8</w:t>
      </w:r>
      <w:r w:rsidRPr="0036137B">
        <w:br/>
      </w:r>
      <w:r w:rsidRPr="0036137B">
        <w:rPr>
          <w:i/>
        </w:rPr>
        <w:t>Evropski sklad za prilagoditev globalizaciji</w:t>
      </w:r>
    </w:p>
    <w:p w:rsidR="003A39B8" w:rsidRPr="0036137B" w:rsidRDefault="003A39B8" w:rsidP="003A39B8">
      <w:pPr>
        <w:pStyle w:val="Point1"/>
        <w:spacing w:line="240" w:lineRule="auto"/>
      </w:pPr>
      <w:r w:rsidRPr="0036137B">
        <w:t>1.</w:t>
      </w:r>
      <w:r w:rsidRPr="0036137B">
        <w:tab/>
        <w:t>Evropski sklad za prilagoditev globalizaciji, katerega cilji in področje uporabe so določeni v Uredbi (EU) 2021/691 Evropskega parlamenta in Sveta</w:t>
      </w:r>
      <w:r w:rsidRPr="0036137B">
        <w:rPr>
          <w:b/>
          <w:vertAlign w:val="superscript"/>
        </w:rPr>
        <w:t>*</w:t>
      </w:r>
      <w:r w:rsidRPr="0036137B">
        <w:t>, ne presega najvišjega letnega zneska 30 milijonov EUR (cene iz leta 2018).</w:t>
      </w:r>
    </w:p>
    <w:p w:rsidR="003A39B8" w:rsidRPr="0036137B" w:rsidRDefault="003A39B8" w:rsidP="003A39B8">
      <w:pPr>
        <w:pStyle w:val="Point1"/>
        <w:spacing w:line="240" w:lineRule="auto"/>
      </w:pPr>
      <w:r w:rsidRPr="0036137B">
        <w:t>2.</w:t>
      </w:r>
      <w:r w:rsidRPr="0036137B">
        <w:tab/>
        <w:t>Odobritve za Evropski sklad za prilagoditev globalizaciji so vključene v splošni proračun Unije kot rezervacija.</w:t>
      </w:r>
    </w:p>
    <w:p w:rsidR="003A39B8" w:rsidRPr="0036137B" w:rsidRDefault="003A39B8" w:rsidP="003A39B8">
      <w:pPr>
        <w:pStyle w:val="Text1"/>
        <w:spacing w:line="240" w:lineRule="auto"/>
        <w:rPr>
          <w:i/>
          <w:iCs/>
        </w:rPr>
      </w:pPr>
      <w:r w:rsidRPr="0036137B">
        <w:rPr>
          <w:i/>
        </w:rPr>
        <w:t>Člen 9</w:t>
      </w:r>
      <w:r w:rsidRPr="0036137B">
        <w:rPr>
          <w:i/>
        </w:rPr>
        <w:br/>
        <w:t>Rezerva za solidarnost in nujno pomoč</w:t>
      </w:r>
    </w:p>
    <w:p w:rsidR="003A39B8" w:rsidRPr="0036137B" w:rsidRDefault="003A39B8" w:rsidP="003A39B8">
      <w:pPr>
        <w:pStyle w:val="Point1"/>
        <w:spacing w:line="240" w:lineRule="auto"/>
      </w:pPr>
      <w:r w:rsidRPr="0036137B">
        <w:t>1.</w:t>
      </w:r>
      <w:r w:rsidRPr="0036137B">
        <w:tab/>
        <w:t>Rezerva za solidarnost in nujno pomoč je sestavljena iz dveh instrumentov, ki se lahko uporabita za financiranje:</w:t>
      </w:r>
    </w:p>
    <w:p w:rsidR="003A39B8" w:rsidRPr="0036137B" w:rsidRDefault="003A39B8" w:rsidP="003A39B8">
      <w:pPr>
        <w:pStyle w:val="Point2"/>
        <w:spacing w:line="240" w:lineRule="auto"/>
      </w:pPr>
      <w:r w:rsidRPr="0036137B">
        <w:t>(a)</w:t>
      </w:r>
      <w:r w:rsidRPr="0036137B">
        <w:tab/>
        <w:t>pomoči pri odzivanju na izredne razmere, nastale zaradi večjih nesreč, ki so zajete v Solidarnostnem skladu Evropske unije, katerega cilji in področje uporabe so določeni v Uredbi Sveta (ES) št. 2012/2002</w:t>
      </w:r>
      <w:r w:rsidRPr="0036137B">
        <w:rPr>
          <w:vertAlign w:val="superscript"/>
        </w:rPr>
        <w:t>*</w:t>
      </w:r>
      <w:r w:rsidRPr="0036137B">
        <w:rPr>
          <w:b/>
          <w:vertAlign w:val="superscript"/>
        </w:rPr>
        <w:t>*</w:t>
      </w:r>
      <w:r w:rsidRPr="0036137B">
        <w:t xml:space="preserve"> (v nadaljnjem besedilu: rezerva za evropsko solidarnost), oziroma</w:t>
      </w:r>
    </w:p>
    <w:p w:rsidR="003A39B8" w:rsidRPr="0036137B" w:rsidRDefault="003A39B8" w:rsidP="003A39B8">
      <w:pPr>
        <w:pStyle w:val="Point2"/>
        <w:spacing w:line="240" w:lineRule="auto"/>
      </w:pPr>
      <w:r w:rsidRPr="0036137B">
        <w:br w:type="page"/>
        <w:t>(b)</w:t>
      </w:r>
      <w:r w:rsidRPr="0036137B">
        <w:tab/>
        <w:t>hitrega odzivanja na posebne nujne potrebe znotraj Unije ali v tretjih državah ob dogodkih, ki jih ni bilo mogoče predvideti ob pripravi proračuna, zlasti odzivanja na izredne razmere in operacij podpore po naravnih nesrečah, ki niso zajete v točki (a), nesrečah, ki jih povzroči človek, ob humanitarnih krizah v primerih ogroženosti javnega zdravja ter zdravja živali in rastlin v velikem obsegu pa tudi v primerih posebnega pritiska na zunanjih mejah Unije zaradi migracijskih tokov, kadar to zahtevajo okoliščine (v nadaljnjem besedilu: rezerva za nujno pomoč).</w:t>
      </w:r>
    </w:p>
    <w:p w:rsidR="003A39B8" w:rsidRPr="0036137B" w:rsidRDefault="003A39B8" w:rsidP="003A39B8">
      <w:pPr>
        <w:pStyle w:val="Point1"/>
        <w:spacing w:before="240" w:line="240" w:lineRule="auto"/>
        <w:ind w:left="1418"/>
      </w:pPr>
      <w:r w:rsidRPr="0036137B">
        <w:t>2.</w:t>
      </w:r>
      <w:r w:rsidRPr="0036137B">
        <w:tab/>
        <w:t>Rezerva za evropsko solidarnost ne presega najvišjega letnega zneska 1 016 milijonov EUR (v cenah iz leta 2018). Vsi deli letnega zneska, ki se ne porabijo v letu n, se lahko porabijo do leta n+1. Najprej se porabi del letnega zneska iz prejšnjega leta. Vsi deli letnega zneska iz leta n, ki se ne porabijo v letu n+1, zapadejo.</w:t>
      </w:r>
    </w:p>
    <w:p w:rsidR="003A39B8" w:rsidRPr="0036137B" w:rsidRDefault="003A39B8" w:rsidP="003A39B8">
      <w:pPr>
        <w:pStyle w:val="Text2"/>
        <w:spacing w:line="240" w:lineRule="auto"/>
      </w:pPr>
      <w:r w:rsidRPr="0036137B">
        <w:t>Vsako leto 1. oktobra ostane na razpolago vsaj ena četrtina letnega zneska rezerve za evropsko solidarnost za kritje potreb, ki bi nastale do konca tega leta.</w:t>
      </w:r>
    </w:p>
    <w:p w:rsidR="003A39B8" w:rsidRPr="0036137B" w:rsidRDefault="003A39B8" w:rsidP="003A39B8">
      <w:pPr>
        <w:pStyle w:val="Text2"/>
        <w:spacing w:line="240" w:lineRule="auto"/>
      </w:pPr>
      <w:r w:rsidRPr="0036137B">
        <w:br w:type="page"/>
        <w:t>V izjemnih primerih in če preostala finančna sredstva ne zadostujejo za kritje zneskov, ki so po oceni potrebni v letu nastanka nesreče, kot je opredeljena v točki (a) odstavka 1, lahko Komisija predlaga, da se razlika financira iz letnih zneskov iz prvega pododstavka tega odstavka, ki so na razpolago v naslednjem letu, in sicer največ do zneska 400 milijonov EUR (v cenah iz leta 2018).</w:t>
      </w:r>
    </w:p>
    <w:p w:rsidR="003A39B8" w:rsidRPr="0036137B" w:rsidRDefault="003A39B8" w:rsidP="003A39B8">
      <w:pPr>
        <w:pStyle w:val="Point1"/>
        <w:spacing w:line="240" w:lineRule="auto"/>
      </w:pPr>
      <w:r w:rsidRPr="0036137B">
        <w:t>3.</w:t>
      </w:r>
      <w:r w:rsidRPr="0036137B">
        <w:tab/>
        <w:t>Rezerva za nujno pomoč ne presega najvišjega letnega zneska 508 milijonov EUR (v cenah iz leta 2018). Vsi deli letnega zneska, ki se ne porabijo v letu n, se lahko porabijo do leta n+1. Najprej se porabi del letnega zneska iz prejšnjega leta. Vsi deli letnega zneska iz leta n, ki se ne porabijo v letu n+1, zapadejo.</w:t>
      </w:r>
    </w:p>
    <w:p w:rsidR="003A39B8" w:rsidRPr="0036137B" w:rsidRDefault="003A39B8" w:rsidP="003A39B8">
      <w:pPr>
        <w:pStyle w:val="Point1"/>
        <w:spacing w:line="240" w:lineRule="auto"/>
      </w:pPr>
      <w:r w:rsidRPr="0036137B">
        <w:t>4.</w:t>
      </w:r>
      <w:r w:rsidRPr="0036137B">
        <w:tab/>
        <w:t>Odobritve za rezervo za evropsko solidarnost in rezervo za nujno pomoč se vključijo v splošni proračun Unije kot rezervacija.</w:t>
      </w:r>
    </w:p>
    <w:p w:rsidR="003A39B8" w:rsidRPr="0036137B" w:rsidRDefault="003A39B8" w:rsidP="003A39B8">
      <w:pPr>
        <w:pStyle w:val="Text1"/>
        <w:spacing w:line="240" w:lineRule="auto"/>
      </w:pPr>
      <w:r w:rsidRPr="0036137B">
        <w:t>________________</w:t>
      </w:r>
    </w:p>
    <w:p w:rsidR="003A39B8" w:rsidRPr="0036137B" w:rsidRDefault="003A39B8" w:rsidP="003A39B8">
      <w:pPr>
        <w:pStyle w:val="Point1"/>
        <w:spacing w:before="0" w:after="0" w:line="240" w:lineRule="auto"/>
        <w:ind w:left="1418"/>
      </w:pPr>
      <w:r w:rsidRPr="0036137B">
        <w:rPr>
          <w:vertAlign w:val="superscript"/>
        </w:rPr>
        <w:t>*</w:t>
      </w:r>
      <w:r w:rsidRPr="0036137B">
        <w:tab/>
        <w:t>Uredba (EU) 2021/691 Evropskega parlamenta in Sveta z dne 28. aprila 2021 o Evropskem skladu za prilagoditev globalizaciji za presežne delavce (ESPG) in razveljavitvi Uredbe (EU) št. 1309/2013 (UL L 153, 3.5.2021, str. 48).</w:t>
      </w:r>
    </w:p>
    <w:p w:rsidR="003A39B8" w:rsidRPr="0036137B" w:rsidRDefault="003A39B8" w:rsidP="003A39B8">
      <w:pPr>
        <w:pStyle w:val="Point1"/>
        <w:spacing w:before="0" w:after="0" w:line="240" w:lineRule="auto"/>
        <w:ind w:left="1418"/>
      </w:pPr>
      <w:r w:rsidRPr="0036137B">
        <w:rPr>
          <w:vertAlign w:val="superscript"/>
        </w:rPr>
        <w:t>**</w:t>
      </w:r>
      <w:r w:rsidRPr="0036137B">
        <w:tab/>
        <w:t>Uredba Sveta (ES) št. 2012/2002 z dne 11. novembra 2002 o ustanovitvi Solidarnostnega sklada Evropske unije (UL L 311, 14.11.2002, str. 3).“;</w:t>
      </w:r>
    </w:p>
    <w:p w:rsidR="003A39B8" w:rsidRPr="0036137B" w:rsidRDefault="003A39B8" w:rsidP="003A39B8">
      <w:pPr>
        <w:pStyle w:val="Point0"/>
        <w:spacing w:line="240" w:lineRule="auto"/>
      </w:pPr>
      <w:r w:rsidRPr="0036137B">
        <w:t>(5)</w:t>
      </w:r>
      <w:r w:rsidRPr="0036137B">
        <w:tab/>
        <w:t>v členu 10 se odstavek 2 nadomesti z naslednjim:</w:t>
      </w:r>
    </w:p>
    <w:p w:rsidR="003A39B8" w:rsidRPr="0036137B" w:rsidRDefault="003A39B8" w:rsidP="003A39B8">
      <w:pPr>
        <w:pStyle w:val="Point1"/>
        <w:spacing w:line="240" w:lineRule="auto"/>
      </w:pPr>
      <w:r w:rsidRPr="0036137B">
        <w:t>„2.</w:t>
      </w:r>
      <w:r w:rsidRPr="0036137B">
        <w:tab/>
        <w:t xml:space="preserve">Rezerva za prilagoditev na </w:t>
      </w:r>
      <w:proofErr w:type="spellStart"/>
      <w:r w:rsidRPr="0036137B">
        <w:t>brexit</w:t>
      </w:r>
      <w:proofErr w:type="spellEnd"/>
      <w:r w:rsidRPr="0036137B">
        <w:t xml:space="preserve"> ne presega zneska 4 491 milijonov EUR (v cenah iz leta 2018).“;</w:t>
      </w:r>
    </w:p>
    <w:p w:rsidR="003A39B8" w:rsidRPr="0036137B" w:rsidRDefault="003A39B8" w:rsidP="003A39B8">
      <w:pPr>
        <w:pStyle w:val="Point0"/>
        <w:spacing w:line="240" w:lineRule="auto"/>
      </w:pPr>
      <w:r w:rsidRPr="0036137B">
        <w:br w:type="page"/>
        <w:t>(6)</w:t>
      </w:r>
      <w:r w:rsidRPr="0036137B">
        <w:tab/>
        <w:t>vstavijo se naslednji členi:</w:t>
      </w:r>
    </w:p>
    <w:p w:rsidR="003A39B8" w:rsidRPr="0036137B" w:rsidRDefault="003A39B8" w:rsidP="003A39B8">
      <w:pPr>
        <w:pStyle w:val="Text1"/>
        <w:spacing w:line="240" w:lineRule="auto"/>
        <w:rPr>
          <w:i/>
          <w:iCs/>
        </w:rPr>
      </w:pPr>
      <w:r w:rsidRPr="0036137B">
        <w:rPr>
          <w:i/>
        </w:rPr>
        <w:t>„Člen 10a</w:t>
      </w:r>
      <w:r w:rsidRPr="0036137B">
        <w:rPr>
          <w:i/>
        </w:rPr>
        <w:br/>
        <w:t>Instrument EURI</w:t>
      </w:r>
    </w:p>
    <w:p w:rsidR="003A39B8" w:rsidRPr="0036137B" w:rsidRDefault="003A39B8" w:rsidP="003A39B8">
      <w:pPr>
        <w:pStyle w:val="Point1"/>
        <w:spacing w:line="240" w:lineRule="auto"/>
      </w:pPr>
      <w:r w:rsidRPr="0036137B">
        <w:t>1.</w:t>
      </w:r>
      <w:r w:rsidRPr="0036137B">
        <w:tab/>
        <w:t>Instrument EURI se od leta 2025 za dano leto lahko uporabi za financiranje dela stroškov plačil obresti in kuponov v zvezi s sredstvi, izposojenimi na kapitalskih trgih v skladu s členom 5(2) Sklepa Sveta (EU, Euratom) 2020/2053</w:t>
      </w:r>
      <w:r w:rsidRPr="0036137B">
        <w:rPr>
          <w:vertAlign w:val="superscript"/>
        </w:rPr>
        <w:t>*</w:t>
      </w:r>
      <w:r w:rsidRPr="0036137B">
        <w:t>. Instrument EURI se lahko v danem letu in v obsegu, določenem v naslednjih odstavkih, uporabi le za kritje zneska teh stroškov, ki presegajo naslednje zneske (v cenah iz leta 2018):</w:t>
      </w:r>
    </w:p>
    <w:p w:rsidR="003A39B8" w:rsidRPr="0036137B" w:rsidRDefault="003A39B8" w:rsidP="003A39B8">
      <w:pPr>
        <w:pStyle w:val="Tiret2"/>
        <w:spacing w:line="240" w:lineRule="auto"/>
      </w:pPr>
      <w:r w:rsidRPr="0036137B">
        <w:t>2025 – 2 332 milijonov EUR,</w:t>
      </w:r>
    </w:p>
    <w:p w:rsidR="003A39B8" w:rsidRPr="0036137B" w:rsidRDefault="003A39B8" w:rsidP="003A39B8">
      <w:pPr>
        <w:pStyle w:val="Tiret2"/>
        <w:numPr>
          <w:ilvl w:val="0"/>
          <w:numId w:val="46"/>
        </w:numPr>
        <w:spacing w:line="240" w:lineRule="auto"/>
      </w:pPr>
      <w:r w:rsidRPr="0036137B">
        <w:t>2026 – 3 196 milijonov EUR,</w:t>
      </w:r>
    </w:p>
    <w:p w:rsidR="003A39B8" w:rsidRPr="0036137B" w:rsidRDefault="003A39B8" w:rsidP="003A39B8">
      <w:pPr>
        <w:pStyle w:val="Tiret2"/>
        <w:numPr>
          <w:ilvl w:val="0"/>
          <w:numId w:val="46"/>
        </w:numPr>
        <w:spacing w:line="240" w:lineRule="auto"/>
      </w:pPr>
      <w:r w:rsidRPr="0036137B">
        <w:t>2027 – 4 168 milijonov EUR.</w:t>
      </w:r>
    </w:p>
    <w:p w:rsidR="003A39B8" w:rsidRPr="0036137B" w:rsidRDefault="003A39B8" w:rsidP="003A39B8">
      <w:pPr>
        <w:pStyle w:val="Point1"/>
        <w:spacing w:line="240" w:lineRule="auto"/>
      </w:pPr>
      <w:r w:rsidRPr="0036137B">
        <w:t>2.</w:t>
      </w:r>
      <w:r w:rsidRPr="0036137B">
        <w:tab/>
        <w:t xml:space="preserve">Evropski parlament in Svet lahko instrument EURI uporabita v okviru proračunskega postopka iz člena 314 PDEU šele po iskanju drugih sredstev financiranja za kritje znatnega dela zneskov, ki presegajo zneske iz odstavka 1 tega člena, v skladu z veljavnimi sektorskimi pravili in drugimi pravnimi obveznostmi, pri čemer bodo upoštevane prednostne naloge, preudarno oblikovanje proračuna in dobro finančno </w:t>
      </w:r>
      <w:proofErr w:type="spellStart"/>
      <w:r w:rsidRPr="0036137B">
        <w:t>poslovodenje</w:t>
      </w:r>
      <w:proofErr w:type="spellEnd"/>
      <w:r w:rsidRPr="0036137B">
        <w:t>.</w:t>
      </w:r>
    </w:p>
    <w:p w:rsidR="003A39B8" w:rsidRPr="0036137B" w:rsidRDefault="003A39B8" w:rsidP="003A39B8">
      <w:pPr>
        <w:pStyle w:val="Text2"/>
        <w:spacing w:line="240" w:lineRule="auto"/>
      </w:pPr>
      <w:r w:rsidRPr="0036137B">
        <w:br w:type="page"/>
        <w:t>Odobritve za instrument EURI se dajo na voljo nad zgornjimi mejami večletnega finančnega okvira.</w:t>
      </w:r>
    </w:p>
    <w:p w:rsidR="003A39B8" w:rsidRPr="0036137B" w:rsidRDefault="003A39B8" w:rsidP="003A39B8">
      <w:pPr>
        <w:pStyle w:val="Point1"/>
        <w:spacing w:line="240" w:lineRule="auto"/>
      </w:pPr>
      <w:r w:rsidRPr="0036137B">
        <w:t>3.</w:t>
      </w:r>
      <w:r w:rsidRPr="0036137B">
        <w:tab/>
        <w:t>Instrument EURI vključuje naslednje:</w:t>
      </w:r>
    </w:p>
    <w:p w:rsidR="003A39B8" w:rsidRPr="0036137B" w:rsidRDefault="003A39B8" w:rsidP="003A39B8">
      <w:pPr>
        <w:pStyle w:val="Point2"/>
        <w:spacing w:line="240" w:lineRule="auto"/>
      </w:pPr>
      <w:r w:rsidRPr="0036137B">
        <w:t>(a)</w:t>
      </w:r>
      <w:r w:rsidRPr="0036137B">
        <w:tab/>
        <w:t>znesek, enak sproščenim odobritvam, ki niso zunanji namenski prejemki, izvršenih kumulativno od leta 2021 in ki v prejšnjih letih niso bile uporabljene v okviru tega instrumenta, razen zneskov sproščenih obveznosti, ki so bile ponovno dane na voljo v skladu z določbami člena 15 finančne uredbe in posebnimi pravili o ponovnem dajanju odobritev na voljo, kot je navedeno v ustreznih temeljnih aktih. Ta znesek se porabi najprej,</w:t>
      </w:r>
    </w:p>
    <w:p w:rsidR="003A39B8" w:rsidRPr="0036137B" w:rsidRDefault="003A39B8" w:rsidP="003A39B8">
      <w:pPr>
        <w:pStyle w:val="Point2"/>
        <w:spacing w:line="240" w:lineRule="auto"/>
      </w:pPr>
      <w:r w:rsidRPr="0036137B">
        <w:t>(b)</w:t>
      </w:r>
      <w:r w:rsidRPr="0036137B">
        <w:tab/>
        <w:t>a le, če znesek iz točke (a) tega odstavka ne zadošča, dodatni znesek pa je potreben za financiranje stroškov in odstavka 1 v zadevnem letu v celoti.</w:t>
      </w:r>
    </w:p>
    <w:p w:rsidR="003A39B8" w:rsidRPr="0036137B" w:rsidRDefault="003A39B8" w:rsidP="003A39B8">
      <w:pPr>
        <w:pStyle w:val="Text3"/>
        <w:spacing w:line="240" w:lineRule="auto"/>
        <w:ind w:left="1418"/>
      </w:pPr>
      <w:r w:rsidRPr="0036137B">
        <w:t>Komisija vsako leto v okviru tehničnih prilagoditev iz člena 4 izračuna razpoložljivi znesek na podlagi tega odstavka, prvi pododstavek, točka (a), pri čemer upošteva zneske, ki so bili v ta namen upoštevani v prejšnjih letih.</w:t>
      </w:r>
    </w:p>
    <w:p w:rsidR="003A39B8" w:rsidRPr="0036137B" w:rsidRDefault="003A39B8" w:rsidP="003A39B8">
      <w:pPr>
        <w:pStyle w:val="Text1"/>
        <w:spacing w:line="240" w:lineRule="auto"/>
        <w:rPr>
          <w:i/>
          <w:iCs/>
        </w:rPr>
      </w:pPr>
      <w:r w:rsidRPr="0036137B">
        <w:br w:type="page"/>
      </w:r>
      <w:r w:rsidRPr="0036137B">
        <w:rPr>
          <w:i/>
        </w:rPr>
        <w:t>Člen 10b</w:t>
      </w:r>
      <w:r w:rsidRPr="0036137B">
        <w:rPr>
          <w:i/>
        </w:rPr>
        <w:br/>
        <w:t>Rezerva za Ukrajino</w:t>
      </w:r>
    </w:p>
    <w:p w:rsidR="003A39B8" w:rsidRPr="0036137B" w:rsidRDefault="003A39B8" w:rsidP="003A39B8">
      <w:pPr>
        <w:pStyle w:val="Point1"/>
        <w:spacing w:line="240" w:lineRule="auto"/>
      </w:pPr>
      <w:r w:rsidRPr="0036137B">
        <w:t>1.</w:t>
      </w:r>
      <w:r w:rsidRPr="0036137B">
        <w:tab/>
        <w:t>Rezerva za Ukrajino se lahko uporabi izključno za financiranje odhodkov v okviru Uredbe (EU) 2024/....</w:t>
      </w:r>
      <w:r w:rsidRPr="0036137B">
        <w:rPr>
          <w:rStyle w:val="FootnoteReference"/>
        </w:rPr>
        <w:footnoteReference w:customMarkFollows="1" w:id="11"/>
        <w:t>+</w:t>
      </w:r>
      <w:r w:rsidRPr="0036137B">
        <w:t>.</w:t>
      </w:r>
    </w:p>
    <w:p w:rsidR="003A39B8" w:rsidRPr="0036137B" w:rsidRDefault="003A39B8" w:rsidP="003A39B8">
      <w:pPr>
        <w:pStyle w:val="Point1"/>
        <w:spacing w:line="240" w:lineRule="auto"/>
      </w:pPr>
      <w:r w:rsidRPr="0036137B">
        <w:t>2.</w:t>
      </w:r>
      <w:r w:rsidRPr="0036137B">
        <w:tab/>
        <w:t>Rezerva za Ukrajino ne presega 17 000 milijonov EUR v tekočih cenah za obdobje 2024–2027.</w:t>
      </w:r>
    </w:p>
    <w:p w:rsidR="003A39B8" w:rsidRPr="0036137B" w:rsidRDefault="003A39B8" w:rsidP="003A39B8">
      <w:pPr>
        <w:pStyle w:val="Point1"/>
        <w:spacing w:line="240" w:lineRule="auto"/>
      </w:pPr>
      <w:r w:rsidRPr="0036137B">
        <w:t>3.</w:t>
      </w:r>
      <w:r w:rsidRPr="0036137B">
        <w:tab/>
        <w:t>Letni znesek, mobiliziran v okviru rezerve za Ukrajino v danem letu, ne presega 5 000 milijonov EUR v tekočih cenah. Brez poseganja v skupni znesek iz odstavka 2 se lahko neporabljeni del letnega zneska v danem letu uporabi v naslednjih letih do leta 2027.</w:t>
      </w:r>
    </w:p>
    <w:p w:rsidR="003A39B8" w:rsidRPr="0036137B" w:rsidRDefault="003A39B8" w:rsidP="003A39B8">
      <w:pPr>
        <w:pStyle w:val="Point1"/>
        <w:spacing w:line="240" w:lineRule="auto"/>
      </w:pPr>
      <w:r w:rsidRPr="0036137B">
        <w:t>4.</w:t>
      </w:r>
      <w:r w:rsidRPr="0036137B">
        <w:tab/>
        <w:t>Evropski parlament in Svet lahko rezervo za Ukrajino uporabita v okviru proračunskega postopka iz člena 314 PDEU.</w:t>
      </w:r>
    </w:p>
    <w:p w:rsidR="003A39B8" w:rsidRPr="0036137B" w:rsidRDefault="003A39B8" w:rsidP="003A39B8">
      <w:pPr>
        <w:pStyle w:val="Point1"/>
        <w:spacing w:line="240" w:lineRule="auto"/>
      </w:pPr>
      <w:r w:rsidRPr="0036137B">
        <w:t>________________</w:t>
      </w:r>
    </w:p>
    <w:p w:rsidR="003A39B8" w:rsidRPr="0036137B" w:rsidRDefault="003A39B8" w:rsidP="003A39B8">
      <w:pPr>
        <w:pStyle w:val="Point1"/>
        <w:spacing w:before="0" w:after="0" w:line="240" w:lineRule="auto"/>
        <w:ind w:left="1418"/>
      </w:pPr>
      <w:r w:rsidRPr="0036137B">
        <w:rPr>
          <w:vertAlign w:val="superscript"/>
        </w:rPr>
        <w:t>*</w:t>
      </w:r>
      <w:r w:rsidRPr="0036137B">
        <w:tab/>
        <w:t>Sklep Sveta (EU, Euratom) 2020/2053 z dne 14. decembra 2020 o sistemu virov lastnih sredstev Evropske unije in razveljavitvi Sklepa 2014/335/EU, Euratom (UL L 424, 15.12.2020, str. 1).“;</w:t>
      </w:r>
    </w:p>
    <w:p w:rsidR="003A39B8" w:rsidRPr="0036137B" w:rsidRDefault="003A39B8" w:rsidP="003A39B8">
      <w:pPr>
        <w:pStyle w:val="Point0"/>
        <w:spacing w:line="240" w:lineRule="auto"/>
      </w:pPr>
      <w:r w:rsidRPr="0036137B">
        <w:br w:type="page"/>
        <w:t>(7)</w:t>
      </w:r>
      <w:r w:rsidRPr="0036137B">
        <w:tab/>
        <w:t>v členu 11 se vstavi naslednji odstavek:</w:t>
      </w:r>
    </w:p>
    <w:p w:rsidR="003A39B8" w:rsidRPr="0036137B" w:rsidRDefault="003A39B8" w:rsidP="003A39B8">
      <w:pPr>
        <w:pStyle w:val="Point1"/>
        <w:spacing w:line="240" w:lineRule="auto"/>
      </w:pPr>
      <w:r w:rsidRPr="0036137B">
        <w:t>„3a.</w:t>
      </w:r>
      <w:r w:rsidRPr="0036137B">
        <w:tab/>
        <w:t>Najvišji znesek za letno prilagoditev iz odstavka 3 tega člena za leto 2026, povečan za znesek iz drugega pododstavka člena 5(2), se prilagodi za znesek, ki ustreza neporabljenemu delu najvišjega zneska za leto 2025.“;</w:t>
      </w:r>
    </w:p>
    <w:p w:rsidR="003A39B8" w:rsidRPr="0036137B" w:rsidRDefault="003A39B8" w:rsidP="003A39B8">
      <w:pPr>
        <w:pStyle w:val="Point0"/>
        <w:spacing w:line="240" w:lineRule="auto"/>
      </w:pPr>
      <w:r w:rsidRPr="0036137B">
        <w:t>(8)</w:t>
      </w:r>
      <w:r w:rsidRPr="0036137B">
        <w:tab/>
        <w:t>člen 12 se nadomesti z naslednjim:</w:t>
      </w:r>
    </w:p>
    <w:p w:rsidR="003A39B8" w:rsidRPr="0036137B" w:rsidRDefault="003A39B8" w:rsidP="003A39B8">
      <w:pPr>
        <w:pStyle w:val="Text1"/>
        <w:spacing w:line="240" w:lineRule="auto"/>
        <w:rPr>
          <w:i/>
          <w:iCs/>
        </w:rPr>
      </w:pPr>
      <w:r w:rsidRPr="0036137B">
        <w:rPr>
          <w:i/>
        </w:rPr>
        <w:t>„Člen 12</w:t>
      </w:r>
      <w:r w:rsidRPr="0036137B">
        <w:rPr>
          <w:i/>
        </w:rPr>
        <w:br/>
        <w:t>Instrument prilagodljivosti</w:t>
      </w:r>
    </w:p>
    <w:p w:rsidR="003A39B8" w:rsidRPr="0036137B" w:rsidRDefault="003A39B8" w:rsidP="003A39B8">
      <w:pPr>
        <w:pStyle w:val="Point1"/>
        <w:spacing w:line="240" w:lineRule="auto"/>
      </w:pPr>
      <w:r w:rsidRPr="0036137B">
        <w:t>1.</w:t>
      </w:r>
      <w:r w:rsidRPr="0036137B">
        <w:tab/>
        <w:t>Instrument prilagodljivosti se lahko v danem proračunskem letu uporabi za financiranje posebnih nepredvidenih odhodkov v odobritvah za prevzem obveznosti in ustreznih odobritvah plačil, ki jih ni mogoče financirati v okviru zgornjih mej, ki so na razpolago za enega ali več drugih razdelkov. Zgornja meja letnega zneska, ki je na razpolago za instrument prilagodljivosti v letih 2021 do 2023, je 915 milijonov EUR (v cenah iz leta 2018). Zgornja meja letnega zneska, ki je na razpolago za instrument prilagodljivosti v letih 2024 do 2027, je 1 346 milijonov EUR (v cenah iz leta 2018).</w:t>
      </w:r>
    </w:p>
    <w:p w:rsidR="003A39B8" w:rsidRPr="0036137B" w:rsidRDefault="003A39B8" w:rsidP="003A39B8">
      <w:pPr>
        <w:pStyle w:val="Text2"/>
        <w:spacing w:line="240" w:lineRule="auto"/>
      </w:pPr>
      <w:r w:rsidRPr="0036137B">
        <w:t>Letni znesek, ki je na razpolago za instrument prilagodljivosti, se vsako leto poveča za znesek, enak delom letnih zneskov za evropsko rezervo za solidarnost in rezervo za nujno pomoč, ki so zapadli v preteklem letu v skladu s členom 9.</w:t>
      </w:r>
    </w:p>
    <w:p w:rsidR="003A39B8" w:rsidRPr="0036137B" w:rsidRDefault="003A39B8" w:rsidP="003A39B8">
      <w:pPr>
        <w:pStyle w:val="Point1"/>
        <w:spacing w:line="240" w:lineRule="auto"/>
      </w:pPr>
      <w:r w:rsidRPr="0036137B">
        <w:br w:type="page"/>
        <w:t>2.</w:t>
      </w:r>
      <w:r w:rsidRPr="0036137B">
        <w:rPr>
          <w:rStyle w:val="Bodytext1"/>
        </w:rPr>
        <w:tab/>
      </w:r>
      <w:r w:rsidRPr="0036137B">
        <w:t>Neporabljeni del letnega zneska instrumenta prilagodljivosti se lahko porabi do leta n+2. Najprej se porabijo vsi deli letnega zneska iz prejšnjih let, od najstarejšega dalje. Vsi deli letnega zneska iz leta n, ki se ne porabijo do leta n+2, zapadejo.“;</w:t>
      </w:r>
    </w:p>
    <w:p w:rsidR="003A39B8" w:rsidRPr="0036137B" w:rsidRDefault="003A39B8" w:rsidP="003A39B8">
      <w:pPr>
        <w:pStyle w:val="Point0"/>
        <w:spacing w:line="240" w:lineRule="auto"/>
      </w:pPr>
      <w:r w:rsidRPr="0036137B">
        <w:t>(9)</w:t>
      </w:r>
      <w:r w:rsidRPr="0036137B">
        <w:tab/>
        <w:t>Prilogi I in II se nadomestita z besedilom iz Priloge k tej uredbi.</w:t>
      </w:r>
    </w:p>
    <w:p w:rsidR="003A39B8" w:rsidRPr="0036137B" w:rsidRDefault="003A39B8" w:rsidP="003A39B8">
      <w:pPr>
        <w:pStyle w:val="Titrearticle"/>
      </w:pPr>
      <w:r w:rsidRPr="0036137B">
        <w:t>Člen 2</w:t>
      </w:r>
    </w:p>
    <w:p w:rsidR="003A39B8" w:rsidRPr="0036137B" w:rsidRDefault="003A39B8" w:rsidP="003A39B8">
      <w:r w:rsidRPr="0036137B">
        <w:t xml:space="preserve">Ta uredba začne veljati na dan objave v </w:t>
      </w:r>
      <w:r w:rsidRPr="0036137B">
        <w:rPr>
          <w:i/>
        </w:rPr>
        <w:t>Uradnem listu Evropske unije</w:t>
      </w:r>
      <w:r w:rsidRPr="0036137B">
        <w:t>.</w:t>
      </w:r>
    </w:p>
    <w:p w:rsidR="003A39B8" w:rsidRPr="0036137B" w:rsidRDefault="003A39B8" w:rsidP="003A39B8"/>
    <w:p w:rsidR="003A39B8" w:rsidRPr="0036137B" w:rsidRDefault="003A39B8" w:rsidP="003A39B8">
      <w:r w:rsidRPr="0036137B">
        <w:t>Uporablja se od 1. januarja 2024.</w:t>
      </w:r>
    </w:p>
    <w:p w:rsidR="003A39B8" w:rsidRPr="0036137B" w:rsidRDefault="003A39B8" w:rsidP="003A39B8">
      <w:pPr>
        <w:pStyle w:val="Applicationdirecte"/>
        <w:spacing w:before="240"/>
      </w:pPr>
      <w:r w:rsidRPr="0036137B">
        <w:t>Ta uredba je v celoti zavezujoča in se neposredno uporablja v vseh državah članicah.</w:t>
      </w:r>
    </w:p>
    <w:p w:rsidR="003A39B8" w:rsidRPr="0036137B" w:rsidRDefault="003A39B8" w:rsidP="003A39B8">
      <w:pPr>
        <w:pStyle w:val="Fait"/>
      </w:pPr>
      <w:r w:rsidRPr="0036137B">
        <w:t>V ...,</w:t>
      </w:r>
    </w:p>
    <w:p w:rsidR="003A39B8" w:rsidRPr="0036137B" w:rsidRDefault="003A39B8" w:rsidP="003A39B8">
      <w:pPr>
        <w:pStyle w:val="Institutionquisigne"/>
      </w:pPr>
      <w:r w:rsidRPr="0036137B">
        <w:tab/>
        <w:t>Za Svet</w:t>
      </w:r>
    </w:p>
    <w:p w:rsidR="003A39B8" w:rsidRPr="0036137B" w:rsidRDefault="003A39B8" w:rsidP="003A39B8">
      <w:pPr>
        <w:pStyle w:val="Personnequisigne"/>
      </w:pPr>
      <w:r w:rsidRPr="0036137B">
        <w:tab/>
        <w:t>predsednik</w:t>
      </w:r>
    </w:p>
    <w:p w:rsidR="003A39B8" w:rsidRPr="0036137B" w:rsidRDefault="003A39B8" w:rsidP="003A39B8">
      <w:pPr>
        <w:pStyle w:val="Lignefinal"/>
      </w:pPr>
    </w:p>
    <w:p w:rsidR="003A39B8" w:rsidRPr="0036137B" w:rsidRDefault="003A39B8" w:rsidP="003A39B8">
      <w:pPr>
        <w:sectPr w:rsidR="003A39B8" w:rsidRPr="0036137B" w:rsidSect="0036137B">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7" w:h="16839"/>
          <w:pgMar w:top="1134" w:right="1134" w:bottom="1134" w:left="1134" w:header="567" w:footer="567" w:gutter="0"/>
          <w:cols w:space="720"/>
          <w:docGrid w:linePitch="360"/>
        </w:sectPr>
      </w:pPr>
    </w:p>
    <w:p w:rsidR="003A39B8" w:rsidRPr="0036137B" w:rsidRDefault="003A39B8" w:rsidP="003A39B8">
      <w:pPr>
        <w:pStyle w:val="Annexetitre"/>
      </w:pPr>
      <w:r w:rsidRPr="0036137B">
        <w:t>PRILOGA</w:t>
      </w:r>
    </w:p>
    <w:p w:rsidR="003A39B8" w:rsidRPr="0036137B" w:rsidRDefault="003A39B8" w:rsidP="003A39B8">
      <w:pPr>
        <w:pStyle w:val="NormalCentered"/>
        <w:rPr>
          <w:szCs w:val="24"/>
        </w:rPr>
      </w:pPr>
      <w:r w:rsidRPr="0036137B">
        <w:t>„PRILOGA I</w:t>
      </w:r>
      <w:r w:rsidRPr="0036137B">
        <w:br/>
        <w:t>VEČLETNI FINANČNI OKVIR (EU-27)</w:t>
      </w:r>
    </w:p>
    <w:tbl>
      <w:tblPr>
        <w:tblW w:w="5073" w:type="pct"/>
        <w:tblLayout w:type="fixed"/>
        <w:tblLook w:val="04A0" w:firstRow="1" w:lastRow="0" w:firstColumn="1" w:lastColumn="0" w:noHBand="0" w:noVBand="1"/>
      </w:tblPr>
      <w:tblGrid>
        <w:gridCol w:w="5582"/>
        <w:gridCol w:w="1014"/>
        <w:gridCol w:w="1015"/>
        <w:gridCol w:w="1015"/>
        <w:gridCol w:w="1015"/>
        <w:gridCol w:w="1012"/>
        <w:gridCol w:w="1009"/>
        <w:gridCol w:w="986"/>
        <w:gridCol w:w="1847"/>
      </w:tblGrid>
      <w:tr w:rsidR="003A39B8" w:rsidRPr="0036137B" w:rsidTr="005D3256">
        <w:trPr>
          <w:trHeight w:val="315"/>
          <w:tblHeader/>
        </w:trPr>
        <w:tc>
          <w:tcPr>
            <w:tcW w:w="1926" w:type="pct"/>
            <w:tcBorders>
              <w:top w:val="nil"/>
              <w:left w:val="nil"/>
              <w:bottom w:val="nil"/>
              <w:right w:val="nil"/>
            </w:tcBorders>
            <w:shd w:val="clear" w:color="auto" w:fill="auto"/>
            <w:noWrap/>
            <w:vAlign w:val="bottom"/>
            <w:hideMark/>
          </w:tcPr>
          <w:p w:rsidR="003A39B8" w:rsidRPr="0036137B" w:rsidRDefault="003A39B8" w:rsidP="005D3256">
            <w:pPr>
              <w:spacing w:before="60" w:after="60"/>
            </w:pPr>
          </w:p>
        </w:tc>
        <w:tc>
          <w:tcPr>
            <w:tcW w:w="350" w:type="pct"/>
            <w:tcBorders>
              <w:top w:val="nil"/>
              <w:left w:val="nil"/>
              <w:bottom w:val="nil"/>
              <w:right w:val="nil"/>
            </w:tcBorders>
            <w:shd w:val="clear" w:color="auto" w:fill="auto"/>
            <w:noWrap/>
            <w:vAlign w:val="bottom"/>
            <w:hideMark/>
          </w:tcPr>
          <w:p w:rsidR="003A39B8" w:rsidRPr="0036137B" w:rsidRDefault="003A39B8" w:rsidP="005D3256">
            <w:pPr>
              <w:spacing w:before="60" w:after="60"/>
            </w:pPr>
          </w:p>
        </w:tc>
        <w:tc>
          <w:tcPr>
            <w:tcW w:w="350" w:type="pct"/>
            <w:tcBorders>
              <w:top w:val="nil"/>
              <w:left w:val="nil"/>
              <w:bottom w:val="nil"/>
              <w:right w:val="nil"/>
            </w:tcBorders>
            <w:shd w:val="clear" w:color="auto" w:fill="auto"/>
            <w:noWrap/>
            <w:vAlign w:val="bottom"/>
            <w:hideMark/>
          </w:tcPr>
          <w:p w:rsidR="003A39B8" w:rsidRPr="0036137B" w:rsidRDefault="003A39B8" w:rsidP="005D3256">
            <w:pPr>
              <w:spacing w:before="60" w:after="60"/>
            </w:pPr>
          </w:p>
        </w:tc>
        <w:tc>
          <w:tcPr>
            <w:tcW w:w="350" w:type="pct"/>
            <w:tcBorders>
              <w:top w:val="nil"/>
              <w:left w:val="nil"/>
              <w:bottom w:val="nil"/>
              <w:right w:val="nil"/>
            </w:tcBorders>
            <w:shd w:val="clear" w:color="auto" w:fill="auto"/>
            <w:noWrap/>
            <w:vAlign w:val="bottom"/>
            <w:hideMark/>
          </w:tcPr>
          <w:p w:rsidR="003A39B8" w:rsidRPr="0036137B" w:rsidRDefault="003A39B8" w:rsidP="005D3256">
            <w:pPr>
              <w:spacing w:before="60" w:after="60"/>
            </w:pPr>
          </w:p>
        </w:tc>
        <w:tc>
          <w:tcPr>
            <w:tcW w:w="350" w:type="pct"/>
            <w:tcBorders>
              <w:top w:val="nil"/>
              <w:left w:val="nil"/>
              <w:bottom w:val="nil"/>
              <w:right w:val="nil"/>
            </w:tcBorders>
            <w:shd w:val="clear" w:color="auto" w:fill="auto"/>
            <w:noWrap/>
            <w:vAlign w:val="bottom"/>
            <w:hideMark/>
          </w:tcPr>
          <w:p w:rsidR="003A39B8" w:rsidRPr="0036137B" w:rsidRDefault="003A39B8" w:rsidP="005D3256">
            <w:pPr>
              <w:spacing w:before="60" w:after="60"/>
            </w:pPr>
          </w:p>
        </w:tc>
        <w:tc>
          <w:tcPr>
            <w:tcW w:w="349" w:type="pct"/>
            <w:tcBorders>
              <w:top w:val="nil"/>
              <w:left w:val="nil"/>
              <w:bottom w:val="nil"/>
              <w:right w:val="nil"/>
            </w:tcBorders>
            <w:shd w:val="clear" w:color="auto" w:fill="auto"/>
            <w:noWrap/>
            <w:vAlign w:val="bottom"/>
            <w:hideMark/>
          </w:tcPr>
          <w:p w:rsidR="003A39B8" w:rsidRPr="0036137B" w:rsidRDefault="003A39B8" w:rsidP="005D3256">
            <w:pPr>
              <w:spacing w:before="60" w:after="60"/>
            </w:pPr>
          </w:p>
        </w:tc>
        <w:tc>
          <w:tcPr>
            <w:tcW w:w="1326" w:type="pct"/>
            <w:gridSpan w:val="3"/>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pPr>
            <w:r w:rsidRPr="0036137B">
              <w:t>(</w:t>
            </w:r>
            <w:r w:rsidRPr="0036137B">
              <w:rPr>
                <w:i/>
              </w:rPr>
              <w:t>v mio. EUR – v cenah iz leta 2018)</w:t>
            </w:r>
            <w:r w:rsidRPr="0036137B">
              <w:t>)</w:t>
            </w:r>
          </w:p>
        </w:tc>
      </w:tr>
      <w:tr w:rsidR="003A39B8" w:rsidRPr="0036137B" w:rsidTr="005D3256">
        <w:trPr>
          <w:trHeight w:val="645"/>
          <w:tblHeader/>
        </w:trPr>
        <w:tc>
          <w:tcPr>
            <w:tcW w:w="1926"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3A39B8" w:rsidRPr="0036137B" w:rsidRDefault="003A39B8" w:rsidP="005D3256">
            <w:pPr>
              <w:spacing w:before="60" w:after="60"/>
              <w:jc w:val="center"/>
              <w:rPr>
                <w:b/>
                <w:bCs/>
              </w:rPr>
            </w:pPr>
            <w:r w:rsidRPr="0036137B">
              <w:rPr>
                <w:b/>
              </w:rPr>
              <w:t>ODOBRITVE ZA PREVZEM OBVEZNOSTI</w:t>
            </w:r>
          </w:p>
        </w:tc>
        <w:tc>
          <w:tcPr>
            <w:tcW w:w="350" w:type="pct"/>
            <w:tcBorders>
              <w:top w:val="single" w:sz="8" w:space="0" w:color="auto"/>
              <w:left w:val="nil"/>
              <w:bottom w:val="single" w:sz="8" w:space="0" w:color="auto"/>
              <w:right w:val="nil"/>
            </w:tcBorders>
            <w:shd w:val="clear" w:color="auto" w:fill="auto"/>
            <w:noWrap/>
            <w:vAlign w:val="center"/>
            <w:hideMark/>
          </w:tcPr>
          <w:p w:rsidR="003A39B8" w:rsidRPr="0036137B" w:rsidRDefault="003A39B8" w:rsidP="005D3256">
            <w:pPr>
              <w:spacing w:before="60" w:after="60"/>
              <w:jc w:val="center"/>
              <w:rPr>
                <w:b/>
                <w:bCs/>
              </w:rPr>
            </w:pPr>
            <w:r w:rsidRPr="0036137B">
              <w:rPr>
                <w:b/>
              </w:rPr>
              <w:t>2021</w:t>
            </w:r>
          </w:p>
        </w:tc>
        <w:tc>
          <w:tcPr>
            <w:tcW w:w="350" w:type="pct"/>
            <w:tcBorders>
              <w:top w:val="single" w:sz="8" w:space="0" w:color="auto"/>
              <w:left w:val="nil"/>
              <w:bottom w:val="single" w:sz="8" w:space="0" w:color="auto"/>
              <w:right w:val="nil"/>
            </w:tcBorders>
            <w:shd w:val="clear" w:color="auto" w:fill="auto"/>
            <w:noWrap/>
            <w:vAlign w:val="center"/>
            <w:hideMark/>
          </w:tcPr>
          <w:p w:rsidR="003A39B8" w:rsidRPr="0036137B" w:rsidRDefault="003A39B8" w:rsidP="005D3256">
            <w:pPr>
              <w:spacing w:before="60" w:after="60"/>
              <w:jc w:val="center"/>
              <w:rPr>
                <w:b/>
                <w:bCs/>
              </w:rPr>
            </w:pPr>
            <w:r w:rsidRPr="0036137B">
              <w:rPr>
                <w:b/>
              </w:rPr>
              <w:t>2022</w:t>
            </w:r>
          </w:p>
        </w:tc>
        <w:tc>
          <w:tcPr>
            <w:tcW w:w="350" w:type="pct"/>
            <w:tcBorders>
              <w:top w:val="single" w:sz="8" w:space="0" w:color="auto"/>
              <w:left w:val="nil"/>
              <w:bottom w:val="single" w:sz="8" w:space="0" w:color="auto"/>
              <w:right w:val="nil"/>
            </w:tcBorders>
            <w:shd w:val="clear" w:color="auto" w:fill="auto"/>
            <w:noWrap/>
            <w:vAlign w:val="center"/>
            <w:hideMark/>
          </w:tcPr>
          <w:p w:rsidR="003A39B8" w:rsidRPr="0036137B" w:rsidRDefault="003A39B8" w:rsidP="005D3256">
            <w:pPr>
              <w:spacing w:before="60" w:after="60"/>
              <w:jc w:val="center"/>
              <w:rPr>
                <w:b/>
                <w:bCs/>
              </w:rPr>
            </w:pPr>
            <w:r w:rsidRPr="0036137B">
              <w:rPr>
                <w:b/>
              </w:rPr>
              <w:t>2023</w:t>
            </w:r>
          </w:p>
        </w:tc>
        <w:tc>
          <w:tcPr>
            <w:tcW w:w="350" w:type="pct"/>
            <w:tcBorders>
              <w:top w:val="single" w:sz="8" w:space="0" w:color="auto"/>
              <w:left w:val="nil"/>
              <w:bottom w:val="single" w:sz="8" w:space="0" w:color="auto"/>
              <w:right w:val="nil"/>
            </w:tcBorders>
            <w:shd w:val="clear" w:color="auto" w:fill="auto"/>
            <w:noWrap/>
            <w:vAlign w:val="center"/>
            <w:hideMark/>
          </w:tcPr>
          <w:p w:rsidR="003A39B8" w:rsidRPr="0036137B" w:rsidRDefault="003A39B8" w:rsidP="005D3256">
            <w:pPr>
              <w:spacing w:before="60" w:after="60"/>
              <w:jc w:val="center"/>
              <w:rPr>
                <w:b/>
                <w:bCs/>
              </w:rPr>
            </w:pPr>
            <w:r w:rsidRPr="0036137B">
              <w:rPr>
                <w:b/>
              </w:rPr>
              <w:t>2024</w:t>
            </w:r>
          </w:p>
        </w:tc>
        <w:tc>
          <w:tcPr>
            <w:tcW w:w="349" w:type="pct"/>
            <w:tcBorders>
              <w:top w:val="single" w:sz="8" w:space="0" w:color="auto"/>
              <w:left w:val="nil"/>
              <w:bottom w:val="single" w:sz="8" w:space="0" w:color="auto"/>
              <w:right w:val="nil"/>
            </w:tcBorders>
            <w:shd w:val="clear" w:color="auto" w:fill="auto"/>
            <w:noWrap/>
            <w:vAlign w:val="center"/>
            <w:hideMark/>
          </w:tcPr>
          <w:p w:rsidR="003A39B8" w:rsidRPr="0036137B" w:rsidRDefault="003A39B8" w:rsidP="005D3256">
            <w:pPr>
              <w:spacing w:before="60" w:after="60"/>
              <w:jc w:val="center"/>
              <w:rPr>
                <w:b/>
                <w:bCs/>
              </w:rPr>
            </w:pPr>
            <w:r w:rsidRPr="0036137B">
              <w:rPr>
                <w:b/>
              </w:rPr>
              <w:t>2025</w:t>
            </w:r>
          </w:p>
        </w:tc>
        <w:tc>
          <w:tcPr>
            <w:tcW w:w="348" w:type="pct"/>
            <w:tcBorders>
              <w:top w:val="single" w:sz="8" w:space="0" w:color="auto"/>
              <w:left w:val="nil"/>
              <w:bottom w:val="single" w:sz="8" w:space="0" w:color="auto"/>
              <w:right w:val="nil"/>
            </w:tcBorders>
            <w:shd w:val="clear" w:color="auto" w:fill="auto"/>
            <w:noWrap/>
            <w:vAlign w:val="center"/>
            <w:hideMark/>
          </w:tcPr>
          <w:p w:rsidR="003A39B8" w:rsidRPr="0036137B" w:rsidRDefault="003A39B8" w:rsidP="005D3256">
            <w:pPr>
              <w:spacing w:before="60" w:after="60"/>
              <w:jc w:val="center"/>
              <w:rPr>
                <w:b/>
                <w:bCs/>
              </w:rPr>
            </w:pPr>
            <w:r w:rsidRPr="0036137B">
              <w:rPr>
                <w:b/>
              </w:rPr>
              <w:t>2026</w:t>
            </w:r>
          </w:p>
        </w:tc>
        <w:tc>
          <w:tcPr>
            <w:tcW w:w="340" w:type="pct"/>
            <w:tcBorders>
              <w:top w:val="single" w:sz="8" w:space="0" w:color="auto"/>
              <w:left w:val="nil"/>
              <w:bottom w:val="single" w:sz="8" w:space="0" w:color="auto"/>
              <w:right w:val="nil"/>
            </w:tcBorders>
            <w:shd w:val="clear" w:color="auto" w:fill="auto"/>
            <w:noWrap/>
            <w:vAlign w:val="center"/>
            <w:hideMark/>
          </w:tcPr>
          <w:p w:rsidR="003A39B8" w:rsidRPr="0036137B" w:rsidRDefault="003A39B8" w:rsidP="005D3256">
            <w:pPr>
              <w:spacing w:before="60" w:after="60"/>
              <w:jc w:val="center"/>
              <w:rPr>
                <w:b/>
                <w:bCs/>
              </w:rPr>
            </w:pPr>
            <w:r w:rsidRPr="0036137B">
              <w:rPr>
                <w:b/>
              </w:rPr>
              <w:t>2027</w:t>
            </w:r>
          </w:p>
        </w:tc>
        <w:tc>
          <w:tcPr>
            <w:tcW w:w="638" w:type="pct"/>
            <w:tcBorders>
              <w:top w:val="single" w:sz="8" w:space="0" w:color="auto"/>
              <w:left w:val="single" w:sz="4" w:space="0" w:color="auto"/>
              <w:bottom w:val="single" w:sz="8" w:space="0" w:color="auto"/>
              <w:right w:val="single" w:sz="8" w:space="0" w:color="auto"/>
            </w:tcBorders>
            <w:shd w:val="clear" w:color="auto" w:fill="auto"/>
            <w:vAlign w:val="center"/>
            <w:hideMark/>
          </w:tcPr>
          <w:p w:rsidR="003A39B8" w:rsidRPr="0036137B" w:rsidRDefault="003A39B8" w:rsidP="005D3256">
            <w:pPr>
              <w:spacing w:before="60" w:after="60"/>
              <w:jc w:val="center"/>
              <w:rPr>
                <w:b/>
                <w:bCs/>
              </w:rPr>
            </w:pPr>
            <w:r w:rsidRPr="0036137B">
              <w:rPr>
                <w:b/>
              </w:rPr>
              <w:t>Skupaj</w:t>
            </w:r>
            <w:r w:rsidRPr="0036137B">
              <w:rPr>
                <w:b/>
              </w:rPr>
              <w:br/>
              <w:t>2021–2027</w:t>
            </w:r>
          </w:p>
        </w:tc>
      </w:tr>
      <w:tr w:rsidR="003A39B8" w:rsidRPr="0036137B" w:rsidTr="005D3256">
        <w:trPr>
          <w:trHeight w:val="300"/>
        </w:trPr>
        <w:tc>
          <w:tcPr>
            <w:tcW w:w="1926" w:type="pct"/>
            <w:tcBorders>
              <w:top w:val="nil"/>
              <w:left w:val="single" w:sz="8" w:space="0" w:color="auto"/>
              <w:bottom w:val="nil"/>
              <w:right w:val="single" w:sz="4" w:space="0" w:color="auto"/>
            </w:tcBorders>
            <w:shd w:val="clear" w:color="auto" w:fill="auto"/>
            <w:noWrap/>
            <w:vAlign w:val="center"/>
            <w:hideMark/>
          </w:tcPr>
          <w:p w:rsidR="003A39B8" w:rsidRPr="0036137B" w:rsidRDefault="003A39B8" w:rsidP="005D3256">
            <w:pPr>
              <w:spacing w:before="60" w:after="60"/>
              <w:rPr>
                <w:b/>
                <w:bCs/>
              </w:rPr>
            </w:pPr>
            <w:r w:rsidRPr="0036137B">
              <w:rPr>
                <w:b/>
              </w:rPr>
              <w:t>1.</w:t>
            </w:r>
            <w:r w:rsidRPr="0036137B">
              <w:rPr>
                <w:b/>
              </w:rPr>
              <w:tab/>
              <w:t>Enotni trg, inovacije in digitalno</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19 712</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20 211</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19 678</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19 178</w:t>
            </w:r>
          </w:p>
        </w:tc>
        <w:tc>
          <w:tcPr>
            <w:tcW w:w="349"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18 173</w:t>
            </w:r>
          </w:p>
        </w:tc>
        <w:tc>
          <w:tcPr>
            <w:tcW w:w="348"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18 120</w:t>
            </w:r>
          </w:p>
        </w:tc>
        <w:tc>
          <w:tcPr>
            <w:tcW w:w="34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17 565</w:t>
            </w:r>
          </w:p>
        </w:tc>
        <w:tc>
          <w:tcPr>
            <w:tcW w:w="638" w:type="pct"/>
            <w:tcBorders>
              <w:top w:val="nil"/>
              <w:left w:val="single" w:sz="4" w:space="0" w:color="auto"/>
              <w:bottom w:val="nil"/>
              <w:right w:val="single" w:sz="8" w:space="0" w:color="auto"/>
            </w:tcBorders>
            <w:shd w:val="clear" w:color="auto" w:fill="auto"/>
            <w:noWrap/>
            <w:vAlign w:val="center"/>
            <w:hideMark/>
          </w:tcPr>
          <w:p w:rsidR="003A39B8" w:rsidRPr="0036137B" w:rsidRDefault="003A39B8" w:rsidP="005D3256">
            <w:pPr>
              <w:spacing w:before="60" w:after="60"/>
              <w:jc w:val="right"/>
              <w:rPr>
                <w:b/>
                <w:bCs/>
              </w:rPr>
            </w:pPr>
            <w:r w:rsidRPr="0036137B">
              <w:rPr>
                <w:b/>
              </w:rPr>
              <w:t>132 637</w:t>
            </w:r>
          </w:p>
        </w:tc>
      </w:tr>
      <w:tr w:rsidR="003A39B8" w:rsidRPr="0036137B" w:rsidTr="005D3256">
        <w:trPr>
          <w:trHeight w:val="300"/>
        </w:trPr>
        <w:tc>
          <w:tcPr>
            <w:tcW w:w="1926" w:type="pct"/>
            <w:tcBorders>
              <w:top w:val="nil"/>
              <w:left w:val="single" w:sz="8" w:space="0" w:color="auto"/>
              <w:bottom w:val="nil"/>
              <w:right w:val="single" w:sz="4" w:space="0" w:color="auto"/>
            </w:tcBorders>
            <w:shd w:val="clear" w:color="auto" w:fill="auto"/>
            <w:noWrap/>
            <w:vAlign w:val="center"/>
            <w:hideMark/>
          </w:tcPr>
          <w:p w:rsidR="003A39B8" w:rsidRPr="0036137B" w:rsidRDefault="003A39B8" w:rsidP="005D3256">
            <w:pPr>
              <w:spacing w:before="60" w:after="60"/>
              <w:rPr>
                <w:b/>
                <w:bCs/>
              </w:rPr>
            </w:pPr>
            <w:r w:rsidRPr="0036137B">
              <w:rPr>
                <w:b/>
              </w:rPr>
              <w:t>2.</w:t>
            </w:r>
            <w:r w:rsidRPr="0036137B">
              <w:rPr>
                <w:b/>
              </w:rPr>
              <w:tab/>
              <w:t>Kohezija, odpornost in vrednote</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5 996</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62 642</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63 525</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65 079</w:t>
            </w:r>
          </w:p>
        </w:tc>
        <w:tc>
          <w:tcPr>
            <w:tcW w:w="349"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65 184</w:t>
            </w:r>
          </w:p>
        </w:tc>
        <w:tc>
          <w:tcPr>
            <w:tcW w:w="348"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56 675</w:t>
            </w:r>
          </w:p>
        </w:tc>
        <w:tc>
          <w:tcPr>
            <w:tcW w:w="34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58 680</w:t>
            </w:r>
          </w:p>
        </w:tc>
        <w:tc>
          <w:tcPr>
            <w:tcW w:w="638" w:type="pct"/>
            <w:tcBorders>
              <w:top w:val="nil"/>
              <w:left w:val="single" w:sz="4" w:space="0" w:color="auto"/>
              <w:bottom w:val="nil"/>
              <w:right w:val="single" w:sz="8" w:space="0" w:color="auto"/>
            </w:tcBorders>
            <w:shd w:val="clear" w:color="auto" w:fill="auto"/>
            <w:noWrap/>
            <w:vAlign w:val="center"/>
            <w:hideMark/>
          </w:tcPr>
          <w:p w:rsidR="003A39B8" w:rsidRPr="0036137B" w:rsidRDefault="003A39B8" w:rsidP="005D3256">
            <w:pPr>
              <w:spacing w:before="60" w:after="60"/>
              <w:jc w:val="right"/>
              <w:rPr>
                <w:b/>
                <w:bCs/>
              </w:rPr>
            </w:pPr>
            <w:r w:rsidRPr="0036137B">
              <w:rPr>
                <w:b/>
              </w:rPr>
              <w:t>377 781</w:t>
            </w:r>
          </w:p>
        </w:tc>
      </w:tr>
      <w:tr w:rsidR="003A39B8" w:rsidRPr="0036137B" w:rsidTr="005D3256">
        <w:trPr>
          <w:trHeight w:val="300"/>
        </w:trPr>
        <w:tc>
          <w:tcPr>
            <w:tcW w:w="1926" w:type="pct"/>
            <w:tcBorders>
              <w:top w:val="nil"/>
              <w:left w:val="single" w:sz="8" w:space="0" w:color="auto"/>
              <w:bottom w:val="nil"/>
              <w:right w:val="single" w:sz="4" w:space="0" w:color="auto"/>
            </w:tcBorders>
            <w:shd w:val="clear" w:color="auto" w:fill="auto"/>
            <w:noWrap/>
            <w:vAlign w:val="center"/>
            <w:hideMark/>
          </w:tcPr>
          <w:p w:rsidR="003A39B8" w:rsidRPr="0036137B" w:rsidRDefault="003A39B8" w:rsidP="005D3256">
            <w:pPr>
              <w:spacing w:before="60" w:after="60"/>
              <w:ind w:left="1418" w:hanging="698"/>
            </w:pPr>
            <w:r w:rsidRPr="0036137B">
              <w:t>2a.</w:t>
            </w:r>
            <w:r w:rsidRPr="0036137B">
              <w:tab/>
              <w:t>Ekonomska, socialna in teritorialna kohezija</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pPr>
            <w:r w:rsidRPr="0036137B">
              <w:t>1 666</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pPr>
            <w:r w:rsidRPr="0036137B">
              <w:t>56 673</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pPr>
            <w:r w:rsidRPr="0036137B">
              <w:t>57 005</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pPr>
            <w:r w:rsidRPr="0036137B">
              <w:t>57 436</w:t>
            </w:r>
          </w:p>
        </w:tc>
        <w:tc>
          <w:tcPr>
            <w:tcW w:w="349"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pPr>
            <w:r w:rsidRPr="0036137B">
              <w:t>57 772</w:t>
            </w:r>
          </w:p>
        </w:tc>
        <w:tc>
          <w:tcPr>
            <w:tcW w:w="348"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pPr>
            <w:r w:rsidRPr="0036137B">
              <w:t>48 302</w:t>
            </w:r>
          </w:p>
        </w:tc>
        <w:tc>
          <w:tcPr>
            <w:tcW w:w="34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pPr>
            <w:r w:rsidRPr="0036137B">
              <w:t>48 937</w:t>
            </w:r>
          </w:p>
        </w:tc>
        <w:tc>
          <w:tcPr>
            <w:tcW w:w="638" w:type="pct"/>
            <w:tcBorders>
              <w:top w:val="nil"/>
              <w:left w:val="single" w:sz="4" w:space="0" w:color="auto"/>
              <w:bottom w:val="nil"/>
              <w:right w:val="single" w:sz="8" w:space="0" w:color="auto"/>
            </w:tcBorders>
            <w:shd w:val="clear" w:color="auto" w:fill="auto"/>
            <w:noWrap/>
            <w:vAlign w:val="center"/>
            <w:hideMark/>
          </w:tcPr>
          <w:p w:rsidR="003A39B8" w:rsidRPr="0036137B" w:rsidRDefault="003A39B8" w:rsidP="005D3256">
            <w:pPr>
              <w:spacing w:before="60" w:after="60"/>
              <w:jc w:val="right"/>
            </w:pPr>
            <w:r w:rsidRPr="0036137B">
              <w:t>327 791</w:t>
            </w:r>
          </w:p>
        </w:tc>
      </w:tr>
      <w:tr w:rsidR="003A39B8" w:rsidRPr="0036137B" w:rsidTr="005D3256">
        <w:trPr>
          <w:trHeight w:val="300"/>
        </w:trPr>
        <w:tc>
          <w:tcPr>
            <w:tcW w:w="1926" w:type="pct"/>
            <w:tcBorders>
              <w:top w:val="nil"/>
              <w:left w:val="single" w:sz="8" w:space="0" w:color="auto"/>
              <w:bottom w:val="nil"/>
              <w:right w:val="single" w:sz="4" w:space="0" w:color="auto"/>
            </w:tcBorders>
            <w:shd w:val="clear" w:color="auto" w:fill="auto"/>
            <w:noWrap/>
            <w:vAlign w:val="center"/>
            <w:hideMark/>
          </w:tcPr>
          <w:p w:rsidR="003A39B8" w:rsidRPr="0036137B" w:rsidRDefault="003A39B8" w:rsidP="005D3256">
            <w:pPr>
              <w:spacing w:before="60" w:after="60"/>
              <w:ind w:left="720"/>
            </w:pPr>
            <w:r w:rsidRPr="0036137B">
              <w:t>2b.</w:t>
            </w:r>
            <w:r w:rsidRPr="0036137B">
              <w:tab/>
              <w:t>Odpornost in vrednote</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pPr>
            <w:r w:rsidRPr="0036137B">
              <w:t>4 330</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pPr>
            <w:r w:rsidRPr="0036137B">
              <w:t>5 969</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pPr>
            <w:r w:rsidRPr="0036137B">
              <w:t>6 520</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pPr>
            <w:r w:rsidRPr="0036137B">
              <w:t>7 643</w:t>
            </w:r>
          </w:p>
        </w:tc>
        <w:tc>
          <w:tcPr>
            <w:tcW w:w="349"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pPr>
            <w:r w:rsidRPr="0036137B">
              <w:t>7 412</w:t>
            </w:r>
          </w:p>
        </w:tc>
        <w:tc>
          <w:tcPr>
            <w:tcW w:w="348"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pPr>
            <w:r w:rsidRPr="0036137B">
              <w:t>8 373</w:t>
            </w:r>
          </w:p>
        </w:tc>
        <w:tc>
          <w:tcPr>
            <w:tcW w:w="34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pPr>
            <w:r w:rsidRPr="0036137B">
              <w:t>9 743</w:t>
            </w:r>
          </w:p>
        </w:tc>
        <w:tc>
          <w:tcPr>
            <w:tcW w:w="638" w:type="pct"/>
            <w:tcBorders>
              <w:top w:val="nil"/>
              <w:left w:val="single" w:sz="4" w:space="0" w:color="auto"/>
              <w:bottom w:val="nil"/>
              <w:right w:val="single" w:sz="8" w:space="0" w:color="auto"/>
            </w:tcBorders>
            <w:shd w:val="clear" w:color="auto" w:fill="auto"/>
            <w:noWrap/>
            <w:vAlign w:val="center"/>
            <w:hideMark/>
          </w:tcPr>
          <w:p w:rsidR="003A39B8" w:rsidRPr="0036137B" w:rsidRDefault="003A39B8" w:rsidP="005D3256">
            <w:pPr>
              <w:spacing w:before="60" w:after="60"/>
              <w:jc w:val="right"/>
            </w:pPr>
            <w:r w:rsidRPr="0036137B">
              <w:t>49 990</w:t>
            </w:r>
          </w:p>
        </w:tc>
      </w:tr>
      <w:tr w:rsidR="003A39B8" w:rsidRPr="0036137B" w:rsidTr="005D3256">
        <w:trPr>
          <w:trHeight w:val="300"/>
        </w:trPr>
        <w:tc>
          <w:tcPr>
            <w:tcW w:w="1926" w:type="pct"/>
            <w:tcBorders>
              <w:top w:val="nil"/>
              <w:left w:val="single" w:sz="8" w:space="0" w:color="auto"/>
              <w:bottom w:val="nil"/>
              <w:right w:val="single" w:sz="4" w:space="0" w:color="auto"/>
            </w:tcBorders>
            <w:shd w:val="clear" w:color="auto" w:fill="auto"/>
            <w:noWrap/>
            <w:vAlign w:val="center"/>
            <w:hideMark/>
          </w:tcPr>
          <w:p w:rsidR="003A39B8" w:rsidRPr="0036137B" w:rsidRDefault="003A39B8" w:rsidP="005D3256">
            <w:pPr>
              <w:spacing w:before="60" w:after="60"/>
              <w:rPr>
                <w:b/>
                <w:bCs/>
              </w:rPr>
            </w:pPr>
            <w:r w:rsidRPr="0036137B">
              <w:rPr>
                <w:b/>
              </w:rPr>
              <w:t>3.</w:t>
            </w:r>
            <w:r w:rsidRPr="0036137B">
              <w:rPr>
                <w:b/>
              </w:rPr>
              <w:tab/>
              <w:t>Naravni viri in okolje</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53 562</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52 626</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51 893</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51 013</w:t>
            </w:r>
          </w:p>
        </w:tc>
        <w:tc>
          <w:tcPr>
            <w:tcW w:w="349"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49 914</w:t>
            </w:r>
          </w:p>
        </w:tc>
        <w:tc>
          <w:tcPr>
            <w:tcW w:w="348"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48 734</w:t>
            </w:r>
          </w:p>
        </w:tc>
        <w:tc>
          <w:tcPr>
            <w:tcW w:w="34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47 960</w:t>
            </w:r>
          </w:p>
        </w:tc>
        <w:tc>
          <w:tcPr>
            <w:tcW w:w="638" w:type="pct"/>
            <w:tcBorders>
              <w:top w:val="nil"/>
              <w:left w:val="single" w:sz="4" w:space="0" w:color="auto"/>
              <w:bottom w:val="nil"/>
              <w:right w:val="single" w:sz="8" w:space="0" w:color="auto"/>
            </w:tcBorders>
            <w:shd w:val="clear" w:color="auto" w:fill="auto"/>
            <w:noWrap/>
            <w:vAlign w:val="center"/>
            <w:hideMark/>
          </w:tcPr>
          <w:p w:rsidR="003A39B8" w:rsidRPr="0036137B" w:rsidRDefault="003A39B8" w:rsidP="005D3256">
            <w:pPr>
              <w:spacing w:before="60" w:after="60"/>
              <w:jc w:val="right"/>
              <w:rPr>
                <w:b/>
                <w:bCs/>
              </w:rPr>
            </w:pPr>
            <w:r w:rsidRPr="0036137B">
              <w:rPr>
                <w:b/>
              </w:rPr>
              <w:t>355 702</w:t>
            </w:r>
          </w:p>
        </w:tc>
      </w:tr>
      <w:tr w:rsidR="003A39B8" w:rsidRPr="0036137B" w:rsidTr="005D3256">
        <w:trPr>
          <w:trHeight w:val="300"/>
        </w:trPr>
        <w:tc>
          <w:tcPr>
            <w:tcW w:w="1926" w:type="pct"/>
            <w:tcBorders>
              <w:top w:val="nil"/>
              <w:left w:val="single" w:sz="8" w:space="0" w:color="auto"/>
              <w:bottom w:val="nil"/>
              <w:right w:val="single" w:sz="4" w:space="0" w:color="auto"/>
            </w:tcBorders>
            <w:shd w:val="clear" w:color="auto" w:fill="auto"/>
            <w:noWrap/>
            <w:vAlign w:val="center"/>
            <w:hideMark/>
          </w:tcPr>
          <w:p w:rsidR="003A39B8" w:rsidRPr="0036137B" w:rsidRDefault="003A39B8" w:rsidP="005D3256">
            <w:pPr>
              <w:spacing w:before="60" w:after="60"/>
              <w:ind w:left="720"/>
            </w:pPr>
            <w:r w:rsidRPr="0036137B">
              <w:t>od tega: odhodki, povezani s trgom, in neposredna plačila</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pPr>
            <w:r w:rsidRPr="0036137B">
              <w:t>38 040</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pPr>
            <w:r w:rsidRPr="0036137B">
              <w:t>37 544</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pPr>
            <w:r w:rsidRPr="0036137B">
              <w:t>36 857</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pPr>
            <w:r w:rsidRPr="0036137B">
              <w:t>36 054</w:t>
            </w:r>
          </w:p>
        </w:tc>
        <w:tc>
          <w:tcPr>
            <w:tcW w:w="349"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pPr>
            <w:r w:rsidRPr="0036137B">
              <w:t>35 283</w:t>
            </w:r>
          </w:p>
        </w:tc>
        <w:tc>
          <w:tcPr>
            <w:tcW w:w="348"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pPr>
            <w:r w:rsidRPr="0036137B">
              <w:t>34 602</w:t>
            </w:r>
          </w:p>
        </w:tc>
        <w:tc>
          <w:tcPr>
            <w:tcW w:w="34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pPr>
            <w:r w:rsidRPr="0036137B">
              <w:t>33 886</w:t>
            </w:r>
          </w:p>
        </w:tc>
        <w:tc>
          <w:tcPr>
            <w:tcW w:w="638" w:type="pct"/>
            <w:tcBorders>
              <w:top w:val="nil"/>
              <w:left w:val="single" w:sz="4" w:space="0" w:color="auto"/>
              <w:bottom w:val="nil"/>
              <w:right w:val="single" w:sz="8" w:space="0" w:color="auto"/>
            </w:tcBorders>
            <w:shd w:val="clear" w:color="auto" w:fill="auto"/>
            <w:noWrap/>
            <w:vAlign w:val="center"/>
            <w:hideMark/>
          </w:tcPr>
          <w:p w:rsidR="003A39B8" w:rsidRPr="0036137B" w:rsidRDefault="003A39B8" w:rsidP="005D3256">
            <w:pPr>
              <w:spacing w:before="60" w:after="60"/>
              <w:jc w:val="right"/>
            </w:pPr>
            <w:r w:rsidRPr="0036137B">
              <w:t>252 266</w:t>
            </w:r>
          </w:p>
        </w:tc>
      </w:tr>
      <w:tr w:rsidR="003A39B8" w:rsidRPr="0036137B" w:rsidTr="005D3256">
        <w:trPr>
          <w:trHeight w:val="300"/>
        </w:trPr>
        <w:tc>
          <w:tcPr>
            <w:tcW w:w="1926" w:type="pct"/>
            <w:tcBorders>
              <w:top w:val="nil"/>
              <w:left w:val="single" w:sz="8" w:space="0" w:color="auto"/>
              <w:bottom w:val="nil"/>
              <w:right w:val="single" w:sz="4" w:space="0" w:color="auto"/>
            </w:tcBorders>
            <w:shd w:val="clear" w:color="auto" w:fill="auto"/>
            <w:noWrap/>
            <w:vAlign w:val="center"/>
            <w:hideMark/>
          </w:tcPr>
          <w:p w:rsidR="003A39B8" w:rsidRPr="0036137B" w:rsidRDefault="003A39B8" w:rsidP="005D3256">
            <w:pPr>
              <w:pageBreakBefore/>
              <w:spacing w:before="60" w:after="60"/>
              <w:rPr>
                <w:b/>
                <w:bCs/>
              </w:rPr>
            </w:pPr>
            <w:r w:rsidRPr="0036137B">
              <w:rPr>
                <w:b/>
              </w:rPr>
              <w:t>4.</w:t>
            </w:r>
            <w:r w:rsidRPr="0036137B">
              <w:rPr>
                <w:b/>
              </w:rPr>
              <w:tab/>
              <w:t>Migracije in upravljanje meja</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1 687</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3 104</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3 454</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3 569</w:t>
            </w:r>
          </w:p>
        </w:tc>
        <w:tc>
          <w:tcPr>
            <w:tcW w:w="349"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4 083</w:t>
            </w:r>
          </w:p>
        </w:tc>
        <w:tc>
          <w:tcPr>
            <w:tcW w:w="348"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4 145</w:t>
            </w:r>
          </w:p>
        </w:tc>
        <w:tc>
          <w:tcPr>
            <w:tcW w:w="34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4 701</w:t>
            </w:r>
          </w:p>
        </w:tc>
        <w:tc>
          <w:tcPr>
            <w:tcW w:w="638" w:type="pct"/>
            <w:tcBorders>
              <w:top w:val="nil"/>
              <w:left w:val="single" w:sz="4" w:space="0" w:color="auto"/>
              <w:bottom w:val="nil"/>
              <w:right w:val="single" w:sz="8" w:space="0" w:color="auto"/>
            </w:tcBorders>
            <w:shd w:val="clear" w:color="auto" w:fill="auto"/>
            <w:noWrap/>
            <w:vAlign w:val="center"/>
            <w:hideMark/>
          </w:tcPr>
          <w:p w:rsidR="003A39B8" w:rsidRPr="0036137B" w:rsidRDefault="003A39B8" w:rsidP="005D3256">
            <w:pPr>
              <w:spacing w:before="60" w:after="60"/>
              <w:jc w:val="right"/>
              <w:rPr>
                <w:b/>
                <w:bCs/>
              </w:rPr>
            </w:pPr>
            <w:r w:rsidRPr="0036137B">
              <w:rPr>
                <w:b/>
              </w:rPr>
              <w:t>24 743</w:t>
            </w:r>
          </w:p>
        </w:tc>
      </w:tr>
      <w:tr w:rsidR="003A39B8" w:rsidRPr="0036137B" w:rsidTr="005D3256">
        <w:trPr>
          <w:trHeight w:val="300"/>
        </w:trPr>
        <w:tc>
          <w:tcPr>
            <w:tcW w:w="1926" w:type="pct"/>
            <w:tcBorders>
              <w:top w:val="nil"/>
              <w:left w:val="single" w:sz="8" w:space="0" w:color="auto"/>
              <w:bottom w:val="nil"/>
              <w:right w:val="single" w:sz="4" w:space="0" w:color="auto"/>
            </w:tcBorders>
            <w:shd w:val="clear" w:color="auto" w:fill="auto"/>
            <w:noWrap/>
            <w:vAlign w:val="center"/>
            <w:hideMark/>
          </w:tcPr>
          <w:p w:rsidR="003A39B8" w:rsidRPr="0036137B" w:rsidRDefault="003A39B8" w:rsidP="005D3256">
            <w:pPr>
              <w:spacing w:before="60" w:after="60"/>
              <w:rPr>
                <w:b/>
                <w:bCs/>
              </w:rPr>
            </w:pPr>
            <w:r w:rsidRPr="0036137B">
              <w:rPr>
                <w:b/>
              </w:rPr>
              <w:t>5.</w:t>
            </w:r>
            <w:r w:rsidRPr="0036137B">
              <w:rPr>
                <w:b/>
              </w:rPr>
              <w:tab/>
              <w:t>Varnost in obramba</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1 598</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1 750</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1 762</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2 112</w:t>
            </w:r>
          </w:p>
        </w:tc>
        <w:tc>
          <w:tcPr>
            <w:tcW w:w="349"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2 277</w:t>
            </w:r>
          </w:p>
        </w:tc>
        <w:tc>
          <w:tcPr>
            <w:tcW w:w="348"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2 398</w:t>
            </w:r>
          </w:p>
        </w:tc>
        <w:tc>
          <w:tcPr>
            <w:tcW w:w="34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2 576</w:t>
            </w:r>
          </w:p>
        </w:tc>
        <w:tc>
          <w:tcPr>
            <w:tcW w:w="638" w:type="pct"/>
            <w:tcBorders>
              <w:top w:val="nil"/>
              <w:left w:val="single" w:sz="4" w:space="0" w:color="auto"/>
              <w:bottom w:val="nil"/>
              <w:right w:val="single" w:sz="8" w:space="0" w:color="auto"/>
            </w:tcBorders>
            <w:shd w:val="clear" w:color="auto" w:fill="auto"/>
            <w:noWrap/>
            <w:vAlign w:val="center"/>
            <w:hideMark/>
          </w:tcPr>
          <w:p w:rsidR="003A39B8" w:rsidRPr="0036137B" w:rsidRDefault="003A39B8" w:rsidP="005D3256">
            <w:pPr>
              <w:spacing w:before="60" w:after="60"/>
              <w:jc w:val="right"/>
              <w:rPr>
                <w:b/>
                <w:bCs/>
              </w:rPr>
            </w:pPr>
            <w:r w:rsidRPr="0036137B">
              <w:rPr>
                <w:b/>
              </w:rPr>
              <w:t>14 473</w:t>
            </w:r>
          </w:p>
        </w:tc>
      </w:tr>
      <w:tr w:rsidR="003A39B8" w:rsidRPr="0036137B" w:rsidTr="005D3256">
        <w:trPr>
          <w:trHeight w:val="300"/>
        </w:trPr>
        <w:tc>
          <w:tcPr>
            <w:tcW w:w="1926" w:type="pct"/>
            <w:tcBorders>
              <w:top w:val="nil"/>
              <w:left w:val="single" w:sz="8" w:space="0" w:color="auto"/>
              <w:bottom w:val="nil"/>
              <w:right w:val="single" w:sz="4" w:space="0" w:color="auto"/>
            </w:tcBorders>
            <w:shd w:val="clear" w:color="auto" w:fill="auto"/>
            <w:noWrap/>
            <w:vAlign w:val="center"/>
            <w:hideMark/>
          </w:tcPr>
          <w:p w:rsidR="003A39B8" w:rsidRPr="0036137B" w:rsidRDefault="003A39B8" w:rsidP="005D3256">
            <w:pPr>
              <w:spacing w:before="60" w:after="60"/>
              <w:rPr>
                <w:b/>
                <w:bCs/>
              </w:rPr>
            </w:pPr>
            <w:r w:rsidRPr="0036137B">
              <w:rPr>
                <w:b/>
              </w:rPr>
              <w:t>6.</w:t>
            </w:r>
            <w:r w:rsidRPr="0036137B">
              <w:rPr>
                <w:b/>
              </w:rPr>
              <w:tab/>
              <w:t>Sosedstvo in svet</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15 309</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15 522</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14 789</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14 500</w:t>
            </w:r>
          </w:p>
        </w:tc>
        <w:tc>
          <w:tcPr>
            <w:tcW w:w="349"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14 192</w:t>
            </w:r>
          </w:p>
        </w:tc>
        <w:tc>
          <w:tcPr>
            <w:tcW w:w="348"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13 326</w:t>
            </w:r>
          </w:p>
        </w:tc>
        <w:tc>
          <w:tcPr>
            <w:tcW w:w="34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13 447</w:t>
            </w:r>
          </w:p>
        </w:tc>
        <w:tc>
          <w:tcPr>
            <w:tcW w:w="638" w:type="pct"/>
            <w:tcBorders>
              <w:top w:val="nil"/>
              <w:left w:val="single" w:sz="4" w:space="0" w:color="auto"/>
              <w:bottom w:val="nil"/>
              <w:right w:val="single" w:sz="8" w:space="0" w:color="auto"/>
            </w:tcBorders>
            <w:shd w:val="clear" w:color="auto" w:fill="auto"/>
            <w:noWrap/>
            <w:vAlign w:val="center"/>
            <w:hideMark/>
          </w:tcPr>
          <w:p w:rsidR="003A39B8" w:rsidRPr="0036137B" w:rsidRDefault="003A39B8" w:rsidP="005D3256">
            <w:pPr>
              <w:spacing w:before="60" w:after="60"/>
              <w:jc w:val="right"/>
              <w:rPr>
                <w:b/>
                <w:bCs/>
              </w:rPr>
            </w:pPr>
            <w:r w:rsidRPr="0036137B">
              <w:rPr>
                <w:b/>
              </w:rPr>
              <w:t>101 085</w:t>
            </w:r>
          </w:p>
        </w:tc>
      </w:tr>
      <w:tr w:rsidR="003A39B8" w:rsidRPr="0036137B" w:rsidTr="005D3256">
        <w:trPr>
          <w:trHeight w:val="300"/>
        </w:trPr>
        <w:tc>
          <w:tcPr>
            <w:tcW w:w="1926" w:type="pct"/>
            <w:tcBorders>
              <w:top w:val="nil"/>
              <w:left w:val="single" w:sz="8" w:space="0" w:color="auto"/>
              <w:bottom w:val="nil"/>
              <w:right w:val="single" w:sz="4" w:space="0" w:color="auto"/>
            </w:tcBorders>
            <w:shd w:val="clear" w:color="auto" w:fill="auto"/>
            <w:noWrap/>
            <w:vAlign w:val="center"/>
            <w:hideMark/>
          </w:tcPr>
          <w:p w:rsidR="003A39B8" w:rsidRPr="0036137B" w:rsidRDefault="003A39B8" w:rsidP="005D3256">
            <w:pPr>
              <w:spacing w:before="60" w:after="60"/>
              <w:rPr>
                <w:b/>
                <w:bCs/>
              </w:rPr>
            </w:pPr>
            <w:r w:rsidRPr="0036137B">
              <w:rPr>
                <w:b/>
              </w:rPr>
              <w:t>7.</w:t>
            </w:r>
            <w:r w:rsidRPr="0036137B">
              <w:rPr>
                <w:b/>
              </w:rPr>
              <w:tab/>
              <w:t>Evropska javna uprava</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10 021</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10 215</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10 342</w:t>
            </w:r>
          </w:p>
        </w:tc>
        <w:tc>
          <w:tcPr>
            <w:tcW w:w="35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10 454</w:t>
            </w:r>
          </w:p>
        </w:tc>
        <w:tc>
          <w:tcPr>
            <w:tcW w:w="349"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10 554</w:t>
            </w:r>
          </w:p>
        </w:tc>
        <w:tc>
          <w:tcPr>
            <w:tcW w:w="348"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10 673</w:t>
            </w:r>
          </w:p>
        </w:tc>
        <w:tc>
          <w:tcPr>
            <w:tcW w:w="340" w:type="pct"/>
            <w:tcBorders>
              <w:top w:val="nil"/>
              <w:left w:val="nil"/>
              <w:bottom w:val="nil"/>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10 843</w:t>
            </w:r>
          </w:p>
        </w:tc>
        <w:tc>
          <w:tcPr>
            <w:tcW w:w="638" w:type="pct"/>
            <w:tcBorders>
              <w:top w:val="nil"/>
              <w:left w:val="single" w:sz="4" w:space="0" w:color="auto"/>
              <w:bottom w:val="nil"/>
              <w:right w:val="single" w:sz="8" w:space="0" w:color="auto"/>
            </w:tcBorders>
            <w:shd w:val="clear" w:color="auto" w:fill="auto"/>
            <w:noWrap/>
            <w:vAlign w:val="center"/>
            <w:hideMark/>
          </w:tcPr>
          <w:p w:rsidR="003A39B8" w:rsidRPr="0036137B" w:rsidRDefault="003A39B8" w:rsidP="005D3256">
            <w:pPr>
              <w:spacing w:before="60" w:after="60"/>
              <w:jc w:val="right"/>
              <w:rPr>
                <w:b/>
                <w:bCs/>
              </w:rPr>
            </w:pPr>
            <w:r w:rsidRPr="0036137B">
              <w:rPr>
                <w:b/>
              </w:rPr>
              <w:t>73 102</w:t>
            </w:r>
          </w:p>
        </w:tc>
      </w:tr>
      <w:tr w:rsidR="003A39B8" w:rsidRPr="0036137B" w:rsidTr="005D3256">
        <w:trPr>
          <w:trHeight w:val="315"/>
        </w:trPr>
        <w:tc>
          <w:tcPr>
            <w:tcW w:w="1926" w:type="pct"/>
            <w:tcBorders>
              <w:top w:val="nil"/>
              <w:left w:val="single" w:sz="8" w:space="0" w:color="auto"/>
              <w:bottom w:val="single" w:sz="8" w:space="0" w:color="auto"/>
              <w:right w:val="single" w:sz="4" w:space="0" w:color="auto"/>
            </w:tcBorders>
            <w:shd w:val="clear" w:color="auto" w:fill="auto"/>
            <w:noWrap/>
            <w:vAlign w:val="center"/>
            <w:hideMark/>
          </w:tcPr>
          <w:p w:rsidR="003A39B8" w:rsidRPr="0036137B" w:rsidRDefault="003A39B8" w:rsidP="005D3256">
            <w:pPr>
              <w:spacing w:before="60" w:after="60"/>
              <w:ind w:left="720"/>
            </w:pPr>
            <w:r w:rsidRPr="0036137B">
              <w:t>od tega: Upravni odhodki institucij</w:t>
            </w:r>
          </w:p>
        </w:tc>
        <w:tc>
          <w:tcPr>
            <w:tcW w:w="350" w:type="pct"/>
            <w:tcBorders>
              <w:top w:val="nil"/>
              <w:left w:val="nil"/>
              <w:bottom w:val="single" w:sz="8" w:space="0" w:color="auto"/>
              <w:right w:val="nil"/>
            </w:tcBorders>
            <w:shd w:val="clear" w:color="auto" w:fill="auto"/>
            <w:noWrap/>
            <w:vAlign w:val="center"/>
            <w:hideMark/>
          </w:tcPr>
          <w:p w:rsidR="003A39B8" w:rsidRPr="0036137B" w:rsidRDefault="003A39B8" w:rsidP="005D3256">
            <w:pPr>
              <w:spacing w:before="60" w:after="60"/>
              <w:jc w:val="right"/>
            </w:pPr>
            <w:r w:rsidRPr="0036137B">
              <w:t>7 742</w:t>
            </w:r>
          </w:p>
        </w:tc>
        <w:tc>
          <w:tcPr>
            <w:tcW w:w="350" w:type="pct"/>
            <w:tcBorders>
              <w:top w:val="nil"/>
              <w:left w:val="nil"/>
              <w:bottom w:val="single" w:sz="8" w:space="0" w:color="auto"/>
              <w:right w:val="nil"/>
            </w:tcBorders>
            <w:shd w:val="clear" w:color="auto" w:fill="auto"/>
            <w:noWrap/>
            <w:vAlign w:val="center"/>
            <w:hideMark/>
          </w:tcPr>
          <w:p w:rsidR="003A39B8" w:rsidRPr="0036137B" w:rsidRDefault="003A39B8" w:rsidP="005D3256">
            <w:pPr>
              <w:spacing w:before="60" w:after="60"/>
              <w:jc w:val="right"/>
            </w:pPr>
            <w:r w:rsidRPr="0036137B">
              <w:t>7 878</w:t>
            </w:r>
          </w:p>
        </w:tc>
        <w:tc>
          <w:tcPr>
            <w:tcW w:w="350" w:type="pct"/>
            <w:tcBorders>
              <w:top w:val="nil"/>
              <w:left w:val="nil"/>
              <w:bottom w:val="single" w:sz="8" w:space="0" w:color="auto"/>
              <w:right w:val="nil"/>
            </w:tcBorders>
            <w:shd w:val="clear" w:color="auto" w:fill="auto"/>
            <w:noWrap/>
            <w:vAlign w:val="center"/>
            <w:hideMark/>
          </w:tcPr>
          <w:p w:rsidR="003A39B8" w:rsidRPr="0036137B" w:rsidRDefault="003A39B8" w:rsidP="005D3256">
            <w:pPr>
              <w:spacing w:before="60" w:after="60"/>
              <w:jc w:val="right"/>
            </w:pPr>
            <w:r w:rsidRPr="0036137B">
              <w:t>7 945</w:t>
            </w:r>
          </w:p>
        </w:tc>
        <w:tc>
          <w:tcPr>
            <w:tcW w:w="350" w:type="pct"/>
            <w:tcBorders>
              <w:top w:val="nil"/>
              <w:left w:val="nil"/>
              <w:bottom w:val="single" w:sz="8" w:space="0" w:color="auto"/>
              <w:right w:val="nil"/>
            </w:tcBorders>
            <w:shd w:val="clear" w:color="auto" w:fill="auto"/>
            <w:noWrap/>
            <w:vAlign w:val="center"/>
            <w:hideMark/>
          </w:tcPr>
          <w:p w:rsidR="003A39B8" w:rsidRPr="0036137B" w:rsidRDefault="003A39B8" w:rsidP="005D3256">
            <w:pPr>
              <w:spacing w:before="60" w:after="60"/>
              <w:jc w:val="right"/>
            </w:pPr>
            <w:r w:rsidRPr="0036137B">
              <w:t>7 997</w:t>
            </w:r>
          </w:p>
        </w:tc>
        <w:tc>
          <w:tcPr>
            <w:tcW w:w="349" w:type="pct"/>
            <w:tcBorders>
              <w:top w:val="nil"/>
              <w:left w:val="nil"/>
              <w:bottom w:val="single" w:sz="8" w:space="0" w:color="auto"/>
              <w:right w:val="nil"/>
            </w:tcBorders>
            <w:shd w:val="clear" w:color="auto" w:fill="auto"/>
            <w:noWrap/>
            <w:vAlign w:val="center"/>
            <w:hideMark/>
          </w:tcPr>
          <w:p w:rsidR="003A39B8" w:rsidRPr="0036137B" w:rsidRDefault="003A39B8" w:rsidP="005D3256">
            <w:pPr>
              <w:spacing w:before="60" w:after="60"/>
              <w:jc w:val="right"/>
            </w:pPr>
            <w:r w:rsidRPr="0036137B">
              <w:t>8 025</w:t>
            </w:r>
          </w:p>
        </w:tc>
        <w:tc>
          <w:tcPr>
            <w:tcW w:w="348" w:type="pct"/>
            <w:tcBorders>
              <w:top w:val="nil"/>
              <w:left w:val="nil"/>
              <w:bottom w:val="single" w:sz="8" w:space="0" w:color="auto"/>
              <w:right w:val="nil"/>
            </w:tcBorders>
            <w:shd w:val="clear" w:color="auto" w:fill="auto"/>
            <w:noWrap/>
            <w:vAlign w:val="center"/>
            <w:hideMark/>
          </w:tcPr>
          <w:p w:rsidR="003A39B8" w:rsidRPr="0036137B" w:rsidRDefault="003A39B8" w:rsidP="005D3256">
            <w:pPr>
              <w:spacing w:before="60" w:after="60"/>
              <w:jc w:val="right"/>
            </w:pPr>
            <w:r w:rsidRPr="0036137B">
              <w:t>8 077</w:t>
            </w:r>
          </w:p>
        </w:tc>
        <w:tc>
          <w:tcPr>
            <w:tcW w:w="340" w:type="pct"/>
            <w:tcBorders>
              <w:top w:val="nil"/>
              <w:left w:val="nil"/>
              <w:bottom w:val="single" w:sz="8" w:space="0" w:color="auto"/>
              <w:right w:val="nil"/>
            </w:tcBorders>
            <w:shd w:val="clear" w:color="auto" w:fill="auto"/>
            <w:noWrap/>
            <w:vAlign w:val="center"/>
            <w:hideMark/>
          </w:tcPr>
          <w:p w:rsidR="003A39B8" w:rsidRPr="0036137B" w:rsidRDefault="003A39B8" w:rsidP="005D3256">
            <w:pPr>
              <w:spacing w:before="60" w:after="60"/>
              <w:jc w:val="right"/>
            </w:pPr>
            <w:r w:rsidRPr="0036137B">
              <w:t>8 188</w:t>
            </w:r>
          </w:p>
        </w:tc>
        <w:tc>
          <w:tcPr>
            <w:tcW w:w="638" w:type="pct"/>
            <w:tcBorders>
              <w:top w:val="nil"/>
              <w:left w:val="single" w:sz="4" w:space="0" w:color="auto"/>
              <w:bottom w:val="single" w:sz="8" w:space="0" w:color="auto"/>
              <w:right w:val="single" w:sz="8" w:space="0" w:color="auto"/>
            </w:tcBorders>
            <w:shd w:val="clear" w:color="auto" w:fill="auto"/>
            <w:noWrap/>
            <w:vAlign w:val="center"/>
            <w:hideMark/>
          </w:tcPr>
          <w:p w:rsidR="003A39B8" w:rsidRPr="0036137B" w:rsidRDefault="003A39B8" w:rsidP="005D3256">
            <w:pPr>
              <w:spacing w:before="60" w:after="60"/>
              <w:jc w:val="right"/>
            </w:pPr>
            <w:r w:rsidRPr="0036137B">
              <w:t>55 852</w:t>
            </w:r>
          </w:p>
        </w:tc>
      </w:tr>
      <w:tr w:rsidR="003A39B8" w:rsidRPr="0036137B" w:rsidTr="005D3256">
        <w:trPr>
          <w:trHeight w:val="315"/>
        </w:trPr>
        <w:tc>
          <w:tcPr>
            <w:tcW w:w="1926" w:type="pct"/>
            <w:tcBorders>
              <w:top w:val="nil"/>
              <w:left w:val="single" w:sz="8" w:space="0" w:color="auto"/>
              <w:bottom w:val="single" w:sz="8" w:space="0" w:color="auto"/>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ODOBRITVE ZA PREVZEM OBVEZNOSTI SKUPAJ</w:t>
            </w:r>
          </w:p>
        </w:tc>
        <w:tc>
          <w:tcPr>
            <w:tcW w:w="350" w:type="pct"/>
            <w:tcBorders>
              <w:top w:val="nil"/>
              <w:left w:val="single" w:sz="4" w:space="0" w:color="auto"/>
              <w:bottom w:val="single" w:sz="8" w:space="0" w:color="auto"/>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107 885</w:t>
            </w:r>
          </w:p>
        </w:tc>
        <w:tc>
          <w:tcPr>
            <w:tcW w:w="350" w:type="pct"/>
            <w:tcBorders>
              <w:top w:val="nil"/>
              <w:left w:val="nil"/>
              <w:bottom w:val="single" w:sz="8" w:space="0" w:color="auto"/>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166 070</w:t>
            </w:r>
          </w:p>
        </w:tc>
        <w:tc>
          <w:tcPr>
            <w:tcW w:w="350" w:type="pct"/>
            <w:tcBorders>
              <w:top w:val="nil"/>
              <w:left w:val="nil"/>
              <w:bottom w:val="single" w:sz="8" w:space="0" w:color="auto"/>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165 443</w:t>
            </w:r>
          </w:p>
        </w:tc>
        <w:tc>
          <w:tcPr>
            <w:tcW w:w="350" w:type="pct"/>
            <w:tcBorders>
              <w:top w:val="nil"/>
              <w:left w:val="nil"/>
              <w:bottom w:val="single" w:sz="8" w:space="0" w:color="auto"/>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165 905</w:t>
            </w:r>
          </w:p>
        </w:tc>
        <w:tc>
          <w:tcPr>
            <w:tcW w:w="349" w:type="pct"/>
            <w:tcBorders>
              <w:top w:val="nil"/>
              <w:left w:val="nil"/>
              <w:bottom w:val="single" w:sz="8" w:space="0" w:color="auto"/>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164 377</w:t>
            </w:r>
          </w:p>
        </w:tc>
        <w:tc>
          <w:tcPr>
            <w:tcW w:w="348" w:type="pct"/>
            <w:tcBorders>
              <w:top w:val="nil"/>
              <w:left w:val="nil"/>
              <w:bottom w:val="single" w:sz="8" w:space="0" w:color="auto"/>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154 071</w:t>
            </w:r>
          </w:p>
        </w:tc>
        <w:tc>
          <w:tcPr>
            <w:tcW w:w="340" w:type="pct"/>
            <w:tcBorders>
              <w:top w:val="nil"/>
              <w:left w:val="nil"/>
              <w:bottom w:val="single" w:sz="8" w:space="0" w:color="auto"/>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155 772</w:t>
            </w:r>
          </w:p>
        </w:tc>
        <w:tc>
          <w:tcPr>
            <w:tcW w:w="638" w:type="pct"/>
            <w:tcBorders>
              <w:top w:val="nil"/>
              <w:left w:val="single" w:sz="4" w:space="0" w:color="auto"/>
              <w:bottom w:val="single" w:sz="8" w:space="0" w:color="auto"/>
              <w:right w:val="single" w:sz="8" w:space="0" w:color="auto"/>
            </w:tcBorders>
            <w:shd w:val="clear" w:color="auto" w:fill="auto"/>
            <w:noWrap/>
            <w:vAlign w:val="center"/>
            <w:hideMark/>
          </w:tcPr>
          <w:p w:rsidR="003A39B8" w:rsidRPr="0036137B" w:rsidRDefault="003A39B8" w:rsidP="005D3256">
            <w:pPr>
              <w:spacing w:before="60" w:after="60"/>
              <w:jc w:val="right"/>
              <w:rPr>
                <w:b/>
                <w:bCs/>
              </w:rPr>
            </w:pPr>
            <w:r w:rsidRPr="0036137B">
              <w:rPr>
                <w:b/>
              </w:rPr>
              <w:t>1 079 523</w:t>
            </w:r>
          </w:p>
        </w:tc>
      </w:tr>
      <w:tr w:rsidR="003A39B8" w:rsidRPr="0036137B" w:rsidTr="005D3256">
        <w:trPr>
          <w:trHeight w:val="315"/>
        </w:trPr>
        <w:tc>
          <w:tcPr>
            <w:tcW w:w="1926" w:type="pct"/>
            <w:tcBorders>
              <w:top w:val="single" w:sz="8" w:space="0" w:color="auto"/>
              <w:bottom w:val="single" w:sz="8" w:space="0" w:color="auto"/>
            </w:tcBorders>
            <w:shd w:val="clear" w:color="auto" w:fill="auto"/>
            <w:noWrap/>
            <w:vAlign w:val="center"/>
          </w:tcPr>
          <w:p w:rsidR="003A39B8" w:rsidRPr="0036137B" w:rsidRDefault="003A39B8" w:rsidP="005D3256">
            <w:pPr>
              <w:spacing w:before="60" w:after="60"/>
            </w:pPr>
          </w:p>
        </w:tc>
        <w:tc>
          <w:tcPr>
            <w:tcW w:w="350" w:type="pct"/>
            <w:tcBorders>
              <w:top w:val="single" w:sz="8" w:space="0" w:color="auto"/>
              <w:bottom w:val="single" w:sz="8" w:space="0" w:color="auto"/>
            </w:tcBorders>
            <w:shd w:val="clear" w:color="auto" w:fill="auto"/>
            <w:noWrap/>
            <w:vAlign w:val="center"/>
          </w:tcPr>
          <w:p w:rsidR="003A39B8" w:rsidRPr="0036137B" w:rsidRDefault="003A39B8" w:rsidP="005D3256">
            <w:pPr>
              <w:spacing w:before="60" w:after="60"/>
              <w:jc w:val="right"/>
            </w:pPr>
          </w:p>
        </w:tc>
        <w:tc>
          <w:tcPr>
            <w:tcW w:w="350" w:type="pct"/>
            <w:tcBorders>
              <w:top w:val="single" w:sz="8" w:space="0" w:color="auto"/>
              <w:bottom w:val="single" w:sz="8" w:space="0" w:color="auto"/>
            </w:tcBorders>
            <w:shd w:val="clear" w:color="auto" w:fill="auto"/>
            <w:noWrap/>
            <w:vAlign w:val="center"/>
          </w:tcPr>
          <w:p w:rsidR="003A39B8" w:rsidRPr="0036137B" w:rsidRDefault="003A39B8" w:rsidP="005D3256">
            <w:pPr>
              <w:spacing w:before="60" w:after="60"/>
              <w:jc w:val="right"/>
            </w:pPr>
          </w:p>
        </w:tc>
        <w:tc>
          <w:tcPr>
            <w:tcW w:w="350" w:type="pct"/>
            <w:tcBorders>
              <w:top w:val="single" w:sz="8" w:space="0" w:color="auto"/>
              <w:bottom w:val="single" w:sz="8" w:space="0" w:color="auto"/>
            </w:tcBorders>
            <w:shd w:val="clear" w:color="auto" w:fill="auto"/>
            <w:noWrap/>
            <w:vAlign w:val="center"/>
          </w:tcPr>
          <w:p w:rsidR="003A39B8" w:rsidRPr="0036137B" w:rsidRDefault="003A39B8" w:rsidP="005D3256">
            <w:pPr>
              <w:spacing w:before="60" w:after="60"/>
              <w:jc w:val="right"/>
            </w:pPr>
          </w:p>
        </w:tc>
        <w:tc>
          <w:tcPr>
            <w:tcW w:w="350" w:type="pct"/>
            <w:tcBorders>
              <w:top w:val="single" w:sz="8" w:space="0" w:color="auto"/>
              <w:bottom w:val="single" w:sz="8" w:space="0" w:color="auto"/>
            </w:tcBorders>
            <w:shd w:val="clear" w:color="auto" w:fill="auto"/>
            <w:noWrap/>
            <w:vAlign w:val="center"/>
          </w:tcPr>
          <w:p w:rsidR="003A39B8" w:rsidRPr="0036137B" w:rsidRDefault="003A39B8" w:rsidP="005D3256">
            <w:pPr>
              <w:spacing w:before="60" w:after="60"/>
              <w:jc w:val="right"/>
            </w:pPr>
          </w:p>
        </w:tc>
        <w:tc>
          <w:tcPr>
            <w:tcW w:w="349" w:type="pct"/>
            <w:tcBorders>
              <w:top w:val="single" w:sz="8" w:space="0" w:color="auto"/>
              <w:bottom w:val="single" w:sz="8" w:space="0" w:color="auto"/>
            </w:tcBorders>
            <w:shd w:val="clear" w:color="auto" w:fill="auto"/>
            <w:noWrap/>
            <w:vAlign w:val="center"/>
          </w:tcPr>
          <w:p w:rsidR="003A39B8" w:rsidRPr="0036137B" w:rsidRDefault="003A39B8" w:rsidP="005D3256">
            <w:pPr>
              <w:spacing w:before="60" w:after="60"/>
              <w:jc w:val="right"/>
            </w:pPr>
          </w:p>
        </w:tc>
        <w:tc>
          <w:tcPr>
            <w:tcW w:w="348" w:type="pct"/>
            <w:tcBorders>
              <w:top w:val="single" w:sz="8" w:space="0" w:color="auto"/>
              <w:bottom w:val="single" w:sz="8" w:space="0" w:color="auto"/>
            </w:tcBorders>
            <w:shd w:val="clear" w:color="auto" w:fill="auto"/>
            <w:noWrap/>
            <w:vAlign w:val="center"/>
          </w:tcPr>
          <w:p w:rsidR="003A39B8" w:rsidRPr="0036137B" w:rsidRDefault="003A39B8" w:rsidP="005D3256">
            <w:pPr>
              <w:spacing w:before="60" w:after="60"/>
              <w:jc w:val="right"/>
            </w:pPr>
          </w:p>
        </w:tc>
        <w:tc>
          <w:tcPr>
            <w:tcW w:w="340" w:type="pct"/>
            <w:tcBorders>
              <w:top w:val="single" w:sz="8" w:space="0" w:color="auto"/>
              <w:bottom w:val="single" w:sz="8" w:space="0" w:color="auto"/>
            </w:tcBorders>
            <w:shd w:val="clear" w:color="auto" w:fill="auto"/>
            <w:noWrap/>
            <w:vAlign w:val="center"/>
          </w:tcPr>
          <w:p w:rsidR="003A39B8" w:rsidRPr="0036137B" w:rsidRDefault="003A39B8" w:rsidP="005D3256">
            <w:pPr>
              <w:spacing w:before="60" w:after="60"/>
              <w:jc w:val="right"/>
            </w:pPr>
          </w:p>
        </w:tc>
        <w:tc>
          <w:tcPr>
            <w:tcW w:w="638" w:type="pct"/>
            <w:tcBorders>
              <w:top w:val="single" w:sz="8" w:space="0" w:color="auto"/>
              <w:bottom w:val="single" w:sz="8" w:space="0" w:color="auto"/>
            </w:tcBorders>
            <w:shd w:val="clear" w:color="auto" w:fill="auto"/>
            <w:noWrap/>
            <w:vAlign w:val="center"/>
          </w:tcPr>
          <w:p w:rsidR="003A39B8" w:rsidRPr="0036137B" w:rsidRDefault="003A39B8" w:rsidP="005D3256">
            <w:pPr>
              <w:spacing w:before="60" w:after="60"/>
              <w:jc w:val="right"/>
            </w:pPr>
          </w:p>
        </w:tc>
      </w:tr>
      <w:tr w:rsidR="003A39B8" w:rsidRPr="0036137B" w:rsidTr="005D3256">
        <w:trPr>
          <w:trHeight w:val="315"/>
        </w:trPr>
        <w:tc>
          <w:tcPr>
            <w:tcW w:w="1926" w:type="pct"/>
            <w:tcBorders>
              <w:top w:val="single" w:sz="8" w:space="0" w:color="auto"/>
              <w:left w:val="single" w:sz="8" w:space="0" w:color="auto"/>
              <w:bottom w:val="single" w:sz="8" w:space="0" w:color="auto"/>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ODOBRITVE ZA PLAČILA SKUPAJ</w:t>
            </w:r>
          </w:p>
        </w:tc>
        <w:tc>
          <w:tcPr>
            <w:tcW w:w="350" w:type="pct"/>
            <w:tcBorders>
              <w:top w:val="single" w:sz="8" w:space="0" w:color="auto"/>
              <w:left w:val="single" w:sz="4" w:space="0" w:color="auto"/>
              <w:bottom w:val="single" w:sz="8" w:space="0" w:color="auto"/>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154 065</w:t>
            </w:r>
          </w:p>
        </w:tc>
        <w:tc>
          <w:tcPr>
            <w:tcW w:w="350" w:type="pct"/>
            <w:tcBorders>
              <w:top w:val="single" w:sz="8" w:space="0" w:color="auto"/>
              <w:left w:val="nil"/>
              <w:bottom w:val="single" w:sz="8" w:space="0" w:color="auto"/>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153 850</w:t>
            </w:r>
          </w:p>
        </w:tc>
        <w:tc>
          <w:tcPr>
            <w:tcW w:w="350" w:type="pct"/>
            <w:tcBorders>
              <w:top w:val="single" w:sz="8" w:space="0" w:color="auto"/>
              <w:left w:val="nil"/>
              <w:bottom w:val="single" w:sz="8" w:space="0" w:color="auto"/>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152 682</w:t>
            </w:r>
          </w:p>
        </w:tc>
        <w:tc>
          <w:tcPr>
            <w:tcW w:w="350" w:type="pct"/>
            <w:tcBorders>
              <w:top w:val="single" w:sz="8" w:space="0" w:color="auto"/>
              <w:left w:val="nil"/>
              <w:bottom w:val="single" w:sz="8" w:space="0" w:color="auto"/>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151 436</w:t>
            </w:r>
          </w:p>
        </w:tc>
        <w:tc>
          <w:tcPr>
            <w:tcW w:w="349" w:type="pct"/>
            <w:tcBorders>
              <w:top w:val="single" w:sz="8" w:space="0" w:color="auto"/>
              <w:left w:val="nil"/>
              <w:bottom w:val="single" w:sz="8" w:space="0" w:color="auto"/>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151 175</w:t>
            </w:r>
          </w:p>
        </w:tc>
        <w:tc>
          <w:tcPr>
            <w:tcW w:w="348" w:type="pct"/>
            <w:tcBorders>
              <w:top w:val="single" w:sz="8" w:space="0" w:color="auto"/>
              <w:left w:val="nil"/>
              <w:bottom w:val="single" w:sz="8" w:space="0" w:color="auto"/>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151 175</w:t>
            </w:r>
          </w:p>
        </w:tc>
        <w:tc>
          <w:tcPr>
            <w:tcW w:w="340" w:type="pct"/>
            <w:tcBorders>
              <w:top w:val="single" w:sz="8" w:space="0" w:color="auto"/>
              <w:left w:val="nil"/>
              <w:bottom w:val="single" w:sz="8" w:space="0" w:color="auto"/>
              <w:right w:val="nil"/>
            </w:tcBorders>
            <w:shd w:val="clear" w:color="auto" w:fill="auto"/>
            <w:noWrap/>
            <w:vAlign w:val="center"/>
            <w:hideMark/>
          </w:tcPr>
          <w:p w:rsidR="003A39B8" w:rsidRPr="0036137B" w:rsidRDefault="003A39B8" w:rsidP="005D3256">
            <w:pPr>
              <w:spacing w:before="60" w:after="60"/>
              <w:jc w:val="right"/>
              <w:rPr>
                <w:b/>
                <w:bCs/>
              </w:rPr>
            </w:pPr>
            <w:r w:rsidRPr="0036137B">
              <w:rPr>
                <w:b/>
              </w:rPr>
              <w:t>151 175</w:t>
            </w:r>
          </w:p>
        </w:tc>
        <w:tc>
          <w:tcPr>
            <w:tcW w:w="638" w:type="pct"/>
            <w:tcBorders>
              <w:top w:val="single" w:sz="8" w:space="0" w:color="auto"/>
              <w:left w:val="single" w:sz="4" w:space="0" w:color="auto"/>
              <w:bottom w:val="single" w:sz="8" w:space="0" w:color="auto"/>
              <w:right w:val="single" w:sz="8" w:space="0" w:color="auto"/>
            </w:tcBorders>
            <w:shd w:val="clear" w:color="auto" w:fill="auto"/>
            <w:noWrap/>
            <w:vAlign w:val="center"/>
            <w:hideMark/>
          </w:tcPr>
          <w:p w:rsidR="003A39B8" w:rsidRPr="0036137B" w:rsidRDefault="003A39B8" w:rsidP="005D3256">
            <w:pPr>
              <w:spacing w:before="60" w:after="60"/>
              <w:jc w:val="right"/>
              <w:rPr>
                <w:b/>
                <w:bCs/>
              </w:rPr>
            </w:pPr>
            <w:r w:rsidRPr="0036137B">
              <w:rPr>
                <w:b/>
              </w:rPr>
              <w:t>1 065 558</w:t>
            </w:r>
          </w:p>
        </w:tc>
      </w:tr>
    </w:tbl>
    <w:p w:rsidR="003A39B8" w:rsidRPr="0036137B" w:rsidRDefault="003A39B8" w:rsidP="003A39B8">
      <w:pPr>
        <w:pStyle w:val="NormalCentered"/>
      </w:pPr>
      <w:r w:rsidRPr="0036137B">
        <w:br w:type="page"/>
        <w:t>PRILOGA II</w:t>
      </w:r>
      <w:r w:rsidRPr="0036137B">
        <w:br/>
        <w:t>PRILAGODITEV ZA POSAMEZNE PROGRAME – SEZNAM PROGRAMOV, RAZDELITVENI KLJUČ</w:t>
      </w:r>
      <w:r w:rsidR="00ED15FB">
        <w:t xml:space="preserve"> </w:t>
      </w:r>
      <w:r w:rsidRPr="0036137B">
        <w:t>IN SKUPNA DODATNA SREDSTVA ZA ODOBRITVE ZA PREVZEM OBVEZNOSTI</w:t>
      </w:r>
    </w:p>
    <w:tbl>
      <w:tblPr>
        <w:tblW w:w="5000" w:type="pct"/>
        <w:tblLook w:val="04A0" w:firstRow="1" w:lastRow="0" w:firstColumn="1" w:lastColumn="0" w:noHBand="0" w:noVBand="1"/>
      </w:tblPr>
      <w:tblGrid>
        <w:gridCol w:w="5171"/>
        <w:gridCol w:w="2329"/>
        <w:gridCol w:w="2466"/>
        <w:gridCol w:w="4320"/>
      </w:tblGrid>
      <w:tr w:rsidR="003A39B8" w:rsidRPr="0036137B" w:rsidTr="005D3256">
        <w:trPr>
          <w:trHeight w:val="20"/>
        </w:trPr>
        <w:tc>
          <w:tcPr>
            <w:tcW w:w="1810" w:type="pct"/>
            <w:tcBorders>
              <w:bottom w:val="single" w:sz="8" w:space="0" w:color="auto"/>
            </w:tcBorders>
            <w:noWrap/>
            <w:hideMark/>
          </w:tcPr>
          <w:p w:rsidR="003A39B8" w:rsidRPr="0036137B" w:rsidRDefault="003A39B8" w:rsidP="005D3256">
            <w:pPr>
              <w:spacing w:before="60" w:after="60"/>
              <w:rPr>
                <w:szCs w:val="24"/>
              </w:rPr>
            </w:pPr>
          </w:p>
        </w:tc>
        <w:tc>
          <w:tcPr>
            <w:tcW w:w="815" w:type="pct"/>
            <w:tcBorders>
              <w:bottom w:val="single" w:sz="8" w:space="0" w:color="auto"/>
            </w:tcBorders>
            <w:noWrap/>
            <w:hideMark/>
          </w:tcPr>
          <w:p w:rsidR="003A39B8" w:rsidRPr="0036137B" w:rsidRDefault="003A39B8" w:rsidP="005D3256">
            <w:pPr>
              <w:spacing w:before="60" w:after="60"/>
              <w:rPr>
                <w:szCs w:val="24"/>
              </w:rPr>
            </w:pPr>
          </w:p>
        </w:tc>
        <w:tc>
          <w:tcPr>
            <w:tcW w:w="863" w:type="pct"/>
            <w:tcBorders>
              <w:bottom w:val="single" w:sz="8" w:space="0" w:color="auto"/>
            </w:tcBorders>
          </w:tcPr>
          <w:p w:rsidR="003A39B8" w:rsidRPr="0036137B" w:rsidRDefault="003A39B8" w:rsidP="005D3256">
            <w:pPr>
              <w:spacing w:before="60" w:after="60"/>
              <w:jc w:val="right"/>
              <w:rPr>
                <w:szCs w:val="24"/>
              </w:rPr>
            </w:pPr>
          </w:p>
        </w:tc>
        <w:tc>
          <w:tcPr>
            <w:tcW w:w="1512" w:type="pct"/>
            <w:tcBorders>
              <w:bottom w:val="single" w:sz="8" w:space="0" w:color="auto"/>
            </w:tcBorders>
            <w:noWrap/>
            <w:hideMark/>
          </w:tcPr>
          <w:p w:rsidR="003A39B8" w:rsidRPr="0036137B" w:rsidRDefault="003A39B8" w:rsidP="005D3256">
            <w:pPr>
              <w:spacing w:before="60" w:after="60"/>
              <w:jc w:val="right"/>
              <w:rPr>
                <w:szCs w:val="24"/>
              </w:rPr>
            </w:pPr>
            <w:r w:rsidRPr="0036137B">
              <w:t xml:space="preserve">(v mio. </w:t>
            </w:r>
            <w:r w:rsidRPr="0036137B">
              <w:rPr>
                <w:i/>
              </w:rPr>
              <w:t>EUR – cene iz leta 2018</w:t>
            </w:r>
            <w:r w:rsidRPr="0036137B">
              <w:t>)</w:t>
            </w:r>
          </w:p>
        </w:tc>
      </w:tr>
      <w:tr w:rsidR="003A39B8" w:rsidRPr="0036137B" w:rsidTr="005D3256">
        <w:trPr>
          <w:trHeight w:val="20"/>
        </w:trPr>
        <w:tc>
          <w:tcPr>
            <w:tcW w:w="1810" w:type="pct"/>
            <w:tcBorders>
              <w:top w:val="single" w:sz="8" w:space="0" w:color="auto"/>
              <w:bottom w:val="single" w:sz="8" w:space="0" w:color="auto"/>
            </w:tcBorders>
            <w:noWrap/>
            <w:hideMark/>
          </w:tcPr>
          <w:p w:rsidR="003A39B8" w:rsidRPr="0036137B" w:rsidRDefault="003A39B8" w:rsidP="005D3256">
            <w:pPr>
              <w:spacing w:before="60" w:after="60"/>
              <w:jc w:val="center"/>
              <w:rPr>
                <w:szCs w:val="24"/>
              </w:rPr>
            </w:pPr>
          </w:p>
        </w:tc>
        <w:tc>
          <w:tcPr>
            <w:tcW w:w="1678" w:type="pct"/>
            <w:gridSpan w:val="2"/>
            <w:tcBorders>
              <w:top w:val="single" w:sz="4" w:space="0" w:color="auto"/>
              <w:bottom w:val="single" w:sz="8" w:space="0" w:color="auto"/>
            </w:tcBorders>
            <w:noWrap/>
            <w:hideMark/>
          </w:tcPr>
          <w:p w:rsidR="003A39B8" w:rsidRPr="0036137B" w:rsidRDefault="003A39B8" w:rsidP="005D3256">
            <w:pPr>
              <w:spacing w:before="60" w:after="60"/>
              <w:jc w:val="center"/>
              <w:rPr>
                <w:szCs w:val="24"/>
              </w:rPr>
            </w:pPr>
            <w:r w:rsidRPr="0036137B">
              <w:t>Razdelitveni ključ</w:t>
            </w:r>
          </w:p>
        </w:tc>
        <w:tc>
          <w:tcPr>
            <w:tcW w:w="1512" w:type="pct"/>
            <w:tcBorders>
              <w:top w:val="single" w:sz="8" w:space="0" w:color="auto"/>
              <w:bottom w:val="single" w:sz="8" w:space="0" w:color="auto"/>
            </w:tcBorders>
            <w:hideMark/>
          </w:tcPr>
          <w:p w:rsidR="003A39B8" w:rsidRPr="0036137B" w:rsidRDefault="003A39B8" w:rsidP="005D3256">
            <w:pPr>
              <w:spacing w:before="60" w:after="60"/>
              <w:jc w:val="center"/>
              <w:rPr>
                <w:szCs w:val="24"/>
              </w:rPr>
            </w:pPr>
            <w:r w:rsidRPr="0036137B">
              <w:t>Skupna dodatna sredstva za odobritve za prevzem obveznosti na podlagi člena 5</w:t>
            </w:r>
          </w:p>
        </w:tc>
      </w:tr>
      <w:tr w:rsidR="003A39B8" w:rsidRPr="0036137B" w:rsidTr="005D3256">
        <w:trPr>
          <w:trHeight w:val="20"/>
        </w:trPr>
        <w:tc>
          <w:tcPr>
            <w:tcW w:w="1810" w:type="pct"/>
            <w:tcBorders>
              <w:top w:val="single" w:sz="8" w:space="0" w:color="auto"/>
            </w:tcBorders>
            <w:noWrap/>
          </w:tcPr>
          <w:p w:rsidR="003A39B8" w:rsidRPr="0036137B" w:rsidRDefault="003A39B8" w:rsidP="005D3256">
            <w:pPr>
              <w:spacing w:before="60" w:after="60"/>
              <w:jc w:val="center"/>
              <w:rPr>
                <w:szCs w:val="24"/>
              </w:rPr>
            </w:pPr>
          </w:p>
        </w:tc>
        <w:tc>
          <w:tcPr>
            <w:tcW w:w="815" w:type="pct"/>
            <w:tcBorders>
              <w:top w:val="single" w:sz="8" w:space="0" w:color="auto"/>
            </w:tcBorders>
            <w:noWrap/>
          </w:tcPr>
          <w:p w:rsidR="003A39B8" w:rsidRPr="0036137B" w:rsidRDefault="003A39B8" w:rsidP="005D3256">
            <w:pPr>
              <w:spacing w:before="60" w:after="60"/>
              <w:jc w:val="center"/>
              <w:rPr>
                <w:b/>
                <w:szCs w:val="24"/>
              </w:rPr>
            </w:pPr>
            <w:r w:rsidRPr="0036137B">
              <w:rPr>
                <w:b/>
              </w:rPr>
              <w:t>2022-2024</w:t>
            </w:r>
          </w:p>
        </w:tc>
        <w:tc>
          <w:tcPr>
            <w:tcW w:w="863" w:type="pct"/>
            <w:tcBorders>
              <w:top w:val="single" w:sz="8" w:space="0" w:color="auto"/>
            </w:tcBorders>
          </w:tcPr>
          <w:p w:rsidR="003A39B8" w:rsidRPr="0036137B" w:rsidRDefault="003A39B8" w:rsidP="005D3256">
            <w:pPr>
              <w:spacing w:before="60" w:after="60"/>
              <w:jc w:val="center"/>
              <w:rPr>
                <w:b/>
                <w:szCs w:val="24"/>
              </w:rPr>
            </w:pPr>
            <w:r w:rsidRPr="0036137B">
              <w:rPr>
                <w:b/>
              </w:rPr>
              <w:t>2025-2027</w:t>
            </w:r>
          </w:p>
        </w:tc>
        <w:tc>
          <w:tcPr>
            <w:tcW w:w="1512" w:type="pct"/>
            <w:tcBorders>
              <w:top w:val="single" w:sz="8" w:space="0" w:color="auto"/>
            </w:tcBorders>
          </w:tcPr>
          <w:p w:rsidR="003A39B8" w:rsidRPr="0036137B" w:rsidRDefault="003A39B8" w:rsidP="005D3256">
            <w:pPr>
              <w:spacing w:before="60" w:after="60"/>
              <w:jc w:val="center"/>
              <w:rPr>
                <w:szCs w:val="24"/>
              </w:rPr>
            </w:pPr>
          </w:p>
        </w:tc>
      </w:tr>
      <w:tr w:rsidR="003A39B8" w:rsidRPr="0036137B" w:rsidTr="005D3256">
        <w:trPr>
          <w:trHeight w:val="20"/>
        </w:trPr>
        <w:tc>
          <w:tcPr>
            <w:tcW w:w="1810" w:type="pct"/>
            <w:noWrap/>
            <w:hideMark/>
          </w:tcPr>
          <w:p w:rsidR="003A39B8" w:rsidRPr="0036137B" w:rsidRDefault="003A39B8" w:rsidP="005D3256">
            <w:pPr>
              <w:pStyle w:val="Point0"/>
              <w:spacing w:before="60" w:after="60" w:line="240" w:lineRule="auto"/>
              <w:rPr>
                <w:b/>
                <w:bCs/>
                <w:szCs w:val="24"/>
              </w:rPr>
            </w:pPr>
            <w:r w:rsidRPr="0036137B">
              <w:rPr>
                <w:b/>
              </w:rPr>
              <w:t>1.</w:t>
            </w:r>
            <w:r w:rsidRPr="0036137B">
              <w:rPr>
                <w:b/>
              </w:rPr>
              <w:tab/>
              <w:t xml:space="preserve">Enotni trg, Inovacije in Digitalno </w:t>
            </w:r>
          </w:p>
        </w:tc>
        <w:tc>
          <w:tcPr>
            <w:tcW w:w="815" w:type="pct"/>
            <w:noWrap/>
            <w:hideMark/>
          </w:tcPr>
          <w:p w:rsidR="003A39B8" w:rsidRPr="0036137B" w:rsidRDefault="003A39B8" w:rsidP="005D3256">
            <w:pPr>
              <w:spacing w:before="60" w:after="60"/>
              <w:ind w:right="567"/>
              <w:jc w:val="right"/>
              <w:rPr>
                <w:b/>
                <w:szCs w:val="24"/>
              </w:rPr>
            </w:pPr>
            <w:r w:rsidRPr="0036137B">
              <w:rPr>
                <w:b/>
              </w:rPr>
              <w:t>36,36 %</w:t>
            </w:r>
          </w:p>
        </w:tc>
        <w:tc>
          <w:tcPr>
            <w:tcW w:w="863" w:type="pct"/>
          </w:tcPr>
          <w:p w:rsidR="003A39B8" w:rsidRPr="0036137B" w:rsidRDefault="003A39B8" w:rsidP="005D3256">
            <w:pPr>
              <w:spacing w:before="60" w:after="60"/>
              <w:ind w:right="567"/>
              <w:jc w:val="right"/>
              <w:rPr>
                <w:b/>
                <w:szCs w:val="24"/>
              </w:rPr>
            </w:pPr>
            <w:r w:rsidRPr="0036137B">
              <w:rPr>
                <w:b/>
              </w:rPr>
              <w:t>41,79 %</w:t>
            </w:r>
          </w:p>
        </w:tc>
        <w:tc>
          <w:tcPr>
            <w:tcW w:w="1512" w:type="pct"/>
            <w:noWrap/>
            <w:hideMark/>
          </w:tcPr>
          <w:p w:rsidR="003A39B8" w:rsidRPr="0036137B" w:rsidRDefault="003A39B8" w:rsidP="005D3256">
            <w:pPr>
              <w:spacing w:before="60" w:after="60"/>
              <w:ind w:right="1134"/>
              <w:jc w:val="right"/>
              <w:rPr>
                <w:b/>
                <w:szCs w:val="24"/>
              </w:rPr>
            </w:pPr>
            <w:r w:rsidRPr="0036137B">
              <w:rPr>
                <w:b/>
              </w:rPr>
              <w:t>4 000</w:t>
            </w:r>
          </w:p>
        </w:tc>
      </w:tr>
      <w:tr w:rsidR="003A39B8" w:rsidRPr="0036137B" w:rsidTr="005D3256">
        <w:trPr>
          <w:trHeight w:val="20"/>
        </w:trPr>
        <w:tc>
          <w:tcPr>
            <w:tcW w:w="1810" w:type="pct"/>
            <w:noWrap/>
            <w:hideMark/>
          </w:tcPr>
          <w:p w:rsidR="003A39B8" w:rsidRPr="0036137B" w:rsidRDefault="003A39B8" w:rsidP="005D3256">
            <w:pPr>
              <w:pStyle w:val="Text1"/>
              <w:spacing w:before="60" w:after="60" w:line="240" w:lineRule="auto"/>
              <w:rPr>
                <w:szCs w:val="24"/>
              </w:rPr>
            </w:pPr>
            <w:r w:rsidRPr="0036137B">
              <w:t>Obzorje Evropa</w:t>
            </w:r>
          </w:p>
        </w:tc>
        <w:tc>
          <w:tcPr>
            <w:tcW w:w="815" w:type="pct"/>
            <w:noWrap/>
            <w:hideMark/>
          </w:tcPr>
          <w:p w:rsidR="003A39B8" w:rsidRPr="0036137B" w:rsidRDefault="003A39B8" w:rsidP="005D3256">
            <w:pPr>
              <w:spacing w:before="60" w:after="60"/>
              <w:ind w:left="-156" w:right="567" w:firstLine="156"/>
              <w:jc w:val="right"/>
              <w:rPr>
                <w:szCs w:val="24"/>
              </w:rPr>
            </w:pPr>
            <w:r w:rsidRPr="0036137B">
              <w:t>27,27 %</w:t>
            </w:r>
          </w:p>
        </w:tc>
        <w:tc>
          <w:tcPr>
            <w:tcW w:w="863" w:type="pct"/>
          </w:tcPr>
          <w:p w:rsidR="003A39B8" w:rsidRPr="0036137B" w:rsidRDefault="003A39B8" w:rsidP="005D3256">
            <w:pPr>
              <w:spacing w:before="60" w:after="60"/>
              <w:ind w:right="567"/>
              <w:jc w:val="right"/>
              <w:rPr>
                <w:szCs w:val="24"/>
              </w:rPr>
            </w:pPr>
            <w:r w:rsidRPr="0036137B">
              <w:t>31,34 %</w:t>
            </w:r>
          </w:p>
        </w:tc>
        <w:tc>
          <w:tcPr>
            <w:tcW w:w="1512" w:type="pct"/>
            <w:noWrap/>
            <w:hideMark/>
          </w:tcPr>
          <w:p w:rsidR="003A39B8" w:rsidRPr="0036137B" w:rsidRDefault="003A39B8" w:rsidP="005D3256">
            <w:pPr>
              <w:spacing w:before="60" w:after="60"/>
              <w:ind w:right="1134"/>
              <w:jc w:val="right"/>
              <w:rPr>
                <w:szCs w:val="24"/>
              </w:rPr>
            </w:pPr>
            <w:r w:rsidRPr="0036137B">
              <w:t>3 000</w:t>
            </w:r>
          </w:p>
        </w:tc>
      </w:tr>
      <w:tr w:rsidR="003A39B8" w:rsidRPr="0036137B" w:rsidTr="005D3256">
        <w:trPr>
          <w:trHeight w:val="20"/>
        </w:trPr>
        <w:tc>
          <w:tcPr>
            <w:tcW w:w="1810" w:type="pct"/>
            <w:noWrap/>
            <w:hideMark/>
          </w:tcPr>
          <w:p w:rsidR="003A39B8" w:rsidRPr="0036137B" w:rsidRDefault="003A39B8" w:rsidP="005D3256">
            <w:pPr>
              <w:pStyle w:val="Text1"/>
              <w:spacing w:before="60" w:after="60" w:line="240" w:lineRule="auto"/>
              <w:rPr>
                <w:szCs w:val="24"/>
              </w:rPr>
            </w:pPr>
            <w:r w:rsidRPr="0036137B">
              <w:t xml:space="preserve">Sklad InvestEU </w:t>
            </w:r>
          </w:p>
        </w:tc>
        <w:tc>
          <w:tcPr>
            <w:tcW w:w="815" w:type="pct"/>
            <w:noWrap/>
            <w:hideMark/>
          </w:tcPr>
          <w:p w:rsidR="003A39B8" w:rsidRPr="0036137B" w:rsidRDefault="003A39B8" w:rsidP="005D3256">
            <w:pPr>
              <w:spacing w:before="60" w:after="60"/>
              <w:ind w:right="567"/>
              <w:jc w:val="right"/>
              <w:rPr>
                <w:szCs w:val="24"/>
              </w:rPr>
            </w:pPr>
            <w:r w:rsidRPr="0036137B">
              <w:t>9,09 %</w:t>
            </w:r>
          </w:p>
        </w:tc>
        <w:tc>
          <w:tcPr>
            <w:tcW w:w="863" w:type="pct"/>
          </w:tcPr>
          <w:p w:rsidR="003A39B8" w:rsidRPr="0036137B" w:rsidRDefault="003A39B8" w:rsidP="005D3256">
            <w:pPr>
              <w:spacing w:before="60" w:after="60"/>
              <w:ind w:right="567"/>
              <w:jc w:val="right"/>
              <w:rPr>
                <w:szCs w:val="24"/>
              </w:rPr>
            </w:pPr>
            <w:r w:rsidRPr="0036137B">
              <w:t>10,45 %</w:t>
            </w:r>
          </w:p>
        </w:tc>
        <w:tc>
          <w:tcPr>
            <w:tcW w:w="1512" w:type="pct"/>
            <w:noWrap/>
            <w:hideMark/>
          </w:tcPr>
          <w:p w:rsidR="003A39B8" w:rsidRPr="0036137B" w:rsidRDefault="003A39B8" w:rsidP="005D3256">
            <w:pPr>
              <w:spacing w:before="60" w:after="60"/>
              <w:ind w:right="1134"/>
              <w:jc w:val="right"/>
              <w:rPr>
                <w:szCs w:val="24"/>
              </w:rPr>
            </w:pPr>
            <w:r w:rsidRPr="0036137B">
              <w:t>1 000</w:t>
            </w:r>
          </w:p>
        </w:tc>
      </w:tr>
      <w:tr w:rsidR="003A39B8" w:rsidRPr="0036137B" w:rsidTr="005D3256">
        <w:trPr>
          <w:trHeight w:val="20"/>
        </w:trPr>
        <w:tc>
          <w:tcPr>
            <w:tcW w:w="1810" w:type="pct"/>
            <w:noWrap/>
            <w:hideMark/>
          </w:tcPr>
          <w:p w:rsidR="003A39B8" w:rsidRPr="0036137B" w:rsidRDefault="003A39B8" w:rsidP="005D3256">
            <w:pPr>
              <w:pStyle w:val="Point0"/>
              <w:spacing w:before="60" w:after="60" w:line="240" w:lineRule="auto"/>
              <w:rPr>
                <w:b/>
                <w:bCs/>
                <w:szCs w:val="24"/>
              </w:rPr>
            </w:pPr>
            <w:r w:rsidRPr="0036137B">
              <w:rPr>
                <w:b/>
              </w:rPr>
              <w:t>2b.</w:t>
            </w:r>
            <w:r w:rsidRPr="0036137B">
              <w:rPr>
                <w:b/>
              </w:rPr>
              <w:tab/>
              <w:t>Odpornost in vrednote</w:t>
            </w:r>
          </w:p>
        </w:tc>
        <w:tc>
          <w:tcPr>
            <w:tcW w:w="815" w:type="pct"/>
            <w:noWrap/>
            <w:hideMark/>
          </w:tcPr>
          <w:p w:rsidR="003A39B8" w:rsidRPr="0036137B" w:rsidRDefault="003A39B8" w:rsidP="005D3256">
            <w:pPr>
              <w:spacing w:before="60" w:after="60"/>
              <w:ind w:right="567"/>
              <w:jc w:val="right"/>
              <w:rPr>
                <w:b/>
                <w:szCs w:val="24"/>
              </w:rPr>
            </w:pPr>
            <w:r w:rsidRPr="0036137B">
              <w:rPr>
                <w:b/>
              </w:rPr>
              <w:t>54,55 %</w:t>
            </w:r>
          </w:p>
        </w:tc>
        <w:tc>
          <w:tcPr>
            <w:tcW w:w="863" w:type="pct"/>
          </w:tcPr>
          <w:p w:rsidR="003A39B8" w:rsidRPr="0036137B" w:rsidRDefault="003A39B8" w:rsidP="005D3256">
            <w:pPr>
              <w:spacing w:before="60" w:after="60"/>
              <w:ind w:right="567"/>
              <w:jc w:val="right"/>
              <w:rPr>
                <w:b/>
                <w:szCs w:val="24"/>
              </w:rPr>
            </w:pPr>
            <w:r w:rsidRPr="0036137B">
              <w:rPr>
                <w:b/>
              </w:rPr>
              <w:t>47,76 %</w:t>
            </w:r>
          </w:p>
        </w:tc>
        <w:tc>
          <w:tcPr>
            <w:tcW w:w="1512" w:type="pct"/>
            <w:noWrap/>
            <w:hideMark/>
          </w:tcPr>
          <w:p w:rsidR="003A39B8" w:rsidRPr="0036137B" w:rsidRDefault="003A39B8" w:rsidP="005D3256">
            <w:pPr>
              <w:spacing w:before="60" w:after="60"/>
              <w:ind w:right="1134"/>
              <w:jc w:val="right"/>
              <w:rPr>
                <w:b/>
                <w:strike/>
                <w:szCs w:val="24"/>
              </w:rPr>
            </w:pPr>
            <w:r w:rsidRPr="0036137B">
              <w:rPr>
                <w:b/>
              </w:rPr>
              <w:t>5 155</w:t>
            </w:r>
          </w:p>
        </w:tc>
      </w:tr>
      <w:tr w:rsidR="003A39B8" w:rsidRPr="0036137B" w:rsidTr="005D3256">
        <w:trPr>
          <w:trHeight w:val="20"/>
        </w:trPr>
        <w:tc>
          <w:tcPr>
            <w:tcW w:w="1810" w:type="pct"/>
            <w:noWrap/>
            <w:hideMark/>
          </w:tcPr>
          <w:p w:rsidR="003A39B8" w:rsidRPr="0036137B" w:rsidRDefault="003A39B8" w:rsidP="005D3256">
            <w:pPr>
              <w:pStyle w:val="Text1"/>
              <w:spacing w:before="60" w:after="60" w:line="240" w:lineRule="auto"/>
              <w:rPr>
                <w:szCs w:val="24"/>
              </w:rPr>
            </w:pPr>
            <w:r w:rsidRPr="0036137B">
              <w:t xml:space="preserve">EU za zdravje </w:t>
            </w:r>
          </w:p>
        </w:tc>
        <w:tc>
          <w:tcPr>
            <w:tcW w:w="815" w:type="pct"/>
            <w:noWrap/>
            <w:hideMark/>
          </w:tcPr>
          <w:p w:rsidR="003A39B8" w:rsidRPr="0036137B" w:rsidRDefault="003A39B8" w:rsidP="005D3256">
            <w:pPr>
              <w:spacing w:before="60" w:after="60"/>
              <w:ind w:right="567"/>
              <w:jc w:val="right"/>
              <w:rPr>
                <w:szCs w:val="24"/>
              </w:rPr>
            </w:pPr>
            <w:r w:rsidRPr="0036137B">
              <w:t>26,37 %</w:t>
            </w:r>
          </w:p>
        </w:tc>
        <w:tc>
          <w:tcPr>
            <w:tcW w:w="863" w:type="pct"/>
          </w:tcPr>
          <w:p w:rsidR="003A39B8" w:rsidRPr="0036137B" w:rsidRDefault="003A39B8" w:rsidP="005D3256">
            <w:pPr>
              <w:spacing w:before="60" w:after="60"/>
              <w:ind w:right="567"/>
              <w:jc w:val="right"/>
              <w:rPr>
                <w:szCs w:val="24"/>
              </w:rPr>
            </w:pPr>
            <w:r w:rsidRPr="0036137B">
              <w:t>15,37 %</w:t>
            </w:r>
          </w:p>
        </w:tc>
        <w:tc>
          <w:tcPr>
            <w:tcW w:w="1512" w:type="pct"/>
            <w:noWrap/>
            <w:hideMark/>
          </w:tcPr>
          <w:p w:rsidR="003A39B8" w:rsidRPr="0036137B" w:rsidRDefault="003A39B8" w:rsidP="005D3256">
            <w:pPr>
              <w:spacing w:before="60" w:after="60"/>
              <w:ind w:right="1134"/>
              <w:jc w:val="right"/>
              <w:rPr>
                <w:bCs/>
                <w:strike/>
                <w:szCs w:val="24"/>
              </w:rPr>
            </w:pPr>
            <w:r w:rsidRPr="0036137B">
              <w:t>2 055</w:t>
            </w:r>
          </w:p>
        </w:tc>
      </w:tr>
      <w:tr w:rsidR="003A39B8" w:rsidRPr="0036137B" w:rsidTr="005D3256">
        <w:trPr>
          <w:trHeight w:val="20"/>
        </w:trPr>
        <w:tc>
          <w:tcPr>
            <w:tcW w:w="1810" w:type="pct"/>
            <w:noWrap/>
            <w:hideMark/>
          </w:tcPr>
          <w:p w:rsidR="003A39B8" w:rsidRPr="0036137B" w:rsidRDefault="003A39B8" w:rsidP="005D3256">
            <w:pPr>
              <w:pStyle w:val="Text1"/>
              <w:spacing w:before="60" w:after="60" w:line="240" w:lineRule="auto"/>
              <w:rPr>
                <w:szCs w:val="24"/>
              </w:rPr>
            </w:pPr>
            <w:proofErr w:type="spellStart"/>
            <w:r w:rsidRPr="0036137B">
              <w:t>Erasmus</w:t>
            </w:r>
            <w:proofErr w:type="spellEnd"/>
            <w:r w:rsidRPr="0036137B">
              <w:t>+</w:t>
            </w:r>
          </w:p>
        </w:tc>
        <w:tc>
          <w:tcPr>
            <w:tcW w:w="815" w:type="pct"/>
            <w:noWrap/>
            <w:hideMark/>
          </w:tcPr>
          <w:p w:rsidR="003A39B8" w:rsidRPr="0036137B" w:rsidRDefault="003A39B8" w:rsidP="005D3256">
            <w:pPr>
              <w:spacing w:before="60" w:after="60"/>
              <w:ind w:right="567"/>
              <w:jc w:val="right"/>
              <w:rPr>
                <w:szCs w:val="24"/>
              </w:rPr>
            </w:pPr>
            <w:r w:rsidRPr="0036137B">
              <w:t>15,46 %</w:t>
            </w:r>
          </w:p>
        </w:tc>
        <w:tc>
          <w:tcPr>
            <w:tcW w:w="863" w:type="pct"/>
          </w:tcPr>
          <w:p w:rsidR="003A39B8" w:rsidRPr="0036137B" w:rsidRDefault="003A39B8" w:rsidP="005D3256">
            <w:pPr>
              <w:spacing w:before="60" w:after="60"/>
              <w:ind w:right="567"/>
              <w:jc w:val="right"/>
              <w:rPr>
                <w:szCs w:val="24"/>
              </w:rPr>
            </w:pPr>
            <w:r w:rsidRPr="0036137B">
              <w:t>17,77 %</w:t>
            </w:r>
          </w:p>
        </w:tc>
        <w:tc>
          <w:tcPr>
            <w:tcW w:w="1512" w:type="pct"/>
            <w:noWrap/>
            <w:hideMark/>
          </w:tcPr>
          <w:p w:rsidR="003A39B8" w:rsidRPr="0036137B" w:rsidRDefault="003A39B8" w:rsidP="005D3256">
            <w:pPr>
              <w:spacing w:before="60" w:after="60"/>
              <w:ind w:right="1134"/>
              <w:jc w:val="right"/>
              <w:rPr>
                <w:szCs w:val="24"/>
              </w:rPr>
            </w:pPr>
            <w:r w:rsidRPr="0036137B">
              <w:t>1 700</w:t>
            </w:r>
          </w:p>
        </w:tc>
      </w:tr>
      <w:tr w:rsidR="003A39B8" w:rsidRPr="0036137B" w:rsidTr="005D3256">
        <w:trPr>
          <w:trHeight w:val="20"/>
        </w:trPr>
        <w:tc>
          <w:tcPr>
            <w:tcW w:w="1810" w:type="pct"/>
            <w:noWrap/>
            <w:hideMark/>
          </w:tcPr>
          <w:p w:rsidR="003A39B8" w:rsidRPr="0036137B" w:rsidRDefault="003A39B8" w:rsidP="005D3256">
            <w:pPr>
              <w:pStyle w:val="Text1"/>
              <w:spacing w:before="60" w:after="60" w:line="240" w:lineRule="auto"/>
              <w:rPr>
                <w:szCs w:val="24"/>
              </w:rPr>
            </w:pPr>
            <w:r w:rsidRPr="0036137B">
              <w:t>Ustvarjalna Evropa</w:t>
            </w:r>
          </w:p>
        </w:tc>
        <w:tc>
          <w:tcPr>
            <w:tcW w:w="815" w:type="pct"/>
            <w:noWrap/>
            <w:hideMark/>
          </w:tcPr>
          <w:p w:rsidR="003A39B8" w:rsidRPr="0036137B" w:rsidRDefault="003A39B8" w:rsidP="005D3256">
            <w:pPr>
              <w:spacing w:before="60" w:after="60"/>
              <w:ind w:right="567"/>
              <w:jc w:val="right"/>
              <w:rPr>
                <w:szCs w:val="24"/>
              </w:rPr>
            </w:pPr>
            <w:r w:rsidRPr="0036137B">
              <w:t>5,45 %</w:t>
            </w:r>
          </w:p>
        </w:tc>
        <w:tc>
          <w:tcPr>
            <w:tcW w:w="863" w:type="pct"/>
          </w:tcPr>
          <w:p w:rsidR="003A39B8" w:rsidRPr="0036137B" w:rsidRDefault="003A39B8" w:rsidP="005D3256">
            <w:pPr>
              <w:spacing w:before="60" w:after="60"/>
              <w:ind w:right="567"/>
              <w:jc w:val="right"/>
              <w:rPr>
                <w:szCs w:val="24"/>
              </w:rPr>
            </w:pPr>
            <w:r w:rsidRPr="0036137B">
              <w:t>6,26 %</w:t>
            </w:r>
          </w:p>
        </w:tc>
        <w:tc>
          <w:tcPr>
            <w:tcW w:w="1512" w:type="pct"/>
            <w:noWrap/>
            <w:hideMark/>
          </w:tcPr>
          <w:p w:rsidR="003A39B8" w:rsidRPr="0036137B" w:rsidRDefault="003A39B8" w:rsidP="005D3256">
            <w:pPr>
              <w:spacing w:before="60" w:after="60"/>
              <w:ind w:right="1134"/>
              <w:jc w:val="right"/>
              <w:rPr>
                <w:szCs w:val="24"/>
              </w:rPr>
            </w:pPr>
            <w:r w:rsidRPr="0036137B">
              <w:t>600</w:t>
            </w:r>
          </w:p>
        </w:tc>
      </w:tr>
      <w:tr w:rsidR="003A39B8" w:rsidRPr="0036137B" w:rsidTr="005D3256">
        <w:trPr>
          <w:trHeight w:val="20"/>
        </w:trPr>
        <w:tc>
          <w:tcPr>
            <w:tcW w:w="1810" w:type="pct"/>
            <w:noWrap/>
            <w:hideMark/>
          </w:tcPr>
          <w:p w:rsidR="003A39B8" w:rsidRPr="0036137B" w:rsidRDefault="003A39B8" w:rsidP="005D3256">
            <w:pPr>
              <w:pStyle w:val="Text1"/>
              <w:spacing w:before="60" w:after="60" w:line="240" w:lineRule="auto"/>
              <w:rPr>
                <w:szCs w:val="24"/>
              </w:rPr>
            </w:pPr>
            <w:r w:rsidRPr="0036137B">
              <w:t>Pravice in vrednote</w:t>
            </w:r>
          </w:p>
        </w:tc>
        <w:tc>
          <w:tcPr>
            <w:tcW w:w="815" w:type="pct"/>
            <w:noWrap/>
            <w:hideMark/>
          </w:tcPr>
          <w:p w:rsidR="003A39B8" w:rsidRPr="0036137B" w:rsidRDefault="003A39B8" w:rsidP="005D3256">
            <w:pPr>
              <w:spacing w:before="60" w:after="60"/>
              <w:ind w:right="567"/>
              <w:jc w:val="right"/>
              <w:rPr>
                <w:szCs w:val="24"/>
              </w:rPr>
            </w:pPr>
            <w:r w:rsidRPr="0036137B">
              <w:t>7,27 %</w:t>
            </w:r>
          </w:p>
        </w:tc>
        <w:tc>
          <w:tcPr>
            <w:tcW w:w="863" w:type="pct"/>
          </w:tcPr>
          <w:p w:rsidR="003A39B8" w:rsidRPr="0036137B" w:rsidRDefault="003A39B8" w:rsidP="005D3256">
            <w:pPr>
              <w:spacing w:before="60" w:after="60"/>
              <w:ind w:right="567"/>
              <w:jc w:val="right"/>
              <w:rPr>
                <w:b/>
                <w:szCs w:val="24"/>
              </w:rPr>
            </w:pPr>
            <w:r w:rsidRPr="0036137B">
              <w:rPr>
                <w:b/>
              </w:rPr>
              <w:t>8,36 %</w:t>
            </w:r>
          </w:p>
        </w:tc>
        <w:tc>
          <w:tcPr>
            <w:tcW w:w="1512" w:type="pct"/>
            <w:noWrap/>
            <w:hideMark/>
          </w:tcPr>
          <w:p w:rsidR="003A39B8" w:rsidRPr="0036137B" w:rsidRDefault="003A39B8" w:rsidP="005D3256">
            <w:pPr>
              <w:spacing w:before="60" w:after="60"/>
              <w:ind w:right="1134"/>
              <w:jc w:val="right"/>
              <w:rPr>
                <w:szCs w:val="24"/>
              </w:rPr>
            </w:pPr>
            <w:r w:rsidRPr="0036137B">
              <w:t>800</w:t>
            </w:r>
          </w:p>
        </w:tc>
      </w:tr>
      <w:tr w:rsidR="003A39B8" w:rsidRPr="0036137B" w:rsidTr="005D3256">
        <w:trPr>
          <w:trHeight w:val="20"/>
        </w:trPr>
        <w:tc>
          <w:tcPr>
            <w:tcW w:w="1810" w:type="pct"/>
            <w:noWrap/>
            <w:hideMark/>
          </w:tcPr>
          <w:p w:rsidR="003A39B8" w:rsidRPr="0036137B" w:rsidRDefault="003A39B8" w:rsidP="005D3256">
            <w:pPr>
              <w:pStyle w:val="Point0"/>
              <w:spacing w:before="60" w:after="60" w:line="240" w:lineRule="auto"/>
              <w:rPr>
                <w:b/>
                <w:bCs/>
                <w:szCs w:val="24"/>
              </w:rPr>
            </w:pPr>
            <w:r w:rsidRPr="0036137B">
              <w:rPr>
                <w:b/>
              </w:rPr>
              <w:t>4.</w:t>
            </w:r>
            <w:r w:rsidRPr="0036137B">
              <w:rPr>
                <w:b/>
              </w:rPr>
              <w:tab/>
              <w:t>Migracije in upravljanje meja</w:t>
            </w:r>
          </w:p>
        </w:tc>
        <w:tc>
          <w:tcPr>
            <w:tcW w:w="815" w:type="pct"/>
            <w:noWrap/>
            <w:hideMark/>
          </w:tcPr>
          <w:p w:rsidR="003A39B8" w:rsidRPr="0036137B" w:rsidRDefault="003A39B8" w:rsidP="005D3256">
            <w:pPr>
              <w:spacing w:before="60" w:after="60"/>
              <w:ind w:right="567"/>
              <w:jc w:val="right"/>
              <w:rPr>
                <w:b/>
                <w:szCs w:val="24"/>
              </w:rPr>
            </w:pPr>
            <w:r w:rsidRPr="0036137B">
              <w:rPr>
                <w:b/>
              </w:rPr>
              <w:t>9,09 %</w:t>
            </w:r>
          </w:p>
        </w:tc>
        <w:tc>
          <w:tcPr>
            <w:tcW w:w="863" w:type="pct"/>
          </w:tcPr>
          <w:p w:rsidR="003A39B8" w:rsidRPr="0036137B" w:rsidRDefault="003A39B8" w:rsidP="005D3256">
            <w:pPr>
              <w:spacing w:before="60" w:after="60"/>
              <w:ind w:right="567"/>
              <w:jc w:val="right"/>
              <w:rPr>
                <w:b/>
                <w:szCs w:val="24"/>
              </w:rPr>
            </w:pPr>
            <w:r w:rsidRPr="0036137B">
              <w:rPr>
                <w:b/>
              </w:rPr>
              <w:t>10,45 %</w:t>
            </w:r>
          </w:p>
        </w:tc>
        <w:tc>
          <w:tcPr>
            <w:tcW w:w="1512" w:type="pct"/>
            <w:noWrap/>
            <w:hideMark/>
          </w:tcPr>
          <w:p w:rsidR="003A39B8" w:rsidRPr="0036137B" w:rsidRDefault="003A39B8" w:rsidP="005D3256">
            <w:pPr>
              <w:spacing w:before="60" w:after="60"/>
              <w:ind w:right="1134"/>
              <w:jc w:val="right"/>
              <w:rPr>
                <w:b/>
                <w:szCs w:val="24"/>
              </w:rPr>
            </w:pPr>
            <w:r w:rsidRPr="0036137B">
              <w:rPr>
                <w:b/>
              </w:rPr>
              <w:t>1 000</w:t>
            </w:r>
          </w:p>
        </w:tc>
      </w:tr>
      <w:tr w:rsidR="003A39B8" w:rsidRPr="0036137B" w:rsidTr="005D3256">
        <w:trPr>
          <w:trHeight w:val="20"/>
        </w:trPr>
        <w:tc>
          <w:tcPr>
            <w:tcW w:w="1810" w:type="pct"/>
            <w:noWrap/>
            <w:hideMark/>
          </w:tcPr>
          <w:p w:rsidR="003A39B8" w:rsidRPr="0036137B" w:rsidRDefault="003A39B8" w:rsidP="005D3256">
            <w:pPr>
              <w:pStyle w:val="Text1"/>
              <w:spacing w:before="60" w:after="60" w:line="240" w:lineRule="auto"/>
              <w:rPr>
                <w:szCs w:val="24"/>
              </w:rPr>
            </w:pPr>
            <w:r w:rsidRPr="0036137B">
              <w:t>Sklad za integrirano upravljanje meja</w:t>
            </w:r>
          </w:p>
        </w:tc>
        <w:tc>
          <w:tcPr>
            <w:tcW w:w="815" w:type="pct"/>
            <w:noWrap/>
            <w:hideMark/>
          </w:tcPr>
          <w:p w:rsidR="003A39B8" w:rsidRPr="0036137B" w:rsidRDefault="003A39B8" w:rsidP="005D3256">
            <w:pPr>
              <w:spacing w:before="60" w:after="60"/>
              <w:ind w:right="567"/>
              <w:jc w:val="right"/>
              <w:rPr>
                <w:szCs w:val="24"/>
              </w:rPr>
            </w:pPr>
            <w:r w:rsidRPr="0036137B">
              <w:t>9,09 %</w:t>
            </w:r>
          </w:p>
        </w:tc>
        <w:tc>
          <w:tcPr>
            <w:tcW w:w="863" w:type="pct"/>
          </w:tcPr>
          <w:p w:rsidR="003A39B8" w:rsidRPr="0036137B" w:rsidRDefault="003A39B8" w:rsidP="005D3256">
            <w:pPr>
              <w:spacing w:before="60" w:after="60"/>
              <w:ind w:right="567"/>
              <w:jc w:val="right"/>
              <w:rPr>
                <w:szCs w:val="24"/>
              </w:rPr>
            </w:pPr>
            <w:r w:rsidRPr="0036137B">
              <w:t>10,45 %</w:t>
            </w:r>
          </w:p>
        </w:tc>
        <w:tc>
          <w:tcPr>
            <w:tcW w:w="1512" w:type="pct"/>
            <w:noWrap/>
            <w:hideMark/>
          </w:tcPr>
          <w:p w:rsidR="003A39B8" w:rsidRPr="0036137B" w:rsidRDefault="003A39B8" w:rsidP="005D3256">
            <w:pPr>
              <w:spacing w:before="60" w:after="60"/>
              <w:ind w:right="1134"/>
              <w:jc w:val="right"/>
              <w:rPr>
                <w:szCs w:val="24"/>
              </w:rPr>
            </w:pPr>
            <w:r w:rsidRPr="0036137B">
              <w:t>1 000</w:t>
            </w:r>
          </w:p>
        </w:tc>
      </w:tr>
      <w:tr w:rsidR="003A39B8" w:rsidRPr="0036137B" w:rsidTr="005D3256">
        <w:trPr>
          <w:trHeight w:val="20"/>
        </w:trPr>
        <w:tc>
          <w:tcPr>
            <w:tcW w:w="1810" w:type="pct"/>
            <w:tcBorders>
              <w:bottom w:val="single" w:sz="4" w:space="0" w:color="auto"/>
            </w:tcBorders>
            <w:noWrap/>
            <w:hideMark/>
          </w:tcPr>
          <w:p w:rsidR="003A39B8" w:rsidRPr="0036137B" w:rsidRDefault="003A39B8" w:rsidP="005D3256">
            <w:pPr>
              <w:spacing w:before="60" w:after="60"/>
              <w:rPr>
                <w:b/>
                <w:szCs w:val="24"/>
              </w:rPr>
            </w:pPr>
            <w:r w:rsidRPr="0036137B">
              <w:rPr>
                <w:b/>
              </w:rPr>
              <w:t>SKUPAJ</w:t>
            </w:r>
          </w:p>
        </w:tc>
        <w:tc>
          <w:tcPr>
            <w:tcW w:w="815" w:type="pct"/>
            <w:tcBorders>
              <w:bottom w:val="single" w:sz="4" w:space="0" w:color="auto"/>
            </w:tcBorders>
            <w:noWrap/>
            <w:hideMark/>
          </w:tcPr>
          <w:p w:rsidR="003A39B8" w:rsidRPr="0036137B" w:rsidRDefault="003A39B8" w:rsidP="005D3256">
            <w:pPr>
              <w:spacing w:before="60" w:after="60"/>
              <w:ind w:right="567"/>
              <w:jc w:val="right"/>
              <w:rPr>
                <w:b/>
                <w:szCs w:val="24"/>
              </w:rPr>
            </w:pPr>
            <w:r w:rsidRPr="0036137B">
              <w:rPr>
                <w:b/>
              </w:rPr>
              <w:t>100,00 %</w:t>
            </w:r>
          </w:p>
        </w:tc>
        <w:tc>
          <w:tcPr>
            <w:tcW w:w="863" w:type="pct"/>
            <w:tcBorders>
              <w:bottom w:val="single" w:sz="4" w:space="0" w:color="auto"/>
            </w:tcBorders>
          </w:tcPr>
          <w:p w:rsidR="003A39B8" w:rsidRPr="0036137B" w:rsidRDefault="003A39B8" w:rsidP="005D3256">
            <w:pPr>
              <w:spacing w:before="60" w:after="60"/>
              <w:ind w:right="567"/>
              <w:jc w:val="right"/>
              <w:rPr>
                <w:b/>
                <w:szCs w:val="24"/>
              </w:rPr>
            </w:pPr>
            <w:r w:rsidRPr="0036137B">
              <w:rPr>
                <w:b/>
              </w:rPr>
              <w:t>100,00 %</w:t>
            </w:r>
          </w:p>
        </w:tc>
        <w:tc>
          <w:tcPr>
            <w:tcW w:w="1512" w:type="pct"/>
            <w:tcBorders>
              <w:bottom w:val="single" w:sz="4" w:space="0" w:color="auto"/>
            </w:tcBorders>
            <w:noWrap/>
            <w:hideMark/>
          </w:tcPr>
          <w:p w:rsidR="003A39B8" w:rsidRPr="0036137B" w:rsidRDefault="003A39B8" w:rsidP="005D3256">
            <w:pPr>
              <w:spacing w:before="60" w:after="60"/>
              <w:ind w:right="1134"/>
              <w:jc w:val="right"/>
              <w:rPr>
                <w:b/>
                <w:strike/>
                <w:szCs w:val="24"/>
              </w:rPr>
            </w:pPr>
            <w:r w:rsidRPr="0036137B">
              <w:rPr>
                <w:b/>
              </w:rPr>
              <w:t>10 155</w:t>
            </w:r>
          </w:p>
        </w:tc>
      </w:tr>
    </w:tbl>
    <w:p w:rsidR="00E214A0" w:rsidRPr="0036137B" w:rsidRDefault="00E214A0" w:rsidP="00E214A0">
      <w:pPr>
        <w:pStyle w:val="NormalRight"/>
      </w:pPr>
      <w:bookmarkStart w:id="9" w:name="_GoBack"/>
      <w:bookmarkEnd w:id="9"/>
      <w:r w:rsidRPr="0036137B">
        <w:t>“.</w:t>
      </w:r>
    </w:p>
    <w:p w:rsidR="003A39B8" w:rsidRPr="0036137B" w:rsidRDefault="003A39B8" w:rsidP="00E214A0">
      <w:pPr>
        <w:pStyle w:val="LignefinalLandscape"/>
        <w:jc w:val="right"/>
      </w:pPr>
    </w:p>
    <w:p w:rsidR="003A39B8" w:rsidRPr="0036137B" w:rsidRDefault="003A39B8" w:rsidP="003A39B8">
      <w:pPr>
        <w:widowControl/>
        <w:sectPr w:rsidR="003A39B8" w:rsidRPr="0036137B" w:rsidSect="0036137B">
          <w:headerReference w:type="even" r:id="rId15"/>
          <w:headerReference w:type="default" r:id="rId16"/>
          <w:headerReference w:type="first" r:id="rId17"/>
          <w:footerReference w:type="first" r:id="rId18"/>
          <w:footnotePr>
            <w:numRestart w:val="eachPage"/>
          </w:footnotePr>
          <w:endnotePr>
            <w:numFmt w:val="decimal"/>
          </w:endnotePr>
          <w:pgSz w:w="16838" w:h="11906" w:orient="landscape" w:code="9"/>
          <w:pgMar w:top="1418" w:right="1134" w:bottom="1418" w:left="1418" w:header="1134" w:footer="567" w:gutter="0"/>
          <w:cols w:space="720"/>
          <w:noEndnote/>
          <w:docGrid w:linePitch="326"/>
        </w:sectPr>
      </w:pPr>
    </w:p>
    <w:p w:rsidR="003A39B8" w:rsidRPr="0036137B" w:rsidRDefault="003A39B8" w:rsidP="003A39B8">
      <w:pPr>
        <w:pStyle w:val="PageHeading"/>
        <w:rPr>
          <w:caps/>
        </w:rPr>
      </w:pPr>
      <w:bookmarkStart w:id="10" w:name="_Toc159509474"/>
      <w:bookmarkStart w:id="11" w:name="_Toc159568879"/>
      <w:r w:rsidRPr="0036137B">
        <w:t xml:space="preserve">PRILOGA 2: </w:t>
      </w:r>
      <w:r w:rsidRPr="0036137B">
        <w:rPr>
          <w:caps/>
        </w:rPr>
        <w:t>Skupna izjava Evropskega parlamenta, Sveta in Komisije o ponovni uporabi sproščenih sredstev v zvezi z raziskovalnim programom</w:t>
      </w:r>
      <w:bookmarkEnd w:id="10"/>
      <w:bookmarkEnd w:id="11"/>
    </w:p>
    <w:p w:rsidR="003A39B8" w:rsidRPr="0036137B" w:rsidRDefault="003A39B8" w:rsidP="003A39B8">
      <w:pPr>
        <w:pStyle w:val="NormalWeb"/>
        <w:shd w:val="clear" w:color="auto" w:fill="FFFFFF" w:themeFill="background1"/>
        <w:spacing w:before="0" w:beforeAutospacing="0" w:after="240" w:afterAutospacing="0"/>
        <w:jc w:val="both"/>
      </w:pPr>
      <w:r w:rsidRPr="0036137B">
        <w:t>V skupni izjavi z dne 22. decembra 2020 o ponovni uporabi sproščenih sredstev v zvezi z raziskovalnim programom</w:t>
      </w:r>
      <w:r w:rsidRPr="0036137B">
        <w:rPr>
          <w:rStyle w:val="FootnoteReference"/>
        </w:rPr>
        <w:footnoteReference w:id="12"/>
      </w:r>
      <w:r w:rsidRPr="0036137B">
        <w:t xml:space="preserve"> so se Evropski parlament, Svet in Komisija strinjali, da se skladno s členom 15(3) finančne uredbe v obdobju 2021–2027 v korist raziskovalnega programa znova dajo na razpolago odobritve za prevzem obveznosti, ki ustrezajo znesku največ 0,5 milijarde EUR (v cenah iz leta 2018) sprostitev, nastalem kot posledica celotne ali delne </w:t>
      </w:r>
      <w:proofErr w:type="spellStart"/>
      <w:r w:rsidRPr="0036137B">
        <w:t>neizvedbe</w:t>
      </w:r>
      <w:proofErr w:type="spellEnd"/>
      <w:r w:rsidRPr="0036137B">
        <w:t xml:space="preserve"> projektov v sklopu navedenega programa ali njegovega predhodnika.</w:t>
      </w:r>
    </w:p>
    <w:p w:rsidR="003A39B8" w:rsidRPr="0036137B" w:rsidRDefault="003A39B8" w:rsidP="003A39B8">
      <w:r w:rsidRPr="0036137B">
        <w:t xml:space="preserve">Evropski parlament, Svet in Komisija brez poseganja v pooblastila proračunskega organa v okviru letnega proračunskega postopka in v pooblastila Komisije za izvrševanje proračuna soglašajo, da se bo v obdobju 2025–2027 v korist raziskovalnega programa znova dal na razpolago dodaten znesek v višini 100 milijonov EUR (v cenah iz leta 2018), ki ustreza sprostitvam, do katerih je prišlo v letih 2019 in 2020 zaradi celotne ali delne </w:t>
      </w:r>
      <w:proofErr w:type="spellStart"/>
      <w:r w:rsidRPr="0036137B">
        <w:t>neizvedbe</w:t>
      </w:r>
      <w:proofErr w:type="spellEnd"/>
      <w:r w:rsidRPr="0036137B">
        <w:t xml:space="preserve"> projektov v sklopu navedenega programa ali njegovega predhodnika in niso bile znova dane na razpolago v skladu s členom 15(3) finančne uredbe na podlagi skupne izjave z dne 22. decembra 2020. To ne vpliva na zneske sprostitev, ki so dani na razpolago za Instrument EURI iz člena 10a Uredbe (EU, Euratom) 2020/2093.</w:t>
      </w:r>
    </w:p>
    <w:sectPr w:rsidR="003A39B8" w:rsidRPr="0036137B" w:rsidSect="0036137B">
      <w:headerReference w:type="even" r:id="rId19"/>
      <w:headerReference w:type="default" r:id="rId20"/>
      <w:footerReference w:type="even" r:id="rId21"/>
      <w:footerReference w:type="default" r:id="rId22"/>
      <w:headerReference w:type="first" r:id="rId23"/>
      <w:footerReference w:type="first" r:id="rId2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49A" w:rsidRPr="0036137B" w:rsidRDefault="00C5249A">
      <w:r w:rsidRPr="0036137B">
        <w:separator/>
      </w:r>
    </w:p>
  </w:endnote>
  <w:endnote w:type="continuationSeparator" w:id="0">
    <w:p w:rsidR="00C5249A" w:rsidRPr="0036137B" w:rsidRDefault="00C5249A">
      <w:r w:rsidRPr="003613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9B8" w:rsidRPr="0036137B" w:rsidRDefault="003A39B8" w:rsidP="00134BA2">
    <w:pPr>
      <w:pStyle w:val="EPFooter"/>
    </w:pPr>
    <w:r w:rsidRPr="0036137B">
      <w:t>PE</w:t>
    </w:r>
    <w:r w:rsidRPr="0036137B">
      <w:rPr>
        <w:rStyle w:val="HideTWBExt"/>
      </w:rPr>
      <w:t>&lt;NoPE&gt;</w:t>
    </w:r>
    <w:r w:rsidRPr="0036137B">
      <w:t>758.992</w:t>
    </w:r>
    <w:r w:rsidRPr="0036137B">
      <w:rPr>
        <w:rStyle w:val="HideTWBExt"/>
      </w:rPr>
      <w:t>&lt;/NoPE&gt;&lt;Version&gt;</w:t>
    </w:r>
    <w:r w:rsidRPr="0036137B">
      <w:t>v02-00</w:t>
    </w:r>
    <w:r w:rsidRPr="0036137B">
      <w:rPr>
        <w:rStyle w:val="HideTWBExt"/>
      </w:rPr>
      <w:t>&lt;/Version&gt;</w:t>
    </w:r>
    <w:r w:rsidRPr="0036137B">
      <w:tab/>
    </w:r>
    <w:r w:rsidRPr="0036137B">
      <w:fldChar w:fldCharType="begin"/>
    </w:r>
    <w:r w:rsidRPr="0036137B">
      <w:instrText xml:space="preserve"> PAGE  \* MERGEFORMAT </w:instrText>
    </w:r>
    <w:r w:rsidRPr="0036137B">
      <w:fldChar w:fldCharType="separate"/>
    </w:r>
    <w:r w:rsidR="0036137B" w:rsidRPr="0036137B">
      <w:rPr>
        <w:noProof/>
      </w:rPr>
      <w:t>2</w:t>
    </w:r>
    <w:r w:rsidRPr="0036137B">
      <w:fldChar w:fldCharType="end"/>
    </w:r>
    <w:r w:rsidRPr="0036137B">
      <w:t>/</w:t>
    </w:r>
    <w:fldSimple w:instr=" NUMPAGES  \* MERGEFORMAT ">
      <w:r w:rsidR="0036137B" w:rsidRPr="0036137B">
        <w:rPr>
          <w:noProof/>
        </w:rPr>
        <w:t>3</w:t>
      </w:r>
    </w:fldSimple>
    <w:r w:rsidRPr="0036137B">
      <w:tab/>
    </w:r>
    <w:r w:rsidRPr="0036137B">
      <w:rPr>
        <w:rStyle w:val="HideTWBExt"/>
      </w:rPr>
      <w:t>&lt;PathFdR&gt;</w:t>
    </w:r>
    <w:r w:rsidRPr="0036137B">
      <w:t>RR\1297557SL.docx</w:t>
    </w:r>
    <w:r w:rsidRPr="0036137B">
      <w:rPr>
        <w:rStyle w:val="HideTWBExt"/>
      </w:rPr>
      <w:t>&lt;/PathFdR&gt;</w:t>
    </w:r>
  </w:p>
  <w:p w:rsidR="003A39B8" w:rsidRPr="0036137B" w:rsidRDefault="003A39B8" w:rsidP="00134BA2">
    <w:pPr>
      <w:pStyle w:val="EPFooter2"/>
    </w:pPr>
    <w:r w:rsidRPr="0036137B">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9B8" w:rsidRPr="0036137B" w:rsidRDefault="003A39B8" w:rsidP="00134BA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9B8" w:rsidRPr="0036137B" w:rsidRDefault="003A39B8" w:rsidP="00134BA2">
    <w:pPr>
      <w:pStyle w:val="EPFooter"/>
    </w:pPr>
    <w:r w:rsidRPr="0036137B">
      <w:rPr>
        <w:rStyle w:val="HideTWBExt"/>
      </w:rPr>
      <w:t>&lt;PathFdR&gt;</w:t>
    </w:r>
    <w:r w:rsidRPr="0036137B">
      <w:t>RR\1297557SL.docx</w:t>
    </w:r>
    <w:r w:rsidRPr="0036137B">
      <w:rPr>
        <w:rStyle w:val="HideTWBExt"/>
      </w:rPr>
      <w:t>&lt;/PathFdR&gt;</w:t>
    </w:r>
    <w:r w:rsidRPr="0036137B">
      <w:tab/>
    </w:r>
    <w:r w:rsidRPr="0036137B">
      <w:tab/>
      <w:t>PE</w:t>
    </w:r>
    <w:r w:rsidRPr="0036137B">
      <w:rPr>
        <w:rStyle w:val="HideTWBExt"/>
      </w:rPr>
      <w:t>&lt;NoPE&gt;</w:t>
    </w:r>
    <w:r w:rsidRPr="0036137B">
      <w:t>758.992</w:t>
    </w:r>
    <w:r w:rsidRPr="0036137B">
      <w:rPr>
        <w:rStyle w:val="HideTWBExt"/>
      </w:rPr>
      <w:t>&lt;/NoPE&gt;&lt;Version&gt;</w:t>
    </w:r>
    <w:r w:rsidRPr="0036137B">
      <w:t>v02-00</w:t>
    </w:r>
    <w:r w:rsidRPr="0036137B">
      <w:rPr>
        <w:rStyle w:val="HideTWBExt"/>
      </w:rPr>
      <w:t>&lt;/Version&gt;</w:t>
    </w:r>
  </w:p>
  <w:p w:rsidR="003A39B8" w:rsidRPr="0036137B" w:rsidRDefault="003A39B8" w:rsidP="00134BA2">
    <w:pPr>
      <w:pStyle w:val="EPFooter2"/>
    </w:pPr>
    <w:r w:rsidRPr="0036137B">
      <w:t>SL</w:t>
    </w:r>
    <w:r w:rsidRPr="0036137B">
      <w:tab/>
    </w:r>
    <w:r w:rsidRPr="0036137B">
      <w:rPr>
        <w:b w:val="0"/>
        <w:i/>
        <w:color w:val="C0C0C0"/>
        <w:sz w:val="22"/>
      </w:rPr>
      <w:t>Združena v raznolikosti</w:t>
    </w:r>
    <w:r w:rsidRPr="0036137B">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9B8" w:rsidRPr="0036137B" w:rsidRDefault="003A39B8" w:rsidP="008B553A">
    <w:pPr>
      <w:pStyle w:val="EPFooter"/>
    </w:pPr>
    <w:r w:rsidRPr="0036137B">
      <w:rPr>
        <w:rStyle w:val="HideTWBExt"/>
      </w:rPr>
      <w:t>&lt;PathFdR&gt;</w:t>
    </w:r>
    <w:r w:rsidRPr="0036137B">
      <w:t>RR\1297557SL.docx</w:t>
    </w:r>
    <w:r w:rsidRPr="0036137B">
      <w:rPr>
        <w:rStyle w:val="HideTWBExt"/>
      </w:rPr>
      <w:t>&lt;/PathFdR&gt;</w:t>
    </w:r>
    <w:r w:rsidRPr="0036137B">
      <w:tab/>
    </w:r>
    <w:r w:rsidRPr="0036137B">
      <w:tab/>
      <w:t>PE</w:t>
    </w:r>
    <w:r w:rsidRPr="0036137B">
      <w:rPr>
        <w:rStyle w:val="HideTWBExt"/>
      </w:rPr>
      <w:t>&lt;NoPE&gt;</w:t>
    </w:r>
    <w:r w:rsidRPr="0036137B">
      <w:t>758.992</w:t>
    </w:r>
    <w:r w:rsidRPr="0036137B">
      <w:rPr>
        <w:rStyle w:val="HideTWBExt"/>
      </w:rPr>
      <w:t>&lt;/NoPE&gt;&lt;Version&gt;</w:t>
    </w:r>
    <w:r w:rsidRPr="0036137B">
      <w:t>v02-00</w:t>
    </w:r>
    <w:r w:rsidRPr="0036137B">
      <w:rPr>
        <w:rStyle w:val="HideTWBExt"/>
      </w:rPr>
      <w:t>&lt;/Version&gt;</w:t>
    </w:r>
  </w:p>
  <w:p w:rsidR="003A39B8" w:rsidRPr="0036137B" w:rsidRDefault="003A39B8" w:rsidP="008B553A">
    <w:pPr>
      <w:pStyle w:val="EPFooter2"/>
    </w:pPr>
    <w:r w:rsidRPr="0036137B">
      <w:t>SL</w:t>
    </w:r>
    <w:r w:rsidRPr="0036137B">
      <w:tab/>
    </w:r>
    <w:r w:rsidRPr="0036137B">
      <w:rPr>
        <w:b w:val="0"/>
        <w:i/>
        <w:color w:val="C0C0C0"/>
        <w:sz w:val="22"/>
      </w:rPr>
      <w:t>Združena v raznolikosti</w:t>
    </w:r>
    <w:r w:rsidRPr="0036137B">
      <w:tab/>
      <w:t>SL</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137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137B" w:rsidRDefault="00064002"/>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13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49A" w:rsidRPr="0036137B" w:rsidRDefault="00C5249A">
      <w:r w:rsidRPr="0036137B">
        <w:separator/>
      </w:r>
    </w:p>
  </w:footnote>
  <w:footnote w:type="continuationSeparator" w:id="0">
    <w:p w:rsidR="00C5249A" w:rsidRPr="0036137B" w:rsidRDefault="00C5249A">
      <w:r w:rsidRPr="0036137B">
        <w:continuationSeparator/>
      </w:r>
    </w:p>
  </w:footnote>
  <w:footnote w:id="1">
    <w:p w:rsidR="003A39B8" w:rsidRPr="0036137B" w:rsidRDefault="003A39B8" w:rsidP="0036137B">
      <w:pPr>
        <w:pStyle w:val="FootnoteText"/>
        <w:ind w:left="567" w:hanging="567"/>
        <w:rPr>
          <w:sz w:val="24"/>
          <w:lang w:val="sl-SI"/>
        </w:rPr>
      </w:pPr>
      <w:r w:rsidRPr="0036137B">
        <w:rPr>
          <w:rStyle w:val="FootnoteReference"/>
          <w:sz w:val="24"/>
          <w:lang w:val="sl-SI"/>
        </w:rPr>
        <w:footnoteRef/>
      </w:r>
      <w:r w:rsidR="0036137B" w:rsidRPr="0036137B">
        <w:rPr>
          <w:sz w:val="24"/>
          <w:lang w:val="sl-SI"/>
        </w:rPr>
        <w:t xml:space="preserve"> </w:t>
      </w:r>
      <w:r w:rsidR="0036137B" w:rsidRPr="0036137B">
        <w:rPr>
          <w:sz w:val="24"/>
          <w:lang w:val="sl-SI"/>
        </w:rPr>
        <w:tab/>
      </w:r>
      <w:r w:rsidRPr="0036137B">
        <w:rPr>
          <w:sz w:val="24"/>
          <w:lang w:val="sl-SI"/>
        </w:rPr>
        <w:t>Sprejeta besedila, P9_TA(2023)0335.</w:t>
      </w:r>
    </w:p>
  </w:footnote>
  <w:footnote w:id="2">
    <w:p w:rsidR="003A39B8" w:rsidRPr="0036137B" w:rsidRDefault="003A39B8" w:rsidP="0036137B">
      <w:pPr>
        <w:pStyle w:val="FootnoteText"/>
        <w:ind w:left="567" w:hanging="567"/>
        <w:rPr>
          <w:sz w:val="24"/>
          <w:lang w:val="sl-SI"/>
        </w:rPr>
      </w:pPr>
      <w:r w:rsidRPr="0036137B">
        <w:rPr>
          <w:rStyle w:val="FootnoteReference"/>
          <w:sz w:val="24"/>
          <w:lang w:val="sl-SI"/>
        </w:rPr>
        <w:footnoteRef/>
      </w:r>
      <w:r w:rsidR="0036137B" w:rsidRPr="0036137B">
        <w:rPr>
          <w:sz w:val="24"/>
          <w:lang w:val="sl-SI"/>
        </w:rPr>
        <w:t xml:space="preserve"> </w:t>
      </w:r>
      <w:r w:rsidR="0036137B" w:rsidRPr="0036137B">
        <w:rPr>
          <w:sz w:val="24"/>
          <w:lang w:val="sl-SI"/>
        </w:rPr>
        <w:tab/>
      </w:r>
      <w:r w:rsidRPr="0036137B">
        <w:rPr>
          <w:sz w:val="24"/>
          <w:lang w:val="sl-SI"/>
        </w:rPr>
        <w:t>Odobritev z dne 27. februarja 2024 (še ni objavljeno v Uradnem listu).</w:t>
      </w:r>
    </w:p>
  </w:footnote>
  <w:footnote w:id="3">
    <w:p w:rsidR="003A39B8" w:rsidRPr="0036137B" w:rsidRDefault="003A39B8" w:rsidP="0036137B">
      <w:pPr>
        <w:pStyle w:val="FootnoteText"/>
        <w:ind w:left="567" w:hanging="567"/>
        <w:rPr>
          <w:sz w:val="24"/>
          <w:lang w:val="sl-SI"/>
        </w:rPr>
      </w:pPr>
      <w:r w:rsidRPr="0036137B">
        <w:rPr>
          <w:rStyle w:val="FootnoteReference"/>
          <w:sz w:val="24"/>
          <w:lang w:val="sl-SI"/>
        </w:rPr>
        <w:footnoteRef/>
      </w:r>
      <w:r w:rsidR="0036137B" w:rsidRPr="0036137B">
        <w:rPr>
          <w:sz w:val="24"/>
          <w:lang w:val="sl-SI"/>
        </w:rPr>
        <w:t xml:space="preserve"> </w:t>
      </w:r>
      <w:r w:rsidR="0036137B" w:rsidRPr="0036137B">
        <w:rPr>
          <w:sz w:val="24"/>
          <w:lang w:val="sl-SI"/>
        </w:rPr>
        <w:tab/>
      </w:r>
      <w:r w:rsidRPr="0036137B">
        <w:rPr>
          <w:sz w:val="24"/>
          <w:lang w:val="sl-SI"/>
        </w:rPr>
        <w:t>Uredba Sveta (EU, Euratom) 2020/2093 z dne 17. decembra 2020 o določitvi večletnega finančnega okvira za obdobje 2021–2027 (UL L 433 I, 22.12.2020, str. 11).</w:t>
      </w:r>
    </w:p>
  </w:footnote>
  <w:footnote w:id="4">
    <w:p w:rsidR="003A39B8" w:rsidRPr="0036137B" w:rsidRDefault="003A39B8" w:rsidP="0036137B">
      <w:pPr>
        <w:pStyle w:val="FootnoteText"/>
        <w:ind w:left="567" w:hanging="567"/>
        <w:rPr>
          <w:sz w:val="24"/>
          <w:lang w:val="sl-SI"/>
        </w:rPr>
      </w:pPr>
      <w:r w:rsidRPr="0036137B">
        <w:rPr>
          <w:rStyle w:val="FootnoteReference"/>
          <w:sz w:val="24"/>
          <w:lang w:val="sl-SI"/>
        </w:rPr>
        <w:footnoteRef/>
      </w:r>
      <w:r w:rsidR="0036137B" w:rsidRPr="0036137B">
        <w:rPr>
          <w:sz w:val="24"/>
          <w:lang w:val="sl-SI"/>
        </w:rPr>
        <w:t xml:space="preserve"> </w:t>
      </w:r>
      <w:r w:rsidR="0036137B" w:rsidRPr="0036137B">
        <w:rPr>
          <w:sz w:val="24"/>
          <w:lang w:val="sl-SI"/>
        </w:rPr>
        <w:tab/>
      </w:r>
      <w:r w:rsidRPr="0036137B">
        <w:rPr>
          <w:sz w:val="24"/>
          <w:lang w:val="sl-SI"/>
        </w:rPr>
        <w:t>Uredba (EU) 2024/... Evropskega parlamenta in Sveta z dne … o vzpostavitvi instrumenta za Ukrajino (UL L, ..., ELI: …).</w:t>
      </w:r>
    </w:p>
  </w:footnote>
  <w:footnote w:id="5">
    <w:p w:rsidR="003A39B8" w:rsidRPr="0036137B" w:rsidRDefault="003A39B8" w:rsidP="0036137B">
      <w:pPr>
        <w:pStyle w:val="FootnoteText"/>
        <w:ind w:left="567" w:hanging="567"/>
        <w:rPr>
          <w:sz w:val="24"/>
          <w:lang w:val="sl-SI"/>
        </w:rPr>
      </w:pPr>
      <w:r w:rsidRPr="0036137B">
        <w:rPr>
          <w:rStyle w:val="FootnoteReference"/>
          <w:sz w:val="24"/>
          <w:lang w:val="sl-SI"/>
        </w:rPr>
        <w:t>+</w:t>
      </w:r>
      <w:r w:rsidR="0036137B" w:rsidRPr="0036137B">
        <w:rPr>
          <w:sz w:val="24"/>
          <w:lang w:val="sl-SI"/>
        </w:rPr>
        <w:t xml:space="preserve"> </w:t>
      </w:r>
      <w:r w:rsidR="0036137B" w:rsidRPr="0036137B">
        <w:rPr>
          <w:sz w:val="24"/>
          <w:lang w:val="sl-SI"/>
        </w:rPr>
        <w:tab/>
      </w:r>
      <w:r w:rsidRPr="0036137B">
        <w:rPr>
          <w:sz w:val="24"/>
          <w:lang w:val="sl-SI"/>
        </w:rPr>
        <w:t>UL: prosimo, da v besedilo vstavite številko uredbe iz dokumenta PE-CONS 10/24 (2023/0200(COD)), v opombo pa številko, datum in sklic na UL za navedeno uredbo.</w:t>
      </w:r>
    </w:p>
  </w:footnote>
  <w:footnote w:id="6">
    <w:p w:rsidR="003A39B8" w:rsidRPr="0036137B" w:rsidRDefault="003A39B8" w:rsidP="0036137B">
      <w:pPr>
        <w:pStyle w:val="FootnoteText"/>
        <w:ind w:left="567" w:hanging="567"/>
        <w:rPr>
          <w:sz w:val="24"/>
          <w:lang w:val="sl-SI"/>
        </w:rPr>
      </w:pPr>
      <w:r w:rsidRPr="0036137B">
        <w:rPr>
          <w:rStyle w:val="FootnoteReference"/>
          <w:sz w:val="24"/>
          <w:lang w:val="sl-SI"/>
        </w:rPr>
        <w:t>+</w:t>
      </w:r>
      <w:r w:rsidR="0036137B" w:rsidRPr="0036137B">
        <w:rPr>
          <w:sz w:val="24"/>
          <w:lang w:val="sl-SI"/>
        </w:rPr>
        <w:t xml:space="preserve"> </w:t>
      </w:r>
      <w:r w:rsidR="0036137B" w:rsidRPr="0036137B">
        <w:rPr>
          <w:sz w:val="24"/>
          <w:lang w:val="sl-SI"/>
        </w:rPr>
        <w:tab/>
      </w:r>
      <w:r w:rsidRPr="0036137B">
        <w:rPr>
          <w:sz w:val="24"/>
          <w:lang w:val="sl-SI"/>
        </w:rPr>
        <w:t>UL: prosimo, da v besedilo vstavite številko uredbe iz dokumenta PE-CONS 10/24 (2023/0200(COD)).</w:t>
      </w:r>
    </w:p>
  </w:footnote>
  <w:footnote w:id="7">
    <w:p w:rsidR="003A39B8" w:rsidRPr="0036137B" w:rsidRDefault="003A39B8" w:rsidP="0036137B">
      <w:pPr>
        <w:pStyle w:val="FootnoteText"/>
        <w:ind w:left="567" w:hanging="567"/>
        <w:rPr>
          <w:sz w:val="24"/>
          <w:lang w:val="sl-SI"/>
        </w:rPr>
      </w:pPr>
      <w:r w:rsidRPr="0036137B">
        <w:rPr>
          <w:rStyle w:val="FootnoteReference"/>
          <w:sz w:val="24"/>
          <w:lang w:val="sl-SI"/>
        </w:rPr>
        <w:t>+</w:t>
      </w:r>
      <w:r w:rsidR="0036137B" w:rsidRPr="0036137B">
        <w:rPr>
          <w:sz w:val="24"/>
          <w:lang w:val="sl-SI"/>
        </w:rPr>
        <w:t xml:space="preserve"> </w:t>
      </w:r>
      <w:r w:rsidR="0036137B" w:rsidRPr="0036137B">
        <w:rPr>
          <w:sz w:val="24"/>
          <w:lang w:val="sl-SI"/>
        </w:rPr>
        <w:tab/>
      </w:r>
      <w:r w:rsidRPr="0036137B">
        <w:rPr>
          <w:sz w:val="24"/>
          <w:lang w:val="sl-SI"/>
        </w:rPr>
        <w:t>UL: prosimo, da v besedilo vstavite številko uredbe iz dokumenta PE-CONS 10/24 (2023/0200(COD)).</w:t>
      </w:r>
    </w:p>
  </w:footnote>
  <w:footnote w:id="8">
    <w:p w:rsidR="003A39B8" w:rsidRPr="0036137B" w:rsidRDefault="003A39B8" w:rsidP="0036137B">
      <w:pPr>
        <w:pStyle w:val="FootnoteText"/>
        <w:ind w:left="567" w:hanging="567"/>
        <w:rPr>
          <w:sz w:val="24"/>
          <w:lang w:val="sl-SI"/>
        </w:rPr>
      </w:pPr>
      <w:r w:rsidRPr="0036137B">
        <w:rPr>
          <w:rStyle w:val="FootnoteReference"/>
          <w:sz w:val="24"/>
          <w:lang w:val="sl-SI"/>
        </w:rPr>
        <w:footnoteRef/>
      </w:r>
      <w:r w:rsidR="0036137B" w:rsidRPr="0036137B">
        <w:rPr>
          <w:sz w:val="24"/>
          <w:lang w:val="sl-SI"/>
        </w:rPr>
        <w:t xml:space="preserve"> </w:t>
      </w:r>
      <w:r w:rsidR="0036137B" w:rsidRPr="0036137B">
        <w:rPr>
          <w:sz w:val="24"/>
          <w:lang w:val="sl-SI"/>
        </w:rPr>
        <w:tab/>
      </w:r>
      <w:r w:rsidRPr="0036137B">
        <w:rPr>
          <w:sz w:val="24"/>
          <w:lang w:val="sl-SI"/>
        </w:rPr>
        <w:t>Sklep Sveta (EU, Euratom) 2020/2053 z dne 14. decembra 2020 o sistemu virov lastnih sredstev Evropske unije in razveljavitvi Sklepa 2014/335/EU, Euratom (UL L 424, 15.12.2020, str. 1).</w:t>
      </w:r>
    </w:p>
  </w:footnote>
  <w:footnote w:id="9">
    <w:p w:rsidR="003A39B8" w:rsidRPr="0036137B" w:rsidRDefault="003A39B8" w:rsidP="0036137B">
      <w:pPr>
        <w:pStyle w:val="FootnoteText"/>
        <w:ind w:left="567" w:hanging="567"/>
        <w:rPr>
          <w:sz w:val="24"/>
          <w:lang w:val="sl-SI"/>
        </w:rPr>
      </w:pPr>
      <w:r w:rsidRPr="0036137B">
        <w:rPr>
          <w:rStyle w:val="FootnoteReference"/>
          <w:sz w:val="24"/>
          <w:lang w:val="sl-SI"/>
        </w:rPr>
        <w:footnoteRef/>
      </w:r>
      <w:r w:rsidR="0036137B" w:rsidRPr="0036137B">
        <w:rPr>
          <w:sz w:val="24"/>
          <w:lang w:val="sl-SI"/>
        </w:rPr>
        <w:t xml:space="preserve"> </w:t>
      </w:r>
      <w:r w:rsidR="0036137B" w:rsidRPr="0036137B">
        <w:rPr>
          <w:sz w:val="24"/>
          <w:lang w:val="sl-SI"/>
        </w:rPr>
        <w:tab/>
      </w:r>
      <w:r w:rsidRPr="0036137B">
        <w:rPr>
          <w:sz w:val="24"/>
          <w:lang w:val="sl-SI"/>
        </w:rPr>
        <w:t>Uredba Sveta (ES) št. 2012/2002 z dne 11. novembra 2002 o ustanovitvi Solidarnostnega sklada Evropske unije, UL L 311, 14.11.2002, str. 3.</w:t>
      </w:r>
    </w:p>
  </w:footnote>
  <w:footnote w:id="10">
    <w:p w:rsidR="003A39B8" w:rsidRPr="0036137B" w:rsidRDefault="003A39B8" w:rsidP="0036137B">
      <w:pPr>
        <w:pStyle w:val="FootnoteText"/>
        <w:ind w:left="567" w:hanging="567"/>
        <w:rPr>
          <w:sz w:val="24"/>
          <w:lang w:val="sl-SI"/>
        </w:rPr>
      </w:pPr>
      <w:r w:rsidRPr="0036137B">
        <w:rPr>
          <w:rStyle w:val="FootnoteReference"/>
          <w:sz w:val="24"/>
          <w:lang w:val="sl-SI"/>
        </w:rPr>
        <w:t>+</w:t>
      </w:r>
      <w:r w:rsidR="0036137B" w:rsidRPr="0036137B">
        <w:rPr>
          <w:sz w:val="24"/>
          <w:lang w:val="sl-SI"/>
        </w:rPr>
        <w:t xml:space="preserve"> </w:t>
      </w:r>
      <w:r w:rsidR="0036137B" w:rsidRPr="0036137B">
        <w:rPr>
          <w:sz w:val="24"/>
          <w:lang w:val="sl-SI"/>
        </w:rPr>
        <w:tab/>
      </w:r>
      <w:r w:rsidRPr="0036137B">
        <w:rPr>
          <w:sz w:val="24"/>
          <w:lang w:val="sl-SI"/>
        </w:rPr>
        <w:t>UL: prosimo, da v besedilo vstavite številko uredbe iz dokumenta PE-CONS 10/24 (2023/0200(COD)) ter v opombo vstavite številko, datum in sklic na UL za navedeno uredbo.</w:t>
      </w:r>
    </w:p>
  </w:footnote>
  <w:footnote w:id="11">
    <w:p w:rsidR="003A39B8" w:rsidRPr="0036137B" w:rsidRDefault="003A39B8" w:rsidP="0036137B">
      <w:pPr>
        <w:pStyle w:val="FootnoteText"/>
        <w:ind w:left="567" w:hanging="567"/>
        <w:rPr>
          <w:sz w:val="24"/>
          <w:lang w:val="sl-SI"/>
        </w:rPr>
      </w:pPr>
      <w:r w:rsidRPr="0036137B">
        <w:rPr>
          <w:rStyle w:val="FootnoteReference"/>
          <w:sz w:val="24"/>
          <w:lang w:val="sl-SI"/>
        </w:rPr>
        <w:t>+</w:t>
      </w:r>
      <w:r w:rsidR="0036137B" w:rsidRPr="0036137B">
        <w:rPr>
          <w:sz w:val="24"/>
          <w:lang w:val="sl-SI"/>
        </w:rPr>
        <w:t xml:space="preserve"> </w:t>
      </w:r>
      <w:r w:rsidR="0036137B" w:rsidRPr="0036137B">
        <w:rPr>
          <w:sz w:val="24"/>
          <w:lang w:val="sl-SI"/>
        </w:rPr>
        <w:tab/>
      </w:r>
      <w:r w:rsidRPr="0036137B">
        <w:rPr>
          <w:sz w:val="24"/>
          <w:lang w:val="sl-SI"/>
        </w:rPr>
        <w:t>UL: prosimo, da v besedilo vstavite številko uredbe iz dokumenta PE-CONS 10/24 (2023/0200(COD)).</w:t>
      </w:r>
    </w:p>
  </w:footnote>
  <w:footnote w:id="12">
    <w:p w:rsidR="003A39B8" w:rsidRPr="0036137B" w:rsidRDefault="003A39B8" w:rsidP="0036137B">
      <w:pPr>
        <w:pStyle w:val="FootnoteText"/>
        <w:ind w:left="567" w:hanging="567"/>
        <w:rPr>
          <w:sz w:val="24"/>
          <w:lang w:val="sl-SI"/>
        </w:rPr>
      </w:pPr>
      <w:r w:rsidRPr="0036137B">
        <w:rPr>
          <w:rStyle w:val="FootnoteReference"/>
          <w:sz w:val="24"/>
          <w:lang w:val="sl-SI"/>
        </w:rPr>
        <w:footnoteRef/>
      </w:r>
      <w:r w:rsidR="0036137B" w:rsidRPr="0036137B">
        <w:rPr>
          <w:sz w:val="24"/>
          <w:lang w:val="sl-SI"/>
        </w:rPr>
        <w:t xml:space="preserve"> </w:t>
      </w:r>
      <w:r w:rsidR="0036137B" w:rsidRPr="0036137B">
        <w:rPr>
          <w:sz w:val="24"/>
          <w:lang w:val="sl-SI"/>
        </w:rPr>
        <w:tab/>
      </w:r>
      <w:r w:rsidRPr="0036137B">
        <w:rPr>
          <w:sz w:val="24"/>
          <w:lang w:val="sl-SI"/>
        </w:rPr>
        <w:t xml:space="preserve">Skupna izjava Evropskega parlamenta, Sveta in Komisije o ponovni uporabi sproščenih sredstev v zvezi z raziskovalnim programom 2020/C 444 I/03 </w:t>
      </w:r>
      <w:r w:rsidR="008F6AFA">
        <w:rPr>
          <w:sz w:val="24"/>
          <w:lang w:val="sl-SI"/>
        </w:rPr>
        <w:t>(</w:t>
      </w:r>
      <w:r w:rsidRPr="0036137B">
        <w:rPr>
          <w:sz w:val="24"/>
          <w:lang w:val="sl-SI"/>
        </w:rPr>
        <w:t>UL C 444</w:t>
      </w:r>
      <w:r w:rsidR="008F6AFA">
        <w:rPr>
          <w:sz w:val="24"/>
          <w:lang w:val="sl-SI"/>
        </w:rPr>
        <w:t> </w:t>
      </w:r>
      <w:r w:rsidRPr="0036137B">
        <w:rPr>
          <w:sz w:val="24"/>
          <w:lang w:val="sl-SI"/>
        </w:rPr>
        <w:t>I, 22.12.2020, str. 3</w:t>
      </w:r>
      <w:r w:rsidR="008F6AFA">
        <w:rPr>
          <w:sz w:val="24"/>
          <w:lang w:val="sl-SI"/>
        </w:rPr>
        <w:t>)</w:t>
      </w:r>
      <w:r w:rsidRPr="0036137B">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9B8" w:rsidRPr="0036137B" w:rsidRDefault="003A39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9B8" w:rsidRPr="0036137B" w:rsidRDefault="003A39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9B8" w:rsidRPr="0036137B" w:rsidRDefault="003A39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9B8" w:rsidRPr="0036137B" w:rsidRDefault="003A39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9B8" w:rsidRPr="0036137B" w:rsidRDefault="003A39B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9B8" w:rsidRPr="0036137B" w:rsidRDefault="003A39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137B" w:rsidRDefault="00064002"/>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137B" w:rsidRDefault="00064002"/>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13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lvlOverride w:ilvl="0">
      <w:startOverride w:val="1"/>
    </w:lvlOverride>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1/2024"/>
    <w:docVar w:name="dvlangue" w:val="SL"/>
    <w:docVar w:name="dvnumam" w:val="0"/>
    <w:docVar w:name="dvpe" w:val="758.992"/>
    <w:docVar w:name="dvrapporteur" w:val="Poročevalca: "/>
    <w:docVar w:name="dvstar" w:val="***"/>
    <w:docVar w:name="dvtitre" w:val="Zakonodajna resolucija Evropskega parlamenta z dne … 2024 o osnutku uredbe Sveta o spremembi Uredbe (EU, Euratom) 2020/2093 o določitvi večletnega finančnega okvira za obdobje 2021–2027(05818/2024 – C9-0030/2024 – 2023/0201(APP))"/>
  </w:docVars>
  <w:rsids>
    <w:rsidRoot w:val="00C5249A"/>
    <w:rsid w:val="00002272"/>
    <w:rsid w:val="00064002"/>
    <w:rsid w:val="000677B9"/>
    <w:rsid w:val="000831BA"/>
    <w:rsid w:val="000A42CC"/>
    <w:rsid w:val="000E7DD9"/>
    <w:rsid w:val="0010095E"/>
    <w:rsid w:val="00125B37"/>
    <w:rsid w:val="00187494"/>
    <w:rsid w:val="001F32AE"/>
    <w:rsid w:val="002767FF"/>
    <w:rsid w:val="002B18FE"/>
    <w:rsid w:val="002B5493"/>
    <w:rsid w:val="002C5886"/>
    <w:rsid w:val="00343214"/>
    <w:rsid w:val="0036137B"/>
    <w:rsid w:val="00361C00"/>
    <w:rsid w:val="00395FA1"/>
    <w:rsid w:val="003A39B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AF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11C3"/>
    <w:rsid w:val="00BE6ADC"/>
    <w:rsid w:val="00C05BFE"/>
    <w:rsid w:val="00C23CD4"/>
    <w:rsid w:val="00C5249A"/>
    <w:rsid w:val="00C61C0C"/>
    <w:rsid w:val="00C941CB"/>
    <w:rsid w:val="00CC2357"/>
    <w:rsid w:val="00CF071A"/>
    <w:rsid w:val="00D058B8"/>
    <w:rsid w:val="00D56C11"/>
    <w:rsid w:val="00D834A0"/>
    <w:rsid w:val="00D872DF"/>
    <w:rsid w:val="00D91E21"/>
    <w:rsid w:val="00DA7FCD"/>
    <w:rsid w:val="00E214A0"/>
    <w:rsid w:val="00E365E1"/>
    <w:rsid w:val="00E820A4"/>
    <w:rsid w:val="00EB006A"/>
    <w:rsid w:val="00EB4772"/>
    <w:rsid w:val="00ED15FB"/>
    <w:rsid w:val="00ED169E"/>
    <w:rsid w:val="00ED4235"/>
    <w:rsid w:val="00F04346"/>
    <w:rsid w:val="00F075DC"/>
    <w:rsid w:val="00F149E9"/>
    <w:rsid w:val="00F5134D"/>
    <w:rsid w:val="00F74202"/>
    <w:rsid w:val="00F87713"/>
    <w:rsid w:val="00FB4360"/>
    <w:rsid w:val="00FC7701"/>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DB7D6"/>
  <w15:chartTrackingRefBased/>
  <w15:docId w15:val="{BC287A35-C76D-4814-8A0C-DC06433D8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symbolCarZchn"/>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A39B8"/>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3A39B8"/>
    <w:pPr>
      <w:keepNext/>
      <w:spacing w:after="480"/>
      <w:jc w:val="center"/>
    </w:pPr>
    <w:rPr>
      <w:rFonts w:ascii="Arial" w:hAnsi="Arial" w:cs="Arial"/>
      <w:b/>
    </w:rPr>
  </w:style>
  <w:style w:type="paragraph" w:customStyle="1" w:styleId="NormalBold">
    <w:name w:val="NormalBold"/>
    <w:basedOn w:val="Normal"/>
    <w:rsid w:val="003A39B8"/>
    <w:rPr>
      <w:b/>
    </w:rPr>
  </w:style>
  <w:style w:type="paragraph" w:customStyle="1" w:styleId="NormalHanging12a">
    <w:name w:val="NormalHanging12a"/>
    <w:basedOn w:val="Normal"/>
    <w:rsid w:val="003A39B8"/>
    <w:pPr>
      <w:spacing w:after="240"/>
      <w:ind w:left="567" w:hanging="567"/>
    </w:pPr>
  </w:style>
  <w:style w:type="paragraph" w:customStyle="1" w:styleId="EPComma">
    <w:name w:val="EPComma"/>
    <w:basedOn w:val="Normal"/>
    <w:rsid w:val="003A39B8"/>
    <w:pPr>
      <w:spacing w:before="480" w:after="240"/>
    </w:pPr>
  </w:style>
  <w:style w:type="paragraph" w:styleId="Header">
    <w:name w:val="header"/>
    <w:basedOn w:val="Normal"/>
    <w:link w:val="HeaderChar"/>
    <w:uiPriority w:val="99"/>
    <w:rsid w:val="003A39B8"/>
    <w:pPr>
      <w:tabs>
        <w:tab w:val="center" w:pos="4513"/>
        <w:tab w:val="right" w:pos="9026"/>
      </w:tabs>
    </w:pPr>
  </w:style>
  <w:style w:type="character" w:customStyle="1" w:styleId="HeaderChar">
    <w:name w:val="Header Char"/>
    <w:basedOn w:val="DefaultParagraphFont"/>
    <w:link w:val="Header"/>
    <w:uiPriority w:val="99"/>
    <w:rsid w:val="003A39B8"/>
    <w:rPr>
      <w:sz w:val="24"/>
      <w:lang w:val="sl-SI"/>
    </w:rPr>
  </w:style>
  <w:style w:type="paragraph" w:customStyle="1" w:styleId="EPFooter">
    <w:name w:val="EPFooter"/>
    <w:basedOn w:val="Normal"/>
    <w:rsid w:val="003A39B8"/>
    <w:pPr>
      <w:tabs>
        <w:tab w:val="center" w:pos="4535"/>
        <w:tab w:val="right" w:pos="9071"/>
      </w:tabs>
      <w:spacing w:before="240" w:after="240"/>
    </w:pPr>
    <w:rPr>
      <w:color w:val="010000"/>
      <w:sz w:val="2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qFormat/>
    <w:rsid w:val="003A39B8"/>
    <w:pPr>
      <w:widowControl/>
      <w:spacing w:after="160" w:line="240" w:lineRule="exact"/>
      <w:jc w:val="both"/>
    </w:pPr>
    <w:rPr>
      <w:sz w:val="20"/>
      <w:vertAlign w:val="superscript"/>
      <w:lang w:val="en-GB"/>
    </w:rPr>
  </w:style>
  <w:style w:type="character" w:customStyle="1" w:styleId="Bodytext1">
    <w:name w:val="Body text|1_"/>
    <w:basedOn w:val="DefaultParagraphFont"/>
    <w:link w:val="Bodytext10"/>
    <w:rsid w:val="003A39B8"/>
    <w:rPr>
      <w:color w:val="231F20"/>
      <w:sz w:val="19"/>
      <w:szCs w:val="19"/>
    </w:rPr>
  </w:style>
  <w:style w:type="paragraph" w:customStyle="1" w:styleId="Bodytext10">
    <w:name w:val="Body text|1"/>
    <w:basedOn w:val="Normal"/>
    <w:link w:val="Bodytext1"/>
    <w:rsid w:val="003A39B8"/>
    <w:pPr>
      <w:spacing w:after="360"/>
    </w:pPr>
    <w:rPr>
      <w:color w:val="231F20"/>
      <w:sz w:val="19"/>
      <w:szCs w:val="19"/>
      <w:lang w:val="en-GB"/>
    </w:rPr>
  </w:style>
  <w:style w:type="paragraph" w:customStyle="1" w:styleId="Text1">
    <w:name w:val="Text 1"/>
    <w:basedOn w:val="Normal"/>
    <w:rsid w:val="003A39B8"/>
    <w:pPr>
      <w:widowControl/>
      <w:spacing w:before="120" w:after="120" w:line="360" w:lineRule="auto"/>
      <w:ind w:left="850"/>
    </w:pPr>
    <w:rPr>
      <w:rFonts w:eastAsiaTheme="minorHAnsi"/>
      <w:szCs w:val="22"/>
      <w:lang w:eastAsia="en-US"/>
    </w:rPr>
  </w:style>
  <w:style w:type="paragraph" w:customStyle="1" w:styleId="Text2">
    <w:name w:val="Text 2"/>
    <w:basedOn w:val="Normal"/>
    <w:rsid w:val="003A39B8"/>
    <w:pPr>
      <w:widowControl/>
      <w:spacing w:before="120" w:after="120" w:line="360" w:lineRule="auto"/>
      <w:ind w:left="1417"/>
    </w:pPr>
    <w:rPr>
      <w:rFonts w:eastAsiaTheme="minorHAnsi"/>
      <w:szCs w:val="22"/>
      <w:lang w:eastAsia="en-US"/>
    </w:rPr>
  </w:style>
  <w:style w:type="paragraph" w:customStyle="1" w:styleId="Text3">
    <w:name w:val="Text 3"/>
    <w:basedOn w:val="Normal"/>
    <w:rsid w:val="003A39B8"/>
    <w:pPr>
      <w:widowControl/>
      <w:spacing w:before="120" w:after="120" w:line="360" w:lineRule="auto"/>
      <w:ind w:left="1984"/>
    </w:pPr>
    <w:rPr>
      <w:rFonts w:eastAsiaTheme="minorHAnsi"/>
      <w:szCs w:val="22"/>
      <w:lang w:eastAsia="en-US"/>
    </w:rPr>
  </w:style>
  <w:style w:type="paragraph" w:customStyle="1" w:styleId="NormalCentered">
    <w:name w:val="Normal Centered"/>
    <w:basedOn w:val="Normal"/>
    <w:rsid w:val="003A39B8"/>
    <w:pPr>
      <w:widowControl/>
      <w:spacing w:before="120" w:after="120" w:line="360" w:lineRule="auto"/>
      <w:jc w:val="center"/>
    </w:pPr>
    <w:rPr>
      <w:rFonts w:eastAsiaTheme="minorHAnsi"/>
      <w:szCs w:val="22"/>
      <w:lang w:eastAsia="en-US"/>
    </w:rPr>
  </w:style>
  <w:style w:type="paragraph" w:customStyle="1" w:styleId="NormalRight">
    <w:name w:val="Normal Right"/>
    <w:basedOn w:val="Normal"/>
    <w:rsid w:val="003A39B8"/>
    <w:pPr>
      <w:widowControl/>
      <w:spacing w:before="120" w:after="120" w:line="360" w:lineRule="auto"/>
      <w:jc w:val="right"/>
    </w:pPr>
    <w:rPr>
      <w:rFonts w:eastAsiaTheme="minorHAnsi"/>
      <w:szCs w:val="22"/>
      <w:lang w:eastAsia="en-US"/>
    </w:rPr>
  </w:style>
  <w:style w:type="paragraph" w:customStyle="1" w:styleId="Point0">
    <w:name w:val="Point 0"/>
    <w:basedOn w:val="Normal"/>
    <w:rsid w:val="003A39B8"/>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3A39B8"/>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3A39B8"/>
    <w:pPr>
      <w:widowControl/>
      <w:spacing w:before="120" w:after="120" w:line="360" w:lineRule="auto"/>
      <w:ind w:left="1984" w:hanging="567"/>
    </w:pPr>
    <w:rPr>
      <w:rFonts w:eastAsiaTheme="minorHAnsi"/>
      <w:szCs w:val="22"/>
      <w:lang w:eastAsia="en-US"/>
    </w:rPr>
  </w:style>
  <w:style w:type="paragraph" w:customStyle="1" w:styleId="Tiret2">
    <w:name w:val="Tiret 2"/>
    <w:basedOn w:val="Normal"/>
    <w:rsid w:val="003A39B8"/>
    <w:pPr>
      <w:widowControl/>
      <w:numPr>
        <w:numId w:val="45"/>
      </w:numPr>
      <w:spacing w:before="120" w:after="120" w:line="360" w:lineRule="auto"/>
    </w:pPr>
    <w:rPr>
      <w:rFonts w:eastAsiaTheme="minorHAnsi"/>
      <w:szCs w:val="22"/>
      <w:lang w:eastAsia="en-US"/>
    </w:rPr>
  </w:style>
  <w:style w:type="paragraph" w:customStyle="1" w:styleId="Applicationdirecte">
    <w:name w:val="Application directe"/>
    <w:basedOn w:val="Normal"/>
    <w:next w:val="Fait"/>
    <w:rsid w:val="003A39B8"/>
    <w:pPr>
      <w:widowControl/>
      <w:spacing w:before="480" w:after="120" w:line="360" w:lineRule="auto"/>
    </w:pPr>
    <w:rPr>
      <w:rFonts w:eastAsiaTheme="minorHAnsi"/>
      <w:szCs w:val="22"/>
      <w:lang w:eastAsia="en-US"/>
    </w:rPr>
  </w:style>
  <w:style w:type="paragraph" w:customStyle="1" w:styleId="Datedadoption">
    <w:name w:val="Date d'adoption"/>
    <w:basedOn w:val="Normal"/>
    <w:next w:val="Titreobjet"/>
    <w:rsid w:val="003A39B8"/>
    <w:pPr>
      <w:widowControl/>
      <w:spacing w:before="360" w:line="360" w:lineRule="auto"/>
      <w:jc w:val="center"/>
    </w:pPr>
    <w:rPr>
      <w:rFonts w:eastAsiaTheme="minorHAnsi"/>
      <w:b/>
      <w:szCs w:val="22"/>
      <w:lang w:eastAsia="en-US"/>
    </w:rPr>
  </w:style>
  <w:style w:type="paragraph" w:customStyle="1" w:styleId="Fait">
    <w:name w:val="Fait à"/>
    <w:basedOn w:val="Normal"/>
    <w:next w:val="Institutionquisigne"/>
    <w:rsid w:val="003A39B8"/>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3A39B8"/>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3A39B8"/>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3A39B8"/>
    <w:pPr>
      <w:keepNext/>
      <w:widowControl/>
      <w:tabs>
        <w:tab w:val="left" w:pos="5669"/>
      </w:tabs>
      <w:spacing w:before="720" w:line="360" w:lineRule="auto"/>
    </w:pPr>
    <w:rPr>
      <w:rFonts w:eastAsiaTheme="minorHAnsi"/>
      <w:i/>
      <w:szCs w:val="22"/>
      <w:lang w:eastAsia="en-US"/>
    </w:rPr>
  </w:style>
  <w:style w:type="paragraph" w:customStyle="1" w:styleId="ManualConsidrant">
    <w:name w:val="Manual Considérant"/>
    <w:basedOn w:val="Normal"/>
    <w:rsid w:val="003A39B8"/>
    <w:pPr>
      <w:widowControl/>
      <w:spacing w:before="120" w:after="120" w:line="360" w:lineRule="auto"/>
      <w:ind w:left="850" w:hanging="850"/>
    </w:pPr>
    <w:rPr>
      <w:rFonts w:eastAsiaTheme="minorHAnsi"/>
      <w:szCs w:val="22"/>
      <w:lang w:eastAsia="en-US"/>
    </w:rPr>
  </w:style>
  <w:style w:type="paragraph" w:customStyle="1" w:styleId="Personnequisigne">
    <w:name w:val="Personne qui signe"/>
    <w:basedOn w:val="Normal"/>
    <w:next w:val="Institutionquisigne"/>
    <w:rsid w:val="003A39B8"/>
    <w:pPr>
      <w:widowControl/>
      <w:tabs>
        <w:tab w:val="left" w:pos="5669"/>
      </w:tabs>
      <w:spacing w:line="360" w:lineRule="auto"/>
    </w:pPr>
    <w:rPr>
      <w:rFonts w:eastAsiaTheme="minorHAnsi"/>
      <w:i/>
      <w:szCs w:val="22"/>
      <w:lang w:eastAsia="en-US"/>
    </w:rPr>
  </w:style>
  <w:style w:type="paragraph" w:customStyle="1" w:styleId="Titrearticle">
    <w:name w:val="Titre article"/>
    <w:basedOn w:val="Normal"/>
    <w:next w:val="Normal"/>
    <w:rsid w:val="003A39B8"/>
    <w:pPr>
      <w:keepNext/>
      <w:widowControl/>
      <w:spacing w:before="360" w:after="120" w:line="360" w:lineRule="auto"/>
      <w:jc w:val="center"/>
    </w:pPr>
    <w:rPr>
      <w:rFonts w:eastAsiaTheme="minorHAnsi"/>
      <w:i/>
      <w:szCs w:val="22"/>
      <w:lang w:eastAsia="en-US"/>
    </w:rPr>
  </w:style>
  <w:style w:type="paragraph" w:customStyle="1" w:styleId="Titreobjet">
    <w:name w:val="Titre objet"/>
    <w:basedOn w:val="Normal"/>
    <w:next w:val="Normal"/>
    <w:rsid w:val="003A39B8"/>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Datedadoption"/>
    <w:rsid w:val="003A39B8"/>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3A39B8"/>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3A39B8"/>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Annexetitre">
    <w:name w:val="Annexe titre"/>
    <w:basedOn w:val="Normal"/>
    <w:next w:val="Normal"/>
    <w:rsid w:val="003A39B8"/>
    <w:pPr>
      <w:widowControl/>
      <w:spacing w:before="120" w:after="120" w:line="360" w:lineRule="auto"/>
      <w:jc w:val="center"/>
    </w:pPr>
    <w:rPr>
      <w:rFonts w:eastAsiaTheme="minorHAnsi"/>
      <w:b/>
      <w:szCs w:val="22"/>
      <w:u w:val="single"/>
      <w:lang w:eastAsia="en-US"/>
    </w:rPr>
  </w:style>
  <w:style w:type="paragraph" w:styleId="NormalWeb">
    <w:name w:val="Normal (Web)"/>
    <w:basedOn w:val="Normal"/>
    <w:uiPriority w:val="99"/>
    <w:unhideWhenUsed/>
    <w:rsid w:val="003A39B8"/>
    <w:pPr>
      <w:widowControl/>
      <w:spacing w:before="100" w:beforeAutospacing="1" w:after="100" w:afterAutospacing="1"/>
    </w:pPr>
    <w:rPr>
      <w:szCs w:val="24"/>
      <w:lang w:eastAsia="en-IE"/>
    </w:rPr>
  </w:style>
  <w:style w:type="paragraph" w:styleId="Revision">
    <w:name w:val="Revision"/>
    <w:hidden/>
    <w:uiPriority w:val="99"/>
    <w:semiHidden/>
    <w:rsid w:val="002C5886"/>
    <w:rPr>
      <w:sz w:val="24"/>
      <w:lang w:val="sl-SI"/>
    </w:rPr>
  </w:style>
  <w:style w:type="paragraph" w:styleId="BalloonText">
    <w:name w:val="Balloon Text"/>
    <w:basedOn w:val="Normal"/>
    <w:link w:val="BalloonTextChar"/>
    <w:rsid w:val="002C5886"/>
    <w:rPr>
      <w:rFonts w:ascii="Segoe UI" w:hAnsi="Segoe UI" w:cs="Segoe UI"/>
      <w:sz w:val="18"/>
      <w:szCs w:val="18"/>
    </w:rPr>
  </w:style>
  <w:style w:type="character" w:customStyle="1" w:styleId="BalloonTextChar">
    <w:name w:val="Balloon Text Char"/>
    <w:basedOn w:val="DefaultParagraphFont"/>
    <w:link w:val="BalloonText"/>
    <w:rsid w:val="002C5886"/>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1AFA27-3C90-48FB-B949-B0053CE80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4000</Words>
  <Characters>21493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2024-06-05T08:15:00Z</dcterms:created>
  <dcterms:modified xsi:type="dcterms:W3CDTF">2024-06-05T08:15:00Z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P9_TA(2024)0081_</vt:lpwstr>
  </property>
  <property fmtid="{D5CDD505-2E9C-101B-9397-08002B2CF9AE}" pid="4" name="&lt;Type&gt;">
    <vt:lpwstr>RR</vt:lpwstr>
  </property>
</Properties>
</file>