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D1D" w:rsidTr="0010095E">
        <w:trPr>
          <w:trHeight w:hRule="exact" w:val="1418"/>
        </w:trPr>
        <w:tc>
          <w:tcPr>
            <w:tcW w:w="6804" w:type="dxa"/>
            <w:shd w:val="clear" w:color="auto" w:fill="auto"/>
            <w:vAlign w:val="center"/>
          </w:tcPr>
          <w:p w:rsidR="00751A4A" w:rsidRPr="004E7D1D" w:rsidRDefault="00DC2710" w:rsidP="0010095E">
            <w:pPr>
              <w:pStyle w:val="EPName"/>
            </w:pPr>
            <w:r w:rsidRPr="004E7D1D">
              <w:t>Evropský parlament</w:t>
            </w:r>
          </w:p>
          <w:p w:rsidR="00751A4A" w:rsidRPr="004E7D1D" w:rsidRDefault="00817416" w:rsidP="00756632">
            <w:pPr>
              <w:pStyle w:val="EPTerm"/>
              <w:rPr>
                <w:rStyle w:val="HideTWBExt"/>
                <w:noProof w:val="0"/>
                <w:vanish w:val="0"/>
                <w:color w:val="auto"/>
              </w:rPr>
            </w:pPr>
            <w:r w:rsidRPr="004E7D1D">
              <w:t>2019-2024</w:t>
            </w:r>
          </w:p>
        </w:tc>
        <w:tc>
          <w:tcPr>
            <w:tcW w:w="2268" w:type="dxa"/>
            <w:shd w:val="clear" w:color="auto" w:fill="auto"/>
          </w:tcPr>
          <w:p w:rsidR="00751A4A" w:rsidRPr="004E7D1D" w:rsidRDefault="00187494" w:rsidP="0010095E">
            <w:pPr>
              <w:pStyle w:val="EPLogo"/>
            </w:pPr>
            <w:r w:rsidRPr="004E7D1D">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D1D" w:rsidRDefault="00D058B8" w:rsidP="004C5D52">
      <w:pPr>
        <w:pStyle w:val="LineTop"/>
      </w:pPr>
    </w:p>
    <w:p w:rsidR="00680577" w:rsidRPr="004E7D1D" w:rsidRDefault="00DC2710" w:rsidP="00680577">
      <w:pPr>
        <w:pStyle w:val="EPBodyTA1"/>
      </w:pPr>
      <w:r w:rsidRPr="004E7D1D">
        <w:t>PŘIJATÉ TEXTY</w:t>
      </w:r>
    </w:p>
    <w:p w:rsidR="00D058B8" w:rsidRPr="004E7D1D" w:rsidRDefault="00D058B8" w:rsidP="00D058B8">
      <w:pPr>
        <w:pStyle w:val="LineBottom"/>
      </w:pPr>
    </w:p>
    <w:p w:rsidR="00DC2710" w:rsidRPr="004E7D1D" w:rsidRDefault="00DC2710" w:rsidP="00DC2710">
      <w:pPr>
        <w:pStyle w:val="ATHeading1"/>
      </w:pPr>
      <w:bookmarkStart w:id="0" w:name="TANumber"/>
      <w:r w:rsidRPr="004E7D1D">
        <w:t>P9_TA(2024)00</w:t>
      </w:r>
      <w:bookmarkEnd w:id="0"/>
      <w:r w:rsidR="00783941">
        <w:t>82</w:t>
      </w:r>
    </w:p>
    <w:p w:rsidR="00DC2710" w:rsidRPr="004E7D1D" w:rsidRDefault="00E6203B" w:rsidP="00DC2710">
      <w:pPr>
        <w:pStyle w:val="ATHeading2"/>
      </w:pPr>
      <w:r w:rsidRPr="00E6203B">
        <w:t>Víceletý finanční rámec na období 2021–2027 (usnesení)</w:t>
      </w:r>
    </w:p>
    <w:p w:rsidR="00DC2710" w:rsidRPr="004E7D1D" w:rsidRDefault="00DC2710" w:rsidP="00DC2710">
      <w:pPr>
        <w:rPr>
          <w:i/>
          <w:vanish/>
        </w:rPr>
      </w:pPr>
      <w:r w:rsidRPr="004E7D1D">
        <w:rPr>
          <w:i/>
        </w:rPr>
        <w:fldChar w:fldCharType="begin"/>
      </w:r>
      <w:r w:rsidRPr="004E7D1D">
        <w:rPr>
          <w:i/>
        </w:rPr>
        <w:instrText xml:space="preserve"> TC"(</w:instrText>
      </w:r>
      <w:bookmarkStart w:id="1" w:name="DocNumber"/>
      <w:r w:rsidRPr="004E7D1D">
        <w:rPr>
          <w:i/>
        </w:rPr>
        <w:instrText>A9-0053/2024</w:instrText>
      </w:r>
      <w:bookmarkEnd w:id="1"/>
      <w:r w:rsidRPr="004E7D1D">
        <w:rPr>
          <w:i/>
        </w:rPr>
        <w:instrText xml:space="preserve"> - Zpravodajové: Jan Olbrycht, Margarida Marques)"\l3 \n&gt; \* MERGEFORMAT </w:instrText>
      </w:r>
      <w:r w:rsidRPr="004E7D1D">
        <w:rPr>
          <w:i/>
        </w:rPr>
        <w:fldChar w:fldCharType="end"/>
      </w:r>
    </w:p>
    <w:p w:rsidR="00DC2710" w:rsidRPr="004E7D1D" w:rsidRDefault="00DC2710" w:rsidP="00DC2710">
      <w:pPr>
        <w:rPr>
          <w:vanish/>
        </w:rPr>
      </w:pPr>
      <w:bookmarkStart w:id="2" w:name="Commission"/>
      <w:r w:rsidRPr="004E7D1D">
        <w:rPr>
          <w:vanish/>
        </w:rPr>
        <w:t>Rozpočtový výbor</w:t>
      </w:r>
      <w:bookmarkEnd w:id="2"/>
    </w:p>
    <w:p w:rsidR="00DC2710" w:rsidRPr="004E7D1D" w:rsidRDefault="00DC2710" w:rsidP="00DC2710">
      <w:pPr>
        <w:rPr>
          <w:vanish/>
        </w:rPr>
      </w:pPr>
      <w:bookmarkStart w:id="3" w:name="PE"/>
      <w:r w:rsidRPr="004E7D1D">
        <w:rPr>
          <w:vanish/>
        </w:rPr>
        <w:t>PE758.970</w:t>
      </w:r>
      <w:bookmarkEnd w:id="3"/>
    </w:p>
    <w:p w:rsidR="00DC2710" w:rsidRPr="004E7D1D" w:rsidRDefault="00E6203B" w:rsidP="00DC2710">
      <w:pPr>
        <w:pStyle w:val="ATHeading3"/>
      </w:pPr>
      <w:bookmarkStart w:id="4" w:name="Sujet"/>
      <w:r>
        <w:t>Nelegislativní u</w:t>
      </w:r>
      <w:r w:rsidR="00DC2710" w:rsidRPr="004E7D1D">
        <w:t xml:space="preserve">snesení </w:t>
      </w:r>
      <w:r w:rsidR="00783941">
        <w:t>Evropského parlamentu ze dne 27</w:t>
      </w:r>
      <w:r w:rsidR="005E05CF">
        <w:t>. února</w:t>
      </w:r>
      <w:r w:rsidR="00DC2710" w:rsidRPr="004E7D1D">
        <w:t xml:space="preserve"> 2024 o návrhu nařízení Rady, kterým se mění nařízení (EU, Euratom) 2020/2093, kterým se stanoví víceletý finanční rámec na období 2021–2027</w:t>
      </w:r>
      <w:bookmarkEnd w:id="4"/>
      <w:r w:rsidR="00DC2710" w:rsidRPr="004E7D1D">
        <w:t xml:space="preserve"> </w:t>
      </w:r>
      <w:bookmarkStart w:id="5" w:name="References"/>
      <w:r w:rsidR="00DC2710" w:rsidRPr="004E7D1D">
        <w:t>(05818/2024 – C9-0030/2024 – 2023/0201M(APP))</w:t>
      </w:r>
      <w:bookmarkEnd w:id="5"/>
    </w:p>
    <w:p w:rsidR="00DC2710" w:rsidRPr="004E7D1D" w:rsidRDefault="00DC2710" w:rsidP="00DC2710"/>
    <w:p w:rsidR="001C7397" w:rsidRPr="004E7D1D" w:rsidRDefault="001C7397" w:rsidP="001C7397">
      <w:pPr>
        <w:pStyle w:val="ListBullet"/>
        <w:spacing w:after="240"/>
        <w:ind w:left="426" w:hanging="426"/>
        <w:rPr>
          <w:szCs w:val="24"/>
        </w:rPr>
      </w:pPr>
      <w:bookmarkStart w:id="6" w:name="TextBodyBegin"/>
      <w:bookmarkEnd w:id="6"/>
      <w:r w:rsidRPr="004E7D1D">
        <w:t>Evropský parlament,</w:t>
      </w:r>
    </w:p>
    <w:p w:rsidR="001C7397" w:rsidRPr="004E7D1D" w:rsidRDefault="001C7397" w:rsidP="001C7397">
      <w:pPr>
        <w:pStyle w:val="NormalHanging12a"/>
      </w:pPr>
      <w:r w:rsidRPr="004E7D1D">
        <w:t>–</w:t>
      </w:r>
      <w:r w:rsidRPr="004E7D1D">
        <w:tab/>
        <w:t>s ohledem na články 311, 312 a 323 Smlouvy o fungování Evropské unie (dále jen „Smlouva o fungování EU“),</w:t>
      </w:r>
    </w:p>
    <w:p w:rsidR="001C7397" w:rsidRDefault="001C7397" w:rsidP="001C7397">
      <w:pPr>
        <w:pStyle w:val="NormalHanging12a"/>
      </w:pPr>
      <w:r w:rsidRPr="004E7D1D">
        <w:t>–</w:t>
      </w:r>
      <w:r w:rsidRPr="004E7D1D">
        <w:tab/>
        <w:t>s</w:t>
      </w:r>
      <w:r w:rsidR="00A67ECA">
        <w:t xml:space="preserve"> ohledem na návrh nařízení Rady</w:t>
      </w:r>
      <w:r w:rsidRPr="004E7D1D">
        <w:t xml:space="preserve">, kterým se mění nařízení (EU, Euratom) 2020/2093, kterým se stanoví víceletý finanční rámec na období 2021–2027 </w:t>
      </w:r>
      <w:r w:rsidR="00A67ECA" w:rsidRPr="004E7D1D">
        <w:t>(05818/2024)</w:t>
      </w:r>
      <w:r w:rsidRPr="004E7D1D">
        <w:t>,</w:t>
      </w:r>
    </w:p>
    <w:p w:rsidR="001C7397" w:rsidRPr="004E7D1D" w:rsidRDefault="001C7397" w:rsidP="001C7397">
      <w:pPr>
        <w:pStyle w:val="NormalHanging12a"/>
      </w:pPr>
      <w:r w:rsidRPr="004E7D1D">
        <w:t>–</w:t>
      </w:r>
      <w:r w:rsidRPr="004E7D1D">
        <w:tab/>
        <w:t>s ohledem na žádost o souhlas předloženou Radou v souladu s čl. 312 odst. 2 Smlouvy o fungování EU</w:t>
      </w:r>
      <w:r w:rsidR="00A67ECA">
        <w:t xml:space="preserve"> </w:t>
      </w:r>
      <w:r w:rsidR="00A67ECA" w:rsidRPr="00A67ECA">
        <w:t>(C9-0030/2024)</w:t>
      </w:r>
      <w:r w:rsidRPr="004E7D1D">
        <w:t>,</w:t>
      </w:r>
    </w:p>
    <w:p w:rsidR="001C7397" w:rsidRPr="004E7D1D" w:rsidRDefault="001C7397" w:rsidP="001C7397">
      <w:pPr>
        <w:pStyle w:val="NormalHanging12a"/>
      </w:pPr>
      <w:r w:rsidRPr="004E7D1D">
        <w:t>–</w:t>
      </w:r>
      <w:r w:rsidRPr="004E7D1D">
        <w:tab/>
        <w:t>s ohledem na nařízení Rady (EU, Euratom) 2020/2093 ze dne 17. prosince 2020, kterým se stanoví víceletý finanční rámec na období 2021–2027</w:t>
      </w:r>
      <w:r w:rsidRPr="004E7D1D">
        <w:rPr>
          <w:rStyle w:val="FootnoteReference"/>
          <w:color w:val="000000"/>
          <w:szCs w:val="24"/>
        </w:rPr>
        <w:footnoteReference w:id="1"/>
      </w:r>
      <w:r w:rsidRPr="004E7D1D">
        <w:t>, a na společná prohlášení, na nichž se v této souvislosti dohodly Parlament, Rada a Komise</w:t>
      </w:r>
      <w:r w:rsidRPr="004E7D1D">
        <w:rPr>
          <w:vertAlign w:val="superscript"/>
        </w:rPr>
        <w:footnoteReference w:id="2"/>
      </w:r>
      <w:r w:rsidRPr="004E7D1D">
        <w:t>, i na související jednostranná prohlášení</w:t>
      </w:r>
      <w:r w:rsidRPr="004E7D1D">
        <w:rPr>
          <w:vertAlign w:val="superscript"/>
        </w:rPr>
        <w:footnoteReference w:id="3"/>
      </w:r>
      <w:r w:rsidRPr="004E7D1D">
        <w:t>,</w:t>
      </w:r>
    </w:p>
    <w:p w:rsidR="001C7397" w:rsidRPr="004E7D1D" w:rsidRDefault="001C7397" w:rsidP="001C7397">
      <w:pPr>
        <w:pStyle w:val="NormalHanging12a"/>
      </w:pPr>
      <w:r w:rsidRPr="004E7D1D">
        <w:t>–</w:t>
      </w:r>
      <w:r w:rsidRPr="004E7D1D">
        <w:tab/>
        <w:t xml:space="preserve">s ohledem na rozhodnutí Rady (EU, Euratom) </w:t>
      </w:r>
      <w:r w:rsidR="0095329D" w:rsidRPr="004E7D1D">
        <w:t xml:space="preserve">2020/2053 </w:t>
      </w:r>
      <w:r w:rsidRPr="004E7D1D">
        <w:t>ze dne 14. prosince 2020 o systému vlastních zdrojů Evropské unie a o zrušení rozhodnutí 2014/335/EU, Euratom</w:t>
      </w:r>
      <w:r w:rsidRPr="004E7D1D">
        <w:rPr>
          <w:vertAlign w:val="superscript"/>
        </w:rPr>
        <w:footnoteReference w:id="4"/>
      </w:r>
      <w:r w:rsidRPr="004E7D1D">
        <w:t>,</w:t>
      </w:r>
    </w:p>
    <w:p w:rsidR="001C7397" w:rsidRPr="004E7D1D" w:rsidRDefault="001C7397" w:rsidP="001C7397">
      <w:pPr>
        <w:pStyle w:val="NormalHanging12a"/>
      </w:pPr>
      <w:r w:rsidRPr="004E7D1D">
        <w:t>–</w:t>
      </w:r>
      <w:r w:rsidRPr="004E7D1D">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4E7D1D">
        <w:rPr>
          <w:vertAlign w:val="superscript"/>
        </w:rPr>
        <w:footnoteReference w:id="5"/>
      </w:r>
      <w:r w:rsidRPr="004E7D1D">
        <w:rPr>
          <w:vertAlign w:val="superscript"/>
        </w:rPr>
        <w:t xml:space="preserve"> </w:t>
      </w:r>
      <w:r w:rsidRPr="004E7D1D">
        <w:t>(dále jen „interinstitucionální dohoda“),</w:t>
      </w:r>
    </w:p>
    <w:p w:rsidR="001C7397" w:rsidRPr="004E7D1D" w:rsidRDefault="001C7397" w:rsidP="001C7397">
      <w:pPr>
        <w:pStyle w:val="NormalHanging12a"/>
      </w:pPr>
      <w:r w:rsidRPr="004E7D1D">
        <w:t>–</w:t>
      </w:r>
      <w:r w:rsidRPr="004E7D1D">
        <w:tab/>
        <w:t>s ohledem na nařízení Evropského parlamentu a Rady (EU, Euratom) 2020/2092 ze dne 16. prosince 2020 o obecném režimu podmíněnosti na ochranu rozpočtu Unie</w:t>
      </w:r>
      <w:r w:rsidRPr="004E7D1D">
        <w:rPr>
          <w:vertAlign w:val="superscript"/>
        </w:rPr>
        <w:footnoteReference w:id="6"/>
      </w:r>
      <w:r w:rsidRPr="004E7D1D">
        <w:t>,</w:t>
      </w:r>
    </w:p>
    <w:p w:rsidR="001C7397" w:rsidRPr="004E7D1D" w:rsidRDefault="001C7397" w:rsidP="001C7397">
      <w:pPr>
        <w:pStyle w:val="NormalHanging12a"/>
      </w:pPr>
      <w:r w:rsidRPr="004E7D1D">
        <w:lastRenderedPageBreak/>
        <w:t>–</w:t>
      </w:r>
      <w:r w:rsidRPr="004E7D1D">
        <w:tab/>
        <w:t>s ohledem na návrh nařízení Rady, kterým se mění nařízení (EU, Euratom) 2020/2093, kterým se stanoví víceletý finanční rámec na období 2021–2027, jejž předložila Komise dne 20. června 2023 (</w:t>
      </w:r>
      <w:proofErr w:type="gramStart"/>
      <w:r w:rsidRPr="004E7D1D">
        <w:t>COM(2023</w:t>
      </w:r>
      <w:proofErr w:type="gramEnd"/>
      <w:r w:rsidRPr="004E7D1D">
        <w:t>)0337),</w:t>
      </w:r>
    </w:p>
    <w:p w:rsidR="001C7397" w:rsidRPr="004E7D1D" w:rsidRDefault="001C7397" w:rsidP="001C7397">
      <w:pPr>
        <w:pStyle w:val="NormalHanging12a"/>
      </w:pPr>
      <w:r w:rsidRPr="004E7D1D">
        <w:t>–</w:t>
      </w:r>
      <w:r w:rsidRPr="004E7D1D">
        <w:tab/>
        <w:t>s ohledem na sdělení Komise ze dne 20. června 2023 nazvané „Revize víceletého finančního rámce na období 2021–2027 v polovině období“ (</w:t>
      </w:r>
      <w:proofErr w:type="gramStart"/>
      <w:r w:rsidRPr="004E7D1D">
        <w:t>COM(2023</w:t>
      </w:r>
      <w:proofErr w:type="gramEnd"/>
      <w:r w:rsidRPr="004E7D1D">
        <w:t>)</w:t>
      </w:r>
      <w:r w:rsidR="00E6203B">
        <w:t>0</w:t>
      </w:r>
      <w:r w:rsidRPr="004E7D1D">
        <w:t>336) a doprovodný pracovní dokument útvarů Komise (SWD(2023)0336),</w:t>
      </w:r>
    </w:p>
    <w:p w:rsidR="001C7397" w:rsidRPr="004E7D1D" w:rsidRDefault="001C7397" w:rsidP="001C7397">
      <w:pPr>
        <w:pStyle w:val="NormalHanging12a"/>
      </w:pPr>
      <w:r w:rsidRPr="004E7D1D">
        <w:t>–</w:t>
      </w:r>
      <w:r w:rsidRPr="004E7D1D">
        <w:tab/>
        <w:t>s ohledem na závěry Evropské rady ze dne 1. února 2024,</w:t>
      </w:r>
    </w:p>
    <w:p w:rsidR="001C7397" w:rsidRPr="004E7D1D" w:rsidRDefault="001C7397" w:rsidP="001C7397">
      <w:pPr>
        <w:pStyle w:val="NormalHanging12a"/>
      </w:pPr>
      <w:r w:rsidRPr="004E7D1D">
        <w:t>–</w:t>
      </w:r>
      <w:r w:rsidRPr="004E7D1D">
        <w:tab/>
        <w:t>s ohledem na své usnesení ze dne 3. října 2023 o návrhu revize víceletého finančního rámce na období 2021–2027 v polovině období</w:t>
      </w:r>
      <w:r w:rsidRPr="004E7D1D">
        <w:rPr>
          <w:rStyle w:val="FootnoteReference"/>
          <w:color w:val="000000"/>
          <w:szCs w:val="24"/>
        </w:rPr>
        <w:footnoteReference w:id="7"/>
      </w:r>
      <w:r w:rsidRPr="004E7D1D">
        <w:t>,</w:t>
      </w:r>
    </w:p>
    <w:p w:rsidR="001C7397" w:rsidRPr="004E7D1D" w:rsidRDefault="001C7397" w:rsidP="001C7397">
      <w:pPr>
        <w:pStyle w:val="NormalHanging12a"/>
      </w:pPr>
      <w:r w:rsidRPr="004E7D1D">
        <w:t>–</w:t>
      </w:r>
      <w:r w:rsidRPr="004E7D1D">
        <w:tab/>
        <w:t>s ohledem na své usnesení ze dne 10. května 2023 o dopadu zvýšení výpůjčních nákladů Nástroje Evropské unie na podporu oživení na rozpočet EU na rok 2024</w:t>
      </w:r>
      <w:r w:rsidRPr="004E7D1D">
        <w:rPr>
          <w:rStyle w:val="FootnoteReference"/>
          <w:color w:val="000000"/>
          <w:szCs w:val="24"/>
        </w:rPr>
        <w:footnoteReference w:id="8"/>
      </w:r>
      <w:r w:rsidRPr="004E7D1D">
        <w:t>,</w:t>
      </w:r>
    </w:p>
    <w:p w:rsidR="001C7397" w:rsidRPr="004E7D1D" w:rsidRDefault="001C7397" w:rsidP="001C7397">
      <w:pPr>
        <w:pStyle w:val="NormalHanging12a"/>
      </w:pPr>
      <w:r w:rsidRPr="004E7D1D">
        <w:t>–</w:t>
      </w:r>
      <w:r w:rsidRPr="004E7D1D">
        <w:tab/>
        <w:t>s ohledem na své usnesení ze dne 15. prosince 2022 k navýšení víceletého finančního rámce na období 2021–2027: odolný rozpočet EU připravený na nové výzvy</w:t>
      </w:r>
      <w:r w:rsidRPr="004E7D1D">
        <w:rPr>
          <w:rStyle w:val="FootnoteReference"/>
          <w:color w:val="000000"/>
          <w:szCs w:val="24"/>
        </w:rPr>
        <w:footnoteReference w:id="9"/>
      </w:r>
      <w:r w:rsidRPr="004E7D1D">
        <w:t>,</w:t>
      </w:r>
    </w:p>
    <w:p w:rsidR="001C7397" w:rsidRPr="004E7D1D" w:rsidRDefault="001C7397" w:rsidP="001C7397">
      <w:pPr>
        <w:pStyle w:val="NormalHanging12a"/>
      </w:pPr>
      <w:r w:rsidRPr="004E7D1D">
        <w:t>–</w:t>
      </w:r>
      <w:r w:rsidRPr="004E7D1D">
        <w:tab/>
        <w:t>s ohledem na své usnesení ze dne 19. května 2022 nazvané Sociální a hospodářské důsledky ruské války na Ukrajině pro EU – posílení akceschopnosti EU</w:t>
      </w:r>
      <w:r w:rsidRPr="004E7D1D">
        <w:rPr>
          <w:rStyle w:val="FootnoteReference"/>
          <w:color w:val="000000"/>
          <w:szCs w:val="24"/>
        </w:rPr>
        <w:footnoteReference w:id="10"/>
      </w:r>
      <w:r w:rsidRPr="004E7D1D">
        <w:t>,</w:t>
      </w:r>
    </w:p>
    <w:p w:rsidR="001C7397" w:rsidRPr="004E7D1D" w:rsidRDefault="001C7397" w:rsidP="001C7397">
      <w:pPr>
        <w:pStyle w:val="NormalHanging12a"/>
      </w:pPr>
      <w:r w:rsidRPr="004E7D1D">
        <w:t>–</w:t>
      </w:r>
      <w:r w:rsidRPr="004E7D1D">
        <w:tab/>
        <w:t>s ohledem na čl. 105 odst. 2 jednacího řádu,</w:t>
      </w:r>
    </w:p>
    <w:p w:rsidR="001C7397" w:rsidRPr="004E7D1D" w:rsidRDefault="001C7397" w:rsidP="001C7397">
      <w:pPr>
        <w:pStyle w:val="NormalHanging12a"/>
      </w:pPr>
      <w:r w:rsidRPr="004E7D1D">
        <w:t>–</w:t>
      </w:r>
      <w:r w:rsidRPr="004E7D1D">
        <w:tab/>
        <w:t>s ohledem na zprávu Rozpočtového výboru (A9-0053/2024),</w:t>
      </w:r>
    </w:p>
    <w:p w:rsidR="001C7397" w:rsidRPr="004E7D1D" w:rsidRDefault="001C7397" w:rsidP="001C7397">
      <w:pPr>
        <w:pStyle w:val="NormalHanging12a"/>
        <w:rPr>
          <w:spacing w:val="-2"/>
        </w:rPr>
      </w:pPr>
      <w:r w:rsidRPr="004E7D1D">
        <w:t>A.</w:t>
      </w:r>
      <w:r w:rsidRPr="004E7D1D">
        <w:tab/>
        <w:t>vzhledem k tomu, že nařízení, kterým se stanoví víceletý finanční rámec (VFR) na období 2021–2027, neukládá povinný přezkum nebo revizi v polovině období; vzhledem k tomu, že v jednostranném prohlášení v rámci dohody o VFR z prosince 2020 se Komise zavázala, že do 1. ledna 2024 předloží přezkum fungování VFR;</w:t>
      </w:r>
    </w:p>
    <w:p w:rsidR="001C7397" w:rsidRPr="004E7D1D" w:rsidRDefault="001C7397" w:rsidP="001C7397">
      <w:pPr>
        <w:pStyle w:val="NormalHanging12a"/>
        <w:rPr>
          <w:spacing w:val="-2"/>
        </w:rPr>
      </w:pPr>
      <w:r w:rsidRPr="004E7D1D">
        <w:t>B.</w:t>
      </w:r>
      <w:r w:rsidRPr="004E7D1D">
        <w:tab/>
        <w:t>vzhledem k tomu, že v prosinci 2022 Parlament zdůraznil, že od přijetí VFR v prosinci 2020 se politická, hospodářská a sociální situace změnily k nepoznání, a vyzval Komisi, aby předložila plánovaný přezkum a navrhla revizi stávajícího VFR;</w:t>
      </w:r>
    </w:p>
    <w:p w:rsidR="001C7397" w:rsidRPr="004E7D1D" w:rsidRDefault="001C7397" w:rsidP="001C7397">
      <w:pPr>
        <w:pStyle w:val="NormalHanging12a"/>
        <w:rPr>
          <w:spacing w:val="-2"/>
        </w:rPr>
      </w:pPr>
      <w:r w:rsidRPr="004E7D1D">
        <w:t>1.</w:t>
      </w:r>
      <w:r w:rsidRPr="004E7D1D">
        <w:tab/>
        <w:t>zdůrazňuje, že revize nařízení o VFR je základním předpokladem toho, aby prostřednictvím nástroje pro Ukrajinu byla zajištěna střednědobá finanční podpora Ukrajiny, aby bylo možné posílit financování cílených politických priorit a zachovat programy Unie a pružnost rozpočtu s ohledem na úrokové sazby, které jsou vyšší, než se předpokládalo, a zvyšují tudíž plánované výpůjční náklady Unie;</w:t>
      </w:r>
    </w:p>
    <w:p w:rsidR="001C7397" w:rsidRPr="004E7D1D" w:rsidRDefault="001C7397" w:rsidP="001C7397">
      <w:pPr>
        <w:pStyle w:val="NormalHanging12a"/>
        <w:rPr>
          <w:spacing w:val="-2"/>
        </w:rPr>
      </w:pPr>
      <w:r w:rsidRPr="004E7D1D">
        <w:t>2.</w:t>
      </w:r>
      <w:r w:rsidRPr="004E7D1D">
        <w:tab/>
        <w:t xml:space="preserve">zdůrazňuje, že návrh nařízení Rady, kterým se mění VFR, je součástí balíčku právních předpisů a že jeho přijetí umožní rychlou podporu Ukrajiny a zajistí, aby prostřednictvím opravného rozpočtu bylo možné provést navýšení prostředků </w:t>
      </w:r>
      <w:r w:rsidR="00783941">
        <w:t>co nejdříve</w:t>
      </w:r>
      <w:r w:rsidR="00783941" w:rsidRPr="004E7D1D">
        <w:t xml:space="preserve"> </w:t>
      </w:r>
      <w:r w:rsidRPr="004E7D1D">
        <w:t xml:space="preserve">v rozpočtu na rok 2024, jakož i ve zbývajících letech období VFR; zdůrazňuje, že revize VFR představuje jasnou změnu k lepšímu oproti současnému stavu, třebaže některé aspekty návrhu nařízení Rady </w:t>
      </w:r>
      <w:r w:rsidR="00783941" w:rsidRPr="00783941">
        <w:t>jsou zjevně politováníhodné</w:t>
      </w:r>
      <w:r w:rsidRPr="004E7D1D">
        <w:t xml:space="preserve">, v důsledku čehož </w:t>
      </w:r>
      <w:r w:rsidRPr="004E7D1D">
        <w:lastRenderedPageBreak/>
        <w:t>zůstane rozpočet EU i nadále pod tlakem, takže bude mít jen omezené rezervy a možnosti flexibility a bude nutné krátit financování klíčových programů</w:t>
      </w:r>
      <w:r w:rsidR="00783941">
        <w:t xml:space="preserve">, </w:t>
      </w:r>
      <w:r w:rsidR="00783941" w:rsidRPr="00783941">
        <w:t>například programu Horizont Evropa, programu EU pro zdraví, jakož i politiky soudržnosti a společné zemědělské politiky</w:t>
      </w:r>
      <w:r w:rsidRPr="004E7D1D">
        <w:t xml:space="preserve"> a snížit ambice v důležitých oblastech politiky zaměřených na budoucnost, jako je svrchovanost;  </w:t>
      </w:r>
    </w:p>
    <w:p w:rsidR="001C7397" w:rsidRPr="004E7D1D" w:rsidRDefault="001C7397" w:rsidP="001C7397">
      <w:pPr>
        <w:pStyle w:val="NormalHanging12a"/>
        <w:rPr>
          <w:spacing w:val="-2"/>
        </w:rPr>
      </w:pPr>
      <w:r w:rsidRPr="004E7D1D">
        <w:t>3.</w:t>
      </w:r>
      <w:r w:rsidRPr="004E7D1D">
        <w:tab/>
        <w:t xml:space="preserve">připomíná, že podle tvrzení Parlamentu by se tato revize měla zaměřit především na řešení důsledků ruské agresivní války proti Ukrajině a na to, aby Unie byla dostatečně flexibilní a mohla reagovat na vznikající potřeby a krize, aby uplatňovala strukturální přístup k podpoře Ukrajiny a řízení výpůjčních nákladů nástroje </w:t>
      </w:r>
      <w:proofErr w:type="spellStart"/>
      <w:r w:rsidRPr="004E7D1D">
        <w:t>NextGenerationEU</w:t>
      </w:r>
      <w:proofErr w:type="spellEnd"/>
      <w:r w:rsidRPr="004E7D1D">
        <w:t xml:space="preserve"> a posílila financování zahraniční politiky, migrace, strategické autonomie a konkurenceschopnosti</w:t>
      </w:r>
      <w:r w:rsidRPr="004E7D1D">
        <w:rPr>
          <w:shd w:val="clear" w:color="auto" w:fill="FFFFFF"/>
        </w:rPr>
        <w:t>; bere na vědomí</w:t>
      </w:r>
      <w:r w:rsidRPr="004E7D1D">
        <w:t>, že v návrhu revize Komise z června 2023 byly všechny tyto priority zohledněny a že každá je alespoň do určité míry obsažena v návrhu nařízení Rady, o jehož odsouhlasení byl Parlament požádán;</w:t>
      </w:r>
    </w:p>
    <w:p w:rsidR="001C7397" w:rsidRPr="004E7D1D" w:rsidRDefault="001C7397" w:rsidP="001C7397">
      <w:pPr>
        <w:pStyle w:val="NormalHanging12a"/>
        <w:rPr>
          <w:shd w:val="clear" w:color="auto" w:fill="FFFFFF"/>
        </w:rPr>
      </w:pPr>
      <w:r w:rsidRPr="004E7D1D">
        <w:t>4.</w:t>
      </w:r>
      <w:r w:rsidRPr="004E7D1D">
        <w:tab/>
      </w:r>
      <w:r w:rsidRPr="004E7D1D">
        <w:rPr>
          <w:shd w:val="clear" w:color="auto" w:fill="FFFFFF"/>
        </w:rPr>
        <w:t xml:space="preserve">zdůrazňuje, že Parlament pracoval hned od počátku rychle a konstruktivně, aby balíček VFR bylo možné přijmout co nejdříve; vyjadřuje politování nad tím, že tento proces byl zatížen politickými neshodami mezi členskými státy, které vedly k nežádoucím zpožděním v jednání Rady; </w:t>
      </w:r>
      <w:r w:rsidRPr="004E7D1D">
        <w:rPr>
          <w:color w:val="000000" w:themeColor="text1"/>
          <w:shd w:val="clear" w:color="auto" w:fill="FFFFFF"/>
        </w:rPr>
        <w:t xml:space="preserve">vyzývá k tomu, aby byly změny obsažené v této revizi provedeny co nejrychleji, zejména s cílem zajistit – vzhledem k naléhavosti potřeb – včasné vyplacení finanční podpory Ukrajině; </w:t>
      </w:r>
    </w:p>
    <w:p w:rsidR="001C7397" w:rsidRPr="004E7D1D" w:rsidRDefault="001C7397" w:rsidP="001C7397">
      <w:pPr>
        <w:pStyle w:val="NormalHanging12a"/>
        <w:rPr>
          <w:shd w:val="clear" w:color="auto" w:fill="FFFFFF"/>
        </w:rPr>
      </w:pPr>
      <w:r w:rsidRPr="004E7D1D">
        <w:t>5.</w:t>
      </w:r>
      <w:r w:rsidRPr="004E7D1D">
        <w:tab/>
      </w:r>
      <w:r w:rsidRPr="004E7D1D">
        <w:rPr>
          <w:shd w:val="clear" w:color="auto" w:fill="FFFFFF"/>
        </w:rPr>
        <w:t>je zklamán tím, že Rada a Komise neuplatnily ustanovení Smluv a interinstitucionální dohody, aby umožnily jeho řádné zapojení do procesu v jeho dřívější fázi; trvá na tom, že spolupráce musí být v budoucnu navázána hned na začátku jakéhokoli postupu pro přijímání změn;</w:t>
      </w:r>
    </w:p>
    <w:p w:rsidR="001C7397" w:rsidRPr="004E7D1D" w:rsidRDefault="001C7397" w:rsidP="001C7397">
      <w:pPr>
        <w:pStyle w:val="NormalHanging12a"/>
      </w:pPr>
      <w:r w:rsidRPr="004E7D1D">
        <w:t>6.</w:t>
      </w:r>
      <w:r w:rsidRPr="004E7D1D">
        <w:tab/>
        <w:t>níže připojuje své úvahy týkající se jednotlivých aspektů revize VFR;</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E7D1D">
        <w:rPr>
          <w:b/>
          <w:i/>
        </w:rPr>
        <w:t>Podpora Ukrajiny</w:t>
      </w:r>
    </w:p>
    <w:p w:rsidR="001C7397" w:rsidRPr="004E7D1D" w:rsidRDefault="001C7397" w:rsidP="001C7397">
      <w:pPr>
        <w:pStyle w:val="NormalHanging12a"/>
      </w:pPr>
      <w:r w:rsidRPr="004E7D1D">
        <w:t>7.</w:t>
      </w:r>
      <w:r w:rsidRPr="004E7D1D">
        <w:tab/>
        <w:t>vřele vítá finanční balíček ve výši 50 miliard EUR pro Ukrajinu na období 2024–2027, který kombinuje granty (17 miliard EUR) s úvěry poskytnutými za velmi příznivých podmínek (33 miliard EUR) a který je zakotven v rozpočtu EU; zdůrazňuje, že změna nařízení o VFR, o jejíž odsouhlasení byl Parlament požádán, je nezbytným předpokladem pro poskytnutí finanční podpory Ukrajině;</w:t>
      </w:r>
    </w:p>
    <w:p w:rsidR="001C7397" w:rsidRPr="004E7D1D" w:rsidRDefault="001C7397" w:rsidP="001C7397">
      <w:pPr>
        <w:pStyle w:val="NormalHanging12a"/>
      </w:pPr>
      <w:r w:rsidRPr="004E7D1D">
        <w:t>8.</w:t>
      </w:r>
      <w:r w:rsidRPr="004E7D1D">
        <w:tab/>
        <w:t>zdůrazňuje, že toto střednědobé strukturální řešení poskytuje ukrajinskému lidu jistotu, umožňuje vládě udržet základní služby a pomáhá zemi na její cestě k obnově, rekonstrukci a členství v EU; dále se domnívá, že finanční balíček je velmi důležitým symbolem dlouhodobého závazku Unie vůči Ukrajině a jejímu lidu a že je také významným signálem o tomto závazku jak pro ostatní klíčové dárce, tak pro Ruskou federaci; je připraven sledovat budoucí potřeby Ukrajiny v oblasti financování s přihlédnutím k mezinárodnímu vývoji;</w:t>
      </w:r>
    </w:p>
    <w:p w:rsidR="001C7397" w:rsidRPr="004E7D1D" w:rsidRDefault="001C7397" w:rsidP="001C7397">
      <w:pPr>
        <w:pStyle w:val="NormalHanging12a"/>
      </w:pPr>
      <w:r w:rsidRPr="004E7D1D">
        <w:t>9.</w:t>
      </w:r>
      <w:r w:rsidRPr="004E7D1D">
        <w:tab/>
        <w:t>zdůrazňuje, že vzhledem k tomu, že nástroj pro Ukrajinu je součástí rozpočtu EU, v oblasti výdajů bude fungovat systém brzd a protivah a potřebné finanční kontroly, jakož i rezerva pro Ukrajinu, která kryje grantovou složku nástroje, uvolněnou rozpočtovým orgánem v rámci ročního rozpočtového procesu;</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E7D1D">
        <w:rPr>
          <w:b/>
          <w:i/>
        </w:rPr>
        <w:t>Okruhy 4 a 6 – Migrace a vnější rozměr</w:t>
      </w:r>
    </w:p>
    <w:p w:rsidR="001C7397" w:rsidRPr="004E7D1D" w:rsidRDefault="001C7397" w:rsidP="001C7397">
      <w:pPr>
        <w:pStyle w:val="NormalHanging12a"/>
      </w:pPr>
      <w:r w:rsidRPr="004E7D1D">
        <w:lastRenderedPageBreak/>
        <w:t>10.</w:t>
      </w:r>
      <w:r w:rsidRPr="004E7D1D">
        <w:tab/>
        <w:t>vítá skutečnost, že pro okruh 6 (sousedství a svět) bude přiděleno navíc 3,1 miliardy EUR z nových finančních prostředků a vedle toho i další 4,5 miliardy EUR z uvolněných a přerozdělených prostředků, které budou v rámci tohoto okruhu využity na jiné účely, celkem tedy 7,6 miliardy EUR, které mají být vynaloženy na podporu migračních opatření a uprchlíků ve třetích zemích a na posílení financování procesu přistoupení zemí západního Balkánu v letech 2024 až 2027; zdůrazňuje rovněž, že vytvoření nástroje pro Ukrajinu a posílení podpory pro západní Balkán vytvoří také prostor pro větší finanční podporu Moldavska na jeho cestě k přistoupení;</w:t>
      </w:r>
    </w:p>
    <w:p w:rsidR="001C7397" w:rsidRPr="004E7D1D" w:rsidRDefault="001C7397" w:rsidP="001C7397">
      <w:pPr>
        <w:pStyle w:val="NormalHanging12a"/>
      </w:pPr>
      <w:r w:rsidRPr="004E7D1D">
        <w:t>11.</w:t>
      </w:r>
      <w:r w:rsidRPr="004E7D1D">
        <w:tab/>
        <w:t xml:space="preserve">vítá skutečnost, že díky revizi byly v roce 2022 z okruhu 6 odstraněny záruky Evropské investiční banky týkající se Ukrajiny i úrokové subvence na úvěry v oblasti </w:t>
      </w:r>
      <w:proofErr w:type="spellStart"/>
      <w:r w:rsidRPr="004E7D1D">
        <w:t>makrofinanční</w:t>
      </w:r>
      <w:proofErr w:type="spellEnd"/>
      <w:r w:rsidRPr="004E7D1D">
        <w:t xml:space="preserve"> pomoci Ukrajině v celkové výši 1,9 miliardy EUR, což pomohlo snížit tlak na tento okruh;</w:t>
      </w:r>
    </w:p>
    <w:p w:rsidR="001C7397" w:rsidRPr="004E7D1D" w:rsidRDefault="001C7397" w:rsidP="001C7397">
      <w:pPr>
        <w:pStyle w:val="NormalHanging12a"/>
      </w:pPr>
      <w:r w:rsidRPr="004E7D1D">
        <w:t>12.</w:t>
      </w:r>
      <w:r w:rsidRPr="004E7D1D">
        <w:tab/>
        <w:t>je velmi zklamán tím, že v rámci revize VFR nebyla posílena ani rezerva Nástroje pro sousedství a rozvojovou a mezinárodní spolupráci (NDICI) – Globální Evropa, ani humanitární pomoc a že i navzdory zlepšením zůstane tento okruh jako celek vzhledem k náročné geopolitické situaci a souběhu několika globálních krizí po zbytek období VFR pod značným tlakem; očekává, že potřeby v oblasti humanitární pomoci budou i nadále převyšovat částky, které jsou pro tento v rozpočtu vyčleněny, a hodlá proto tyto potřeby pečlivě sledovat, a bude-li to nezbytné, tak i řešit v rámci ročního rozpočtového procesu;</w:t>
      </w:r>
    </w:p>
    <w:p w:rsidR="001C7397" w:rsidRPr="004E7D1D" w:rsidRDefault="001C7397" w:rsidP="001C7397">
      <w:pPr>
        <w:pStyle w:val="NormalHanging12a"/>
      </w:pPr>
      <w:r w:rsidRPr="004E7D1D">
        <w:t>13.</w:t>
      </w:r>
      <w:r w:rsidRPr="004E7D1D">
        <w:tab/>
        <w:t>připomíná, že podle nařízení o nástroji NDICI mají být uvolněné finanční prostředky znovu přiděleny v rámci původní rozpočtové položky; zdůrazňuje, že rozhodnutí o přerozdělení finančních prostředků, jejichž přidělení na závazky bylo zrušeno, musí respektovat vnitřní rovnováhu a rozdělení prostředků mezi jednotlivé rozpočtové položky stanovené v nařízení o nástroji NDICI; zdůrazňuje, že o přesném rozdělení finančních prostředků mezi jednotlivé rozpočtové položky rozhoduje výhradně rozpočtový orgán v rámci ročního rozpočtového procesu, a je rozhodnut zajistit, aby EU i nadále poskytovala významnou finanční podporu a rozvojovou pomoc globálnímu Jihu;</w:t>
      </w:r>
    </w:p>
    <w:p w:rsidR="001C7397" w:rsidRPr="004E7D1D" w:rsidRDefault="001C7397" w:rsidP="001C7397">
      <w:pPr>
        <w:pStyle w:val="NormalHanging12a"/>
      </w:pPr>
      <w:r w:rsidRPr="004E7D1D">
        <w:t>14.</w:t>
      </w:r>
      <w:r w:rsidRPr="004E7D1D">
        <w:tab/>
        <w:t xml:space="preserve">zdůrazňuje, že finanční podpora třetím zemím by měla být poskytována prostřednictvím programů spadajících do okruhu 6, které zajišťují spolehlivý dohled a zaručují výsady Parlamentu; zdůrazňuje, že využívání </w:t>
      </w:r>
      <w:proofErr w:type="spellStart"/>
      <w:r w:rsidRPr="004E7D1D">
        <w:t>facilit</w:t>
      </w:r>
      <w:proofErr w:type="spellEnd"/>
      <w:r w:rsidRPr="004E7D1D">
        <w:t xml:space="preserve"> pro poskytování finanční podpory představuje nejzazší možnost; zdůrazňuje, že model správy používaný v rámci nástroje pro Ukrajinu, zejména pokud jde o rozsáhlé využívání prováděcích rozhodnutí Rady, je vázaný na tento specifický kontext, v němž bude fungovat, a je proto výjimečný, takže nesmí být replikován v rámci žádného budoucího nástroje tohoto druhu;</w:t>
      </w:r>
    </w:p>
    <w:p w:rsidR="001C7397" w:rsidRPr="004E7D1D" w:rsidRDefault="001C7397" w:rsidP="001C7397">
      <w:pPr>
        <w:pStyle w:val="NormalHanging12a"/>
      </w:pPr>
      <w:r w:rsidRPr="004E7D1D">
        <w:t>15.</w:t>
      </w:r>
      <w:r w:rsidRPr="004E7D1D">
        <w:tab/>
        <w:t>vítá navýšení prostředků vyhrazených pro okruh 4 (migrace a správa hranic) o 2 miliardy EUR, které budou mít klíčový význam v souvislosti s prováděním nového paktu o migraci a azylu a pomohou zmírnit nadměrné zatížení programů a decentralizovaných agentur v rámci tohoto okruhu;</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E7D1D">
        <w:rPr>
          <w:b/>
          <w:i/>
        </w:rPr>
        <w:t>Platforma strategických technologií pro Evropu (STEP)</w:t>
      </w:r>
    </w:p>
    <w:p w:rsidR="001C7397" w:rsidRPr="004E7D1D" w:rsidRDefault="001C7397" w:rsidP="001C7397">
      <w:pPr>
        <w:pStyle w:val="NormalHanging12a"/>
      </w:pPr>
      <w:r w:rsidRPr="004E7D1D">
        <w:t>16.</w:t>
      </w:r>
      <w:r w:rsidRPr="004E7D1D">
        <w:tab/>
        <w:t xml:space="preserve">zdůrazňuje, že Platforma strategických technologií pro Evropu je koncipována jako nástroj, který má sloužit k vytváření synergií mezi stávajícími strukturami programů, a pomáhat tak zajistit otevřenou strategickou autonomii Unie, snižovat závislost na třetích </w:t>
      </w:r>
      <w:r w:rsidRPr="004E7D1D">
        <w:lastRenderedPageBreak/>
        <w:t>zemích, posílit investice do strategických odvětví a podpořit ekologickou a digitální transformaci; opětovně připomíná, že platforma STEP by měla v příštím období VFR fungovat jako testovací prostředí pro plnohodnotný Fond suverenity;</w:t>
      </w:r>
    </w:p>
    <w:p w:rsidR="001C7397" w:rsidRPr="004E7D1D" w:rsidRDefault="001C7397" w:rsidP="001C7397">
      <w:pPr>
        <w:pStyle w:val="NormalHanging12a"/>
      </w:pPr>
      <w:r w:rsidRPr="004E7D1D">
        <w:t>17.</w:t>
      </w:r>
      <w:r w:rsidRPr="004E7D1D">
        <w:tab/>
        <w:t xml:space="preserve">v této souvislosti připomíná, že program STEP měl kombinovat nové zdroje financování Programu </w:t>
      </w:r>
      <w:proofErr w:type="spellStart"/>
      <w:r w:rsidRPr="004E7D1D">
        <w:t>InvestEU</w:t>
      </w:r>
      <w:proofErr w:type="spellEnd"/>
      <w:r w:rsidRPr="004E7D1D">
        <w:t>, Horizont Evropa, Inovačního fondu a Evropského obranného fondu s úpravami priorit fondů v rámci stávajících programů, a zejména navýšením předběžného financování a spolufinancování v rámci programů politiky soudržnosti;</w:t>
      </w:r>
    </w:p>
    <w:p w:rsidR="001C7397" w:rsidRPr="004E7D1D" w:rsidRDefault="001C7397" w:rsidP="001C7397">
      <w:pPr>
        <w:pStyle w:val="NormalHanging12a"/>
        <w:rPr>
          <w:b/>
          <w:i/>
          <w:szCs w:val="24"/>
        </w:rPr>
      </w:pPr>
      <w:r w:rsidRPr="004E7D1D">
        <w:t>18.</w:t>
      </w:r>
      <w:r w:rsidRPr="004E7D1D">
        <w:tab/>
        <w:t>vítá posílení investiční kapacity Unie v oblasti obrany navýšením prostředků Evropského obranného fondu o 1,5 miliardy EUR; vyjadřuje však politování nad celkově omezenou výší dodatečných zdrojů na podporu plnění cílů platformy STEP a nad nedostatkem nových finančních prostředků pro ostatní programy, což má negativní dopad na ekologické a digitální investice;</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E7D1D">
        <w:rPr>
          <w:b/>
          <w:i/>
        </w:rPr>
        <w:t xml:space="preserve">Úrokové platby programu </w:t>
      </w:r>
      <w:proofErr w:type="spellStart"/>
      <w:r w:rsidRPr="004E7D1D">
        <w:rPr>
          <w:b/>
          <w:i/>
        </w:rPr>
        <w:t>NextGenerationEU</w:t>
      </w:r>
      <w:proofErr w:type="spellEnd"/>
    </w:p>
    <w:p w:rsidR="001C7397" w:rsidRPr="004E7D1D" w:rsidRDefault="001C7397" w:rsidP="001C7397">
      <w:pPr>
        <w:pStyle w:val="NormalHanging12a"/>
        <w:rPr>
          <w:shd w:val="clear" w:color="auto" w:fill="FFFFFF"/>
        </w:rPr>
      </w:pPr>
      <w:r w:rsidRPr="004E7D1D">
        <w:t>19.</w:t>
      </w:r>
      <w:r w:rsidRPr="004E7D1D">
        <w:tab/>
      </w:r>
      <w:r w:rsidRPr="004E7D1D">
        <w:rPr>
          <w:shd w:val="clear" w:color="auto" w:fill="FFFFFF"/>
        </w:rPr>
        <w:t>vítá skutečnost, že návrh nařízení Rady zavádí zvláštní nelimitovaný nástroj nad rámec stropů (nástroj EURI), který má pokrýt alespoň část deficitu výpůjčních nákladů na program NGEU, což poskytne jistotu pro finanční trhy; připomíná, že podle současného odhadu má tento schodek mezi lety 2025 a 2027 dosáhnout 15 miliard EUR; zdůrazňuje, že bez revize VFR lze jakýkoli schodek vyrovnat pouze omezením programů a vyčerpáním možností rozpočtové flexibility;</w:t>
      </w:r>
    </w:p>
    <w:p w:rsidR="001C7397" w:rsidRPr="004E7D1D" w:rsidRDefault="001C7397" w:rsidP="001C7397">
      <w:pPr>
        <w:pStyle w:val="NormalHanging12a"/>
        <w:rPr>
          <w:shd w:val="clear" w:color="auto" w:fill="FFFFFF"/>
        </w:rPr>
      </w:pPr>
      <w:r w:rsidRPr="004E7D1D">
        <w:rPr>
          <w:shd w:val="clear" w:color="auto" w:fill="FFFFFF"/>
        </w:rPr>
        <w:t>20.</w:t>
      </w:r>
      <w:r w:rsidRPr="004E7D1D">
        <w:rPr>
          <w:shd w:val="clear" w:color="auto" w:fill="FFFFFF"/>
        </w:rPr>
        <w:tab/>
      </w:r>
      <w:r w:rsidRPr="004E7D1D">
        <w:t xml:space="preserve">zdůrazňuje, že náklady na splácení nástroje </w:t>
      </w:r>
      <w:proofErr w:type="spellStart"/>
      <w:r w:rsidRPr="004E7D1D">
        <w:t>NextGenerationEU</w:t>
      </w:r>
      <w:proofErr w:type="spellEnd"/>
      <w:r w:rsidRPr="004E7D1D">
        <w:t xml:space="preserve"> (NGEU) podléhají tržním podmínkám, na které mají vliv vnější faktory, a jsou tudíž ze své podstaty </w:t>
      </w:r>
      <w:proofErr w:type="spellStart"/>
      <w:r w:rsidRPr="004E7D1D">
        <w:t>volatilní</w:t>
      </w:r>
      <w:proofErr w:type="spellEnd"/>
      <w:r w:rsidRPr="004E7D1D">
        <w:t>, a že splácení výpůjčních nákladů je pro Unii nediskrečním právním závazkem; opakuje proto, že byl důrazně proti tomu, aby splácení výpůjčních nákladů nástroje NGEU bylo v rámci jednání o VFR v roce 2020 limitováno horní hranicí vztahující se na určitý okruh VFR; připomíná, že opakovaně hájil názor, že veškeré výpůjční náklady nástroje NGEU mají být nad úrovní stropů VFR, což považoval za komplexní strukturální řešení umožňující krytí nákladů na splácení nástroje NGEU, které se v důsledku rostoucích úrokových sazeb zvýšily, a v letech 2023 a 2024 bylo proto nutné v rozsáhlé míře využívat možností rozpočtové flexibility;</w:t>
      </w:r>
    </w:p>
    <w:p w:rsidR="001C7397" w:rsidRPr="004E7D1D" w:rsidRDefault="001C7397" w:rsidP="001C7397">
      <w:pPr>
        <w:pStyle w:val="NormalHanging12a"/>
        <w:rPr>
          <w:shd w:val="clear" w:color="auto" w:fill="FFFFFF"/>
        </w:rPr>
      </w:pPr>
      <w:r w:rsidRPr="004E7D1D">
        <w:rPr>
          <w:shd w:val="clear" w:color="auto" w:fill="FFFFFF"/>
        </w:rPr>
        <w:t>21.</w:t>
      </w:r>
      <w:r w:rsidRPr="004E7D1D">
        <w:rPr>
          <w:shd w:val="clear" w:color="auto" w:fill="FFFFFF"/>
        </w:rPr>
        <w:tab/>
        <w:t>zdůrazňuje, že nástroj EURI zahrnuje dva dílčí fondy, z nichž první má být použit do výše odpovídající prostředkům, jejichž přidělení na závazky bylo zrušeno, a druhý představuje jištění, které se skládá z dodatečných příspěvků členských států; připomíná, že podle dlouhodobého názoru Parlamentu by prostředky, jejichž přidělení na závazky bylo zrušeno, měly zůstat součástí rozpočtu a měly by být přiděleny rozpočtovým orgánem v rámci ročního rozpočtového procesu; vítá proto tento důležitý krok k uznání toho, že prostředky přidělené v rámci rozpočtu by měly zůstat součástí rozpočtu a přispět k zajištění tolik potřebné rozpočtové flexibility;</w:t>
      </w:r>
    </w:p>
    <w:p w:rsidR="001C7397" w:rsidRPr="004E7D1D" w:rsidRDefault="001C7397" w:rsidP="001C7397">
      <w:pPr>
        <w:pStyle w:val="NormalHanging12a"/>
        <w:rPr>
          <w:shd w:val="clear" w:color="auto" w:fill="FFFFFF"/>
        </w:rPr>
      </w:pPr>
      <w:r w:rsidRPr="004E7D1D">
        <w:rPr>
          <w:shd w:val="clear" w:color="auto" w:fill="FFFFFF"/>
        </w:rPr>
        <w:t>22.</w:t>
      </w:r>
      <w:r w:rsidRPr="004E7D1D">
        <w:rPr>
          <w:shd w:val="clear" w:color="auto" w:fill="FFFFFF"/>
        </w:rPr>
        <w:tab/>
        <w:t xml:space="preserve">konstatuje, že rozpočtový orgán by měl před použitím zvláštního nástroje prozkoumat možnost pokrytí části jakéhokoli deficitu v rámci jednotlivých okruhů a prostřednictvím nástroje pružnosti a nástroje jednotného rozpětí; zdůrazňuje, že tento proces musí být objektivní a založený na skutečných potřebách a že se nemůže řídit žádnými svévolnými měřítky; v této souvislosti připomíná, že společné prohlášení, na kterém se tyto tři orgány dohodly v rámci dohody o VFR v roce 2020, podle níž výdaje na pokrytí </w:t>
      </w:r>
      <w:r w:rsidRPr="004E7D1D">
        <w:rPr>
          <w:shd w:val="clear" w:color="auto" w:fill="FFFFFF"/>
        </w:rPr>
        <w:lastRenderedPageBreak/>
        <w:t>finančních nákladů nástroje NGEU „směřují k neomezování programů a finančních prostředků“, stále platí a pro rozpočtový orgán slouží jako referenční bod; má proto v úmyslu zajistit, aby všechny programy byly řádně financovány a aby byla prostřednictvím ročního rozpočtového procesu zachována flexibilita rozpočtu a jeho schopnost reagovat;</w:t>
      </w:r>
    </w:p>
    <w:p w:rsidR="001C7397" w:rsidRPr="004E7D1D" w:rsidRDefault="001C7397" w:rsidP="001C7397">
      <w:pPr>
        <w:pStyle w:val="NormalHanging12a"/>
        <w:rPr>
          <w:shd w:val="clear" w:color="auto" w:fill="FFFFFF"/>
        </w:rPr>
      </w:pPr>
      <w:r w:rsidRPr="004E7D1D">
        <w:rPr>
          <w:shd w:val="clear" w:color="auto" w:fill="FFFFFF"/>
        </w:rPr>
        <w:t>23.</w:t>
      </w:r>
      <w:r w:rsidRPr="004E7D1D">
        <w:rPr>
          <w:shd w:val="clear" w:color="auto" w:fill="FFFFFF"/>
        </w:rPr>
        <w:tab/>
        <w:t>trvá na tom, že je třeba, aby Komise poskytovala spolehlivé, včasné a přesné informace o výpůjčních nákladech nástroje NGEU a o očekávaném vyplácení prostředků z Nástroje pro oživení a odolnost v průběhu celého rozpočtového procesu;</w:t>
      </w:r>
    </w:p>
    <w:p w:rsidR="001C7397" w:rsidRPr="004E7D1D" w:rsidRDefault="001C7397" w:rsidP="001C7397">
      <w:pPr>
        <w:pStyle w:val="NormalHanging12a"/>
        <w:rPr>
          <w:shd w:val="clear" w:color="auto" w:fill="FFFFFF"/>
        </w:rPr>
      </w:pPr>
      <w:r w:rsidRPr="004E7D1D">
        <w:rPr>
          <w:shd w:val="clear" w:color="auto" w:fill="FFFFFF"/>
        </w:rPr>
        <w:t>24.</w:t>
      </w:r>
      <w:r w:rsidRPr="004E7D1D">
        <w:rPr>
          <w:shd w:val="clear" w:color="auto" w:fill="FFFFFF"/>
        </w:rPr>
        <w:tab/>
        <w:t>zdůrazňuje, že podle Smluv neplní Evropská rada žádnou úlohu ani v rozpočtovém, ani v legislativním procesu; zdůrazňuje, že žádné diskuse o nástroji EURI v Evropské radě nesmí narušovat pragmatický harmonogram rozpočtového procesu, který je každý rok dohodnut v souladu s interinstitucionální dohodou, a nesmí žádným způsobem podmiňovat jeho průběh; zdůrazňuje, že v tomto ohledu bude obzvláště ostražitý a bude dbát na to, aby výsady rozpočtového orgánu stanovené ve Smlouvách byly důsledně respektovány a aby byla v plné míře dodržována interinstitucionální dohoda;</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E7D1D">
        <w:rPr>
          <w:b/>
          <w:i/>
          <w:color w:val="000000" w:themeColor="text1"/>
          <w:shd w:val="clear" w:color="auto" w:fill="FFFFFF"/>
        </w:rPr>
        <w:t>Nástroj pružnosti a zvláštní nástroj</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4E7D1D">
        <w:rPr>
          <w:i/>
          <w:color w:val="000000" w:themeColor="text1"/>
          <w:shd w:val="clear" w:color="auto" w:fill="FFFFFF"/>
        </w:rPr>
        <w:t>Rezerva na solidaritu a pomoc při mimořádných událostech</w:t>
      </w:r>
      <w:r w:rsidRPr="004E7D1D">
        <w:rPr>
          <w:color w:val="000000" w:themeColor="text1"/>
          <w:shd w:val="clear" w:color="auto" w:fill="FFFFFF"/>
        </w:rPr>
        <w:t xml:space="preserve"> </w:t>
      </w:r>
    </w:p>
    <w:p w:rsidR="001C7397" w:rsidRPr="004E7D1D" w:rsidRDefault="001C7397" w:rsidP="001C7397">
      <w:pPr>
        <w:pStyle w:val="NormalHanging12a"/>
        <w:rPr>
          <w:shd w:val="clear" w:color="auto" w:fill="FFFFFF"/>
        </w:rPr>
      </w:pPr>
      <w:r w:rsidRPr="004E7D1D">
        <w:rPr>
          <w:shd w:val="clear" w:color="auto" w:fill="FFFFFF"/>
        </w:rPr>
        <w:t>25.</w:t>
      </w:r>
      <w:r w:rsidRPr="004E7D1D">
        <w:rPr>
          <w:shd w:val="clear" w:color="auto" w:fill="FFFFFF"/>
        </w:rPr>
        <w:tab/>
        <w:t>poukazuje na to, že od začátku VFR roste potřeba humanitární pomoci, jakož i potřeba reagovat na mimořádné události v Unii i mimo ni a poskytovat podporu v souvislosti s přírodními katastrofami, jejichž četnost a intenzita se v důsledku změny klimatu zvyšuje; je přesvědčen, že tyto potřeby budou spíše narůstat; vítá proto, že rezerva na solidaritu a pomoc při mimořádných událostech (SEAR) bude po zbytek období VFR navýšena o 1,5 miliardy EUR, jakkoli se i nadále obává, že ani s tímto navýšením prostředků nebude pravděpodobně možné tyto potřeby uspokojit;</w:t>
      </w:r>
    </w:p>
    <w:p w:rsidR="001C7397" w:rsidRPr="004E7D1D" w:rsidRDefault="001C7397" w:rsidP="001C7397">
      <w:pPr>
        <w:pStyle w:val="NormalHanging12a"/>
        <w:rPr>
          <w:shd w:val="clear" w:color="auto" w:fill="FFFFFF"/>
        </w:rPr>
      </w:pPr>
      <w:r w:rsidRPr="004E7D1D">
        <w:rPr>
          <w:shd w:val="clear" w:color="auto" w:fill="FFFFFF"/>
        </w:rPr>
        <w:t>26.</w:t>
      </w:r>
      <w:r w:rsidRPr="004E7D1D">
        <w:rPr>
          <w:shd w:val="clear" w:color="auto" w:fill="FFFFFF"/>
        </w:rPr>
        <w:tab/>
        <w:t>dále vítá, že v návrhu nařízení Rady je tento nástroj v souladu s dlouhodobým postojem Parlamentu rozdělen na dvě části: evropskou rezervu na solidaritu, která je určena na přírodní katastrofy a mimořádné situace v oblasti veřejného zdraví v rámci Fondu solidarity Evropské unie, a rezervu na pomoc při mimořádných událostech pro rychlou reakci na mimořádné události uvnitř Unie i mimo ni; domnívá se, že tato revidovaná struktura usnadní provádění;</w:t>
      </w:r>
    </w:p>
    <w:p w:rsidR="001C7397" w:rsidRPr="004E7D1D" w:rsidRDefault="001C7397" w:rsidP="001C7397">
      <w:pPr>
        <w:pStyle w:val="NormalHanging12a"/>
        <w:rPr>
          <w:shd w:val="clear" w:color="auto" w:fill="FFFFFF"/>
        </w:rPr>
      </w:pPr>
      <w:r w:rsidRPr="004E7D1D">
        <w:rPr>
          <w:shd w:val="clear" w:color="auto" w:fill="FFFFFF"/>
        </w:rPr>
        <w:t>27.</w:t>
      </w:r>
      <w:r w:rsidRPr="004E7D1D">
        <w:rPr>
          <w:shd w:val="clear" w:color="auto" w:fill="FFFFFF"/>
        </w:rPr>
        <w:tab/>
        <w:t>je však znepokojen tím, že poměrné rozdělení obou rezerv, kdy dvě třetiny mají být přiděleny na rezervu na solidaritu a jedna třetina na rezervu na pomoc při mimořádných událostech, neodpovídá zcela rozložení potřeb v prvních třech letech VFR, jehož poměr byl přibližně 65:35;</w:t>
      </w:r>
    </w:p>
    <w:p w:rsidR="001C7397" w:rsidRPr="004E7D1D" w:rsidRDefault="001C7397" w:rsidP="001C7397">
      <w:pPr>
        <w:pStyle w:val="NormalHanging12a"/>
        <w:rPr>
          <w:shd w:val="clear" w:color="auto" w:fill="FFFFFF"/>
        </w:rPr>
      </w:pPr>
      <w:r w:rsidRPr="004E7D1D">
        <w:rPr>
          <w:shd w:val="clear" w:color="auto" w:fill="FFFFFF"/>
        </w:rPr>
        <w:t>28.</w:t>
      </w:r>
      <w:r w:rsidRPr="004E7D1D">
        <w:rPr>
          <w:shd w:val="clear" w:color="auto" w:fill="FFFFFF"/>
        </w:rPr>
        <w:tab/>
        <w:t>vítá skutečnost, že případné nevyužité částky v rámci rezervy na solidaritu a rezervy na pomoc při mimořádných událostech, které by jinak byly zrušeny, budou v následujícím roce opět k dispozici v rámci nástroje pružnosti, čímž se zavádí důležitá zásada pro zvýšení flexibility;</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4E7D1D">
        <w:rPr>
          <w:i/>
          <w:color w:val="000000" w:themeColor="text1"/>
          <w:shd w:val="clear" w:color="auto" w:fill="FFFFFF"/>
        </w:rPr>
        <w:t>Nástroj pružnosti</w:t>
      </w:r>
    </w:p>
    <w:p w:rsidR="001C7397" w:rsidRPr="004E7D1D" w:rsidRDefault="001C7397" w:rsidP="001C7397">
      <w:pPr>
        <w:pStyle w:val="NormalHanging12a"/>
        <w:rPr>
          <w:shd w:val="clear" w:color="auto" w:fill="FFFFFF"/>
        </w:rPr>
      </w:pPr>
      <w:r w:rsidRPr="004E7D1D">
        <w:rPr>
          <w:shd w:val="clear" w:color="auto" w:fill="FFFFFF"/>
        </w:rPr>
        <w:t>29.</w:t>
      </w:r>
      <w:r w:rsidRPr="004E7D1D">
        <w:rPr>
          <w:shd w:val="clear" w:color="auto" w:fill="FFFFFF"/>
        </w:rPr>
        <w:tab/>
        <w:t xml:space="preserve">uznává, že navýšením prostředků nástroje pružnosti o 2 miliardy EUR mezi roky 2024 a 2027 a vytvořením zvláštního nástroje EURI pro krytí nadměrných výpůjčních nákladů nástroje NGEU umožňuje návrh nařízení Rady částečně snížit zatížení rozpočtu; </w:t>
      </w:r>
      <w:r w:rsidRPr="004E7D1D">
        <w:rPr>
          <w:shd w:val="clear" w:color="auto" w:fill="FFFFFF"/>
        </w:rPr>
        <w:lastRenderedPageBreak/>
        <w:t>domnívá se však, že vzhledem k logice kroků vedoucích k aktivaci nového zvláštního nástroje a deficitu v oblasti správních výdajů, který je důsledkem inflace, jsou tyto navýšené prostředky z velké části již předem přiděleny; je i nadále znepokojen tím, že s ohledem na vzorce využívání prostředků v prvních letech VFR nemusí navýšení prostředků vytvořit dostatečný rozpočtový prostor, který Unii umožní reagovat na nepředvídané okolnosti a vznikající potřeby;</w:t>
      </w:r>
    </w:p>
    <w:p w:rsidR="001C7397" w:rsidRPr="004E7D1D" w:rsidRDefault="001C7397" w:rsidP="001C7397">
      <w:pPr>
        <w:pStyle w:val="NormalHanging12a"/>
        <w:rPr>
          <w:shd w:val="clear" w:color="auto" w:fill="FFFFFF"/>
        </w:rPr>
      </w:pPr>
      <w:r w:rsidRPr="004E7D1D">
        <w:rPr>
          <w:shd w:val="clear" w:color="auto" w:fill="FFFFFF"/>
        </w:rPr>
        <w:t>30.</w:t>
      </w:r>
      <w:r w:rsidRPr="004E7D1D">
        <w:rPr>
          <w:shd w:val="clear" w:color="auto" w:fill="FFFFFF"/>
        </w:rPr>
        <w:tab/>
        <w:t>vyjadřuje politování nad tím, že z hlediska možností flexibility a reakce na krize nelze revizi VFR chápat jinak než jako promarněnou příležitost;</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E7D1D">
        <w:rPr>
          <w:b/>
          <w:i/>
          <w:color w:val="000000" w:themeColor="text1"/>
          <w:shd w:val="clear" w:color="auto" w:fill="FFFFFF"/>
        </w:rPr>
        <w:t>Nové vlastní zdroje</w:t>
      </w:r>
    </w:p>
    <w:p w:rsidR="001C7397" w:rsidRPr="004E7D1D" w:rsidRDefault="001C7397" w:rsidP="001C7397">
      <w:pPr>
        <w:pStyle w:val="NormalHanging12a"/>
        <w:rPr>
          <w:shd w:val="clear" w:color="auto" w:fill="FFFFFF"/>
        </w:rPr>
      </w:pPr>
      <w:r w:rsidRPr="004E7D1D">
        <w:rPr>
          <w:shd w:val="clear" w:color="auto" w:fill="FFFFFF"/>
        </w:rPr>
        <w:t>31.</w:t>
      </w:r>
      <w:r w:rsidRPr="004E7D1D">
        <w:rPr>
          <w:shd w:val="clear" w:color="auto" w:fill="FFFFFF"/>
        </w:rPr>
        <w:tab/>
        <w:t>znovu potvrzuje svou vůli postupovat podle právně závazného plánu, který je součástí interinstitucionální dohody a ve kterém se Parlament, Rada a Komise zavázaly zavést dostatečné nové vlastní zdroje, jež umožní pokrýt alespoň splácení výpůjčních nákladů nástroje NGEU, a jistinu nad rámec stávajícího VFR;</w:t>
      </w:r>
    </w:p>
    <w:p w:rsidR="001C7397" w:rsidRPr="004E7D1D" w:rsidRDefault="001C7397" w:rsidP="001C7397">
      <w:pPr>
        <w:pStyle w:val="NormalHanging12a"/>
        <w:rPr>
          <w:shd w:val="clear" w:color="auto" w:fill="FFFFFF"/>
        </w:rPr>
      </w:pPr>
      <w:r w:rsidRPr="004E7D1D">
        <w:rPr>
          <w:shd w:val="clear" w:color="auto" w:fill="FFFFFF"/>
        </w:rPr>
        <w:t>32.</w:t>
      </w:r>
      <w:r w:rsidRPr="004E7D1D">
        <w:rPr>
          <w:shd w:val="clear" w:color="auto" w:fill="FFFFFF"/>
        </w:rPr>
        <w:tab/>
        <w:t>vyjadřuje hluboké politování nad tím, že v jednání Rady o předložených návrzích vlastních zdrojů nebylo dosaženo pokroku, a připomíná, že přijal veškerá nezbytná opatření, aby umožnil jejich rychlé přijetí; vyzývá Radu, aby tento návrh bezodkladně schválila; zdůrazňuje, že pokrok v jednání o skutečných nových vlastních zdrojích nad rámec stávajících návrhů má i nadále zásadní význam;</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4E7D1D">
        <w:rPr>
          <w:b/>
          <w:i/>
          <w:color w:val="000000" w:themeColor="text1"/>
          <w:shd w:val="clear" w:color="auto" w:fill="FFFFFF"/>
        </w:rPr>
        <w:t>Platby</w:t>
      </w:r>
    </w:p>
    <w:p w:rsidR="001C7397" w:rsidRPr="004E7D1D" w:rsidRDefault="001C7397" w:rsidP="001C7397">
      <w:pPr>
        <w:pStyle w:val="NormalHanging12a"/>
        <w:rPr>
          <w:shd w:val="clear" w:color="auto" w:fill="FFFFFF"/>
        </w:rPr>
      </w:pPr>
      <w:r w:rsidRPr="004E7D1D">
        <w:rPr>
          <w:shd w:val="clear" w:color="auto" w:fill="FFFFFF"/>
        </w:rPr>
        <w:t>33.</w:t>
      </w:r>
      <w:r w:rsidRPr="004E7D1D">
        <w:rPr>
          <w:shd w:val="clear" w:color="auto" w:fill="FFFFFF"/>
        </w:rPr>
        <w:tab/>
        <w:t>zdůrazňuje, že důvěryhodnost Unie závisí na tom, aby byly k dispozici odpovídající prostředky na platby a bylo tak zajištěno, že příjemci obdrží své splatné finanční pohledávky včas; připomíná, že v posledních letech VFR se očekává prudký nárůst platebních nároků, a to i v důsledku upravené oblasti působnosti a pravidel pro využívání fondů soudržnosti vyplývajících z nařízení o Platformě strategických technologií pro Evropu (STEP);</w:t>
      </w:r>
    </w:p>
    <w:p w:rsidR="001C7397" w:rsidRPr="004E7D1D" w:rsidRDefault="001C7397" w:rsidP="001C7397">
      <w:pPr>
        <w:pStyle w:val="NormalHanging12a"/>
        <w:rPr>
          <w:shd w:val="clear" w:color="auto" w:fill="FFFFFF"/>
        </w:rPr>
      </w:pPr>
      <w:r w:rsidRPr="004E7D1D">
        <w:rPr>
          <w:shd w:val="clear" w:color="auto" w:fill="FFFFFF"/>
        </w:rPr>
        <w:t>34.</w:t>
      </w:r>
      <w:r w:rsidRPr="004E7D1D">
        <w:rPr>
          <w:shd w:val="clear" w:color="auto" w:fill="FFFFFF"/>
        </w:rPr>
        <w:tab/>
        <w:t>vyjadřuje proto politování nad tím, že návrh nařízení Rady se nezabývá návrhem Parlamentu na zrušení ročního stropu omezujícího prostředky na platby, které mohou být použity pro nástroj jednotného rozpětí, což by vyloučilo jakékoli riziko platební krize;</w:t>
      </w:r>
    </w:p>
    <w:p w:rsidR="001C7397" w:rsidRPr="004E7D1D" w:rsidRDefault="001C7397" w:rsidP="001C7397">
      <w:pPr>
        <w:pStyle w:val="NormalHanging12a"/>
        <w:rPr>
          <w:shd w:val="clear" w:color="auto" w:fill="FFFFFF"/>
        </w:rPr>
      </w:pPr>
      <w:r w:rsidRPr="004E7D1D">
        <w:rPr>
          <w:shd w:val="clear" w:color="auto" w:fill="FFFFFF"/>
        </w:rPr>
        <w:t>35.</w:t>
      </w:r>
      <w:r w:rsidRPr="004E7D1D">
        <w:rPr>
          <w:shd w:val="clear" w:color="auto" w:fill="FFFFFF"/>
        </w:rPr>
        <w:tab/>
        <w:t>konstatuje, že návrh nařízení Rady nabízí určitou flexibilitu při určování výše stropů pro platby, protože umožňuje převést částku rovnající se nevyužité části maximální roční úpravy stropu pro platby v roce 2025 do roku 2026, třebaže riziko nahromadění nevyřízených plateb tím není zcela vyloučeno; vyzývá Komisi, aby pozorně sledovala vývoj potřeb v oblasti plateb a aby rozpočtovému orgánu včas navrhla veškerá nezbytná nápravná opatření;</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E7D1D">
        <w:rPr>
          <w:b/>
          <w:i/>
          <w:color w:val="000000" w:themeColor="text1"/>
          <w:shd w:val="clear" w:color="auto" w:fill="FFFFFF"/>
        </w:rPr>
        <w:t xml:space="preserve">Dopad na rozpočet EU </w:t>
      </w:r>
    </w:p>
    <w:p w:rsidR="001C7397" w:rsidRPr="004E7D1D" w:rsidRDefault="001C7397" w:rsidP="001C7397">
      <w:pPr>
        <w:pStyle w:val="NormalHanging12a"/>
        <w:rPr>
          <w:shd w:val="clear" w:color="auto" w:fill="FFFFFF"/>
        </w:rPr>
      </w:pPr>
      <w:r w:rsidRPr="004E7D1D">
        <w:rPr>
          <w:shd w:val="clear" w:color="auto" w:fill="FFFFFF"/>
        </w:rPr>
        <w:t>36.</w:t>
      </w:r>
      <w:r w:rsidRPr="004E7D1D">
        <w:rPr>
          <w:shd w:val="clear" w:color="auto" w:fill="FFFFFF"/>
        </w:rPr>
        <w:tab/>
        <w:t xml:space="preserve">zdůrazňuje, že na rozdíl od vnitrostátních rozpočtů, kde inflace ovlivňuje nominální hodnotu příjmů i výdajů, se výdajové stropy VFR každoročně zvyšují o 2 %, zatímco strop vlastních zdrojů se přizpůsobuje inflaci; připomíná, že podle Komise inflace snížila reálnou hodnotu VFR o 74 miliard EUR, zatímco příjmy vybírané od členských států na výdaje VFR se snížily jako procento hrubého národního důchodu (HND) a slevy pro pět přijímajících členských států, které jsou vázány na inflaci, rostly vyšším </w:t>
      </w:r>
      <w:r w:rsidRPr="004E7D1D">
        <w:rPr>
          <w:shd w:val="clear" w:color="auto" w:fill="FFFFFF"/>
        </w:rPr>
        <w:lastRenderedPageBreak/>
        <w:t>tempem než stropy VFR;</w:t>
      </w:r>
    </w:p>
    <w:p w:rsidR="001C7397" w:rsidRPr="004E7D1D" w:rsidRDefault="001C7397" w:rsidP="001C7397">
      <w:pPr>
        <w:pStyle w:val="NormalHanging12a"/>
        <w:rPr>
          <w:shd w:val="clear" w:color="auto" w:fill="FFFFFF"/>
        </w:rPr>
      </w:pPr>
      <w:r w:rsidRPr="004E7D1D">
        <w:rPr>
          <w:shd w:val="clear" w:color="auto" w:fill="FFFFFF"/>
        </w:rPr>
        <w:t>37.</w:t>
      </w:r>
      <w:r w:rsidRPr="004E7D1D">
        <w:rPr>
          <w:shd w:val="clear" w:color="auto" w:fill="FFFFFF"/>
        </w:rPr>
        <w:tab/>
        <w:t>je nadále znepokojen tím, že i po revizi činí celkové prostředky na závazky pouze 1,02 % HND a celkové prostředky na platby pouze 1,01 % HND; připomíná, že původně měla být výše prostředků na platby v </w:t>
      </w:r>
      <w:proofErr w:type="gramStart"/>
      <w:r w:rsidRPr="004E7D1D">
        <w:rPr>
          <w:shd w:val="clear" w:color="auto" w:fill="FFFFFF"/>
        </w:rPr>
        <w:t>současném</w:t>
      </w:r>
      <w:proofErr w:type="gramEnd"/>
      <w:r w:rsidRPr="004E7D1D">
        <w:rPr>
          <w:shd w:val="clear" w:color="auto" w:fill="FFFFFF"/>
        </w:rPr>
        <w:t xml:space="preserve"> VFR stanovena na 1,10 % HND; zároveň si uvědomuje rozpočtové obtíže, s nimiž se mnohé členské státy potýkají;</w:t>
      </w:r>
    </w:p>
    <w:p w:rsidR="001C7397" w:rsidRPr="004E7D1D" w:rsidRDefault="001C7397" w:rsidP="001C7397">
      <w:pPr>
        <w:pStyle w:val="NormalHanging12a"/>
        <w:rPr>
          <w:shd w:val="clear" w:color="auto" w:fill="FFFFFF"/>
        </w:rPr>
      </w:pPr>
      <w:r w:rsidRPr="004E7D1D">
        <w:rPr>
          <w:shd w:val="clear" w:color="auto" w:fill="FFFFFF"/>
        </w:rPr>
        <w:t>38.</w:t>
      </w:r>
      <w:r w:rsidRPr="004E7D1D">
        <w:rPr>
          <w:shd w:val="clear" w:color="auto" w:fill="FFFFFF"/>
        </w:rPr>
        <w:tab/>
        <w:t xml:space="preserve">vyjadřuje politování nad tím, že revize VFR přinesla škrty ve stěžejních programech, zejména v těch, které byly v rámci dohody o VFR na rok 2020 cíleně posíleny, a je zvláště znepokojen politickými signály, které tyto škrty vysílají; </w:t>
      </w:r>
    </w:p>
    <w:p w:rsidR="001C7397" w:rsidRPr="004E7D1D" w:rsidRDefault="001C7397" w:rsidP="001C7397">
      <w:pPr>
        <w:pStyle w:val="NormalHanging12a"/>
        <w:rPr>
          <w:shd w:val="clear" w:color="auto" w:fill="FFFFFF"/>
        </w:rPr>
      </w:pPr>
      <w:r w:rsidRPr="004E7D1D">
        <w:rPr>
          <w:shd w:val="clear" w:color="auto" w:fill="FFFFFF"/>
        </w:rPr>
        <w:t>39.</w:t>
      </w:r>
      <w:r w:rsidRPr="004E7D1D">
        <w:rPr>
          <w:shd w:val="clear" w:color="auto" w:fill="FFFFFF"/>
        </w:rPr>
        <w:tab/>
        <w:t xml:space="preserve">vyjadřuje hluboké politování nad snížením finančního krytí programu Horizont Evropa o 2,1 miliardy EUR, které je v rozporu s vlastním cílem Rady investovat 3 % hrubého domácího produktu do výzkumu a vývoje; </w:t>
      </w:r>
      <w:r w:rsidR="00783941" w:rsidRPr="00783941">
        <w:rPr>
          <w:shd w:val="clear" w:color="auto" w:fill="FFFFFF"/>
        </w:rPr>
        <w:t>trvá na tom, že větší investice do evropského výzkumu a inovací dnes jsou předpokladem pro to, aby si Evropa zajistila svou hospodářskou konkurenceschopnost zítra; konstatuje, že zvýšení investic do výzkumu a inovací je nezbytné k tomu, aby si Evropa udržela nebo rozvíjela své vedoucí postavení v oblasti technologií v odvětvích, která jsou ekologickou a digitální transformací nejvíce zasažena; poukazuje na to, že škrty v evropských činnostech v oblasti výzkumu a inovací jsou v rozporu se sliby vedoucích představitelů EU týkajícími se zvýšení konkurenceschopnosti EU a posílení její otevřené strategické autonomie;</w:t>
      </w:r>
      <w:r w:rsidR="00783941">
        <w:rPr>
          <w:shd w:val="clear" w:color="auto" w:fill="FFFFFF"/>
        </w:rPr>
        <w:t xml:space="preserve"> </w:t>
      </w:r>
      <w:r w:rsidRPr="004E7D1D">
        <w:rPr>
          <w:shd w:val="clear" w:color="auto" w:fill="FFFFFF"/>
        </w:rPr>
        <w:t xml:space="preserve">poukazuje však na to, že Parlament pomohl zmírnit důsledky krácení rozpočtu programu Horizont Evropa tím, že uvolnil 100 milionů EUR zrušených závazků na výzkum podle čl. 15 odst. 3 </w:t>
      </w:r>
      <w:proofErr w:type="gramStart"/>
      <w:r w:rsidRPr="004E7D1D">
        <w:rPr>
          <w:shd w:val="clear" w:color="auto" w:fill="FFFFFF"/>
        </w:rPr>
        <w:t>finančního</w:t>
      </w:r>
      <w:proofErr w:type="gramEnd"/>
      <w:r w:rsidRPr="004E7D1D">
        <w:rPr>
          <w:shd w:val="clear" w:color="auto" w:fill="FFFFFF"/>
        </w:rPr>
        <w:t xml:space="preserve"> nařízení ve prospěch tohoto programu, a to nad rámec 500 milionů EUR, které již byly dohodnuty v roce 2020; připomíná, že opětovné využívání zrušených závazků na výzkum požaduje Parlament dlouhodobě;</w:t>
      </w:r>
    </w:p>
    <w:p w:rsidR="001C7397" w:rsidRPr="004E7D1D" w:rsidRDefault="001C7397" w:rsidP="001C7397">
      <w:pPr>
        <w:pStyle w:val="NormalHanging12a"/>
        <w:rPr>
          <w:shd w:val="clear" w:color="auto" w:fill="FFFFFF"/>
        </w:rPr>
      </w:pPr>
      <w:r w:rsidRPr="004E7D1D">
        <w:rPr>
          <w:shd w:val="clear" w:color="auto" w:fill="FFFFFF"/>
        </w:rPr>
        <w:t>40.</w:t>
      </w:r>
      <w:r w:rsidRPr="004E7D1D">
        <w:rPr>
          <w:shd w:val="clear" w:color="auto" w:fill="FFFFFF"/>
        </w:rPr>
        <w:tab/>
        <w:t>připomíná význam politik v oblasti zdravotnictví a jasný politický závazek obsažený v dohodě o VFR z roku 2020, že financování zdravotnictví je jednou z priorit; je proto velmi zklamán, že rozpočet programu EU pro zdraví byl zkrácen o 1 miliardu EUR; domnívá se, že takové rozhodnutí pravděpodobně oslabí připravenost na případnou další pandemii a omezí schopnost Unie podporovat systémy veřejné zdravotní péče; poukazuje však na to, že na žádost Parlamentu byl výdajový profil programu upraven tak, aby se zmírnil dopad škrtů na jeho praktické provádění, a to rovnoměrnějším rozložením účinku zkrácení jeho rozpočtu do zbývajících let;</w:t>
      </w:r>
    </w:p>
    <w:p w:rsidR="001C7397" w:rsidRPr="004E7D1D" w:rsidRDefault="001C7397" w:rsidP="001C7397">
      <w:pPr>
        <w:pStyle w:val="NormalHanging12a"/>
        <w:rPr>
          <w:shd w:val="clear" w:color="auto" w:fill="FFFFFF"/>
        </w:rPr>
      </w:pPr>
      <w:r w:rsidRPr="004E7D1D">
        <w:rPr>
          <w:shd w:val="clear" w:color="auto" w:fill="FFFFFF"/>
        </w:rPr>
        <w:t>41.</w:t>
      </w:r>
      <w:r w:rsidRPr="004E7D1D">
        <w:rPr>
          <w:shd w:val="clear" w:color="auto" w:fill="FFFFFF"/>
        </w:rPr>
        <w:tab/>
        <w:t>připomíná svůj postoj, že předem stanovené národní příděly by se v rámci revize VFR neměly upravovat; vítá proto rozhodnutí ponechat předem stanovené národní příděly beze změn a nezohledňovat je v mechanismu pro krytí výpůjčních nákladů programu NGEU; vyjadřuje však politování nad krácením prostředků na opatření přímého řízení v rámci politiky soudržnosti (−0,4 miliardy EUR) a společné zemědělské politiky (−0,7 miliardy EUR), kterým se snižuje plný potenciál a dopad těchto opatření;</w:t>
      </w:r>
    </w:p>
    <w:p w:rsidR="001C7397" w:rsidRPr="004E7D1D" w:rsidRDefault="001C7397" w:rsidP="001C7397">
      <w:pPr>
        <w:pStyle w:val="NormalHanging12a"/>
        <w:rPr>
          <w:shd w:val="clear" w:color="auto" w:fill="FFFFFF"/>
        </w:rPr>
      </w:pPr>
      <w:r w:rsidRPr="004E7D1D">
        <w:rPr>
          <w:shd w:val="clear" w:color="auto" w:fill="FFFFFF"/>
        </w:rPr>
        <w:t>42.</w:t>
      </w:r>
      <w:r w:rsidRPr="004E7D1D">
        <w:rPr>
          <w:shd w:val="clear" w:color="auto" w:fill="FFFFFF"/>
        </w:rPr>
        <w:tab/>
        <w:t xml:space="preserve">bere na vědomí, že o podporu z Evropského fondu pro přizpůsobení se globalizaci (EFG) a z rezervy na vyrovnání se s důsledky </w:t>
      </w:r>
      <w:proofErr w:type="spellStart"/>
      <w:r w:rsidRPr="004E7D1D">
        <w:rPr>
          <w:shd w:val="clear" w:color="auto" w:fill="FFFFFF"/>
        </w:rPr>
        <w:t>brexitu</w:t>
      </w:r>
      <w:proofErr w:type="spellEnd"/>
      <w:r w:rsidRPr="004E7D1D">
        <w:rPr>
          <w:shd w:val="clear" w:color="auto" w:fill="FFFFFF"/>
        </w:rPr>
        <w:t xml:space="preserve"> nebyl takový zájem, jaký se očekával, a že existuje prostor pro úpravu jejich přídělů; domnívá se, že prostředky uvolněné z těchto zvláštních nástrojů by měly být v rozpočtu znovu použity na jiné účely, například na posílení nástroje pružnosti;</w:t>
      </w:r>
    </w:p>
    <w:p w:rsidR="001C7397" w:rsidRPr="004E7D1D" w:rsidRDefault="001C7397" w:rsidP="001C7397">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E7D1D">
        <w:rPr>
          <w:b/>
          <w:i/>
          <w:color w:val="000000" w:themeColor="text1"/>
          <w:shd w:val="clear" w:color="auto" w:fill="FFFFFF"/>
        </w:rPr>
        <w:t>Provádění balíčku VFR</w:t>
      </w:r>
    </w:p>
    <w:p w:rsidR="001C7397" w:rsidRPr="004E7D1D" w:rsidRDefault="001C7397" w:rsidP="001C7397">
      <w:pPr>
        <w:pStyle w:val="NormalHanging12a"/>
        <w:rPr>
          <w:shd w:val="clear" w:color="auto" w:fill="FFFFFF"/>
        </w:rPr>
      </w:pPr>
      <w:r w:rsidRPr="004E7D1D">
        <w:rPr>
          <w:shd w:val="clear" w:color="auto" w:fill="FFFFFF"/>
        </w:rPr>
        <w:lastRenderedPageBreak/>
        <w:t>43.</w:t>
      </w:r>
      <w:r w:rsidRPr="004E7D1D">
        <w:rPr>
          <w:shd w:val="clear" w:color="auto" w:fill="FFFFFF"/>
        </w:rPr>
        <w:tab/>
        <w:t>vyzývá Komisi, aby rozpočtovému orgánu podrobně vysvětlila, jak hodlá řídit všechny změny programů a zvláštních nástrojů, aby bylo možné v maximální míře dosáhnout plněn</w:t>
      </w:r>
      <w:bookmarkStart w:id="7" w:name="_GoBack"/>
      <w:bookmarkEnd w:id="7"/>
      <w:r w:rsidRPr="004E7D1D">
        <w:rPr>
          <w:shd w:val="clear" w:color="auto" w:fill="FFFFFF"/>
        </w:rPr>
        <w:t>í jejich základních cílů, a aby mu podala podrobné informace o dopadu revize na rozpočet EU jako celek;</w:t>
      </w:r>
    </w:p>
    <w:p w:rsidR="001C7397" w:rsidRPr="004E7D1D" w:rsidRDefault="001C7397" w:rsidP="001C7397">
      <w:pPr>
        <w:pStyle w:val="NormalHanging12a"/>
        <w:rPr>
          <w:shd w:val="clear" w:color="auto" w:fill="FFFFFF"/>
        </w:rPr>
      </w:pPr>
      <w:r w:rsidRPr="004E7D1D">
        <w:rPr>
          <w:shd w:val="clear" w:color="auto" w:fill="FFFFFF"/>
        </w:rPr>
        <w:t>44.</w:t>
      </w:r>
      <w:r w:rsidRPr="004E7D1D">
        <w:rPr>
          <w:shd w:val="clear" w:color="auto" w:fill="FFFFFF"/>
        </w:rPr>
        <w:tab/>
        <w:t>vzhledem k naléhavosti této věci je připraven bez zbytečného odkladu přijmout veškeré nezbytné legislativní a rozpočtové změny; v této souvislosti připomíná společné prohlášení Evropského parlamentu, Rady a Komise o začlenění výsledku revize VFR do rozpočtu na rok 2024;</w:t>
      </w:r>
    </w:p>
    <w:p w:rsidR="0095329D" w:rsidRDefault="001C7397" w:rsidP="0095329D">
      <w:pPr>
        <w:pStyle w:val="NormalHanging12a"/>
        <w:rPr>
          <w:shd w:val="clear" w:color="auto" w:fill="FFFFFF"/>
        </w:rPr>
      </w:pPr>
      <w:r w:rsidRPr="004E7D1D">
        <w:rPr>
          <w:shd w:val="clear" w:color="auto" w:fill="FFFFFF"/>
        </w:rPr>
        <w:t>45.</w:t>
      </w:r>
      <w:r w:rsidRPr="004E7D1D">
        <w:rPr>
          <w:shd w:val="clear" w:color="auto" w:fill="FFFFFF"/>
        </w:rPr>
        <w:tab/>
        <w:t>zdůrazňuje, že Parlament zajistí, aby při provádění tohoto balíčku byly plně respektovány jeho výsady vztahující se k ročnímu rozpočtovému procesu;</w:t>
      </w:r>
    </w:p>
    <w:p w:rsidR="0095329D" w:rsidRDefault="0095329D" w:rsidP="0095329D">
      <w:pPr>
        <w:pStyle w:val="NormalHanging12a"/>
        <w:widowControl/>
        <w:ind w:left="0" w:firstLine="0"/>
        <w:jc w:val="center"/>
      </w:pPr>
      <w:r>
        <w:t>°</w:t>
      </w:r>
    </w:p>
    <w:p w:rsidR="001C7397" w:rsidRPr="004E7D1D" w:rsidRDefault="0095329D" w:rsidP="0095329D">
      <w:pPr>
        <w:pStyle w:val="NormalHanging12a"/>
        <w:jc w:val="center"/>
      </w:pPr>
      <w:r>
        <w:t>°     °</w:t>
      </w:r>
    </w:p>
    <w:p w:rsidR="001C7397" w:rsidRPr="004E7D1D" w:rsidRDefault="001C7397" w:rsidP="001C7397">
      <w:pPr>
        <w:pStyle w:val="NormalHanging12a"/>
      </w:pPr>
      <w:r w:rsidRPr="004E7D1D">
        <w:t>46.</w:t>
      </w:r>
      <w:r w:rsidRPr="004E7D1D">
        <w:tab/>
        <w:t>pověřuje svou předsedkyni, aby předala toto usnesení Radě a Komisi.</w:t>
      </w:r>
    </w:p>
    <w:p w:rsidR="001C7397" w:rsidRPr="004E7D1D" w:rsidRDefault="001C7397" w:rsidP="001C7397"/>
    <w:p w:rsidR="001C7397" w:rsidRPr="004E7D1D" w:rsidRDefault="001C7397" w:rsidP="001C7397"/>
    <w:sectPr w:rsidR="001C7397" w:rsidRPr="004E7D1D" w:rsidSect="004E7D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710" w:rsidRPr="004E7D1D" w:rsidRDefault="00DC2710">
      <w:r w:rsidRPr="004E7D1D">
        <w:separator/>
      </w:r>
    </w:p>
  </w:endnote>
  <w:endnote w:type="continuationSeparator" w:id="0">
    <w:p w:rsidR="00DC2710" w:rsidRPr="004E7D1D" w:rsidRDefault="00DC2710">
      <w:r w:rsidRPr="004E7D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D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D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D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710" w:rsidRPr="004E7D1D" w:rsidRDefault="00DC2710">
      <w:r w:rsidRPr="004E7D1D">
        <w:separator/>
      </w:r>
    </w:p>
  </w:footnote>
  <w:footnote w:type="continuationSeparator" w:id="0">
    <w:p w:rsidR="00DC2710" w:rsidRPr="004E7D1D" w:rsidRDefault="00DC2710">
      <w:r w:rsidRPr="004E7D1D">
        <w:continuationSeparator/>
      </w:r>
    </w:p>
  </w:footnote>
  <w:footnote w:id="1">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proofErr w:type="spellStart"/>
      <w:r w:rsidRPr="004E7D1D">
        <w:rPr>
          <w:sz w:val="24"/>
          <w:lang w:val="cs-CZ"/>
        </w:rPr>
        <w:t>Úř</w:t>
      </w:r>
      <w:proofErr w:type="spellEnd"/>
      <w:r w:rsidRPr="004E7D1D">
        <w:rPr>
          <w:sz w:val="24"/>
          <w:lang w:val="cs-CZ"/>
        </w:rPr>
        <w:t xml:space="preserve">. </w:t>
      </w:r>
      <w:proofErr w:type="spellStart"/>
      <w:proofErr w:type="gramStart"/>
      <w:r w:rsidRPr="004E7D1D">
        <w:rPr>
          <w:sz w:val="24"/>
          <w:lang w:val="cs-CZ"/>
        </w:rPr>
        <w:t>věst</w:t>
      </w:r>
      <w:proofErr w:type="spellEnd"/>
      <w:proofErr w:type="gramEnd"/>
      <w:r w:rsidRPr="004E7D1D">
        <w:rPr>
          <w:sz w:val="24"/>
          <w:lang w:val="cs-CZ"/>
        </w:rPr>
        <w:t xml:space="preserve">. L 433 I, </w:t>
      </w:r>
      <w:proofErr w:type="gramStart"/>
      <w:r w:rsidRPr="004E7D1D">
        <w:rPr>
          <w:sz w:val="24"/>
          <w:lang w:val="cs-CZ"/>
        </w:rPr>
        <w:t>22.12.2020</w:t>
      </w:r>
      <w:proofErr w:type="gramEnd"/>
      <w:r w:rsidRPr="004E7D1D">
        <w:rPr>
          <w:sz w:val="24"/>
          <w:lang w:val="cs-CZ"/>
        </w:rPr>
        <w:t>, s. 11.</w:t>
      </w:r>
    </w:p>
  </w:footnote>
  <w:footnote w:id="2">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proofErr w:type="spellStart"/>
      <w:r w:rsidRPr="004E7D1D">
        <w:rPr>
          <w:sz w:val="24"/>
          <w:lang w:val="cs-CZ"/>
        </w:rPr>
        <w:t>Úř</w:t>
      </w:r>
      <w:proofErr w:type="spellEnd"/>
      <w:r w:rsidRPr="004E7D1D">
        <w:rPr>
          <w:sz w:val="24"/>
          <w:lang w:val="cs-CZ"/>
        </w:rPr>
        <w:t xml:space="preserve">. </w:t>
      </w:r>
      <w:proofErr w:type="spellStart"/>
      <w:proofErr w:type="gramStart"/>
      <w:r w:rsidRPr="004E7D1D">
        <w:rPr>
          <w:sz w:val="24"/>
          <w:lang w:val="cs-CZ"/>
        </w:rPr>
        <w:t>věst</w:t>
      </w:r>
      <w:proofErr w:type="spellEnd"/>
      <w:proofErr w:type="gramEnd"/>
      <w:r w:rsidRPr="004E7D1D">
        <w:rPr>
          <w:sz w:val="24"/>
          <w:lang w:val="cs-CZ"/>
        </w:rPr>
        <w:t xml:space="preserve">. C 444 I, </w:t>
      </w:r>
      <w:proofErr w:type="gramStart"/>
      <w:r w:rsidRPr="004E7D1D">
        <w:rPr>
          <w:sz w:val="24"/>
          <w:lang w:val="cs-CZ"/>
        </w:rPr>
        <w:t>22.12.2020</w:t>
      </w:r>
      <w:proofErr w:type="gramEnd"/>
      <w:r w:rsidRPr="004E7D1D">
        <w:rPr>
          <w:sz w:val="24"/>
          <w:lang w:val="cs-CZ"/>
        </w:rPr>
        <w:t>, s. 4.</w:t>
      </w:r>
    </w:p>
  </w:footnote>
  <w:footnote w:id="3">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r w:rsidRPr="004E7D1D">
        <w:rPr>
          <w:sz w:val="24"/>
          <w:lang w:val="cs-CZ"/>
        </w:rPr>
        <w:t>Přijaté texty, P9_TA(2020)0357.</w:t>
      </w:r>
    </w:p>
  </w:footnote>
  <w:footnote w:id="4">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proofErr w:type="spellStart"/>
      <w:r w:rsidRPr="004E7D1D">
        <w:rPr>
          <w:sz w:val="24"/>
          <w:lang w:val="cs-CZ"/>
        </w:rPr>
        <w:t>Úř</w:t>
      </w:r>
      <w:proofErr w:type="spellEnd"/>
      <w:r w:rsidRPr="004E7D1D">
        <w:rPr>
          <w:sz w:val="24"/>
          <w:lang w:val="cs-CZ"/>
        </w:rPr>
        <w:t xml:space="preserve">. </w:t>
      </w:r>
      <w:proofErr w:type="spellStart"/>
      <w:proofErr w:type="gramStart"/>
      <w:r w:rsidRPr="004E7D1D">
        <w:rPr>
          <w:sz w:val="24"/>
          <w:lang w:val="cs-CZ"/>
        </w:rPr>
        <w:t>věst</w:t>
      </w:r>
      <w:proofErr w:type="spellEnd"/>
      <w:proofErr w:type="gramEnd"/>
      <w:r w:rsidRPr="004E7D1D">
        <w:rPr>
          <w:sz w:val="24"/>
          <w:lang w:val="cs-CZ"/>
        </w:rPr>
        <w:t xml:space="preserve">. L 424, </w:t>
      </w:r>
      <w:proofErr w:type="gramStart"/>
      <w:r w:rsidRPr="004E7D1D">
        <w:rPr>
          <w:sz w:val="24"/>
          <w:lang w:val="cs-CZ"/>
        </w:rPr>
        <w:t>15.12.2020</w:t>
      </w:r>
      <w:proofErr w:type="gramEnd"/>
      <w:r w:rsidRPr="004E7D1D">
        <w:rPr>
          <w:sz w:val="24"/>
          <w:lang w:val="cs-CZ"/>
        </w:rPr>
        <w:t>, s. 1.</w:t>
      </w:r>
    </w:p>
  </w:footnote>
  <w:footnote w:id="5">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proofErr w:type="spellStart"/>
      <w:r w:rsidRPr="004E7D1D">
        <w:rPr>
          <w:sz w:val="24"/>
          <w:lang w:val="cs-CZ"/>
        </w:rPr>
        <w:t>Úř</w:t>
      </w:r>
      <w:proofErr w:type="spellEnd"/>
      <w:r w:rsidRPr="004E7D1D">
        <w:rPr>
          <w:sz w:val="24"/>
          <w:lang w:val="cs-CZ"/>
        </w:rPr>
        <w:t xml:space="preserve">. </w:t>
      </w:r>
      <w:proofErr w:type="spellStart"/>
      <w:proofErr w:type="gramStart"/>
      <w:r w:rsidRPr="004E7D1D">
        <w:rPr>
          <w:sz w:val="24"/>
          <w:lang w:val="cs-CZ"/>
        </w:rPr>
        <w:t>věst</w:t>
      </w:r>
      <w:proofErr w:type="spellEnd"/>
      <w:proofErr w:type="gramEnd"/>
      <w:r w:rsidRPr="004E7D1D">
        <w:rPr>
          <w:sz w:val="24"/>
          <w:lang w:val="cs-CZ"/>
        </w:rPr>
        <w:t xml:space="preserve">. L 433 I, </w:t>
      </w:r>
      <w:proofErr w:type="gramStart"/>
      <w:r w:rsidRPr="004E7D1D">
        <w:rPr>
          <w:sz w:val="24"/>
          <w:lang w:val="cs-CZ"/>
        </w:rPr>
        <w:t>22.12.2020</w:t>
      </w:r>
      <w:proofErr w:type="gramEnd"/>
      <w:r w:rsidRPr="004E7D1D">
        <w:rPr>
          <w:sz w:val="24"/>
          <w:lang w:val="cs-CZ"/>
        </w:rPr>
        <w:t>, s. 28.</w:t>
      </w:r>
    </w:p>
  </w:footnote>
  <w:footnote w:id="6">
    <w:p w:rsidR="001C7397" w:rsidRPr="00E6203B" w:rsidRDefault="001C7397" w:rsidP="004E7D1D">
      <w:pPr>
        <w:pStyle w:val="FootnoteText"/>
        <w:ind w:left="567" w:hanging="567"/>
        <w:rPr>
          <w:i/>
          <w:sz w:val="24"/>
          <w:lang w:val="cs-CZ"/>
        </w:rPr>
      </w:pPr>
      <w:r w:rsidRPr="004E7D1D">
        <w:rPr>
          <w:rStyle w:val="FootnoteReference"/>
          <w:sz w:val="24"/>
          <w:lang w:val="cs-CZ"/>
        </w:rPr>
        <w:footnoteRef/>
      </w:r>
      <w:r w:rsidR="004E7D1D" w:rsidRPr="004E7D1D">
        <w:rPr>
          <w:rStyle w:val="Emphasis"/>
          <w:sz w:val="24"/>
          <w:shd w:val="clear" w:color="auto" w:fill="FFFFFF"/>
          <w:lang w:val="cs-CZ"/>
        </w:rPr>
        <w:t xml:space="preserve"> </w:t>
      </w:r>
      <w:r w:rsidR="004E7D1D" w:rsidRPr="004E7D1D">
        <w:rPr>
          <w:rStyle w:val="Emphasis"/>
          <w:sz w:val="24"/>
          <w:shd w:val="clear" w:color="auto" w:fill="FFFFFF"/>
          <w:lang w:val="cs-CZ"/>
        </w:rPr>
        <w:tab/>
      </w:r>
      <w:proofErr w:type="spellStart"/>
      <w:r w:rsidRPr="00E6203B">
        <w:rPr>
          <w:rStyle w:val="Emphasis"/>
          <w:i w:val="0"/>
          <w:sz w:val="24"/>
          <w:shd w:val="clear" w:color="auto" w:fill="FFFFFF"/>
          <w:lang w:val="cs-CZ"/>
        </w:rPr>
        <w:t>Úř</w:t>
      </w:r>
      <w:proofErr w:type="spellEnd"/>
      <w:r w:rsidRPr="00E6203B">
        <w:rPr>
          <w:rStyle w:val="Emphasis"/>
          <w:i w:val="0"/>
          <w:sz w:val="24"/>
          <w:shd w:val="clear" w:color="auto" w:fill="FFFFFF"/>
          <w:lang w:val="cs-CZ"/>
        </w:rPr>
        <w:t xml:space="preserve">. </w:t>
      </w:r>
      <w:proofErr w:type="spellStart"/>
      <w:proofErr w:type="gramStart"/>
      <w:r w:rsidRPr="00E6203B">
        <w:rPr>
          <w:rStyle w:val="Emphasis"/>
          <w:i w:val="0"/>
          <w:sz w:val="24"/>
          <w:shd w:val="clear" w:color="auto" w:fill="FFFFFF"/>
          <w:lang w:val="cs-CZ"/>
        </w:rPr>
        <w:t>věst</w:t>
      </w:r>
      <w:proofErr w:type="spellEnd"/>
      <w:proofErr w:type="gramEnd"/>
      <w:r w:rsidRPr="00E6203B">
        <w:rPr>
          <w:rStyle w:val="Emphasis"/>
          <w:i w:val="0"/>
          <w:sz w:val="24"/>
          <w:shd w:val="clear" w:color="auto" w:fill="FFFFFF"/>
          <w:lang w:val="cs-CZ"/>
        </w:rPr>
        <w:t xml:space="preserve">. L 433 I, </w:t>
      </w:r>
      <w:proofErr w:type="gramStart"/>
      <w:r w:rsidRPr="00E6203B">
        <w:rPr>
          <w:rStyle w:val="Emphasis"/>
          <w:i w:val="0"/>
          <w:sz w:val="24"/>
          <w:shd w:val="clear" w:color="auto" w:fill="FFFFFF"/>
          <w:lang w:val="cs-CZ"/>
        </w:rPr>
        <w:t>22.12.2020</w:t>
      </w:r>
      <w:proofErr w:type="gramEnd"/>
      <w:r w:rsidRPr="00E6203B">
        <w:rPr>
          <w:rStyle w:val="Emphasis"/>
          <w:i w:val="0"/>
          <w:sz w:val="24"/>
          <w:shd w:val="clear" w:color="auto" w:fill="FFFFFF"/>
          <w:lang w:val="cs-CZ"/>
        </w:rPr>
        <w:t>, s. 1.</w:t>
      </w:r>
    </w:p>
  </w:footnote>
  <w:footnote w:id="7">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r w:rsidRPr="004E7D1D">
        <w:rPr>
          <w:sz w:val="24"/>
          <w:lang w:val="cs-CZ"/>
        </w:rPr>
        <w:t>Přijaté texty, P9_TA(2023)0335.</w:t>
      </w:r>
    </w:p>
  </w:footnote>
  <w:footnote w:id="8">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r w:rsidRPr="004E7D1D">
        <w:rPr>
          <w:sz w:val="24"/>
          <w:lang w:val="cs-CZ"/>
        </w:rPr>
        <w:t>Přijaté texty, P9_TA(2023)0194.</w:t>
      </w:r>
    </w:p>
  </w:footnote>
  <w:footnote w:id="9">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r w:rsidRPr="004E7D1D">
        <w:rPr>
          <w:sz w:val="24"/>
          <w:lang w:val="cs-CZ"/>
        </w:rPr>
        <w:t>Přijaté texty, P9_TA(2022)0450.</w:t>
      </w:r>
    </w:p>
  </w:footnote>
  <w:footnote w:id="10">
    <w:p w:rsidR="001C7397" w:rsidRPr="004E7D1D" w:rsidRDefault="001C7397" w:rsidP="004E7D1D">
      <w:pPr>
        <w:pStyle w:val="FootnoteText"/>
        <w:ind w:left="567" w:hanging="567"/>
        <w:rPr>
          <w:sz w:val="24"/>
          <w:lang w:val="cs-CZ"/>
        </w:rPr>
      </w:pPr>
      <w:r w:rsidRPr="004E7D1D">
        <w:rPr>
          <w:rStyle w:val="FootnoteReference"/>
          <w:sz w:val="24"/>
          <w:lang w:val="cs-CZ"/>
        </w:rPr>
        <w:footnoteRef/>
      </w:r>
      <w:r w:rsidR="004E7D1D" w:rsidRPr="004E7D1D">
        <w:rPr>
          <w:sz w:val="24"/>
          <w:lang w:val="cs-CZ"/>
        </w:rPr>
        <w:t xml:space="preserve"> </w:t>
      </w:r>
      <w:r w:rsidR="004E7D1D" w:rsidRPr="004E7D1D">
        <w:rPr>
          <w:sz w:val="24"/>
          <w:lang w:val="cs-CZ"/>
        </w:rPr>
        <w:tab/>
      </w:r>
      <w:r w:rsidRPr="004E7D1D">
        <w:rPr>
          <w:sz w:val="24"/>
          <w:lang w:val="cs-CZ"/>
        </w:rPr>
        <w:t>Přijaté texty,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D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D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D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281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CS"/>
    <w:docVar w:name="dvnumam" w:val="0"/>
    <w:docVar w:name="dvpe" w:val="758.970"/>
    <w:docVar w:name="dvrapporteur" w:val="Zpravodajové: "/>
    <w:docVar w:name="dvtitre" w:val="Usnesení Evropského parlamentu ze dne.... 2024 obsahující návrh nelegislativního usnesení o návrhu nařízení Rady, kterým se mění nařízení (EU, Euratom) 2020/2093, kterým se stanoví víceletý finanční rámec na období 2021–2027(05818/2024 – C9-0030/2024 – 2023/0201M(APP))"/>
  </w:docVars>
  <w:rsids>
    <w:rsidRoot w:val="00DC2710"/>
    <w:rsid w:val="00002272"/>
    <w:rsid w:val="00064002"/>
    <w:rsid w:val="000677B9"/>
    <w:rsid w:val="000831BA"/>
    <w:rsid w:val="000A42CC"/>
    <w:rsid w:val="000E7DD9"/>
    <w:rsid w:val="0010095E"/>
    <w:rsid w:val="00125B37"/>
    <w:rsid w:val="00187494"/>
    <w:rsid w:val="001C739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D1D"/>
    <w:rsid w:val="0050519A"/>
    <w:rsid w:val="005072A1"/>
    <w:rsid w:val="00514517"/>
    <w:rsid w:val="00545827"/>
    <w:rsid w:val="00560270"/>
    <w:rsid w:val="005C2568"/>
    <w:rsid w:val="005E05CF"/>
    <w:rsid w:val="006037C0"/>
    <w:rsid w:val="006631B6"/>
    <w:rsid w:val="00680577"/>
    <w:rsid w:val="006F74FA"/>
    <w:rsid w:val="00731ADD"/>
    <w:rsid w:val="00734777"/>
    <w:rsid w:val="00747932"/>
    <w:rsid w:val="00751A4A"/>
    <w:rsid w:val="00756632"/>
    <w:rsid w:val="00762C74"/>
    <w:rsid w:val="0078394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29D"/>
    <w:rsid w:val="00981893"/>
    <w:rsid w:val="00A1687D"/>
    <w:rsid w:val="00A43E52"/>
    <w:rsid w:val="00A4678D"/>
    <w:rsid w:val="00A67ECA"/>
    <w:rsid w:val="00A778C7"/>
    <w:rsid w:val="00AB441E"/>
    <w:rsid w:val="00AB6293"/>
    <w:rsid w:val="00AE0928"/>
    <w:rsid w:val="00AF3B82"/>
    <w:rsid w:val="00B12E95"/>
    <w:rsid w:val="00B22876"/>
    <w:rsid w:val="00B558F0"/>
    <w:rsid w:val="00BD48FE"/>
    <w:rsid w:val="00BD7BD8"/>
    <w:rsid w:val="00BE6ADC"/>
    <w:rsid w:val="00C05BFE"/>
    <w:rsid w:val="00C23CD4"/>
    <w:rsid w:val="00C2660F"/>
    <w:rsid w:val="00C61C0C"/>
    <w:rsid w:val="00C941CB"/>
    <w:rsid w:val="00CC2357"/>
    <w:rsid w:val="00CF071A"/>
    <w:rsid w:val="00D058B8"/>
    <w:rsid w:val="00D56C11"/>
    <w:rsid w:val="00D834A0"/>
    <w:rsid w:val="00D872DF"/>
    <w:rsid w:val="00D91E21"/>
    <w:rsid w:val="00DA7FCD"/>
    <w:rsid w:val="00DC2710"/>
    <w:rsid w:val="00E365E1"/>
    <w:rsid w:val="00E6203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17601"/>
  <w15:chartTrackingRefBased/>
  <w15:docId w15:val="{CFEF4E8E-5D38-4EEE-9B92-6A9187F0B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7397"/>
    <w:pPr>
      <w:spacing w:after="240"/>
      <w:ind w:left="567" w:hanging="567"/>
    </w:pPr>
  </w:style>
  <w:style w:type="paragraph" w:styleId="ListBullet">
    <w:name w:val="List Bullet"/>
    <w:basedOn w:val="Normal"/>
    <w:autoRedefine/>
    <w:uiPriority w:val="99"/>
    <w:unhideWhenUsed/>
    <w:rsid w:val="001C7397"/>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1C73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3B239-2DA3-4049-BB03-32DC40DDF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3631</Words>
  <Characters>20946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2024-04-04T17:01:00Z</dcterms:created>
  <dcterms:modified xsi:type="dcterms:W3CDTF">2024-04-04T17:01:00Z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A9-0053/2024</vt:lpwstr>
  </property>
  <property fmtid="{D5CDD505-2E9C-101B-9397-08002B2CF9AE}" pid="4" name="&lt;Type&gt;">
    <vt:lpwstr>RR</vt:lpwstr>
  </property>
</Properties>
</file>