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2ED0" w:rsidTr="0010095E">
        <w:trPr>
          <w:trHeight w:hRule="exact" w:val="1418"/>
        </w:trPr>
        <w:tc>
          <w:tcPr>
            <w:tcW w:w="6804" w:type="dxa"/>
            <w:shd w:val="clear" w:color="auto" w:fill="auto"/>
            <w:vAlign w:val="center"/>
          </w:tcPr>
          <w:p w:rsidR="00751A4A" w:rsidRPr="007B2ED0" w:rsidRDefault="00D1379F" w:rsidP="0010095E">
            <w:pPr>
              <w:pStyle w:val="EPName"/>
            </w:pPr>
            <w:r w:rsidRPr="007B2ED0">
              <w:t>Europski parlament</w:t>
            </w:r>
          </w:p>
          <w:p w:rsidR="00751A4A" w:rsidRPr="007B2ED0" w:rsidRDefault="00817416" w:rsidP="00756632">
            <w:pPr>
              <w:pStyle w:val="EPTerm"/>
              <w:rPr>
                <w:rStyle w:val="HideTWBExt"/>
                <w:noProof w:val="0"/>
                <w:vanish w:val="0"/>
                <w:color w:val="auto"/>
              </w:rPr>
            </w:pPr>
            <w:r w:rsidRPr="007B2ED0">
              <w:t>2019-2024</w:t>
            </w:r>
          </w:p>
        </w:tc>
        <w:tc>
          <w:tcPr>
            <w:tcW w:w="2268" w:type="dxa"/>
            <w:shd w:val="clear" w:color="auto" w:fill="auto"/>
          </w:tcPr>
          <w:p w:rsidR="00751A4A" w:rsidRPr="007B2ED0" w:rsidRDefault="00187494" w:rsidP="0010095E">
            <w:pPr>
              <w:pStyle w:val="EPLogo"/>
            </w:pPr>
            <w:r w:rsidRPr="007B2E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2ED0" w:rsidRDefault="00D058B8" w:rsidP="004C5D52">
      <w:pPr>
        <w:pStyle w:val="LineTop"/>
      </w:pPr>
    </w:p>
    <w:p w:rsidR="00680577" w:rsidRPr="007B2ED0" w:rsidRDefault="00D1379F" w:rsidP="00680577">
      <w:pPr>
        <w:pStyle w:val="EPBodyTA1"/>
      </w:pPr>
      <w:r w:rsidRPr="007B2ED0">
        <w:t>USVOJENI TEKSTOVI</w:t>
      </w:r>
    </w:p>
    <w:p w:rsidR="00D058B8" w:rsidRPr="007B2ED0" w:rsidRDefault="00D058B8" w:rsidP="00D058B8">
      <w:pPr>
        <w:pStyle w:val="LineBottom"/>
      </w:pPr>
    </w:p>
    <w:p w:rsidR="00D1379F" w:rsidRPr="007B2ED0" w:rsidRDefault="00D1379F" w:rsidP="00D1379F">
      <w:pPr>
        <w:pStyle w:val="ATHeading1"/>
      </w:pPr>
      <w:bookmarkStart w:id="0" w:name="TANumber"/>
      <w:r w:rsidRPr="007B2ED0">
        <w:t>P9_TA(2024)00</w:t>
      </w:r>
      <w:bookmarkEnd w:id="0"/>
      <w:r w:rsidR="00F20836" w:rsidRPr="007B2ED0">
        <w:t>82</w:t>
      </w:r>
    </w:p>
    <w:p w:rsidR="00D1379F" w:rsidRPr="007B2ED0" w:rsidRDefault="00D1379F" w:rsidP="00D1379F">
      <w:pPr>
        <w:pStyle w:val="ATHeading2"/>
      </w:pPr>
      <w:bookmarkStart w:id="1" w:name="title"/>
      <w:r w:rsidRPr="007B2ED0">
        <w:t>Višegodišnji financijski okvir za razdoblje 2021. – 2027. (Rezolucija)</w:t>
      </w:r>
      <w:bookmarkEnd w:id="1"/>
    </w:p>
    <w:p w:rsidR="00D1379F" w:rsidRPr="007B2ED0" w:rsidRDefault="00D1379F" w:rsidP="00D1379F">
      <w:pPr>
        <w:rPr>
          <w:i/>
          <w:vanish/>
        </w:rPr>
      </w:pPr>
      <w:r w:rsidRPr="007B2ED0">
        <w:rPr>
          <w:i/>
        </w:rPr>
        <w:fldChar w:fldCharType="begin"/>
      </w:r>
      <w:r w:rsidRPr="007B2ED0">
        <w:rPr>
          <w:i/>
        </w:rPr>
        <w:instrText xml:space="preserve"> TC"(</w:instrText>
      </w:r>
      <w:bookmarkStart w:id="2" w:name="DocNumber"/>
      <w:r w:rsidRPr="007B2ED0">
        <w:rPr>
          <w:i/>
        </w:rPr>
        <w:instrText>A9-0053/2024</w:instrText>
      </w:r>
      <w:bookmarkEnd w:id="2"/>
      <w:r w:rsidRPr="007B2ED0">
        <w:rPr>
          <w:i/>
        </w:rPr>
        <w:instrText xml:space="preserve"> - Izvjestitelji: Jan Olbrycht, Margarida Marques)"\l3 \n&gt; \* MERGEFORMAT </w:instrText>
      </w:r>
      <w:r w:rsidRPr="007B2ED0">
        <w:rPr>
          <w:i/>
        </w:rPr>
        <w:fldChar w:fldCharType="end"/>
      </w:r>
    </w:p>
    <w:p w:rsidR="00D1379F" w:rsidRPr="007B2ED0" w:rsidRDefault="00D1379F" w:rsidP="00D1379F">
      <w:pPr>
        <w:rPr>
          <w:vanish/>
        </w:rPr>
      </w:pPr>
      <w:bookmarkStart w:id="3" w:name="Commission"/>
      <w:r w:rsidRPr="007B2ED0">
        <w:rPr>
          <w:vanish/>
        </w:rPr>
        <w:t>Odbor za proračune</w:t>
      </w:r>
      <w:bookmarkEnd w:id="3"/>
    </w:p>
    <w:p w:rsidR="00D1379F" w:rsidRPr="007B2ED0" w:rsidRDefault="00D1379F" w:rsidP="00D1379F">
      <w:pPr>
        <w:rPr>
          <w:vanish/>
        </w:rPr>
      </w:pPr>
      <w:bookmarkStart w:id="4" w:name="PE"/>
      <w:r w:rsidRPr="007B2ED0">
        <w:rPr>
          <w:vanish/>
        </w:rPr>
        <w:t>PE758.970</w:t>
      </w:r>
      <w:bookmarkEnd w:id="4"/>
    </w:p>
    <w:p w:rsidR="00D1379F" w:rsidRPr="007B2ED0" w:rsidRDefault="008D3D5B" w:rsidP="00D1379F">
      <w:pPr>
        <w:pStyle w:val="ATHeading3"/>
      </w:pPr>
      <w:bookmarkStart w:id="5" w:name="Sujet"/>
      <w:proofErr w:type="spellStart"/>
      <w:r w:rsidRPr="007B2ED0">
        <w:t>Nezakonodavna</w:t>
      </w:r>
      <w:proofErr w:type="spellEnd"/>
      <w:r w:rsidRPr="007B2ED0">
        <w:t xml:space="preserve"> r</w:t>
      </w:r>
      <w:r w:rsidR="00D1379F" w:rsidRPr="007B2ED0">
        <w:t>ezoluc</w:t>
      </w:r>
      <w:r w:rsidRPr="007B2ED0">
        <w:t>ija Europskog parlamenta od 27. veljače 2024.</w:t>
      </w:r>
      <w:r w:rsidR="00D1379F" w:rsidRPr="007B2ED0">
        <w:t xml:space="preserve"> o Nacrtu uredbe Vijeća o izmjeni Uredbe (EU, Euratom) 2020/2093 kojom se uspostavlja višegodišnji financijski okvir za razdoblje 2021. – 2027.</w:t>
      </w:r>
      <w:bookmarkEnd w:id="5"/>
      <w:r w:rsidR="00D1379F" w:rsidRPr="007B2ED0">
        <w:t xml:space="preserve"> </w:t>
      </w:r>
      <w:bookmarkStart w:id="6" w:name="References"/>
      <w:r w:rsidR="00D1379F" w:rsidRPr="007B2ED0">
        <w:t>(05818/2024 – C9-0030/2024 – 2023/0201M(APP))</w:t>
      </w:r>
      <w:bookmarkEnd w:id="6"/>
    </w:p>
    <w:p w:rsidR="00D1379F" w:rsidRPr="007B2ED0" w:rsidRDefault="00D1379F" w:rsidP="00D1379F"/>
    <w:p w:rsidR="00C65F03" w:rsidRPr="007B2ED0" w:rsidRDefault="00C65F03" w:rsidP="00C65F03">
      <w:pPr>
        <w:pStyle w:val="ListBullet"/>
        <w:spacing w:after="240"/>
        <w:ind w:left="426" w:hanging="426"/>
        <w:rPr>
          <w:szCs w:val="24"/>
        </w:rPr>
      </w:pPr>
      <w:bookmarkStart w:id="7" w:name="TextBodyBegin"/>
      <w:bookmarkEnd w:id="7"/>
      <w:r w:rsidRPr="007B2ED0">
        <w:t>Europski parlament,</w:t>
      </w:r>
    </w:p>
    <w:p w:rsidR="00C65F03" w:rsidRPr="007B2ED0" w:rsidRDefault="00C65F03" w:rsidP="00C65F03">
      <w:pPr>
        <w:pStyle w:val="NormalHanging12a"/>
      </w:pPr>
      <w:r w:rsidRPr="007B2ED0">
        <w:t>–</w:t>
      </w:r>
      <w:r w:rsidRPr="007B2ED0">
        <w:tab/>
        <w:t>uzimajući u obzir članke 311., 312. i 323. Ugovora o funkcioniranju Europske unije (UFEU),</w:t>
      </w:r>
    </w:p>
    <w:p w:rsidR="00C65F03" w:rsidRPr="007B2ED0" w:rsidRDefault="00C65F03" w:rsidP="00C65F03">
      <w:pPr>
        <w:pStyle w:val="NormalHanging12a"/>
      </w:pPr>
      <w:r w:rsidRPr="007B2ED0">
        <w:t>–</w:t>
      </w:r>
      <w:r w:rsidRPr="007B2ED0">
        <w:tab/>
        <w:t>uzimajući u obzir</w:t>
      </w:r>
      <w:r w:rsidR="002F6E2A">
        <w:t xml:space="preserve"> Nacrt uredbe Vijeća o izmjeni </w:t>
      </w:r>
      <w:r w:rsidRPr="007B2ED0">
        <w:t>Uredbe (EU, Euratom) 2020/2093 kojom se utvrđuje višegodišnji financijski o</w:t>
      </w:r>
      <w:r w:rsidR="002F6E2A">
        <w:t>kvir za razdoblje 2021. </w:t>
      </w:r>
      <w:r w:rsidRPr="007B2ED0">
        <w:t>– 2027. (</w:t>
      </w:r>
      <w:r w:rsidR="002F6E2A">
        <w:t>05818/2024</w:t>
      </w:r>
      <w:r w:rsidRPr="007B2ED0">
        <w:t>),</w:t>
      </w:r>
    </w:p>
    <w:p w:rsidR="00C65F03" w:rsidRPr="007B2ED0" w:rsidRDefault="00C65F03" w:rsidP="00C65F03">
      <w:pPr>
        <w:pStyle w:val="NormalHanging12a"/>
      </w:pPr>
      <w:r w:rsidRPr="007B2ED0">
        <w:t>–</w:t>
      </w:r>
      <w:r w:rsidRPr="007B2ED0">
        <w:tab/>
        <w:t>uzimajući u obzir zahtjev Vijeća za davanje suglasnosti u skladu s člankom 312. stavkom 2. UFEU-a</w:t>
      </w:r>
      <w:r w:rsidR="002F6E2A">
        <w:t xml:space="preserve"> (C9-0030/2024)</w:t>
      </w:r>
      <w:r w:rsidRPr="007B2ED0">
        <w:t>,</w:t>
      </w:r>
    </w:p>
    <w:p w:rsidR="00C65F03" w:rsidRPr="007B2ED0" w:rsidRDefault="00C65F03" w:rsidP="00C65F03">
      <w:pPr>
        <w:pStyle w:val="NormalHanging12a"/>
      </w:pPr>
      <w:r w:rsidRPr="007B2ED0">
        <w:t>–</w:t>
      </w:r>
      <w:r w:rsidRPr="007B2ED0">
        <w:tab/>
        <w:t>uzimajući obzir Uredbu Vijeća (EU, Euratom) 2020/2093 od 17. prosinca 2020. kojom se utvrđuje višegodišnji financijski okvir za razdoblje 2021. – 2027.</w:t>
      </w:r>
      <w:r w:rsidRPr="007B2ED0">
        <w:rPr>
          <w:rStyle w:val="FootnoteReference"/>
          <w:color w:val="000000"/>
          <w:szCs w:val="24"/>
        </w:rPr>
        <w:footnoteReference w:id="1"/>
      </w:r>
      <w:r w:rsidRPr="007B2ED0">
        <w:t>, te zajedničke izjave koje su Parlament, Vijeće i Komisija donijeli u tom kontekstu</w:t>
      </w:r>
      <w:r w:rsidRPr="007B2ED0">
        <w:rPr>
          <w:vertAlign w:val="superscript"/>
        </w:rPr>
        <w:footnoteReference w:id="2"/>
      </w:r>
      <w:r w:rsidRPr="007B2ED0">
        <w:t xml:space="preserve"> i povezane jednostrane izjave</w:t>
      </w:r>
      <w:r w:rsidRPr="007B2ED0">
        <w:rPr>
          <w:vertAlign w:val="superscript"/>
        </w:rPr>
        <w:footnoteReference w:id="3"/>
      </w:r>
      <w:r w:rsidRPr="007B2ED0">
        <w:t>,</w:t>
      </w:r>
    </w:p>
    <w:p w:rsidR="00C65F03" w:rsidRPr="007B2ED0" w:rsidRDefault="00C65F03" w:rsidP="00C65F03">
      <w:pPr>
        <w:pStyle w:val="NormalHanging12a"/>
      </w:pPr>
      <w:r w:rsidRPr="007B2ED0">
        <w:t>–</w:t>
      </w:r>
      <w:r w:rsidRPr="007B2ED0">
        <w:tab/>
        <w:t>uzimajući u obzir Odluku Vijeća (EU, Euratom) 2020/2053 od 14. prosinca 2020. o sustavu vlastitih sredstava Europske unije te o stavljanju izvan snage Odluke 2014/335/EU, Euratom</w:t>
      </w:r>
      <w:r w:rsidRPr="007B2ED0">
        <w:rPr>
          <w:vertAlign w:val="superscript"/>
        </w:rPr>
        <w:footnoteReference w:id="4"/>
      </w:r>
      <w:r w:rsidRPr="007B2ED0">
        <w:t>,</w:t>
      </w:r>
    </w:p>
    <w:p w:rsidR="00C65F03" w:rsidRPr="007B2ED0" w:rsidRDefault="00C65F03" w:rsidP="00C65F03">
      <w:pPr>
        <w:pStyle w:val="NormalHanging12a"/>
      </w:pPr>
      <w:r w:rsidRPr="007B2ED0">
        <w:t>–</w:t>
      </w:r>
      <w:r w:rsidRPr="007B2ED0">
        <w:tab/>
        <w:t xml:space="preserve">uzimajući u obzir </w:t>
      </w:r>
      <w:proofErr w:type="spellStart"/>
      <w:r w:rsidRPr="007B2ED0">
        <w:t>Međuinstitucijski</w:t>
      </w:r>
      <w:proofErr w:type="spellEnd"/>
      <w:r w:rsidRPr="007B2ED0">
        <w:t xml:space="preserve"> sporazum od 16. prosinca 2020. između Europskog parlamenta, Vijeća Europske unije i Europske komisije o proračunskoj disciplini, suradnji u proračunskim pitanjima i dobrom financijskom upravljanju te novim </w:t>
      </w:r>
      <w:r w:rsidRPr="007B2ED0">
        <w:lastRenderedPageBreak/>
        <w:t>vlastitim sredstvima, uključujući plan za uvođenje novih vlastitih sredstava</w:t>
      </w:r>
      <w:r w:rsidRPr="007B2ED0">
        <w:rPr>
          <w:vertAlign w:val="superscript"/>
        </w:rPr>
        <w:footnoteReference w:id="5"/>
      </w:r>
      <w:r w:rsidRPr="007B2ED0">
        <w:rPr>
          <w:vertAlign w:val="superscript"/>
        </w:rPr>
        <w:t xml:space="preserve"> </w:t>
      </w:r>
      <w:r w:rsidRPr="007B2ED0">
        <w:t>(„</w:t>
      </w:r>
      <w:proofErr w:type="spellStart"/>
      <w:r w:rsidRPr="007B2ED0">
        <w:t>Međuinstitucijski</w:t>
      </w:r>
      <w:proofErr w:type="spellEnd"/>
      <w:r w:rsidRPr="007B2ED0">
        <w:t xml:space="preserve"> sporazum”),</w:t>
      </w:r>
    </w:p>
    <w:p w:rsidR="00C65F03" w:rsidRPr="007B2ED0" w:rsidRDefault="00C65F03" w:rsidP="00C65F03">
      <w:pPr>
        <w:pStyle w:val="NormalHanging12a"/>
      </w:pPr>
      <w:r w:rsidRPr="007B2ED0">
        <w:t>–</w:t>
      </w:r>
      <w:r w:rsidRPr="007B2ED0">
        <w:tab/>
        <w:t>uzimajući u obzir Uredbu (EU, Euratom) 2020/2092 Europskog parlamenta i Vijeća od 16. prosinca 2020. o općem režimu uvjetovanosti za zaštitu proračuna Unije</w:t>
      </w:r>
      <w:r w:rsidRPr="007B2ED0">
        <w:rPr>
          <w:vertAlign w:val="superscript"/>
        </w:rPr>
        <w:footnoteReference w:id="6"/>
      </w:r>
      <w:r w:rsidRPr="007B2ED0">
        <w:t>,</w:t>
      </w:r>
    </w:p>
    <w:p w:rsidR="00C65F03" w:rsidRPr="007B2ED0" w:rsidRDefault="00C65F03" w:rsidP="00C65F03">
      <w:pPr>
        <w:pStyle w:val="NormalHanging12a"/>
      </w:pPr>
      <w:r w:rsidRPr="007B2ED0">
        <w:t>–</w:t>
      </w:r>
      <w:r w:rsidRPr="007B2ED0">
        <w:tab/>
        <w:t>uzimajući u obzir Komisijin Prijedlog uredbe Vijeća od 20. lipnja 2023. o izmjeni Uredbe (EU, Euratom) 2020/2093 kojom se utvrđuje višegodišnji financijski okvir za razdob</w:t>
      </w:r>
      <w:r w:rsidR="002F6E2A">
        <w:t>lje 2021. – 2027. COM(2023)0337</w:t>
      </w:r>
      <w:r w:rsidRPr="007B2ED0">
        <w:t>,</w:t>
      </w:r>
    </w:p>
    <w:p w:rsidR="00C65F03" w:rsidRPr="007B2ED0" w:rsidRDefault="00C65F03" w:rsidP="00C65F03">
      <w:pPr>
        <w:pStyle w:val="NormalHanging12a"/>
      </w:pPr>
      <w:r w:rsidRPr="007B2ED0">
        <w:t>–</w:t>
      </w:r>
      <w:r w:rsidRPr="007B2ED0">
        <w:tab/>
        <w:t>uzimajući u obzir komunikaciju Komisije od 20. lipnja 2023. naslovljenu „Revizija višegodišnjeg financijskog okvira za razdoblje 2021. – 2027. u sredini programskog razdoblja” (COM(2023)0336) i popratni radni dokument službi Komisije (SWD(2023)0336),</w:t>
      </w:r>
    </w:p>
    <w:p w:rsidR="00C65F03" w:rsidRPr="007B2ED0" w:rsidRDefault="00C65F03" w:rsidP="00C65F03">
      <w:pPr>
        <w:pStyle w:val="NormalHanging12a"/>
      </w:pPr>
      <w:r w:rsidRPr="007B2ED0">
        <w:t>–</w:t>
      </w:r>
      <w:r w:rsidRPr="007B2ED0">
        <w:tab/>
        <w:t>uzimajući u obzir zaključke Europskog vijeća od 1. veljače 2024.,</w:t>
      </w:r>
    </w:p>
    <w:p w:rsidR="00C65F03" w:rsidRPr="007B2ED0" w:rsidRDefault="00C65F03" w:rsidP="00C65F03">
      <w:pPr>
        <w:pStyle w:val="NormalHanging12a"/>
      </w:pPr>
      <w:r w:rsidRPr="007B2ED0">
        <w:t>–</w:t>
      </w:r>
      <w:r w:rsidRPr="007B2ED0">
        <w:tab/>
        <w:t>uzimajući u obzir svoju Rezoluciju od 3. listopada 2023. o prijedlogu revizije višegodišnjeg financijskog okvira za razdoblje 2021. – 2027. u sredini programskog razdoblja</w:t>
      </w:r>
      <w:r w:rsidRPr="007B2ED0">
        <w:rPr>
          <w:rStyle w:val="FootnoteReference"/>
          <w:color w:val="000000"/>
          <w:szCs w:val="24"/>
        </w:rPr>
        <w:footnoteReference w:id="7"/>
      </w:r>
      <w:r w:rsidRPr="007B2ED0">
        <w:t>,</w:t>
      </w:r>
    </w:p>
    <w:p w:rsidR="00C65F03" w:rsidRPr="007B2ED0" w:rsidRDefault="00C65F03" w:rsidP="00C65F03">
      <w:pPr>
        <w:pStyle w:val="NormalHanging12a"/>
      </w:pPr>
      <w:r w:rsidRPr="007B2ED0">
        <w:t>–</w:t>
      </w:r>
      <w:r w:rsidRPr="007B2ED0">
        <w:tab/>
        <w:t>uzimajući u obzir svoju Rezoluciju od 10. svibnja 2023. o učinku povećanja troškova zaduživanja za Instrument Europske unije za oporavak na proračun EU-a za 2024.</w:t>
      </w:r>
      <w:r w:rsidRPr="007B2ED0">
        <w:rPr>
          <w:rStyle w:val="FootnoteReference"/>
          <w:color w:val="000000"/>
          <w:szCs w:val="24"/>
        </w:rPr>
        <w:footnoteReference w:id="8"/>
      </w:r>
      <w:r w:rsidRPr="007B2ED0">
        <w:t>,</w:t>
      </w:r>
    </w:p>
    <w:p w:rsidR="00C65F03" w:rsidRPr="007B2ED0" w:rsidRDefault="00C65F03" w:rsidP="00C65F03">
      <w:pPr>
        <w:pStyle w:val="NormalHanging12a"/>
      </w:pPr>
      <w:r w:rsidRPr="007B2ED0">
        <w:t>–</w:t>
      </w:r>
      <w:r w:rsidRPr="007B2ED0">
        <w:tab/>
        <w:t>uzimajući u obzir svoju Rezoluciju od 15. prosinca 2022. o jačanju višegodišnjeg financijskog okvira 2021. – 2027.: otporan proračun EU-a prilagođen novim izazovima</w:t>
      </w:r>
      <w:r w:rsidRPr="007B2ED0">
        <w:rPr>
          <w:rStyle w:val="FootnoteReference"/>
          <w:color w:val="000000"/>
          <w:szCs w:val="24"/>
        </w:rPr>
        <w:footnoteReference w:id="9"/>
      </w:r>
      <w:r w:rsidRPr="007B2ED0">
        <w:t>,</w:t>
      </w:r>
    </w:p>
    <w:p w:rsidR="00C65F03" w:rsidRPr="007B2ED0" w:rsidRDefault="00C65F03" w:rsidP="00C65F03">
      <w:pPr>
        <w:pStyle w:val="NormalHanging12a"/>
      </w:pPr>
      <w:r w:rsidRPr="007B2ED0">
        <w:t>–</w:t>
      </w:r>
      <w:r w:rsidRPr="007B2ED0">
        <w:tab/>
        <w:t>uzimajući u obzir svoju Rezoluciju od 19. svibnja 2022. o društvenim i gospodarskim posljedicama ruskog rata u Ukrajini na EU – jačanje sposobnosti EU-a za djelovanje</w:t>
      </w:r>
      <w:r w:rsidRPr="007B2ED0">
        <w:rPr>
          <w:rStyle w:val="FootnoteReference"/>
          <w:color w:val="000000"/>
          <w:szCs w:val="24"/>
        </w:rPr>
        <w:footnoteReference w:id="10"/>
      </w:r>
      <w:r w:rsidRPr="007B2ED0">
        <w:t>,</w:t>
      </w:r>
    </w:p>
    <w:p w:rsidR="00C65F03" w:rsidRPr="007B2ED0" w:rsidRDefault="00C65F03" w:rsidP="00C65F03">
      <w:pPr>
        <w:pStyle w:val="NormalHanging12a"/>
      </w:pPr>
      <w:r w:rsidRPr="007B2ED0">
        <w:t>–</w:t>
      </w:r>
      <w:r w:rsidRPr="007B2ED0">
        <w:tab/>
        <w:t>uzimajući u obzir članak 105. stavak 2. Poslovnika,</w:t>
      </w:r>
    </w:p>
    <w:p w:rsidR="00C65F03" w:rsidRPr="007B2ED0" w:rsidRDefault="00C65F03" w:rsidP="00C65F03">
      <w:pPr>
        <w:pStyle w:val="NormalHanging12a"/>
      </w:pPr>
      <w:r w:rsidRPr="007B2ED0">
        <w:t>–</w:t>
      </w:r>
      <w:r w:rsidRPr="007B2ED0">
        <w:tab/>
        <w:t>uzimajući u obzir izvješće Odbora za proračune (A9-0053/2024),</w:t>
      </w:r>
    </w:p>
    <w:p w:rsidR="00C65F03" w:rsidRPr="007B2ED0" w:rsidRDefault="00C65F03" w:rsidP="00C65F03">
      <w:pPr>
        <w:pStyle w:val="NormalHanging12a"/>
        <w:rPr>
          <w:spacing w:val="-2"/>
        </w:rPr>
      </w:pPr>
      <w:r w:rsidRPr="007B2ED0">
        <w:t>A.</w:t>
      </w:r>
      <w:r w:rsidRPr="007B2ED0">
        <w:tab/>
        <w:t>budući da se uredbom kojom se uspostavlja višegodišnji financijski okvir (VFO) za razdoblje 2021. 2027. ne predviđa obvezno preispitivanje ili revizija u sredini programskog razdoblja; budući da se Komisija u jednostranoj izjavi u okviru sporazuma o VFO-u iz prosinca 2020. obvezala da će do 1. siječnja 2024. predstaviti preispitivanje funkcioniranja VFO-a;</w:t>
      </w:r>
    </w:p>
    <w:p w:rsidR="00C65F03" w:rsidRPr="007B2ED0" w:rsidRDefault="00C65F03" w:rsidP="00C65F03">
      <w:pPr>
        <w:pStyle w:val="NormalHanging12a"/>
        <w:rPr>
          <w:spacing w:val="-2"/>
        </w:rPr>
      </w:pPr>
      <w:r w:rsidRPr="007B2ED0">
        <w:t>B.</w:t>
      </w:r>
      <w:r w:rsidRPr="007B2ED0">
        <w:tab/>
        <w:t xml:space="preserve">budući da je u prosincu 2022. Parlament naglasio da se od donošenja VFO-a u prosincu 2020. politički, gospodarski i socijalni kontekst promijenio iz temelja te je pozvao Komisiju da predstavi planirano preispitivanje i predloži reviziju trenutačnog </w:t>
      </w:r>
      <w:r w:rsidRPr="007B2ED0">
        <w:lastRenderedPageBreak/>
        <w:t>VFO-a;</w:t>
      </w:r>
    </w:p>
    <w:p w:rsidR="00C65F03" w:rsidRPr="007B2ED0" w:rsidRDefault="00C65F03" w:rsidP="00C65F03">
      <w:pPr>
        <w:pStyle w:val="NormalHanging12a"/>
        <w:rPr>
          <w:spacing w:val="-2"/>
        </w:rPr>
      </w:pPr>
      <w:r w:rsidRPr="007B2ED0">
        <w:t>1.</w:t>
      </w:r>
      <w:r w:rsidRPr="007B2ED0">
        <w:tab/>
        <w:t>naglašava da je revizija Uredbe o VFO-u ključan preduvjet kako bi se osigurala srednjoročna financijska potpora Ukrajini putem Instrumenta za Ukrajinu, omogućilo povećanje sredstava za ciljane prioritete politike i za zaštitu programâ Unije i proračunske fleksibilnosti s obzirom na kamatne stope koje su više od predviđenih, a time i troškove zaduživanja Unije koji su viši od planiranih;</w:t>
      </w:r>
    </w:p>
    <w:p w:rsidR="00C65F03" w:rsidRPr="007B2ED0" w:rsidRDefault="00C65F03" w:rsidP="00C65F03">
      <w:pPr>
        <w:pStyle w:val="NormalHanging12a"/>
        <w:rPr>
          <w:spacing w:val="-2"/>
        </w:rPr>
      </w:pPr>
      <w:r w:rsidRPr="007B2ED0">
        <w:t>2.</w:t>
      </w:r>
      <w:r w:rsidRPr="007B2ED0">
        <w:tab/>
        <w:t xml:space="preserve">naglašava da je Nacrt uredbe Vijeća o izmjeni VFO-a dio zakonodavnog paketa i da će se njegovim donošenjem omogućiti pružanje brze potpore Ukrajini i osigurati da se izmjenom proračuna povećanja mogu </w:t>
      </w:r>
      <w:r w:rsidR="0066757B" w:rsidRPr="007B2ED0">
        <w:t xml:space="preserve">što je prije moguće uvesti </w:t>
      </w:r>
      <w:r w:rsidRPr="007B2ED0">
        <w:t xml:space="preserve">u proračun za 2024. i za preostale godine razdoblja VFO-a; ističe da revizija VFO-a predstavlja jasno poboljšanje </w:t>
      </w:r>
      <w:r w:rsidRPr="007B2ED0">
        <w:rPr>
          <w:i/>
          <w:iCs/>
        </w:rPr>
        <w:t>statusa quo</w:t>
      </w:r>
      <w:r w:rsidRPr="007B2ED0">
        <w:t xml:space="preserve">, iako </w:t>
      </w:r>
      <w:r w:rsidR="007B2ED0" w:rsidRPr="007B2ED0">
        <w:t xml:space="preserve">su </w:t>
      </w:r>
      <w:r w:rsidRPr="007B2ED0">
        <w:t xml:space="preserve">neki aspekti sadržani u Nacrtu uredbe Vijeća očigledno </w:t>
      </w:r>
      <w:r w:rsidR="007B2ED0" w:rsidRPr="007B2ED0">
        <w:t>vrijedni žaljenja</w:t>
      </w:r>
      <w:r w:rsidRPr="007B2ED0">
        <w:t xml:space="preserve">, zbog čega je proračun EU-a pod pritiskom, uz ograničena raspoloživa sredstva i fleksibilnost, uz smanjenje sredstava za ključne programe </w:t>
      </w:r>
      <w:r w:rsidR="0066757B" w:rsidRPr="007B2ED0">
        <w:t xml:space="preserve">kao što su Obzor Europa, program „EU za zdravlje”, te kohezijska politika i zajednička poljoprivredna politika, te uz </w:t>
      </w:r>
      <w:r w:rsidRPr="007B2ED0">
        <w:t xml:space="preserve">smanjene ambicije u važnim područjima politika usmjerenima na budućnost, kao što je suverenitet;  </w:t>
      </w:r>
    </w:p>
    <w:p w:rsidR="00C65F03" w:rsidRPr="007B2ED0" w:rsidRDefault="00C65F03" w:rsidP="00C65F03">
      <w:pPr>
        <w:pStyle w:val="NormalHanging12a"/>
        <w:rPr>
          <w:spacing w:val="-2"/>
        </w:rPr>
      </w:pPr>
      <w:r w:rsidRPr="007B2ED0">
        <w:t>3.</w:t>
      </w:r>
      <w:r w:rsidRPr="007B2ED0">
        <w:tab/>
        <w:t xml:space="preserve">podsjeća da je Parlament tvrdio da bi revizija trebala biti usmjerena prvenstveno na rješavanje posljedica ruske ratne agresije na Ukrajinu i na osiguravanje odgovarajuće fleksibilnosti Uniji za odgovor na nove potrebe i krize, sa strukturnim pristupom potpori Ukrajini i upravljanju troškovima zaduživanja u okviru instrumenta </w:t>
      </w:r>
      <w:proofErr w:type="spellStart"/>
      <w:r w:rsidRPr="007B2ED0">
        <w:rPr>
          <w:i/>
          <w:iCs/>
        </w:rPr>
        <w:t>Next</w:t>
      </w:r>
      <w:proofErr w:type="spellEnd"/>
      <w:r w:rsidRPr="007B2ED0">
        <w:rPr>
          <w:i/>
          <w:iCs/>
        </w:rPr>
        <w:t xml:space="preserve"> </w:t>
      </w:r>
      <w:proofErr w:type="spellStart"/>
      <w:r w:rsidRPr="007B2ED0">
        <w:rPr>
          <w:i/>
          <w:iCs/>
        </w:rPr>
        <w:t>Generation</w:t>
      </w:r>
      <w:proofErr w:type="spellEnd"/>
      <w:r w:rsidRPr="007B2ED0">
        <w:rPr>
          <w:i/>
          <w:iCs/>
        </w:rPr>
        <w:t xml:space="preserve"> EU</w:t>
      </w:r>
      <w:r w:rsidRPr="007B2ED0">
        <w:t xml:space="preserve"> te pojačanim financiranjem za vanjsku politiku, migracije te stratešku autonomiju i konkurentnost</w:t>
      </w:r>
      <w:r w:rsidRPr="007B2ED0">
        <w:rPr>
          <w:shd w:val="clear" w:color="auto" w:fill="FFFFFF"/>
        </w:rPr>
        <w:t>; napominje</w:t>
      </w:r>
      <w:r w:rsidRPr="007B2ED0">
        <w:t xml:space="preserve"> da su svi ti prioriteti uzeti u obzir u Komisijinu prijedlogu revizije iz lipnja 2023. i da su svi navedeni, barem u određenoj mjeri, u Nacrtu uredbe Vijeća za koji se od Parlamenta traži suglasnost;</w:t>
      </w:r>
    </w:p>
    <w:p w:rsidR="00C65F03" w:rsidRPr="007B2ED0" w:rsidRDefault="00C65F03" w:rsidP="00C65F03">
      <w:pPr>
        <w:pStyle w:val="NormalHanging12a"/>
        <w:rPr>
          <w:shd w:val="clear" w:color="auto" w:fill="FFFFFF"/>
        </w:rPr>
      </w:pPr>
      <w:r w:rsidRPr="007B2ED0">
        <w:t>4.</w:t>
      </w:r>
      <w:r w:rsidRPr="007B2ED0">
        <w:tab/>
      </w:r>
      <w:r w:rsidRPr="007B2ED0">
        <w:rPr>
          <w:shd w:val="clear" w:color="auto" w:fill="FFFFFF"/>
        </w:rPr>
        <w:t xml:space="preserve">ističe da Parlament od samog početka brzo i konstruktivno radi kako bi omogućio brzo donošenje paketa VFO-a; izražava žaljenje zbog činjenice da su proces obilježile političke poteškoće među državama članicama, što je uzrokovalo neželjena kašnjenja u Vijeću; </w:t>
      </w:r>
      <w:r w:rsidRPr="007B2ED0">
        <w:rPr>
          <w:color w:val="000000" w:themeColor="text1"/>
          <w:shd w:val="clear" w:color="auto" w:fill="FFFFFF"/>
        </w:rPr>
        <w:t xml:space="preserve">traži da se promjene uvedene tom revizijom provedu bez daljnje odgode, posebno kako bi se osigurala pravodobna isplata financijske potpore Ukrajini s obzirom na hitnost potreba; </w:t>
      </w:r>
    </w:p>
    <w:p w:rsidR="00C65F03" w:rsidRPr="007B2ED0" w:rsidRDefault="00C65F03" w:rsidP="00C65F03">
      <w:pPr>
        <w:pStyle w:val="NormalHanging12a"/>
        <w:rPr>
          <w:shd w:val="clear" w:color="auto" w:fill="FFFFFF"/>
        </w:rPr>
      </w:pPr>
      <w:r w:rsidRPr="007B2ED0">
        <w:t>5</w:t>
      </w:r>
      <w:r w:rsidR="002F6E2A">
        <w:t>.</w:t>
      </w:r>
      <w:r w:rsidRPr="007B2ED0">
        <w:tab/>
      </w:r>
      <w:r w:rsidRPr="007B2ED0">
        <w:rPr>
          <w:shd w:val="clear" w:color="auto" w:fill="FFFFFF"/>
        </w:rPr>
        <w:t xml:space="preserve">razočaran je zbog toga što Vijeće i Komisija nisu primijenili odredbe Ugovorâ i </w:t>
      </w:r>
      <w:proofErr w:type="spellStart"/>
      <w:r w:rsidRPr="007B2ED0">
        <w:rPr>
          <w:shd w:val="clear" w:color="auto" w:fill="FFFFFF"/>
        </w:rPr>
        <w:t>Međuinstitucijskog</w:t>
      </w:r>
      <w:proofErr w:type="spellEnd"/>
      <w:r w:rsidRPr="007B2ED0">
        <w:rPr>
          <w:shd w:val="clear" w:color="auto" w:fill="FFFFFF"/>
        </w:rPr>
        <w:t xml:space="preserve"> sporazuma kako bi se omogućilo odgovarajuće sudjelovanje u ranijem dijelu procesa; ustraje u tome da se u budućnosti suradnja mora uspostaviti na početku svakog postupka revizije;</w:t>
      </w:r>
    </w:p>
    <w:p w:rsidR="00C65F03" w:rsidRPr="007B2ED0" w:rsidRDefault="00C65F03" w:rsidP="00C65F03">
      <w:pPr>
        <w:pStyle w:val="NormalHanging12a"/>
      </w:pPr>
      <w:r w:rsidRPr="007B2ED0">
        <w:t>6.</w:t>
      </w:r>
      <w:r w:rsidRPr="007B2ED0">
        <w:tab/>
        <w:t>u nastavku iznosi svoja razmatranja u pogledu različitih aspekata revizije VFO-a;</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7B2ED0">
        <w:rPr>
          <w:b/>
          <w:i/>
        </w:rPr>
        <w:t>Potpora Ukrajini</w:t>
      </w:r>
    </w:p>
    <w:p w:rsidR="00C65F03" w:rsidRPr="007B2ED0" w:rsidRDefault="00C65F03" w:rsidP="00C65F03">
      <w:pPr>
        <w:pStyle w:val="NormalHanging12a"/>
      </w:pPr>
      <w:r w:rsidRPr="007B2ED0">
        <w:t>7.</w:t>
      </w:r>
      <w:r w:rsidRPr="007B2ED0">
        <w:tab/>
        <w:t>toplo pozdravlja financijski paket za Ukrajinu u iznosu od 50 milijardi EUR za razdoblje 2024. – 2027., u kojem se kombiniraju bespovratna sredstva (17 milijardi EUR) sa zajmovima pod vrlo povoljnim uvjetima (33 milijarde EUR) i koji su uvršteni u proračun EU-a; naglašava da je izmjena Uredbe o VFO-u, za koju se traži suglasnost Parlamenta, preduvjet za pružanje financijske potpore Ukrajini;</w:t>
      </w:r>
    </w:p>
    <w:p w:rsidR="00C65F03" w:rsidRPr="007B2ED0" w:rsidRDefault="00C65F03" w:rsidP="00C65F03">
      <w:pPr>
        <w:pStyle w:val="NormalHanging12a"/>
      </w:pPr>
      <w:r w:rsidRPr="007B2ED0">
        <w:t>8.</w:t>
      </w:r>
      <w:r w:rsidRPr="007B2ED0">
        <w:tab/>
        <w:t xml:space="preserve">ističe da se tim srednjoročnim strukturnim rješenjem ukrajinskom narodu pruža </w:t>
      </w:r>
      <w:r w:rsidRPr="007B2ED0">
        <w:lastRenderedPageBreak/>
        <w:t>sigurnost, čime se vladi omogućuje da zadrži osnovne usluge i pomaže zemlji na njezinu putu prema obnovi, oporavku i članstvu u EU-u; nadalje, smatra da je financijski paket ključan simbol dugoročne predanosti Unije Ukrajini i njezinu narodu te šalje važnu poruku o toj predanosti drugim ključnim donatorima i Ruskoj Federaciji; obvezuje se pratiti buduće potrebe Ukrajine za financiranjem, uzimajući u obzir međunarodna zbivanja;</w:t>
      </w:r>
    </w:p>
    <w:p w:rsidR="00C65F03" w:rsidRPr="007B2ED0" w:rsidRDefault="00C65F03" w:rsidP="00C65F03">
      <w:pPr>
        <w:pStyle w:val="NormalHanging12a"/>
      </w:pPr>
      <w:r w:rsidRPr="007B2ED0">
        <w:t>9.</w:t>
      </w:r>
      <w:r w:rsidRPr="007B2ED0">
        <w:tab/>
        <w:t>ističe da će se, s obzirom na to da je Instrument za Ukrajinu uvršten u proračun EU-a, osigurati potrebni sustavi provjere i ravnoteže u pogledu potrošnje i potrebnih financijskih kontrola te će proračunsko tijelo u godišnjem proračunskom postupku mobilizirati pričuvu za Ukrajinu koja obuhvaća komponentu bespovratnih sredstava Instrumenta;</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7B2ED0">
        <w:rPr>
          <w:b/>
          <w:i/>
        </w:rPr>
        <w:t>Naslovi 4. i 6.: Migracije i vanjska dimenzija</w:t>
      </w:r>
    </w:p>
    <w:p w:rsidR="00C65F03" w:rsidRPr="007B2ED0" w:rsidRDefault="00C65F03" w:rsidP="00C65F03">
      <w:pPr>
        <w:pStyle w:val="NormalHanging12a"/>
      </w:pPr>
      <w:r w:rsidRPr="007B2ED0">
        <w:t>10.</w:t>
      </w:r>
      <w:r w:rsidRPr="007B2ED0">
        <w:tab/>
        <w:t xml:space="preserve">pozdravlja činjenicu da će se za naslov 6. („Susjedstvo i svijet”) osigurati dodatna 3,1 milijarda EUR novih financijskih sredstava, zajedno s dodatnih 4,5 milijardi EUR opozvanih i </w:t>
      </w:r>
      <w:proofErr w:type="spellStart"/>
      <w:r w:rsidRPr="007B2ED0">
        <w:t>preraspodijeljenih</w:t>
      </w:r>
      <w:proofErr w:type="spellEnd"/>
      <w:r w:rsidRPr="007B2ED0">
        <w:t xml:space="preserve"> sredstava koja će se prenamijeniti unutar tog naslova, za ukupno 7,6 milijardi EUR koje se planira potrošiti na potporu za mjere u pogledu migracije i za izbjeglice u trećim zemljama te na jačanje pristupne pomoći za zemlje zapadnog Balkana u razdoblju od 2024. do 2027.; nadalje, ističe da će se stvaranjem Instrumenta za Ukrajinu i pojačanom potporom za zemlje zapadnog Balkana također stvoriti prostor za povećanu financijsku potporu </w:t>
      </w:r>
      <w:proofErr w:type="spellStart"/>
      <w:r w:rsidRPr="007B2ED0">
        <w:t>Moldovi</w:t>
      </w:r>
      <w:proofErr w:type="spellEnd"/>
      <w:r w:rsidRPr="007B2ED0">
        <w:t xml:space="preserve"> na njezinu putu prema pristupanju;</w:t>
      </w:r>
    </w:p>
    <w:p w:rsidR="00C65F03" w:rsidRPr="007B2ED0" w:rsidRDefault="00C65F03" w:rsidP="00C65F03">
      <w:pPr>
        <w:pStyle w:val="NormalHanging12a"/>
      </w:pPr>
      <w:r w:rsidRPr="007B2ED0">
        <w:t>11.</w:t>
      </w:r>
      <w:r w:rsidRPr="007B2ED0">
        <w:tab/>
        <w:t>pozdravlja činjenicu da se revizijom oslobađa dodatni pritisak na taj naslov uklanjanjem jamstava Europske investicijske banke i subvencija za kamatne stope za zajmove makrofinancijske pomoći Ukrajini tijekom 2022. u ukupnom iznosu od 1,9 milijardi EUR;</w:t>
      </w:r>
    </w:p>
    <w:p w:rsidR="00C65F03" w:rsidRPr="007B2ED0" w:rsidRDefault="00C65F03" w:rsidP="00C65F03">
      <w:pPr>
        <w:pStyle w:val="NormalHanging12a"/>
      </w:pPr>
      <w:r w:rsidRPr="007B2ED0">
        <w:t>12.</w:t>
      </w:r>
      <w:r w:rsidRPr="007B2ED0">
        <w:tab/>
        <w:t>izražava duboko razočaranje zbog toga što ni rezerva u okviru Instrumenta za susjedstvo, razvoj i međunarodnu suradnju – Globalna Europa ni humanitarna pomoć nisu ojačani u okviru revizije VFO-a te što će, unatoč poboljšanjima, taj naslov u cjelini ostati pod znatnim pritiskom u preostalom razdoblju VFO-a s obzirom na zahtjevnu geopolitičku situaciju i kombinaciju globalnih kriza; očekuje da će potrebe za humanitarnom pomoći i dalje premašivati iznose predviđene u proračunu te stoga namjerava pažljivo pratiti i, prema potrebi, odgovoriti na te potrebe u godišnjem proračunskom postupku;</w:t>
      </w:r>
    </w:p>
    <w:p w:rsidR="00C65F03" w:rsidRPr="007B2ED0" w:rsidRDefault="00C65F03" w:rsidP="00C65F03">
      <w:pPr>
        <w:pStyle w:val="NormalHanging12a"/>
      </w:pPr>
      <w:r w:rsidRPr="007B2ED0">
        <w:t>13.</w:t>
      </w:r>
      <w:r w:rsidRPr="007B2ED0">
        <w:tab/>
        <w:t>podsjeća da se u skladu s Uredbom o Instrumentu za susjedstvo, razvoj i međunarodnu suradnju – Globalna Europa opozvana sredstva trebaju preraspodijeliti u njihovu izvornu proračunsku liniju; naglašava da odluke o preraspodjeli opozvanih sredstava moraju poštovati unutarnju ravnotežu i raspodjelu između proračunskih linija predviđenih Uredbom o Instrumentu za susjedstvo, razvoj i međunarodnu suradnju – Globalna Europa; naglašava da o preciznoj raspodjeli sredstava po proračunskim linijama odlučuje isključivo proračunsko tijelo u okviru godišnjeg proračunskog postupka te da je odlučan osigurati da EU nastavi pružati ključnu financijsku potporu i razvojnu pomoć globalnom jugu;</w:t>
      </w:r>
    </w:p>
    <w:p w:rsidR="00C65F03" w:rsidRPr="007B2ED0" w:rsidRDefault="00C65F03" w:rsidP="00C65F03">
      <w:pPr>
        <w:pStyle w:val="NormalHanging12a"/>
      </w:pPr>
      <w:r w:rsidRPr="007B2ED0">
        <w:t>14.</w:t>
      </w:r>
      <w:r w:rsidRPr="007B2ED0">
        <w:tab/>
        <w:t xml:space="preserve">naglašava da bi financijsku potporu trećim zemljama trebalo pružati u okviru programa unutar naslova 6. kojima se osigurava snažan nadzor i jamče ovlasti Parlamenta; </w:t>
      </w:r>
      <w:r w:rsidRPr="007B2ED0">
        <w:lastRenderedPageBreak/>
        <w:t>naglašava da je upotreba instrumenata krajnja mjera za pružanje financijske potpore; ističe da je model upravljanja koji se primjenjuje u Instrumentu za Ukrajinu, posebno u pogledu široke primjene provedbenih odluka Vijeća, specifičan za kontekst u kojem će djelovati te je stoga izniman i ne smije se ponavljati ni za jedan budući instrument te vrste;</w:t>
      </w:r>
    </w:p>
    <w:p w:rsidR="00C65F03" w:rsidRPr="007B2ED0" w:rsidRDefault="00C65F03" w:rsidP="00C65F03">
      <w:pPr>
        <w:pStyle w:val="NormalHanging12a"/>
      </w:pPr>
      <w:r w:rsidRPr="007B2ED0">
        <w:t>15.</w:t>
      </w:r>
      <w:r w:rsidRPr="007B2ED0">
        <w:tab/>
        <w:t>pozdravlja dodatne 2 milijarde EUR u naslovu 4. („Migracije i upravljanje granicama”), što će biti ključno za provedbu novog pakta o migracijama i azilu te pomoći u smanjenju pritiska na programe i decentralizirane agencije u tom naslovu;</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7B2ED0">
        <w:rPr>
          <w:b/>
          <w:i/>
        </w:rPr>
        <w:t>Platforma za strateške tehnologije za Europu (STEP)</w:t>
      </w:r>
    </w:p>
    <w:p w:rsidR="00C65F03" w:rsidRPr="007B2ED0" w:rsidRDefault="00C65F03" w:rsidP="00C65F03">
      <w:pPr>
        <w:pStyle w:val="NormalHanging12a"/>
      </w:pPr>
      <w:r w:rsidRPr="007B2ED0">
        <w:t>16.</w:t>
      </w:r>
      <w:r w:rsidRPr="007B2ED0">
        <w:tab/>
        <w:t>ističe da je Platforma za strateške tehnologije za Europu osmišljena kao poluga za stvaranje sinergija među postojećim strukturama programa, čime se pomaže u osiguravanju otvorene strateške autonomije Unije, smanjenju ovisnosti o trećim zemljama i poticanju ulaganja u strateške sektore te poticanju zelene i digitalne tranzicije; ponovno ističe da bi STEP trebao djelovati kao testna platforma za punopravni fond za suverenost u sljedećem razdoblju VFO-a;</w:t>
      </w:r>
    </w:p>
    <w:p w:rsidR="00C65F03" w:rsidRPr="007B2ED0" w:rsidRDefault="00C65F03" w:rsidP="00C65F03">
      <w:pPr>
        <w:pStyle w:val="NormalHanging12a"/>
      </w:pPr>
      <w:r w:rsidRPr="007B2ED0">
        <w:t>17.</w:t>
      </w:r>
      <w:r w:rsidRPr="007B2ED0">
        <w:tab/>
        <w:t xml:space="preserve">u tom pogledu podsjeća da je STEP trebao kombinirati nova sredstva za programe </w:t>
      </w:r>
      <w:proofErr w:type="spellStart"/>
      <w:r w:rsidRPr="007B2ED0">
        <w:t>InvestEU</w:t>
      </w:r>
      <w:proofErr w:type="spellEnd"/>
      <w:r w:rsidRPr="007B2ED0">
        <w:t xml:space="preserve"> i Obzor Europa te za Inovacijski fond i Europski fond za obranu s ponovnim određivanjem prioriteta sredstava u okviru postojećih programa, posebno povećanim </w:t>
      </w:r>
      <w:proofErr w:type="spellStart"/>
      <w:r w:rsidRPr="007B2ED0">
        <w:t>pretfinanciranjem</w:t>
      </w:r>
      <w:proofErr w:type="spellEnd"/>
      <w:r w:rsidRPr="007B2ED0">
        <w:t xml:space="preserve"> i sufinanciranjem u okviru programa kohezijske politike;</w:t>
      </w:r>
    </w:p>
    <w:p w:rsidR="00C65F03" w:rsidRPr="007B2ED0" w:rsidRDefault="00C65F03" w:rsidP="00C65F03">
      <w:pPr>
        <w:pStyle w:val="NormalHanging12a"/>
        <w:rPr>
          <w:b/>
          <w:i/>
          <w:szCs w:val="24"/>
        </w:rPr>
      </w:pPr>
      <w:r w:rsidRPr="007B2ED0">
        <w:t>18.</w:t>
      </w:r>
      <w:r w:rsidRPr="007B2ED0">
        <w:tab/>
        <w:t>pozdravlja to što je kapacitet Unije za ulaganja u obranu ojačan povećanjem Europskog fonda za obranu u iznosu od 1,5 milijardi EUR; međutim, izražava žaljenje zbog općenito ograničenih dodatnih sredstava za potporu ciljevima STEP-a i nedostatka novih sredstava za druge programe, što ima negativan učinak na zelena i digitalna ulaganja;</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7B2ED0">
        <w:rPr>
          <w:b/>
          <w:i/>
        </w:rPr>
        <w:t xml:space="preserve">Plaćanja kamata u okviru instrumenta </w:t>
      </w:r>
      <w:proofErr w:type="spellStart"/>
      <w:r w:rsidRPr="007B2ED0">
        <w:rPr>
          <w:b/>
          <w:i/>
        </w:rPr>
        <w:t>Next</w:t>
      </w:r>
      <w:proofErr w:type="spellEnd"/>
      <w:r w:rsidRPr="007B2ED0">
        <w:rPr>
          <w:b/>
          <w:i/>
        </w:rPr>
        <w:t xml:space="preserve"> </w:t>
      </w:r>
      <w:proofErr w:type="spellStart"/>
      <w:r w:rsidRPr="007B2ED0">
        <w:rPr>
          <w:b/>
          <w:i/>
        </w:rPr>
        <w:t>Generation</w:t>
      </w:r>
      <w:proofErr w:type="spellEnd"/>
      <w:r w:rsidRPr="007B2ED0">
        <w:rPr>
          <w:b/>
          <w:i/>
        </w:rPr>
        <w:t xml:space="preserve"> EU</w:t>
      </w:r>
    </w:p>
    <w:p w:rsidR="00C65F03" w:rsidRPr="007B2ED0" w:rsidRDefault="00C65F03" w:rsidP="00C65F03">
      <w:pPr>
        <w:pStyle w:val="NormalHanging12a"/>
        <w:rPr>
          <w:shd w:val="clear" w:color="auto" w:fill="FFFFFF"/>
        </w:rPr>
      </w:pPr>
      <w:r w:rsidRPr="007B2ED0">
        <w:t>19.</w:t>
      </w:r>
      <w:r w:rsidRPr="007B2ED0">
        <w:tab/>
      </w:r>
      <w:r w:rsidRPr="007B2ED0">
        <w:rPr>
          <w:shd w:val="clear" w:color="auto" w:fill="FFFFFF"/>
        </w:rPr>
        <w:t xml:space="preserve">pozdravlja činjenicu da se Nacrtom uredbe Vijeća uspostavlja neograničeni posebni instrument (Europski instrument za oporavak) mimo gornjih granica financijskog okvira kako bi se pokrio barem dio manjka sredstava za pokrivanje troškova zaduživanja u okviru instrumenta </w:t>
      </w:r>
      <w:proofErr w:type="spellStart"/>
      <w:r w:rsidRPr="007B2ED0">
        <w:rPr>
          <w:i/>
          <w:iCs/>
          <w:shd w:val="clear" w:color="auto" w:fill="FFFFFF"/>
        </w:rPr>
        <w:t>Next</w:t>
      </w:r>
      <w:proofErr w:type="spellEnd"/>
      <w:r w:rsidRPr="007B2ED0">
        <w:rPr>
          <w:i/>
          <w:iCs/>
          <w:shd w:val="clear" w:color="auto" w:fill="FFFFFF"/>
        </w:rPr>
        <w:t xml:space="preserve"> </w:t>
      </w:r>
      <w:proofErr w:type="spellStart"/>
      <w:r w:rsidRPr="007B2ED0">
        <w:rPr>
          <w:i/>
          <w:iCs/>
          <w:shd w:val="clear" w:color="auto" w:fill="FFFFFF"/>
        </w:rPr>
        <w:t>Generation</w:t>
      </w:r>
      <w:proofErr w:type="spellEnd"/>
      <w:r w:rsidRPr="007B2ED0">
        <w:rPr>
          <w:i/>
          <w:iCs/>
          <w:shd w:val="clear" w:color="auto" w:fill="FFFFFF"/>
        </w:rPr>
        <w:t xml:space="preserve"> EU</w:t>
      </w:r>
      <w:r w:rsidRPr="007B2ED0">
        <w:rPr>
          <w:shd w:val="clear" w:color="auto" w:fill="FFFFFF"/>
        </w:rPr>
        <w:t>, čime će se pružiti sigurnost financijskim tržištima; podsjeća da se taj manjak trenutačno procjenjuje na 15 milijardi EUR u razdoblju od 2025. do 2027.; ističe da se bez revizije VFO-a bilo kakav manjak može riješiti samo smanjenjem sredstava za programe i iscrpljivanjem proračunske fleksibilnosti;</w:t>
      </w:r>
    </w:p>
    <w:p w:rsidR="00C65F03" w:rsidRPr="007B2ED0" w:rsidRDefault="00C65F03" w:rsidP="00C65F03">
      <w:pPr>
        <w:pStyle w:val="NormalHanging12a"/>
        <w:rPr>
          <w:shd w:val="clear" w:color="auto" w:fill="FFFFFF"/>
        </w:rPr>
      </w:pPr>
      <w:r w:rsidRPr="007B2ED0">
        <w:rPr>
          <w:shd w:val="clear" w:color="auto" w:fill="FFFFFF"/>
        </w:rPr>
        <w:t>20.</w:t>
      </w:r>
      <w:r w:rsidRPr="007B2ED0">
        <w:rPr>
          <w:shd w:val="clear" w:color="auto" w:fill="FFFFFF"/>
        </w:rPr>
        <w:tab/>
      </w:r>
      <w:r w:rsidRPr="007B2ED0">
        <w:t xml:space="preserve">naglašava da troškovi otplate instrumenta </w:t>
      </w:r>
      <w:proofErr w:type="spellStart"/>
      <w:r w:rsidRPr="007B2ED0">
        <w:rPr>
          <w:i/>
          <w:iCs/>
        </w:rPr>
        <w:t>Next</w:t>
      </w:r>
      <w:proofErr w:type="spellEnd"/>
      <w:r w:rsidRPr="007B2ED0">
        <w:rPr>
          <w:i/>
          <w:iCs/>
        </w:rPr>
        <w:t xml:space="preserve"> </w:t>
      </w:r>
      <w:proofErr w:type="spellStart"/>
      <w:r w:rsidRPr="007B2ED0">
        <w:rPr>
          <w:i/>
          <w:iCs/>
        </w:rPr>
        <w:t>Generation</w:t>
      </w:r>
      <w:proofErr w:type="spellEnd"/>
      <w:r w:rsidRPr="007B2ED0">
        <w:rPr>
          <w:i/>
          <w:iCs/>
        </w:rPr>
        <w:t xml:space="preserve"> EU</w:t>
      </w:r>
      <w:r w:rsidRPr="007B2ED0">
        <w:t xml:space="preserve"> podliježu tržišnim uvjetima, na koje utječu vanjski čimbenici i stoga su sami po sebi nestabilni, te da je otplata troškova zaduživanja </w:t>
      </w:r>
      <w:proofErr w:type="spellStart"/>
      <w:r w:rsidRPr="007B2ED0">
        <w:t>nediskrecijska</w:t>
      </w:r>
      <w:proofErr w:type="spellEnd"/>
      <w:r w:rsidRPr="007B2ED0">
        <w:t xml:space="preserve"> pravna obveza Unije; stoga ponavlja da se snažno protivio tome da se otplata troškova zaduživanja u okviru instrumenta </w:t>
      </w:r>
      <w:proofErr w:type="spellStart"/>
      <w:r w:rsidRPr="007B2ED0">
        <w:rPr>
          <w:i/>
          <w:iCs/>
        </w:rPr>
        <w:t>Next</w:t>
      </w:r>
      <w:proofErr w:type="spellEnd"/>
      <w:r w:rsidRPr="007B2ED0">
        <w:rPr>
          <w:i/>
          <w:iCs/>
        </w:rPr>
        <w:t xml:space="preserve"> </w:t>
      </w:r>
      <w:proofErr w:type="spellStart"/>
      <w:r w:rsidRPr="007B2ED0">
        <w:rPr>
          <w:i/>
          <w:iCs/>
        </w:rPr>
        <w:t>Generation</w:t>
      </w:r>
      <w:proofErr w:type="spellEnd"/>
      <w:r w:rsidRPr="007B2ED0">
        <w:rPr>
          <w:i/>
          <w:iCs/>
        </w:rPr>
        <w:t xml:space="preserve"> EU</w:t>
      </w:r>
      <w:r w:rsidRPr="007B2ED0">
        <w:t xml:space="preserve"> podvrgne gornjoj granici unutar naslova VFO-a u pregovorima o VFO-u za 2020.; podsjeća da je u više navrata zagovarao da se svi troškovi zaduživanja u okviru instrumenta </w:t>
      </w:r>
      <w:proofErr w:type="spellStart"/>
      <w:r w:rsidRPr="007B2ED0">
        <w:rPr>
          <w:i/>
          <w:iCs/>
        </w:rPr>
        <w:t>Next</w:t>
      </w:r>
      <w:proofErr w:type="spellEnd"/>
      <w:r w:rsidRPr="007B2ED0">
        <w:rPr>
          <w:i/>
          <w:iCs/>
        </w:rPr>
        <w:t xml:space="preserve"> </w:t>
      </w:r>
      <w:proofErr w:type="spellStart"/>
      <w:r w:rsidRPr="007B2ED0">
        <w:rPr>
          <w:i/>
          <w:iCs/>
        </w:rPr>
        <w:t>Generation</w:t>
      </w:r>
      <w:proofErr w:type="spellEnd"/>
      <w:r w:rsidRPr="007B2ED0">
        <w:rPr>
          <w:i/>
          <w:iCs/>
        </w:rPr>
        <w:t xml:space="preserve"> EU</w:t>
      </w:r>
      <w:r w:rsidRPr="007B2ED0">
        <w:t xml:space="preserve"> stave mimo gornjih granica VFO-a kao sveobuhvatno strukturno rješenje za pokrivanje troškova otplate instrumenta </w:t>
      </w:r>
      <w:proofErr w:type="spellStart"/>
      <w:r w:rsidRPr="007B2ED0">
        <w:rPr>
          <w:i/>
          <w:iCs/>
        </w:rPr>
        <w:t>Next</w:t>
      </w:r>
      <w:proofErr w:type="spellEnd"/>
      <w:r w:rsidRPr="007B2ED0">
        <w:rPr>
          <w:i/>
          <w:iCs/>
        </w:rPr>
        <w:t xml:space="preserve"> </w:t>
      </w:r>
      <w:proofErr w:type="spellStart"/>
      <w:r w:rsidRPr="007B2ED0">
        <w:rPr>
          <w:i/>
          <w:iCs/>
        </w:rPr>
        <w:t>Generation</w:t>
      </w:r>
      <w:proofErr w:type="spellEnd"/>
      <w:r w:rsidRPr="007B2ED0">
        <w:rPr>
          <w:i/>
          <w:iCs/>
        </w:rPr>
        <w:t xml:space="preserve"> EU</w:t>
      </w:r>
      <w:r w:rsidRPr="007B2ED0">
        <w:t>, koji su se povećali zbog povećanja</w:t>
      </w:r>
      <w:r w:rsidRPr="007B2ED0">
        <w:rPr>
          <w:shd w:val="clear" w:color="auto" w:fill="FFFFFF"/>
        </w:rPr>
        <w:t xml:space="preserve"> kamatnih stopa, što je zahtijevalo znatnu upotrebu fleksibilnosti proračuna u 2023. i 2024.;</w:t>
      </w:r>
    </w:p>
    <w:p w:rsidR="00C65F03" w:rsidRPr="007B2ED0" w:rsidRDefault="00C65F03" w:rsidP="00C65F03">
      <w:pPr>
        <w:pStyle w:val="NormalHanging12a"/>
        <w:rPr>
          <w:shd w:val="clear" w:color="auto" w:fill="FFFFFF"/>
        </w:rPr>
      </w:pPr>
      <w:r w:rsidRPr="007B2ED0">
        <w:rPr>
          <w:shd w:val="clear" w:color="auto" w:fill="FFFFFF"/>
        </w:rPr>
        <w:lastRenderedPageBreak/>
        <w:t>21.</w:t>
      </w:r>
      <w:r w:rsidRPr="007B2ED0">
        <w:rPr>
          <w:shd w:val="clear" w:color="auto" w:fill="FFFFFF"/>
        </w:rPr>
        <w:tab/>
        <w:t>ističe da se Europski instrument za oporavak sastoji od dva odjeljka, pri čemu prvi koji će se koristiti obuhvaća iznos jednak opozvanim sredstvima, a drugi obuhvaća zaštitni mehanizam koji se sastoji od dodatnih doprinosa država članica; podsjeća da je dugogodišnje stajalište Parlamenta da bi opozvana odobrena sredstva trebala ostati u proračunu i da bi ih proračunsko tijelo trebalo preuzeti u okviru godišnjeg proračunskog postupka; stoga pozdravlja taj važan korak u priznanju da bi odobrena sredstva za koja su preuzete obveze u okviru proračuna trebala ostati u proračunu i pomoći u pružanju prijeko potrebne proračunske fleksibilnosti;</w:t>
      </w:r>
    </w:p>
    <w:p w:rsidR="00C65F03" w:rsidRPr="007B2ED0" w:rsidRDefault="00C65F03" w:rsidP="00C65F03">
      <w:pPr>
        <w:pStyle w:val="NormalHanging12a"/>
        <w:rPr>
          <w:shd w:val="clear" w:color="auto" w:fill="FFFFFF"/>
        </w:rPr>
      </w:pPr>
      <w:r w:rsidRPr="007B2ED0">
        <w:rPr>
          <w:shd w:val="clear" w:color="auto" w:fill="FFFFFF"/>
        </w:rPr>
        <w:t>22.</w:t>
      </w:r>
      <w:r w:rsidRPr="007B2ED0">
        <w:rPr>
          <w:shd w:val="clear" w:color="auto" w:fill="FFFFFF"/>
        </w:rPr>
        <w:tab/>
        <w:t xml:space="preserve">napominje da se od proračunskog tijela očekuje da prije korištenja posebnog instrumenta ispita mogućnost pokrivanja dijela svakog manjka unutar naslovâ te putem instrumenta fleksibilnosti i jedinstvenog instrumenta za razliku do gornje granice; ističe da taj proces mora biti objektivan i da se mora temeljiti na stvarnim potrebama, a ne na proizvoljnim referentnim vrijednostima; u tom kontekstu podsjeća da se Zajednička izjava koju su tri institucije donijele u okviru sporazuma o VFO-u za 2020., i prema kojoj „je cilj da se rashodima kojima se pokrivaju troškovi financiranja instrumenta </w:t>
      </w:r>
      <w:proofErr w:type="spellStart"/>
      <w:r w:rsidRPr="007B2ED0">
        <w:rPr>
          <w:i/>
          <w:iCs/>
          <w:shd w:val="clear" w:color="auto" w:fill="FFFFFF"/>
        </w:rPr>
        <w:t>Next</w:t>
      </w:r>
      <w:proofErr w:type="spellEnd"/>
      <w:r w:rsidRPr="007B2ED0">
        <w:rPr>
          <w:i/>
          <w:iCs/>
          <w:shd w:val="clear" w:color="auto" w:fill="FFFFFF"/>
        </w:rPr>
        <w:t xml:space="preserve"> </w:t>
      </w:r>
      <w:proofErr w:type="spellStart"/>
      <w:r w:rsidRPr="007B2ED0">
        <w:rPr>
          <w:i/>
          <w:iCs/>
          <w:shd w:val="clear" w:color="auto" w:fill="FFFFFF"/>
        </w:rPr>
        <w:t>Generation</w:t>
      </w:r>
      <w:proofErr w:type="spellEnd"/>
      <w:r w:rsidRPr="007B2ED0">
        <w:rPr>
          <w:i/>
          <w:iCs/>
          <w:shd w:val="clear" w:color="auto" w:fill="FFFFFF"/>
        </w:rPr>
        <w:t xml:space="preserve"> EU</w:t>
      </w:r>
      <w:r w:rsidRPr="007B2ED0">
        <w:rPr>
          <w:shd w:val="clear" w:color="auto" w:fill="FFFFFF"/>
        </w:rPr>
        <w:t xml:space="preserve"> ne smanjuju programi i sredstva”, i dalje primjenjuje i služi kao referentna točka za proračunsko tijelo; stoga namjerava osigurati odgovarajuća sredstva za sve programe i održavanje fleksibilnosti proračuna i kapaciteta za odgovor u okviru godišnjeg proračunskog postupka;</w:t>
      </w:r>
    </w:p>
    <w:p w:rsidR="00C65F03" w:rsidRPr="007B2ED0" w:rsidRDefault="00C65F03" w:rsidP="00C65F03">
      <w:pPr>
        <w:pStyle w:val="NormalHanging12a"/>
        <w:rPr>
          <w:shd w:val="clear" w:color="auto" w:fill="FFFFFF"/>
        </w:rPr>
      </w:pPr>
      <w:r w:rsidRPr="007B2ED0">
        <w:rPr>
          <w:shd w:val="clear" w:color="auto" w:fill="FFFFFF"/>
        </w:rPr>
        <w:t>23.</w:t>
      </w:r>
      <w:r w:rsidRPr="007B2ED0">
        <w:rPr>
          <w:shd w:val="clear" w:color="auto" w:fill="FFFFFF"/>
        </w:rPr>
        <w:tab/>
        <w:t xml:space="preserve">ustraje u tome da Komisija treba pružati pouzdane, pravodobne i točne podatke o troškovima zaduživanja u okviru instrumenta </w:t>
      </w:r>
      <w:proofErr w:type="spellStart"/>
      <w:r w:rsidRPr="007B2ED0">
        <w:rPr>
          <w:i/>
          <w:iCs/>
          <w:shd w:val="clear" w:color="auto" w:fill="FFFFFF"/>
        </w:rPr>
        <w:t>Next</w:t>
      </w:r>
      <w:proofErr w:type="spellEnd"/>
      <w:r w:rsidRPr="007B2ED0">
        <w:rPr>
          <w:i/>
          <w:iCs/>
          <w:shd w:val="clear" w:color="auto" w:fill="FFFFFF"/>
        </w:rPr>
        <w:t xml:space="preserve"> </w:t>
      </w:r>
      <w:proofErr w:type="spellStart"/>
      <w:r w:rsidRPr="007B2ED0">
        <w:rPr>
          <w:i/>
          <w:iCs/>
          <w:shd w:val="clear" w:color="auto" w:fill="FFFFFF"/>
        </w:rPr>
        <w:t>Generation</w:t>
      </w:r>
      <w:proofErr w:type="spellEnd"/>
      <w:r w:rsidRPr="007B2ED0">
        <w:rPr>
          <w:i/>
          <w:iCs/>
          <w:shd w:val="clear" w:color="auto" w:fill="FFFFFF"/>
        </w:rPr>
        <w:t xml:space="preserve"> EU</w:t>
      </w:r>
      <w:r w:rsidRPr="007B2ED0">
        <w:rPr>
          <w:shd w:val="clear" w:color="auto" w:fill="FFFFFF"/>
        </w:rPr>
        <w:t xml:space="preserve"> i očekivanim isplatama iz Mehanizma za oporavak i otpornost tijekom cijelog proračunskog postupka;</w:t>
      </w:r>
    </w:p>
    <w:p w:rsidR="00C65F03" w:rsidRPr="007B2ED0" w:rsidRDefault="00C65F03" w:rsidP="00C65F03">
      <w:pPr>
        <w:pStyle w:val="NormalHanging12a"/>
        <w:rPr>
          <w:shd w:val="clear" w:color="auto" w:fill="FFFFFF"/>
        </w:rPr>
      </w:pPr>
      <w:r w:rsidRPr="007B2ED0">
        <w:rPr>
          <w:shd w:val="clear" w:color="auto" w:fill="FFFFFF"/>
        </w:rPr>
        <w:t>24.</w:t>
      </w:r>
      <w:r w:rsidRPr="007B2ED0">
        <w:rPr>
          <w:shd w:val="clear" w:color="auto" w:fill="FFFFFF"/>
        </w:rPr>
        <w:tab/>
        <w:t xml:space="preserve">naglašava da, u skladu s Ugovorima, Europsko vijeće nema nikakvu ulogu ni u proračunskom ni u zakonodavnom postupku; naglašava da rasprave o Europskom instrumentu za oporavak u Europskom vijeću ne smiju ometati pragmatični raspored proračunskog postupka koji se svake godine dogovara u skladu s </w:t>
      </w:r>
      <w:proofErr w:type="spellStart"/>
      <w:r w:rsidRPr="007B2ED0">
        <w:rPr>
          <w:shd w:val="clear" w:color="auto" w:fill="FFFFFF"/>
        </w:rPr>
        <w:t>Međuinstitucijskim</w:t>
      </w:r>
      <w:proofErr w:type="spellEnd"/>
      <w:r w:rsidRPr="007B2ED0">
        <w:rPr>
          <w:shd w:val="clear" w:color="auto" w:fill="FFFFFF"/>
        </w:rPr>
        <w:t xml:space="preserve"> sporazumom i ni na koji način ne smiju uvjetovati provođenje proračunskog postupka; ističe da će u tom pogledu biti posebno oprezan i osigurati da se ovlasti proračunskog tijela kako su utvrđene u Ugovorima u potpunosti poštuju i da se u potpunosti poštuje </w:t>
      </w:r>
      <w:proofErr w:type="spellStart"/>
      <w:r w:rsidRPr="007B2ED0">
        <w:rPr>
          <w:shd w:val="clear" w:color="auto" w:fill="FFFFFF"/>
        </w:rPr>
        <w:t>Međuinstitucijski</w:t>
      </w:r>
      <w:proofErr w:type="spellEnd"/>
      <w:r w:rsidRPr="007B2ED0">
        <w:rPr>
          <w:shd w:val="clear" w:color="auto" w:fill="FFFFFF"/>
        </w:rPr>
        <w:t xml:space="preserve"> sporazum;</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7B2ED0">
        <w:rPr>
          <w:b/>
          <w:i/>
          <w:color w:val="000000" w:themeColor="text1"/>
          <w:shd w:val="clear" w:color="auto" w:fill="FFFFFF"/>
        </w:rPr>
        <w:t>Fleksibilnost i posebni instrumenti</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7B2ED0">
        <w:rPr>
          <w:i/>
          <w:color w:val="000000" w:themeColor="text1"/>
          <w:shd w:val="clear" w:color="auto" w:fill="FFFFFF"/>
        </w:rPr>
        <w:t>Pričuva za solidarnost i pomoć u nuždi</w:t>
      </w:r>
      <w:r w:rsidRPr="007B2ED0">
        <w:rPr>
          <w:color w:val="000000" w:themeColor="text1"/>
          <w:shd w:val="clear" w:color="auto" w:fill="FFFFFF"/>
        </w:rPr>
        <w:t xml:space="preserve"> </w:t>
      </w:r>
    </w:p>
    <w:p w:rsidR="00C65F03" w:rsidRPr="007B2ED0" w:rsidRDefault="00C65F03" w:rsidP="00C65F03">
      <w:pPr>
        <w:pStyle w:val="NormalHanging12a"/>
        <w:rPr>
          <w:shd w:val="clear" w:color="auto" w:fill="FFFFFF"/>
        </w:rPr>
      </w:pPr>
      <w:r w:rsidRPr="007B2ED0">
        <w:rPr>
          <w:shd w:val="clear" w:color="auto" w:fill="FFFFFF"/>
        </w:rPr>
        <w:t>25.</w:t>
      </w:r>
      <w:r w:rsidRPr="007B2ED0">
        <w:rPr>
          <w:shd w:val="clear" w:color="auto" w:fill="FFFFFF"/>
        </w:rPr>
        <w:tab/>
        <w:t>ističe da od početka VFO-a postoje povećane potrebe za humanitarnom pomoći i odgovorom na hitne situacije unutar Unije i izvan nje te za potporom u vezi s prirodnim katastrofama, koje su sve češće i sve intenzivnije, posebno zbog klimatskih promjena; uvjeren je da će takve potrebe vjerojatno rasti; stoga pozdravlja činjenicu da će se pričuva za solidarnost i pomoć u nuždi povećati za 1,5 milijardi EUR za ostatak razdoblja VFO-a, iako i dalje izražava zabrinutost zbog toga što, čak i uz to povećanje, potrebe vjerojatno neće biti zadovoljene;</w:t>
      </w:r>
    </w:p>
    <w:p w:rsidR="00C65F03" w:rsidRPr="007B2ED0" w:rsidRDefault="00C65F03" w:rsidP="00C65F03">
      <w:pPr>
        <w:pStyle w:val="NormalHanging12a"/>
        <w:rPr>
          <w:shd w:val="clear" w:color="auto" w:fill="FFFFFF"/>
        </w:rPr>
      </w:pPr>
      <w:r w:rsidRPr="007B2ED0">
        <w:rPr>
          <w:shd w:val="clear" w:color="auto" w:fill="FFFFFF"/>
        </w:rPr>
        <w:t>26.</w:t>
      </w:r>
      <w:r w:rsidRPr="007B2ED0">
        <w:rPr>
          <w:shd w:val="clear" w:color="auto" w:fill="FFFFFF"/>
        </w:rPr>
        <w:tab/>
        <w:t xml:space="preserve">nadalje, pozdravlja činjenicu da se, u skladu s dugogodišnjim stajalištem Parlamenta, u Nacrtu uredbe Vijeća Instrument dijeli na dva dijela: europsku pričuvu za solidarnost za prirodne katastrofe i izvanredna stanja u području javnog zdravlja u okviru Fonda solidarnosti Europske unije i pričuvu za pomoć u nuždi za brzi odgovor na hitne </w:t>
      </w:r>
      <w:r w:rsidRPr="007B2ED0">
        <w:rPr>
          <w:shd w:val="clear" w:color="auto" w:fill="FFFFFF"/>
        </w:rPr>
        <w:lastRenderedPageBreak/>
        <w:t>situacije unutar Unije i izvan nje; smatra da će se tom revidiranom strukturom olakšati provedba;</w:t>
      </w:r>
    </w:p>
    <w:p w:rsidR="00C65F03" w:rsidRPr="007B2ED0" w:rsidRDefault="00C65F03" w:rsidP="00C65F03">
      <w:pPr>
        <w:pStyle w:val="NormalHanging12a"/>
        <w:rPr>
          <w:shd w:val="clear" w:color="auto" w:fill="FFFFFF"/>
        </w:rPr>
      </w:pPr>
      <w:r w:rsidRPr="007B2ED0">
        <w:rPr>
          <w:shd w:val="clear" w:color="auto" w:fill="FFFFFF"/>
        </w:rPr>
        <w:t>27.</w:t>
      </w:r>
      <w:r w:rsidRPr="007B2ED0">
        <w:rPr>
          <w:shd w:val="clear" w:color="auto" w:fill="FFFFFF"/>
        </w:rPr>
        <w:tab/>
        <w:t>međutim, izražava zabrinutost zbog toga što postotak podijeljen između dviju pričuva, od čega dvije trećine treba dodijeliti pričuvi za solidarnost i jednu trećinu pričuvi za pomoć u nuždi, nije u potpunosti usklađen s uravnoteženošću potreba u prve tri godine VFO-a, koje su bliže omjeru 65 : 35;</w:t>
      </w:r>
    </w:p>
    <w:p w:rsidR="00C65F03" w:rsidRPr="007B2ED0" w:rsidRDefault="00C65F03" w:rsidP="00C65F03">
      <w:pPr>
        <w:pStyle w:val="NormalHanging12a"/>
        <w:rPr>
          <w:shd w:val="clear" w:color="auto" w:fill="FFFFFF"/>
        </w:rPr>
      </w:pPr>
      <w:r w:rsidRPr="007B2ED0">
        <w:rPr>
          <w:shd w:val="clear" w:color="auto" w:fill="FFFFFF"/>
        </w:rPr>
        <w:t>28.</w:t>
      </w:r>
      <w:r w:rsidRPr="007B2ED0">
        <w:rPr>
          <w:shd w:val="clear" w:color="auto" w:fill="FFFFFF"/>
        </w:rPr>
        <w:tab/>
        <w:t>pozdravlja činjenicu da će potencijalni neiskorišteni iznosi u okviru pričuve za solidarnost i pričuve za pomoć u nuždi koji bi inače istekli biti ponovno stavljeni na raspolaganje instrumentu fleksibilnosti u sljedećoj godini, čime će se uspostaviti važno načelo za povećanje fleksibilnosti;</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7B2ED0">
        <w:rPr>
          <w:i/>
          <w:color w:val="000000" w:themeColor="text1"/>
          <w:shd w:val="clear" w:color="auto" w:fill="FFFFFF"/>
        </w:rPr>
        <w:t>Instrument fleksibilnosti</w:t>
      </w:r>
    </w:p>
    <w:p w:rsidR="00C65F03" w:rsidRPr="007B2ED0" w:rsidRDefault="00C65F03" w:rsidP="00C65F03">
      <w:pPr>
        <w:pStyle w:val="NormalHanging12a"/>
        <w:rPr>
          <w:shd w:val="clear" w:color="auto" w:fill="FFFFFF"/>
        </w:rPr>
      </w:pPr>
      <w:r w:rsidRPr="007B2ED0">
        <w:rPr>
          <w:shd w:val="clear" w:color="auto" w:fill="FFFFFF"/>
        </w:rPr>
        <w:t>29.</w:t>
      </w:r>
      <w:r w:rsidRPr="007B2ED0">
        <w:rPr>
          <w:shd w:val="clear" w:color="auto" w:fill="FFFFFF"/>
        </w:rPr>
        <w:tab/>
        <w:t xml:space="preserve">uviđa da se Nacrtom uredbe Vijeća oslobađa određeni pritisak na proračun povećanjem instrumenta fleksibilnosti za 2 milijarde EUR od 2024. do 2027. i stvaranjem posebnog Europskog instrumenta za oporavak za prekoračenja troškova zaduživanja u okviru instrumenta </w:t>
      </w:r>
      <w:proofErr w:type="spellStart"/>
      <w:r w:rsidRPr="007B2ED0">
        <w:rPr>
          <w:i/>
          <w:iCs/>
          <w:shd w:val="clear" w:color="auto" w:fill="FFFFFF"/>
        </w:rPr>
        <w:t>Next</w:t>
      </w:r>
      <w:proofErr w:type="spellEnd"/>
      <w:r w:rsidRPr="007B2ED0">
        <w:rPr>
          <w:i/>
          <w:iCs/>
          <w:shd w:val="clear" w:color="auto" w:fill="FFFFFF"/>
        </w:rPr>
        <w:t xml:space="preserve"> </w:t>
      </w:r>
      <w:proofErr w:type="spellStart"/>
      <w:r w:rsidRPr="007B2ED0">
        <w:rPr>
          <w:i/>
          <w:iCs/>
          <w:shd w:val="clear" w:color="auto" w:fill="FFFFFF"/>
        </w:rPr>
        <w:t>Generation</w:t>
      </w:r>
      <w:proofErr w:type="spellEnd"/>
      <w:r w:rsidRPr="007B2ED0">
        <w:rPr>
          <w:i/>
          <w:iCs/>
          <w:shd w:val="clear" w:color="auto" w:fill="FFFFFF"/>
        </w:rPr>
        <w:t xml:space="preserve"> EU</w:t>
      </w:r>
      <w:r w:rsidRPr="007B2ED0">
        <w:rPr>
          <w:shd w:val="clear" w:color="auto" w:fill="FFFFFF"/>
        </w:rPr>
        <w:t>; međutim, smatra da su, s obzirom na logiku koraka koji vode do aktivacije novog posebnog instrumenta i manjak sredstava za administrativnu potrošnju zbog inflacije, dodatna sredstva u velikoj mjeri unaprijed dodijeljena; i dalje izražava zabrinutost zbog toga što, u skladu s obrascima upotrebe u prvim godinama VFO-a, povećanje možda neće stvoriti dovoljno proračunskog prostora kako bi se Uniji omogućilo da odgovori na nepredviđene okolnosti i nove potrebe;</w:t>
      </w:r>
    </w:p>
    <w:p w:rsidR="00C65F03" w:rsidRPr="007B2ED0" w:rsidRDefault="00C65F03" w:rsidP="00C65F03">
      <w:pPr>
        <w:pStyle w:val="NormalHanging12a"/>
        <w:rPr>
          <w:shd w:val="clear" w:color="auto" w:fill="FFFFFF"/>
        </w:rPr>
      </w:pPr>
      <w:r w:rsidRPr="007B2ED0">
        <w:rPr>
          <w:shd w:val="clear" w:color="auto" w:fill="FFFFFF"/>
        </w:rPr>
        <w:t>30.</w:t>
      </w:r>
      <w:r w:rsidRPr="007B2ED0">
        <w:rPr>
          <w:shd w:val="clear" w:color="auto" w:fill="FFFFFF"/>
        </w:rPr>
        <w:tab/>
        <w:t>izražava žaljenje zbog toga što se, u pogledu fleksibilnosti i odgovora na krizu, revizija VFO-a može smatrati samo propuštenom prilikom;</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7B2ED0">
        <w:rPr>
          <w:b/>
          <w:i/>
          <w:color w:val="000000" w:themeColor="text1"/>
          <w:shd w:val="clear" w:color="auto" w:fill="FFFFFF"/>
        </w:rPr>
        <w:t>Nova vlastita sredstva</w:t>
      </w:r>
    </w:p>
    <w:p w:rsidR="00C65F03" w:rsidRPr="007B2ED0" w:rsidRDefault="00C65F03" w:rsidP="00C65F03">
      <w:pPr>
        <w:pStyle w:val="NormalHanging12a"/>
        <w:rPr>
          <w:shd w:val="clear" w:color="auto" w:fill="FFFFFF"/>
        </w:rPr>
      </w:pPr>
      <w:r w:rsidRPr="007B2ED0">
        <w:rPr>
          <w:shd w:val="clear" w:color="auto" w:fill="FFFFFF"/>
        </w:rPr>
        <w:t>31.</w:t>
      </w:r>
      <w:r w:rsidRPr="007B2ED0">
        <w:rPr>
          <w:shd w:val="clear" w:color="auto" w:fill="FFFFFF"/>
        </w:rPr>
        <w:tab/>
        <w:t xml:space="preserve">ponovno potvrđuje svoju predanost pravno obvezujućem planu u </w:t>
      </w:r>
      <w:proofErr w:type="spellStart"/>
      <w:r w:rsidRPr="007B2ED0">
        <w:rPr>
          <w:shd w:val="clear" w:color="auto" w:fill="FFFFFF"/>
        </w:rPr>
        <w:t>Međuinstitucijskom</w:t>
      </w:r>
      <w:proofErr w:type="spellEnd"/>
      <w:r w:rsidRPr="007B2ED0">
        <w:rPr>
          <w:shd w:val="clear" w:color="auto" w:fill="FFFFFF"/>
        </w:rPr>
        <w:t xml:space="preserve"> sporazumu, u kojem su se Parlament, Vijeće i Komisija obvezali uvesti dostatna nova vlastita sredstva kako bi se barem pokrila otplata troškova zaduživanja u okviru instrumenta </w:t>
      </w:r>
      <w:proofErr w:type="spellStart"/>
      <w:r w:rsidRPr="007B2ED0">
        <w:rPr>
          <w:i/>
          <w:iCs/>
          <w:shd w:val="clear" w:color="auto" w:fill="FFFFFF"/>
        </w:rPr>
        <w:t>Next</w:t>
      </w:r>
      <w:proofErr w:type="spellEnd"/>
      <w:r w:rsidRPr="007B2ED0">
        <w:rPr>
          <w:i/>
          <w:iCs/>
          <w:shd w:val="clear" w:color="auto" w:fill="FFFFFF"/>
        </w:rPr>
        <w:t xml:space="preserve"> </w:t>
      </w:r>
      <w:proofErr w:type="spellStart"/>
      <w:r w:rsidRPr="007B2ED0">
        <w:rPr>
          <w:i/>
          <w:iCs/>
          <w:shd w:val="clear" w:color="auto" w:fill="FFFFFF"/>
        </w:rPr>
        <w:t>Generation</w:t>
      </w:r>
      <w:proofErr w:type="spellEnd"/>
      <w:r w:rsidRPr="007B2ED0">
        <w:rPr>
          <w:i/>
          <w:iCs/>
          <w:shd w:val="clear" w:color="auto" w:fill="FFFFFF"/>
        </w:rPr>
        <w:t xml:space="preserve"> EU</w:t>
      </w:r>
      <w:r w:rsidRPr="007B2ED0">
        <w:rPr>
          <w:shd w:val="clear" w:color="auto" w:fill="FFFFFF"/>
        </w:rPr>
        <w:t xml:space="preserve"> i, izvan trenutačnog VFO-a, glavnice;</w:t>
      </w:r>
    </w:p>
    <w:p w:rsidR="00C65F03" w:rsidRPr="007B2ED0" w:rsidRDefault="00C65F03" w:rsidP="00C65F03">
      <w:pPr>
        <w:pStyle w:val="NormalHanging12a"/>
        <w:rPr>
          <w:shd w:val="clear" w:color="auto" w:fill="FFFFFF"/>
        </w:rPr>
      </w:pPr>
      <w:r w:rsidRPr="007B2ED0">
        <w:rPr>
          <w:shd w:val="clear" w:color="auto" w:fill="FFFFFF"/>
        </w:rPr>
        <w:t>32.</w:t>
      </w:r>
      <w:r w:rsidRPr="007B2ED0">
        <w:rPr>
          <w:shd w:val="clear" w:color="auto" w:fill="FFFFFF"/>
        </w:rPr>
        <w:tab/>
        <w:t>izražava duboko žaljenje zbog toga što Vijeće nije ostvarilo napredak u vezi s prijedlozima o vlastitim sredstvima i podsjeća da je poduzeo sve potrebne korake kako bi se omogućilo brzo usvajanje; poziva Vijeće da te prijedloge odobri bez daljnjeg odlaganja; ističe da je i dalje ključno napredovati u pogledu istinskih novih vlastitih sredstava izvan okvira postojećih prijedloga;</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7B2ED0">
        <w:rPr>
          <w:b/>
          <w:i/>
          <w:color w:val="000000" w:themeColor="text1"/>
          <w:shd w:val="clear" w:color="auto" w:fill="FFFFFF"/>
        </w:rPr>
        <w:t>Plaćanja</w:t>
      </w:r>
    </w:p>
    <w:p w:rsidR="00C65F03" w:rsidRPr="007B2ED0" w:rsidRDefault="00C65F03" w:rsidP="00C65F03">
      <w:pPr>
        <w:pStyle w:val="NormalHanging12a"/>
        <w:rPr>
          <w:shd w:val="clear" w:color="auto" w:fill="FFFFFF"/>
        </w:rPr>
      </w:pPr>
      <w:r w:rsidRPr="007B2ED0">
        <w:rPr>
          <w:shd w:val="clear" w:color="auto" w:fill="FFFFFF"/>
        </w:rPr>
        <w:t>33.</w:t>
      </w:r>
      <w:r w:rsidRPr="007B2ED0">
        <w:rPr>
          <w:shd w:val="clear" w:color="auto" w:fill="FFFFFF"/>
        </w:rPr>
        <w:tab/>
        <w:t>naglašava da vjerodostojnost Unije ovisi o osiguravanju odgovarajućih odobrenih sredstava za plaćanje kako bi se osiguralo da korisnici pravodobno prime novac koji im pripada; podsjeća da se očekuje naglo povećanje potreba za plaćanjima u posljednjim godinama razdoblja VFO-a, među ostalim zbog prilagođenog područja primjene i pravila za upotrebu kohezijskih sredstava koji proizlaze iz Uredbe o STEP-u;</w:t>
      </w:r>
    </w:p>
    <w:p w:rsidR="00C65F03" w:rsidRPr="007B2ED0" w:rsidRDefault="00C65F03" w:rsidP="00C65F03">
      <w:pPr>
        <w:pStyle w:val="NormalHanging12a"/>
        <w:rPr>
          <w:shd w:val="clear" w:color="auto" w:fill="FFFFFF"/>
        </w:rPr>
      </w:pPr>
      <w:r w:rsidRPr="007B2ED0">
        <w:rPr>
          <w:shd w:val="clear" w:color="auto" w:fill="FFFFFF"/>
        </w:rPr>
        <w:t>34.</w:t>
      </w:r>
      <w:r w:rsidRPr="007B2ED0">
        <w:rPr>
          <w:shd w:val="clear" w:color="auto" w:fill="FFFFFF"/>
        </w:rPr>
        <w:tab/>
        <w:t xml:space="preserve">stoga izražava žaljenje zbog toga što se u Nacrtu uredbe Vijeća ne prihvaća prijedlog Parlamenta o ukidanju godišnje gornje granice odobrenih sredstava za plaćanje za upotrebu jedinstvenog instrumenta za razliku do gornje granice, čime bi se uklonio </w:t>
      </w:r>
      <w:r w:rsidRPr="007B2ED0">
        <w:rPr>
          <w:shd w:val="clear" w:color="auto" w:fill="FFFFFF"/>
        </w:rPr>
        <w:lastRenderedPageBreak/>
        <w:t>svaki rizik od krize plaćanja;</w:t>
      </w:r>
    </w:p>
    <w:p w:rsidR="00C65F03" w:rsidRPr="007B2ED0" w:rsidRDefault="00C65F03" w:rsidP="00C65F03">
      <w:pPr>
        <w:pStyle w:val="NormalHanging12a"/>
        <w:rPr>
          <w:shd w:val="clear" w:color="auto" w:fill="FFFFFF"/>
        </w:rPr>
      </w:pPr>
      <w:r w:rsidRPr="007B2ED0">
        <w:rPr>
          <w:shd w:val="clear" w:color="auto" w:fill="FFFFFF"/>
        </w:rPr>
        <w:t>35.</w:t>
      </w:r>
      <w:r w:rsidRPr="007B2ED0">
        <w:rPr>
          <w:shd w:val="clear" w:color="auto" w:fill="FFFFFF"/>
        </w:rPr>
        <w:tab/>
        <w:t>napominje da se Nacrtom uredbe Vijeća pruža određena fleksibilnost u pogledu gornjih granica za plaćanja tako što se omogućuje da se iznos jednak neiskorištenom dijelu najviše godišnje prilagodbe gornje granice za plaćanja za 2025. prenese u 2026., iako se time ne uklanja u potpunosti rizik od zaostataka; poziva Komisiju da pomno prati razvoj potreba za plaćanjem i da proračunskom tijelu pravodobno predloži sve potrebne korektivne mjere;</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7B2ED0">
        <w:rPr>
          <w:b/>
          <w:i/>
          <w:color w:val="000000" w:themeColor="text1"/>
          <w:shd w:val="clear" w:color="auto" w:fill="FFFFFF"/>
        </w:rPr>
        <w:t xml:space="preserve">Učinak na proračun EU-a </w:t>
      </w:r>
    </w:p>
    <w:p w:rsidR="00C65F03" w:rsidRPr="007B2ED0" w:rsidRDefault="00C65F03" w:rsidP="00C65F03">
      <w:pPr>
        <w:pStyle w:val="NormalHanging12a"/>
        <w:rPr>
          <w:shd w:val="clear" w:color="auto" w:fill="FFFFFF"/>
        </w:rPr>
      </w:pPr>
      <w:r w:rsidRPr="007B2ED0">
        <w:rPr>
          <w:shd w:val="clear" w:color="auto" w:fill="FFFFFF"/>
        </w:rPr>
        <w:t>36.</w:t>
      </w:r>
      <w:r w:rsidRPr="007B2ED0">
        <w:rPr>
          <w:shd w:val="clear" w:color="auto" w:fill="FFFFFF"/>
        </w:rPr>
        <w:tab/>
        <w:t>ističe da se, za razliku od nacionalnih proračuna, u kojima inflacija utječe na nominalnu vrijednost prihoda i potrošnje, gornje granice potrošnje u okviru VFO-a povećavaju za 2 % godišnje, dok se gornja granica vlastitih sredstava prilagođava inflaciji; podsjeća da je prema podacima Komisije zbog inflacije realna vrijednost VFO-a smanjena za 74 milijarde EUR, dok su se prihodi od država članica za potrošnju u okviru VFO-a smanjili kao postotak bruto nacionalnog dohotka (BND), a rabati za pet država članica korisnica, koji su povezani s inflacijom, povećali su se po višoj stopi od gornjih granica VFO-a;</w:t>
      </w:r>
    </w:p>
    <w:p w:rsidR="00C65F03" w:rsidRPr="007B2ED0" w:rsidRDefault="00C65F03" w:rsidP="00C65F03">
      <w:pPr>
        <w:pStyle w:val="NormalHanging12a"/>
        <w:rPr>
          <w:shd w:val="clear" w:color="auto" w:fill="FFFFFF"/>
        </w:rPr>
      </w:pPr>
      <w:r w:rsidRPr="007B2ED0">
        <w:rPr>
          <w:shd w:val="clear" w:color="auto" w:fill="FFFFFF"/>
        </w:rPr>
        <w:t>37.</w:t>
      </w:r>
      <w:r w:rsidRPr="007B2ED0">
        <w:rPr>
          <w:shd w:val="clear" w:color="auto" w:fill="FFFFFF"/>
        </w:rPr>
        <w:tab/>
        <w:t>i dalje izražava zabrinutost zbog toga što, čak i nakon revizije, ukupna odobrena sredstva za preuzimanje obveza iznose samo 1,02 % BND-a, a ukupna odobrena sredstva za plaćanje samo 1,01 % BND-a; podsjeća da je prvobitni planirani iznos odobrenih sredstava za plaćanje u trenutačnom VFO-u bio 1,10 % BND-a; istodobno uviđa proračunske izazove s kojima se suočavaju mnoge države članice;</w:t>
      </w:r>
    </w:p>
    <w:p w:rsidR="00C65F03" w:rsidRPr="007B2ED0" w:rsidRDefault="00C65F03" w:rsidP="00C65F03">
      <w:pPr>
        <w:pStyle w:val="NormalHanging12a"/>
        <w:rPr>
          <w:shd w:val="clear" w:color="auto" w:fill="FFFFFF"/>
        </w:rPr>
      </w:pPr>
      <w:r w:rsidRPr="007B2ED0">
        <w:rPr>
          <w:shd w:val="clear" w:color="auto" w:fill="FFFFFF"/>
        </w:rPr>
        <w:t>38.</w:t>
      </w:r>
      <w:r w:rsidRPr="007B2ED0">
        <w:rPr>
          <w:shd w:val="clear" w:color="auto" w:fill="FFFFFF"/>
        </w:rPr>
        <w:tab/>
        <w:t xml:space="preserve">izražava žaljenje zbog smanjenja sredstava za vodeće programe u reviziji VFO-a, posebno onih koji su dodatno pojačani u okviru sporazuma o VFO-u za 2020., te izražava posebnu zabrinutost zbog političke poruke koja se šalje tim rezovima; </w:t>
      </w:r>
    </w:p>
    <w:p w:rsidR="00C65F03" w:rsidRPr="007B2ED0" w:rsidRDefault="00C65F03" w:rsidP="00C65F03">
      <w:pPr>
        <w:pStyle w:val="NormalHanging12a"/>
        <w:rPr>
          <w:shd w:val="clear" w:color="auto" w:fill="FFFFFF"/>
        </w:rPr>
      </w:pPr>
      <w:r w:rsidRPr="007B2ED0">
        <w:rPr>
          <w:shd w:val="clear" w:color="auto" w:fill="FFFFFF"/>
        </w:rPr>
        <w:t>39.</w:t>
      </w:r>
      <w:r w:rsidRPr="007B2ED0">
        <w:rPr>
          <w:shd w:val="clear" w:color="auto" w:fill="FFFFFF"/>
        </w:rPr>
        <w:tab/>
        <w:t>izražava duboko žaljenje zbog smanjenja financijske omotnice za program Obzor Europa za 2,1 milijardu EUR, što je u suprotnosti s utvrđenim ciljem Vijeća da se 3 % bruto domaćeg proizvoda uloži u istraživanje i razvoj;</w:t>
      </w:r>
      <w:r w:rsidR="00361759" w:rsidRPr="007B2ED0">
        <w:rPr>
          <w:shd w:val="clear" w:color="auto" w:fill="FFFFFF"/>
        </w:rPr>
        <w:t xml:space="preserve"> ustraje u tome da se u europska istraživanja i inovacije mora više ulagati danas kako bi Europa sutra mogla osigurati svoju gospodarsku konkurentnost; konstatira da je potrebno povećati ulaganja u istraživanja i inovacije kako bi Europa zadržala ili razvila svoj tehnološki primat u sektorima koji su najviše pogođeni zelenom i digitalnom tranzicijom; ističe da su rezovi u europskim aktivnostima istraživanja i inovacija u suprotnosti s obećanjima čelnika EU-a o jačanju konkurentnosti EU-a i njegove otvorene strateške autonomije;</w:t>
      </w:r>
      <w:r w:rsidRPr="007B2ED0">
        <w:rPr>
          <w:shd w:val="clear" w:color="auto" w:fill="FFFFFF"/>
        </w:rPr>
        <w:t xml:space="preserve"> međutim, ističe da je Parlament pomogao ublažiti učinak smanjenja sredstava za program Obzor Europa tako što je stavio na raspolaganje 100 milijuna EUR opozvanih sredstava za istraživanje u skladu s člankom 15. stavkom 3. Financijske uredbe u korist programa, uz 500 milijuna EUR koji su već dogovoreni 2020.; podsjeća da je ponovna upotreba opozvanih sredstava za istraživanje dugogodišnji zahtjev Parlamenta;</w:t>
      </w:r>
    </w:p>
    <w:p w:rsidR="00C65F03" w:rsidRPr="007B2ED0" w:rsidRDefault="00C65F03" w:rsidP="00C65F03">
      <w:pPr>
        <w:pStyle w:val="NormalHanging12a"/>
        <w:rPr>
          <w:shd w:val="clear" w:color="auto" w:fill="FFFFFF"/>
        </w:rPr>
      </w:pPr>
      <w:r w:rsidRPr="007B2ED0">
        <w:rPr>
          <w:shd w:val="clear" w:color="auto" w:fill="FFFFFF"/>
        </w:rPr>
        <w:t>40.</w:t>
      </w:r>
      <w:r w:rsidRPr="007B2ED0">
        <w:rPr>
          <w:shd w:val="clear" w:color="auto" w:fill="FFFFFF"/>
        </w:rPr>
        <w:tab/>
        <w:t xml:space="preserve">podsjeća na važnost zdravstvenih politika i jasnu političku obvezu iz sporazuma o VFO-u za 2020. u pogledu davanja prednosti financiranju zdravstva; stoga je vrlo razočaran smanjenjem od 1 milijarde EUR za program „EU za zdravlje”; smatra da bi takva odluka mogla ugroziti pripravnost za svaku daljnju </w:t>
      </w:r>
      <w:proofErr w:type="spellStart"/>
      <w:r w:rsidRPr="007B2ED0">
        <w:rPr>
          <w:shd w:val="clear" w:color="auto" w:fill="FFFFFF"/>
        </w:rPr>
        <w:t>pandemiju</w:t>
      </w:r>
      <w:proofErr w:type="spellEnd"/>
      <w:r w:rsidRPr="007B2ED0">
        <w:rPr>
          <w:shd w:val="clear" w:color="auto" w:fill="FFFFFF"/>
        </w:rPr>
        <w:t xml:space="preserve"> i ograničiti Uniju u pružanju potpore sustavima javnog zdravstva; ističe, međutim, da je na zahtjev Parlamenta profil potrošnje programa prilagođen kako bi se ublažio učinak smanjenja </w:t>
      </w:r>
      <w:r w:rsidRPr="007B2ED0">
        <w:rPr>
          <w:shd w:val="clear" w:color="auto" w:fill="FFFFFF"/>
        </w:rPr>
        <w:lastRenderedPageBreak/>
        <w:t>na praktičnu provedbu ujednačenijim širenjem učinka smanjenja tijekom preostalih godina;</w:t>
      </w:r>
    </w:p>
    <w:p w:rsidR="00C65F03" w:rsidRPr="007B2ED0" w:rsidRDefault="00C65F03" w:rsidP="00C65F03">
      <w:pPr>
        <w:pStyle w:val="NormalHanging12a"/>
        <w:rPr>
          <w:shd w:val="clear" w:color="auto" w:fill="FFFFFF"/>
        </w:rPr>
      </w:pPr>
      <w:r w:rsidRPr="007B2ED0">
        <w:rPr>
          <w:shd w:val="clear" w:color="auto" w:fill="FFFFFF"/>
        </w:rPr>
        <w:t>41.</w:t>
      </w:r>
      <w:r w:rsidRPr="007B2ED0">
        <w:rPr>
          <w:shd w:val="clear" w:color="auto" w:fill="FFFFFF"/>
        </w:rPr>
        <w:tab/>
        <w:t xml:space="preserve">podsjeća na svoje stajalište da se prethodno dodijeljene nacionalne omotnice ne bi trebale prilagođavati u reviziji VFO-a; stoga pozdravlja odluku da se prethodno dodijeljene nacionalne omotnice ne mijenjaju i da ih se ne uzima u obzir u mehanizmu za pokrivanje manjka sredstava za otplatu troškova zaduživanja u okviru instrumenta </w:t>
      </w:r>
      <w:proofErr w:type="spellStart"/>
      <w:r w:rsidRPr="007B2ED0">
        <w:rPr>
          <w:i/>
          <w:iCs/>
          <w:shd w:val="clear" w:color="auto" w:fill="FFFFFF"/>
        </w:rPr>
        <w:t>Next</w:t>
      </w:r>
      <w:proofErr w:type="spellEnd"/>
      <w:r w:rsidRPr="007B2ED0">
        <w:rPr>
          <w:i/>
          <w:iCs/>
          <w:shd w:val="clear" w:color="auto" w:fill="FFFFFF"/>
        </w:rPr>
        <w:t xml:space="preserve"> </w:t>
      </w:r>
      <w:proofErr w:type="spellStart"/>
      <w:r w:rsidRPr="007B2ED0">
        <w:rPr>
          <w:i/>
          <w:iCs/>
          <w:shd w:val="clear" w:color="auto" w:fill="FFFFFF"/>
        </w:rPr>
        <w:t>Generation</w:t>
      </w:r>
      <w:proofErr w:type="spellEnd"/>
      <w:r w:rsidRPr="007B2ED0">
        <w:rPr>
          <w:i/>
          <w:iCs/>
          <w:shd w:val="clear" w:color="auto" w:fill="FFFFFF"/>
        </w:rPr>
        <w:t xml:space="preserve"> EU</w:t>
      </w:r>
      <w:r w:rsidRPr="007B2ED0">
        <w:rPr>
          <w:shd w:val="clear" w:color="auto" w:fill="FFFFFF"/>
        </w:rPr>
        <w:t>; međutim, izražava žaljenje zbog smanjenja sredstava za aktivnosti izravnog upravljanja u okviru kohezijske politike (– 0,4 milijarde EUR) i zajedničke poljoprivredne politike (– 0,7 milijardi EUR), čime se smanjuje puni potencijal i učinak tih mjera;</w:t>
      </w:r>
    </w:p>
    <w:p w:rsidR="00C65F03" w:rsidRPr="007B2ED0" w:rsidRDefault="00C65F03" w:rsidP="00C65F03">
      <w:pPr>
        <w:pStyle w:val="NormalHanging12a"/>
        <w:rPr>
          <w:shd w:val="clear" w:color="auto" w:fill="FFFFFF"/>
        </w:rPr>
      </w:pPr>
      <w:r w:rsidRPr="007B2ED0">
        <w:rPr>
          <w:shd w:val="clear" w:color="auto" w:fill="FFFFFF"/>
        </w:rPr>
        <w:t>42.</w:t>
      </w:r>
      <w:r w:rsidRPr="007B2ED0">
        <w:rPr>
          <w:shd w:val="clear" w:color="auto" w:fill="FFFFFF"/>
        </w:rPr>
        <w:tab/>
        <w:t xml:space="preserve">uviđa da se ni Europski fond za prilagodbu globalizaciji ni pričuva za prilagodbu </w:t>
      </w:r>
      <w:proofErr w:type="spellStart"/>
      <w:r w:rsidRPr="007B2ED0">
        <w:rPr>
          <w:shd w:val="clear" w:color="auto" w:fill="FFFFFF"/>
        </w:rPr>
        <w:t>Brexitu</w:t>
      </w:r>
      <w:proofErr w:type="spellEnd"/>
      <w:r w:rsidRPr="007B2ED0">
        <w:rPr>
          <w:shd w:val="clear" w:color="auto" w:fill="FFFFFF"/>
        </w:rPr>
        <w:t xml:space="preserve"> nisu pokazali potrebnima u očekivanoj mjeri te da se njihove omotnice mogu prilagoditi; smatra da su se iznosi iz tih posebnih instrumenata trebali ponovno upotrijebiti u druge svrhe u proračunu, primjerice za jačanje instrumenta fleksibilnosti;</w:t>
      </w:r>
    </w:p>
    <w:p w:rsidR="00C65F03" w:rsidRPr="007B2ED0" w:rsidRDefault="00C65F03" w:rsidP="00C65F0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7B2ED0">
        <w:rPr>
          <w:b/>
          <w:i/>
          <w:color w:val="000000" w:themeColor="text1"/>
          <w:shd w:val="clear" w:color="auto" w:fill="FFFFFF"/>
        </w:rPr>
        <w:t>Provedba paketa VFO-a</w:t>
      </w:r>
    </w:p>
    <w:p w:rsidR="00C65F03" w:rsidRPr="007B2ED0" w:rsidRDefault="00C65F03" w:rsidP="00C65F03">
      <w:pPr>
        <w:pStyle w:val="NormalHanging12a"/>
        <w:rPr>
          <w:shd w:val="clear" w:color="auto" w:fill="FFFFFF"/>
        </w:rPr>
      </w:pPr>
      <w:r w:rsidRPr="007B2ED0">
        <w:rPr>
          <w:shd w:val="clear" w:color="auto" w:fill="FFFFFF"/>
        </w:rPr>
        <w:t>43.</w:t>
      </w:r>
      <w:r w:rsidRPr="007B2ED0">
        <w:rPr>
          <w:shd w:val="clear" w:color="auto" w:fill="FFFFFF"/>
        </w:rPr>
        <w:tab/>
        <w:t>poziva Komisiju da proračunskom tijelu pruži detaljno objašnjenje o tome kako namjerava upravljati svim promjenama u programima i posebnim instrumentima kako bi se u najvećoj mogućoj mjeri ostvarili njihovi temeljni ciljevi te da pruži detaljne informacije o učinku revizije na proračun EU-a u cjelini;</w:t>
      </w:r>
    </w:p>
    <w:p w:rsidR="00C65F03" w:rsidRPr="007B2ED0" w:rsidRDefault="00C65F03" w:rsidP="00C65F03">
      <w:pPr>
        <w:pStyle w:val="NormalHanging12a"/>
        <w:rPr>
          <w:shd w:val="clear" w:color="auto" w:fill="FFFFFF"/>
        </w:rPr>
      </w:pPr>
      <w:r w:rsidRPr="007B2ED0">
        <w:rPr>
          <w:shd w:val="clear" w:color="auto" w:fill="FFFFFF"/>
        </w:rPr>
        <w:t>44.</w:t>
      </w:r>
      <w:r w:rsidRPr="007B2ED0">
        <w:rPr>
          <w:shd w:val="clear" w:color="auto" w:fill="FFFFFF"/>
        </w:rPr>
        <w:tab/>
        <w:t>spreman je bez nepotrebne odgode donijeti sve potrebne zakonodavne i proračunske izmjene s obzirom na hitnost predmeta; u tom pogledu podsjeća na Zajedničku izjavu Europskog parlamenta, Vijeća i Komisije o uključivanju ishoda revizije VFO-a u proračun za 2024.</w:t>
      </w:r>
    </w:p>
    <w:p w:rsidR="00C65F03" w:rsidRPr="007B2ED0" w:rsidRDefault="00C65F03" w:rsidP="00C65F03">
      <w:pPr>
        <w:pStyle w:val="NormalHanging12a"/>
        <w:rPr>
          <w:shd w:val="clear" w:color="auto" w:fill="FFFFFF"/>
        </w:rPr>
      </w:pPr>
      <w:r w:rsidRPr="007B2ED0">
        <w:rPr>
          <w:shd w:val="clear" w:color="auto" w:fill="FFFFFF"/>
        </w:rPr>
        <w:t>45.</w:t>
      </w:r>
      <w:r w:rsidRPr="007B2ED0">
        <w:rPr>
          <w:shd w:val="clear" w:color="auto" w:fill="FFFFFF"/>
        </w:rPr>
        <w:tab/>
        <w:t>ustraje u tome da će Parlament osigurati da se u provedbi tog paketa u potpunosti poštuju njegove ovlasti u okviru godišnjeg proračunskog postupka;</w:t>
      </w:r>
    </w:p>
    <w:p w:rsidR="008D3D5B" w:rsidRPr="007B2ED0" w:rsidRDefault="008D3D5B" w:rsidP="008D3D5B">
      <w:pPr>
        <w:pStyle w:val="NormalHanging12a"/>
        <w:widowControl/>
        <w:ind w:left="0" w:firstLine="0"/>
        <w:jc w:val="center"/>
      </w:pPr>
      <w:r w:rsidRPr="007B2ED0">
        <w:t>°</w:t>
      </w:r>
    </w:p>
    <w:p w:rsidR="008D3D5B" w:rsidRPr="007B2ED0" w:rsidRDefault="008D3D5B" w:rsidP="008D3D5B">
      <w:pPr>
        <w:pStyle w:val="NormalHanging12a"/>
        <w:widowControl/>
        <w:ind w:left="0" w:firstLine="0"/>
        <w:jc w:val="center"/>
      </w:pPr>
      <w:r w:rsidRPr="007B2ED0">
        <w:t>°     °</w:t>
      </w:r>
    </w:p>
    <w:p w:rsidR="00C65F03" w:rsidRPr="007B2ED0" w:rsidRDefault="00C65F03" w:rsidP="00C65F03">
      <w:pPr>
        <w:pStyle w:val="NormalHanging12a"/>
      </w:pPr>
      <w:r w:rsidRPr="007B2ED0">
        <w:t>46.</w:t>
      </w:r>
      <w:r w:rsidRPr="007B2ED0">
        <w:tab/>
        <w:t>nalaže svojoj predsjednici da ovu Rezoluciju proslijedi Vijeću i Komisiji.</w:t>
      </w:r>
    </w:p>
    <w:p w:rsidR="00C65F03" w:rsidRPr="007B2ED0" w:rsidRDefault="00C65F03" w:rsidP="00C65F03"/>
    <w:p w:rsidR="00C65F03" w:rsidRPr="007B2ED0" w:rsidRDefault="00C65F03" w:rsidP="00C65F03"/>
    <w:p w:rsidR="00E365E1" w:rsidRPr="007B2ED0" w:rsidRDefault="00E365E1" w:rsidP="00D1379F">
      <w:bookmarkStart w:id="9" w:name="TextBodyEnd"/>
      <w:bookmarkEnd w:id="9"/>
    </w:p>
    <w:sectPr w:rsidR="00E365E1" w:rsidRPr="007B2ED0" w:rsidSect="009B6A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79F" w:rsidRPr="009B6A70" w:rsidRDefault="00D1379F">
      <w:r w:rsidRPr="009B6A70">
        <w:separator/>
      </w:r>
    </w:p>
  </w:endnote>
  <w:endnote w:type="continuationSeparator" w:id="0">
    <w:p w:rsidR="00D1379F" w:rsidRPr="009B6A70" w:rsidRDefault="00D1379F">
      <w:r w:rsidRPr="009B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A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A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A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79F" w:rsidRPr="009B6A70" w:rsidRDefault="00D1379F">
      <w:r w:rsidRPr="009B6A70">
        <w:separator/>
      </w:r>
    </w:p>
  </w:footnote>
  <w:footnote w:type="continuationSeparator" w:id="0">
    <w:p w:rsidR="00D1379F" w:rsidRPr="009B6A70" w:rsidRDefault="00D1379F">
      <w:r w:rsidRPr="009B6A70">
        <w:continuationSeparator/>
      </w:r>
    </w:p>
  </w:footnote>
  <w:footnote w:id="1">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SL L 433</w:t>
      </w:r>
      <w:r w:rsidR="008D3D5B">
        <w:rPr>
          <w:sz w:val="24"/>
          <w:lang w:val="hr-HR"/>
        </w:rPr>
        <w:t xml:space="preserve"> </w:t>
      </w:r>
      <w:r w:rsidRPr="009B6A70">
        <w:rPr>
          <w:sz w:val="24"/>
          <w:lang w:val="hr-HR"/>
        </w:rPr>
        <w:t>I, 22.12.2020., str. 11.</w:t>
      </w:r>
    </w:p>
  </w:footnote>
  <w:footnote w:id="2">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SL C 444</w:t>
      </w:r>
      <w:r w:rsidR="008D3D5B">
        <w:rPr>
          <w:sz w:val="24"/>
          <w:lang w:val="hr-HR"/>
        </w:rPr>
        <w:t xml:space="preserve"> </w:t>
      </w:r>
      <w:r w:rsidRPr="009B6A70">
        <w:rPr>
          <w:sz w:val="24"/>
          <w:lang w:val="hr-HR"/>
        </w:rPr>
        <w:t>I, 22.12.2020., str. 4.</w:t>
      </w:r>
    </w:p>
  </w:footnote>
  <w:footnote w:id="3">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Usvojeni tekstovi, P9_TA(2020)0357.</w:t>
      </w:r>
    </w:p>
  </w:footnote>
  <w:footnote w:id="4">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SL L 424, 15.12.2020., str. 1.</w:t>
      </w:r>
    </w:p>
  </w:footnote>
  <w:footnote w:id="5">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SL L 433 I, 22.12.2020., str. 28.</w:t>
      </w:r>
    </w:p>
  </w:footnote>
  <w:footnote w:id="6">
    <w:p w:rsidR="00C65F03" w:rsidRPr="008D3D5B" w:rsidRDefault="00C65F03" w:rsidP="009B6A70">
      <w:pPr>
        <w:pStyle w:val="FootnoteText"/>
        <w:ind w:left="567" w:hanging="567"/>
        <w:rPr>
          <w:i/>
          <w:sz w:val="24"/>
          <w:lang w:val="hr-HR"/>
        </w:rPr>
      </w:pPr>
      <w:r w:rsidRPr="009B6A70">
        <w:rPr>
          <w:rStyle w:val="FootnoteReference"/>
          <w:sz w:val="24"/>
          <w:lang w:val="hr-HR"/>
        </w:rPr>
        <w:footnoteRef/>
      </w:r>
      <w:r w:rsidR="009B6A70" w:rsidRPr="009B6A70">
        <w:rPr>
          <w:rStyle w:val="Emphasis"/>
          <w:sz w:val="24"/>
          <w:shd w:val="clear" w:color="auto" w:fill="FFFFFF"/>
          <w:lang w:val="hr-HR"/>
        </w:rPr>
        <w:t xml:space="preserve"> </w:t>
      </w:r>
      <w:r w:rsidR="009B6A70" w:rsidRPr="009B6A70">
        <w:rPr>
          <w:rStyle w:val="Emphasis"/>
          <w:sz w:val="24"/>
          <w:shd w:val="clear" w:color="auto" w:fill="FFFFFF"/>
          <w:lang w:val="hr-HR"/>
        </w:rPr>
        <w:tab/>
      </w:r>
      <w:r w:rsidRPr="008D3D5B">
        <w:rPr>
          <w:rStyle w:val="Emphasis"/>
          <w:i w:val="0"/>
          <w:sz w:val="24"/>
          <w:shd w:val="clear" w:color="auto" w:fill="FFFFFF"/>
          <w:lang w:val="hr-HR"/>
        </w:rPr>
        <w:t>SL L 433 I, 22.12.2020., str. 1.</w:t>
      </w:r>
    </w:p>
  </w:footnote>
  <w:footnote w:id="7">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Usvojeni tekstovi, P9_TA(2023)0335.</w:t>
      </w:r>
    </w:p>
  </w:footnote>
  <w:footnote w:id="8">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Usvojeni tekstovi, P9_TA(2023)0194.</w:t>
      </w:r>
    </w:p>
  </w:footnote>
  <w:footnote w:id="9">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 xml:space="preserve">Usvojeni tekstovi, </w:t>
      </w:r>
      <w:r w:rsidRPr="009B6A70">
        <w:rPr>
          <w:sz w:val="24"/>
          <w:lang w:val="hr-HR"/>
        </w:rPr>
        <w:t>P9_TA(20</w:t>
      </w:r>
      <w:r w:rsidR="008E255B">
        <w:rPr>
          <w:sz w:val="24"/>
          <w:lang w:val="hr-HR"/>
        </w:rPr>
        <w:t>22</w:t>
      </w:r>
      <w:bookmarkStart w:id="8" w:name="_GoBack"/>
      <w:bookmarkEnd w:id="8"/>
      <w:r w:rsidRPr="009B6A70">
        <w:rPr>
          <w:sz w:val="24"/>
          <w:lang w:val="hr-HR"/>
        </w:rPr>
        <w:t>)0450.</w:t>
      </w:r>
    </w:p>
  </w:footnote>
  <w:footnote w:id="10">
    <w:p w:rsidR="00C65F03" w:rsidRPr="009B6A70" w:rsidRDefault="00C65F03" w:rsidP="009B6A70">
      <w:pPr>
        <w:pStyle w:val="FootnoteText"/>
        <w:ind w:left="567" w:hanging="567"/>
        <w:rPr>
          <w:sz w:val="24"/>
          <w:lang w:val="hr-HR"/>
        </w:rPr>
      </w:pPr>
      <w:r w:rsidRPr="009B6A70">
        <w:rPr>
          <w:rStyle w:val="FootnoteReference"/>
          <w:sz w:val="24"/>
          <w:lang w:val="hr-HR"/>
        </w:rPr>
        <w:footnoteRef/>
      </w:r>
      <w:r w:rsidR="009B6A70" w:rsidRPr="009B6A70">
        <w:rPr>
          <w:sz w:val="24"/>
          <w:lang w:val="hr-HR"/>
        </w:rPr>
        <w:t xml:space="preserve"> </w:t>
      </w:r>
      <w:r w:rsidR="009B6A70" w:rsidRPr="009B6A70">
        <w:rPr>
          <w:sz w:val="24"/>
          <w:lang w:val="hr-HR"/>
        </w:rPr>
        <w:tab/>
      </w:r>
      <w:r w:rsidRPr="009B6A70">
        <w:rPr>
          <w:sz w:val="24"/>
          <w:lang w:val="hr-HR"/>
        </w:rPr>
        <w:t>Usvojeni tekstovi,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A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A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A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805B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HR"/>
    <w:docVar w:name="dvnumam" w:val="0"/>
    <w:docVar w:name="dvpe" w:val="758.970"/>
    <w:docVar w:name="dvrapporteur" w:val="Izvjestitelji: "/>
    <w:docVar w:name="dvtitre" w:val="Rezolucija Europskog parlamenta od .... 2024. koje sadržava prijedlog nezakonodavne rezolucije o Nacrtu uredbe Vijeća o izmjeni Uredbe (EU, Euratom) 2020/2093 kojom se uspostavlja višegodišnji financijski okvir za razdoblje 2021. – 2027.(05818/2024 – C9-0030/2024 – 2023/0201M(APP))"/>
  </w:docVars>
  <w:rsids>
    <w:rsidRoot w:val="00D1379F"/>
    <w:rsid w:val="00002272"/>
    <w:rsid w:val="00064002"/>
    <w:rsid w:val="000677B9"/>
    <w:rsid w:val="000831BA"/>
    <w:rsid w:val="000A42CC"/>
    <w:rsid w:val="000E7DD9"/>
    <w:rsid w:val="0010095E"/>
    <w:rsid w:val="00125B37"/>
    <w:rsid w:val="00187494"/>
    <w:rsid w:val="001F32AE"/>
    <w:rsid w:val="002767FF"/>
    <w:rsid w:val="002B18FE"/>
    <w:rsid w:val="002B5493"/>
    <w:rsid w:val="002F6E2A"/>
    <w:rsid w:val="00343214"/>
    <w:rsid w:val="0036175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757B"/>
    <w:rsid w:val="00672ABF"/>
    <w:rsid w:val="00680577"/>
    <w:rsid w:val="006F74FA"/>
    <w:rsid w:val="00731ADD"/>
    <w:rsid w:val="00734777"/>
    <w:rsid w:val="00747932"/>
    <w:rsid w:val="00751A4A"/>
    <w:rsid w:val="00756632"/>
    <w:rsid w:val="00762C74"/>
    <w:rsid w:val="00786EC0"/>
    <w:rsid w:val="007B2ED0"/>
    <w:rsid w:val="007D1690"/>
    <w:rsid w:val="007E22AD"/>
    <w:rsid w:val="00817416"/>
    <w:rsid w:val="00842779"/>
    <w:rsid w:val="00865F67"/>
    <w:rsid w:val="00881A7B"/>
    <w:rsid w:val="008840E5"/>
    <w:rsid w:val="00887B3E"/>
    <w:rsid w:val="008C2AC6"/>
    <w:rsid w:val="008D3D5B"/>
    <w:rsid w:val="008E255B"/>
    <w:rsid w:val="00930C23"/>
    <w:rsid w:val="0093193B"/>
    <w:rsid w:val="009509D8"/>
    <w:rsid w:val="00950B64"/>
    <w:rsid w:val="00981893"/>
    <w:rsid w:val="009B6A7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F03"/>
    <w:rsid w:val="00C941CB"/>
    <w:rsid w:val="00CC2357"/>
    <w:rsid w:val="00CF071A"/>
    <w:rsid w:val="00D058B8"/>
    <w:rsid w:val="00D1379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8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1C937"/>
  <w15:chartTrackingRefBased/>
  <w15:docId w15:val="{9DBA57C2-FAFB-428D-B6E8-5EE828CA4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5F03"/>
    <w:pPr>
      <w:spacing w:after="240"/>
      <w:ind w:left="567" w:hanging="567"/>
    </w:pPr>
  </w:style>
  <w:style w:type="paragraph" w:styleId="ListBullet">
    <w:name w:val="List Bullet"/>
    <w:basedOn w:val="Normal"/>
    <w:autoRedefine/>
    <w:uiPriority w:val="99"/>
    <w:unhideWhenUsed/>
    <w:rsid w:val="00C65F03"/>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C65F03"/>
    <w:rPr>
      <w:i/>
      <w:iCs/>
    </w:rPr>
  </w:style>
  <w:style w:type="paragraph" w:styleId="BalloonText">
    <w:name w:val="Balloon Text"/>
    <w:basedOn w:val="Normal"/>
    <w:link w:val="BalloonTextChar"/>
    <w:rsid w:val="0066757B"/>
    <w:rPr>
      <w:rFonts w:ascii="Segoe UI" w:hAnsi="Segoe UI" w:cs="Segoe UI"/>
      <w:sz w:val="18"/>
      <w:szCs w:val="18"/>
    </w:rPr>
  </w:style>
  <w:style w:type="character" w:customStyle="1" w:styleId="BalloonTextChar">
    <w:name w:val="Balloon Text Char"/>
    <w:basedOn w:val="DefaultParagraphFont"/>
    <w:link w:val="BalloonText"/>
    <w:rsid w:val="0066757B"/>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8841F-755F-4994-84FF-2ABA02B56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3643</Words>
  <Characters>21455</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SOLTYSOVA Zuzana</cp:lastModifiedBy>
  <cp:revision>2</cp:revision>
  <cp:lastPrinted>2004-11-19T15:42:00Z</cp:lastPrinted>
  <dcterms:created xsi:type="dcterms:W3CDTF">2024-07-02T14:28:00Z</dcterms:created>
  <dcterms:modified xsi:type="dcterms:W3CDTF">2024-07-02T14:28:00Z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A9-0053/2024</vt:lpwstr>
  </property>
  <property fmtid="{D5CDD505-2E9C-101B-9397-08002B2CF9AE}" pid="4" name="&lt;Type&gt;">
    <vt:lpwstr>RR</vt:lpwstr>
  </property>
</Properties>
</file>