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1CF" w:rsidTr="0010095E">
        <w:trPr>
          <w:trHeight w:hRule="exact" w:val="1418"/>
        </w:trPr>
        <w:tc>
          <w:tcPr>
            <w:tcW w:w="6804" w:type="dxa"/>
            <w:shd w:val="clear" w:color="auto" w:fill="auto"/>
            <w:vAlign w:val="center"/>
          </w:tcPr>
          <w:p w:rsidR="00751A4A" w:rsidRPr="00CF71CF" w:rsidRDefault="007E49DC" w:rsidP="0010095E">
            <w:pPr>
              <w:pStyle w:val="EPName"/>
            </w:pPr>
            <w:r w:rsidRPr="00CF71CF">
              <w:t>Európsky parlament</w:t>
            </w:r>
          </w:p>
          <w:p w:rsidR="00751A4A" w:rsidRPr="00CF71CF" w:rsidRDefault="00817416" w:rsidP="00756632">
            <w:pPr>
              <w:pStyle w:val="EPTerm"/>
              <w:rPr>
                <w:rStyle w:val="HideTWBExt"/>
                <w:noProof w:val="0"/>
                <w:vanish w:val="0"/>
                <w:color w:val="auto"/>
              </w:rPr>
            </w:pPr>
            <w:r w:rsidRPr="00CF71CF">
              <w:t>2019-2024</w:t>
            </w:r>
          </w:p>
        </w:tc>
        <w:tc>
          <w:tcPr>
            <w:tcW w:w="2268" w:type="dxa"/>
            <w:shd w:val="clear" w:color="auto" w:fill="auto"/>
          </w:tcPr>
          <w:p w:rsidR="00751A4A" w:rsidRPr="00CF71CF" w:rsidRDefault="00187494" w:rsidP="0010095E">
            <w:pPr>
              <w:pStyle w:val="EPLogo"/>
            </w:pPr>
            <w:r w:rsidRPr="00CF71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71CF" w:rsidRDefault="00D058B8" w:rsidP="004C5D52">
      <w:pPr>
        <w:pStyle w:val="LineTop"/>
      </w:pPr>
    </w:p>
    <w:p w:rsidR="00680577" w:rsidRPr="00CF71CF" w:rsidRDefault="007E49DC" w:rsidP="00680577">
      <w:pPr>
        <w:pStyle w:val="EPBodyTA1"/>
      </w:pPr>
      <w:r w:rsidRPr="00CF71CF">
        <w:t>PRIJATÉ TEXTY</w:t>
      </w:r>
    </w:p>
    <w:p w:rsidR="00D058B8" w:rsidRPr="00CF71CF" w:rsidRDefault="00D058B8" w:rsidP="00D058B8">
      <w:pPr>
        <w:pStyle w:val="LineBottom"/>
      </w:pPr>
    </w:p>
    <w:p w:rsidR="007E49DC" w:rsidRPr="00CF71CF" w:rsidRDefault="007E49DC" w:rsidP="007E49DC">
      <w:pPr>
        <w:pStyle w:val="ATHeading1"/>
      </w:pPr>
      <w:bookmarkStart w:id="0" w:name="TANumber"/>
      <w:r w:rsidRPr="00CF71CF">
        <w:t>P9_TA(2024)00</w:t>
      </w:r>
      <w:r w:rsidR="00CA7585" w:rsidRPr="00CF71CF">
        <w:t>82</w:t>
      </w:r>
      <w:bookmarkEnd w:id="0"/>
    </w:p>
    <w:p w:rsidR="007E49DC" w:rsidRPr="00CF71CF" w:rsidRDefault="007E49DC" w:rsidP="007E49DC">
      <w:pPr>
        <w:pStyle w:val="ATHeading2"/>
      </w:pPr>
      <w:bookmarkStart w:id="1" w:name="title"/>
      <w:r w:rsidRPr="00CF71CF">
        <w:t>Viacročný finančný rámec na roky 2021 až 2027 (uznesenie)</w:t>
      </w:r>
      <w:bookmarkEnd w:id="1"/>
    </w:p>
    <w:p w:rsidR="007E49DC" w:rsidRPr="00CF71CF" w:rsidRDefault="007E49DC" w:rsidP="007E49DC">
      <w:pPr>
        <w:rPr>
          <w:i/>
          <w:vanish/>
        </w:rPr>
      </w:pPr>
      <w:r w:rsidRPr="00CF71CF">
        <w:rPr>
          <w:i/>
        </w:rPr>
        <w:fldChar w:fldCharType="begin"/>
      </w:r>
      <w:r w:rsidRPr="00CF71CF">
        <w:rPr>
          <w:i/>
        </w:rPr>
        <w:instrText xml:space="preserve"> TC"(</w:instrText>
      </w:r>
      <w:bookmarkStart w:id="2" w:name="DocNumber"/>
      <w:r w:rsidRPr="00CF71CF">
        <w:rPr>
          <w:i/>
        </w:rPr>
        <w:instrText>A9-0053/2024</w:instrText>
      </w:r>
      <w:bookmarkEnd w:id="2"/>
      <w:r w:rsidRPr="00CF71CF">
        <w:rPr>
          <w:i/>
        </w:rPr>
        <w:instrText xml:space="preserve"> - Spravodajcovia: </w:instrText>
      </w:r>
      <w:proofErr w:type="spellStart"/>
      <w:r w:rsidRPr="00CF71CF">
        <w:rPr>
          <w:i/>
        </w:rPr>
        <w:instrText>Jan</w:instrText>
      </w:r>
      <w:proofErr w:type="spellEnd"/>
      <w:r w:rsidRPr="00CF71CF">
        <w:rPr>
          <w:i/>
        </w:rPr>
        <w:instrText xml:space="preserve"> </w:instrText>
      </w:r>
      <w:proofErr w:type="spellStart"/>
      <w:r w:rsidRPr="00CF71CF">
        <w:rPr>
          <w:i/>
        </w:rPr>
        <w:instrText>Olbrycht</w:instrText>
      </w:r>
      <w:proofErr w:type="spellEnd"/>
      <w:r w:rsidRPr="00CF71CF">
        <w:rPr>
          <w:i/>
        </w:rPr>
        <w:instrText xml:space="preserve">, </w:instrText>
      </w:r>
      <w:proofErr w:type="spellStart"/>
      <w:r w:rsidRPr="00CF71CF">
        <w:rPr>
          <w:i/>
        </w:rPr>
        <w:instrText>Margarida</w:instrText>
      </w:r>
      <w:proofErr w:type="spellEnd"/>
      <w:r w:rsidRPr="00CF71CF">
        <w:rPr>
          <w:i/>
        </w:rPr>
        <w:instrText xml:space="preserve"> </w:instrText>
      </w:r>
      <w:proofErr w:type="spellStart"/>
      <w:r w:rsidRPr="00CF71CF">
        <w:rPr>
          <w:i/>
        </w:rPr>
        <w:instrText>Marques</w:instrText>
      </w:r>
      <w:proofErr w:type="spellEnd"/>
      <w:r w:rsidRPr="00CF71CF">
        <w:rPr>
          <w:i/>
        </w:rPr>
        <w:instrText xml:space="preserve">)"\l3 \n&gt; \* MERGEFORMAT </w:instrText>
      </w:r>
      <w:r w:rsidRPr="00CF71CF">
        <w:rPr>
          <w:i/>
        </w:rPr>
        <w:fldChar w:fldCharType="end"/>
      </w:r>
    </w:p>
    <w:p w:rsidR="007E49DC" w:rsidRPr="00CF71CF" w:rsidRDefault="007E49DC" w:rsidP="007E49DC">
      <w:pPr>
        <w:rPr>
          <w:vanish/>
        </w:rPr>
      </w:pPr>
      <w:bookmarkStart w:id="3" w:name="Commission"/>
      <w:r w:rsidRPr="00CF71CF">
        <w:rPr>
          <w:vanish/>
        </w:rPr>
        <w:t>Výbor pre rozpočet</w:t>
      </w:r>
      <w:bookmarkEnd w:id="3"/>
    </w:p>
    <w:p w:rsidR="007E49DC" w:rsidRPr="00CF71CF" w:rsidRDefault="007E49DC" w:rsidP="007E49DC">
      <w:pPr>
        <w:rPr>
          <w:vanish/>
        </w:rPr>
      </w:pPr>
      <w:bookmarkStart w:id="4" w:name="PE"/>
      <w:r w:rsidRPr="00CF71CF">
        <w:rPr>
          <w:vanish/>
        </w:rPr>
        <w:t>PE758.970</w:t>
      </w:r>
      <w:bookmarkEnd w:id="4"/>
    </w:p>
    <w:p w:rsidR="007E49DC" w:rsidRPr="00CF71CF" w:rsidRDefault="004F1F08" w:rsidP="007E49DC">
      <w:pPr>
        <w:pStyle w:val="ATHeading3"/>
      </w:pPr>
      <w:bookmarkStart w:id="5" w:name="Sujet"/>
      <w:r w:rsidRPr="00CF71CF">
        <w:t>Nelegislatívne u</w:t>
      </w:r>
      <w:r w:rsidR="007E49DC" w:rsidRPr="00CF71CF">
        <w:t xml:space="preserve">znesenie Európskeho parlamentu z </w:t>
      </w:r>
      <w:r w:rsidRPr="00CF71CF">
        <w:t>27</w:t>
      </w:r>
      <w:r w:rsidR="007E49DC" w:rsidRPr="00CF71CF">
        <w:t xml:space="preserve">. februára 2024 o návrhu nariadenia Rady, ktorým sa mení nariadenie (EÚ, </w:t>
      </w:r>
      <w:proofErr w:type="spellStart"/>
      <w:r w:rsidR="007E49DC" w:rsidRPr="00CF71CF">
        <w:t>Euratom</w:t>
      </w:r>
      <w:proofErr w:type="spellEnd"/>
      <w:r w:rsidR="007E49DC" w:rsidRPr="00CF71CF">
        <w:t>) 2020/2093, ktorým sa stanovuje viacročný finančný rámec na roky 2021 – 2027</w:t>
      </w:r>
      <w:bookmarkEnd w:id="5"/>
      <w:r w:rsidR="007E49DC" w:rsidRPr="00CF71CF">
        <w:t xml:space="preserve"> </w:t>
      </w:r>
      <w:bookmarkStart w:id="6" w:name="References"/>
      <w:r w:rsidR="007E49DC" w:rsidRPr="00CF71CF">
        <w:t>(05818/2024 – C9-0030/2024 – 2023/0201M(APP))</w:t>
      </w:r>
      <w:bookmarkEnd w:id="6"/>
    </w:p>
    <w:p w:rsidR="007E49DC" w:rsidRPr="00CF71CF" w:rsidRDefault="007E49DC" w:rsidP="007E49DC"/>
    <w:p w:rsidR="00BE6436" w:rsidRPr="00CF71CF" w:rsidRDefault="00BE6436" w:rsidP="00BE6436">
      <w:pPr>
        <w:pStyle w:val="ListBullet"/>
        <w:spacing w:after="240"/>
        <w:ind w:left="426" w:hanging="426"/>
        <w:rPr>
          <w:szCs w:val="24"/>
        </w:rPr>
      </w:pPr>
      <w:bookmarkStart w:id="7" w:name="TextBodyBegin"/>
      <w:bookmarkEnd w:id="7"/>
      <w:r w:rsidRPr="00CF71CF">
        <w:t>Európsky parlament,</w:t>
      </w:r>
    </w:p>
    <w:p w:rsidR="00BE6436" w:rsidRPr="00CF71CF" w:rsidRDefault="00BE6436" w:rsidP="00BE6436">
      <w:pPr>
        <w:pStyle w:val="NormalHanging12a"/>
      </w:pPr>
      <w:r w:rsidRPr="00CF71CF">
        <w:t>–</w:t>
      </w:r>
      <w:r w:rsidRPr="00CF71CF">
        <w:tab/>
        <w:t>so zreteľom na články 311, 312 a 323 Zmluvy o fungovaní Európskej únie (ďalej len „ZFEÚ“),</w:t>
      </w:r>
    </w:p>
    <w:p w:rsidR="00BE6436" w:rsidRPr="00CF71CF" w:rsidRDefault="00BE6436" w:rsidP="00BE6436">
      <w:pPr>
        <w:pStyle w:val="NormalHanging12a"/>
      </w:pPr>
      <w:r w:rsidRPr="00CF71CF">
        <w:t>–</w:t>
      </w:r>
      <w:r w:rsidRPr="00CF71CF">
        <w:tab/>
        <w:t xml:space="preserve">so zreteľom na návrh nariadenia Rady, ktorým sa mení nariadenie (EÚ, </w:t>
      </w:r>
      <w:proofErr w:type="spellStart"/>
      <w:r w:rsidRPr="00CF71CF">
        <w:t>Euratom</w:t>
      </w:r>
      <w:proofErr w:type="spellEnd"/>
      <w:r w:rsidRPr="00CF71CF">
        <w:t>) 2020/2093, ktorým sa stanovuje viacročný finančný rámec na roky 2021 až 2027 (</w:t>
      </w:r>
      <w:r w:rsidR="002370D4">
        <w:t>05818/2024</w:t>
      </w:r>
      <w:r w:rsidRPr="00CF71CF">
        <w:t>),</w:t>
      </w:r>
    </w:p>
    <w:p w:rsidR="00BE6436" w:rsidRPr="00CF71CF" w:rsidRDefault="00BE6436" w:rsidP="00BE6436">
      <w:pPr>
        <w:pStyle w:val="NormalHanging12a"/>
      </w:pPr>
      <w:r w:rsidRPr="00CF71CF">
        <w:t>–</w:t>
      </w:r>
      <w:r w:rsidRPr="00CF71CF">
        <w:tab/>
        <w:t>so zreteľom na žiadosť o udelenie súhlasu, ktorú Rada predložila v súlade s článkom 312 ods. 2 ZFEÚ</w:t>
      </w:r>
      <w:r w:rsidR="002370D4">
        <w:t xml:space="preserve"> </w:t>
      </w:r>
      <w:r w:rsidR="002370D4" w:rsidRPr="002370D4">
        <w:t>(C9-0030/2024)</w:t>
      </w:r>
      <w:r w:rsidRPr="002370D4">
        <w:t>,</w:t>
      </w:r>
    </w:p>
    <w:p w:rsidR="00BE6436" w:rsidRPr="00CF71CF" w:rsidRDefault="00BE6436" w:rsidP="00BE6436">
      <w:pPr>
        <w:pStyle w:val="NormalHanging12a"/>
      </w:pPr>
      <w:r w:rsidRPr="00CF71CF">
        <w:t>–</w:t>
      </w:r>
      <w:r w:rsidRPr="00CF71CF">
        <w:tab/>
        <w:t xml:space="preserve">so zreteľom na nariadenie Rady (EÚ, </w:t>
      </w:r>
      <w:proofErr w:type="spellStart"/>
      <w:r w:rsidRPr="00CF71CF">
        <w:t>Euratom</w:t>
      </w:r>
      <w:proofErr w:type="spellEnd"/>
      <w:r w:rsidRPr="00CF71CF">
        <w:t>) 2020/2093 zo 17. decembra 2020, ktorým sa stanovuje viacročný finančný rámec na roky 2021 až 2027</w:t>
      </w:r>
      <w:r w:rsidRPr="00CF71CF">
        <w:rPr>
          <w:rStyle w:val="FootnoteReference"/>
          <w:color w:val="000000"/>
          <w:szCs w:val="24"/>
        </w:rPr>
        <w:footnoteReference w:id="1"/>
      </w:r>
      <w:r w:rsidRPr="00CF71CF">
        <w:t>, a na spoločné vyhlásenia, na ktorých sa v tejto súvislosti dohodli Európsky parlament, Rada a Komisia</w:t>
      </w:r>
      <w:r w:rsidRPr="00CF71CF">
        <w:rPr>
          <w:vertAlign w:val="superscript"/>
        </w:rPr>
        <w:footnoteReference w:id="2"/>
      </w:r>
      <w:r w:rsidRPr="00CF71CF">
        <w:t>, ako aj na súvisiace jednostranné vyhlásenia</w:t>
      </w:r>
      <w:r w:rsidRPr="00CF71CF">
        <w:rPr>
          <w:vertAlign w:val="superscript"/>
        </w:rPr>
        <w:footnoteReference w:id="3"/>
      </w:r>
      <w:r w:rsidRPr="00CF71CF">
        <w:t>,</w:t>
      </w:r>
    </w:p>
    <w:p w:rsidR="00BE6436" w:rsidRPr="00CF71CF" w:rsidRDefault="00BE6436" w:rsidP="00BE6436">
      <w:pPr>
        <w:pStyle w:val="NormalHanging12a"/>
      </w:pPr>
      <w:r w:rsidRPr="00CF71CF">
        <w:t>–</w:t>
      </w:r>
      <w:r w:rsidRPr="00CF71CF">
        <w:tab/>
        <w:t xml:space="preserve">so zreteľom na rozhodnutie Rady (EÚ, </w:t>
      </w:r>
      <w:proofErr w:type="spellStart"/>
      <w:r w:rsidRPr="00CF71CF">
        <w:t>Euratom</w:t>
      </w:r>
      <w:proofErr w:type="spellEnd"/>
      <w:r w:rsidRPr="00CF71CF">
        <w:t xml:space="preserve">) 2020/2053 zo 14. decembra 2020 o systéme vlastných zdrojov Európskej únie a o zrušení rozhodnutia 2014/335/EÚ, </w:t>
      </w:r>
      <w:proofErr w:type="spellStart"/>
      <w:r w:rsidRPr="00CF71CF">
        <w:t>Euratom</w:t>
      </w:r>
      <w:proofErr w:type="spellEnd"/>
      <w:r w:rsidRPr="00CF71CF">
        <w:rPr>
          <w:vertAlign w:val="superscript"/>
        </w:rPr>
        <w:footnoteReference w:id="4"/>
      </w:r>
      <w:r w:rsidRPr="00CF71CF">
        <w:t>,</w:t>
      </w:r>
    </w:p>
    <w:p w:rsidR="00BE6436" w:rsidRPr="00CF71CF" w:rsidRDefault="00BE6436" w:rsidP="00BE6436">
      <w:pPr>
        <w:pStyle w:val="NormalHanging12a"/>
      </w:pPr>
      <w:r w:rsidRPr="00CF71CF">
        <w:t>–</w:t>
      </w:r>
      <w:r w:rsidRPr="00CF71CF">
        <w:tab/>
        <w:t xml:space="preserve">so zreteľom na </w:t>
      </w:r>
      <w:proofErr w:type="spellStart"/>
      <w:r w:rsidRPr="00CF71CF">
        <w:t>Medziinštitucionálnu</w:t>
      </w:r>
      <w:proofErr w:type="spellEnd"/>
      <w:r w:rsidRPr="00CF71CF">
        <w:t xml:space="preserve"> dohodu zo 16. decembra 2020 medzi Európskym parlamentom, Radou Európskej únie a Európskou komisiou o rozpočtovej disciplíne, spolupráci v rozpočtových záležitostiach a správnom finančnom riadení, ako aj o </w:t>
      </w:r>
      <w:r w:rsidRPr="00CF71CF">
        <w:lastRenderedPageBreak/>
        <w:t>nových vlastných zdrojoch vrátane plánu na zavedenie nových vlastných zdrojov</w:t>
      </w:r>
      <w:r w:rsidRPr="00CF71CF">
        <w:rPr>
          <w:vertAlign w:val="superscript"/>
        </w:rPr>
        <w:footnoteReference w:id="5"/>
      </w:r>
      <w:r w:rsidRPr="00CF71CF">
        <w:t xml:space="preserve"> (ďalej len „MID“),</w:t>
      </w:r>
    </w:p>
    <w:p w:rsidR="00BE6436" w:rsidRPr="00CF71CF" w:rsidRDefault="00BE6436" w:rsidP="00BE6436">
      <w:pPr>
        <w:pStyle w:val="NormalHanging12a"/>
      </w:pPr>
      <w:r w:rsidRPr="00CF71CF">
        <w:t>–</w:t>
      </w:r>
      <w:r w:rsidRPr="00CF71CF">
        <w:tab/>
        <w:t xml:space="preserve">so zreteľom na nariadenie Európskeho parlamentu a Rady (EÚ, </w:t>
      </w:r>
      <w:proofErr w:type="spellStart"/>
      <w:r w:rsidRPr="00CF71CF">
        <w:t>Euratom</w:t>
      </w:r>
      <w:proofErr w:type="spellEnd"/>
      <w:r w:rsidRPr="00CF71CF">
        <w:t>) 2020/2092 zo 16. decembra 2020 o všeobecnom režime podmienenosti na ochranu rozpočtu Únie</w:t>
      </w:r>
      <w:r w:rsidRPr="00CF71CF">
        <w:rPr>
          <w:vertAlign w:val="superscript"/>
        </w:rPr>
        <w:footnoteReference w:id="6"/>
      </w:r>
      <w:r w:rsidRPr="00CF71CF">
        <w:t>,</w:t>
      </w:r>
    </w:p>
    <w:p w:rsidR="00BE6436" w:rsidRPr="00CF71CF" w:rsidRDefault="00BE6436" w:rsidP="00BE6436">
      <w:pPr>
        <w:pStyle w:val="NormalHanging12a"/>
      </w:pPr>
      <w:r w:rsidRPr="00CF71CF">
        <w:t>–</w:t>
      </w:r>
      <w:r w:rsidRPr="00CF71CF">
        <w:tab/>
        <w:t xml:space="preserve">so zreteľom na návrh Komisie z 20. júna 2023 na nariadenie Rady, ktorým sa mení nariadenie (EÚ, </w:t>
      </w:r>
      <w:proofErr w:type="spellStart"/>
      <w:r w:rsidRPr="00CF71CF">
        <w:t>Euratom</w:t>
      </w:r>
      <w:proofErr w:type="spellEnd"/>
      <w:r w:rsidRPr="00CF71CF">
        <w:t>) 2020/2093, ktorým sa stanovuje viacročný finančný rámec na roky 2021 až 2027 (COM(2023)0</w:t>
      </w:r>
      <w:r w:rsidR="008B640B">
        <w:t>3</w:t>
      </w:r>
      <w:r w:rsidRPr="00CF71CF">
        <w:t>37),</w:t>
      </w:r>
    </w:p>
    <w:p w:rsidR="00BE6436" w:rsidRPr="00CF71CF" w:rsidRDefault="00BE6436" w:rsidP="00BE6436">
      <w:pPr>
        <w:pStyle w:val="NormalHanging12a"/>
      </w:pPr>
      <w:r w:rsidRPr="00CF71CF">
        <w:t>–</w:t>
      </w:r>
      <w:r w:rsidRPr="00CF71CF">
        <w:tab/>
        <w:t>so zreteľom na oznámenie Komisie z 20. júna 2023 s názvom Strednodobá revízia viacročného finančného rámca na roky 2021 – 2027 (COM(2023)0336) a sprievodný pracovný dokument útvarov Komisie (SWD(2023)0336),</w:t>
      </w:r>
    </w:p>
    <w:p w:rsidR="00BE6436" w:rsidRPr="00CF71CF" w:rsidRDefault="00BE6436" w:rsidP="00BE6436">
      <w:pPr>
        <w:pStyle w:val="NormalHanging12a"/>
      </w:pPr>
      <w:r w:rsidRPr="00CF71CF">
        <w:t>–</w:t>
      </w:r>
      <w:r w:rsidRPr="00CF71CF">
        <w:tab/>
        <w:t>so zreteľom na závery Európskej rady z 1. februára 2024,</w:t>
      </w:r>
    </w:p>
    <w:p w:rsidR="00BE6436" w:rsidRPr="00CF71CF" w:rsidRDefault="00BE6436" w:rsidP="00BE6436">
      <w:pPr>
        <w:pStyle w:val="NormalHanging12a"/>
      </w:pPr>
      <w:r w:rsidRPr="00CF71CF">
        <w:t>–</w:t>
      </w:r>
      <w:r w:rsidRPr="00CF71CF">
        <w:tab/>
        <w:t>so zreteľom na svoje uznesenie z 3. októbra 2023 o návrhu revízie viacročného finančného rámca na roky 2021 – 2027 v polovici trvania</w:t>
      </w:r>
      <w:r w:rsidRPr="00CF71CF">
        <w:rPr>
          <w:rStyle w:val="FootnoteReference"/>
          <w:color w:val="000000"/>
          <w:szCs w:val="24"/>
        </w:rPr>
        <w:footnoteReference w:id="7"/>
      </w:r>
      <w:r w:rsidRPr="00CF71CF">
        <w:t>,</w:t>
      </w:r>
    </w:p>
    <w:p w:rsidR="00BE6436" w:rsidRPr="00CF71CF" w:rsidRDefault="00BE6436" w:rsidP="00BE6436">
      <w:pPr>
        <w:pStyle w:val="NormalHanging12a"/>
      </w:pPr>
      <w:r w:rsidRPr="00CF71CF">
        <w:t>–</w:t>
      </w:r>
      <w:r w:rsidRPr="00CF71CF">
        <w:tab/>
        <w:t>so zreteľom na svoje uznesenie z 10. mája 2023 o vplyve zvyšovania nákladov na prijaté úvery a pôžičky v rámci Nástroja Európskej únie na obnovu na rozpočet EÚ na rok 2024</w:t>
      </w:r>
      <w:r w:rsidRPr="00CF71CF">
        <w:rPr>
          <w:rStyle w:val="FootnoteReference"/>
          <w:color w:val="000000"/>
          <w:szCs w:val="24"/>
        </w:rPr>
        <w:footnoteReference w:id="8"/>
      </w:r>
      <w:r w:rsidRPr="00CF71CF">
        <w:t>,</w:t>
      </w:r>
    </w:p>
    <w:p w:rsidR="00BE6436" w:rsidRPr="00CF71CF" w:rsidRDefault="00BE6436" w:rsidP="00BE6436">
      <w:pPr>
        <w:pStyle w:val="NormalHanging12a"/>
      </w:pPr>
      <w:r w:rsidRPr="00CF71CF">
        <w:t>–</w:t>
      </w:r>
      <w:r w:rsidRPr="00CF71CF">
        <w:tab/>
        <w:t>so zreteľom na svoje uznesenie z 15. decembra 2022 o zvýšení viacročného finančného rámca na roky 2021 – 2027: odolný rozpočet EÚ pripravený na nové výzvy</w:t>
      </w:r>
      <w:r w:rsidRPr="00CF71CF">
        <w:rPr>
          <w:rStyle w:val="FootnoteReference"/>
          <w:color w:val="000000"/>
          <w:szCs w:val="24"/>
        </w:rPr>
        <w:footnoteReference w:id="9"/>
      </w:r>
      <w:r w:rsidRPr="00CF71CF">
        <w:t>,</w:t>
      </w:r>
    </w:p>
    <w:p w:rsidR="00BE6436" w:rsidRPr="00CF71CF" w:rsidRDefault="00BE6436" w:rsidP="00BE6436">
      <w:pPr>
        <w:pStyle w:val="NormalHanging12a"/>
      </w:pPr>
      <w:r w:rsidRPr="00CF71CF">
        <w:t>–</w:t>
      </w:r>
      <w:r w:rsidRPr="00CF71CF">
        <w:tab/>
        <w:t>so zreteľom na svoje uznesenie z 19. mája 2022 o sociálnych a hospodárskych dôsledkoch ruskej vojny na Ukrajine pre EÚ – posilnenie schopnosti EÚ konať</w:t>
      </w:r>
      <w:r w:rsidRPr="00CF71CF">
        <w:rPr>
          <w:rStyle w:val="FootnoteReference"/>
          <w:color w:val="000000"/>
          <w:szCs w:val="24"/>
        </w:rPr>
        <w:footnoteReference w:id="10"/>
      </w:r>
      <w:r w:rsidRPr="00CF71CF">
        <w:t>,</w:t>
      </w:r>
    </w:p>
    <w:p w:rsidR="00BE6436" w:rsidRPr="00CF71CF" w:rsidRDefault="00BE6436" w:rsidP="00BE6436">
      <w:pPr>
        <w:pStyle w:val="NormalHanging12a"/>
      </w:pPr>
      <w:r w:rsidRPr="00CF71CF">
        <w:t>–</w:t>
      </w:r>
      <w:r w:rsidRPr="00CF71CF">
        <w:tab/>
        <w:t>so zreteľom na článok 105 ods. 2 rokovacieho poriadku,</w:t>
      </w:r>
    </w:p>
    <w:p w:rsidR="00BE6436" w:rsidRPr="00CF71CF" w:rsidRDefault="00BE6436" w:rsidP="00BE6436">
      <w:pPr>
        <w:pStyle w:val="NormalHanging12a"/>
      </w:pPr>
      <w:r w:rsidRPr="00CF71CF">
        <w:t>–</w:t>
      </w:r>
      <w:r w:rsidRPr="00CF71CF">
        <w:tab/>
        <w:t>so zreteľom na správu Výboru pre rozpočet (A9-0053/2024),</w:t>
      </w:r>
    </w:p>
    <w:p w:rsidR="00BE6436" w:rsidRPr="00CF71CF" w:rsidRDefault="00BE6436" w:rsidP="00BE6436">
      <w:pPr>
        <w:pStyle w:val="NormalHanging12a"/>
        <w:rPr>
          <w:spacing w:val="-2"/>
        </w:rPr>
      </w:pPr>
      <w:r w:rsidRPr="00CF71CF">
        <w:t>A.</w:t>
      </w:r>
      <w:r w:rsidRPr="00CF71CF">
        <w:tab/>
        <w:t>keďže v nariadení, ktorým sa stanovuje viacročný finančný rámec (</w:t>
      </w:r>
      <w:r w:rsidR="00185E9C" w:rsidRPr="00CF71CF">
        <w:t>ďalej len „</w:t>
      </w:r>
      <w:r w:rsidRPr="00CF71CF">
        <w:t>VFR</w:t>
      </w:r>
      <w:r w:rsidR="00185E9C" w:rsidRPr="00CF71CF">
        <w:t>“</w:t>
      </w:r>
      <w:r w:rsidRPr="00CF71CF">
        <w:t>) na obdobie 2021 – 2027, sa nestanovuje povinné preskúmanie ani revízia v polovici trvania; keďže v jednostrannom vyhlásení v rámci dohody o VFR z decembra 2020 sa Komisia zaviazala predložiť preskúmanie fungovania VFR do 1. januára 2024;</w:t>
      </w:r>
    </w:p>
    <w:p w:rsidR="00BE6436" w:rsidRPr="00CF71CF" w:rsidRDefault="00BE6436" w:rsidP="00BE6436">
      <w:pPr>
        <w:pStyle w:val="NormalHanging12a"/>
        <w:rPr>
          <w:spacing w:val="-2"/>
        </w:rPr>
      </w:pPr>
      <w:r w:rsidRPr="00CF71CF">
        <w:t>B.</w:t>
      </w:r>
      <w:r w:rsidRPr="00CF71CF">
        <w:tab/>
        <w:t xml:space="preserve">keďže v decembri 2022 </w:t>
      </w:r>
      <w:r w:rsidR="00A54F89" w:rsidRPr="00CF71CF">
        <w:t>Európsky p</w:t>
      </w:r>
      <w:r w:rsidRPr="00CF71CF">
        <w:t>arlament zdôraznil, že od prijatia VFR v decembri 2020 sa politický, hospodársky a sociálny kontext zmenil na nepoznanie, a vyzval Komisiu, aby predložila svoje plánované preskúmanie a navrhla revíziu súčasného VFR;</w:t>
      </w:r>
    </w:p>
    <w:p w:rsidR="00BE6436" w:rsidRPr="00CF71CF" w:rsidRDefault="00BE6436" w:rsidP="00BE6436">
      <w:pPr>
        <w:pStyle w:val="NormalHanging12a"/>
        <w:rPr>
          <w:spacing w:val="-2"/>
        </w:rPr>
      </w:pPr>
      <w:r w:rsidRPr="00CF71CF">
        <w:t>1.</w:t>
      </w:r>
      <w:r w:rsidRPr="00CF71CF">
        <w:tab/>
        <w:t xml:space="preserve">zdôrazňuje, že revízia nariadenia o VFR je základným predpokladom na zabezpečenie strednodobej finančnej podpory pre Ukrajinu prostredníctvom Nástroja pre Ukrajinu, na </w:t>
      </w:r>
      <w:r w:rsidRPr="00CF71CF">
        <w:lastRenderedPageBreak/>
        <w:t>umožnenie zvýšeného financovania cielených politických priorít a na ochranu programov Únie a flexibility rozpočtu vzhľadom na vyššie úrokové sadzby, než sa predpokladalo, a teda vyššie náklady Únie na prijaté úvery a pôžičky, než sa plánovalo;</w:t>
      </w:r>
    </w:p>
    <w:p w:rsidR="00BE6436" w:rsidRPr="00CF71CF" w:rsidRDefault="00BE6436" w:rsidP="00BE6436">
      <w:pPr>
        <w:pStyle w:val="NormalHanging12a"/>
        <w:rPr>
          <w:spacing w:val="-2"/>
        </w:rPr>
      </w:pPr>
      <w:r w:rsidRPr="00CF71CF">
        <w:t>2.</w:t>
      </w:r>
      <w:r w:rsidRPr="00CF71CF">
        <w:tab/>
        <w:t xml:space="preserve">zdôrazňuje, že návrh nariadenia Rady, ktorým sa mení VFR, je súčasťou balíka právnych predpisov a že jeho prijatie umožní rýchle poskytnutie podpory Ukrajine a zabezpečí, aby sa prostredníctvom opravného rozpočtu mohli zvýšenia zaviesť </w:t>
      </w:r>
      <w:r w:rsidR="00742848" w:rsidRPr="00CF71CF">
        <w:t xml:space="preserve">čo najskôr </w:t>
      </w:r>
      <w:r w:rsidRPr="00CF71CF">
        <w:t xml:space="preserve">do rozpočtu na rok 2024 a na zostávajúce roky obdobia VFR; zdôrazňuje, že revízia VFR predstavuje jasné zlepšenie súčasného stavu, hoci niektoré aspekty obsiahnuté v návrhu nariadenia Rady </w:t>
      </w:r>
      <w:r w:rsidR="00742848" w:rsidRPr="00CF71CF">
        <w:t xml:space="preserve">sú </w:t>
      </w:r>
      <w:r w:rsidRPr="00CF71CF">
        <w:t xml:space="preserve">zjavne </w:t>
      </w:r>
      <w:r w:rsidR="00742848" w:rsidRPr="00CF71CF">
        <w:t>poľutovaniahodné</w:t>
      </w:r>
      <w:r w:rsidRPr="00CF71CF">
        <w:t>, v dôsledku čoho zostáva rozpočet EÚ pod tlakom, s obmedzenými rezervami a flexibilitou, so škrtmi v kľúčových programoch</w:t>
      </w:r>
      <w:r w:rsidR="00742848" w:rsidRPr="00CF71CF">
        <w:t>, ako je Horizont Európa, EU4Health, ako aj v politike súdržnosti a spoločnej poľnohospodárskej politike,</w:t>
      </w:r>
      <w:r w:rsidRPr="00CF71CF">
        <w:t xml:space="preserve"> a so zníženými ambíciami v dôležitých oblastiach politiky orientovaných na budúcnosť, ako je suverenita;</w:t>
      </w:r>
    </w:p>
    <w:p w:rsidR="00BE6436" w:rsidRPr="00CF71CF" w:rsidRDefault="00BE6436" w:rsidP="00BE6436">
      <w:pPr>
        <w:pStyle w:val="NormalHanging12a"/>
        <w:rPr>
          <w:spacing w:val="-2"/>
        </w:rPr>
      </w:pPr>
      <w:r w:rsidRPr="00CF71CF">
        <w:t>3.</w:t>
      </w:r>
      <w:r w:rsidRPr="00CF71CF">
        <w:tab/>
        <w:t xml:space="preserve">pripomína, že </w:t>
      </w:r>
      <w:r w:rsidR="00A54F89" w:rsidRPr="00CF71CF">
        <w:t>Európsky p</w:t>
      </w:r>
      <w:r w:rsidRPr="00CF71CF">
        <w:t xml:space="preserve">arlament tvrdil, že revízia by sa mala zamerať predovšetkým na riešenie dôsledkov útočnej vojny Ruska proti Ukrajine a na poskytnutie primeranej flexibility Únii, aby mohla reagovať na vznikajúce potreby a krízy, pričom by sa mal uplatňovať štrukturálny prístup k podpore Ukrajiny a riadeniu nákladov na prijaté úvery a pôžičky v rámci nástroja </w:t>
      </w:r>
      <w:proofErr w:type="spellStart"/>
      <w:r w:rsidRPr="00CF71CF">
        <w:t>NextGenerationEU</w:t>
      </w:r>
      <w:proofErr w:type="spellEnd"/>
      <w:r w:rsidRPr="00CF71CF">
        <w:t xml:space="preserve"> a zvýšené financovanie vonkajšej politiky, migrácie a strategickej autonómie a konkurencieschopnosti;</w:t>
      </w:r>
      <w:r w:rsidRPr="00CF71CF">
        <w:rPr>
          <w:shd w:val="clear" w:color="auto" w:fill="FFFFFF"/>
        </w:rPr>
        <w:t xml:space="preserve"> </w:t>
      </w:r>
      <w:r w:rsidRPr="00CF71CF">
        <w:t xml:space="preserve">konštatuje, že všetky tieto priority boli zohľadnené v návrhu Komisie na revíziu z júna 2023 a všetky sú aspoň do určitej miery zahrnuté v návrhu nariadenia Rady, s ktorým má </w:t>
      </w:r>
      <w:r w:rsidR="00A54F89" w:rsidRPr="00CF71CF">
        <w:t>Európsky p</w:t>
      </w:r>
      <w:r w:rsidRPr="00CF71CF">
        <w:t>arlament udeliť súhlas;</w:t>
      </w:r>
    </w:p>
    <w:p w:rsidR="00BE6436" w:rsidRPr="00CF71CF" w:rsidRDefault="00BE6436" w:rsidP="00BE6436">
      <w:pPr>
        <w:pStyle w:val="NormalHanging12a"/>
        <w:rPr>
          <w:shd w:val="clear" w:color="auto" w:fill="FFFFFF"/>
        </w:rPr>
      </w:pPr>
      <w:r w:rsidRPr="00CF71CF">
        <w:t>4.</w:t>
      </w:r>
      <w:r w:rsidRPr="00CF71CF">
        <w:tab/>
      </w:r>
      <w:r w:rsidRPr="00CF71CF">
        <w:rPr>
          <w:shd w:val="clear" w:color="auto" w:fill="FFFFFF"/>
        </w:rPr>
        <w:t xml:space="preserve">zdôrazňuje, že </w:t>
      </w:r>
      <w:r w:rsidR="00A54F89" w:rsidRPr="00CF71CF">
        <w:t>Európsky p</w:t>
      </w:r>
      <w:r w:rsidRPr="00CF71CF">
        <w:rPr>
          <w:shd w:val="clear" w:color="auto" w:fill="FFFFFF"/>
        </w:rPr>
        <w:t xml:space="preserve">arlament od začiatku rýchlo a konštruktívne pracoval na tom, aby umožnil rýchle prijatie balíka VFR; vyjadruje poľutovanie nad tým, že tento proces sprevádzali politické ťažkosti medzi členskými štátmi, čo v Rade spôsobilo neželané oneskorenia; </w:t>
      </w:r>
      <w:r w:rsidRPr="00CF71CF">
        <w:rPr>
          <w:color w:val="000000" w:themeColor="text1"/>
          <w:shd w:val="clear" w:color="auto" w:fill="FFFFFF"/>
        </w:rPr>
        <w:t xml:space="preserve">žiada, aby sa zmeny zavedené touto revíziou vykonali bez ďalšieho odkladu, najmä s cieľom zabezpečiť včasné vyplatenie finančnej podpory Ukrajine vzhľadom na naliehavé potreby; </w:t>
      </w:r>
    </w:p>
    <w:p w:rsidR="00BE6436" w:rsidRPr="00CF71CF" w:rsidRDefault="00BE6436" w:rsidP="00BE6436">
      <w:pPr>
        <w:pStyle w:val="NormalHanging12a"/>
        <w:rPr>
          <w:shd w:val="clear" w:color="auto" w:fill="FFFFFF"/>
        </w:rPr>
      </w:pPr>
      <w:r w:rsidRPr="00CF71CF">
        <w:t>5</w:t>
      </w:r>
      <w:r w:rsidR="004E5BD4">
        <w:t>.</w:t>
      </w:r>
      <w:r w:rsidRPr="00CF71CF">
        <w:tab/>
      </w:r>
      <w:r w:rsidRPr="00CF71CF">
        <w:rPr>
          <w:shd w:val="clear" w:color="auto" w:fill="FFFFFF"/>
        </w:rPr>
        <w:t>vyjadruje sklamanie nad tým, že Rada a Komisia neuplatnili ustanovenia zmlúv a MID, aby umožnili riadne zapojenie sa do tohto procesu v skoršej fáze; trvá na tom, že v budúcnosti sa spolupráca musí zaviesť na začiatku každého postupu revízie;</w:t>
      </w:r>
    </w:p>
    <w:p w:rsidR="00BE6436" w:rsidRPr="00CF71CF" w:rsidRDefault="00BE6436" w:rsidP="00BE6436">
      <w:pPr>
        <w:pStyle w:val="NormalHanging12a"/>
      </w:pPr>
      <w:r w:rsidRPr="00CF71CF">
        <w:t>6.</w:t>
      </w:r>
      <w:r w:rsidRPr="00CF71CF">
        <w:tab/>
        <w:t>ďalej uvádza svoje náhľady na rôzne aspekty revízie VFR;</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CF71CF">
        <w:rPr>
          <w:b/>
          <w:i/>
        </w:rPr>
        <w:t>Podpora pre Ukrajinu</w:t>
      </w:r>
    </w:p>
    <w:p w:rsidR="00BE6436" w:rsidRPr="00CF71CF" w:rsidRDefault="00BE6436" w:rsidP="00BE6436">
      <w:pPr>
        <w:pStyle w:val="NormalHanging12a"/>
      </w:pPr>
      <w:r w:rsidRPr="00CF71CF">
        <w:t>7.</w:t>
      </w:r>
      <w:r w:rsidRPr="00CF71CF">
        <w:tab/>
        <w:t>s potešením víta finančný balík pre Ukrajinu vo výške 50 miliárd EUR na roky 2024 – 2027, v ktorom sa kombinujú granty (17 miliárd EUR) s úvermi za veľmi výhodných podmienok (33 miliárd EUR) a ktorý je zakotvený v rozpočte EÚ; zdôrazňuje, že zmena nariadenia o VFR, s ktorou má Parlament udeliť súhlas, je predpokladom poskytnutia finančnej podpory Ukrajine;</w:t>
      </w:r>
    </w:p>
    <w:p w:rsidR="00BE6436" w:rsidRPr="00CF71CF" w:rsidRDefault="00BE6436" w:rsidP="00BE6436">
      <w:pPr>
        <w:pStyle w:val="NormalHanging12a"/>
      </w:pPr>
      <w:r w:rsidRPr="00CF71CF">
        <w:t>8.</w:t>
      </w:r>
      <w:r w:rsidRPr="00CF71CF">
        <w:tab/>
        <w:t xml:space="preserve">zdôrazňuje, že toto strednodobé štrukturálne riešenie poskytne ukrajinskému ľudu istotu, umožní vláde zachovať základné služby a pomôže Ukrajine na jej ceste k rekonštrukcii, obnove a členstvu v EÚ; okrem toho sa domnieva, že finančný balík je dôležitým symbolom dlhodobého záväzku Únie voči Ukrajine a jej ľudu a vysiela dôležitý signál o tomto záväzku tak ostatným kľúčovým darcom, ako aj Ruskej </w:t>
      </w:r>
      <w:r w:rsidRPr="00CF71CF">
        <w:lastRenderedPageBreak/>
        <w:t>federácii; zaväzuje sa monitorovať budúce potreby Ukrajiny v oblasti financovania, so zreteľom na medzinárodný vývoj;</w:t>
      </w:r>
    </w:p>
    <w:p w:rsidR="00BE6436" w:rsidRPr="00CF71CF" w:rsidRDefault="00BE6436" w:rsidP="00BE6436">
      <w:pPr>
        <w:pStyle w:val="NormalHanging12a"/>
      </w:pPr>
      <w:r w:rsidRPr="00CF71CF">
        <w:t>9.</w:t>
      </w:r>
      <w:r w:rsidRPr="00CF71CF">
        <w:tab/>
        <w:t>zdôrazňuje, že začlenením Nástroja pre Ukrajinu do rozpočtu EÚ sa zabezpečia potrebné brzdy a protiváhy v súvislosti s výdavkami a nevyhnutnými finančnými kontrolami a rozpočtový orgán bude môcť v rámci ročného rozpočtového postupu mobilizovať rezervu pre Ukrajinu pokrývajúcu grantovú zložku nástroja;</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CF71CF">
        <w:rPr>
          <w:b/>
          <w:i/>
        </w:rPr>
        <w:t>Okruhy 4 a 6 – Migrácia a Vonkajší rozmer</w:t>
      </w:r>
    </w:p>
    <w:p w:rsidR="00BE6436" w:rsidRPr="00CF71CF" w:rsidRDefault="00BE6436" w:rsidP="00BE6436">
      <w:pPr>
        <w:pStyle w:val="NormalHanging12a"/>
      </w:pPr>
      <w:r w:rsidRPr="00CF71CF">
        <w:t>10.</w:t>
      </w:r>
      <w:r w:rsidRPr="00CF71CF">
        <w:tab/>
        <w:t>víta skutočnosť, že na okruh 6 (susedstvo a svet) sa poskytne dodatočných 3,1 miliardy EUR vo forme nových finančných prostriedkov spolu s ďalšími 4,5 miliardy EUR vo forme finančných prostriedkov, ktorých viazanosť bola zrušená, a prerozdelených finančných prostriedkov, ktoré sa majú presmerovať v rámci okruhu, takže v rokoch 2024 až 2027 sa plánuje vynaložiť celkovo 7,6 miliardy EUR na podporu opatrení v oblasti migrácie a utečencov v tretích krajinách a na posilnené financovanie pristúpenia pre krajiny západného Balkánu; ďalej zdôrazňuje, že vytvorenie Nástroja pre Ukrajinu a zvýšená podpora pre západný Balkán takisto vytvoria priestor na zvýšenú finančnú podporu Moldavska na jeho ceste k pristúpeniu;</w:t>
      </w:r>
    </w:p>
    <w:p w:rsidR="00BE6436" w:rsidRPr="00CF71CF" w:rsidRDefault="00BE6436" w:rsidP="00BE6436">
      <w:pPr>
        <w:pStyle w:val="NormalHanging12a"/>
      </w:pPr>
      <w:r w:rsidRPr="00CF71CF">
        <w:t>11.</w:t>
      </w:r>
      <w:r w:rsidRPr="00CF71CF">
        <w:tab/>
        <w:t xml:space="preserve">víta skutočnosť, že revíziou sa z okruhu 6 odstránili záruky Európskej investičnej banky týkajúce sa Ukrajiny a bonifikácia úrokovej sadzby v súvislosti s úvermi </w:t>
      </w:r>
      <w:proofErr w:type="spellStart"/>
      <w:r w:rsidRPr="00CF71CF">
        <w:t>makrofinančnej</w:t>
      </w:r>
      <w:proofErr w:type="spellEnd"/>
      <w:r w:rsidRPr="00CF71CF">
        <w:t xml:space="preserve"> pomoci Ukrajine v roku 2022 v celkovej výške 1,9 miliardy EUR, čím sa uvoľnil ďalší tlak na tento okruh;</w:t>
      </w:r>
    </w:p>
    <w:p w:rsidR="00BE6436" w:rsidRPr="00CF71CF" w:rsidRDefault="00BE6436" w:rsidP="00BE6436">
      <w:pPr>
        <w:pStyle w:val="NormalHanging12a"/>
      </w:pPr>
      <w:r w:rsidRPr="00CF71CF">
        <w:t>12.</w:t>
      </w:r>
      <w:r w:rsidRPr="00CF71CF">
        <w:tab/>
        <w:t>vyjadruje hlboké sklamanie nad tým, že v rámci revízie VFR nebola zvýšená ani rezerva v rámci Nástroja susedstva a rozvojovej a medzinárodnej spolupráce (</w:t>
      </w:r>
      <w:r w:rsidR="00A54F89" w:rsidRPr="00CF71CF">
        <w:t>ďalej len „</w:t>
      </w:r>
      <w:r w:rsidRPr="00CF71CF">
        <w:t>NDICI</w:t>
      </w:r>
      <w:r w:rsidR="00A54F89" w:rsidRPr="00CF71CF">
        <w:t>“</w:t>
      </w:r>
      <w:r w:rsidRPr="00CF71CF">
        <w:t>) – Globálna Európa, ani humanitárna pomoc a že napriek zlepšeniam zostane tento okruh ako celok pod značným tlakom aj po zvyšok obdobia VFR vzhľadom na náročnú geopolitickú situáciu a kombináciu globálnych kríz; očakáva, že potreby humanitárnej pomoci budú aj naďalej prekračovať vyčlenené rozpočtové prostriedky, a preto má v úmysle starostlivo monitorovať a v prípade potreby riešiť tieto potreby v rámci ročného rozpočtového postupu;</w:t>
      </w:r>
    </w:p>
    <w:p w:rsidR="00BE6436" w:rsidRPr="00CF71CF" w:rsidRDefault="00BE6436" w:rsidP="00BE6436">
      <w:pPr>
        <w:pStyle w:val="NormalHanging12a"/>
      </w:pPr>
      <w:r w:rsidRPr="00CF71CF">
        <w:t>13.</w:t>
      </w:r>
      <w:r w:rsidRPr="00CF71CF">
        <w:tab/>
        <w:t>pripomína, že podľa nariadenia o NDICI sa finančné prostriedky, ktorých viazanosť bola zrušená, majú opätovne viazať do pôvodného rozpočtového riadka; zdôrazňuje, že rozhodnutia o prerozdelení finančných prostriedkov, ktorých viazanosť bola zrušená, musia rešpektovať vnútornú rovnováhu a rozdelenie medzi rozpočtovými riadkami stanovené v nariadení o NDICI; zdôrazňuje, že o presnom rozdelení finančných prostriedkov medzi rozpočtové riadky rozhoduje výlučne rozpočtový orgán v rámci ročného rozpočtového postupu, a je odhodlaný zabezpečiť, aby EÚ naďalej poskytovala základnú finančnú podporu a rozvojovú pomoc globálnemu Juhu;</w:t>
      </w:r>
    </w:p>
    <w:p w:rsidR="00BE6436" w:rsidRPr="00CF71CF" w:rsidRDefault="00BE6436" w:rsidP="00BE6436">
      <w:pPr>
        <w:pStyle w:val="NormalHanging12a"/>
      </w:pPr>
      <w:r w:rsidRPr="00CF71CF">
        <w:t>14.</w:t>
      </w:r>
      <w:r w:rsidRPr="00CF71CF">
        <w:tab/>
        <w:t xml:space="preserve">zdôrazňuje, že finančná podpora pre tretie krajiny by sa mala poskytovať prostredníctvom programov v rámci okruhu 6, ktoré zabezpečujú spoľahlivý dohľad a zaručujú výsady </w:t>
      </w:r>
      <w:r w:rsidR="0053744F" w:rsidRPr="00CF71CF">
        <w:t>Európskeho p</w:t>
      </w:r>
      <w:r w:rsidRPr="00CF71CF">
        <w:t>arlamentu; zdôrazňuje, že využívanie nástrojov je poslednou možnosťou poskytovania finančnej podpory; zdôrazňuje, že model riadenia, ktorý sa používa v rámci Nástroja pre Ukrajinu, najmä pokiaľ ide o rozsiahle využívanie vykonávacích rozhodnutí Rady, je špecifický pre kontext, v ktorom bude fungovať, a preto je výnimočný a nemá sa opakovať pri žiadnom budúcom nástroji tohto druhu;</w:t>
      </w:r>
    </w:p>
    <w:p w:rsidR="00BE6436" w:rsidRPr="00CF71CF" w:rsidRDefault="00BE6436" w:rsidP="00BE6436">
      <w:pPr>
        <w:pStyle w:val="NormalHanging12a"/>
      </w:pPr>
      <w:r w:rsidRPr="00CF71CF">
        <w:lastRenderedPageBreak/>
        <w:t>15.</w:t>
      </w:r>
      <w:r w:rsidRPr="00CF71CF">
        <w:tab/>
        <w:t>víta dodatočné 2 miliardy EUR v okruhu 4 (migrácia a riadenie hraníc), ktoré budú kľúčové pri vykonávaní Nového paktu o migrácii a azyle a pomôžu zmierniť tlak na programy a decentralizované agentúry v rámci tohto okruhu;</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CF71CF">
        <w:rPr>
          <w:b/>
          <w:i/>
        </w:rPr>
        <w:t>Platforma strategických technológií pre Európu (</w:t>
      </w:r>
      <w:r w:rsidR="00A54F89" w:rsidRPr="00CF71CF">
        <w:rPr>
          <w:b/>
          <w:i/>
        </w:rPr>
        <w:t>ďalej len „</w:t>
      </w:r>
      <w:r w:rsidRPr="00CF71CF">
        <w:rPr>
          <w:b/>
          <w:i/>
        </w:rPr>
        <w:t>platforma STEP</w:t>
      </w:r>
      <w:r w:rsidR="00A54F89" w:rsidRPr="00CF71CF">
        <w:rPr>
          <w:b/>
          <w:i/>
        </w:rPr>
        <w:t>“</w:t>
      </w:r>
      <w:r w:rsidRPr="00CF71CF">
        <w:rPr>
          <w:b/>
          <w:i/>
        </w:rPr>
        <w:t>)</w:t>
      </w:r>
    </w:p>
    <w:p w:rsidR="00BE6436" w:rsidRPr="00CF71CF" w:rsidRDefault="00BE6436" w:rsidP="00BE6436">
      <w:pPr>
        <w:pStyle w:val="NormalHanging12a"/>
      </w:pPr>
      <w:r w:rsidRPr="00CF71CF">
        <w:t>16.</w:t>
      </w:r>
      <w:r w:rsidRPr="00CF71CF">
        <w:tab/>
        <w:t>zdôrazňuje, že platforma strategických technológií pre Európu je koncipovaná ako páka na vytváranie synergií medzi existujúcimi programovými štruktúrami, čím pomáha zabezpečiť otvorenú strategickú autonómiu Únie, znížiť závislosť od krajín mimo EÚ a zvýšiť investície do strategických odvetví a podporuje zelenú a digitálnu transformáciu; domnieva sa, že platforma STEP by mala slúžiť ako testovací priestor pre plnohodnotný fond suverenity v nasledujúcom období VFR;</w:t>
      </w:r>
    </w:p>
    <w:p w:rsidR="00BE6436" w:rsidRPr="00CF71CF" w:rsidRDefault="00BE6436" w:rsidP="00BE6436">
      <w:pPr>
        <w:pStyle w:val="NormalHanging12a"/>
      </w:pPr>
      <w:r w:rsidRPr="00CF71CF">
        <w:t>17.</w:t>
      </w:r>
      <w:r w:rsidRPr="00CF71CF">
        <w:tab/>
        <w:t xml:space="preserve">v tejto súvislosti pripomína, že platforma STEP mala kombinovať nové finančné prostriedky pre Program </w:t>
      </w:r>
      <w:proofErr w:type="spellStart"/>
      <w:r w:rsidRPr="00CF71CF">
        <w:t>InvestEU</w:t>
      </w:r>
      <w:proofErr w:type="spellEnd"/>
      <w:r w:rsidRPr="00CF71CF">
        <w:t xml:space="preserve"> a program Horizont Európa, Inovačný fond a Európsky obranný fond s prehodnotením priorít finančných prostriedkov v rámci existujúcich programov, najmä prostredníctvom zvýšeného predbežného financovania a spolufinancovania v rámci programov politiky súdržnosti;</w:t>
      </w:r>
    </w:p>
    <w:p w:rsidR="00BE6436" w:rsidRPr="00CF71CF" w:rsidRDefault="00BE6436" w:rsidP="00BE6436">
      <w:pPr>
        <w:pStyle w:val="NormalHanging12a"/>
        <w:rPr>
          <w:b/>
          <w:i/>
          <w:szCs w:val="24"/>
        </w:rPr>
      </w:pPr>
      <w:r w:rsidRPr="00CF71CF">
        <w:t>18.</w:t>
      </w:r>
      <w:r w:rsidRPr="00CF71CF">
        <w:tab/>
        <w:t>víta zvýšenie investičnej kapacity Únie v oblasti obrany prostredníctvom posilnenia Európskeho obranného fondu o 1,5 miliardy EUR; vyjadruje však poľutovanie nad celkovo obmedzenými dodatočnými zdrojmi na podporu cieľov platformy STEP a nad nedostatkom nových finančných prostriedkov na iné programy, čo má následný negatívny vplyv na zelené a digitálne investície;</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CF71CF">
        <w:rPr>
          <w:b/>
          <w:i/>
        </w:rPr>
        <w:t xml:space="preserve">Úrokové platby v rámci nástroja </w:t>
      </w:r>
      <w:proofErr w:type="spellStart"/>
      <w:r w:rsidRPr="00CF71CF">
        <w:rPr>
          <w:b/>
          <w:i/>
        </w:rPr>
        <w:t>NextGenerationEU</w:t>
      </w:r>
      <w:proofErr w:type="spellEnd"/>
    </w:p>
    <w:p w:rsidR="00BE6436" w:rsidRPr="00CF71CF" w:rsidRDefault="00BE6436" w:rsidP="00BE6436">
      <w:pPr>
        <w:pStyle w:val="NormalHanging12a"/>
        <w:rPr>
          <w:shd w:val="clear" w:color="auto" w:fill="FFFFFF"/>
        </w:rPr>
      </w:pPr>
      <w:r w:rsidRPr="00CF71CF">
        <w:t>19.</w:t>
      </w:r>
      <w:r w:rsidRPr="00CF71CF">
        <w:tab/>
      </w:r>
      <w:r w:rsidRPr="00CF71CF">
        <w:rPr>
          <w:shd w:val="clear" w:color="auto" w:fill="FFFFFF"/>
        </w:rPr>
        <w:t xml:space="preserve">víta skutočnosť, že v návrhu nariadenia Rady sa stanovuje neobmedzený osobitný nástroj nad rámec stropov (nástroj EURI) na pokrytie aspoň časti deficitu nákladov na prijaté úvery a pôžičky nástroja </w:t>
      </w:r>
      <w:proofErr w:type="spellStart"/>
      <w:r w:rsidRPr="00CF71CF">
        <w:rPr>
          <w:shd w:val="clear" w:color="auto" w:fill="FFFFFF"/>
        </w:rPr>
        <w:t>NextGenerationEU</w:t>
      </w:r>
      <w:proofErr w:type="spellEnd"/>
      <w:r w:rsidRPr="00CF71CF">
        <w:rPr>
          <w:shd w:val="clear" w:color="auto" w:fill="FFFFFF"/>
        </w:rPr>
        <w:t>, čo poskytne istotu finančným trhom; pripomína, že deficit sa v súčasnosti odhaduje na 15 miliárd EUR v rokoch 2025 až 2027; zdôrazňuje, že bez revízie VFR možno akýkoľvek deficit vyriešiť len krátením prostriedkov pre programy a vyčerpaním rozpočtovej flexibility;</w:t>
      </w:r>
    </w:p>
    <w:p w:rsidR="00BE6436" w:rsidRPr="00CF71CF" w:rsidRDefault="00BE6436" w:rsidP="00BE6436">
      <w:pPr>
        <w:pStyle w:val="NormalHanging12a"/>
        <w:rPr>
          <w:shd w:val="clear" w:color="auto" w:fill="FFFFFF"/>
        </w:rPr>
      </w:pPr>
      <w:r w:rsidRPr="00CF71CF">
        <w:rPr>
          <w:shd w:val="clear" w:color="auto" w:fill="FFFFFF"/>
        </w:rPr>
        <w:t>20.</w:t>
      </w:r>
      <w:r w:rsidRPr="00CF71CF">
        <w:rPr>
          <w:shd w:val="clear" w:color="auto" w:fill="FFFFFF"/>
        </w:rPr>
        <w:tab/>
      </w:r>
      <w:r w:rsidRPr="00CF71CF">
        <w:t xml:space="preserve">zdôrazňuje, že náklady na splácanie nástroja </w:t>
      </w:r>
      <w:proofErr w:type="spellStart"/>
      <w:r w:rsidRPr="00CF71CF">
        <w:t>NextGenerationEU</w:t>
      </w:r>
      <w:proofErr w:type="spellEnd"/>
      <w:r w:rsidRPr="00CF71CF">
        <w:t xml:space="preserve"> (ďalej len „nástroj obnovy“) podliehajú trhovým podmienkam, ktoré sú ovplyvnené vonkajšími faktormi, a preto sú vo svojej podstate nestále, a že splácanie nákladov na prijaté úvery a pôžičky je pre Úniu </w:t>
      </w:r>
      <w:proofErr w:type="spellStart"/>
      <w:r w:rsidRPr="00CF71CF">
        <w:t>nediskrečným</w:t>
      </w:r>
      <w:proofErr w:type="spellEnd"/>
      <w:r w:rsidRPr="00CF71CF">
        <w:t xml:space="preserve"> právnym záväzkom; opakuje preto, že počas rokovaní o VFR v roku 2020 bol dôrazne proti tomu, aby sa stanovil strop splácania nákladov na prijaté úvery a pôžičky nástroja obnovy v rámci okruhu VFR; pripomína, že opakovane presadzoval, aby sa všetky náklady na prijaté úvery a pôžičky nástroja obnovy zaradili nad rámec stropov VFR ako komplexné štrukturálne riešenie na pokrytie nákladov na splácanie nástroja obnovy, ktoré sa zvýšili v dôsledku rastúcich úrokových sadzieb a vyžiadali si výrazné využitie flexibility rozpočtu v rokoch 2023 a 2024;</w:t>
      </w:r>
    </w:p>
    <w:p w:rsidR="00BE6436" w:rsidRPr="00CF71CF" w:rsidRDefault="00BE6436" w:rsidP="00BE6436">
      <w:pPr>
        <w:pStyle w:val="NormalHanging12a"/>
        <w:rPr>
          <w:shd w:val="clear" w:color="auto" w:fill="FFFFFF"/>
        </w:rPr>
      </w:pPr>
      <w:r w:rsidRPr="00CF71CF">
        <w:rPr>
          <w:shd w:val="clear" w:color="auto" w:fill="FFFFFF"/>
        </w:rPr>
        <w:t>21.</w:t>
      </w:r>
      <w:r w:rsidRPr="00CF71CF">
        <w:rPr>
          <w:shd w:val="clear" w:color="auto" w:fill="FFFFFF"/>
        </w:rPr>
        <w:tab/>
        <w:t xml:space="preserve">zdôrazňuje, že nástroj EURI pozostáva z dvoch zložiek, pričom prvá zložka, ktorá sa má použiť, zahŕňa sumu zodpovedajúcu finančným prostriedkom, ktorých viazanosť bola zrušená, a druhá zložka obsahuje zabezpečovací mechanizmus zložený z dodatočných príspevkov členských štátov; pripomína dlhodobé stanovisko </w:t>
      </w:r>
      <w:r w:rsidR="00A54F89" w:rsidRPr="00CF71CF">
        <w:rPr>
          <w:shd w:val="clear" w:color="auto" w:fill="FFFFFF"/>
        </w:rPr>
        <w:t>Európskeho parlamentu</w:t>
      </w:r>
      <w:r w:rsidRPr="00CF71CF">
        <w:rPr>
          <w:shd w:val="clear" w:color="auto" w:fill="FFFFFF"/>
        </w:rPr>
        <w:t xml:space="preserve">, že rozpočtové prostriedky, ktorých viazanosť bola zrušená, by mali zostať v rozpočte a rozpočtový orgán by ich mal zaviazať v rámci ročného rozpočtového </w:t>
      </w:r>
      <w:r w:rsidRPr="00CF71CF">
        <w:rPr>
          <w:shd w:val="clear" w:color="auto" w:fill="FFFFFF"/>
        </w:rPr>
        <w:lastRenderedPageBreak/>
        <w:t>postupu; víta preto tento dôležitý krok, ktorým sa uznáva skutočnosť, že rozpočtové prostriedky viazané v rámci rozpočtu by mali zostať v rozpočte a mali by pomôcť zabezpečiť veľmi potrebnú rozpočtovú flexibilitu;</w:t>
      </w:r>
    </w:p>
    <w:p w:rsidR="00BE6436" w:rsidRPr="00CF71CF" w:rsidRDefault="00BE6436" w:rsidP="00BE6436">
      <w:pPr>
        <w:pStyle w:val="NormalHanging12a"/>
        <w:rPr>
          <w:shd w:val="clear" w:color="auto" w:fill="FFFFFF"/>
        </w:rPr>
      </w:pPr>
      <w:r w:rsidRPr="00CF71CF">
        <w:rPr>
          <w:shd w:val="clear" w:color="auto" w:fill="FFFFFF"/>
        </w:rPr>
        <w:t>22.</w:t>
      </w:r>
      <w:r w:rsidRPr="00CF71CF">
        <w:rPr>
          <w:shd w:val="clear" w:color="auto" w:fill="FFFFFF"/>
        </w:rPr>
        <w:tab/>
        <w:t>konštatuje, že pred využitím osobitného nástroja sa očakáva, že rozpočtový orgán preskúma možnosť pokrytia časti akéhokoľvek deficitu v rámci okruhov a prostredníctvom nástrojov flexibility a jednotnej rezervy; zdôrazňuje, že tento proces musí byť objektívny a založený na skutočných potrebách a nemôže sa riadiť žiadnymi svojvoľnými kritériami; v tejto súvislosti pripomína, že spoločné vyhlásenie, na ktorom sa dohodli všetky tri inštitúcie v rámci dohody o VFR v roku 2020 a podľa ktorého sa výdavky na pokrytie nákladov na financovanie nástroja obnovy majú zameriavať „na neznižovanie objemu prostriedkov určených pre programy a fondy“, sa stále uplatňuje a slúži ako referenčný bod pre rozpočtový orgán; má preto v úmysle zabezpečiť, aby všetky programy mali primerané zdroje a aby sa prostredníctvom ročného rozpočtového postupu zachovala flexibilita a </w:t>
      </w:r>
      <w:proofErr w:type="spellStart"/>
      <w:r w:rsidRPr="00CF71CF">
        <w:rPr>
          <w:shd w:val="clear" w:color="auto" w:fill="FFFFFF"/>
        </w:rPr>
        <w:t>reakcieschopnosť</w:t>
      </w:r>
      <w:proofErr w:type="spellEnd"/>
      <w:r w:rsidRPr="00CF71CF">
        <w:rPr>
          <w:shd w:val="clear" w:color="auto" w:fill="FFFFFF"/>
        </w:rPr>
        <w:t xml:space="preserve"> rozpočtu;</w:t>
      </w:r>
    </w:p>
    <w:p w:rsidR="00BE6436" w:rsidRPr="00CF71CF" w:rsidRDefault="00BE6436" w:rsidP="00BE6436">
      <w:pPr>
        <w:pStyle w:val="NormalHanging12a"/>
        <w:rPr>
          <w:shd w:val="clear" w:color="auto" w:fill="FFFFFF"/>
        </w:rPr>
      </w:pPr>
      <w:r w:rsidRPr="00CF71CF">
        <w:rPr>
          <w:shd w:val="clear" w:color="auto" w:fill="FFFFFF"/>
        </w:rPr>
        <w:t>23.</w:t>
      </w:r>
      <w:r w:rsidRPr="00CF71CF">
        <w:rPr>
          <w:shd w:val="clear" w:color="auto" w:fill="FFFFFF"/>
        </w:rPr>
        <w:tab/>
        <w:t>trvá na tom, že je potrebné, aby Komisia poskytovala spoľahlivé, včasné a presné informácie o nákladoch na prijaté úvery a pôžičky nástroja obnovy a o očakávaných platbách v rámci Mechanizmu na podporu obnovy a odolnosti počas celého rozpočtového postupu;</w:t>
      </w:r>
    </w:p>
    <w:p w:rsidR="00BE6436" w:rsidRPr="00CF71CF" w:rsidRDefault="00BE6436" w:rsidP="00BE6436">
      <w:pPr>
        <w:pStyle w:val="NormalHanging12a"/>
        <w:rPr>
          <w:shd w:val="clear" w:color="auto" w:fill="FFFFFF"/>
        </w:rPr>
      </w:pPr>
      <w:r w:rsidRPr="00CF71CF">
        <w:rPr>
          <w:shd w:val="clear" w:color="auto" w:fill="FFFFFF"/>
        </w:rPr>
        <w:t>24.</w:t>
      </w:r>
      <w:r w:rsidRPr="00CF71CF">
        <w:rPr>
          <w:shd w:val="clear" w:color="auto" w:fill="FFFFFF"/>
        </w:rPr>
        <w:tab/>
        <w:t>zdôrazňuje, že podľa zmlúv Európska rada nemá žiadnu úlohu ani v rozpočtovom postupe, ani v legislatívnom postupe; zdôrazňuje, že diskusie o nástroji EURI v Európskej rade nesmú narušiť pragmatický harmonogram rozpočtového postupu, ktorý sa každý rok dohodne v súlade s MID, a nesmú žiadnym spôsobom podmieňovať priebeh rozpočtového postupu; zdôrazňuje, že v tejto súvislosti bude obzvlášť ostražitý a zabezpečí, aby sa v plnej miere dodržiavali výsady rozpočtového orgánu stanovené v zmluvách a aby sa v plnej miere dodržiavala MID;</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CF71CF">
        <w:rPr>
          <w:b/>
          <w:i/>
          <w:color w:val="000000" w:themeColor="text1"/>
          <w:shd w:val="clear" w:color="auto" w:fill="FFFFFF"/>
        </w:rPr>
        <w:t>Flexibilita a osobitné nástroje</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CF71CF">
        <w:rPr>
          <w:i/>
          <w:color w:val="000000" w:themeColor="text1"/>
          <w:shd w:val="clear" w:color="auto" w:fill="FFFFFF"/>
        </w:rPr>
        <w:t>Rezerva na solidaritu a núdzovú pomoc</w:t>
      </w:r>
      <w:r w:rsidRPr="00CF71CF">
        <w:rPr>
          <w:color w:val="000000" w:themeColor="text1"/>
          <w:shd w:val="clear" w:color="auto" w:fill="FFFFFF"/>
        </w:rPr>
        <w:t xml:space="preserve"> </w:t>
      </w:r>
    </w:p>
    <w:p w:rsidR="00BE6436" w:rsidRPr="00CF71CF" w:rsidRDefault="00BE6436" w:rsidP="00BE6436">
      <w:pPr>
        <w:pStyle w:val="NormalHanging12a"/>
        <w:rPr>
          <w:shd w:val="clear" w:color="auto" w:fill="FFFFFF"/>
        </w:rPr>
      </w:pPr>
      <w:r w:rsidRPr="00CF71CF">
        <w:rPr>
          <w:shd w:val="clear" w:color="auto" w:fill="FFFFFF"/>
        </w:rPr>
        <w:t>25.</w:t>
      </w:r>
      <w:r w:rsidRPr="00CF71CF">
        <w:rPr>
          <w:shd w:val="clear" w:color="auto" w:fill="FFFFFF"/>
        </w:rPr>
        <w:tab/>
        <w:t>poukazuje na to, že od začiatku VFR sa zvýšili potreby v oblasti humanitárnej pomoci a reakcie na núdzové situácie v rámci Únie aj mimo nej a v oblasti podpory v súvislosti s prírodnými katastrofami, ktoré sú čoraz častejšie a intenzívnejšie, najmä v dôsledku zmeny klímy; je presvedčený, že takéto potreby budú pravdepodobne rásť; víta preto skutočnosť, že rezerva na solidaritu a núdzovú pomoc (SEAR) sa na zostávajúce obdobie VFR zvýši o 1,5 miliardy EUR, hoci je naďalej znepokojený tým, že napriek tomuto zvýšeniu je nepravdepodobné, že príslušné potreby budú pokryté;</w:t>
      </w:r>
    </w:p>
    <w:p w:rsidR="00BE6436" w:rsidRPr="00CF71CF" w:rsidRDefault="00BE6436" w:rsidP="00BE6436">
      <w:pPr>
        <w:pStyle w:val="NormalHanging12a"/>
        <w:rPr>
          <w:shd w:val="clear" w:color="auto" w:fill="FFFFFF"/>
        </w:rPr>
      </w:pPr>
      <w:r w:rsidRPr="00CF71CF">
        <w:rPr>
          <w:shd w:val="clear" w:color="auto" w:fill="FFFFFF"/>
        </w:rPr>
        <w:t>26.</w:t>
      </w:r>
      <w:r w:rsidRPr="00CF71CF">
        <w:rPr>
          <w:shd w:val="clear" w:color="auto" w:fill="FFFFFF"/>
        </w:rPr>
        <w:tab/>
        <w:t xml:space="preserve">okrem toho víta skutočnosť, že v súlade s dlhodobou pozíciou </w:t>
      </w:r>
      <w:r w:rsidR="0053744F" w:rsidRPr="00CF71CF">
        <w:t>Európskeho p</w:t>
      </w:r>
      <w:r w:rsidRPr="00CF71CF">
        <w:rPr>
          <w:shd w:val="clear" w:color="auto" w:fill="FFFFFF"/>
        </w:rPr>
        <w:t>arlamentu sa v návrhu nariadenia Rady rozdeľuje nástroj na dve časti – na európsku rezervu na solidaritu určenú na prírodné katastrofy a núdzové situácie v oblasti verejného zdravia v rámci Fondu solidarity Európskej únie a na rezervu na núdzovú pomoc určenú na rýchlu reakciu na núdzové situácie v rámci Únie aj mimo nej; domnieva sa, že táto revidovaná štruktúra uľahčí vykonávanie;</w:t>
      </w:r>
    </w:p>
    <w:p w:rsidR="00BE6436" w:rsidRPr="00CF71CF" w:rsidRDefault="00BE6436" w:rsidP="00BE6436">
      <w:pPr>
        <w:pStyle w:val="NormalHanging12a"/>
        <w:rPr>
          <w:shd w:val="clear" w:color="auto" w:fill="FFFFFF"/>
        </w:rPr>
      </w:pPr>
      <w:r w:rsidRPr="00CF71CF">
        <w:rPr>
          <w:shd w:val="clear" w:color="auto" w:fill="FFFFFF"/>
        </w:rPr>
        <w:t>27.</w:t>
      </w:r>
      <w:r w:rsidRPr="00CF71CF">
        <w:rPr>
          <w:shd w:val="clear" w:color="auto" w:fill="FFFFFF"/>
        </w:rPr>
        <w:tab/>
        <w:t xml:space="preserve">vyjadruje však znepokojenie nad percentuálnym rozdelením prostriedkov pre tieto dve rezervy, keď sa dve tretiny prostriedkov majú prideliť do rezervy na solidaritu a jedna tretina do rezervy na núdzovú pomoc, čo nie je úplne v súlade s rovnováhou potrieb v </w:t>
      </w:r>
      <w:r w:rsidRPr="00CF71CF">
        <w:rPr>
          <w:shd w:val="clear" w:color="auto" w:fill="FFFFFF"/>
        </w:rPr>
        <w:lastRenderedPageBreak/>
        <w:t>prvých troch rokoch VFR, ktoré boli bližšie k pomeru 65 – 35;</w:t>
      </w:r>
    </w:p>
    <w:p w:rsidR="00BE6436" w:rsidRPr="00CF71CF" w:rsidRDefault="00BE6436" w:rsidP="00BE6436">
      <w:pPr>
        <w:pStyle w:val="NormalHanging12a"/>
        <w:rPr>
          <w:shd w:val="clear" w:color="auto" w:fill="FFFFFF"/>
        </w:rPr>
      </w:pPr>
      <w:r w:rsidRPr="00CF71CF">
        <w:rPr>
          <w:shd w:val="clear" w:color="auto" w:fill="FFFFFF"/>
        </w:rPr>
        <w:t>28.</w:t>
      </w:r>
      <w:r w:rsidRPr="00CF71CF">
        <w:rPr>
          <w:shd w:val="clear" w:color="auto" w:fill="FFFFFF"/>
        </w:rPr>
        <w:tab/>
        <w:t>víta skutočnosť, že potenciálne nevyužité sumy v rámci rezervy na solidaritu a rezervy na núdzovú pomoc, ktoré by inak prepadli, budú v nasledujúcom roku opäť sprístupnené pre nástroj flexibility, čím sa stanoví dôležitá zásada v záujme zvýšenia flexibility;</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CF71CF">
        <w:rPr>
          <w:i/>
          <w:color w:val="000000" w:themeColor="text1"/>
          <w:shd w:val="clear" w:color="auto" w:fill="FFFFFF"/>
        </w:rPr>
        <w:t>Nástroj flexibility</w:t>
      </w:r>
    </w:p>
    <w:p w:rsidR="00BE6436" w:rsidRPr="00CF71CF" w:rsidRDefault="00BE6436" w:rsidP="00BE6436">
      <w:pPr>
        <w:pStyle w:val="NormalHanging12a"/>
        <w:rPr>
          <w:shd w:val="clear" w:color="auto" w:fill="FFFFFF"/>
        </w:rPr>
      </w:pPr>
      <w:r w:rsidRPr="00CF71CF">
        <w:rPr>
          <w:shd w:val="clear" w:color="auto" w:fill="FFFFFF"/>
        </w:rPr>
        <w:t>29.</w:t>
      </w:r>
      <w:r w:rsidRPr="00CF71CF">
        <w:rPr>
          <w:shd w:val="clear" w:color="auto" w:fill="FFFFFF"/>
        </w:rPr>
        <w:tab/>
        <w:t>uznáva, že návrh nariadenia Rady zvýšením prostriedkov pre nástroj flexibility o 2 miliardy EUR v rokoch 2024 až 2027 a vytvorením osobitného nástroja EURI pre prekročenia nákladov na prijaté úvery a pôžičky nástroja obnovy uvoľňuje určitý tlak na rozpočet; domnieva sa však, že vzhľadom na logiku krokov vedúcich k aktivácii nového osobitného nástroja a deficit administratívnych výdavkov v dôsledku inflácie sú zvýšené prostriedky z veľkej časti vopred pridelené; je naďalej znepokojený tým, že v súlade s modelmi využívania v prvých rokoch VFR nemusí toto zvýšenie vytvoriť dostatočný rozpočtový priestor nato, aby Únia mohla reagovať na nepredvídané okolnosti a vznikajúce potreby;</w:t>
      </w:r>
    </w:p>
    <w:p w:rsidR="00BE6436" w:rsidRPr="00CF71CF" w:rsidRDefault="00BE6436" w:rsidP="00BE6436">
      <w:pPr>
        <w:pStyle w:val="NormalHanging12a"/>
        <w:rPr>
          <w:shd w:val="clear" w:color="auto" w:fill="FFFFFF"/>
        </w:rPr>
      </w:pPr>
      <w:r w:rsidRPr="00CF71CF">
        <w:rPr>
          <w:shd w:val="clear" w:color="auto" w:fill="FFFFFF"/>
        </w:rPr>
        <w:t>30.</w:t>
      </w:r>
      <w:r w:rsidRPr="00CF71CF">
        <w:rPr>
          <w:shd w:val="clear" w:color="auto" w:fill="FFFFFF"/>
        </w:rPr>
        <w:tab/>
        <w:t>vyjadruje poľutovanie nad tým, že v súvislosti s flexibilitou a reakciou na krízu možno revíziu VFR považovať len za premárnenú príležitosť;</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CF71CF">
        <w:rPr>
          <w:b/>
          <w:i/>
          <w:color w:val="000000" w:themeColor="text1"/>
          <w:shd w:val="clear" w:color="auto" w:fill="FFFFFF"/>
        </w:rPr>
        <w:t>Nové vlastné zdroje</w:t>
      </w:r>
    </w:p>
    <w:p w:rsidR="00BE6436" w:rsidRPr="00CF71CF" w:rsidRDefault="00BE6436" w:rsidP="00BE6436">
      <w:pPr>
        <w:pStyle w:val="NormalHanging12a"/>
        <w:rPr>
          <w:shd w:val="clear" w:color="auto" w:fill="FFFFFF"/>
        </w:rPr>
      </w:pPr>
      <w:r w:rsidRPr="00CF71CF">
        <w:rPr>
          <w:shd w:val="clear" w:color="auto" w:fill="FFFFFF"/>
        </w:rPr>
        <w:t>31.</w:t>
      </w:r>
      <w:r w:rsidRPr="00CF71CF">
        <w:rPr>
          <w:shd w:val="clear" w:color="auto" w:fill="FFFFFF"/>
        </w:rPr>
        <w:tab/>
        <w:t xml:space="preserve">opätovne potvrdzuje svoj záväzok dodržiavať právne záväzný plán stanovený v MID, v ktorom sa </w:t>
      </w:r>
      <w:r w:rsidR="00A54F89" w:rsidRPr="00CF71CF">
        <w:t>Európsky p</w:t>
      </w:r>
      <w:r w:rsidRPr="00CF71CF">
        <w:rPr>
          <w:shd w:val="clear" w:color="auto" w:fill="FFFFFF"/>
        </w:rPr>
        <w:t>arlament, Rada a Komisia zaviazali zaviesť dostatočné nové vlastné zdroje aspoň na pokrytie splácania nákladov na prijaté úvery a pôžičky nástroja obnovy a – nad rámec súčasného VFR – aj ich istín;</w:t>
      </w:r>
    </w:p>
    <w:p w:rsidR="00BE6436" w:rsidRPr="00CF71CF" w:rsidRDefault="00BE6436" w:rsidP="00BE6436">
      <w:pPr>
        <w:pStyle w:val="NormalHanging12a"/>
        <w:rPr>
          <w:shd w:val="clear" w:color="auto" w:fill="FFFFFF"/>
        </w:rPr>
      </w:pPr>
      <w:r w:rsidRPr="00CF71CF">
        <w:rPr>
          <w:shd w:val="clear" w:color="auto" w:fill="FFFFFF"/>
        </w:rPr>
        <w:t>32.</w:t>
      </w:r>
      <w:r w:rsidRPr="00CF71CF">
        <w:rPr>
          <w:shd w:val="clear" w:color="auto" w:fill="FFFFFF"/>
        </w:rPr>
        <w:tab/>
        <w:t>vyjadruje hlboké poľutovanie nad tým, že Rada nedosiahla pokrok, pokiaľ ide o predložené návrhy týkajúce sa vlastných zdrojov, a pripomína, že prijal všetky potrebné opatrenia na umožnenie rýchleho prijatia; vyzýva Radu, aby návrhy bezodkladne schválila; zdôrazňuje, že je naďalej zásadne dôležité dosiahnuť pokrok v oblasti skutočných nových vlastných zdrojov nad rámec existujúcich návrhov;</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CF71CF">
        <w:rPr>
          <w:b/>
          <w:i/>
          <w:color w:val="000000" w:themeColor="text1"/>
          <w:shd w:val="clear" w:color="auto" w:fill="FFFFFF"/>
        </w:rPr>
        <w:t>Platby</w:t>
      </w:r>
    </w:p>
    <w:p w:rsidR="00BE6436" w:rsidRPr="00CF71CF" w:rsidRDefault="00BE6436" w:rsidP="00BE6436">
      <w:pPr>
        <w:pStyle w:val="NormalHanging12a"/>
        <w:rPr>
          <w:shd w:val="clear" w:color="auto" w:fill="FFFFFF"/>
        </w:rPr>
      </w:pPr>
      <w:r w:rsidRPr="00CF71CF">
        <w:rPr>
          <w:shd w:val="clear" w:color="auto" w:fill="FFFFFF"/>
        </w:rPr>
        <w:t>33.</w:t>
      </w:r>
      <w:r w:rsidRPr="00CF71CF">
        <w:rPr>
          <w:shd w:val="clear" w:color="auto" w:fill="FFFFFF"/>
        </w:rPr>
        <w:tab/>
        <w:t>zdôrazňuje, že dôveryhodnosť Únie závisí od zabezpečenia primeraných platobných rozpočtových prostriedkov na zabezpečenie toho, aby príjemcovia načas dostali peniaze, ktoré sa im majú vyplatiť; pripomína, že v posledných rokoch obdobia VFR sa očakáva prudký nárast platobných potrieb, a to aj v dôsledku úpravy rozsahu pôsobnosti a pravidiel využívania kohéznych fondov vyplývajúcej z nariadenia o platforme STEP;</w:t>
      </w:r>
    </w:p>
    <w:p w:rsidR="00BE6436" w:rsidRPr="00CF71CF" w:rsidRDefault="00BE6436" w:rsidP="00BE6436">
      <w:pPr>
        <w:pStyle w:val="NormalHanging12a"/>
        <w:rPr>
          <w:shd w:val="clear" w:color="auto" w:fill="FFFFFF"/>
        </w:rPr>
      </w:pPr>
      <w:r w:rsidRPr="00CF71CF">
        <w:rPr>
          <w:shd w:val="clear" w:color="auto" w:fill="FFFFFF"/>
        </w:rPr>
        <w:t>34.</w:t>
      </w:r>
      <w:r w:rsidRPr="00CF71CF">
        <w:rPr>
          <w:shd w:val="clear" w:color="auto" w:fill="FFFFFF"/>
        </w:rPr>
        <w:tab/>
        <w:t xml:space="preserve">vyjadruje preto poľutovanie nad tým, že návrh nariadenia Rady nepreberá návrh </w:t>
      </w:r>
      <w:r w:rsidR="00A54F89" w:rsidRPr="00CF71CF">
        <w:t>Európskeho p</w:t>
      </w:r>
      <w:r w:rsidRPr="00CF71CF">
        <w:rPr>
          <w:shd w:val="clear" w:color="auto" w:fill="FFFFFF"/>
        </w:rPr>
        <w:t>arlamentu na zrušenie ročného stropu platobných rozpočtových prostriedkov na použitie nástroja jednotnej rezervy, čím by sa odstránilo akékoľvek riziko platobnej krízy;</w:t>
      </w:r>
    </w:p>
    <w:p w:rsidR="00BE6436" w:rsidRPr="00CF71CF" w:rsidRDefault="00BE6436" w:rsidP="00BE6436">
      <w:pPr>
        <w:pStyle w:val="NormalHanging12a"/>
        <w:rPr>
          <w:shd w:val="clear" w:color="auto" w:fill="FFFFFF"/>
        </w:rPr>
      </w:pPr>
      <w:r w:rsidRPr="00CF71CF">
        <w:rPr>
          <w:shd w:val="clear" w:color="auto" w:fill="FFFFFF"/>
        </w:rPr>
        <w:t>35.</w:t>
      </w:r>
      <w:r w:rsidRPr="00CF71CF">
        <w:rPr>
          <w:shd w:val="clear" w:color="auto" w:fill="FFFFFF"/>
        </w:rPr>
        <w:tab/>
        <w:t xml:space="preserve">konštatuje, že návrh nariadenia Rady poskytuje určitú flexibilitu stropov platieb tým, že umožňuje preniesť sumu zodpovedajúcu nevyužitej časti maximálnej ročnej úpravy stropu platieb na rok 2025 do roku 2026, hoci sa tým úplne neodstraňuje riziko nahromadenia neuhradených platieb; vyzýva Komisiu, aby pozorne monitorovala vývoj </w:t>
      </w:r>
      <w:r w:rsidRPr="00CF71CF">
        <w:rPr>
          <w:shd w:val="clear" w:color="auto" w:fill="FFFFFF"/>
        </w:rPr>
        <w:lastRenderedPageBreak/>
        <w:t>platobných potrieb a včas navrhla rozpočtovému orgánu všetky potrebné nápravné opatrenia;</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CF71CF">
        <w:rPr>
          <w:b/>
          <w:i/>
          <w:color w:val="000000" w:themeColor="text1"/>
          <w:shd w:val="clear" w:color="auto" w:fill="FFFFFF"/>
        </w:rPr>
        <w:t xml:space="preserve">Vplyv na rozpočet EÚ </w:t>
      </w:r>
    </w:p>
    <w:p w:rsidR="00BE6436" w:rsidRPr="00CF71CF" w:rsidRDefault="00BE6436" w:rsidP="00BE6436">
      <w:pPr>
        <w:pStyle w:val="NormalHanging12a"/>
        <w:rPr>
          <w:shd w:val="clear" w:color="auto" w:fill="FFFFFF"/>
        </w:rPr>
      </w:pPr>
      <w:r w:rsidRPr="00CF71CF">
        <w:rPr>
          <w:shd w:val="clear" w:color="auto" w:fill="FFFFFF"/>
        </w:rPr>
        <w:t>36.</w:t>
      </w:r>
      <w:r w:rsidRPr="00CF71CF">
        <w:rPr>
          <w:shd w:val="clear" w:color="auto" w:fill="FFFFFF"/>
        </w:rPr>
        <w:tab/>
        <w:t>zdôrazňuje, že na rozdiel od štátnych rozpočtov, kde inflácia ovplyvňuje nominálnu hodnotu príjmov aj výdavkov, sa výdavkové stropy VFR každoročne zvyšujú o 2 %, pričom strop vlastných zdrojov sa prispôsobuje inflácii; pripomína, že inflácia podľa Komisie znížila reálnu hodnotu VFR o 74 miliárd EUR, zatiaľ čo príjmy požadované od členských štátov na výdavky VFR sa znížili ako percentuálny podiel hrubého národného dôchodku (</w:t>
      </w:r>
      <w:r w:rsidR="00A54F89" w:rsidRPr="00CF71CF">
        <w:rPr>
          <w:shd w:val="clear" w:color="auto" w:fill="FFFFFF"/>
        </w:rPr>
        <w:t>ďalej len „</w:t>
      </w:r>
      <w:r w:rsidRPr="00CF71CF">
        <w:rPr>
          <w:shd w:val="clear" w:color="auto" w:fill="FFFFFF"/>
        </w:rPr>
        <w:t>HND</w:t>
      </w:r>
      <w:r w:rsidR="00A54F89" w:rsidRPr="00CF71CF">
        <w:rPr>
          <w:shd w:val="clear" w:color="auto" w:fill="FFFFFF"/>
        </w:rPr>
        <w:t>“</w:t>
      </w:r>
      <w:r w:rsidRPr="00CF71CF">
        <w:rPr>
          <w:shd w:val="clear" w:color="auto" w:fill="FFFFFF"/>
        </w:rPr>
        <w:t>) a korekcie pre päť prijímajúcich členských štátov, ktoré sú viazané na infláciu, sa zvýšili vyššou mierou ako stropy VFR;</w:t>
      </w:r>
    </w:p>
    <w:p w:rsidR="00BE6436" w:rsidRPr="00CF71CF" w:rsidRDefault="00BE6436" w:rsidP="00BE6436">
      <w:pPr>
        <w:pStyle w:val="NormalHanging12a"/>
        <w:rPr>
          <w:shd w:val="clear" w:color="auto" w:fill="FFFFFF"/>
        </w:rPr>
      </w:pPr>
      <w:r w:rsidRPr="00CF71CF">
        <w:rPr>
          <w:shd w:val="clear" w:color="auto" w:fill="FFFFFF"/>
        </w:rPr>
        <w:t>37.</w:t>
      </w:r>
      <w:r w:rsidRPr="00CF71CF">
        <w:rPr>
          <w:shd w:val="clear" w:color="auto" w:fill="FFFFFF"/>
        </w:rPr>
        <w:tab/>
        <w:t>je naďalej znepokojený tým, že aj po revízii celkové viazané rozpočtové prostriedky predstavujú len 1,02 % HND a celkové platobné rozpočtové prostriedky len 1,01 % HND; pripomína, že pôvodne sa mali platobné rozpočtové prostriedky v súčasnom VFR stanoviť na 1,10 % HND; zároveň si uvedomuje rozpočtové výzvy, ktorým čelia mnohé členské štáty;</w:t>
      </w:r>
    </w:p>
    <w:p w:rsidR="00BE6436" w:rsidRPr="00CF71CF" w:rsidRDefault="00BE6436" w:rsidP="00BE6436">
      <w:pPr>
        <w:pStyle w:val="NormalHanging12a"/>
        <w:rPr>
          <w:shd w:val="clear" w:color="auto" w:fill="FFFFFF"/>
        </w:rPr>
      </w:pPr>
      <w:r w:rsidRPr="00CF71CF">
        <w:rPr>
          <w:shd w:val="clear" w:color="auto" w:fill="FFFFFF"/>
        </w:rPr>
        <w:t>38.</w:t>
      </w:r>
      <w:r w:rsidRPr="00CF71CF">
        <w:rPr>
          <w:shd w:val="clear" w:color="auto" w:fill="FFFFFF"/>
        </w:rPr>
        <w:tab/>
        <w:t xml:space="preserve">vyjadruje poľutovanie nad tým, že pri revízii VFR došlo k škrtom v hlavných programoch, najmä v tých, ktoré boli v rámci dohody o VFR v roku 2020 osobitne posilnené, a je obzvlášť znepokojený politickým signálom, ktorý tieto škrty vysielajú; </w:t>
      </w:r>
    </w:p>
    <w:p w:rsidR="00BE6436" w:rsidRPr="00CF71CF" w:rsidRDefault="00BE6436" w:rsidP="00BE6436">
      <w:pPr>
        <w:pStyle w:val="NormalHanging12a"/>
        <w:rPr>
          <w:shd w:val="clear" w:color="auto" w:fill="FFFFFF"/>
        </w:rPr>
      </w:pPr>
      <w:r w:rsidRPr="00CF71CF">
        <w:rPr>
          <w:shd w:val="clear" w:color="auto" w:fill="FFFFFF"/>
        </w:rPr>
        <w:t>39.</w:t>
      </w:r>
      <w:r w:rsidRPr="00CF71CF">
        <w:rPr>
          <w:shd w:val="clear" w:color="auto" w:fill="FFFFFF"/>
        </w:rPr>
        <w:tab/>
        <w:t xml:space="preserve">vyjadruje hlboké poľutovanie nad znížením finančného krytia programu Horizont Európa o 2,1 miliardy EUR, čo je v rozpore s proklamovaným cieľom Rady investovať 3 % hrubého domáceho produktu do výskumu a vývoja; </w:t>
      </w:r>
      <w:r w:rsidR="002A339D" w:rsidRPr="00CF71CF">
        <w:t xml:space="preserve">trvá na tom, že väčšie investície do európskeho výskumu a inovácií v súčasnosti sú predpokladom toho, aby si Európa zabezpečila svoju hospodársku konkurencieschopnosť v budúcnosti; poukazuje na potrebu zvýšenia investícií do výskumu a inovácií, aby si Európa udržala alebo rozvíjala svoje vedúce postavenie v oblasti technológií v odvetviach, ktoré sú najviac ovplyvnené zelenou a digitálnou transformáciou; upozorňuje na to, že škrty týkajúce sa európskych činností v oblasti výskumu a inovácií sú v rozpore so sľubmi vedúcich predstaviteľov EÚ zvýšiť konkurencieschopnosť EÚ a posilniť jej otvorenú strategickú autonómiu; </w:t>
      </w:r>
      <w:r w:rsidRPr="00CF71CF">
        <w:rPr>
          <w:shd w:val="clear" w:color="auto" w:fill="FFFFFF"/>
        </w:rPr>
        <w:t xml:space="preserve">poukazuje však na to, že </w:t>
      </w:r>
      <w:r w:rsidR="0053744F" w:rsidRPr="00CF71CF">
        <w:t>Európsky p</w:t>
      </w:r>
      <w:r w:rsidRPr="00CF71CF">
        <w:rPr>
          <w:shd w:val="clear" w:color="auto" w:fill="FFFFFF"/>
        </w:rPr>
        <w:t xml:space="preserve">arlament pomohol zmierniť vplyv zníženia prostriedkov pre program Horizont Európa tým, že v prospech tohto programu sprístupnil rozpočtové prostriedky v oblasti výskumu, ktorých viazanosť bola zrušená podľa článku 15 ods. 3 nariadenia o rozpočtových pravidlách, vo výške 100 miliónov EUR, a to popri 500 miliónoch EUR, ktoré už boli dohodnuté v roku 2020; pripomína, že opätovné použitie rozpočtových prostriedkov v oblasti výskumu, ktorých viazanosť bola zrušená, je dlhodobou požiadavkou </w:t>
      </w:r>
      <w:r w:rsidR="00A54F89" w:rsidRPr="00CF71CF">
        <w:t>Európskeho p</w:t>
      </w:r>
      <w:r w:rsidRPr="00CF71CF">
        <w:rPr>
          <w:shd w:val="clear" w:color="auto" w:fill="FFFFFF"/>
        </w:rPr>
        <w:t>arlamentu;</w:t>
      </w:r>
    </w:p>
    <w:p w:rsidR="00BE6436" w:rsidRPr="00CF71CF" w:rsidRDefault="00BE6436" w:rsidP="00BE6436">
      <w:pPr>
        <w:pStyle w:val="NormalHanging12a"/>
        <w:rPr>
          <w:shd w:val="clear" w:color="auto" w:fill="FFFFFF"/>
        </w:rPr>
      </w:pPr>
      <w:r w:rsidRPr="00CF71CF">
        <w:rPr>
          <w:shd w:val="clear" w:color="auto" w:fill="FFFFFF"/>
        </w:rPr>
        <w:t>40.</w:t>
      </w:r>
      <w:r w:rsidRPr="00CF71CF">
        <w:rPr>
          <w:shd w:val="clear" w:color="auto" w:fill="FFFFFF"/>
        </w:rPr>
        <w:tab/>
        <w:t xml:space="preserve">pripomína význam politík v oblasti zdravia a jasný politický záväzok uprednostniť financovanie zdravia, prijatý v dohode o VFR z roku 2020; je preto veľmi sklamaný znížením prostriedkov na program EU4Health o 1 miliardu EUR; domnieva sa, že takéto rozhodnutie pravdepodobne oslabí pripravenosť na akúkoľvek ďalšiu pandémiu a obmedzí schopnosť Únie podporovať systémy verejného zdravotníctva; poukazuje však na to, že na žiadosť </w:t>
      </w:r>
      <w:r w:rsidR="00A54F89" w:rsidRPr="00CF71CF">
        <w:t>Európskeho p</w:t>
      </w:r>
      <w:r w:rsidRPr="00CF71CF">
        <w:rPr>
          <w:shd w:val="clear" w:color="auto" w:fill="FFFFFF"/>
        </w:rPr>
        <w:t>arlamentu bol profil výdavkov programu upravený tak, aby sa zmiernil vplyv zníženia prostriedkov na praktické vykonávanie tým, že sa účinok tohto zníženia rovnomernejšie rozloží na zostávajúce roky;</w:t>
      </w:r>
    </w:p>
    <w:p w:rsidR="00BE6436" w:rsidRPr="00CF71CF" w:rsidRDefault="00BE6436" w:rsidP="00BE6436">
      <w:pPr>
        <w:pStyle w:val="NormalHanging12a"/>
        <w:rPr>
          <w:shd w:val="clear" w:color="auto" w:fill="FFFFFF"/>
        </w:rPr>
      </w:pPr>
      <w:r w:rsidRPr="00CF71CF">
        <w:rPr>
          <w:shd w:val="clear" w:color="auto" w:fill="FFFFFF"/>
        </w:rPr>
        <w:t>41.</w:t>
      </w:r>
      <w:r w:rsidRPr="00CF71CF">
        <w:rPr>
          <w:shd w:val="clear" w:color="auto" w:fill="FFFFFF"/>
        </w:rPr>
        <w:tab/>
        <w:t xml:space="preserve">pripomína svoju pozíciu, podľa ktorej by sa vopred pridelené vnútroštátne finančné </w:t>
      </w:r>
      <w:r w:rsidRPr="00CF71CF">
        <w:rPr>
          <w:shd w:val="clear" w:color="auto" w:fill="FFFFFF"/>
        </w:rPr>
        <w:lastRenderedPageBreak/>
        <w:t>prostriedky pri revízii VFR nemali upravovať; víta preto rozhodnutie ponechať vopred pridelené vnútroštátne finančné krytie nedotknuté a nezohľadniť ho v mechanizme na pokrytie deficitu nákladov na prijaté úvery a pôžičky nástroja obnovy; vyjadruje však poľutovanie nad škrtmi v akciách vykonávaných na základe priameho riadenia v rámci politiky súdržnosti (–0,4 miliardy EUR) a spoločnej poľnohospodárskej politiky (–0,7 miliardy EUR), čím sa znižuje plný potenciál a vplyv týchto akcií;</w:t>
      </w:r>
    </w:p>
    <w:p w:rsidR="00BE6436" w:rsidRPr="00CF71CF" w:rsidRDefault="00BE6436" w:rsidP="00BE6436">
      <w:pPr>
        <w:pStyle w:val="NormalHanging12a"/>
        <w:rPr>
          <w:shd w:val="clear" w:color="auto" w:fill="FFFFFF"/>
        </w:rPr>
      </w:pPr>
      <w:r w:rsidRPr="00CF71CF">
        <w:rPr>
          <w:shd w:val="clear" w:color="auto" w:fill="FFFFFF"/>
        </w:rPr>
        <w:t>42.</w:t>
      </w:r>
      <w:r w:rsidRPr="00CF71CF">
        <w:rPr>
          <w:shd w:val="clear" w:color="auto" w:fill="FFFFFF"/>
        </w:rPr>
        <w:tab/>
        <w:t xml:space="preserve">uznáva, že Európsky fond na prispôsobenie sa globalizácii (EGF) ani </w:t>
      </w:r>
      <w:proofErr w:type="spellStart"/>
      <w:r w:rsidRPr="00CF71CF">
        <w:rPr>
          <w:shd w:val="clear" w:color="auto" w:fill="FFFFFF"/>
        </w:rPr>
        <w:t>pobrexitová</w:t>
      </w:r>
      <w:proofErr w:type="spellEnd"/>
      <w:r w:rsidRPr="00CF71CF">
        <w:rPr>
          <w:shd w:val="clear" w:color="auto" w:fill="FFFFFF"/>
        </w:rPr>
        <w:t xml:space="preserve"> adaptačná rezerva (BAR) neboli potrebné v predpokladanom rozsahu a že existuje priestor na úpravu ich finančného krytia; domnieva sa, že sumy z týchto osobitných nástrojov by sa mali opätovne použiť na iné účely v rozpočte, napríklad na posilnenie nástroja flexibility;</w:t>
      </w:r>
    </w:p>
    <w:p w:rsidR="00BE6436" w:rsidRPr="00CF71CF" w:rsidRDefault="00BE6436" w:rsidP="00BE6436">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CF71CF">
        <w:rPr>
          <w:b/>
          <w:i/>
          <w:color w:val="000000" w:themeColor="text1"/>
          <w:shd w:val="clear" w:color="auto" w:fill="FFFFFF"/>
        </w:rPr>
        <w:t>Vykonávanie balíka VFR</w:t>
      </w:r>
    </w:p>
    <w:p w:rsidR="00BE6436" w:rsidRPr="00CF71CF" w:rsidRDefault="00BE6436" w:rsidP="00BE6436">
      <w:pPr>
        <w:pStyle w:val="NormalHanging12a"/>
        <w:rPr>
          <w:shd w:val="clear" w:color="auto" w:fill="FFFFFF"/>
        </w:rPr>
      </w:pPr>
      <w:r w:rsidRPr="00CF71CF">
        <w:rPr>
          <w:shd w:val="clear" w:color="auto" w:fill="FFFFFF"/>
        </w:rPr>
        <w:t>43.</w:t>
      </w:r>
      <w:r w:rsidRPr="00CF71CF">
        <w:rPr>
          <w:shd w:val="clear" w:color="auto" w:fill="FFFFFF"/>
        </w:rPr>
        <w:tab/>
        <w:t>vyzýva Komisiu, aby rozpočtovému orgánu poskytla podrobné vysvetlenie, ako plánuje riadiť všetky zmeny programov a osobitných nástrojov tak, aby bolo možné v maximálnej miere dosiahnuť ich základné ciele, a aby poskytla podrobné informácie o vplyve revízie na rozpočet EÚ ako celok;</w:t>
      </w:r>
    </w:p>
    <w:p w:rsidR="00BE6436" w:rsidRPr="00CF71CF" w:rsidRDefault="00BE6436" w:rsidP="00BE6436">
      <w:pPr>
        <w:pStyle w:val="NormalHanging12a"/>
        <w:rPr>
          <w:shd w:val="clear" w:color="auto" w:fill="FFFFFF"/>
        </w:rPr>
      </w:pPr>
      <w:r w:rsidRPr="00CF71CF">
        <w:rPr>
          <w:shd w:val="clear" w:color="auto" w:fill="FFFFFF"/>
        </w:rPr>
        <w:t>44.</w:t>
      </w:r>
      <w:r w:rsidRPr="00CF71CF">
        <w:rPr>
          <w:shd w:val="clear" w:color="auto" w:fill="FFFFFF"/>
        </w:rPr>
        <w:tab/>
        <w:t>je pripravený schváliť všetky potrebné legislatívne a rozpočtové zmeny bez zbytočného odkladu vzhľadom na naliehavosť tejto záležitosti; v tejto súvislosti pripomína spoločné vyhlásenie Európskeho parlamentu, Rady a Komisie o začlenení výsledku revízie VFR do rozpočtu na rok 2024;</w:t>
      </w:r>
    </w:p>
    <w:p w:rsidR="00BE6436" w:rsidRPr="00CF71CF" w:rsidRDefault="00BE6436" w:rsidP="00BE6436">
      <w:pPr>
        <w:pStyle w:val="NormalHanging12a"/>
        <w:rPr>
          <w:shd w:val="clear" w:color="auto" w:fill="FFFFFF"/>
        </w:rPr>
      </w:pPr>
      <w:r w:rsidRPr="00CF71CF">
        <w:rPr>
          <w:shd w:val="clear" w:color="auto" w:fill="FFFFFF"/>
        </w:rPr>
        <w:t>45.</w:t>
      </w:r>
      <w:r w:rsidRPr="00CF71CF">
        <w:rPr>
          <w:shd w:val="clear" w:color="auto" w:fill="FFFFFF"/>
        </w:rPr>
        <w:tab/>
        <w:t xml:space="preserve">trvá na tom, že </w:t>
      </w:r>
      <w:r w:rsidR="00A54F89" w:rsidRPr="00CF71CF">
        <w:t>Európsky p</w:t>
      </w:r>
      <w:r w:rsidRPr="00CF71CF">
        <w:rPr>
          <w:shd w:val="clear" w:color="auto" w:fill="FFFFFF"/>
        </w:rPr>
        <w:t>arlament zabezpečí, aby sa pri vykonávaní tohto balíka plne rešpektovali jeho výsady v rámci ročného rozpočtového postupu;</w:t>
      </w:r>
    </w:p>
    <w:p w:rsidR="00CF5468" w:rsidRPr="00CF71CF" w:rsidRDefault="00CF5468" w:rsidP="00CF5468">
      <w:pPr>
        <w:pStyle w:val="NormalHanging12a"/>
        <w:widowControl/>
        <w:ind w:left="0" w:firstLine="0"/>
        <w:jc w:val="center"/>
      </w:pPr>
      <w:r w:rsidRPr="00CF71CF">
        <w:t>°</w:t>
      </w:r>
    </w:p>
    <w:p w:rsidR="00CF5468" w:rsidRPr="00CF71CF" w:rsidRDefault="00CF5468" w:rsidP="00CF5468">
      <w:pPr>
        <w:pStyle w:val="NormalHanging12a"/>
        <w:widowControl/>
        <w:ind w:left="0" w:firstLine="0"/>
        <w:jc w:val="center"/>
      </w:pPr>
      <w:r w:rsidRPr="00CF71CF">
        <w:t>°     °</w:t>
      </w:r>
    </w:p>
    <w:p w:rsidR="00BE6436" w:rsidRPr="00CF71CF" w:rsidRDefault="00BE6436" w:rsidP="00BE6436">
      <w:pPr>
        <w:pStyle w:val="NormalHanging12a"/>
      </w:pPr>
      <w:r w:rsidRPr="00CF71CF">
        <w:t>46.</w:t>
      </w:r>
      <w:r w:rsidRPr="00CF71CF">
        <w:tab/>
        <w:t xml:space="preserve">poveruje svoju predsedníčku, aby postúpila toto uznesenie </w:t>
      </w:r>
      <w:r w:rsidR="003A4FC4" w:rsidRPr="00CF71CF">
        <w:t>Rade a Komisii.</w:t>
      </w:r>
    </w:p>
    <w:p w:rsidR="00BE6436" w:rsidRPr="00CF71CF" w:rsidRDefault="00BE6436" w:rsidP="00BE6436"/>
    <w:p w:rsidR="00E365E1" w:rsidRPr="00CF71CF" w:rsidRDefault="00E365E1" w:rsidP="007E49DC">
      <w:bookmarkStart w:id="9" w:name="TextBodyEnd"/>
      <w:bookmarkEnd w:id="9"/>
    </w:p>
    <w:sectPr w:rsidR="00E365E1" w:rsidRPr="00CF71CF" w:rsidSect="003A4F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9DC" w:rsidRPr="003A4FC4" w:rsidRDefault="007E49DC">
      <w:r w:rsidRPr="003A4FC4">
        <w:separator/>
      </w:r>
    </w:p>
  </w:endnote>
  <w:endnote w:type="continuationSeparator" w:id="0">
    <w:p w:rsidR="007E49DC" w:rsidRPr="003A4FC4" w:rsidRDefault="007E49DC">
      <w:r w:rsidRPr="003A4F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9DC" w:rsidRPr="003A4FC4" w:rsidRDefault="007E49DC">
      <w:r w:rsidRPr="003A4FC4">
        <w:separator/>
      </w:r>
    </w:p>
  </w:footnote>
  <w:footnote w:type="continuationSeparator" w:id="0">
    <w:p w:rsidR="007E49DC" w:rsidRPr="003A4FC4" w:rsidRDefault="007E49DC">
      <w:r w:rsidRPr="003A4FC4">
        <w:continuationSeparator/>
      </w:r>
    </w:p>
  </w:footnote>
  <w:footnote w:id="1">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Ú. v. EÚ L 433</w:t>
      </w:r>
      <w:r w:rsidR="00185E9C">
        <w:rPr>
          <w:sz w:val="24"/>
          <w:lang w:val="sk-SK"/>
        </w:rPr>
        <w:t xml:space="preserve"> </w:t>
      </w:r>
      <w:r w:rsidRPr="003A4FC4">
        <w:rPr>
          <w:sz w:val="24"/>
          <w:lang w:val="sk-SK"/>
        </w:rPr>
        <w:t>I, 22.12.2020, s. 11.</w:t>
      </w:r>
    </w:p>
  </w:footnote>
  <w:footnote w:id="2">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Ú. v. EÚ C 444</w:t>
      </w:r>
      <w:r w:rsidR="00185E9C">
        <w:rPr>
          <w:sz w:val="24"/>
          <w:lang w:val="sk-SK"/>
        </w:rPr>
        <w:t xml:space="preserve"> </w:t>
      </w:r>
      <w:r w:rsidRPr="003A4FC4">
        <w:rPr>
          <w:sz w:val="24"/>
          <w:lang w:val="sk-SK"/>
        </w:rPr>
        <w:t>I, 22.12.2020, s. 4.</w:t>
      </w:r>
    </w:p>
  </w:footnote>
  <w:footnote w:id="3">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Prijaté texty, P9_TA(2020)0357.</w:t>
      </w:r>
    </w:p>
  </w:footnote>
  <w:footnote w:id="4">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Ú. v. EÚ L 424, 15.12.2020, s. 1.</w:t>
      </w:r>
    </w:p>
  </w:footnote>
  <w:footnote w:id="5">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Ú. v. EÚ L 433 I, 22.12.2020, s. 28.</w:t>
      </w:r>
    </w:p>
  </w:footnote>
  <w:footnote w:id="6">
    <w:p w:rsidR="00BE6436" w:rsidRPr="003A4FC4" w:rsidRDefault="00BE6436" w:rsidP="003A4FC4">
      <w:pPr>
        <w:pStyle w:val="FootnoteText"/>
        <w:ind w:left="567" w:hanging="567"/>
        <w:rPr>
          <w:i/>
          <w:sz w:val="24"/>
          <w:lang w:val="sk-SK"/>
        </w:rPr>
      </w:pPr>
      <w:r w:rsidRPr="003A4FC4">
        <w:rPr>
          <w:rStyle w:val="FootnoteReference"/>
          <w:sz w:val="24"/>
          <w:lang w:val="sk-SK"/>
        </w:rPr>
        <w:footnoteRef/>
      </w:r>
      <w:r w:rsidR="003A4FC4" w:rsidRPr="003A4FC4">
        <w:rPr>
          <w:rStyle w:val="Emphasis"/>
          <w:sz w:val="24"/>
          <w:shd w:val="clear" w:color="auto" w:fill="FFFFFF"/>
          <w:lang w:val="sk-SK"/>
        </w:rPr>
        <w:t xml:space="preserve"> </w:t>
      </w:r>
      <w:r w:rsidR="003A4FC4" w:rsidRPr="003A4FC4">
        <w:rPr>
          <w:rStyle w:val="Emphasis"/>
          <w:sz w:val="24"/>
          <w:shd w:val="clear" w:color="auto" w:fill="FFFFFF"/>
          <w:lang w:val="sk-SK"/>
        </w:rPr>
        <w:tab/>
      </w:r>
      <w:r w:rsidRPr="00CA7585">
        <w:rPr>
          <w:rStyle w:val="Emphasis"/>
          <w:i w:val="0"/>
          <w:sz w:val="24"/>
          <w:shd w:val="clear" w:color="auto" w:fill="FFFFFF"/>
          <w:lang w:val="sk-SK"/>
        </w:rPr>
        <w:t>Ú. v. EÚ L 433 I, 22.12.2020, s. 1.</w:t>
      </w:r>
    </w:p>
  </w:footnote>
  <w:footnote w:id="7">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Prijaté texty, P9_TA(2023)0335.</w:t>
      </w:r>
    </w:p>
  </w:footnote>
  <w:footnote w:id="8">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Prijaté texty, P9_TA(2023)0194.</w:t>
      </w:r>
    </w:p>
  </w:footnote>
  <w:footnote w:id="9">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 xml:space="preserve">Prijaté texty, </w:t>
      </w:r>
      <w:r w:rsidRPr="003A4FC4">
        <w:rPr>
          <w:sz w:val="24"/>
          <w:lang w:val="sk-SK"/>
        </w:rPr>
        <w:t>P9_TA(202</w:t>
      </w:r>
      <w:r w:rsidR="00260121">
        <w:rPr>
          <w:sz w:val="24"/>
          <w:lang w:val="sk-SK"/>
        </w:rPr>
        <w:t>2</w:t>
      </w:r>
      <w:bookmarkStart w:id="8" w:name="_GoBack"/>
      <w:bookmarkEnd w:id="8"/>
      <w:r w:rsidRPr="003A4FC4">
        <w:rPr>
          <w:sz w:val="24"/>
          <w:lang w:val="sk-SK"/>
        </w:rPr>
        <w:t>)0450.</w:t>
      </w:r>
    </w:p>
  </w:footnote>
  <w:footnote w:id="10">
    <w:p w:rsidR="00BE6436" w:rsidRPr="003A4FC4" w:rsidRDefault="00BE6436" w:rsidP="003A4FC4">
      <w:pPr>
        <w:pStyle w:val="FootnoteText"/>
        <w:ind w:left="567" w:hanging="567"/>
        <w:rPr>
          <w:sz w:val="24"/>
          <w:lang w:val="sk-SK"/>
        </w:rPr>
      </w:pPr>
      <w:r w:rsidRPr="003A4FC4">
        <w:rPr>
          <w:rStyle w:val="FootnoteReference"/>
          <w:sz w:val="24"/>
          <w:lang w:val="sk-SK"/>
        </w:rPr>
        <w:footnoteRef/>
      </w:r>
      <w:r w:rsidR="003A4FC4" w:rsidRPr="003A4FC4">
        <w:rPr>
          <w:sz w:val="24"/>
          <w:lang w:val="sk-SK"/>
        </w:rPr>
        <w:t xml:space="preserve"> </w:t>
      </w:r>
      <w:r w:rsidR="003A4FC4" w:rsidRPr="003A4FC4">
        <w:rPr>
          <w:sz w:val="24"/>
          <w:lang w:val="sk-SK"/>
        </w:rPr>
        <w:tab/>
      </w:r>
      <w:r w:rsidRPr="003A4FC4">
        <w:rPr>
          <w:sz w:val="24"/>
          <w:lang w:val="sk-SK"/>
        </w:rPr>
        <w:t>Prijaté texty,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F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BE27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SK"/>
    <w:docVar w:name="dvnumam" w:val="0"/>
    <w:docVar w:name="dvpe" w:val="758.970"/>
    <w:docVar w:name="dvrapporteur" w:val="Spravodajcovia: "/>
    <w:docVar w:name="dvtitre" w:val="Uznesenie Európskeho parlamentu z xx. februára 2024 s návrhom nelegislatívneho uznesenia o návrhu nariadenia Rady, ktorým sa mení nariadenie Rady (EÚ, Euratom) č. 2020/2093, ktorým sa ustanovuje viacročný finančný rámec na roky 2021 – 2027(05818/2024 – C9-0030/2024 – 2023/0201M(APP))"/>
  </w:docVars>
  <w:rsids>
    <w:rsidRoot w:val="007E49DC"/>
    <w:rsid w:val="00002272"/>
    <w:rsid w:val="00064002"/>
    <w:rsid w:val="000677B9"/>
    <w:rsid w:val="000831BA"/>
    <w:rsid w:val="000A42CC"/>
    <w:rsid w:val="000E7DD9"/>
    <w:rsid w:val="0010095E"/>
    <w:rsid w:val="00125B37"/>
    <w:rsid w:val="00185E9C"/>
    <w:rsid w:val="00187494"/>
    <w:rsid w:val="001F2D00"/>
    <w:rsid w:val="001F32AE"/>
    <w:rsid w:val="002370D4"/>
    <w:rsid w:val="00260121"/>
    <w:rsid w:val="002767FF"/>
    <w:rsid w:val="002A339D"/>
    <w:rsid w:val="002B18FE"/>
    <w:rsid w:val="002B5493"/>
    <w:rsid w:val="00343214"/>
    <w:rsid w:val="00361C00"/>
    <w:rsid w:val="003877E9"/>
    <w:rsid w:val="00395FA1"/>
    <w:rsid w:val="003A4FC4"/>
    <w:rsid w:val="003E15D4"/>
    <w:rsid w:val="00411CCE"/>
    <w:rsid w:val="0041666E"/>
    <w:rsid w:val="00421060"/>
    <w:rsid w:val="00471C19"/>
    <w:rsid w:val="004867E3"/>
    <w:rsid w:val="00494A28"/>
    <w:rsid w:val="004C0004"/>
    <w:rsid w:val="004C5D52"/>
    <w:rsid w:val="004E5BD4"/>
    <w:rsid w:val="004F1F08"/>
    <w:rsid w:val="0050519A"/>
    <w:rsid w:val="005072A1"/>
    <w:rsid w:val="00514517"/>
    <w:rsid w:val="0053744F"/>
    <w:rsid w:val="00545827"/>
    <w:rsid w:val="00560270"/>
    <w:rsid w:val="005C2568"/>
    <w:rsid w:val="006037C0"/>
    <w:rsid w:val="006631B6"/>
    <w:rsid w:val="00680577"/>
    <w:rsid w:val="006F74FA"/>
    <w:rsid w:val="00731ADD"/>
    <w:rsid w:val="00734777"/>
    <w:rsid w:val="00742848"/>
    <w:rsid w:val="00747932"/>
    <w:rsid w:val="00751A4A"/>
    <w:rsid w:val="00756632"/>
    <w:rsid w:val="00762C74"/>
    <w:rsid w:val="00786EC0"/>
    <w:rsid w:val="007D1690"/>
    <w:rsid w:val="007E22AD"/>
    <w:rsid w:val="007E49DC"/>
    <w:rsid w:val="00817416"/>
    <w:rsid w:val="00842779"/>
    <w:rsid w:val="00865F67"/>
    <w:rsid w:val="00881A7B"/>
    <w:rsid w:val="008840E5"/>
    <w:rsid w:val="00887B3E"/>
    <w:rsid w:val="008B640B"/>
    <w:rsid w:val="008C2AC6"/>
    <w:rsid w:val="00930C23"/>
    <w:rsid w:val="0093193B"/>
    <w:rsid w:val="009509D8"/>
    <w:rsid w:val="00950B64"/>
    <w:rsid w:val="00981893"/>
    <w:rsid w:val="00A00B1A"/>
    <w:rsid w:val="00A1687D"/>
    <w:rsid w:val="00A43E52"/>
    <w:rsid w:val="00A4678D"/>
    <w:rsid w:val="00A54F89"/>
    <w:rsid w:val="00A778C7"/>
    <w:rsid w:val="00AB441E"/>
    <w:rsid w:val="00AB6293"/>
    <w:rsid w:val="00AE0928"/>
    <w:rsid w:val="00AF3B82"/>
    <w:rsid w:val="00B12E95"/>
    <w:rsid w:val="00B22876"/>
    <w:rsid w:val="00B558F0"/>
    <w:rsid w:val="00BB3E52"/>
    <w:rsid w:val="00BD48FE"/>
    <w:rsid w:val="00BD7BD8"/>
    <w:rsid w:val="00BE6436"/>
    <w:rsid w:val="00BE6ADC"/>
    <w:rsid w:val="00C05BFE"/>
    <w:rsid w:val="00C23CD4"/>
    <w:rsid w:val="00C61C0C"/>
    <w:rsid w:val="00C941CB"/>
    <w:rsid w:val="00CA7585"/>
    <w:rsid w:val="00CC2357"/>
    <w:rsid w:val="00CF071A"/>
    <w:rsid w:val="00CF5468"/>
    <w:rsid w:val="00CF71CF"/>
    <w:rsid w:val="00D058B8"/>
    <w:rsid w:val="00D56C11"/>
    <w:rsid w:val="00D834A0"/>
    <w:rsid w:val="00D872DF"/>
    <w:rsid w:val="00D91E21"/>
    <w:rsid w:val="00DA7FCD"/>
    <w:rsid w:val="00E0735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519FD"/>
  <w15:chartTrackingRefBased/>
  <w15:docId w15:val="{D9E4F1F0-F5EE-45E2-9852-5248D212B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E6436"/>
    <w:pPr>
      <w:spacing w:after="240"/>
      <w:ind w:left="567" w:hanging="567"/>
    </w:pPr>
  </w:style>
  <w:style w:type="paragraph" w:styleId="ListBullet">
    <w:name w:val="List Bullet"/>
    <w:basedOn w:val="Normal"/>
    <w:autoRedefine/>
    <w:uiPriority w:val="99"/>
    <w:unhideWhenUsed/>
    <w:rsid w:val="00BE6436"/>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BE6436"/>
    <w:rPr>
      <w:i/>
      <w:iCs/>
    </w:rPr>
  </w:style>
  <w:style w:type="paragraph" w:styleId="BalloonText">
    <w:name w:val="Balloon Text"/>
    <w:basedOn w:val="Normal"/>
    <w:link w:val="BalloonTextChar"/>
    <w:rsid w:val="00CF5468"/>
    <w:rPr>
      <w:rFonts w:ascii="Segoe UI" w:hAnsi="Segoe UI" w:cs="Segoe UI"/>
      <w:sz w:val="18"/>
      <w:szCs w:val="18"/>
    </w:rPr>
  </w:style>
  <w:style w:type="character" w:customStyle="1" w:styleId="BalloonTextChar">
    <w:name w:val="Balloon Text Char"/>
    <w:basedOn w:val="DefaultParagraphFont"/>
    <w:link w:val="BalloonText"/>
    <w:rsid w:val="00CF5468"/>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1CC1-DBC5-4CF1-8554-589A2670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3628</Words>
  <Characters>21422</Characters>
  <Application>Microsoft Office Word</Application>
  <DocSecurity>4</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2024-07-02T14:32:00Z</dcterms:created>
  <dcterms:modified xsi:type="dcterms:W3CDTF">2024-07-02T14:32:00Z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A9-0053/2024</vt:lpwstr>
  </property>
  <property fmtid="{D5CDD505-2E9C-101B-9397-08002B2CF9AE}" pid="4" name="&lt;Type&gt;">
    <vt:lpwstr>RR</vt:lpwstr>
  </property>
</Properties>
</file>