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B309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8B3090" w:rsidRDefault="009E22D3" w:rsidP="0010095E">
            <w:pPr>
              <w:pStyle w:val="EPName"/>
            </w:pPr>
            <w:r w:rsidRPr="008B3090">
              <w:t>Parlamento europeo</w:t>
            </w:r>
          </w:p>
          <w:p w:rsidR="00751A4A" w:rsidRPr="008B309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361A2">
              <w:t>2019</w:t>
            </w:r>
            <w:r w:rsidRPr="008B3090">
              <w:t>-</w:t>
            </w:r>
            <w:r w:rsidRPr="00D361A2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8B3090" w:rsidRDefault="00187494" w:rsidP="0010095E">
            <w:pPr>
              <w:pStyle w:val="EPLogo"/>
            </w:pPr>
            <w:r w:rsidRPr="008B309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8B3090" w:rsidRDefault="00D058B8" w:rsidP="004C5D52">
      <w:pPr>
        <w:pStyle w:val="LineTop"/>
      </w:pPr>
    </w:p>
    <w:p w:rsidR="00680577" w:rsidRPr="008B3090" w:rsidRDefault="009E22D3" w:rsidP="00680577">
      <w:pPr>
        <w:pStyle w:val="EPBodyTA1"/>
      </w:pPr>
      <w:r w:rsidRPr="008B3090">
        <w:t>TESTI APPROVATI</w:t>
      </w:r>
    </w:p>
    <w:p w:rsidR="00D058B8" w:rsidRPr="008B3090" w:rsidRDefault="00D058B8" w:rsidP="00D058B8">
      <w:pPr>
        <w:pStyle w:val="LineBottom"/>
      </w:pPr>
    </w:p>
    <w:p w:rsidR="009E22D3" w:rsidRPr="008B3090" w:rsidRDefault="009E22D3" w:rsidP="009E22D3">
      <w:pPr>
        <w:pStyle w:val="ATHeading1"/>
      </w:pPr>
      <w:bookmarkStart w:id="0" w:name="TANumber"/>
      <w:r w:rsidRPr="008B3090">
        <w:t>P</w:t>
      </w:r>
      <w:r w:rsidRPr="00D361A2">
        <w:t>9</w:t>
      </w:r>
      <w:r w:rsidRPr="008B3090">
        <w:t>_</w:t>
      </w:r>
      <w:proofErr w:type="gramStart"/>
      <w:r w:rsidRPr="008B3090">
        <w:t>TA(</w:t>
      </w:r>
      <w:proofErr w:type="gramEnd"/>
      <w:r w:rsidRPr="00D361A2">
        <w:t>2024</w:t>
      </w:r>
      <w:r w:rsidRPr="008B3090">
        <w:t>)</w:t>
      </w:r>
      <w:r w:rsidRPr="00D361A2">
        <w:t>00</w:t>
      </w:r>
      <w:r w:rsidR="00B6014B" w:rsidRPr="00D361A2">
        <w:t>83</w:t>
      </w:r>
      <w:bookmarkEnd w:id="0"/>
    </w:p>
    <w:p w:rsidR="009E22D3" w:rsidRPr="008B3090" w:rsidRDefault="00B47C86" w:rsidP="009E22D3">
      <w:pPr>
        <w:pStyle w:val="ATHeading2"/>
      </w:pPr>
      <w:bookmarkStart w:id="1" w:name="title"/>
      <w:r w:rsidRPr="008B3090">
        <w:t xml:space="preserve">Istituzione dello </w:t>
      </w:r>
      <w:r w:rsidR="009E22D3" w:rsidRPr="008B3090">
        <w:t>strumento per l'Ucraina</w:t>
      </w:r>
      <w:bookmarkEnd w:id="1"/>
    </w:p>
    <w:p w:rsidR="009E22D3" w:rsidRPr="008B3090" w:rsidRDefault="009E22D3" w:rsidP="009E22D3">
      <w:pPr>
        <w:rPr>
          <w:i/>
          <w:vanish/>
        </w:rPr>
      </w:pPr>
      <w:r w:rsidRPr="008B3090">
        <w:rPr>
          <w:i/>
        </w:rPr>
        <w:fldChar w:fldCharType="begin"/>
      </w:r>
      <w:r w:rsidRPr="008B3090">
        <w:rPr>
          <w:i/>
        </w:rPr>
        <w:instrText xml:space="preserve"> TC"(</w:instrText>
      </w:r>
      <w:bookmarkStart w:id="2" w:name="DocNumber"/>
      <w:r w:rsidRPr="008B3090">
        <w:rPr>
          <w:i/>
        </w:rPr>
        <w:instrText>A</w:instrText>
      </w:r>
      <w:r w:rsidRPr="00D361A2">
        <w:rPr>
          <w:i/>
        </w:rPr>
        <w:instrText>9</w:instrText>
      </w:r>
      <w:r w:rsidRPr="008B3090">
        <w:rPr>
          <w:i/>
        </w:rPr>
        <w:instrText>-</w:instrText>
      </w:r>
      <w:r w:rsidRPr="00D361A2">
        <w:rPr>
          <w:i/>
        </w:rPr>
        <w:instrText>0286</w:instrText>
      </w:r>
      <w:r w:rsidRPr="008B3090">
        <w:rPr>
          <w:i/>
        </w:rPr>
        <w:instrText>/</w:instrText>
      </w:r>
      <w:r w:rsidRPr="00D361A2">
        <w:rPr>
          <w:i/>
        </w:rPr>
        <w:instrText>2023</w:instrText>
      </w:r>
      <w:bookmarkEnd w:id="2"/>
      <w:r w:rsidRPr="008B3090">
        <w:rPr>
          <w:i/>
        </w:rPr>
        <w:instrText xml:space="preserve"> - Relatori: Michael </w:instrText>
      </w:r>
      <w:proofErr w:type="spellStart"/>
      <w:r w:rsidRPr="008B3090">
        <w:rPr>
          <w:i/>
        </w:rPr>
        <w:instrText>Gahler</w:instrText>
      </w:r>
      <w:proofErr w:type="spellEnd"/>
      <w:r w:rsidRPr="008B3090">
        <w:rPr>
          <w:i/>
        </w:rPr>
        <w:instrText xml:space="preserve">, </w:instrText>
      </w:r>
      <w:proofErr w:type="spellStart"/>
      <w:r w:rsidRPr="008B3090">
        <w:rPr>
          <w:i/>
        </w:rPr>
        <w:instrText>Eider</w:instrText>
      </w:r>
      <w:proofErr w:type="spellEnd"/>
      <w:r w:rsidRPr="008B3090">
        <w:rPr>
          <w:i/>
        </w:rPr>
        <w:instrText xml:space="preserve"> </w:instrText>
      </w:r>
      <w:proofErr w:type="spellStart"/>
      <w:r w:rsidRPr="008B3090">
        <w:rPr>
          <w:i/>
        </w:rPr>
        <w:instrText>Gardiazabal</w:instrText>
      </w:r>
      <w:proofErr w:type="spellEnd"/>
      <w:r w:rsidRPr="008B3090">
        <w:rPr>
          <w:i/>
        </w:rPr>
        <w:instrText xml:space="preserve"> </w:instrText>
      </w:r>
      <w:proofErr w:type="spellStart"/>
      <w:r w:rsidRPr="008B3090">
        <w:rPr>
          <w:i/>
        </w:rPr>
        <w:instrText>Rubial</w:instrText>
      </w:r>
      <w:proofErr w:type="spellEnd"/>
      <w:r w:rsidRPr="008B3090">
        <w:rPr>
          <w:i/>
        </w:rPr>
        <w:instrText>)"\l</w:instrText>
      </w:r>
      <w:r w:rsidRPr="00D361A2">
        <w:rPr>
          <w:i/>
        </w:rPr>
        <w:instrText>3</w:instrText>
      </w:r>
      <w:r w:rsidRPr="008B3090">
        <w:rPr>
          <w:i/>
        </w:rPr>
        <w:instrText xml:space="preserve"> \n&gt; \* MERGEFORMAT </w:instrText>
      </w:r>
      <w:r w:rsidRPr="008B3090">
        <w:rPr>
          <w:i/>
        </w:rPr>
        <w:fldChar w:fldCharType="end"/>
      </w:r>
    </w:p>
    <w:p w:rsidR="009E22D3" w:rsidRPr="008B3090" w:rsidRDefault="009E22D3" w:rsidP="009E22D3">
      <w:pPr>
        <w:rPr>
          <w:vanish/>
        </w:rPr>
      </w:pPr>
      <w:bookmarkStart w:id="3" w:name="Commission"/>
      <w:r w:rsidRPr="008B3090">
        <w:rPr>
          <w:vanish/>
        </w:rPr>
        <w:t>Commissione per gli affari esteri</w:t>
      </w:r>
      <w:bookmarkEnd w:id="3"/>
      <w:r w:rsidR="00845EFD" w:rsidRPr="008B3090">
        <w:rPr>
          <w:vanish/>
        </w:rPr>
        <w:t>, commissione per i bilanci</w:t>
      </w:r>
    </w:p>
    <w:p w:rsidR="009E22D3" w:rsidRPr="008B3090" w:rsidRDefault="009E22D3" w:rsidP="009E22D3">
      <w:pPr>
        <w:rPr>
          <w:vanish/>
        </w:rPr>
      </w:pPr>
      <w:bookmarkStart w:id="4" w:name="PE"/>
      <w:r w:rsidRPr="008B3090">
        <w:rPr>
          <w:vanish/>
        </w:rPr>
        <w:t>PE</w:t>
      </w:r>
      <w:r w:rsidRPr="00D361A2">
        <w:rPr>
          <w:vanish/>
        </w:rPr>
        <w:t>751</w:t>
      </w:r>
      <w:r w:rsidRPr="008B3090">
        <w:rPr>
          <w:vanish/>
        </w:rPr>
        <w:t>.</w:t>
      </w:r>
      <w:r w:rsidRPr="00D361A2">
        <w:rPr>
          <w:vanish/>
        </w:rPr>
        <w:t>825</w:t>
      </w:r>
      <w:bookmarkEnd w:id="4"/>
    </w:p>
    <w:p w:rsidR="009E22D3" w:rsidRPr="008B3090" w:rsidRDefault="009E22D3" w:rsidP="009E22D3">
      <w:pPr>
        <w:pStyle w:val="ATHeading3"/>
      </w:pPr>
      <w:bookmarkStart w:id="5" w:name="Sujet"/>
      <w:r w:rsidRPr="008B3090">
        <w:t xml:space="preserve">Risoluzione legislativa del Parlamento europeo del </w:t>
      </w:r>
      <w:r w:rsidRPr="00D361A2">
        <w:t>27</w:t>
      </w:r>
      <w:r w:rsidRPr="008B3090">
        <w:t xml:space="preserve"> febbraio </w:t>
      </w:r>
      <w:r w:rsidRPr="00D361A2">
        <w:t>2024</w:t>
      </w:r>
      <w:r w:rsidRPr="008B3090">
        <w:t xml:space="preserve"> sulla proposta di regolamento del Parlamento europeo e del Consiglio che istituisce lo strumento per l'Ucraina</w:t>
      </w:r>
      <w:bookmarkEnd w:id="5"/>
      <w:r w:rsidRPr="008B3090">
        <w:t xml:space="preserve"> </w:t>
      </w:r>
      <w:bookmarkStart w:id="6" w:name="References"/>
      <w:r w:rsidRPr="008B3090">
        <w:t>(</w:t>
      </w:r>
      <w:proofErr w:type="gramStart"/>
      <w:r w:rsidRPr="008B3090">
        <w:t>COM(</w:t>
      </w:r>
      <w:proofErr w:type="gramEnd"/>
      <w:r w:rsidRPr="00D361A2">
        <w:t>2023</w:t>
      </w:r>
      <w:r w:rsidRPr="008B3090">
        <w:t>)</w:t>
      </w:r>
      <w:r w:rsidRPr="00D361A2">
        <w:t>0338</w:t>
      </w:r>
      <w:r w:rsidRPr="008B3090">
        <w:t xml:space="preserve"> – C</w:t>
      </w:r>
      <w:r w:rsidRPr="00D361A2">
        <w:t>9</w:t>
      </w:r>
      <w:r w:rsidRPr="008B3090">
        <w:t>-</w:t>
      </w:r>
      <w:r w:rsidRPr="00D361A2">
        <w:t>0210</w:t>
      </w:r>
      <w:r w:rsidRPr="008B3090">
        <w:t>/</w:t>
      </w:r>
      <w:r w:rsidRPr="00D361A2">
        <w:t>2023</w:t>
      </w:r>
      <w:r w:rsidRPr="008B3090">
        <w:t xml:space="preserve"> – </w:t>
      </w:r>
      <w:r w:rsidRPr="00D361A2">
        <w:t>2023</w:t>
      </w:r>
      <w:r w:rsidRPr="008B3090">
        <w:t>/</w:t>
      </w:r>
      <w:r w:rsidRPr="00D361A2">
        <w:t>0200</w:t>
      </w:r>
      <w:r w:rsidRPr="008B3090">
        <w:t>(COD))</w:t>
      </w:r>
      <w:bookmarkEnd w:id="6"/>
    </w:p>
    <w:p w:rsidR="009E22D3" w:rsidRPr="008B3090" w:rsidRDefault="00C82B27" w:rsidP="00B54E66">
      <w:pPr>
        <w:pStyle w:val="NormalBold"/>
        <w:spacing w:before="240"/>
      </w:pPr>
      <w:r w:rsidRPr="008B3090">
        <w:t>(Procedura legislative ordinaria: prima lettura)</w:t>
      </w:r>
    </w:p>
    <w:p w:rsidR="00606331" w:rsidRPr="008B3090" w:rsidRDefault="00606331" w:rsidP="00606331">
      <w:pPr>
        <w:pStyle w:val="EPComma"/>
      </w:pPr>
      <w:bookmarkStart w:id="7" w:name="TextBodyBegin"/>
      <w:bookmarkEnd w:id="7"/>
      <w:r w:rsidRPr="008B3090">
        <w:rPr>
          <w:i/>
        </w:rPr>
        <w:t>Il Parlamento europeo</w:t>
      </w:r>
      <w:r w:rsidRPr="008B3090">
        <w:t>,</w:t>
      </w:r>
    </w:p>
    <w:p w:rsidR="00606331" w:rsidRPr="008B3090" w:rsidRDefault="00606331" w:rsidP="00606331">
      <w:pPr>
        <w:pStyle w:val="NormalHanging12a"/>
      </w:pPr>
      <w:r w:rsidRPr="008B3090">
        <w:t>–</w:t>
      </w:r>
      <w:r w:rsidRPr="008B3090">
        <w:tab/>
        <w:t>vista la proposta della Commissione al Parlamento europeo e al Consiglio (</w:t>
      </w:r>
      <w:proofErr w:type="gramStart"/>
      <w:r w:rsidRPr="008B3090">
        <w:t>COM(</w:t>
      </w:r>
      <w:proofErr w:type="gramEnd"/>
      <w:r w:rsidRPr="00D361A2">
        <w:t>2023</w:t>
      </w:r>
      <w:r w:rsidRPr="008B3090">
        <w:t>)</w:t>
      </w:r>
      <w:r w:rsidRPr="00D361A2">
        <w:t>0338</w:t>
      </w:r>
      <w:r w:rsidRPr="008B3090">
        <w:t>),</w:t>
      </w:r>
    </w:p>
    <w:p w:rsidR="00606331" w:rsidRPr="008B3090" w:rsidRDefault="00606331" w:rsidP="00606331">
      <w:pPr>
        <w:pStyle w:val="NormalHanging12a"/>
      </w:pPr>
      <w:r w:rsidRPr="008B3090">
        <w:t>–</w:t>
      </w:r>
      <w:r w:rsidRPr="008B3090">
        <w:tab/>
        <w:t xml:space="preserve">visti l'articolo </w:t>
      </w:r>
      <w:r w:rsidRPr="00D361A2">
        <w:t>294</w:t>
      </w:r>
      <w:r w:rsidRPr="008B3090">
        <w:t xml:space="preserve">, paragrafo </w:t>
      </w:r>
      <w:r w:rsidRPr="00D361A2">
        <w:t>2</w:t>
      </w:r>
      <w:r w:rsidRPr="008B3090">
        <w:t xml:space="preserve">, e gli articoli </w:t>
      </w:r>
      <w:r w:rsidRPr="00D361A2">
        <w:t>212</w:t>
      </w:r>
      <w:r w:rsidRPr="008B3090">
        <w:t xml:space="preserve"> e </w:t>
      </w:r>
      <w:r w:rsidRPr="00D361A2">
        <w:t>322</w:t>
      </w:r>
      <w:r w:rsidRPr="008B3090">
        <w:t xml:space="preserve">, paragrafo </w:t>
      </w:r>
      <w:r w:rsidRPr="00D361A2">
        <w:t>1</w:t>
      </w:r>
      <w:r w:rsidRPr="008B3090">
        <w:t>, del trattato sul funzionamento dell'Unione europea, a norma dei quali la proposta gli è stata presentata dalla Commissione (C</w:t>
      </w:r>
      <w:r w:rsidRPr="00D361A2">
        <w:t>9</w:t>
      </w:r>
      <w:r w:rsidRPr="008B3090">
        <w:noBreakHyphen/>
      </w:r>
      <w:r w:rsidRPr="00D361A2">
        <w:t>0210</w:t>
      </w:r>
      <w:r w:rsidRPr="008B3090">
        <w:t>/</w:t>
      </w:r>
      <w:r w:rsidRPr="00D361A2">
        <w:t>2023</w:t>
      </w:r>
      <w:r w:rsidRPr="008B3090">
        <w:t>),</w:t>
      </w:r>
    </w:p>
    <w:p w:rsidR="00606331" w:rsidRPr="008B3090" w:rsidRDefault="00606331" w:rsidP="00606331">
      <w:pPr>
        <w:pStyle w:val="NormalHanging12a"/>
      </w:pPr>
      <w:r w:rsidRPr="008B3090">
        <w:t>–</w:t>
      </w:r>
      <w:r w:rsidRPr="008B3090">
        <w:tab/>
        <w:t xml:space="preserve">visto l'articolo </w:t>
      </w:r>
      <w:r w:rsidRPr="00D361A2">
        <w:t>294</w:t>
      </w:r>
      <w:r w:rsidRPr="008B3090">
        <w:t xml:space="preserve">, paragrafo </w:t>
      </w:r>
      <w:r w:rsidRPr="00D361A2">
        <w:t>3</w:t>
      </w:r>
      <w:r w:rsidRPr="008B3090">
        <w:t>, del trattato sul funzionamento dell'Unione europea,</w:t>
      </w:r>
    </w:p>
    <w:p w:rsidR="00C82B27" w:rsidRPr="008B3090" w:rsidRDefault="00C82B27" w:rsidP="00B54E66">
      <w:pPr>
        <w:pStyle w:val="Normal12Hanging"/>
      </w:pPr>
      <w:r w:rsidRPr="008B3090">
        <w:t>–</w:t>
      </w:r>
      <w:r w:rsidRPr="008B3090">
        <w:tab/>
        <w:t xml:space="preserve">visti l'accordo provvisorio approvato dalle commissioni competenti a norma dell'articolo </w:t>
      </w:r>
      <w:r w:rsidRPr="00D361A2">
        <w:t>74</w:t>
      </w:r>
      <w:r w:rsidRPr="008B3090">
        <w:t xml:space="preserve">, paragrafo </w:t>
      </w:r>
      <w:r w:rsidRPr="00D361A2">
        <w:t>4</w:t>
      </w:r>
      <w:r w:rsidRPr="008B3090">
        <w:t xml:space="preserve">, del regolamento e l'impegno assunto dal rappresentante del Consiglio, con lettera del </w:t>
      </w:r>
      <w:r w:rsidRPr="00D361A2">
        <w:t>14</w:t>
      </w:r>
      <w:r w:rsidRPr="008B3090">
        <w:t xml:space="preserve"> febbraio </w:t>
      </w:r>
      <w:r w:rsidRPr="00D361A2">
        <w:t>2024</w:t>
      </w:r>
      <w:r w:rsidRPr="008B3090">
        <w:t xml:space="preserve">, di approvare la posizione del Parlamento europeo, in conformità dell'articolo </w:t>
      </w:r>
      <w:r w:rsidRPr="00D361A2">
        <w:t>294</w:t>
      </w:r>
      <w:r w:rsidRPr="008B3090">
        <w:t xml:space="preserve">, paragrafo </w:t>
      </w:r>
      <w:r w:rsidRPr="00D361A2">
        <w:t>4</w:t>
      </w:r>
      <w:r w:rsidRPr="008B3090">
        <w:t>, del trattato sul funzionamento dell'Unione europea,</w:t>
      </w:r>
    </w:p>
    <w:p w:rsidR="00843FBB" w:rsidRPr="008B3090" w:rsidRDefault="00843FBB" w:rsidP="00843FBB">
      <w:pPr>
        <w:pStyle w:val="NormalHanging12a"/>
      </w:pPr>
      <w:r w:rsidRPr="008B3090">
        <w:t>–</w:t>
      </w:r>
      <w:r w:rsidRPr="008B3090">
        <w:tab/>
        <w:t xml:space="preserve">visto l'articolo </w:t>
      </w:r>
      <w:r w:rsidRPr="00D361A2">
        <w:t>59</w:t>
      </w:r>
      <w:r w:rsidRPr="008B3090">
        <w:t xml:space="preserve"> del suo regolamento, </w:t>
      </w:r>
    </w:p>
    <w:p w:rsidR="00606331" w:rsidRPr="008B3090" w:rsidRDefault="00606331" w:rsidP="00606331">
      <w:pPr>
        <w:pStyle w:val="Normal12Hanging"/>
      </w:pPr>
      <w:r w:rsidRPr="008B3090">
        <w:t>–</w:t>
      </w:r>
      <w:r w:rsidRPr="008B3090">
        <w:tab/>
        <w:t xml:space="preserve">viste le deliberazioni congiunte della commissione per gli affari esteri e della commissione per i bilanci a norma dell'articolo </w:t>
      </w:r>
      <w:r w:rsidRPr="00D361A2">
        <w:t>58</w:t>
      </w:r>
      <w:r w:rsidRPr="008B3090">
        <w:t xml:space="preserve"> del regolamento, </w:t>
      </w:r>
    </w:p>
    <w:p w:rsidR="00606331" w:rsidRPr="008B3090" w:rsidRDefault="00606331" w:rsidP="00606331">
      <w:pPr>
        <w:pStyle w:val="Normal12Hanging"/>
      </w:pPr>
      <w:r w:rsidRPr="008B3090">
        <w:t>–</w:t>
      </w:r>
      <w:r w:rsidRPr="008B3090">
        <w:tab/>
        <w:t>viste le lettere della commissione per il controllo dei bilanci e della commissione per l'agricoltura e lo sviluppo rurale,</w:t>
      </w:r>
    </w:p>
    <w:p w:rsidR="00606331" w:rsidRPr="008B3090" w:rsidRDefault="00606331" w:rsidP="00606331">
      <w:pPr>
        <w:pStyle w:val="NormalHanging12a"/>
      </w:pPr>
      <w:r w:rsidRPr="008B3090">
        <w:t>–</w:t>
      </w:r>
      <w:r w:rsidRPr="008B3090">
        <w:tab/>
        <w:t>vista la relazione della commissione per gli affari esteri e della commissione per i bilanci (A</w:t>
      </w:r>
      <w:r w:rsidRPr="00D361A2">
        <w:t>9</w:t>
      </w:r>
      <w:r w:rsidRPr="008B3090">
        <w:t>-</w:t>
      </w:r>
      <w:r w:rsidRPr="00D361A2">
        <w:t>0286</w:t>
      </w:r>
      <w:r w:rsidRPr="008B3090">
        <w:t>/</w:t>
      </w:r>
      <w:r w:rsidRPr="00D361A2">
        <w:t>2023</w:t>
      </w:r>
      <w:r w:rsidRPr="008B3090">
        <w:t>),</w:t>
      </w:r>
    </w:p>
    <w:p w:rsidR="00606331" w:rsidRPr="008B3090" w:rsidRDefault="00606331" w:rsidP="00606331">
      <w:pPr>
        <w:pStyle w:val="NormalHanging12a"/>
      </w:pPr>
      <w:r w:rsidRPr="00D361A2">
        <w:lastRenderedPageBreak/>
        <w:t>1</w:t>
      </w:r>
      <w:r w:rsidRPr="008B3090">
        <w:t>.</w:t>
      </w:r>
      <w:r w:rsidRPr="008B3090">
        <w:tab/>
        <w:t>adotta la posizione in prima lettura figurante in appresso</w:t>
      </w:r>
      <w:r w:rsidR="00690826">
        <w:rPr>
          <w:rStyle w:val="FootnoteReference"/>
        </w:rPr>
        <w:footnoteReference w:id="1"/>
      </w:r>
      <w:r w:rsidRPr="008B3090">
        <w:t>;</w:t>
      </w:r>
    </w:p>
    <w:p w:rsidR="00C82B27" w:rsidRPr="008B3090" w:rsidRDefault="00C82B27" w:rsidP="00C82B27">
      <w:pPr>
        <w:pStyle w:val="Normal12Hanging"/>
        <w:widowControl/>
        <w:rPr>
          <w:szCs w:val="24"/>
        </w:rPr>
      </w:pPr>
      <w:r w:rsidRPr="00D361A2">
        <w:rPr>
          <w:szCs w:val="24"/>
        </w:rPr>
        <w:t>2</w:t>
      </w:r>
      <w:r w:rsidRPr="008B3090">
        <w:rPr>
          <w:szCs w:val="24"/>
        </w:rPr>
        <w:t>.</w:t>
      </w:r>
      <w:r w:rsidRPr="008B3090">
        <w:rPr>
          <w:szCs w:val="24"/>
        </w:rPr>
        <w:tab/>
        <w:t xml:space="preserve">approva la dichiarazione comune del Parlamento europeo e del Consiglio, allegata alla presente risoluzione, che sarà pubblicata nella </w:t>
      </w:r>
      <w:r w:rsidRPr="008B3090">
        <w:rPr>
          <w:i/>
          <w:szCs w:val="24"/>
        </w:rPr>
        <w:t xml:space="preserve">Gazzetta ufficiale dell’Unione europea, </w:t>
      </w:r>
      <w:r w:rsidRPr="008B3090">
        <w:rPr>
          <w:szCs w:val="24"/>
        </w:rPr>
        <w:t>serie C;</w:t>
      </w:r>
    </w:p>
    <w:p w:rsidR="00C82B27" w:rsidRPr="008B3090" w:rsidRDefault="00C82B27" w:rsidP="00B54E66">
      <w:pPr>
        <w:pStyle w:val="Normal12Hanging"/>
        <w:widowControl/>
      </w:pPr>
      <w:r w:rsidRPr="00D361A2">
        <w:rPr>
          <w:szCs w:val="24"/>
        </w:rPr>
        <w:t>3</w:t>
      </w:r>
      <w:r w:rsidRPr="008B3090">
        <w:rPr>
          <w:szCs w:val="24"/>
        </w:rPr>
        <w:t>.</w:t>
      </w:r>
      <w:r w:rsidRPr="008B3090">
        <w:rPr>
          <w:szCs w:val="24"/>
        </w:rPr>
        <w:tab/>
        <w:t xml:space="preserve">approva la dichiarazione comune del Parlamento europeo, del Consiglio e della Commissione, allegata alla presente risoluzione, che sarà pubblicata nella </w:t>
      </w:r>
      <w:r w:rsidRPr="008B3090">
        <w:rPr>
          <w:i/>
          <w:szCs w:val="24"/>
        </w:rPr>
        <w:t xml:space="preserve">Gazzetta ufficiale dell’Unione europea, </w:t>
      </w:r>
      <w:r w:rsidRPr="008B3090">
        <w:rPr>
          <w:szCs w:val="24"/>
        </w:rPr>
        <w:t>serie C;</w:t>
      </w:r>
    </w:p>
    <w:p w:rsidR="00606331" w:rsidRPr="008B3090" w:rsidRDefault="00C82B27" w:rsidP="00606331">
      <w:pPr>
        <w:pStyle w:val="Normal12Hanging"/>
      </w:pPr>
      <w:r w:rsidRPr="00D361A2">
        <w:t>4</w:t>
      </w:r>
      <w:r w:rsidR="00606331" w:rsidRPr="008B3090">
        <w:t>.</w:t>
      </w:r>
      <w:r w:rsidR="00606331" w:rsidRPr="008B3090">
        <w:tab/>
        <w:t>chiede alla Commissione di presentargli nuovamente la proposta qualora la sostituisca, la modifichi sostanzialmente o intenda modificarla sostanzialmente;</w:t>
      </w:r>
    </w:p>
    <w:p w:rsidR="00737839" w:rsidRPr="008B3090" w:rsidRDefault="00C82B27" w:rsidP="00606331">
      <w:pPr>
        <w:pStyle w:val="Normal12Hanging"/>
      </w:pPr>
      <w:r w:rsidRPr="00D361A2">
        <w:t>5</w:t>
      </w:r>
      <w:r w:rsidR="00606331" w:rsidRPr="008B3090">
        <w:t>.</w:t>
      </w:r>
      <w:r w:rsidR="00606331" w:rsidRPr="008B3090">
        <w:tab/>
        <w:t>incarica la sua Presidente di trasmettere la posizione del Parlamento al Consiglio e alla Commissione nonché ai parlamenti nazionali.</w:t>
      </w:r>
    </w:p>
    <w:p w:rsidR="00C82B27" w:rsidRPr="008B3090" w:rsidRDefault="00C82B27">
      <w:pPr>
        <w:widowControl/>
        <w:sectPr w:rsidR="00C82B27" w:rsidRPr="008B3090" w:rsidSect="00F974B4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C82B27" w:rsidRPr="008B3090" w:rsidRDefault="00C82B27" w:rsidP="00C82B27">
      <w:pPr>
        <w:spacing w:after="240"/>
        <w:rPr>
          <w:b/>
        </w:rPr>
      </w:pPr>
      <w:r w:rsidRPr="008B3090">
        <w:rPr>
          <w:b/>
        </w:rPr>
        <w:lastRenderedPageBreak/>
        <w:t>P</w:t>
      </w:r>
      <w:r w:rsidRPr="00D361A2">
        <w:rPr>
          <w:b/>
        </w:rPr>
        <w:t>9</w:t>
      </w:r>
      <w:r w:rsidRPr="008B3090">
        <w:rPr>
          <w:b/>
        </w:rPr>
        <w:t>_TC</w:t>
      </w:r>
      <w:r w:rsidRPr="00D361A2">
        <w:rPr>
          <w:b/>
        </w:rPr>
        <w:t>1</w:t>
      </w:r>
      <w:r w:rsidRPr="008B3090">
        <w:rPr>
          <w:b/>
        </w:rPr>
        <w:t>-</w:t>
      </w:r>
      <w:proofErr w:type="gramStart"/>
      <w:r w:rsidRPr="008B3090">
        <w:rPr>
          <w:b/>
        </w:rPr>
        <w:t>COD(</w:t>
      </w:r>
      <w:proofErr w:type="gramEnd"/>
      <w:r w:rsidRPr="00D361A2">
        <w:rPr>
          <w:b/>
        </w:rPr>
        <w:t>2023</w:t>
      </w:r>
      <w:r w:rsidRPr="008B3090">
        <w:rPr>
          <w:b/>
        </w:rPr>
        <w:t>)</w:t>
      </w:r>
      <w:r w:rsidRPr="00D361A2">
        <w:rPr>
          <w:b/>
        </w:rPr>
        <w:t>0200</w:t>
      </w:r>
    </w:p>
    <w:p w:rsidR="00C82B27" w:rsidRDefault="00C82B27" w:rsidP="00903712">
      <w:pPr>
        <w:spacing w:before="120" w:after="120"/>
        <w:rPr>
          <w:rFonts w:eastAsia="Calibri"/>
          <w:b/>
          <w:szCs w:val="22"/>
          <w:lang w:eastAsia="en-US"/>
        </w:rPr>
      </w:pPr>
      <w:r w:rsidRPr="008B3090">
        <w:rPr>
          <w:b/>
        </w:rPr>
        <w:t xml:space="preserve">Posizione del Parlamento europeo definita in prima lettura il </w:t>
      </w:r>
      <w:r w:rsidRPr="00D361A2">
        <w:rPr>
          <w:b/>
        </w:rPr>
        <w:t>27</w:t>
      </w:r>
      <w:r w:rsidRPr="008B3090">
        <w:rPr>
          <w:b/>
        </w:rPr>
        <w:t xml:space="preserve"> febbraio </w:t>
      </w:r>
      <w:r w:rsidRPr="00D361A2">
        <w:rPr>
          <w:b/>
        </w:rPr>
        <w:t>2024</w:t>
      </w:r>
      <w:r w:rsidRPr="008B3090">
        <w:rPr>
          <w:b/>
        </w:rPr>
        <w:t xml:space="preserve"> in vista dell'adozione del regolamento (UE) </w:t>
      </w:r>
      <w:r w:rsidRPr="00D361A2">
        <w:rPr>
          <w:b/>
        </w:rPr>
        <w:t>2024</w:t>
      </w:r>
      <w:r w:rsidRPr="008B3090">
        <w:rPr>
          <w:b/>
        </w:rPr>
        <w:t xml:space="preserve">/... del Parlamento europeo e del Consiglio </w:t>
      </w:r>
      <w:r w:rsidRPr="008B3090">
        <w:rPr>
          <w:rFonts w:eastAsia="Calibri"/>
          <w:b/>
          <w:szCs w:val="22"/>
          <w:lang w:eastAsia="en-US"/>
        </w:rPr>
        <w:t>che istituisce lo strumento per l'Ucraina</w:t>
      </w:r>
    </w:p>
    <w:p w:rsidR="00690826" w:rsidRPr="00690826" w:rsidRDefault="00690826" w:rsidP="00690826">
      <w:pPr>
        <w:spacing w:before="120" w:after="360"/>
        <w:rPr>
          <w:rFonts w:eastAsia="Calibri"/>
          <w:b/>
          <w:bCs/>
          <w:szCs w:val="22"/>
          <w:lang w:eastAsia="en-US"/>
        </w:rPr>
      </w:pPr>
    </w:p>
    <w:p w:rsidR="00903712" w:rsidRDefault="00690826" w:rsidP="00903712">
      <w:pPr>
        <w:spacing w:before="120" w:after="120"/>
        <w:rPr>
          <w:rFonts w:eastAsia="Calibri"/>
          <w:bCs/>
          <w:i/>
          <w:szCs w:val="22"/>
          <w:lang w:eastAsia="en-US"/>
        </w:rPr>
        <w:sectPr w:rsidR="00903712" w:rsidSect="00C82B2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</w:sectPr>
      </w:pPr>
      <w:r w:rsidRPr="00690826">
        <w:rPr>
          <w:rFonts w:eastAsia="Calibri"/>
          <w:bCs/>
          <w:i/>
          <w:szCs w:val="22"/>
          <w:lang w:eastAsia="en-US"/>
        </w:rPr>
        <w:t>(Dato l'accordo tra il Parlamento e il Consiglio, la posizione del Parlamento corrisponde all'atto legislativo finale, il regolamento (UE) 2024/792.)</w:t>
      </w:r>
    </w:p>
    <w:p w:rsidR="00C82B27" w:rsidRPr="008B3090" w:rsidRDefault="00C82B27" w:rsidP="00B54E66">
      <w:pPr>
        <w:widowControl/>
        <w:tabs>
          <w:tab w:val="left" w:pos="5669"/>
        </w:tabs>
        <w:spacing w:line="360" w:lineRule="auto"/>
        <w:jc w:val="right"/>
        <w:rPr>
          <w:rFonts w:eastAsia="Calibri"/>
          <w:szCs w:val="22"/>
          <w:lang w:eastAsia="en-US"/>
        </w:rPr>
      </w:pPr>
      <w:r w:rsidRPr="008B3090">
        <w:rPr>
          <w:rFonts w:eastAsia="Calibri"/>
          <w:szCs w:val="22"/>
          <w:lang w:eastAsia="en-US"/>
        </w:rPr>
        <w:lastRenderedPageBreak/>
        <w:t>ALLEGATO ALLA RISOLUZIONE LEGISLATIVA</w:t>
      </w:r>
    </w:p>
    <w:p w:rsidR="00C82B27" w:rsidRPr="008B3090" w:rsidRDefault="00C82B27" w:rsidP="00C82B27">
      <w:pPr>
        <w:spacing w:before="120" w:after="120" w:line="360" w:lineRule="auto"/>
        <w:jc w:val="center"/>
        <w:rPr>
          <w:rFonts w:eastAsia="Calibri"/>
          <w:b/>
          <w:bCs/>
          <w:szCs w:val="24"/>
          <w:lang w:eastAsia="en-US"/>
        </w:rPr>
      </w:pPr>
      <w:r w:rsidRPr="008B3090">
        <w:rPr>
          <w:rFonts w:eastAsia="Calibri"/>
          <w:b/>
          <w:szCs w:val="22"/>
          <w:lang w:eastAsia="en-US"/>
        </w:rPr>
        <w:t>Dichiarazione comune del Parlamento europeo e del Consiglio sulla nomenclatura di bilancio appropriata per lo strumento per l'Ucraina</w:t>
      </w:r>
      <w:r w:rsidR="00690826">
        <w:rPr>
          <w:rStyle w:val="FootnoteReference"/>
          <w:rFonts w:eastAsia="Calibri"/>
          <w:b/>
          <w:szCs w:val="22"/>
          <w:lang w:eastAsia="en-US"/>
        </w:rPr>
        <w:footnoteReference w:id="2"/>
      </w:r>
    </w:p>
    <w:p w:rsidR="00C82B27" w:rsidRPr="008B3090" w:rsidRDefault="00C82B27" w:rsidP="00C82B27">
      <w:pPr>
        <w:widowControl/>
        <w:spacing w:before="120" w:after="120" w:line="360" w:lineRule="auto"/>
      </w:pPr>
      <w:r w:rsidRPr="008B3090">
        <w:rPr>
          <w:rFonts w:eastAsia="Calibri"/>
          <w:spacing w:val="-2"/>
          <w:szCs w:val="22"/>
          <w:lang w:eastAsia="en-US"/>
        </w:rPr>
        <w:t>Fatte salve le prerogative dell'autorità di bilancio nel quadro della procedura di bilancio annuale e i poteri della Commissione di elaborare il progetto di bilancio, il Parlamento europeo e il Consiglio invitano la Commissione a proporre la creazione di almeno una linea di bilancio per il pilastro I dello strumento per l'Ucraina, due linee di bilancio nell'ambito del pilastro II, tra cui gli accantonamenti del fondo comune di copertura per la garanzia per l'Ucraina istituito a norma del capo IV del regolamento relativo allo strumento per l'Ucraina, tre linee di bilancio nell'ambito del pilastro III per l'assistenza all'adesione all'Unione e altre misure, le sovvenzioni per gli oneri finanziari e gli accantonamenti del fondo comune di copertura (Strumenti tradizionali), e una linea di bilancio specifica per le spese di assistenza tecnica e amministrativa per l'attuazione dello strumento.</w:t>
      </w:r>
    </w:p>
    <w:p w:rsidR="00C82B27" w:rsidRPr="008B3090" w:rsidRDefault="00C82B27" w:rsidP="00C82B27">
      <w:pPr>
        <w:widowControl/>
        <w:spacing w:before="120" w:after="120" w:line="360" w:lineRule="auto"/>
      </w:pPr>
    </w:p>
    <w:p w:rsidR="00C82B27" w:rsidRPr="008B3090" w:rsidRDefault="00C82B27" w:rsidP="00C82B27">
      <w:pPr>
        <w:spacing w:before="120" w:after="120" w:line="360" w:lineRule="auto"/>
        <w:jc w:val="center"/>
        <w:rPr>
          <w:b/>
          <w:bCs/>
        </w:rPr>
      </w:pPr>
      <w:r w:rsidRPr="008B3090">
        <w:rPr>
          <w:rFonts w:eastAsia="Calibri"/>
          <w:b/>
          <w:szCs w:val="22"/>
          <w:lang w:eastAsia="en-US"/>
        </w:rPr>
        <w:t>Dichiarazione comune del Parlamento europeo, del Consiglio e della Commissione</w:t>
      </w:r>
      <w:r w:rsidR="00F006AD">
        <w:rPr>
          <w:rFonts w:eastAsia="Calibri"/>
          <w:b/>
          <w:szCs w:val="22"/>
          <w:lang w:eastAsia="en-US"/>
        </w:rPr>
        <w:t xml:space="preserve"> </w:t>
      </w:r>
      <w:bookmarkStart w:id="8" w:name="_GoBack"/>
      <w:bookmarkEnd w:id="8"/>
      <w:r w:rsidRPr="008B3090">
        <w:rPr>
          <w:rFonts w:eastAsia="Calibri"/>
          <w:b/>
          <w:szCs w:val="22"/>
          <w:lang w:eastAsia="en-US"/>
        </w:rPr>
        <w:t>sul carattere eccezionale dello strumento per l'Ucraina</w:t>
      </w:r>
      <w:r w:rsidR="00903712">
        <w:rPr>
          <w:rStyle w:val="FootnoteReference"/>
          <w:rFonts w:eastAsia="Calibri"/>
          <w:b/>
          <w:szCs w:val="22"/>
          <w:lang w:eastAsia="en-US"/>
        </w:rPr>
        <w:footnoteReference w:id="3"/>
      </w:r>
    </w:p>
    <w:p w:rsidR="00C82B27" w:rsidRPr="008B3090" w:rsidRDefault="00C82B27" w:rsidP="00C82B27">
      <w:pPr>
        <w:widowControl/>
        <w:spacing w:before="120" w:after="120" w:line="360" w:lineRule="auto"/>
        <w:rPr>
          <w:rFonts w:eastAsia="Calibri"/>
          <w:szCs w:val="22"/>
          <w:lang w:eastAsia="en-US"/>
        </w:rPr>
      </w:pPr>
      <w:r w:rsidRPr="008B3090">
        <w:rPr>
          <w:rFonts w:eastAsia="Calibri"/>
          <w:szCs w:val="22"/>
          <w:lang w:eastAsia="en-US"/>
        </w:rPr>
        <w:t xml:space="preserve">Il Parlamento europeo, il Consiglio e la Commissione condividono il parere che lo strumento per l'Ucraina sia un eccezionale strumento a medio termine di grande importanza geopolitica, adattato all'incertezza e alle sfide senza precedenti del sostegno a un paese in guerra con implicazioni dirette per la sicurezza dell'Unione. Di conseguenza, lo strumento per l'Ucraina garantisce l'equilibrio tra flessibilità e programmabilità della risposta dell'Unione per far fronte alle esigenze di finanziamento, ripresa, ricostruzione e modernizzazione dell'Ucraina, sostenendo gli sforzi di riforma del paese nell'ambito del suo percorso di adesione all'Unione. Gli obiettivi, le modalità di finanziamento e di </w:t>
      </w:r>
      <w:proofErr w:type="spellStart"/>
      <w:r w:rsidRPr="008B3090">
        <w:rPr>
          <w:rFonts w:eastAsia="Calibri"/>
          <w:szCs w:val="22"/>
          <w:lang w:eastAsia="en-US"/>
        </w:rPr>
        <w:t>governance</w:t>
      </w:r>
      <w:proofErr w:type="spellEnd"/>
      <w:r w:rsidRPr="008B3090">
        <w:rPr>
          <w:rFonts w:eastAsia="Calibri"/>
          <w:szCs w:val="22"/>
          <w:lang w:eastAsia="en-US"/>
        </w:rPr>
        <w:t xml:space="preserve"> convenuti per lo strumento per l'Ucraina rispondono al contesto e alle sfide eccezionali e specifici in relazione ai quali tale strumento in questione è stato adottato.</w:t>
      </w:r>
    </w:p>
    <w:p w:rsidR="00C82B27" w:rsidRPr="008B3090" w:rsidRDefault="00C82B27" w:rsidP="00B54E66">
      <w:pPr>
        <w:widowControl/>
        <w:spacing w:before="120" w:after="120" w:line="360" w:lineRule="auto"/>
      </w:pPr>
      <w:r w:rsidRPr="008B3090">
        <w:rPr>
          <w:rFonts w:eastAsia="Calibri"/>
          <w:szCs w:val="22"/>
          <w:lang w:eastAsia="en-US"/>
        </w:rPr>
        <w:lastRenderedPageBreak/>
        <w:t>È pertanto opportuno non considerare questa soluzione per l'Ucraina come un precedente per i futuri strumenti di assistenza economica ai paesi terzi.</w:t>
      </w:r>
    </w:p>
    <w:sectPr w:rsidR="00C82B27" w:rsidRPr="008B3090" w:rsidSect="00C82B2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E66" w:rsidRPr="00F974B4" w:rsidRDefault="00B54E66">
      <w:r w:rsidRPr="00F974B4">
        <w:separator/>
      </w:r>
    </w:p>
  </w:endnote>
  <w:endnote w:type="continuationSeparator" w:id="0">
    <w:p w:rsidR="00B54E66" w:rsidRPr="00F974B4" w:rsidRDefault="00B54E66">
      <w:r w:rsidRPr="00F974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E66" w:rsidRDefault="00B54E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E66" w:rsidRPr="00C82B27" w:rsidRDefault="00B54E66" w:rsidP="00C82B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E66" w:rsidRDefault="00B54E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E66" w:rsidRPr="00F974B4" w:rsidRDefault="00B54E66">
      <w:r w:rsidRPr="00F974B4">
        <w:separator/>
      </w:r>
    </w:p>
  </w:footnote>
  <w:footnote w:type="continuationSeparator" w:id="0">
    <w:p w:rsidR="00B54E66" w:rsidRPr="00F974B4" w:rsidRDefault="00B54E66">
      <w:r w:rsidRPr="00F974B4">
        <w:continuationSeparator/>
      </w:r>
    </w:p>
  </w:footnote>
  <w:footnote w:id="1">
    <w:p w:rsidR="00690826" w:rsidRPr="00690826" w:rsidRDefault="00690826" w:rsidP="00690826">
      <w:pPr>
        <w:pStyle w:val="FootnoteText"/>
        <w:ind w:left="851" w:hanging="851"/>
        <w:rPr>
          <w:lang w:val="it-IT"/>
        </w:rPr>
      </w:pPr>
      <w:r>
        <w:rPr>
          <w:rStyle w:val="FootnoteReference"/>
        </w:rPr>
        <w:footnoteRef/>
      </w:r>
      <w:r w:rsidRPr="00690826">
        <w:rPr>
          <w:lang w:val="it-IT"/>
        </w:rPr>
        <w:t xml:space="preserve"> </w:t>
      </w:r>
      <w:r>
        <w:rPr>
          <w:lang w:val="it-IT"/>
        </w:rPr>
        <w:tab/>
      </w:r>
      <w:r w:rsidRPr="00690826">
        <w:rPr>
          <w:sz w:val="24"/>
          <w:szCs w:val="24"/>
          <w:lang w:val="it-IT"/>
        </w:rPr>
        <w:t>La presente posizione sostituisce gli emendamenti approvati il 17 ottobre 2023 2018 (Testi approvati, P9_</w:t>
      </w:r>
      <w:proofErr w:type="gramStart"/>
      <w:r w:rsidRPr="00690826">
        <w:rPr>
          <w:sz w:val="24"/>
          <w:szCs w:val="24"/>
          <w:lang w:val="it-IT"/>
        </w:rPr>
        <w:t>TA(</w:t>
      </w:r>
      <w:proofErr w:type="gramEnd"/>
      <w:r w:rsidRPr="00690826">
        <w:rPr>
          <w:sz w:val="24"/>
          <w:szCs w:val="24"/>
          <w:lang w:val="it-IT"/>
        </w:rPr>
        <w:t>2023)0363).</w:t>
      </w:r>
    </w:p>
  </w:footnote>
  <w:footnote w:id="2">
    <w:p w:rsidR="00690826" w:rsidRPr="00690826" w:rsidRDefault="00690826" w:rsidP="00903712">
      <w:pPr>
        <w:pStyle w:val="FootnoteText"/>
        <w:tabs>
          <w:tab w:val="left" w:pos="851"/>
        </w:tabs>
        <w:ind w:left="851" w:hanging="851"/>
        <w:rPr>
          <w:lang w:val="it-IT"/>
        </w:rPr>
      </w:pPr>
      <w:r>
        <w:rPr>
          <w:rStyle w:val="FootnoteReference"/>
        </w:rPr>
        <w:footnoteRef/>
      </w:r>
      <w:r w:rsidRPr="00690826">
        <w:rPr>
          <w:lang w:val="it-IT"/>
        </w:rPr>
        <w:t xml:space="preserve"> </w:t>
      </w:r>
      <w:r w:rsidR="00903712">
        <w:rPr>
          <w:lang w:val="it-IT"/>
        </w:rPr>
        <w:tab/>
        <w:t>R</w:t>
      </w:r>
      <w:r>
        <w:rPr>
          <w:lang w:val="it-IT"/>
        </w:rPr>
        <w:t>egolamento (UE) 2024/792 del P</w:t>
      </w:r>
      <w:r w:rsidR="00903712">
        <w:rPr>
          <w:lang w:val="it-IT"/>
        </w:rPr>
        <w:t>arlamento europeo e del C</w:t>
      </w:r>
      <w:r w:rsidRPr="00690826">
        <w:rPr>
          <w:lang w:val="it-IT"/>
        </w:rPr>
        <w:t>onsiglio</w:t>
      </w:r>
      <w:r>
        <w:rPr>
          <w:lang w:val="it-IT"/>
        </w:rPr>
        <w:t xml:space="preserve"> </w:t>
      </w:r>
      <w:r w:rsidRPr="00690826">
        <w:rPr>
          <w:lang w:val="it-IT"/>
        </w:rPr>
        <w:t>del 29 febbraio 2024</w:t>
      </w:r>
      <w:r>
        <w:rPr>
          <w:lang w:val="it-IT"/>
        </w:rPr>
        <w:t xml:space="preserve"> </w:t>
      </w:r>
      <w:r w:rsidRPr="00690826">
        <w:rPr>
          <w:lang w:val="it-IT"/>
        </w:rPr>
        <w:t>che istituisce lo strumento per l'Ucraina</w:t>
      </w:r>
      <w:r w:rsidR="00903712">
        <w:rPr>
          <w:lang w:val="it-IT"/>
        </w:rPr>
        <w:t xml:space="preserve"> (GU L, 2024/792, 29.2.2024, ELI: </w:t>
      </w:r>
      <w:r w:rsidR="00F006AD">
        <w:fldChar w:fldCharType="begin"/>
      </w:r>
      <w:r w:rsidR="00F006AD" w:rsidRPr="00F006AD">
        <w:rPr>
          <w:lang w:val="it-IT"/>
        </w:rPr>
        <w:instrText xml:space="preserve"> HYPERLINK "http://d</w:instrText>
      </w:r>
      <w:r w:rsidR="00F006AD" w:rsidRPr="00F006AD">
        <w:rPr>
          <w:lang w:val="it-IT"/>
        </w:rPr>
        <w:instrText xml:space="preserve">ata.europa.eu/eli/reg/2024/792/oj" </w:instrText>
      </w:r>
      <w:r w:rsidR="00F006AD">
        <w:fldChar w:fldCharType="separate"/>
      </w:r>
      <w:r w:rsidR="00903712" w:rsidRPr="00903712">
        <w:rPr>
          <w:rStyle w:val="Hyperlink"/>
          <w:lang w:val="it-IT"/>
        </w:rPr>
        <w:t>http://data.europa.eu/eli/reg/2024/792/oj</w:t>
      </w:r>
      <w:r w:rsidR="00F006AD">
        <w:rPr>
          <w:rStyle w:val="Hyperlink"/>
          <w:lang w:val="it-IT"/>
        </w:rPr>
        <w:fldChar w:fldCharType="end"/>
      </w:r>
      <w:r w:rsidR="00903712">
        <w:rPr>
          <w:lang w:val="it-IT"/>
        </w:rPr>
        <w:t xml:space="preserve">) </w:t>
      </w:r>
    </w:p>
  </w:footnote>
  <w:footnote w:id="3">
    <w:p w:rsidR="00903712" w:rsidRPr="00903712" w:rsidRDefault="00903712" w:rsidP="00903712">
      <w:pPr>
        <w:pStyle w:val="FootnoteText"/>
        <w:ind w:left="851" w:hanging="851"/>
        <w:rPr>
          <w:lang w:val="it-IT"/>
        </w:rPr>
      </w:pPr>
      <w:r>
        <w:rPr>
          <w:rStyle w:val="FootnoteReference"/>
        </w:rPr>
        <w:footnoteRef/>
      </w:r>
      <w:r w:rsidRPr="00903712">
        <w:rPr>
          <w:lang w:val="it-IT"/>
        </w:rPr>
        <w:t xml:space="preserve"> </w:t>
      </w:r>
      <w:r w:rsidRPr="00903712">
        <w:rPr>
          <w:lang w:val="it-IT"/>
        </w:rPr>
        <w:tab/>
      </w:r>
      <w:r>
        <w:rPr>
          <w:lang w:val="it-IT"/>
        </w:rPr>
        <w:t>R</w:t>
      </w:r>
      <w:r w:rsidRPr="00903712">
        <w:rPr>
          <w:lang w:val="it-IT"/>
        </w:rPr>
        <w:t xml:space="preserve">egolamento (UE) 2024/792 del Parlamento europeo e del Consiglio del 29 febbraio 2024 che istituisce lo strumento per l'Ucraina (GU L, 2024/792, 29.2.2024, ELI: </w:t>
      </w:r>
      <w:r w:rsidR="00F006AD">
        <w:fldChar w:fldCharType="begin"/>
      </w:r>
      <w:r w:rsidR="00F006AD" w:rsidRPr="00F006AD">
        <w:rPr>
          <w:lang w:val="it-IT"/>
        </w:rPr>
        <w:instrText xml:space="preserve"> HYPERLINK</w:instrText>
      </w:r>
      <w:r w:rsidR="00F006AD" w:rsidRPr="00F006AD">
        <w:rPr>
          <w:lang w:val="it-IT"/>
        </w:rPr>
        <w:instrText xml:space="preserve"> "http://data.europa.eu/eli/reg/2024/792/oj" </w:instrText>
      </w:r>
      <w:r w:rsidR="00F006AD">
        <w:fldChar w:fldCharType="separate"/>
      </w:r>
      <w:r w:rsidRPr="00903712">
        <w:rPr>
          <w:rStyle w:val="Hyperlink"/>
          <w:lang w:val="it-IT"/>
        </w:rPr>
        <w:t>http://data.europa.eu/eli/reg/2024/792/oj</w:t>
      </w:r>
      <w:r w:rsidR="00F006AD">
        <w:rPr>
          <w:rStyle w:val="Hyperlink"/>
          <w:lang w:val="it-IT"/>
        </w:rPr>
        <w:fldChar w:fldCharType="end"/>
      </w:r>
      <w:r w:rsidRPr="00903712">
        <w:rPr>
          <w:lang w:val="it-IT"/>
        </w:rPr>
        <w:t xml:space="preserve">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E66" w:rsidRDefault="00B54E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E66" w:rsidRDefault="00B54E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E66" w:rsidRDefault="00B54E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6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7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8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0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6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1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3" w15:restartNumberingAfterBreak="0">
    <w:nsid w:val="4D0C058A"/>
    <w:multiLevelType w:val="singleLevel"/>
    <w:tmpl w:val="BAE8D90E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2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6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7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</w:rPr>
    </w:lvl>
  </w:abstractNum>
  <w:abstractNum w:abstractNumId="29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1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2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3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4" w15:restartNumberingAfterBreak="0">
    <w:nsid w:val="71F06166"/>
    <w:multiLevelType w:val="multilevel"/>
    <w:tmpl w:val="C08066D2"/>
    <w:name w:val="0.6719891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6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37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8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9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40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3"/>
  </w:num>
  <w:num w:numId="2">
    <w:abstractNumId w:val="18"/>
  </w:num>
  <w:num w:numId="3">
    <w:abstractNumId w:val="34"/>
  </w:num>
  <w:num w:numId="4">
    <w:abstractNumId w:val="8"/>
  </w:num>
  <w:num w:numId="5">
    <w:abstractNumId w:val="22"/>
  </w:num>
  <w:num w:numId="6">
    <w:abstractNumId w:val="25"/>
  </w:num>
  <w:num w:numId="7">
    <w:abstractNumId w:val="24"/>
  </w:num>
  <w:num w:numId="8">
    <w:abstractNumId w:val="39"/>
  </w:num>
  <w:num w:numId="9">
    <w:abstractNumId w:val="19"/>
  </w:num>
  <w:num w:numId="10">
    <w:abstractNumId w:val="12"/>
  </w:num>
  <w:num w:numId="11">
    <w:abstractNumId w:val="40"/>
  </w:num>
  <w:num w:numId="12">
    <w:abstractNumId w:val="17"/>
  </w:num>
  <w:num w:numId="13">
    <w:abstractNumId w:val="6"/>
  </w:num>
  <w:num w:numId="14">
    <w:abstractNumId w:val="5"/>
  </w:num>
  <w:num w:numId="15">
    <w:abstractNumId w:val="36"/>
  </w:num>
  <w:num w:numId="16">
    <w:abstractNumId w:val="33"/>
  </w:num>
  <w:num w:numId="17">
    <w:abstractNumId w:val="28"/>
  </w:num>
  <w:num w:numId="18">
    <w:abstractNumId w:val="7"/>
  </w:num>
  <w:num w:numId="19">
    <w:abstractNumId w:val="31"/>
  </w:num>
  <w:num w:numId="20">
    <w:abstractNumId w:val="2"/>
  </w:num>
  <w:num w:numId="21">
    <w:abstractNumId w:val="32"/>
  </w:num>
  <w:num w:numId="22">
    <w:abstractNumId w:val="29"/>
  </w:num>
  <w:num w:numId="23">
    <w:abstractNumId w:val="4"/>
  </w:num>
  <w:num w:numId="24">
    <w:abstractNumId w:val="37"/>
  </w:num>
  <w:num w:numId="25">
    <w:abstractNumId w:val="38"/>
  </w:num>
  <w:num w:numId="26">
    <w:abstractNumId w:val="26"/>
  </w:num>
  <w:num w:numId="27">
    <w:abstractNumId w:val="35"/>
  </w:num>
  <w:num w:numId="28">
    <w:abstractNumId w:val="30"/>
  </w:num>
  <w:num w:numId="29">
    <w:abstractNumId w:val="20"/>
  </w:num>
  <w:num w:numId="30">
    <w:abstractNumId w:val="1"/>
  </w:num>
  <w:num w:numId="31">
    <w:abstractNumId w:val="13"/>
  </w:num>
  <w:num w:numId="32">
    <w:abstractNumId w:val="11"/>
  </w:num>
  <w:num w:numId="33">
    <w:abstractNumId w:val="14"/>
  </w:num>
  <w:num w:numId="34">
    <w:abstractNumId w:val="27"/>
  </w:num>
  <w:num w:numId="35">
    <w:abstractNumId w:val="0"/>
  </w:num>
  <w:num w:numId="36">
    <w:abstractNumId w:val="15"/>
  </w:num>
  <w:num w:numId="37">
    <w:abstractNumId w:val="23"/>
  </w:num>
  <w:num w:numId="38">
    <w:abstractNumId w:val="21"/>
  </w:num>
  <w:num w:numId="39">
    <w:abstractNumId w:val="9"/>
  </w:num>
  <w:num w:numId="40">
    <w:abstractNumId w:val="16"/>
  </w:num>
  <w:num w:numId="41">
    <w:abstractNumId w:val="1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86/2023"/>
    <w:docVar w:name="dvlangue" w:val="IT"/>
    <w:docVar w:name="dvnumam" w:val="0"/>
    <w:docVar w:name="dvpe" w:val="751.825"/>
    <w:docVar w:name="dvrapporteur" w:val="Relatori: "/>
    <w:docVar w:name="dvstar" w:val="***I"/>
    <w:docVar w:name="dvtitre" w:val="Risoluzione legislativa del Parlamento europeo del 27 febbraio 2024 sulla proposta di regolamento del Parlamento europeo e del Consiglio che istituisce lo strumento per l'Ucraina(COM(2023)0338 – C9-0210/2023 – 2023/0200(COD))"/>
  </w:docVars>
  <w:rsids>
    <w:rsidRoot w:val="009E22D3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95DF5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06331"/>
    <w:rsid w:val="006631B6"/>
    <w:rsid w:val="00680577"/>
    <w:rsid w:val="00690826"/>
    <w:rsid w:val="006F74FA"/>
    <w:rsid w:val="00731ADD"/>
    <w:rsid w:val="00734777"/>
    <w:rsid w:val="00737839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43FBB"/>
    <w:rsid w:val="00845EFD"/>
    <w:rsid w:val="00865F67"/>
    <w:rsid w:val="00881A7B"/>
    <w:rsid w:val="008840E5"/>
    <w:rsid w:val="00885212"/>
    <w:rsid w:val="00887B3E"/>
    <w:rsid w:val="008B3090"/>
    <w:rsid w:val="008C2AC6"/>
    <w:rsid w:val="00903712"/>
    <w:rsid w:val="00930C23"/>
    <w:rsid w:val="0093193B"/>
    <w:rsid w:val="009509D8"/>
    <w:rsid w:val="00950B64"/>
    <w:rsid w:val="00981893"/>
    <w:rsid w:val="009E22D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47C86"/>
    <w:rsid w:val="00B54E66"/>
    <w:rsid w:val="00B558F0"/>
    <w:rsid w:val="00B6014B"/>
    <w:rsid w:val="00BC1402"/>
    <w:rsid w:val="00BD48FE"/>
    <w:rsid w:val="00BD7BD8"/>
    <w:rsid w:val="00BE6ADC"/>
    <w:rsid w:val="00C05BFE"/>
    <w:rsid w:val="00C23CD4"/>
    <w:rsid w:val="00C61C0C"/>
    <w:rsid w:val="00C82B27"/>
    <w:rsid w:val="00C941CB"/>
    <w:rsid w:val="00CA1F28"/>
    <w:rsid w:val="00CC2357"/>
    <w:rsid w:val="00CF071A"/>
    <w:rsid w:val="00D058B8"/>
    <w:rsid w:val="00D361A2"/>
    <w:rsid w:val="00D56C11"/>
    <w:rsid w:val="00D834A0"/>
    <w:rsid w:val="00D872DF"/>
    <w:rsid w:val="00D91E21"/>
    <w:rsid w:val="00DA7FCD"/>
    <w:rsid w:val="00E365E1"/>
    <w:rsid w:val="00E46042"/>
    <w:rsid w:val="00E820A4"/>
    <w:rsid w:val="00EB006A"/>
    <w:rsid w:val="00EB4772"/>
    <w:rsid w:val="00ED169E"/>
    <w:rsid w:val="00ED4235"/>
    <w:rsid w:val="00F006AD"/>
    <w:rsid w:val="00F04346"/>
    <w:rsid w:val="00F075DC"/>
    <w:rsid w:val="00F149E9"/>
    <w:rsid w:val="00F5134D"/>
    <w:rsid w:val="00F74202"/>
    <w:rsid w:val="00F87713"/>
    <w:rsid w:val="00F974B4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86D39"/>
  <w15:chartTrackingRefBased/>
  <w15:docId w15:val="{798213A1-D45C-479B-8442-D692AEC63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symbolCarZchn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60633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6331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6331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6331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6331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6331"/>
    <w:rPr>
      <w:i/>
      <w:sz w:val="22"/>
      <w:lang w:val="it-I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6331"/>
    <w:rPr>
      <w:rFonts w:ascii="Arial" w:hAnsi="Arial"/>
      <w:sz w:val="24"/>
      <w:lang w:val="it-IT"/>
    </w:rPr>
  </w:style>
  <w:style w:type="character" w:customStyle="1" w:styleId="Heading8Char">
    <w:name w:val="Heading 8 Char"/>
    <w:basedOn w:val="DefaultParagraphFont"/>
    <w:link w:val="Heading8"/>
    <w:semiHidden/>
    <w:rsid w:val="00606331"/>
    <w:rPr>
      <w:rFonts w:ascii="Arial" w:hAnsi="Arial"/>
      <w:i/>
      <w:sz w:val="24"/>
      <w:lang w:val="it-IT"/>
    </w:rPr>
  </w:style>
  <w:style w:type="character" w:customStyle="1" w:styleId="Heading9Char">
    <w:name w:val="Heading 9 Char"/>
    <w:basedOn w:val="DefaultParagraphFont"/>
    <w:link w:val="Heading9"/>
    <w:semiHidden/>
    <w:rsid w:val="00606331"/>
    <w:rPr>
      <w:rFonts w:ascii="Arial" w:hAnsi="Arial"/>
      <w:b/>
      <w:i/>
      <w:sz w:val="18"/>
      <w:lang w:val="it-IT"/>
    </w:rPr>
  </w:style>
  <w:style w:type="paragraph" w:styleId="TOCHeading">
    <w:name w:val="TOC Heading"/>
    <w:basedOn w:val="Normal"/>
    <w:next w:val="Normal"/>
    <w:uiPriority w:val="39"/>
    <w:unhideWhenUsed/>
    <w:qFormat/>
    <w:rsid w:val="00606331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link w:val="EPFooter2Char"/>
    <w:rsid w:val="0060633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60633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606331"/>
    <w:pPr>
      <w:spacing w:after="120"/>
    </w:pPr>
  </w:style>
  <w:style w:type="paragraph" w:customStyle="1" w:styleId="PageHeading">
    <w:name w:val="PageHeading"/>
    <w:basedOn w:val="Normal"/>
    <w:link w:val="PageHeadingChar"/>
    <w:rsid w:val="0060633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606331"/>
    <w:rPr>
      <w:b/>
    </w:rPr>
  </w:style>
  <w:style w:type="paragraph" w:customStyle="1" w:styleId="NormalBold12a">
    <w:name w:val="NormalBold12a"/>
    <w:basedOn w:val="Normal"/>
    <w:rsid w:val="00606331"/>
    <w:pPr>
      <w:spacing w:after="240"/>
    </w:pPr>
    <w:rPr>
      <w:b/>
    </w:rPr>
  </w:style>
  <w:style w:type="paragraph" w:customStyle="1" w:styleId="AmJustText">
    <w:name w:val="AmJustText"/>
    <w:basedOn w:val="Normal"/>
    <w:rsid w:val="00606331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606331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06331"/>
    <w:pPr>
      <w:spacing w:after="480"/>
      <w:ind w:left="1417"/>
    </w:pPr>
  </w:style>
  <w:style w:type="paragraph" w:customStyle="1" w:styleId="CoverNormal">
    <w:name w:val="CoverNormal"/>
    <w:basedOn w:val="Normal"/>
    <w:rsid w:val="00606331"/>
    <w:pPr>
      <w:ind w:left="1418"/>
    </w:pPr>
  </w:style>
  <w:style w:type="paragraph" w:customStyle="1" w:styleId="AmCrossRef">
    <w:name w:val="AmCrossRef"/>
    <w:basedOn w:val="Normal"/>
    <w:rsid w:val="00606331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606331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606331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06331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06331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06331"/>
    <w:pPr>
      <w:spacing w:before="240" w:after="1200"/>
    </w:pPr>
  </w:style>
  <w:style w:type="paragraph" w:styleId="Header">
    <w:name w:val="header"/>
    <w:basedOn w:val="Normal"/>
    <w:link w:val="HeaderChar"/>
    <w:rsid w:val="006063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06331"/>
    <w:rPr>
      <w:sz w:val="24"/>
      <w:lang w:val="it-IT"/>
    </w:rPr>
  </w:style>
  <w:style w:type="paragraph" w:customStyle="1" w:styleId="AmOrLang">
    <w:name w:val="AmOrLang"/>
    <w:basedOn w:val="Normal"/>
    <w:rsid w:val="00606331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606331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60633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606331"/>
    <w:pPr>
      <w:spacing w:before="240"/>
    </w:pPr>
    <w:rPr>
      <w:b/>
    </w:rPr>
  </w:style>
  <w:style w:type="paragraph" w:customStyle="1" w:styleId="EPBody">
    <w:name w:val="EPBody"/>
    <w:basedOn w:val="Normal"/>
    <w:rsid w:val="00606331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link w:val="EPFooterChar"/>
    <w:rsid w:val="0060633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06331"/>
    <w:pPr>
      <w:spacing w:before="480" w:after="240"/>
    </w:pPr>
  </w:style>
  <w:style w:type="paragraph" w:customStyle="1" w:styleId="Lgendesigne">
    <w:name w:val="Légende signe"/>
    <w:basedOn w:val="Normal"/>
    <w:rsid w:val="00606331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06331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06331"/>
    <w:rPr>
      <w:sz w:val="18"/>
    </w:rPr>
  </w:style>
  <w:style w:type="paragraph" w:customStyle="1" w:styleId="Normal12Hanging">
    <w:name w:val="Normal12Hanging"/>
    <w:basedOn w:val="Normal"/>
    <w:link w:val="CharChar1"/>
    <w:rsid w:val="00606331"/>
    <w:pPr>
      <w:spacing w:after="240"/>
      <w:ind w:left="567" w:hanging="567"/>
    </w:pPr>
  </w:style>
  <w:style w:type="paragraph" w:customStyle="1" w:styleId="AMNumberTabs0">
    <w:name w:val="AMNumberTabs"/>
    <w:basedOn w:val="Normal"/>
    <w:rsid w:val="0060633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styleId="ListNumber">
    <w:name w:val="List Number"/>
    <w:basedOn w:val="Normal"/>
    <w:rsid w:val="00606331"/>
    <w:pPr>
      <w:widowControl/>
      <w:numPr>
        <w:numId w:val="3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606331"/>
    <w:pPr>
      <w:widowControl/>
      <w:numPr>
        <w:ilvl w:val="1"/>
        <w:numId w:val="3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606331"/>
    <w:pPr>
      <w:widowControl/>
      <w:numPr>
        <w:ilvl w:val="2"/>
        <w:numId w:val="3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606331"/>
    <w:pPr>
      <w:widowControl/>
      <w:numPr>
        <w:ilvl w:val="3"/>
        <w:numId w:val="3"/>
      </w:numPr>
      <w:spacing w:before="120" w:after="120"/>
      <w:jc w:val="both"/>
    </w:pPr>
    <w:rPr>
      <w:szCs w:val="22"/>
      <w:lang w:eastAsia="de-DE"/>
    </w:rPr>
  </w:style>
  <w:style w:type="paragraph" w:customStyle="1" w:styleId="Text1">
    <w:name w:val="Text 1"/>
    <w:basedOn w:val="Normal"/>
    <w:rsid w:val="00606331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606331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character" w:styleId="CommentReference">
    <w:name w:val="annotation reference"/>
    <w:rsid w:val="0060633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06331"/>
    <w:pPr>
      <w:widowControl/>
      <w:spacing w:before="120" w:after="120"/>
      <w:jc w:val="both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6331"/>
    <w:rPr>
      <w:lang w:val="it-IT"/>
    </w:rPr>
  </w:style>
  <w:style w:type="character" w:customStyle="1" w:styleId="Marker100000000000000000000000000000000000000000000">
    <w:name w:val="Marker100000000000000000000000000000000000000000000"/>
    <w:basedOn w:val="DefaultParagraphFont"/>
    <w:qFormat/>
    <w:rsid w:val="00606331"/>
    <w:rPr>
      <w:color w:val="008000"/>
      <w:shd w:val="clear" w:color="auto" w:fill="auto"/>
    </w:rPr>
  </w:style>
  <w:style w:type="paragraph" w:customStyle="1" w:styleId="ChapterTitle">
    <w:name w:val="ChapterTitle"/>
    <w:basedOn w:val="Normal"/>
    <w:next w:val="Normal"/>
    <w:rsid w:val="00606331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character" w:customStyle="1" w:styleId="Normal6Char">
    <w:name w:val="Normal6 Char"/>
    <w:basedOn w:val="DefaultParagraphFont"/>
    <w:link w:val="Normal6"/>
    <w:locked/>
    <w:rsid w:val="00606331"/>
    <w:rPr>
      <w:sz w:val="24"/>
      <w:lang w:val="it-IT"/>
    </w:rPr>
  </w:style>
  <w:style w:type="paragraph" w:customStyle="1" w:styleId="Normal6">
    <w:name w:val="Normal6"/>
    <w:basedOn w:val="Normal"/>
    <w:link w:val="Normal6Char"/>
    <w:rsid w:val="00606331"/>
    <w:pPr>
      <w:spacing w:after="120"/>
    </w:pPr>
  </w:style>
  <w:style w:type="paragraph" w:styleId="Footer">
    <w:name w:val="footer"/>
    <w:basedOn w:val="Normal"/>
    <w:link w:val="FooterChar"/>
    <w:rsid w:val="006063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06331"/>
    <w:rPr>
      <w:sz w:val="24"/>
      <w:lang w:val="it-IT"/>
    </w:rPr>
  </w:style>
  <w:style w:type="paragraph" w:customStyle="1" w:styleId="msonormal0">
    <w:name w:val="msonormal"/>
    <w:basedOn w:val="Normal"/>
    <w:rsid w:val="00606331"/>
    <w:pPr>
      <w:widowControl/>
      <w:spacing w:before="100" w:beforeAutospacing="1" w:after="100" w:afterAutospacing="1"/>
    </w:pPr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606331"/>
    <w:pPr>
      <w:widowControl w:val="0"/>
      <w:spacing w:before="0" w:after="0"/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06331"/>
    <w:rPr>
      <w:b/>
      <w:bCs/>
      <w:lang w:val="it-IT"/>
    </w:rPr>
  </w:style>
  <w:style w:type="paragraph" w:styleId="BalloonText">
    <w:name w:val="Balloon Text"/>
    <w:basedOn w:val="Normal"/>
    <w:link w:val="BalloonTextChar"/>
    <w:unhideWhenUsed/>
    <w:rsid w:val="006063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06331"/>
    <w:rPr>
      <w:rFonts w:ascii="Segoe UI" w:hAnsi="Segoe UI" w:cs="Segoe UI"/>
      <w:sz w:val="18"/>
      <w:szCs w:val="18"/>
      <w:lang w:val="it-IT"/>
    </w:rPr>
  </w:style>
  <w:style w:type="paragraph" w:styleId="Revision">
    <w:name w:val="Revision"/>
    <w:uiPriority w:val="99"/>
    <w:semiHidden/>
    <w:rsid w:val="00606331"/>
    <w:rPr>
      <w:sz w:val="24"/>
      <w:lang w:val="it-IT"/>
    </w:rPr>
  </w:style>
  <w:style w:type="paragraph" w:customStyle="1" w:styleId="NormalCenter12a">
    <w:name w:val="NormalCenter12a"/>
    <w:basedOn w:val="Normal"/>
    <w:link w:val="NormalCenter12aChar"/>
    <w:rsid w:val="00606331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606331"/>
    <w:pPr>
      <w:spacing w:before="720" w:after="240"/>
      <w:jc w:val="center"/>
    </w:pPr>
  </w:style>
  <w:style w:type="paragraph" w:styleId="ListParagraph">
    <w:name w:val="List Paragraph"/>
    <w:aliases w:val="GSA List,Dot pt,F5 List Paragraph,List Paragraph Char Char Char,Indicator Text,Numbered Para 1,Bullet Points,List Paragraph2,MAIN CONTENT,Normal numbered,List Paragraph1,Issue Action POC,3,POCG Table Text,No Spacing1,Bullet list,EC,Puce"/>
    <w:basedOn w:val="Normal"/>
    <w:link w:val="ListParagraphChar"/>
    <w:uiPriority w:val="34"/>
    <w:qFormat/>
    <w:rsid w:val="00606331"/>
    <w:pPr>
      <w:ind w:left="720"/>
      <w:contextualSpacing/>
    </w:pPr>
  </w:style>
  <w:style w:type="paragraph" w:customStyle="1" w:styleId="Point1">
    <w:name w:val="Point 1"/>
    <w:basedOn w:val="Normal"/>
    <w:rsid w:val="00606331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character" w:customStyle="1" w:styleId="Marker0000000000000000000000000">
    <w:name w:val="Marker0000000000000000000000000"/>
    <w:basedOn w:val="DefaultParagraphFont"/>
    <w:rsid w:val="00606331"/>
    <w:rPr>
      <w:color w:val="0000FF"/>
    </w:rPr>
  </w:style>
  <w:style w:type="paragraph" w:customStyle="1" w:styleId="ManualNumPar1">
    <w:name w:val="Manual NumPar 1"/>
    <w:basedOn w:val="Normal"/>
    <w:next w:val="Normal"/>
    <w:rsid w:val="0060633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606331"/>
    <w:pPr>
      <w:spacing w:after="240"/>
    </w:pPr>
  </w:style>
  <w:style w:type="paragraph" w:customStyle="1" w:styleId="LetterSalutation">
    <w:name w:val="LetterSalutation"/>
    <w:basedOn w:val="Normal"/>
    <w:rsid w:val="00606331"/>
    <w:pPr>
      <w:spacing w:before="600" w:after="360"/>
    </w:pPr>
  </w:style>
  <w:style w:type="paragraph" w:customStyle="1" w:styleId="LetterSubject">
    <w:name w:val="LetterSubject"/>
    <w:basedOn w:val="Normal"/>
    <w:rsid w:val="00606331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606331"/>
    <w:pPr>
      <w:spacing w:before="1320"/>
    </w:pPr>
  </w:style>
  <w:style w:type="paragraph" w:customStyle="1" w:styleId="ManualConsidrant">
    <w:name w:val="Manual Considérant"/>
    <w:basedOn w:val="Normal"/>
    <w:rsid w:val="00606331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Normal24a">
    <w:name w:val="Normal24a"/>
    <w:basedOn w:val="Normal"/>
    <w:link w:val="Normal24aChar"/>
    <w:rsid w:val="00606331"/>
    <w:pPr>
      <w:spacing w:after="480"/>
    </w:pPr>
  </w:style>
  <w:style w:type="paragraph" w:customStyle="1" w:styleId="LetterSignature">
    <w:name w:val="LetterSignature"/>
    <w:basedOn w:val="Normal"/>
    <w:next w:val="Normal"/>
    <w:rsid w:val="00606331"/>
    <w:pPr>
      <w:spacing w:before="1320"/>
    </w:pPr>
  </w:style>
  <w:style w:type="character" w:customStyle="1" w:styleId="Normal24aChar">
    <w:name w:val="Normal24a Char"/>
    <w:basedOn w:val="DefaultParagraphFont"/>
    <w:link w:val="Normal24a"/>
    <w:rsid w:val="00606331"/>
    <w:rPr>
      <w:sz w:val="24"/>
      <w:lang w:val="it-IT"/>
    </w:rPr>
  </w:style>
  <w:style w:type="paragraph" w:customStyle="1" w:styleId="Normal12">
    <w:name w:val="Normal12"/>
    <w:basedOn w:val="Normal"/>
    <w:link w:val="Normal12Char"/>
    <w:rsid w:val="00606331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606331"/>
    <w:rPr>
      <w:rFonts w:ascii="Arial" w:hAnsi="Arial" w:cs="Arial"/>
      <w:b/>
      <w:sz w:val="24"/>
      <w:lang w:val="it-IT"/>
    </w:rPr>
  </w:style>
  <w:style w:type="character" w:customStyle="1" w:styleId="Normal12Char">
    <w:name w:val="Normal12 Char"/>
    <w:basedOn w:val="PageHeadingChar"/>
    <w:link w:val="Normal12"/>
    <w:rsid w:val="00606331"/>
    <w:rPr>
      <w:rFonts w:ascii="Arial" w:hAnsi="Arial" w:cs="Arial"/>
      <w:b w:val="0"/>
      <w:sz w:val="24"/>
      <w:lang w:val="it-IT"/>
    </w:rPr>
  </w:style>
  <w:style w:type="paragraph" w:customStyle="1" w:styleId="RollCallVotes">
    <w:name w:val="RollCallVotes"/>
    <w:basedOn w:val="Normal"/>
    <w:rsid w:val="00606331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606331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606331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606331"/>
    <w:pPr>
      <w:spacing w:before="120" w:after="120"/>
    </w:pPr>
    <w:rPr>
      <w:snapToGrid w:val="0"/>
      <w:sz w:val="16"/>
      <w:lang w:eastAsia="en-US"/>
    </w:rPr>
  </w:style>
  <w:style w:type="character" w:styleId="Emphasis">
    <w:name w:val="Emphasis"/>
    <w:basedOn w:val="DefaultParagraphFont"/>
    <w:uiPriority w:val="20"/>
    <w:qFormat/>
    <w:rsid w:val="00606331"/>
    <w:rPr>
      <w:i/>
      <w:iCs/>
    </w:rPr>
  </w:style>
  <w:style w:type="character" w:styleId="Hyperlink">
    <w:name w:val="Hyperlink"/>
    <w:uiPriority w:val="99"/>
    <w:rsid w:val="00606331"/>
    <w:rPr>
      <w:color w:val="0000FF"/>
      <w:u w:val="single"/>
    </w:rPr>
  </w:style>
  <w:style w:type="character" w:customStyle="1" w:styleId="NormalCenter12aChar">
    <w:name w:val="NormalCenter12a Char"/>
    <w:basedOn w:val="DefaultParagraphFont"/>
    <w:link w:val="NormalCenter12a"/>
    <w:rsid w:val="00606331"/>
    <w:rPr>
      <w:sz w:val="24"/>
      <w:lang w:val="it-IT"/>
    </w:rPr>
  </w:style>
  <w:style w:type="character" w:customStyle="1" w:styleId="EPFooter2Char">
    <w:name w:val="EPFooter2 Char"/>
    <w:basedOn w:val="DefaultParagraphFont"/>
    <w:link w:val="EPFooter2"/>
    <w:rsid w:val="00606331"/>
    <w:rPr>
      <w:rFonts w:ascii="Arial" w:hAnsi="Arial" w:cs="Arial"/>
      <w:b/>
      <w:sz w:val="48"/>
      <w:lang w:val="it-IT"/>
    </w:rPr>
  </w:style>
  <w:style w:type="character" w:customStyle="1" w:styleId="EPFooterChar">
    <w:name w:val="EPFooter Char"/>
    <w:basedOn w:val="DefaultParagraphFont"/>
    <w:link w:val="EPFooter"/>
    <w:rsid w:val="00606331"/>
    <w:rPr>
      <w:color w:val="010000"/>
      <w:sz w:val="22"/>
      <w:lang w:val="it-IT"/>
    </w:rPr>
  </w:style>
  <w:style w:type="paragraph" w:styleId="EndnoteText">
    <w:name w:val="endnote text"/>
    <w:basedOn w:val="Normal"/>
    <w:link w:val="EndnoteTextChar"/>
    <w:uiPriority w:val="99"/>
    <w:rsid w:val="00606331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06331"/>
    <w:rPr>
      <w:lang w:val="it-IT"/>
    </w:rPr>
  </w:style>
  <w:style w:type="character" w:styleId="EndnoteReference">
    <w:name w:val="endnote reference"/>
    <w:basedOn w:val="DefaultParagraphFont"/>
    <w:uiPriority w:val="99"/>
    <w:rsid w:val="00606331"/>
    <w:rPr>
      <w:vertAlign w:val="superscript"/>
    </w:rPr>
  </w:style>
  <w:style w:type="paragraph" w:customStyle="1" w:styleId="AmDocTypeTab">
    <w:name w:val="AmDocTypeTab"/>
    <w:basedOn w:val="Normal"/>
    <w:rsid w:val="00C82B27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C82B27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C82B27"/>
  </w:style>
  <w:style w:type="paragraph" w:customStyle="1" w:styleId="Langue">
    <w:name w:val="Langue"/>
    <w:basedOn w:val="Normal"/>
    <w:next w:val="Rfrenceinterne"/>
    <w:rsid w:val="00C82B27"/>
    <w:pPr>
      <w:widowControl/>
      <w:spacing w:after="600"/>
      <w:jc w:val="center"/>
    </w:pPr>
    <w:rPr>
      <w:b/>
      <w:caps/>
      <w:szCs w:val="24"/>
      <w:lang w:eastAsia="de-DE"/>
    </w:rPr>
  </w:style>
  <w:style w:type="paragraph" w:customStyle="1" w:styleId="Rfrenceinterne">
    <w:name w:val="Référence interne"/>
    <w:basedOn w:val="Normal"/>
    <w:next w:val="Normal"/>
    <w:rsid w:val="00C82B27"/>
    <w:pPr>
      <w:widowControl/>
      <w:spacing w:after="600"/>
      <w:jc w:val="center"/>
    </w:pPr>
    <w:rPr>
      <w:b/>
      <w:szCs w:val="24"/>
      <w:lang w:eastAsia="de-DE"/>
    </w:rPr>
  </w:style>
  <w:style w:type="paragraph" w:customStyle="1" w:styleId="HeaderCouncilLarge">
    <w:name w:val="Header Council Large"/>
    <w:basedOn w:val="Normal"/>
    <w:link w:val="HeaderCouncilLargeChar"/>
    <w:rsid w:val="00C82B27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rsid w:val="00C82B27"/>
    <w:rPr>
      <w:rFonts w:ascii="Times New Roman" w:hAnsi="Times New Roman" w:cs="Times New Roman"/>
      <w:sz w:val="24"/>
      <w:lang w:val="it-IT"/>
    </w:rPr>
  </w:style>
  <w:style w:type="character" w:customStyle="1" w:styleId="HeaderCouncilLargeChar">
    <w:name w:val="Header Council Large Char"/>
    <w:basedOn w:val="TechnicalBlockChar"/>
    <w:link w:val="HeaderCouncilLarge"/>
    <w:rsid w:val="00C82B27"/>
    <w:rPr>
      <w:rFonts w:ascii="Times New Roman" w:eastAsia="Calibri" w:hAnsi="Times New Roman" w:cs="Times New Roman"/>
      <w:sz w:val="2"/>
      <w:szCs w:val="22"/>
      <w:lang w:val="it-IT" w:eastAsia="en-US"/>
    </w:rPr>
  </w:style>
  <w:style w:type="paragraph" w:customStyle="1" w:styleId="FooterText">
    <w:name w:val="Footer Text"/>
    <w:basedOn w:val="Normal"/>
    <w:rsid w:val="00C82B27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C82B27"/>
    <w:rPr>
      <w:color w:val="808080"/>
    </w:rPr>
  </w:style>
  <w:style w:type="paragraph" w:styleId="TOC4">
    <w:name w:val="toc 4"/>
    <w:basedOn w:val="Normal"/>
    <w:next w:val="Normal"/>
    <w:uiPriority w:val="39"/>
    <w:unhideWhenUsed/>
    <w:rsid w:val="00C82B27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C82B27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C82B27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C82B27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C82B27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C82B27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C82B27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C82B27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C82B27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C82B27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C82B27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C82B27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C82B27"/>
    <w:rPr>
      <w:color w:val="008000"/>
      <w:shd w:val="clear" w:color="auto" w:fill="auto"/>
    </w:rPr>
  </w:style>
  <w:style w:type="paragraph" w:customStyle="1" w:styleId="Text2">
    <w:name w:val="Text 2"/>
    <w:basedOn w:val="Normal"/>
    <w:rsid w:val="00C82B2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C82B27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C82B27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C82B27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C82B27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C82B27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C82B2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C82B27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C82B2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C82B2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C82B27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C82B27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C82B27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C82B27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C82B27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C82B27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C82B27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C82B27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C82B27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C82B27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C82B27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C82B27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C82B27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C82B27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C82B27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C82B27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C82B27"/>
    <w:pPr>
      <w:widowControl/>
      <w:numPr>
        <w:numId w:val="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C82B27"/>
    <w:pPr>
      <w:widowControl/>
      <w:numPr>
        <w:numId w:val="5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C82B27"/>
    <w:pPr>
      <w:widowControl/>
      <w:numPr>
        <w:numId w:val="6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C82B27"/>
    <w:pPr>
      <w:widowControl/>
      <w:numPr>
        <w:numId w:val="7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C82B27"/>
    <w:pPr>
      <w:widowControl/>
      <w:numPr>
        <w:numId w:val="8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C82B27"/>
    <w:pPr>
      <w:widowControl/>
      <w:numPr>
        <w:numId w:val="9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C82B27"/>
    <w:pPr>
      <w:widowControl/>
      <w:numPr>
        <w:numId w:val="10"/>
      </w:numPr>
      <w:tabs>
        <w:tab w:val="clear" w:pos="850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C82B27"/>
    <w:pPr>
      <w:widowControl/>
      <w:numPr>
        <w:ilvl w:val="1"/>
        <w:numId w:val="10"/>
      </w:numPr>
      <w:tabs>
        <w:tab w:val="clear" w:pos="850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C82B27"/>
    <w:pPr>
      <w:widowControl/>
      <w:numPr>
        <w:ilvl w:val="2"/>
        <w:numId w:val="10"/>
      </w:numPr>
      <w:tabs>
        <w:tab w:val="clear" w:pos="850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C82B27"/>
    <w:pPr>
      <w:widowControl/>
      <w:numPr>
        <w:ilvl w:val="3"/>
        <w:numId w:val="10"/>
      </w:numPr>
      <w:tabs>
        <w:tab w:val="clear" w:pos="850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C82B27"/>
    <w:pPr>
      <w:widowControl/>
      <w:numPr>
        <w:ilvl w:val="4"/>
        <w:numId w:val="10"/>
      </w:numPr>
      <w:tabs>
        <w:tab w:val="clear" w:pos="141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C82B27"/>
    <w:pPr>
      <w:widowControl/>
      <w:numPr>
        <w:ilvl w:val="5"/>
        <w:numId w:val="10"/>
      </w:numPr>
      <w:tabs>
        <w:tab w:val="clear" w:pos="141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C82B27"/>
    <w:pPr>
      <w:widowControl/>
      <w:numPr>
        <w:ilvl w:val="6"/>
        <w:numId w:val="10"/>
      </w:numPr>
      <w:tabs>
        <w:tab w:val="clear" w:pos="141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C82B2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C82B2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C82B2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C82B2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C82B2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C82B2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C82B2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C82B27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C82B2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C82B2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C82B2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C82B2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C82B2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C82B2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C82B27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C82B27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C82B27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C82B27"/>
    <w:pPr>
      <w:widowControl/>
      <w:numPr>
        <w:numId w:val="11"/>
      </w:numPr>
      <w:tabs>
        <w:tab w:val="clear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C82B27"/>
    <w:pPr>
      <w:widowControl/>
      <w:numPr>
        <w:ilvl w:val="2"/>
        <w:numId w:val="11"/>
      </w:numPr>
      <w:tabs>
        <w:tab w:val="clear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C82B27"/>
    <w:pPr>
      <w:widowControl/>
      <w:numPr>
        <w:ilvl w:val="4"/>
        <w:numId w:val="11"/>
      </w:numPr>
      <w:tabs>
        <w:tab w:val="clear" w:pos="1984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C82B27"/>
    <w:pPr>
      <w:widowControl/>
      <w:numPr>
        <w:ilvl w:val="6"/>
        <w:numId w:val="11"/>
      </w:numPr>
      <w:tabs>
        <w:tab w:val="clear" w:pos="2551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C82B27"/>
    <w:pPr>
      <w:widowControl/>
      <w:numPr>
        <w:ilvl w:val="1"/>
        <w:numId w:val="11"/>
      </w:numPr>
      <w:tabs>
        <w:tab w:val="clear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C82B27"/>
    <w:pPr>
      <w:widowControl/>
      <w:numPr>
        <w:ilvl w:val="3"/>
        <w:numId w:val="11"/>
      </w:numPr>
      <w:tabs>
        <w:tab w:val="clear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C82B27"/>
    <w:pPr>
      <w:widowControl/>
      <w:numPr>
        <w:ilvl w:val="5"/>
        <w:numId w:val="11"/>
      </w:numPr>
      <w:tabs>
        <w:tab w:val="clear" w:pos="1984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C82B27"/>
    <w:pPr>
      <w:widowControl/>
      <w:numPr>
        <w:ilvl w:val="7"/>
        <w:numId w:val="11"/>
      </w:numPr>
      <w:tabs>
        <w:tab w:val="clear" w:pos="2551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C82B27"/>
    <w:pPr>
      <w:widowControl/>
      <w:numPr>
        <w:ilvl w:val="8"/>
        <w:numId w:val="11"/>
      </w:numPr>
      <w:tabs>
        <w:tab w:val="clear" w:pos="3118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C82B27"/>
    <w:pPr>
      <w:widowControl/>
      <w:numPr>
        <w:numId w:val="12"/>
      </w:numPr>
      <w:tabs>
        <w:tab w:val="clear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C82B27"/>
    <w:pPr>
      <w:widowControl/>
      <w:numPr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C82B27"/>
    <w:pPr>
      <w:widowControl/>
      <w:numPr>
        <w:numId w:val="14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C82B27"/>
    <w:pPr>
      <w:widowControl/>
      <w:numPr>
        <w:numId w:val="15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C82B27"/>
    <w:pPr>
      <w:widowControl/>
      <w:numPr>
        <w:numId w:val="16"/>
      </w:numPr>
      <w:tabs>
        <w:tab w:val="clear" w:pos="311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C82B27"/>
    <w:pPr>
      <w:widowControl/>
      <w:numPr>
        <w:numId w:val="17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C82B2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C82B2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C82B27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C82B27"/>
    <w:pPr>
      <w:widowControl/>
      <w:numPr>
        <w:numId w:val="18"/>
      </w:numPr>
      <w:tabs>
        <w:tab w:val="clear" w:pos="850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C82B27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C82B27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C82B27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C82B27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C82B27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C82B27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C82B27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C82B27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C82B27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C82B27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C82B2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C82B27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C82B27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C82B27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C82B27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C82B27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C82B27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C82B2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C82B27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C82B27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C82B27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C82B27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C82B27"/>
    <w:pPr>
      <w:spacing w:before="240"/>
    </w:pPr>
  </w:style>
  <w:style w:type="paragraph" w:customStyle="1" w:styleId="Accordtitre">
    <w:name w:val="Accord titre"/>
    <w:basedOn w:val="Normal"/>
    <w:rsid w:val="00C82B27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C82B27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C82B27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C82B27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C82B27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C82B27"/>
    <w:pPr>
      <w:spacing w:after="240"/>
    </w:pPr>
  </w:style>
  <w:style w:type="paragraph" w:customStyle="1" w:styleId="Annexetitre">
    <w:name w:val="Annexe titre"/>
    <w:basedOn w:val="Normal"/>
    <w:next w:val="Normal"/>
    <w:rsid w:val="00C82B2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C82B27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ListBullet">
    <w:name w:val="List Bullet"/>
    <w:basedOn w:val="Normal"/>
    <w:unhideWhenUsed/>
    <w:rsid w:val="00C82B27"/>
    <w:pPr>
      <w:widowControl/>
      <w:tabs>
        <w:tab w:val="num" w:pos="1440"/>
      </w:tabs>
      <w:spacing w:before="120" w:after="120" w:line="360" w:lineRule="auto"/>
      <w:ind w:left="1440" w:hanging="360"/>
      <w:contextualSpacing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nhideWhenUsed/>
    <w:rsid w:val="00C82B27"/>
    <w:pPr>
      <w:widowControl/>
      <w:tabs>
        <w:tab w:val="num" w:pos="1440"/>
      </w:tabs>
      <w:spacing w:before="120" w:after="120" w:line="360" w:lineRule="auto"/>
      <w:ind w:left="1440" w:hanging="360"/>
      <w:contextualSpacing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nhideWhenUsed/>
    <w:rsid w:val="00C82B27"/>
    <w:pPr>
      <w:widowControl/>
      <w:tabs>
        <w:tab w:val="num" w:pos="1800"/>
      </w:tabs>
      <w:spacing w:before="120" w:after="120" w:line="360" w:lineRule="auto"/>
      <w:ind w:left="1800" w:hanging="360"/>
      <w:contextualSpacing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nhideWhenUsed/>
    <w:rsid w:val="00C82B27"/>
    <w:pPr>
      <w:widowControl/>
      <w:tabs>
        <w:tab w:val="num" w:pos="1800"/>
      </w:tabs>
      <w:spacing w:before="120" w:after="120" w:line="360" w:lineRule="auto"/>
      <w:ind w:left="1800" w:hanging="360"/>
      <w:contextualSpacing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nhideWhenUsed/>
    <w:rsid w:val="00C82B27"/>
    <w:pPr>
      <w:widowControl/>
      <w:tabs>
        <w:tab w:val="num" w:pos="1417"/>
      </w:tabs>
      <w:spacing w:before="120" w:after="120" w:line="360" w:lineRule="auto"/>
      <w:ind w:left="1417" w:hanging="567"/>
      <w:contextualSpacing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nhideWhenUsed/>
    <w:rsid w:val="00C82B27"/>
    <w:pPr>
      <w:widowControl/>
      <w:tabs>
        <w:tab w:val="num" w:pos="1984"/>
      </w:tabs>
      <w:spacing w:before="120" w:after="120" w:line="360" w:lineRule="auto"/>
      <w:ind w:left="1984" w:hanging="567"/>
      <w:contextualSpacing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nhideWhenUsed/>
    <w:rsid w:val="00C82B27"/>
    <w:pPr>
      <w:widowControl/>
      <w:tabs>
        <w:tab w:val="num" w:pos="2551"/>
      </w:tabs>
      <w:spacing w:before="120" w:after="120" w:line="360" w:lineRule="auto"/>
      <w:ind w:left="2551" w:hanging="567"/>
      <w:contextualSpacing/>
    </w:pPr>
    <w:rPr>
      <w:rFonts w:eastAsia="Calibri"/>
      <w:szCs w:val="22"/>
      <w:lang w:eastAsia="en-US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qFormat/>
    <w:rsid w:val="00C82B27"/>
    <w:pPr>
      <w:widowControl/>
      <w:spacing w:after="160" w:line="240" w:lineRule="exact"/>
      <w:jc w:val="both"/>
    </w:pPr>
    <w:rPr>
      <w:sz w:val="20"/>
      <w:vertAlign w:val="superscript"/>
      <w:lang w:val="en-GB"/>
    </w:rPr>
  </w:style>
  <w:style w:type="paragraph" w:customStyle="1" w:styleId="NormalJustified">
    <w:name w:val="Normal Justified"/>
    <w:basedOn w:val="Normal"/>
    <w:rsid w:val="00C82B27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C82B2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C82B27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rsid w:val="00C82B27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C82B27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C82B27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C82B27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C82B27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C82B27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C82B27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C82B27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C82B27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C82B27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C82B27"/>
    <w:pPr>
      <w:widowControl/>
      <w:numPr>
        <w:ilvl w:val="1"/>
        <w:numId w:val="30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C82B27"/>
    <w:pPr>
      <w:widowControl/>
      <w:numPr>
        <w:ilvl w:val="3"/>
        <w:numId w:val="30"/>
      </w:numPr>
      <w:tabs>
        <w:tab w:val="clear" w:pos="113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C82B27"/>
    <w:pPr>
      <w:widowControl/>
      <w:numPr>
        <w:ilvl w:val="5"/>
        <w:numId w:val="30"/>
      </w:numPr>
      <w:tabs>
        <w:tab w:val="clear" w:pos="170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C82B27"/>
    <w:pPr>
      <w:widowControl/>
      <w:numPr>
        <w:ilvl w:val="7"/>
        <w:numId w:val="30"/>
      </w:numPr>
      <w:tabs>
        <w:tab w:val="clear" w:pos="226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C82B27"/>
    <w:pPr>
      <w:widowControl/>
      <w:numPr>
        <w:ilvl w:val="8"/>
        <w:numId w:val="30"/>
      </w:numPr>
      <w:tabs>
        <w:tab w:val="clear" w:pos="283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C82B27"/>
    <w:pPr>
      <w:widowControl/>
      <w:numPr>
        <w:numId w:val="30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C82B27"/>
    <w:pPr>
      <w:widowControl/>
      <w:numPr>
        <w:ilvl w:val="2"/>
        <w:numId w:val="30"/>
      </w:numPr>
      <w:tabs>
        <w:tab w:val="clear" w:pos="113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C82B27"/>
    <w:pPr>
      <w:widowControl/>
      <w:numPr>
        <w:ilvl w:val="4"/>
        <w:numId w:val="30"/>
      </w:numPr>
      <w:tabs>
        <w:tab w:val="clear" w:pos="170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C82B27"/>
    <w:pPr>
      <w:widowControl/>
      <w:numPr>
        <w:ilvl w:val="6"/>
        <w:numId w:val="30"/>
      </w:numPr>
      <w:tabs>
        <w:tab w:val="clear" w:pos="226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C82B27"/>
    <w:pPr>
      <w:widowControl/>
      <w:numPr>
        <w:numId w:val="31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C82B27"/>
    <w:pPr>
      <w:widowControl/>
      <w:numPr>
        <w:ilvl w:val="1"/>
        <w:numId w:val="31"/>
      </w:numPr>
      <w:tabs>
        <w:tab w:val="clear" w:pos="113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C82B27"/>
    <w:pPr>
      <w:widowControl/>
      <w:numPr>
        <w:ilvl w:val="2"/>
        <w:numId w:val="31"/>
      </w:numPr>
      <w:tabs>
        <w:tab w:val="clear" w:pos="170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C82B27"/>
    <w:pPr>
      <w:widowControl/>
      <w:numPr>
        <w:ilvl w:val="3"/>
        <w:numId w:val="31"/>
      </w:numPr>
      <w:tabs>
        <w:tab w:val="clear" w:pos="226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C82B27"/>
    <w:pPr>
      <w:widowControl/>
      <w:numPr>
        <w:ilvl w:val="4"/>
        <w:numId w:val="31"/>
      </w:numPr>
      <w:tabs>
        <w:tab w:val="clear" w:pos="283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C82B27"/>
    <w:pPr>
      <w:widowControl/>
      <w:numPr>
        <w:numId w:val="29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C82B27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C82B27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C82B27"/>
    <w:pPr>
      <w:widowControl/>
      <w:numPr>
        <w:numId w:val="2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C82B27"/>
    <w:pPr>
      <w:widowControl/>
      <w:numPr>
        <w:numId w:val="22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C82B27"/>
    <w:pPr>
      <w:widowControl/>
      <w:numPr>
        <w:numId w:val="2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C82B27"/>
    <w:pPr>
      <w:numPr>
        <w:numId w:val="24"/>
      </w:numPr>
      <w:tabs>
        <w:tab w:val="clear" w:pos="567"/>
        <w:tab w:val="num" w:pos="360"/>
      </w:tabs>
      <w:ind w:left="3118"/>
    </w:pPr>
  </w:style>
  <w:style w:type="paragraph" w:customStyle="1" w:styleId="DashEqual1">
    <w:name w:val="Dash Equal 1"/>
    <w:basedOn w:val="Dash1"/>
    <w:rsid w:val="00C82B27"/>
    <w:pPr>
      <w:numPr>
        <w:numId w:val="25"/>
      </w:numPr>
      <w:tabs>
        <w:tab w:val="clear" w:pos="1134"/>
        <w:tab w:val="num" w:pos="360"/>
      </w:tabs>
      <w:ind w:left="3685"/>
    </w:pPr>
  </w:style>
  <w:style w:type="paragraph" w:customStyle="1" w:styleId="DashEqual2">
    <w:name w:val="Dash Equal 2"/>
    <w:basedOn w:val="Dash2"/>
    <w:rsid w:val="00C82B27"/>
    <w:pPr>
      <w:numPr>
        <w:numId w:val="26"/>
      </w:numPr>
      <w:tabs>
        <w:tab w:val="clear" w:pos="1701"/>
        <w:tab w:val="num" w:pos="360"/>
      </w:tabs>
      <w:ind w:left="850" w:hanging="850"/>
    </w:pPr>
  </w:style>
  <w:style w:type="paragraph" w:customStyle="1" w:styleId="DashEqual3">
    <w:name w:val="Dash Equal 3"/>
    <w:basedOn w:val="Dash3"/>
    <w:rsid w:val="00C82B27"/>
    <w:pPr>
      <w:numPr>
        <w:numId w:val="27"/>
      </w:numPr>
      <w:tabs>
        <w:tab w:val="clear" w:pos="2268"/>
        <w:tab w:val="num" w:pos="360"/>
      </w:tabs>
      <w:ind w:left="850" w:hanging="850"/>
    </w:pPr>
  </w:style>
  <w:style w:type="paragraph" w:customStyle="1" w:styleId="DashEqual4">
    <w:name w:val="Dash Equal 4"/>
    <w:basedOn w:val="Dash4"/>
    <w:rsid w:val="00C82B27"/>
    <w:pPr>
      <w:numPr>
        <w:numId w:val="28"/>
      </w:numPr>
      <w:tabs>
        <w:tab w:val="clear" w:pos="2835"/>
        <w:tab w:val="num" w:pos="360"/>
      </w:tabs>
    </w:pPr>
  </w:style>
  <w:style w:type="paragraph" w:customStyle="1" w:styleId="HeadingLeft">
    <w:name w:val="Heading Left"/>
    <w:basedOn w:val="Normal"/>
    <w:next w:val="Normal"/>
    <w:rsid w:val="00C82B27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C82B27"/>
    <w:pPr>
      <w:numPr>
        <w:numId w:val="34"/>
      </w:numPr>
      <w:tabs>
        <w:tab w:val="clear" w:pos="567"/>
        <w:tab w:val="num" w:pos="360"/>
      </w:tabs>
      <w:ind w:left="0" w:firstLine="0"/>
    </w:pPr>
  </w:style>
  <w:style w:type="paragraph" w:customStyle="1" w:styleId="Heading123">
    <w:name w:val="Heading 123"/>
    <w:basedOn w:val="HeadingLeft"/>
    <w:next w:val="Normal"/>
    <w:rsid w:val="00C82B27"/>
    <w:pPr>
      <w:numPr>
        <w:numId w:val="33"/>
      </w:numPr>
      <w:tabs>
        <w:tab w:val="clear" w:pos="567"/>
        <w:tab w:val="num" w:pos="360"/>
      </w:tabs>
      <w:ind w:left="0" w:firstLine="0"/>
    </w:pPr>
  </w:style>
  <w:style w:type="paragraph" w:customStyle="1" w:styleId="HeadingABC">
    <w:name w:val="Heading ABC"/>
    <w:basedOn w:val="HeadingLeft"/>
    <w:next w:val="Normal"/>
    <w:rsid w:val="00C82B27"/>
    <w:pPr>
      <w:numPr>
        <w:numId w:val="32"/>
      </w:numPr>
      <w:tabs>
        <w:tab w:val="clear" w:pos="567"/>
        <w:tab w:val="num" w:pos="360"/>
      </w:tabs>
      <w:ind w:left="0" w:firstLine="0"/>
    </w:pPr>
  </w:style>
  <w:style w:type="paragraph" w:customStyle="1" w:styleId="HeadingCentered">
    <w:name w:val="Heading Centered"/>
    <w:basedOn w:val="HeadingLeft"/>
    <w:next w:val="Normal"/>
    <w:rsid w:val="00C82B27"/>
    <w:pPr>
      <w:jc w:val="center"/>
    </w:pPr>
  </w:style>
  <w:style w:type="paragraph" w:customStyle="1" w:styleId="Jardin">
    <w:name w:val="Jardin"/>
    <w:basedOn w:val="Normal"/>
    <w:rsid w:val="00C82B27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C82B27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C82B27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C82B27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C82B27"/>
    <w:rPr>
      <w:b/>
    </w:rPr>
  </w:style>
  <w:style w:type="paragraph" w:customStyle="1" w:styleId="Annex">
    <w:name w:val="Annex"/>
    <w:basedOn w:val="Normal"/>
    <w:next w:val="Normal"/>
    <w:rsid w:val="00C82B27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C82B27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C82B27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C82B27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C82B27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Lignefin">
    <w:name w:val="Ligne fin"/>
    <w:basedOn w:val="Normal"/>
    <w:rsid w:val="00C82B2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efault">
    <w:name w:val="Default"/>
    <w:rsid w:val="00C82B27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it-IT" w:eastAsia="en-US"/>
    </w:rPr>
  </w:style>
  <w:style w:type="table" w:customStyle="1" w:styleId="TableGrid1">
    <w:name w:val="Table Grid1"/>
    <w:basedOn w:val="TableNormal"/>
    <w:next w:val="TableGrid"/>
    <w:rsid w:val="00C82B27"/>
    <w:rPr>
      <w:rFonts w:ascii="Calibri" w:eastAsia="Calibri" w:hAnsi="Calibri" w:cs="Arial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j-normal">
    <w:name w:val="oj-normal"/>
    <w:basedOn w:val="Normal"/>
    <w:rsid w:val="00C82B27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UnresolvedMention1">
    <w:name w:val="Unresolved Mention1"/>
    <w:basedOn w:val="DefaultParagraphFont"/>
    <w:uiPriority w:val="99"/>
    <w:unhideWhenUsed/>
    <w:rsid w:val="00C82B27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C82B27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82B27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ListParagraphChar">
    <w:name w:val="List Paragraph Char"/>
    <w:aliases w:val="GSA List Char,Dot pt Char,F5 List Paragraph Char,List Paragraph Char Char Char Char,Indicator Text Char,Numbered Para 1 Char,Bullet Points Char,List Paragraph2 Char,MAIN CONTENT Char,Normal numbered Char,List Paragraph1 Char,3 Char"/>
    <w:link w:val="ListParagraph"/>
    <w:uiPriority w:val="34"/>
    <w:qFormat/>
    <w:locked/>
    <w:rsid w:val="00C82B27"/>
    <w:rPr>
      <w:sz w:val="24"/>
      <w:lang w:val="it-IT"/>
    </w:rPr>
  </w:style>
  <w:style w:type="character" w:customStyle="1" w:styleId="FollowedHyperlink1">
    <w:name w:val="FollowedHyperlink1"/>
    <w:basedOn w:val="DefaultParagraphFont"/>
    <w:unhideWhenUsed/>
    <w:rsid w:val="00C82B27"/>
    <w:rPr>
      <w:color w:val="800080"/>
      <w:u w:val="single"/>
    </w:rPr>
  </w:style>
  <w:style w:type="paragraph" w:customStyle="1" w:styleId="paragraph">
    <w:name w:val="paragraph"/>
    <w:basedOn w:val="Normal"/>
    <w:rsid w:val="00C82B27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normaltextrun">
    <w:name w:val="normaltextrun"/>
    <w:basedOn w:val="DefaultParagraphFont"/>
    <w:rsid w:val="00C82B27"/>
  </w:style>
  <w:style w:type="character" w:customStyle="1" w:styleId="eop">
    <w:name w:val="eop"/>
    <w:basedOn w:val="DefaultParagraphFont"/>
    <w:rsid w:val="00C82B27"/>
  </w:style>
  <w:style w:type="table" w:customStyle="1" w:styleId="TableGrid2">
    <w:name w:val="Table Grid2"/>
    <w:basedOn w:val="TableNormal"/>
    <w:next w:val="TableGrid"/>
    <w:uiPriority w:val="59"/>
    <w:rsid w:val="00C82B27"/>
    <w:rPr>
      <w:rFonts w:ascii="Calibri" w:eastAsia="Calibri" w:hAnsi="Calibri" w:cs="Arial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unhideWhenUsed/>
    <w:rsid w:val="00C82B27"/>
    <w:rPr>
      <w:color w:val="605E5C"/>
      <w:shd w:val="clear" w:color="auto" w:fill="E1DFDD"/>
    </w:rPr>
  </w:style>
  <w:style w:type="paragraph" w:customStyle="1" w:styleId="FooterCoverPage">
    <w:name w:val="Footer Cover Page"/>
    <w:basedOn w:val="Normal"/>
    <w:link w:val="FooterCoverPageChar"/>
    <w:rsid w:val="00C82B27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overPageChar">
    <w:name w:val="Footer Cover Page Char"/>
    <w:basedOn w:val="DefaultParagraphFont"/>
    <w:link w:val="FooterCoverPage"/>
    <w:rsid w:val="00C82B27"/>
    <w:rPr>
      <w:rFonts w:eastAsia="Calibri"/>
      <w:sz w:val="24"/>
      <w:szCs w:val="22"/>
      <w:lang w:val="it-IT" w:eastAsia="en-US"/>
    </w:rPr>
  </w:style>
  <w:style w:type="character" w:customStyle="1" w:styleId="FooterSensitivityChar">
    <w:name w:val="Footer Sensitivity Char"/>
    <w:basedOn w:val="DefaultParagraphFont"/>
    <w:rsid w:val="00C82B27"/>
    <w:rPr>
      <w:rFonts w:ascii="Times New Roman" w:hAnsi="Times New Roman" w:cs="Times New Roman"/>
      <w:b/>
      <w:sz w:val="32"/>
      <w:lang w:val="it-IT"/>
    </w:rPr>
  </w:style>
  <w:style w:type="paragraph" w:customStyle="1" w:styleId="HeaderCoverPage">
    <w:name w:val="Header Cover Page"/>
    <w:basedOn w:val="Normal"/>
    <w:link w:val="HeaderCoverPageChar"/>
    <w:rsid w:val="00C82B27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  <w:lang w:eastAsia="en-US"/>
    </w:rPr>
  </w:style>
  <w:style w:type="character" w:customStyle="1" w:styleId="HeaderCoverPageChar">
    <w:name w:val="Header Cover Page Char"/>
    <w:basedOn w:val="DefaultParagraphFont"/>
    <w:link w:val="HeaderCoverPage"/>
    <w:rsid w:val="00C82B27"/>
    <w:rPr>
      <w:rFonts w:eastAsia="Calibri"/>
      <w:sz w:val="24"/>
      <w:szCs w:val="22"/>
      <w:lang w:val="it-IT" w:eastAsia="en-US"/>
    </w:rPr>
  </w:style>
  <w:style w:type="character" w:customStyle="1" w:styleId="HeaderSensitivityChar">
    <w:name w:val="Header Sensitivity Char"/>
    <w:basedOn w:val="DefaultParagraphFont"/>
    <w:rsid w:val="00C82B27"/>
    <w:rPr>
      <w:rFonts w:ascii="Times New Roman" w:hAnsi="Times New Roman" w:cs="Times New Roman"/>
      <w:b/>
      <w:sz w:val="32"/>
      <w:lang w:val="it-IT"/>
    </w:rPr>
  </w:style>
  <w:style w:type="character" w:customStyle="1" w:styleId="HeaderSensitivityRightChar">
    <w:name w:val="Header Sensitivity Right Char"/>
    <w:basedOn w:val="DefaultParagraphFont"/>
    <w:rsid w:val="00C82B27"/>
    <w:rPr>
      <w:rFonts w:ascii="Times New Roman" w:hAnsi="Times New Roman" w:cs="Times New Roman"/>
      <w:sz w:val="28"/>
      <w:lang w:val="it-IT"/>
    </w:rPr>
  </w:style>
  <w:style w:type="paragraph" w:customStyle="1" w:styleId="ListBullet1">
    <w:name w:val="List Bullet 1"/>
    <w:basedOn w:val="Normal"/>
    <w:rsid w:val="00C82B27"/>
    <w:pPr>
      <w:widowControl/>
      <w:numPr>
        <w:numId w:val="35"/>
      </w:numPr>
      <w:tabs>
        <w:tab w:val="clear" w:pos="1134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customStyle="1" w:styleId="ListDash">
    <w:name w:val="List Dash"/>
    <w:basedOn w:val="Normal"/>
    <w:rsid w:val="00C82B27"/>
    <w:pPr>
      <w:widowControl/>
      <w:numPr>
        <w:numId w:val="36"/>
      </w:numPr>
      <w:tabs>
        <w:tab w:val="clear" w:pos="283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customStyle="1" w:styleId="ListDash1">
    <w:name w:val="List Dash 1"/>
    <w:basedOn w:val="Normal"/>
    <w:rsid w:val="00C82B27"/>
    <w:pPr>
      <w:widowControl/>
      <w:numPr>
        <w:numId w:val="37"/>
      </w:numPr>
      <w:tabs>
        <w:tab w:val="clear" w:pos="1134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customStyle="1" w:styleId="ListDash2">
    <w:name w:val="List Dash 2"/>
    <w:basedOn w:val="Normal"/>
    <w:rsid w:val="00C82B27"/>
    <w:pPr>
      <w:widowControl/>
      <w:numPr>
        <w:numId w:val="38"/>
      </w:numPr>
      <w:tabs>
        <w:tab w:val="clear" w:pos="1134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styleId="Caption">
    <w:name w:val="caption"/>
    <w:basedOn w:val="Normal"/>
    <w:next w:val="Normal"/>
    <w:qFormat/>
    <w:rsid w:val="00C82B27"/>
    <w:pPr>
      <w:widowControl/>
      <w:spacing w:before="120" w:after="120"/>
      <w:jc w:val="both"/>
    </w:pPr>
    <w:rPr>
      <w:rFonts w:eastAsia="Calibri"/>
      <w:b/>
      <w:bCs/>
      <w:sz w:val="20"/>
      <w:szCs w:val="22"/>
    </w:rPr>
  </w:style>
  <w:style w:type="paragraph" w:styleId="TableofFigures">
    <w:name w:val="table of figures"/>
    <w:basedOn w:val="Normal"/>
    <w:next w:val="Normal"/>
    <w:rsid w:val="00C82B27"/>
    <w:pPr>
      <w:widowControl/>
      <w:spacing w:before="120" w:after="120"/>
      <w:jc w:val="both"/>
    </w:pPr>
    <w:rPr>
      <w:rFonts w:eastAsia="Calibri"/>
      <w:szCs w:val="22"/>
    </w:rPr>
  </w:style>
  <w:style w:type="paragraph" w:customStyle="1" w:styleId="Sous-titreobjetPagedecouverture">
    <w:name w:val="Sous-titre objet (Page de couverture)"/>
    <w:basedOn w:val="Sous-titreobjet"/>
    <w:rsid w:val="00C82B27"/>
    <w:pPr>
      <w:spacing w:line="240" w:lineRule="auto"/>
    </w:pPr>
    <w:rPr>
      <w:lang w:eastAsia="en-GB"/>
    </w:rPr>
  </w:style>
  <w:style w:type="character" w:customStyle="1" w:styleId="TOCHeadingChar">
    <w:name w:val="TOC Heading Char"/>
    <w:basedOn w:val="DefaultParagraphFont"/>
    <w:uiPriority w:val="39"/>
    <w:rsid w:val="00C82B27"/>
    <w:rPr>
      <w:rFonts w:ascii="Times New Roman" w:hAnsi="Times New Roman" w:cs="Times New Roman"/>
      <w:b/>
      <w:sz w:val="28"/>
      <w:lang w:val="it-IT"/>
    </w:rPr>
  </w:style>
  <w:style w:type="character" w:customStyle="1" w:styleId="Mention2">
    <w:name w:val="Mention2"/>
    <w:basedOn w:val="DefaultParagraphFont"/>
    <w:uiPriority w:val="99"/>
    <w:unhideWhenUsed/>
    <w:rsid w:val="00C82B27"/>
    <w:rPr>
      <w:color w:val="2B579A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82B27"/>
    <w:rPr>
      <w:color w:val="605E5C"/>
      <w:shd w:val="clear" w:color="auto" w:fill="E1DFDD"/>
    </w:rPr>
  </w:style>
  <w:style w:type="paragraph" w:customStyle="1" w:styleId="HeaderSensitivity">
    <w:name w:val="Header Sensitivity"/>
    <w:basedOn w:val="Normal"/>
    <w:rsid w:val="00C82B2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C82B27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C82B2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character" w:customStyle="1" w:styleId="Marker2">
    <w:name w:val="Marker2"/>
    <w:basedOn w:val="DefaultParagraphFont"/>
    <w:rsid w:val="00C82B27"/>
    <w:rPr>
      <w:color w:val="FF0000"/>
      <w:shd w:val="clear" w:color="auto" w:fill="auto"/>
    </w:rPr>
  </w:style>
  <w:style w:type="paragraph" w:customStyle="1" w:styleId="Nomdelinstitution">
    <w:name w:val="Nom de l'institution"/>
    <w:basedOn w:val="Normal"/>
    <w:next w:val="Emission"/>
    <w:rsid w:val="00C82B27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C82B27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C82B27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C82B27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C82B27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C82B27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C82B27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C82B27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C82B27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C82B27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C82B27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vertissementtitre">
    <w:name w:val="Avertissement titre"/>
    <w:basedOn w:val="Normal"/>
    <w:next w:val="Normal"/>
    <w:rsid w:val="00C82B27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C82B27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C82B27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C82B27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C82B27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C82B27"/>
    <w:pPr>
      <w:widowControl/>
      <w:ind w:left="5103"/>
    </w:pPr>
    <w:rPr>
      <w:rFonts w:eastAsia="Calibri"/>
      <w:szCs w:val="22"/>
      <w:lang w:eastAsia="en-US"/>
    </w:rPr>
  </w:style>
  <w:style w:type="character" w:customStyle="1" w:styleId="Added">
    <w:name w:val="Added"/>
    <w:basedOn w:val="DefaultParagraphFont"/>
    <w:rsid w:val="00C82B27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C82B27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C82B27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C82B27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C82B27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Rfrencecroise">
    <w:name w:val="Référence croisée"/>
    <w:basedOn w:val="Normal"/>
    <w:rsid w:val="00C82B27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C82B27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C82B27"/>
    <w:pPr>
      <w:spacing w:line="240" w:lineRule="auto"/>
    </w:p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C82B27"/>
  </w:style>
  <w:style w:type="paragraph" w:customStyle="1" w:styleId="StatutPagedecouverture">
    <w:name w:val="Statut (Page de couverture)"/>
    <w:basedOn w:val="Statut"/>
    <w:next w:val="TypedudocumentPagedecouverture"/>
    <w:rsid w:val="00C82B27"/>
    <w:pPr>
      <w:spacing w:line="240" w:lineRule="auto"/>
    </w:pPr>
  </w:style>
  <w:style w:type="paragraph" w:customStyle="1" w:styleId="TitreobjetPagedecouverture">
    <w:name w:val="Titre objet (Page de couverture)"/>
    <w:basedOn w:val="Titreobjet"/>
    <w:next w:val="IntrtEEEPagedecouverture"/>
    <w:rsid w:val="00C82B27"/>
    <w:pPr>
      <w:spacing w:line="240" w:lineRule="auto"/>
    </w:pPr>
  </w:style>
  <w:style w:type="paragraph" w:customStyle="1" w:styleId="TypedudocumentPagedecouverture">
    <w:name w:val="Type du document (Page de couverture)"/>
    <w:basedOn w:val="Typedudocument"/>
    <w:next w:val="TitreobjetPagedecouverture"/>
    <w:rsid w:val="00C82B27"/>
    <w:pPr>
      <w:spacing w:line="240" w:lineRule="auto"/>
    </w:pPr>
  </w:style>
  <w:style w:type="paragraph" w:customStyle="1" w:styleId="Volume">
    <w:name w:val="Volume"/>
    <w:basedOn w:val="Normal"/>
    <w:next w:val="Confidentialit"/>
    <w:rsid w:val="00C82B27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C82B27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C82B27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C82B27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C82B27"/>
    <w:pPr>
      <w:spacing w:line="240" w:lineRule="auto"/>
    </w:pPr>
  </w:style>
  <w:style w:type="paragraph" w:customStyle="1" w:styleId="AccompagnantPagedecouverture">
    <w:name w:val="Accompagnant (Page de couverture)"/>
    <w:basedOn w:val="Accompagnant"/>
    <w:next w:val="TypeacteprincipalPagedecouverture"/>
    <w:rsid w:val="00C82B27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C82B27"/>
  </w:style>
  <w:style w:type="paragraph" w:customStyle="1" w:styleId="ObjetacteprincipalPagedecouverture">
    <w:name w:val="Objet acte principal (Page de couverture)"/>
    <w:basedOn w:val="Objetacteprincipal"/>
    <w:next w:val="Rfrencecroise"/>
    <w:rsid w:val="00C82B27"/>
  </w:style>
  <w:style w:type="paragraph" w:customStyle="1" w:styleId="LanguesfaisantfoiPagedecouverture">
    <w:name w:val="Langues faisant foi (Page de couverture)"/>
    <w:basedOn w:val="Normal"/>
    <w:next w:val="Normal"/>
    <w:rsid w:val="00C82B27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pj">
    <w:name w:val="p.j."/>
    <w:basedOn w:val="Normal"/>
    <w:link w:val="pjChar"/>
    <w:rsid w:val="00C82B27"/>
    <w:pPr>
      <w:widowControl/>
      <w:spacing w:before="1200" w:after="120"/>
      <w:ind w:left="1440" w:hanging="1440"/>
    </w:pPr>
    <w:rPr>
      <w:rFonts w:eastAsia="Calibri"/>
      <w:szCs w:val="22"/>
      <w:lang w:eastAsia="en-US"/>
    </w:rPr>
  </w:style>
  <w:style w:type="character" w:customStyle="1" w:styleId="pjChar">
    <w:name w:val="p.j. Char"/>
    <w:basedOn w:val="TechnicalBlockChar"/>
    <w:link w:val="pj"/>
    <w:rsid w:val="00C82B27"/>
    <w:rPr>
      <w:rFonts w:ascii="Times New Roman" w:eastAsia="Calibri" w:hAnsi="Times New Roman" w:cs="Times New Roman"/>
      <w:sz w:val="24"/>
      <w:szCs w:val="22"/>
      <w:lang w:val="it-IT" w:eastAsia="en-US"/>
    </w:rPr>
  </w:style>
  <w:style w:type="paragraph" w:customStyle="1" w:styleId="nbbordered">
    <w:name w:val="nb bordered"/>
    <w:basedOn w:val="Normal"/>
    <w:link w:val="nbborderedChar"/>
    <w:rsid w:val="00C82B2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  <w:jc w:val="both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TechnicalBlockChar"/>
    <w:link w:val="nbbordered"/>
    <w:rsid w:val="00C82B27"/>
    <w:rPr>
      <w:rFonts w:ascii="Times New Roman" w:eastAsia="Calibri" w:hAnsi="Times New Roman" w:cs="Times New Roman"/>
      <w:b/>
      <w:sz w:val="24"/>
      <w:szCs w:val="22"/>
      <w:lang w:val="it-IT" w:eastAsia="en-US"/>
    </w:rPr>
  </w:style>
  <w:style w:type="character" w:customStyle="1" w:styleId="HeaderCouncilChar">
    <w:name w:val="Header Council Char"/>
    <w:basedOn w:val="DefaultParagraphFont"/>
    <w:link w:val="HeaderCouncil"/>
    <w:rsid w:val="00C82B27"/>
    <w:rPr>
      <w:rFonts w:eastAsia="Calibri"/>
      <w:sz w:val="2"/>
      <w:szCs w:val="22"/>
      <w:lang w:val="it-IT" w:eastAsia="en-US"/>
    </w:rPr>
  </w:style>
  <w:style w:type="character" w:customStyle="1" w:styleId="FooterCouncilChar">
    <w:name w:val="Footer Council Char"/>
    <w:basedOn w:val="DefaultParagraphFont"/>
    <w:link w:val="FooterCouncil"/>
    <w:rsid w:val="00C82B27"/>
    <w:rPr>
      <w:rFonts w:eastAsia="Calibri"/>
      <w:sz w:val="2"/>
      <w:szCs w:val="22"/>
      <w:lang w:val="it-IT" w:eastAsia="en-US"/>
    </w:rPr>
  </w:style>
  <w:style w:type="paragraph" w:customStyle="1" w:styleId="ListDash3">
    <w:name w:val="List Dash 3"/>
    <w:basedOn w:val="Normal"/>
    <w:rsid w:val="00C82B27"/>
    <w:pPr>
      <w:widowControl/>
      <w:numPr>
        <w:numId w:val="39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C82B27"/>
    <w:pPr>
      <w:widowControl/>
      <w:numPr>
        <w:numId w:val="40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C82B27"/>
    <w:pPr>
      <w:numPr>
        <w:numId w:val="41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C82B27"/>
    <w:pPr>
      <w:numPr>
        <w:ilvl w:val="1"/>
        <w:numId w:val="41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C82B27"/>
    <w:pPr>
      <w:tabs>
        <w:tab w:val="num" w:pos="2268"/>
      </w:tabs>
      <w:spacing w:line="240" w:lineRule="auto"/>
      <w:ind w:left="2268" w:hanging="708"/>
      <w:jc w:val="both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C82B27"/>
    <w:pPr>
      <w:tabs>
        <w:tab w:val="num" w:pos="2268"/>
      </w:tabs>
      <w:spacing w:line="240" w:lineRule="auto"/>
      <w:ind w:left="2268" w:hanging="708"/>
      <w:jc w:val="both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C82B27"/>
    <w:pPr>
      <w:tabs>
        <w:tab w:val="num" w:pos="2268"/>
      </w:tabs>
      <w:spacing w:line="240" w:lineRule="auto"/>
      <w:ind w:left="2268" w:hanging="708"/>
      <w:jc w:val="both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C82B27"/>
    <w:pPr>
      <w:numPr>
        <w:ilvl w:val="2"/>
        <w:numId w:val="41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C82B27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C82B27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C82B27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C82B27"/>
    <w:pPr>
      <w:numPr>
        <w:ilvl w:val="3"/>
        <w:numId w:val="41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C82B27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C82B27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C82B27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Annexetitreexposglobal">
    <w:name w:val="Annexe titre (exposé global)"/>
    <w:basedOn w:val="Normal"/>
    <w:next w:val="Normal"/>
    <w:rsid w:val="00C82B2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C82B2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C82B2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C82B2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C82B27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C82B27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C82B27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C82B27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C82B27"/>
    <w:pPr>
      <w:widowControl/>
      <w:spacing w:after="240"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C82B27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C82B27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C82B27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C82B27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C82B27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C82B2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C82B2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C82B2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C82B2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C82B2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C82B27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C82B27"/>
    <w:rPr>
      <w:vanish/>
      <w:color w:val="800080"/>
      <w:vertAlign w:val="subscript"/>
    </w:rPr>
  </w:style>
  <w:style w:type="character" w:customStyle="1" w:styleId="marker0">
    <w:name w:val="marker"/>
    <w:basedOn w:val="DefaultParagraphFont"/>
    <w:rsid w:val="00C82B27"/>
    <w:rPr>
      <w:color w:val="0000FF"/>
    </w:rPr>
  </w:style>
  <w:style w:type="character" w:customStyle="1" w:styleId="Marker00">
    <w:name w:val="Marker0"/>
    <w:basedOn w:val="DefaultParagraphFont"/>
    <w:rsid w:val="00C82B27"/>
    <w:rPr>
      <w:color w:val="0000FF"/>
      <w:shd w:val="clear" w:color="auto" w:fill="auto"/>
    </w:rPr>
  </w:style>
  <w:style w:type="character" w:customStyle="1" w:styleId="Marker10">
    <w:name w:val="Marker10"/>
    <w:basedOn w:val="DefaultParagraphFont"/>
    <w:rsid w:val="00C82B27"/>
    <w:rPr>
      <w:color w:val="008000"/>
      <w:shd w:val="clear" w:color="auto" w:fill="auto"/>
    </w:rPr>
  </w:style>
  <w:style w:type="character" w:customStyle="1" w:styleId="Marker000">
    <w:name w:val="Marker00"/>
    <w:basedOn w:val="DefaultParagraphFont"/>
    <w:rsid w:val="00C82B27"/>
    <w:rPr>
      <w:color w:val="0000FF"/>
      <w:shd w:val="clear" w:color="auto" w:fill="auto"/>
    </w:rPr>
  </w:style>
  <w:style w:type="character" w:customStyle="1" w:styleId="Marker100">
    <w:name w:val="Marker1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">
    <w:name w:val="Marker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">
    <w:name w:val="Marker1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">
    <w:name w:val="Marker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">
    <w:name w:val="Marker1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">
    <w:name w:val="Marker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">
    <w:name w:val="Marker1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">
    <w:name w:val="Marker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">
    <w:name w:val="Marker1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">
    <w:name w:val="Marker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">
    <w:name w:val="Marker1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">
    <w:name w:val="Marker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">
    <w:name w:val="Marker1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">
    <w:name w:val="Marker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">
    <w:name w:val="Marker1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">
    <w:name w:val="Marker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">
    <w:name w:val="Marker1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">
    <w:name w:val="Marker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">
    <w:name w:val="Marker1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">
    <w:name w:val="Marker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">
    <w:name w:val="Marker1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">
    <w:name w:val="Marker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">
    <w:name w:val="Marker1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">
    <w:name w:val="Marker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">
    <w:name w:val="Marker1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">
    <w:name w:val="Marker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">
    <w:name w:val="Marker1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">
    <w:name w:val="Marker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">
    <w:name w:val="Marker1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">
    <w:name w:val="Marker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">
    <w:name w:val="Marker1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">
    <w:name w:val="Marker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">
    <w:name w:val="Marker1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">
    <w:name w:val="Marker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">
    <w:name w:val="Marker1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">
    <w:name w:val="Marker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0">
    <w:name w:val="Marker1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0">
    <w:name w:val="Marker0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00">
    <w:name w:val="Marker10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00">
    <w:name w:val="Marker00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000">
    <w:name w:val="Marker100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000">
    <w:name w:val="Marker000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0000">
    <w:name w:val="Marker1000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0001">
    <w:name w:val="Marker0000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00000">
    <w:name w:val="Marker10000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10000000000000000000000000">
    <w:name w:val="Marker100000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00000">
    <w:name w:val="Marker000000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0000000">
    <w:name w:val="Marker1000000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000000">
    <w:name w:val="Marker0000000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00000000">
    <w:name w:val="Marker10000000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0000000">
    <w:name w:val="Marker00000000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000000000">
    <w:name w:val="Marker100000000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00000000">
    <w:name w:val="Marker000000000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0000000000">
    <w:name w:val="Marker1000000000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000000000">
    <w:name w:val="Marker0000000000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00000000000">
    <w:name w:val="Marker10000000000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0000000000">
    <w:name w:val="Marker00000000000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000000000000">
    <w:name w:val="Marker100000000000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00000000000">
    <w:name w:val="Marker000000000000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0000000000000">
    <w:name w:val="Marker1000000000000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000000000000">
    <w:name w:val="Marker0000000000000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00000000000000">
    <w:name w:val="Marker10000000000000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0000000000000">
    <w:name w:val="Marker00000000000000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000000000000000">
    <w:name w:val="Marker100000000000000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00000000000000">
    <w:name w:val="Marker000000000000000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0000000000000000">
    <w:name w:val="Marker1000000000000000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000000000000000">
    <w:name w:val="Marker0000000000000000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00000000000000000">
    <w:name w:val="Marker10000000000000000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0000000000000000">
    <w:name w:val="Marker00000000000000000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000000000000000000">
    <w:name w:val="Marker100000000000000000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00000000000000000">
    <w:name w:val="Marker000000000000000000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0000000000000000000">
    <w:name w:val="Marker1000000000000000000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000000000000000000">
    <w:name w:val="Marker0000000000000000000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00000000000000000000">
    <w:name w:val="Marker10000000000000000000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0000000000000000000">
    <w:name w:val="Marker00000000000000000000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000000000000000000000">
    <w:name w:val="Marker100000000000000000000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00000000000000000000">
    <w:name w:val="Marker000000000000000000000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0000000000000000000000">
    <w:name w:val="Marker1000000000000000000000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000000000000000000000">
    <w:name w:val="Marker0000000000000000000000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00000000000000000000000">
    <w:name w:val="Marker10000000000000000000000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0000000000000000000000">
    <w:name w:val="Marker00000000000000000000000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0000000000000000000000000000000000000000000">
    <w:name w:val="Marker10000000000000000000000000000000000000000000"/>
    <w:basedOn w:val="DefaultParagraphFont"/>
    <w:rsid w:val="00C82B27"/>
    <w:rPr>
      <w:color w:val="008000"/>
      <w:shd w:val="clear" w:color="auto" w:fill="auto"/>
    </w:rPr>
  </w:style>
  <w:style w:type="character" w:customStyle="1" w:styleId="Marker00000000000000000000000000000000000000000000">
    <w:name w:val="Marker00000000000000000000000000000000000000000000"/>
    <w:basedOn w:val="DefaultParagraphFont"/>
    <w:rsid w:val="00C82B27"/>
    <w:rPr>
      <w:color w:val="0000FF"/>
      <w:shd w:val="clear" w:color="auto" w:fill="auto"/>
    </w:rPr>
  </w:style>
  <w:style w:type="character" w:customStyle="1" w:styleId="Marker11">
    <w:name w:val="Marker11"/>
    <w:basedOn w:val="DefaultParagraphFont"/>
    <w:rsid w:val="00C82B27"/>
    <w:rPr>
      <w:color w:val="008000"/>
      <w:shd w:val="clear" w:color="auto" w:fill="auto"/>
    </w:rPr>
  </w:style>
  <w:style w:type="character" w:customStyle="1" w:styleId="Marker3">
    <w:name w:val="Marker3"/>
    <w:basedOn w:val="DefaultParagraphFont"/>
    <w:rsid w:val="00C82B27"/>
    <w:rPr>
      <w:color w:val="0000FF"/>
      <w:shd w:val="clear" w:color="auto" w:fill="auto"/>
    </w:rPr>
  </w:style>
  <w:style w:type="character" w:customStyle="1" w:styleId="Marker12">
    <w:name w:val="Marker12"/>
    <w:basedOn w:val="DefaultParagraphFont"/>
    <w:rsid w:val="00C82B27"/>
    <w:rPr>
      <w:color w:val="008000"/>
      <w:shd w:val="clear" w:color="auto" w:fill="auto"/>
    </w:rPr>
  </w:style>
  <w:style w:type="character" w:customStyle="1" w:styleId="Marker20">
    <w:name w:val="Marker20"/>
    <w:basedOn w:val="DefaultParagraphFont"/>
    <w:rsid w:val="00C82B27"/>
    <w:rPr>
      <w:color w:val="FF0000"/>
      <w:shd w:val="clear" w:color="auto" w:fill="auto"/>
    </w:rPr>
  </w:style>
  <w:style w:type="character" w:customStyle="1" w:styleId="Marker4">
    <w:name w:val="Marker4"/>
    <w:basedOn w:val="DefaultParagraphFont"/>
    <w:rsid w:val="00C82B27"/>
    <w:rPr>
      <w:color w:val="0000FF"/>
      <w:shd w:val="clear" w:color="auto" w:fill="auto"/>
    </w:rPr>
  </w:style>
  <w:style w:type="character" w:customStyle="1" w:styleId="Marker13">
    <w:name w:val="Marker13"/>
    <w:basedOn w:val="DefaultParagraphFont"/>
    <w:rsid w:val="00C82B27"/>
    <w:rPr>
      <w:color w:val="0000FF"/>
      <w:shd w:val="clear" w:color="auto" w:fill="auto"/>
    </w:rPr>
  </w:style>
  <w:style w:type="character" w:customStyle="1" w:styleId="Marker21">
    <w:name w:val="Marker21"/>
    <w:basedOn w:val="DefaultParagraphFont"/>
    <w:rsid w:val="00C82B27"/>
    <w:rPr>
      <w:color w:val="FF0000"/>
      <w:shd w:val="clear" w:color="auto" w:fill="auto"/>
    </w:rPr>
  </w:style>
  <w:style w:type="character" w:customStyle="1" w:styleId="Marker110">
    <w:name w:val="Marker110"/>
    <w:basedOn w:val="DefaultParagraphFont"/>
    <w:rsid w:val="00C82B27"/>
    <w:rPr>
      <w:color w:val="008000"/>
      <w:shd w:val="clear" w:color="auto" w:fill="auto"/>
    </w:rPr>
  </w:style>
  <w:style w:type="character" w:customStyle="1" w:styleId="Marker30">
    <w:name w:val="Marker30"/>
    <w:basedOn w:val="DefaultParagraphFont"/>
    <w:rsid w:val="00C82B27"/>
    <w:rPr>
      <w:color w:val="0000FF"/>
      <w:shd w:val="clear" w:color="auto" w:fill="auto"/>
    </w:rPr>
  </w:style>
  <w:style w:type="character" w:customStyle="1" w:styleId="Marker120">
    <w:name w:val="Marker120"/>
    <w:basedOn w:val="DefaultParagraphFont"/>
    <w:rsid w:val="00C82B27"/>
    <w:rPr>
      <w:color w:val="008000"/>
      <w:shd w:val="clear" w:color="auto" w:fill="auto"/>
    </w:rPr>
  </w:style>
  <w:style w:type="character" w:customStyle="1" w:styleId="Marker200">
    <w:name w:val="Marker200"/>
    <w:basedOn w:val="DefaultParagraphFont"/>
    <w:rsid w:val="00C82B27"/>
    <w:rPr>
      <w:color w:val="FF0000"/>
      <w:shd w:val="clear" w:color="auto" w:fill="auto"/>
    </w:rPr>
  </w:style>
  <w:style w:type="character" w:customStyle="1" w:styleId="Marker40">
    <w:name w:val="Marker40"/>
    <w:basedOn w:val="DefaultParagraphFont"/>
    <w:rsid w:val="00C82B27"/>
    <w:rPr>
      <w:color w:val="0000FF"/>
      <w:shd w:val="clear" w:color="auto" w:fill="auto"/>
    </w:rPr>
  </w:style>
  <w:style w:type="character" w:customStyle="1" w:styleId="Marker130">
    <w:name w:val="Marker130"/>
    <w:basedOn w:val="DefaultParagraphFont"/>
    <w:rsid w:val="00C82B27"/>
    <w:rPr>
      <w:color w:val="008000"/>
      <w:shd w:val="clear" w:color="auto" w:fill="auto"/>
    </w:rPr>
  </w:style>
  <w:style w:type="character" w:customStyle="1" w:styleId="Marker210">
    <w:name w:val="Marker210"/>
    <w:basedOn w:val="DefaultParagraphFont"/>
    <w:rsid w:val="00C82B27"/>
    <w:rPr>
      <w:color w:val="FF0000"/>
      <w:shd w:val="clear" w:color="auto" w:fill="auto"/>
    </w:rPr>
  </w:style>
  <w:style w:type="character" w:customStyle="1" w:styleId="Marker14">
    <w:name w:val="Marker14"/>
    <w:basedOn w:val="DefaultParagraphFont"/>
    <w:rsid w:val="00C82B27"/>
    <w:rPr>
      <w:color w:val="008000"/>
      <w:shd w:val="clear" w:color="auto" w:fill="auto"/>
    </w:rPr>
  </w:style>
  <w:style w:type="character" w:customStyle="1" w:styleId="marker1000000000000000000000000000000000000000000000">
    <w:name w:val="marker100000000000000000000000000000000000000000000"/>
    <w:basedOn w:val="DefaultParagraphFont"/>
    <w:rsid w:val="00C82B27"/>
  </w:style>
  <w:style w:type="paragraph" w:customStyle="1" w:styleId="xoj-normal">
    <w:name w:val="x_oj-normal"/>
    <w:basedOn w:val="Normal"/>
    <w:rsid w:val="00C82B27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xoj-italic">
    <w:name w:val="x_oj-italic"/>
    <w:basedOn w:val="DefaultParagraphFont"/>
    <w:rsid w:val="00C82B27"/>
  </w:style>
  <w:style w:type="character" w:customStyle="1" w:styleId="cf01">
    <w:name w:val="cf01"/>
    <w:basedOn w:val="DefaultParagraphFont"/>
    <w:rsid w:val="00C82B27"/>
    <w:rPr>
      <w:rFonts w:ascii="Segoe UI" w:hAnsi="Segoe UI" w:cs="Segoe UI" w:hint="default"/>
      <w:b/>
      <w:bCs/>
      <w:sz w:val="18"/>
      <w:szCs w:val="18"/>
    </w:rPr>
  </w:style>
  <w:style w:type="character" w:customStyle="1" w:styleId="Mention3">
    <w:name w:val="Mention3"/>
    <w:basedOn w:val="DefaultParagraphFont"/>
    <w:uiPriority w:val="99"/>
    <w:unhideWhenUsed/>
    <w:rsid w:val="00C82B27"/>
    <w:rPr>
      <w:color w:val="2B579A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82B27"/>
    <w:rPr>
      <w:color w:val="605E5C"/>
      <w:shd w:val="clear" w:color="auto" w:fill="E1DFDD"/>
    </w:rPr>
  </w:style>
  <w:style w:type="character" w:customStyle="1" w:styleId="null1">
    <w:name w:val="null1"/>
    <w:basedOn w:val="DefaultParagraphFont"/>
    <w:rsid w:val="00C82B27"/>
  </w:style>
  <w:style w:type="character" w:customStyle="1" w:styleId="highlight">
    <w:name w:val="highlight"/>
    <w:basedOn w:val="DefaultParagraphFont"/>
    <w:rsid w:val="00C82B27"/>
  </w:style>
  <w:style w:type="paragraph" w:customStyle="1" w:styleId="manualconsidrant0">
    <w:name w:val="manual considérant"/>
    <w:basedOn w:val="Normal"/>
    <w:uiPriority w:val="99"/>
    <w:rsid w:val="00C82B27"/>
    <w:pPr>
      <w:widowControl/>
      <w:spacing w:before="120" w:after="120"/>
      <w:ind w:left="709" w:hanging="709"/>
      <w:jc w:val="both"/>
    </w:pPr>
    <w:rPr>
      <w:rFonts w:eastAsia="Calibri"/>
      <w:szCs w:val="24"/>
      <w:lang w:eastAsia="en-US"/>
    </w:rPr>
  </w:style>
  <w:style w:type="character" w:customStyle="1" w:styleId="ui-provider">
    <w:name w:val="ui-provider"/>
    <w:basedOn w:val="DefaultParagraphFont"/>
    <w:rsid w:val="00C82B27"/>
  </w:style>
  <w:style w:type="paragraph" w:customStyle="1" w:styleId="SignaturePersonne">
    <w:name w:val="Signature Personne"/>
    <w:basedOn w:val="Normal"/>
    <w:rsid w:val="00C82B27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ootnoteTextForceStyle">
    <w:name w:val="Footnote Text ForceStyle"/>
    <w:rsid w:val="00C82B27"/>
    <w:pPr>
      <w:keepLines/>
      <w:widowControl w:val="0"/>
      <w:ind w:left="850" w:hanging="850"/>
    </w:pPr>
    <w:rPr>
      <w:sz w:val="24"/>
      <w:lang w:val="it-IT" w:eastAsia="en-US"/>
    </w:rPr>
  </w:style>
  <w:style w:type="character" w:customStyle="1" w:styleId="Footer2">
    <w:name w:val="Footer2"/>
    <w:rsid w:val="00C82B27"/>
    <w:rPr>
      <w:rFonts w:ascii="Arial" w:hAnsi="Arial"/>
      <w:b/>
      <w:sz w:val="48"/>
    </w:rPr>
  </w:style>
  <w:style w:type="paragraph" w:customStyle="1" w:styleId="Normale">
    <w:name w:val="Normale"/>
    <w:rsid w:val="00C82B27"/>
    <w:pPr>
      <w:widowControl w:val="0"/>
      <w:spacing w:before="120" w:after="120" w:line="360" w:lineRule="auto"/>
    </w:pPr>
    <w:rPr>
      <w:sz w:val="24"/>
      <w:lang w:val="it-IT" w:eastAsia="en-US"/>
    </w:rPr>
  </w:style>
  <w:style w:type="paragraph" w:customStyle="1" w:styleId="Footer1">
    <w:name w:val="Footer1"/>
    <w:basedOn w:val="Normal"/>
    <w:rsid w:val="00C82B27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C82B27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character" w:customStyle="1" w:styleId="FooterChar1">
    <w:name w:val="Footer Char1"/>
    <w:basedOn w:val="DefaultParagraphFont"/>
    <w:semiHidden/>
    <w:rsid w:val="00C82B27"/>
    <w:rPr>
      <w:sz w:val="24"/>
      <w:szCs w:val="24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82B27"/>
    <w:rPr>
      <w:color w:val="605E5C"/>
      <w:shd w:val="clear" w:color="auto" w:fill="E1DFDD"/>
    </w:rPr>
  </w:style>
  <w:style w:type="paragraph" w:customStyle="1" w:styleId="oj-ti-doc-dur">
    <w:name w:val="oj-ti-doc-dur"/>
    <w:basedOn w:val="Normal"/>
    <w:rsid w:val="00C82B27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character" w:styleId="FollowedHyperlink">
    <w:name w:val="FollowedHyperlink"/>
    <w:basedOn w:val="DefaultParagraphFont"/>
    <w:rsid w:val="00C82B27"/>
    <w:rPr>
      <w:color w:val="954F72" w:themeColor="followedHyperlink"/>
      <w:u w:val="single"/>
    </w:rPr>
  </w:style>
  <w:style w:type="character" w:customStyle="1" w:styleId="CharChar1">
    <w:name w:val="Char Char1"/>
    <w:link w:val="Normal12Hanging"/>
    <w:locked/>
    <w:rsid w:val="00C82B27"/>
    <w:rPr>
      <w:sz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0E421-3B44-4080-BE69-8963F3227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710</Words>
  <Characters>4436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DAFFARA Paolo </dc:creator>
  <cp:keywords/>
  <cp:lastModifiedBy>SOLTYSOVA Zuzana</cp:lastModifiedBy>
  <cp:revision>2</cp:revision>
  <cp:lastPrinted>2004-11-19T15:42:00Z</cp:lastPrinted>
  <dcterms:created xsi:type="dcterms:W3CDTF">2024-07-02T14:37:00Z</dcterms:created>
  <dcterms:modified xsi:type="dcterms:W3CDTF">2024-07-02T14:37:00Z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P9_TA(2024)0083_</vt:lpwstr>
  </property>
  <property fmtid="{D5CDD505-2E9C-101B-9397-08002B2CF9AE}" pid="4" name="&lt;Type&gt;">
    <vt:lpwstr>RR</vt:lpwstr>
  </property>
</Properties>
</file>