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2762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27626" w:rsidRDefault="000408A3" w:rsidP="0010095E">
            <w:pPr>
              <w:pStyle w:val="EPName"/>
            </w:pPr>
            <w:r w:rsidRPr="00427626">
              <w:t>Parlament Ewropew</w:t>
            </w:r>
          </w:p>
          <w:p w:rsidR="00751A4A" w:rsidRPr="0042762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16E5D">
              <w:t>2019</w:t>
            </w:r>
            <w:r w:rsidRPr="00427626">
              <w:t>-</w:t>
            </w:r>
            <w:r w:rsidRPr="00316E5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27626" w:rsidRDefault="00187494" w:rsidP="0010095E">
            <w:pPr>
              <w:pStyle w:val="EPLogo"/>
            </w:pPr>
            <w:r w:rsidRPr="0042762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27626" w:rsidRDefault="00D058B8" w:rsidP="004C5D52">
      <w:pPr>
        <w:pStyle w:val="LineTop"/>
      </w:pPr>
    </w:p>
    <w:p w:rsidR="00680577" w:rsidRPr="00427626" w:rsidRDefault="000408A3" w:rsidP="00680577">
      <w:pPr>
        <w:pStyle w:val="EPBodyTA1"/>
      </w:pPr>
      <w:r w:rsidRPr="00427626">
        <w:t>TESTI ADOTTATI</w:t>
      </w:r>
    </w:p>
    <w:p w:rsidR="00D058B8" w:rsidRPr="00427626" w:rsidRDefault="00D058B8" w:rsidP="00D058B8">
      <w:pPr>
        <w:pStyle w:val="LineBottom"/>
      </w:pPr>
    </w:p>
    <w:p w:rsidR="000408A3" w:rsidRPr="00427626" w:rsidRDefault="000408A3" w:rsidP="000408A3">
      <w:pPr>
        <w:pStyle w:val="ATHeading1"/>
      </w:pPr>
      <w:bookmarkStart w:id="0" w:name="TANumber"/>
      <w:r w:rsidRPr="00427626">
        <w:t>P</w:t>
      </w:r>
      <w:r w:rsidRPr="00316E5D">
        <w:t>9</w:t>
      </w:r>
      <w:r w:rsidRPr="00427626">
        <w:t>_TA(</w:t>
      </w:r>
      <w:r w:rsidRPr="00316E5D">
        <w:t>2024</w:t>
      </w:r>
      <w:r w:rsidRPr="00427626">
        <w:t>)</w:t>
      </w:r>
      <w:r w:rsidRPr="00316E5D">
        <w:t>00</w:t>
      </w:r>
      <w:r w:rsidR="00427626" w:rsidRPr="00316E5D">
        <w:rPr>
          <w:lang w:val="it-IT"/>
        </w:rPr>
        <w:t>83</w:t>
      </w:r>
      <w:bookmarkEnd w:id="0"/>
    </w:p>
    <w:p w:rsidR="000408A3" w:rsidRPr="00427626" w:rsidRDefault="00EF2A7C" w:rsidP="000408A3">
      <w:pPr>
        <w:pStyle w:val="ATHeading2"/>
      </w:pPr>
      <w:r w:rsidRPr="00427626">
        <w:t>L-istabbiliment tal-</w:t>
      </w:r>
      <w:proofErr w:type="spellStart"/>
      <w:r w:rsidRPr="00427626">
        <w:t>Faċilità</w:t>
      </w:r>
      <w:proofErr w:type="spellEnd"/>
      <w:r w:rsidRPr="00427626">
        <w:t xml:space="preserve"> tal-Ukrajna</w:t>
      </w:r>
    </w:p>
    <w:p w:rsidR="000408A3" w:rsidRPr="00427626" w:rsidRDefault="000408A3" w:rsidP="000408A3">
      <w:pPr>
        <w:rPr>
          <w:i/>
          <w:vanish/>
        </w:rPr>
      </w:pPr>
      <w:r w:rsidRPr="00427626">
        <w:rPr>
          <w:i/>
        </w:rPr>
        <w:fldChar w:fldCharType="begin"/>
      </w:r>
      <w:r w:rsidRPr="00427626">
        <w:rPr>
          <w:i/>
        </w:rPr>
        <w:instrText xml:space="preserve"> TC"(</w:instrText>
      </w:r>
      <w:bookmarkStart w:id="1" w:name="DocNumber"/>
      <w:r w:rsidRPr="00427626">
        <w:rPr>
          <w:i/>
        </w:rPr>
        <w:instrText>A</w:instrText>
      </w:r>
      <w:r w:rsidRPr="00316E5D">
        <w:rPr>
          <w:i/>
        </w:rPr>
        <w:instrText>9</w:instrText>
      </w:r>
      <w:r w:rsidRPr="00427626">
        <w:rPr>
          <w:i/>
        </w:rPr>
        <w:instrText>-</w:instrText>
      </w:r>
      <w:r w:rsidRPr="00316E5D">
        <w:rPr>
          <w:i/>
        </w:rPr>
        <w:instrText>0286</w:instrText>
      </w:r>
      <w:r w:rsidRPr="00427626">
        <w:rPr>
          <w:i/>
        </w:rPr>
        <w:instrText>/</w:instrText>
      </w:r>
      <w:r w:rsidRPr="00316E5D">
        <w:rPr>
          <w:i/>
        </w:rPr>
        <w:instrText>2023</w:instrText>
      </w:r>
      <w:bookmarkEnd w:id="1"/>
      <w:r w:rsidRPr="00427626">
        <w:rPr>
          <w:i/>
        </w:rPr>
        <w:instrText xml:space="preserve"> - </w:instrText>
      </w:r>
      <w:proofErr w:type="spellStart"/>
      <w:r w:rsidRPr="00427626">
        <w:rPr>
          <w:i/>
        </w:rPr>
        <w:instrText>Rapporteur</w:instrText>
      </w:r>
      <w:proofErr w:type="spellEnd"/>
      <w:r w:rsidRPr="00427626">
        <w:rPr>
          <w:i/>
        </w:rPr>
        <w:instrText xml:space="preserve">: Michael </w:instrText>
      </w:r>
      <w:proofErr w:type="spellStart"/>
      <w:r w:rsidRPr="00427626">
        <w:rPr>
          <w:i/>
        </w:rPr>
        <w:instrText>Gahler</w:instrText>
      </w:r>
      <w:proofErr w:type="spellEnd"/>
      <w:r w:rsidRPr="00427626">
        <w:rPr>
          <w:i/>
        </w:rPr>
        <w:instrText xml:space="preserve">, </w:instrText>
      </w:r>
      <w:proofErr w:type="spellStart"/>
      <w:r w:rsidRPr="00427626">
        <w:rPr>
          <w:i/>
        </w:rPr>
        <w:instrText>Eider</w:instrText>
      </w:r>
      <w:proofErr w:type="spellEnd"/>
      <w:r w:rsidRPr="00427626">
        <w:rPr>
          <w:i/>
        </w:rPr>
        <w:instrText xml:space="preserve"> </w:instrText>
      </w:r>
      <w:proofErr w:type="spellStart"/>
      <w:r w:rsidRPr="00427626">
        <w:rPr>
          <w:i/>
        </w:rPr>
        <w:instrText>Gardiazabal</w:instrText>
      </w:r>
      <w:proofErr w:type="spellEnd"/>
      <w:r w:rsidRPr="00427626">
        <w:rPr>
          <w:i/>
        </w:rPr>
        <w:instrText xml:space="preserve"> </w:instrText>
      </w:r>
      <w:proofErr w:type="spellStart"/>
      <w:r w:rsidRPr="00427626">
        <w:rPr>
          <w:i/>
        </w:rPr>
        <w:instrText>Rubial</w:instrText>
      </w:r>
      <w:proofErr w:type="spellEnd"/>
      <w:r w:rsidRPr="00427626">
        <w:rPr>
          <w:i/>
        </w:rPr>
        <w:instrText>)"\l</w:instrText>
      </w:r>
      <w:r w:rsidRPr="00316E5D">
        <w:rPr>
          <w:i/>
        </w:rPr>
        <w:instrText>3</w:instrText>
      </w:r>
      <w:r w:rsidRPr="00427626">
        <w:rPr>
          <w:i/>
        </w:rPr>
        <w:instrText xml:space="preserve"> \n&gt; \* MERGEFORMAT </w:instrText>
      </w:r>
      <w:r w:rsidRPr="00427626">
        <w:rPr>
          <w:i/>
        </w:rPr>
        <w:fldChar w:fldCharType="end"/>
      </w:r>
    </w:p>
    <w:p w:rsidR="000408A3" w:rsidRPr="00427626" w:rsidRDefault="000408A3" w:rsidP="000408A3">
      <w:pPr>
        <w:rPr>
          <w:vanish/>
        </w:rPr>
      </w:pPr>
      <w:bookmarkStart w:id="2" w:name="Commission"/>
      <w:r w:rsidRPr="00427626">
        <w:rPr>
          <w:vanish/>
        </w:rPr>
        <w:t>Kumitat għall-Affarijiet Barranin</w:t>
      </w:r>
      <w:r w:rsidR="008B4BAC" w:rsidRPr="001E218B">
        <w:rPr>
          <w:vanish/>
        </w:rPr>
        <w:t xml:space="preserve">, </w:t>
      </w:r>
      <w:r w:rsidRPr="00427626">
        <w:rPr>
          <w:vanish/>
        </w:rPr>
        <w:t>Kumitat għall-Baġits</w:t>
      </w:r>
      <w:bookmarkEnd w:id="2"/>
    </w:p>
    <w:p w:rsidR="000408A3" w:rsidRPr="00427626" w:rsidRDefault="000408A3" w:rsidP="000408A3">
      <w:pPr>
        <w:rPr>
          <w:vanish/>
        </w:rPr>
      </w:pPr>
      <w:bookmarkStart w:id="3" w:name="PE"/>
      <w:r w:rsidRPr="00427626">
        <w:rPr>
          <w:vanish/>
        </w:rPr>
        <w:t>PE</w:t>
      </w:r>
      <w:r w:rsidRPr="00316E5D">
        <w:rPr>
          <w:vanish/>
        </w:rPr>
        <w:t>751</w:t>
      </w:r>
      <w:r w:rsidRPr="00427626">
        <w:rPr>
          <w:vanish/>
        </w:rPr>
        <w:t>.</w:t>
      </w:r>
      <w:r w:rsidRPr="00316E5D">
        <w:rPr>
          <w:vanish/>
        </w:rPr>
        <w:t>825</w:t>
      </w:r>
      <w:bookmarkEnd w:id="3"/>
    </w:p>
    <w:p w:rsidR="000408A3" w:rsidRPr="00427626" w:rsidRDefault="000408A3" w:rsidP="000408A3">
      <w:pPr>
        <w:pStyle w:val="ATHeading3"/>
      </w:pPr>
      <w:bookmarkStart w:id="4" w:name="Sujet"/>
      <w:r w:rsidRPr="00427626">
        <w:t xml:space="preserve">Riżoluzzjoni </w:t>
      </w:r>
      <w:proofErr w:type="spellStart"/>
      <w:r w:rsidRPr="00427626">
        <w:t>leġiżlattiva</w:t>
      </w:r>
      <w:proofErr w:type="spellEnd"/>
      <w:r w:rsidRPr="00427626">
        <w:t xml:space="preserve"> tal-Parlament Ewropew tas-</w:t>
      </w:r>
      <w:r w:rsidRPr="00316E5D">
        <w:t>27</w:t>
      </w:r>
      <w:r w:rsidRPr="00427626">
        <w:t xml:space="preserve"> ta' Frar </w:t>
      </w:r>
      <w:r w:rsidRPr="00316E5D">
        <w:t>2024</w:t>
      </w:r>
      <w:r w:rsidRPr="00427626">
        <w:t xml:space="preserve"> dwar il-proposta għal regolament tal-Parlament Ewropew u tal-Kunsill li jistabbilixxi l-</w:t>
      </w:r>
      <w:proofErr w:type="spellStart"/>
      <w:r w:rsidRPr="00427626">
        <w:t>Faċilità</w:t>
      </w:r>
      <w:proofErr w:type="spellEnd"/>
      <w:r w:rsidRPr="00427626">
        <w:t xml:space="preserve"> tal-Ukrajna</w:t>
      </w:r>
      <w:bookmarkEnd w:id="4"/>
      <w:r w:rsidRPr="00427626">
        <w:t xml:space="preserve"> </w:t>
      </w:r>
      <w:bookmarkStart w:id="5" w:name="References"/>
      <w:r w:rsidRPr="00427626">
        <w:t>(COM(</w:t>
      </w:r>
      <w:r w:rsidRPr="00316E5D">
        <w:t>2023</w:t>
      </w:r>
      <w:r w:rsidRPr="00427626">
        <w:t>)</w:t>
      </w:r>
      <w:r w:rsidRPr="00316E5D">
        <w:t>0338</w:t>
      </w:r>
      <w:r w:rsidRPr="00427626">
        <w:t xml:space="preserve"> – C</w:t>
      </w:r>
      <w:r w:rsidRPr="00316E5D">
        <w:t>9</w:t>
      </w:r>
      <w:r w:rsidRPr="00427626">
        <w:t>-</w:t>
      </w:r>
      <w:r w:rsidRPr="00316E5D">
        <w:t>0210</w:t>
      </w:r>
      <w:r w:rsidRPr="00427626">
        <w:t>/</w:t>
      </w:r>
      <w:r w:rsidRPr="00316E5D">
        <w:t>2023</w:t>
      </w:r>
      <w:r w:rsidRPr="00427626">
        <w:t xml:space="preserve"> – </w:t>
      </w:r>
      <w:r w:rsidRPr="00316E5D">
        <w:t>2023</w:t>
      </w:r>
      <w:r w:rsidRPr="00427626">
        <w:t>/</w:t>
      </w:r>
      <w:r w:rsidRPr="00316E5D">
        <w:t>0200</w:t>
      </w:r>
      <w:r w:rsidRPr="00427626">
        <w:t>(COD))</w:t>
      </w:r>
      <w:bookmarkEnd w:id="5"/>
    </w:p>
    <w:p w:rsidR="007F2268" w:rsidRPr="00427626" w:rsidRDefault="007F2268" w:rsidP="007F2268">
      <w:pPr>
        <w:pStyle w:val="NormalBold"/>
      </w:pPr>
      <w:bookmarkStart w:id="6" w:name="TextBodyBegin"/>
      <w:bookmarkEnd w:id="6"/>
      <w:r w:rsidRPr="00427626">
        <w:t xml:space="preserve">(Proċedura </w:t>
      </w:r>
      <w:proofErr w:type="spellStart"/>
      <w:r w:rsidRPr="00427626">
        <w:t>leġiżlattiva</w:t>
      </w:r>
      <w:proofErr w:type="spellEnd"/>
      <w:r w:rsidRPr="00427626">
        <w:t xml:space="preserve"> ordinarja: l-ewwel qari)</w:t>
      </w:r>
    </w:p>
    <w:p w:rsidR="007F2268" w:rsidRPr="00427626" w:rsidRDefault="007F2268" w:rsidP="007F2268">
      <w:pPr>
        <w:pStyle w:val="EPComma"/>
      </w:pPr>
      <w:r w:rsidRPr="00427626">
        <w:rPr>
          <w:i/>
        </w:rPr>
        <w:t>Il-Parlament Ewropew</w:t>
      </w:r>
      <w:r w:rsidRPr="00427626">
        <w:t>,</w:t>
      </w:r>
    </w:p>
    <w:p w:rsidR="007F2268" w:rsidRPr="00427626" w:rsidRDefault="007F2268" w:rsidP="007F2268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l-proposta tal-Kummissjoni lill-Parlament u lill-Kunsill (COM(</w:t>
      </w:r>
      <w:r w:rsidRPr="00316E5D">
        <w:t>2023</w:t>
      </w:r>
      <w:r w:rsidRPr="00427626">
        <w:t>)</w:t>
      </w:r>
      <w:r w:rsidRPr="00316E5D">
        <w:t>0338</w:t>
      </w:r>
      <w:r w:rsidRPr="00427626">
        <w:t>),</w:t>
      </w:r>
    </w:p>
    <w:p w:rsidR="007F2268" w:rsidRPr="00427626" w:rsidRDefault="007F2268" w:rsidP="007F2268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l-Artikolu </w:t>
      </w:r>
      <w:r w:rsidRPr="00316E5D">
        <w:t>294</w:t>
      </w:r>
      <w:r w:rsidRPr="00427626">
        <w:t>(</w:t>
      </w:r>
      <w:r w:rsidRPr="00316E5D">
        <w:t>2</w:t>
      </w:r>
      <w:r w:rsidRPr="00427626">
        <w:t>) u l-Artikoli </w:t>
      </w:r>
      <w:r w:rsidRPr="00316E5D">
        <w:t>212</w:t>
      </w:r>
      <w:r w:rsidRPr="00427626">
        <w:t xml:space="preserve"> u </w:t>
      </w:r>
      <w:r w:rsidRPr="00316E5D">
        <w:t>322</w:t>
      </w:r>
      <w:r w:rsidRPr="00427626">
        <w:t>(</w:t>
      </w:r>
      <w:r w:rsidRPr="00316E5D">
        <w:t>1</w:t>
      </w:r>
      <w:r w:rsidRPr="00427626">
        <w:t>) tat-Trattat dwar il-Funzjonament tal-Unjoni Ewropea, skont liema artikoli l-Kummissjoni ppreżentat il-proposta lill-Parlament (C</w:t>
      </w:r>
      <w:r w:rsidRPr="00316E5D">
        <w:t>9</w:t>
      </w:r>
      <w:r w:rsidRPr="00427626">
        <w:noBreakHyphen/>
      </w:r>
      <w:r w:rsidRPr="00316E5D">
        <w:t>0210</w:t>
      </w:r>
      <w:r w:rsidRPr="00427626">
        <w:t>/</w:t>
      </w:r>
      <w:r w:rsidRPr="00316E5D">
        <w:t>2023</w:t>
      </w:r>
      <w:r w:rsidRPr="00427626">
        <w:t>),</w:t>
      </w:r>
    </w:p>
    <w:p w:rsidR="007F2268" w:rsidRPr="00427626" w:rsidRDefault="007F2268" w:rsidP="007F2268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l-Artikolu </w:t>
      </w:r>
      <w:r w:rsidRPr="00316E5D">
        <w:t>294</w:t>
      </w:r>
      <w:r w:rsidRPr="00427626">
        <w:t>(</w:t>
      </w:r>
      <w:r w:rsidRPr="00316E5D">
        <w:t>3</w:t>
      </w:r>
      <w:r w:rsidRPr="00427626">
        <w:t>) tat-Trattat dwar il-Funzjonament tal-Unjoni Ewropea,</w:t>
      </w:r>
    </w:p>
    <w:p w:rsidR="00EF2A7C" w:rsidRDefault="00EF2A7C" w:rsidP="007F2268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l-ftehim </w:t>
      </w:r>
      <w:proofErr w:type="spellStart"/>
      <w:r w:rsidRPr="00427626">
        <w:t>provviżorju</w:t>
      </w:r>
      <w:proofErr w:type="spellEnd"/>
      <w:r w:rsidRPr="00427626">
        <w:t xml:space="preserve"> approvat mill-kumitat</w:t>
      </w:r>
      <w:r w:rsidR="00154CAE" w:rsidRPr="00427626">
        <w:t>i</w:t>
      </w:r>
      <w:r w:rsidRPr="00427626">
        <w:t xml:space="preserve"> responsabbli skont l-Artikolu </w:t>
      </w:r>
      <w:r w:rsidRPr="00316E5D">
        <w:t>74</w:t>
      </w:r>
      <w:r w:rsidRPr="00427626">
        <w:t>(</w:t>
      </w:r>
      <w:r w:rsidRPr="00316E5D">
        <w:t>4</w:t>
      </w:r>
      <w:r w:rsidRPr="00427626">
        <w:t>) tar-Regoli ta' Proċedura tiegħu u l-impenn mogħti mir-rappreżentant tal-Kunsill permezz ta' ittra tal-</w:t>
      </w:r>
      <w:r w:rsidRPr="00316E5D">
        <w:t>14</w:t>
      </w:r>
      <w:r w:rsidRPr="00427626">
        <w:t xml:space="preserve"> ta' Frar </w:t>
      </w:r>
      <w:r w:rsidRPr="00316E5D">
        <w:t>2024</w:t>
      </w:r>
      <w:r w:rsidRPr="00427626">
        <w:t xml:space="preserve"> li japprova l-pożizzjoni tal-Parlament, skont l-Artikolu </w:t>
      </w:r>
      <w:r w:rsidRPr="00316E5D">
        <w:t>294</w:t>
      </w:r>
      <w:r w:rsidRPr="00427626">
        <w:t>(</w:t>
      </w:r>
      <w:r w:rsidRPr="00316E5D">
        <w:t>4</w:t>
      </w:r>
      <w:r w:rsidRPr="00427626">
        <w:t>) tal- it-Trattat dwar il-Funzjonament tal-Unjoni Ewropea,</w:t>
      </w:r>
    </w:p>
    <w:p w:rsidR="008B4BAC" w:rsidRPr="00427626" w:rsidRDefault="008B4BAC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l-Artikolu </w:t>
      </w:r>
      <w:r w:rsidRPr="00316E5D">
        <w:t>59</w:t>
      </w:r>
      <w:r w:rsidRPr="00427626">
        <w:t xml:space="preserve"> tar-Regoli ta’ Proċedura tiegħu, </w:t>
      </w:r>
    </w:p>
    <w:p w:rsidR="007F2268" w:rsidRPr="00427626" w:rsidRDefault="007F2268" w:rsidP="007F2268">
      <w:pPr>
        <w:pStyle w:val="Normal12Hanging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d-deliberazzjonijiet konġunti tal-Kumitat għall-Affarijiet Barranin u l-Kumitat għall-Baġits skont l-Artikolu </w:t>
      </w:r>
      <w:r w:rsidRPr="00316E5D">
        <w:t>58</w:t>
      </w:r>
      <w:r w:rsidRPr="00427626">
        <w:t xml:space="preserve"> tar-Regoli ta’ Proċedura tiegħu, </w:t>
      </w:r>
    </w:p>
    <w:p w:rsidR="007F2268" w:rsidRPr="00427626" w:rsidRDefault="007F2268" w:rsidP="007F2268">
      <w:pPr>
        <w:pStyle w:val="Normal12Hanging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l-ittri tal-Kumitat għall-Kontroll tal-Baġit u tal-Kumitat għall-Agrikoltura u l-Iżvilupp Rurali,</w:t>
      </w:r>
    </w:p>
    <w:p w:rsidR="007F2268" w:rsidRPr="00427626" w:rsidRDefault="007F2268" w:rsidP="007F2268">
      <w:pPr>
        <w:pStyle w:val="NormalHanging12a"/>
      </w:pPr>
      <w:r w:rsidRPr="00427626">
        <w:t>–</w:t>
      </w:r>
      <w:r w:rsidRPr="00427626">
        <w:tab/>
        <w:t xml:space="preserve">wara li </w:t>
      </w:r>
      <w:proofErr w:type="spellStart"/>
      <w:r w:rsidRPr="00427626">
        <w:t>kkunsidra</w:t>
      </w:r>
      <w:proofErr w:type="spellEnd"/>
      <w:r w:rsidRPr="00427626">
        <w:t xml:space="preserve"> r-rapport tal-Kumitat għall-Affarijiet Barranin u tal-Kumitat għall-Baġits (A</w:t>
      </w:r>
      <w:r w:rsidRPr="00316E5D">
        <w:t>9</w:t>
      </w:r>
      <w:r w:rsidRPr="00427626">
        <w:t>-</w:t>
      </w:r>
      <w:r w:rsidRPr="00316E5D">
        <w:t>0286</w:t>
      </w:r>
      <w:r w:rsidRPr="00427626">
        <w:t>/</w:t>
      </w:r>
      <w:r w:rsidRPr="00316E5D">
        <w:t>2023</w:t>
      </w:r>
      <w:r w:rsidRPr="00427626">
        <w:t>),</w:t>
      </w:r>
    </w:p>
    <w:p w:rsidR="007F2268" w:rsidRPr="00427626" w:rsidRDefault="007F2268" w:rsidP="007F2268">
      <w:pPr>
        <w:pStyle w:val="NormalHanging12a"/>
      </w:pPr>
      <w:r w:rsidRPr="00316E5D">
        <w:lastRenderedPageBreak/>
        <w:t>1</w:t>
      </w:r>
      <w:r w:rsidRPr="00427626">
        <w:t>.</w:t>
      </w:r>
      <w:r w:rsidRPr="00427626">
        <w:tab/>
        <w:t>Jadotta l-pożizzjoni tiegħu fl-ewwel qari li jidher hawn taħt</w:t>
      </w:r>
      <w:r w:rsidR="00B3263C">
        <w:rPr>
          <w:rStyle w:val="FootnoteReference"/>
        </w:rPr>
        <w:footnoteReference w:id="1"/>
      </w:r>
      <w:r w:rsidRPr="00427626">
        <w:t>;</w:t>
      </w:r>
    </w:p>
    <w:p w:rsidR="00EF2A7C" w:rsidRPr="00427626" w:rsidRDefault="00EF2A7C" w:rsidP="007F2268">
      <w:pPr>
        <w:pStyle w:val="NormalHanging12a"/>
      </w:pPr>
      <w:r w:rsidRPr="00316E5D">
        <w:t>2</w:t>
      </w:r>
      <w:r w:rsidRPr="00427626">
        <w:t>.</w:t>
      </w:r>
      <w:r w:rsidRPr="00427626">
        <w:tab/>
        <w:t>Japprova d-dikjarazzjoni konġunta mill-Parlament u l-Kunsill annessa ma' din ir-riżoluzzjoni, li se tiġi ppubblikata fis-serje C tal-</w:t>
      </w:r>
      <w:r w:rsidRPr="00427626">
        <w:rPr>
          <w:i/>
        </w:rPr>
        <w:t>Ġurnal Uffiċjali tal-Unjoni Ewropea</w:t>
      </w:r>
      <w:r w:rsidRPr="00427626">
        <w:t>;</w:t>
      </w:r>
    </w:p>
    <w:p w:rsidR="00EF2A7C" w:rsidRPr="00427626" w:rsidRDefault="00EF2A7C" w:rsidP="007F2268">
      <w:pPr>
        <w:pStyle w:val="NormalHanging12a"/>
      </w:pPr>
      <w:r w:rsidRPr="00316E5D">
        <w:t>3</w:t>
      </w:r>
      <w:r w:rsidRPr="00427626">
        <w:t>.</w:t>
      </w:r>
      <w:r w:rsidRPr="00427626">
        <w:tab/>
        <w:t>Japprova d-dikjarazzjoni konġunta mill-Parlament, il-Kunsill u l-Kummissjoni annessa ma' din ir-riżoluzzjoni, li se tiġi ppubblikata fis-serje C tal-</w:t>
      </w:r>
      <w:r w:rsidRPr="00427626">
        <w:rPr>
          <w:i/>
        </w:rPr>
        <w:t>Ġurnal Uffiċjali tal-Unjoni Ewropea</w:t>
      </w:r>
      <w:r w:rsidRPr="00427626">
        <w:t>;</w:t>
      </w:r>
    </w:p>
    <w:p w:rsidR="007F2268" w:rsidRPr="00427626" w:rsidRDefault="00EF2A7C" w:rsidP="007F2268">
      <w:pPr>
        <w:pStyle w:val="Normal12Hanging"/>
      </w:pPr>
      <w:r w:rsidRPr="00316E5D">
        <w:t>4</w:t>
      </w:r>
      <w:r w:rsidR="007F2268" w:rsidRPr="00427626">
        <w:t>.</w:t>
      </w:r>
      <w:r w:rsidR="007F2268" w:rsidRPr="00427626">
        <w:tab/>
        <w:t xml:space="preserve">Jitlob lill-Kummissjoni </w:t>
      </w:r>
      <w:proofErr w:type="spellStart"/>
      <w:r w:rsidR="007F2268" w:rsidRPr="00427626">
        <w:t>terġa</w:t>
      </w:r>
      <w:proofErr w:type="spellEnd"/>
      <w:r w:rsidR="007F2268" w:rsidRPr="00427626">
        <w:t xml:space="preserve">’ tirreferi l-kwistjoni lill-Parlament jekk tibdel il-proposta tagħha, </w:t>
      </w:r>
      <w:proofErr w:type="spellStart"/>
      <w:r w:rsidR="007F2268" w:rsidRPr="00427626">
        <w:t>temendaha</w:t>
      </w:r>
      <w:proofErr w:type="spellEnd"/>
      <w:r w:rsidR="007F2268" w:rsidRPr="00427626">
        <w:t xml:space="preserve"> b’mod sustanzjali jew ikollha l-ħsieb li </w:t>
      </w:r>
      <w:proofErr w:type="spellStart"/>
      <w:r w:rsidR="007F2268" w:rsidRPr="00427626">
        <w:t>temendaha</w:t>
      </w:r>
      <w:proofErr w:type="spellEnd"/>
      <w:r w:rsidR="007F2268" w:rsidRPr="00427626">
        <w:t xml:space="preserve"> b’mod sustanzjali;</w:t>
      </w:r>
    </w:p>
    <w:p w:rsidR="007F2268" w:rsidRPr="00427626" w:rsidRDefault="00EF2A7C" w:rsidP="007F2268">
      <w:pPr>
        <w:pStyle w:val="Normal12Hanging"/>
      </w:pPr>
      <w:r w:rsidRPr="00316E5D">
        <w:t>5</w:t>
      </w:r>
      <w:r w:rsidR="007F2268" w:rsidRPr="00427626">
        <w:t>.</w:t>
      </w:r>
      <w:r w:rsidR="007F2268" w:rsidRPr="00427626">
        <w:tab/>
        <w:t>Jagħti istruzzjonijiet lill-President tiegħu biex tgħaddi l-pożizzjoni tal-Parlament lill-Kunsill u lill-Kummissjoni kif ukoll lill-parlamenti nazzjonali.</w:t>
      </w:r>
    </w:p>
    <w:p w:rsidR="00EF2A7C" w:rsidRPr="00427626" w:rsidRDefault="00EF2A7C" w:rsidP="000408A3">
      <w:pPr>
        <w:sectPr w:rsidR="00EF2A7C" w:rsidRPr="00427626" w:rsidSect="007C5F0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F2A7C" w:rsidRPr="00427626" w:rsidRDefault="00EF2A7C" w:rsidP="00EF2A7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27626">
        <w:rPr>
          <w:rFonts w:eastAsia="Calibri"/>
          <w:b/>
          <w:bCs/>
          <w:color w:val="000000"/>
          <w:szCs w:val="24"/>
        </w:rPr>
        <w:lastRenderedPageBreak/>
        <w:t>P</w:t>
      </w:r>
      <w:r w:rsidRPr="00316E5D">
        <w:rPr>
          <w:rFonts w:eastAsia="Calibri"/>
          <w:b/>
          <w:bCs/>
          <w:color w:val="000000"/>
          <w:szCs w:val="24"/>
        </w:rPr>
        <w:t>9</w:t>
      </w:r>
      <w:r w:rsidRPr="00427626">
        <w:rPr>
          <w:rFonts w:eastAsia="Calibri"/>
          <w:b/>
          <w:bCs/>
          <w:color w:val="000000"/>
          <w:szCs w:val="24"/>
        </w:rPr>
        <w:t>_TC</w:t>
      </w:r>
      <w:r w:rsidRPr="00316E5D">
        <w:rPr>
          <w:rFonts w:eastAsia="Calibri"/>
          <w:b/>
          <w:bCs/>
          <w:color w:val="000000"/>
          <w:szCs w:val="24"/>
        </w:rPr>
        <w:t>1</w:t>
      </w:r>
      <w:r w:rsidRPr="00427626">
        <w:rPr>
          <w:rFonts w:eastAsia="Calibri"/>
          <w:b/>
          <w:bCs/>
          <w:color w:val="000000"/>
          <w:szCs w:val="24"/>
        </w:rPr>
        <w:t>-COD(</w:t>
      </w:r>
      <w:r w:rsidRPr="00316E5D">
        <w:rPr>
          <w:rFonts w:eastAsia="Calibri"/>
          <w:b/>
          <w:bCs/>
          <w:color w:val="000000"/>
          <w:szCs w:val="24"/>
        </w:rPr>
        <w:t>2023</w:t>
      </w:r>
      <w:r w:rsidRPr="00427626">
        <w:rPr>
          <w:rFonts w:eastAsia="Calibri"/>
          <w:b/>
          <w:bCs/>
          <w:color w:val="000000"/>
          <w:szCs w:val="24"/>
        </w:rPr>
        <w:t>)</w:t>
      </w:r>
      <w:r w:rsidRPr="00316E5D">
        <w:rPr>
          <w:rFonts w:eastAsia="Calibri"/>
          <w:b/>
          <w:bCs/>
          <w:color w:val="000000"/>
          <w:szCs w:val="24"/>
        </w:rPr>
        <w:t>0200</w:t>
      </w:r>
    </w:p>
    <w:p w:rsidR="00EF2A7C" w:rsidRPr="00427626" w:rsidRDefault="00EF2A7C" w:rsidP="00EF2A7C">
      <w:pPr>
        <w:rPr>
          <w:rFonts w:eastAsia="Calibri"/>
          <w:b/>
          <w:szCs w:val="22"/>
        </w:rPr>
      </w:pPr>
      <w:r w:rsidRPr="00427626">
        <w:rPr>
          <w:rFonts w:eastAsia="Calibri"/>
          <w:b/>
          <w:bCs/>
        </w:rPr>
        <w:t>Pożizzjoni tal-Parlament Ewropew adottata fl-ewwel qari tas-</w:t>
      </w:r>
      <w:r w:rsidRPr="00316E5D">
        <w:rPr>
          <w:rFonts w:eastAsia="Calibri"/>
          <w:b/>
          <w:bCs/>
        </w:rPr>
        <w:t>27</w:t>
      </w:r>
      <w:r w:rsidRPr="00427626">
        <w:rPr>
          <w:b/>
        </w:rPr>
        <w:t xml:space="preserve"> </w:t>
      </w:r>
      <w:r w:rsidRPr="00427626">
        <w:rPr>
          <w:rFonts w:eastAsia="Calibri"/>
          <w:b/>
          <w:bCs/>
        </w:rPr>
        <w:t xml:space="preserve">ta' Frar </w:t>
      </w:r>
      <w:r w:rsidRPr="00316E5D">
        <w:rPr>
          <w:rFonts w:eastAsia="Calibri"/>
          <w:b/>
          <w:bCs/>
        </w:rPr>
        <w:t>2024</w:t>
      </w:r>
      <w:r w:rsidRPr="00427626">
        <w:rPr>
          <w:rFonts w:eastAsia="Calibri"/>
          <w:b/>
          <w:bCs/>
        </w:rPr>
        <w:t xml:space="preserve"> bil-ħsieb tal-adozzjoni tar-Regolament (UE) </w:t>
      </w:r>
      <w:r w:rsidRPr="00316E5D">
        <w:rPr>
          <w:rFonts w:eastAsia="Calibri"/>
          <w:b/>
          <w:bCs/>
        </w:rPr>
        <w:t>2024</w:t>
      </w:r>
      <w:r w:rsidRPr="00427626">
        <w:rPr>
          <w:rFonts w:eastAsia="Calibri"/>
          <w:b/>
          <w:bCs/>
        </w:rPr>
        <w:t xml:space="preserve">/... </w:t>
      </w:r>
      <w:r w:rsidRPr="00427626">
        <w:rPr>
          <w:b/>
          <w:color w:val="000000"/>
          <w:szCs w:val="22"/>
        </w:rPr>
        <w:t>tal-Parlament Ewropew u tal-Kunsill</w:t>
      </w:r>
      <w:r w:rsidR="00B3263C">
        <w:rPr>
          <w:rFonts w:eastAsia="Calibri"/>
          <w:b/>
          <w:szCs w:val="22"/>
        </w:rPr>
        <w:t xml:space="preserve"> </w:t>
      </w:r>
      <w:r w:rsidRPr="00427626">
        <w:rPr>
          <w:rFonts w:eastAsia="Calibri"/>
          <w:b/>
          <w:szCs w:val="22"/>
        </w:rPr>
        <w:t>li jistabbilixxi l-</w:t>
      </w:r>
      <w:proofErr w:type="spellStart"/>
      <w:r w:rsidRPr="00427626">
        <w:rPr>
          <w:rFonts w:eastAsia="Calibri"/>
          <w:b/>
          <w:szCs w:val="22"/>
        </w:rPr>
        <w:t>Faċilità</w:t>
      </w:r>
      <w:proofErr w:type="spellEnd"/>
      <w:r w:rsidRPr="00427626">
        <w:rPr>
          <w:rFonts w:eastAsia="Calibri"/>
          <w:b/>
          <w:szCs w:val="22"/>
        </w:rPr>
        <w:t xml:space="preserve"> għall-Ukrajna</w:t>
      </w:r>
    </w:p>
    <w:p w:rsidR="00EF2A7C" w:rsidRDefault="00EF2A7C" w:rsidP="00EF2A7C">
      <w:pPr>
        <w:widowControl/>
        <w:tabs>
          <w:tab w:val="left" w:pos="4252"/>
        </w:tabs>
        <w:spacing w:line="360" w:lineRule="auto"/>
        <w:rPr>
          <w:rFonts w:eastAsia="Calibri"/>
          <w:szCs w:val="24"/>
          <w:lang w:eastAsia="en-US"/>
        </w:rPr>
      </w:pPr>
    </w:p>
    <w:p w:rsidR="00B3263C" w:rsidRPr="00B3263C" w:rsidRDefault="00B3263C" w:rsidP="00B3263C">
      <w:pPr>
        <w:rPr>
          <w:i/>
        </w:rPr>
      </w:pPr>
      <w:r w:rsidRPr="00B3263C">
        <w:rPr>
          <w:i/>
        </w:rPr>
        <w:t xml:space="preserve">(Peress li ntlaħaq ftehim bejn il-Parlament u l-Kunsill, il-pożizzjoni tal-Parlament taqbel mal-att </w:t>
      </w:r>
      <w:proofErr w:type="spellStart"/>
      <w:r w:rsidRPr="00B3263C">
        <w:rPr>
          <w:i/>
        </w:rPr>
        <w:t>leġiżlattiv</w:t>
      </w:r>
      <w:proofErr w:type="spellEnd"/>
      <w:r w:rsidRPr="00B3263C">
        <w:rPr>
          <w:i/>
        </w:rPr>
        <w:t xml:space="preserve"> finali, ir-Regolament (UE) 2024</w:t>
      </w:r>
      <w:r>
        <w:rPr>
          <w:i/>
        </w:rPr>
        <w:t>/792</w:t>
      </w:r>
      <w:r w:rsidRPr="00B3263C">
        <w:rPr>
          <w:i/>
        </w:rPr>
        <w:t>.)</w:t>
      </w:r>
    </w:p>
    <w:p w:rsidR="00B3263C" w:rsidRDefault="00B3263C" w:rsidP="00EF2A7C">
      <w:pPr>
        <w:widowControl/>
        <w:tabs>
          <w:tab w:val="left" w:pos="4252"/>
        </w:tabs>
        <w:spacing w:line="360" w:lineRule="auto"/>
        <w:rPr>
          <w:rFonts w:eastAsia="Calibri"/>
          <w:szCs w:val="24"/>
          <w:lang w:eastAsia="en-US"/>
        </w:rPr>
      </w:pPr>
    </w:p>
    <w:p w:rsidR="00B3263C" w:rsidRDefault="00B3263C" w:rsidP="00EF2A7C">
      <w:pPr>
        <w:widowControl/>
        <w:tabs>
          <w:tab w:val="left" w:pos="4252"/>
        </w:tabs>
        <w:spacing w:line="360" w:lineRule="auto"/>
        <w:rPr>
          <w:rFonts w:eastAsia="Calibri"/>
          <w:szCs w:val="24"/>
          <w:lang w:eastAsia="en-US"/>
        </w:rPr>
      </w:pPr>
    </w:p>
    <w:p w:rsidR="00B3263C" w:rsidRPr="00427626" w:rsidRDefault="00B3263C" w:rsidP="00EF2A7C">
      <w:pPr>
        <w:widowControl/>
        <w:tabs>
          <w:tab w:val="left" w:pos="4252"/>
        </w:tabs>
        <w:spacing w:line="360" w:lineRule="auto"/>
        <w:rPr>
          <w:i/>
          <w:szCs w:val="24"/>
          <w:lang w:eastAsia="en-US"/>
        </w:rPr>
        <w:sectPr w:rsidR="00B3263C" w:rsidRPr="00427626" w:rsidSect="007C5F0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F2A7C" w:rsidRPr="00427626" w:rsidRDefault="00EF2A7C" w:rsidP="00EF2A7C">
      <w:pPr>
        <w:widowControl/>
        <w:spacing w:before="120" w:after="120" w:line="360" w:lineRule="auto"/>
        <w:jc w:val="right"/>
        <w:rPr>
          <w:rFonts w:eastAsia="Calibri"/>
          <w:szCs w:val="22"/>
          <w:lang w:eastAsia="en-US"/>
        </w:rPr>
      </w:pPr>
      <w:r w:rsidRPr="00427626">
        <w:rPr>
          <w:rFonts w:eastAsia="Calibri"/>
          <w:szCs w:val="22"/>
          <w:lang w:eastAsia="en-US"/>
        </w:rPr>
        <w:lastRenderedPageBreak/>
        <w:t>ANNESS TAR-RIŻOLUZJONI LEĠIŻLATTIVA</w:t>
      </w:r>
    </w:p>
    <w:p w:rsidR="00EF2A7C" w:rsidRPr="00427626" w:rsidRDefault="00EF2A7C" w:rsidP="00EF2A7C">
      <w:pPr>
        <w:widowControl/>
        <w:spacing w:before="12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427626">
        <w:rPr>
          <w:rFonts w:eastAsia="Calibri"/>
          <w:b/>
          <w:szCs w:val="22"/>
          <w:lang w:eastAsia="en-US"/>
        </w:rPr>
        <w:t xml:space="preserve">Dikjarazzjoni konġunta mill-Parlament Ewropew u l-Kunsill dwar </w:t>
      </w:r>
      <w:proofErr w:type="spellStart"/>
      <w:r w:rsidRPr="00427626">
        <w:rPr>
          <w:rFonts w:eastAsia="Calibri"/>
          <w:b/>
          <w:szCs w:val="22"/>
          <w:lang w:eastAsia="en-US"/>
        </w:rPr>
        <w:t>in-nomenklatura</w:t>
      </w:r>
      <w:proofErr w:type="spellEnd"/>
      <w:r w:rsidRPr="00427626">
        <w:rPr>
          <w:rFonts w:eastAsia="Calibri"/>
          <w:b/>
          <w:szCs w:val="22"/>
          <w:lang w:eastAsia="en-US"/>
        </w:rPr>
        <w:t xml:space="preserve"> </w:t>
      </w:r>
      <w:proofErr w:type="spellStart"/>
      <w:r w:rsidRPr="00427626">
        <w:rPr>
          <w:rFonts w:eastAsia="Calibri"/>
          <w:b/>
          <w:szCs w:val="22"/>
          <w:lang w:eastAsia="en-US"/>
        </w:rPr>
        <w:t>baġitarja</w:t>
      </w:r>
      <w:proofErr w:type="spellEnd"/>
      <w:r w:rsidRPr="00427626">
        <w:rPr>
          <w:rFonts w:eastAsia="Calibri"/>
          <w:b/>
          <w:szCs w:val="22"/>
          <w:lang w:eastAsia="en-US"/>
        </w:rPr>
        <w:t xml:space="preserve"> xierqa </w:t>
      </w:r>
      <w:proofErr w:type="spellStart"/>
      <w:r w:rsidRPr="00427626">
        <w:rPr>
          <w:rFonts w:eastAsia="Calibri"/>
          <w:b/>
          <w:szCs w:val="22"/>
          <w:lang w:eastAsia="en-US"/>
        </w:rPr>
        <w:t>għall-Faċilità</w:t>
      </w:r>
      <w:proofErr w:type="spellEnd"/>
      <w:r w:rsidRPr="00427626">
        <w:rPr>
          <w:rFonts w:eastAsia="Calibri"/>
          <w:b/>
          <w:szCs w:val="22"/>
          <w:lang w:eastAsia="en-US"/>
        </w:rPr>
        <w:t xml:space="preserve"> għall-Ukrajna</w:t>
      </w:r>
      <w:r w:rsidR="00B3263C">
        <w:rPr>
          <w:rStyle w:val="FootnoteReference"/>
          <w:rFonts w:eastAsia="Calibri"/>
          <w:b/>
          <w:szCs w:val="22"/>
          <w:lang w:eastAsia="en-US"/>
        </w:rPr>
        <w:footnoteReference w:id="2"/>
      </w:r>
    </w:p>
    <w:p w:rsidR="00EF2A7C" w:rsidRPr="00427626" w:rsidRDefault="00EF2A7C" w:rsidP="00EF2A7C">
      <w:pPr>
        <w:widowControl/>
        <w:spacing w:before="120" w:after="120" w:line="360" w:lineRule="auto"/>
        <w:jc w:val="both"/>
        <w:rPr>
          <w:rFonts w:eastAsia="Calibri"/>
          <w:szCs w:val="24"/>
          <w:lang w:eastAsia="en-US"/>
        </w:rPr>
      </w:pPr>
      <w:r w:rsidRPr="00427626">
        <w:rPr>
          <w:rFonts w:eastAsia="Calibri"/>
          <w:szCs w:val="22"/>
          <w:lang w:eastAsia="en-US"/>
        </w:rPr>
        <w:t xml:space="preserve">Mingħajr preġudizzju għall-prerogattivi tal-awtorità </w:t>
      </w:r>
      <w:proofErr w:type="spellStart"/>
      <w:r w:rsidRPr="00427626">
        <w:rPr>
          <w:rFonts w:eastAsia="Calibri"/>
          <w:szCs w:val="22"/>
          <w:lang w:eastAsia="en-US"/>
        </w:rPr>
        <w:t>baġitarja</w:t>
      </w:r>
      <w:proofErr w:type="spellEnd"/>
      <w:r w:rsidRPr="00427626">
        <w:rPr>
          <w:rFonts w:eastAsia="Calibri"/>
          <w:szCs w:val="22"/>
          <w:lang w:eastAsia="en-US"/>
        </w:rPr>
        <w:t xml:space="preserve"> fil-qafas tal-proċedura </w:t>
      </w:r>
      <w:proofErr w:type="spellStart"/>
      <w:r w:rsidRPr="00427626">
        <w:rPr>
          <w:rFonts w:eastAsia="Calibri"/>
          <w:szCs w:val="22"/>
          <w:lang w:eastAsia="en-US"/>
        </w:rPr>
        <w:t>baġitarja</w:t>
      </w:r>
      <w:proofErr w:type="spellEnd"/>
      <w:r w:rsidRPr="00427626">
        <w:rPr>
          <w:rFonts w:eastAsia="Calibri"/>
          <w:szCs w:val="22"/>
          <w:lang w:eastAsia="en-US"/>
        </w:rPr>
        <w:t xml:space="preserve"> annwali u għas-setgħat tal-Kummissjoni li tistabbilixxi l-abbozz ta' baġit, il-Parlament Ewropew u l-Kunsill </w:t>
      </w:r>
      <w:proofErr w:type="spellStart"/>
      <w:r w:rsidRPr="00427626">
        <w:rPr>
          <w:rFonts w:eastAsia="Calibri"/>
          <w:szCs w:val="22"/>
          <w:lang w:eastAsia="en-US"/>
        </w:rPr>
        <w:t>jistiednu</w:t>
      </w:r>
      <w:proofErr w:type="spellEnd"/>
      <w:r w:rsidRPr="00427626">
        <w:rPr>
          <w:rFonts w:eastAsia="Calibri"/>
          <w:szCs w:val="22"/>
          <w:lang w:eastAsia="en-US"/>
        </w:rPr>
        <w:t xml:space="preserve"> lill-Kummissjoni tipproponi l-ħolqien ta' mill-inqas linja </w:t>
      </w:r>
      <w:proofErr w:type="spellStart"/>
      <w:r w:rsidRPr="00427626">
        <w:rPr>
          <w:rFonts w:eastAsia="Calibri"/>
          <w:szCs w:val="22"/>
          <w:lang w:eastAsia="en-US"/>
        </w:rPr>
        <w:t>baġitarja</w:t>
      </w:r>
      <w:proofErr w:type="spellEnd"/>
      <w:r w:rsidRPr="00427626">
        <w:rPr>
          <w:rFonts w:eastAsia="Calibri"/>
          <w:szCs w:val="22"/>
          <w:lang w:eastAsia="en-US"/>
        </w:rPr>
        <w:t xml:space="preserve"> waħda għall-Pilastru I tal-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għall-Ukrajna, żewġ linji </w:t>
      </w:r>
      <w:proofErr w:type="spellStart"/>
      <w:r w:rsidRPr="00427626">
        <w:rPr>
          <w:rFonts w:eastAsia="Calibri"/>
          <w:szCs w:val="22"/>
          <w:lang w:eastAsia="en-US"/>
        </w:rPr>
        <w:t>baġitarji</w:t>
      </w:r>
      <w:proofErr w:type="spellEnd"/>
      <w:r w:rsidRPr="00427626">
        <w:rPr>
          <w:rFonts w:eastAsia="Calibri"/>
          <w:szCs w:val="22"/>
          <w:lang w:eastAsia="en-US"/>
        </w:rPr>
        <w:t xml:space="preserve"> taħt il-Pilastru II, inkluż </w:t>
      </w:r>
      <w:proofErr w:type="spellStart"/>
      <w:r w:rsidRPr="00427626">
        <w:rPr>
          <w:rFonts w:eastAsia="Calibri"/>
          <w:szCs w:val="22"/>
          <w:lang w:eastAsia="en-US"/>
        </w:rPr>
        <w:t>għall-proviżjonament</w:t>
      </w:r>
      <w:proofErr w:type="spellEnd"/>
      <w:r w:rsidRPr="00427626">
        <w:rPr>
          <w:rFonts w:eastAsia="Calibri"/>
          <w:szCs w:val="22"/>
          <w:lang w:eastAsia="en-US"/>
        </w:rPr>
        <w:t xml:space="preserve"> tal-Fond ta' </w:t>
      </w:r>
      <w:proofErr w:type="spellStart"/>
      <w:r w:rsidRPr="00427626">
        <w:rPr>
          <w:rFonts w:eastAsia="Calibri"/>
          <w:szCs w:val="22"/>
          <w:lang w:eastAsia="en-US"/>
        </w:rPr>
        <w:t>Proviżjonament</w:t>
      </w:r>
      <w:proofErr w:type="spellEnd"/>
      <w:r w:rsidRPr="00427626">
        <w:rPr>
          <w:rFonts w:eastAsia="Calibri"/>
          <w:szCs w:val="22"/>
          <w:lang w:eastAsia="en-US"/>
        </w:rPr>
        <w:t xml:space="preserve"> Komuni għall-Garanzija għall-Ukrajna stabbilit skont il-Kapitolu IV tar-Regolament dwar il-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għall-Ukrajna, tliet linji </w:t>
      </w:r>
      <w:proofErr w:type="spellStart"/>
      <w:r w:rsidRPr="00427626">
        <w:rPr>
          <w:rFonts w:eastAsia="Calibri"/>
          <w:szCs w:val="22"/>
          <w:lang w:eastAsia="en-US"/>
        </w:rPr>
        <w:t>baġitarji</w:t>
      </w:r>
      <w:proofErr w:type="spellEnd"/>
      <w:r w:rsidRPr="00427626">
        <w:rPr>
          <w:rFonts w:eastAsia="Calibri"/>
          <w:szCs w:val="22"/>
          <w:lang w:eastAsia="en-US"/>
        </w:rPr>
        <w:t xml:space="preserve"> taħt il-Pilastru III għall-assistenza tal-Unjoni għall-adeżjoni u miżuri oħra, is-sussidji </w:t>
      </w:r>
      <w:proofErr w:type="spellStart"/>
      <w:r w:rsidRPr="00427626">
        <w:rPr>
          <w:rFonts w:eastAsia="Calibri"/>
          <w:szCs w:val="22"/>
          <w:lang w:eastAsia="en-US"/>
        </w:rPr>
        <w:t>għall-kostijiet</w:t>
      </w:r>
      <w:proofErr w:type="spellEnd"/>
      <w:r w:rsidRPr="00427626">
        <w:rPr>
          <w:rFonts w:eastAsia="Calibri"/>
          <w:szCs w:val="22"/>
          <w:lang w:eastAsia="en-US"/>
        </w:rPr>
        <w:t xml:space="preserve"> tas-self u l-</w:t>
      </w:r>
      <w:proofErr w:type="spellStart"/>
      <w:r w:rsidRPr="00427626">
        <w:rPr>
          <w:rFonts w:eastAsia="Calibri"/>
          <w:szCs w:val="22"/>
          <w:lang w:eastAsia="en-US"/>
        </w:rPr>
        <w:t>proviżjonament</w:t>
      </w:r>
      <w:proofErr w:type="spellEnd"/>
      <w:r w:rsidRPr="00427626">
        <w:rPr>
          <w:rFonts w:eastAsia="Calibri"/>
          <w:szCs w:val="22"/>
          <w:lang w:eastAsia="en-US"/>
        </w:rPr>
        <w:t xml:space="preserve"> tal-Fond ta' </w:t>
      </w:r>
      <w:proofErr w:type="spellStart"/>
      <w:r w:rsidRPr="00427626">
        <w:rPr>
          <w:rFonts w:eastAsia="Calibri"/>
          <w:szCs w:val="22"/>
          <w:lang w:eastAsia="en-US"/>
        </w:rPr>
        <w:t>Proviżjonament</w:t>
      </w:r>
      <w:proofErr w:type="spellEnd"/>
      <w:r w:rsidRPr="00427626">
        <w:rPr>
          <w:rFonts w:eastAsia="Calibri"/>
          <w:szCs w:val="22"/>
          <w:lang w:eastAsia="en-US"/>
        </w:rPr>
        <w:t xml:space="preserve"> Komuni – </w:t>
      </w:r>
      <w:proofErr w:type="spellStart"/>
      <w:r w:rsidRPr="00427626">
        <w:rPr>
          <w:rFonts w:eastAsia="Calibri"/>
          <w:szCs w:val="22"/>
          <w:lang w:eastAsia="en-US"/>
        </w:rPr>
        <w:t>Legat</w:t>
      </w:r>
      <w:proofErr w:type="spellEnd"/>
      <w:r w:rsidRPr="00427626">
        <w:rPr>
          <w:rFonts w:eastAsia="Calibri"/>
          <w:szCs w:val="22"/>
          <w:lang w:eastAsia="en-US"/>
        </w:rPr>
        <w:t xml:space="preserve">, u linja </w:t>
      </w:r>
      <w:proofErr w:type="spellStart"/>
      <w:r w:rsidRPr="00427626">
        <w:rPr>
          <w:rFonts w:eastAsia="Calibri"/>
          <w:szCs w:val="22"/>
          <w:lang w:eastAsia="en-US"/>
        </w:rPr>
        <w:t>baġitarja</w:t>
      </w:r>
      <w:proofErr w:type="spellEnd"/>
      <w:r w:rsidRPr="00427626">
        <w:rPr>
          <w:rFonts w:eastAsia="Calibri"/>
          <w:szCs w:val="22"/>
          <w:lang w:eastAsia="en-US"/>
        </w:rPr>
        <w:t xml:space="preserve"> speċifika għan-nefqa tal-assistenza teknika u amministrattiva għall-implimentazzjoni tal-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>.</w:t>
      </w:r>
    </w:p>
    <w:p w:rsidR="00EF2A7C" w:rsidRPr="00427626" w:rsidRDefault="00EF2A7C" w:rsidP="00EF2A7C">
      <w:pPr>
        <w:widowControl/>
        <w:spacing w:before="120" w:after="120" w:line="360" w:lineRule="auto"/>
        <w:jc w:val="both"/>
        <w:rPr>
          <w:rFonts w:eastAsia="Calibri"/>
          <w:szCs w:val="24"/>
          <w:lang w:eastAsia="en-US"/>
        </w:rPr>
      </w:pPr>
    </w:p>
    <w:p w:rsidR="00EF2A7C" w:rsidRPr="00427626" w:rsidRDefault="00EF2A7C" w:rsidP="00EF2A7C">
      <w:pPr>
        <w:widowControl/>
        <w:spacing w:before="120" w:after="120"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427626">
        <w:rPr>
          <w:rFonts w:eastAsia="Calibri"/>
          <w:b/>
          <w:szCs w:val="22"/>
          <w:lang w:eastAsia="en-US"/>
        </w:rPr>
        <w:t xml:space="preserve">Dikjarazzjoni konġunta tal-Parlament Ewropew, il-Kunsill u l-Kummissjoni </w:t>
      </w:r>
      <w:bookmarkStart w:id="7" w:name="_GoBack"/>
      <w:bookmarkEnd w:id="7"/>
      <w:r w:rsidRPr="00427626">
        <w:rPr>
          <w:rFonts w:eastAsia="Calibri"/>
          <w:b/>
          <w:szCs w:val="22"/>
          <w:lang w:eastAsia="en-US"/>
        </w:rPr>
        <w:t>relatata man-natura eċċezzjonali tal-</w:t>
      </w:r>
      <w:proofErr w:type="spellStart"/>
      <w:r w:rsidRPr="00427626">
        <w:rPr>
          <w:rFonts w:eastAsia="Calibri"/>
          <w:b/>
          <w:szCs w:val="22"/>
          <w:lang w:eastAsia="en-US"/>
        </w:rPr>
        <w:t>Faċilità</w:t>
      </w:r>
      <w:proofErr w:type="spellEnd"/>
      <w:r w:rsidRPr="00427626">
        <w:rPr>
          <w:rFonts w:eastAsia="Calibri"/>
          <w:b/>
          <w:szCs w:val="22"/>
          <w:lang w:eastAsia="en-US"/>
        </w:rPr>
        <w:t xml:space="preserve"> għall-Ukrajna</w:t>
      </w:r>
      <w:r w:rsidR="00B3263C">
        <w:rPr>
          <w:rStyle w:val="FootnoteReference"/>
          <w:rFonts w:eastAsia="Calibri"/>
          <w:b/>
          <w:szCs w:val="22"/>
          <w:lang w:eastAsia="en-US"/>
        </w:rPr>
        <w:footnoteReference w:id="3"/>
      </w:r>
    </w:p>
    <w:p w:rsidR="00EF2A7C" w:rsidRPr="00427626" w:rsidRDefault="00EF2A7C" w:rsidP="00EF2A7C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427626">
        <w:rPr>
          <w:rFonts w:eastAsia="Calibri"/>
          <w:szCs w:val="22"/>
          <w:lang w:eastAsia="en-US"/>
        </w:rPr>
        <w:t>Il-Parlament Ewropew, il-Kunsill u l-Kummissjoni jaqsmu l-fehma li 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għall-Ukrajna hija strument eċċezzjonali fuq medda ta' żmien medju ta' importanza </w:t>
      </w:r>
      <w:proofErr w:type="spellStart"/>
      <w:r w:rsidRPr="00427626">
        <w:rPr>
          <w:rFonts w:eastAsia="Calibri"/>
          <w:szCs w:val="22"/>
          <w:lang w:eastAsia="en-US"/>
        </w:rPr>
        <w:t>ġeopolitika</w:t>
      </w:r>
      <w:proofErr w:type="spellEnd"/>
      <w:r w:rsidRPr="00427626">
        <w:rPr>
          <w:rFonts w:eastAsia="Calibri"/>
          <w:szCs w:val="22"/>
          <w:lang w:eastAsia="en-US"/>
        </w:rPr>
        <w:t xml:space="preserve"> kbira adattat għall-inċertezza u l-isfidi bla </w:t>
      </w:r>
      <w:proofErr w:type="spellStart"/>
      <w:r w:rsidRPr="00427626">
        <w:rPr>
          <w:rFonts w:eastAsia="Calibri"/>
          <w:szCs w:val="22"/>
          <w:lang w:eastAsia="en-US"/>
        </w:rPr>
        <w:t>preċedent</w:t>
      </w:r>
      <w:proofErr w:type="spellEnd"/>
      <w:r w:rsidRPr="00427626">
        <w:rPr>
          <w:rFonts w:eastAsia="Calibri"/>
          <w:szCs w:val="22"/>
          <w:lang w:eastAsia="en-US"/>
        </w:rPr>
        <w:t xml:space="preserve"> biex jingħata appoġġ lil pajjiż li jinsab fi gwerra b'implikazzjonijiet diretti għas-sigurtà tal-Unjoni. B'riżultat ta' dan, il-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għall-Ukrajna tipprovdi bilanċ bejn il-</w:t>
      </w:r>
      <w:proofErr w:type="spellStart"/>
      <w:r w:rsidRPr="00427626">
        <w:rPr>
          <w:rFonts w:eastAsia="Calibri"/>
          <w:szCs w:val="22"/>
          <w:lang w:eastAsia="en-US"/>
        </w:rPr>
        <w:t>flessibbiltà</w:t>
      </w:r>
      <w:proofErr w:type="spellEnd"/>
      <w:r w:rsidRPr="00427626">
        <w:rPr>
          <w:rFonts w:eastAsia="Calibri"/>
          <w:szCs w:val="22"/>
          <w:lang w:eastAsia="en-US"/>
        </w:rPr>
        <w:t xml:space="preserve"> u l-</w:t>
      </w:r>
      <w:proofErr w:type="spellStart"/>
      <w:r w:rsidRPr="00427626">
        <w:rPr>
          <w:rFonts w:eastAsia="Calibri"/>
          <w:szCs w:val="22"/>
          <w:lang w:eastAsia="en-US"/>
        </w:rPr>
        <w:t>programmabbiltà</w:t>
      </w:r>
      <w:proofErr w:type="spellEnd"/>
      <w:r w:rsidRPr="00427626">
        <w:rPr>
          <w:rFonts w:eastAsia="Calibri"/>
          <w:szCs w:val="22"/>
          <w:lang w:eastAsia="en-US"/>
        </w:rPr>
        <w:t xml:space="preserve"> tar-rispons tal-Unjoni biex tindirizza d-diskrepanza fil-finanzjament tal-Ukrajna, il-ħtiġijiet ta' rkupru, rikostruzzjoni u </w:t>
      </w:r>
      <w:proofErr w:type="spellStart"/>
      <w:r w:rsidRPr="00427626">
        <w:rPr>
          <w:rFonts w:eastAsia="Calibri"/>
          <w:szCs w:val="22"/>
          <w:lang w:eastAsia="en-US"/>
        </w:rPr>
        <w:t>modernizzazzjoni</w:t>
      </w:r>
      <w:proofErr w:type="spellEnd"/>
      <w:r w:rsidRPr="00427626">
        <w:rPr>
          <w:rFonts w:eastAsia="Calibri"/>
          <w:szCs w:val="22"/>
          <w:lang w:eastAsia="en-US"/>
        </w:rPr>
        <w:t>, filwaqt li tappoġġa l-isforz ta' riforma tal-Ukrajna bħala parti mill-</w:t>
      </w:r>
      <w:proofErr w:type="spellStart"/>
      <w:r w:rsidRPr="00427626">
        <w:rPr>
          <w:rFonts w:eastAsia="Calibri"/>
          <w:szCs w:val="22"/>
          <w:lang w:eastAsia="en-US"/>
        </w:rPr>
        <w:t>perkors</w:t>
      </w:r>
      <w:proofErr w:type="spellEnd"/>
      <w:r w:rsidRPr="00427626">
        <w:rPr>
          <w:rFonts w:eastAsia="Calibri"/>
          <w:szCs w:val="22"/>
          <w:lang w:eastAsia="en-US"/>
        </w:rPr>
        <w:t xml:space="preserve"> tal-adeżjoni tagħha mal-Unjoni. L-objettivi, il-finanzjament u l-arranġamenti ta' </w:t>
      </w:r>
      <w:proofErr w:type="spellStart"/>
      <w:r w:rsidRPr="00427626">
        <w:rPr>
          <w:rFonts w:eastAsia="Calibri"/>
          <w:szCs w:val="22"/>
          <w:lang w:eastAsia="en-US"/>
        </w:rPr>
        <w:t>governanza</w:t>
      </w:r>
      <w:proofErr w:type="spellEnd"/>
      <w:r w:rsidRPr="00427626">
        <w:rPr>
          <w:rFonts w:eastAsia="Calibri"/>
          <w:szCs w:val="22"/>
          <w:lang w:eastAsia="en-US"/>
        </w:rPr>
        <w:t xml:space="preserve"> miftiehma </w:t>
      </w:r>
      <w:proofErr w:type="spellStart"/>
      <w:r w:rsidRPr="00427626">
        <w:rPr>
          <w:rFonts w:eastAsia="Calibri"/>
          <w:szCs w:val="22"/>
          <w:lang w:eastAsia="en-US"/>
        </w:rPr>
        <w:t>għall-Faċilità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għall-Ukrajna jwieġbu għall-kuntest u l-isfidi eċċezzjonali u speċifiċi li fir-rigward tagħhom ġiet adottata din il-</w:t>
      </w:r>
      <w:proofErr w:type="spellStart"/>
      <w:r w:rsidRPr="00427626">
        <w:rPr>
          <w:rFonts w:eastAsia="Calibri"/>
          <w:szCs w:val="22"/>
          <w:lang w:eastAsia="en-US"/>
        </w:rPr>
        <w:t>Faċilità</w:t>
      </w:r>
      <w:proofErr w:type="spellEnd"/>
      <w:r w:rsidRPr="00427626">
        <w:rPr>
          <w:rFonts w:eastAsia="Calibri"/>
          <w:szCs w:val="22"/>
          <w:lang w:eastAsia="en-US"/>
        </w:rPr>
        <w:t xml:space="preserve"> partikolari.</w:t>
      </w:r>
    </w:p>
    <w:p w:rsidR="00EF2A7C" w:rsidRPr="00EF2A7C" w:rsidRDefault="00EF2A7C" w:rsidP="00EF2A7C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427626">
        <w:rPr>
          <w:rFonts w:eastAsia="Calibri"/>
          <w:szCs w:val="22"/>
          <w:lang w:eastAsia="en-US"/>
        </w:rPr>
        <w:t xml:space="preserve">Għalhekk, din is-soluzzjoni għall-Ukrajna ma għandhiex titqies bħala </w:t>
      </w:r>
      <w:proofErr w:type="spellStart"/>
      <w:r w:rsidRPr="00427626">
        <w:rPr>
          <w:rFonts w:eastAsia="Calibri"/>
          <w:szCs w:val="22"/>
          <w:lang w:eastAsia="en-US"/>
        </w:rPr>
        <w:t>preċedent</w:t>
      </w:r>
      <w:proofErr w:type="spellEnd"/>
      <w:r w:rsidRPr="00427626">
        <w:rPr>
          <w:rFonts w:eastAsia="Calibri"/>
          <w:szCs w:val="22"/>
          <w:lang w:eastAsia="en-US"/>
        </w:rPr>
        <w:t xml:space="preserve"> għal strumenti futuri ta' assistenza ekonomika lil pajjiżi terzi.</w:t>
      </w:r>
    </w:p>
    <w:sectPr w:rsidR="00EF2A7C" w:rsidRPr="00EF2A7C" w:rsidSect="00EF2A7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8A3" w:rsidRPr="007C5F0B" w:rsidRDefault="000408A3">
      <w:r w:rsidRPr="007C5F0B">
        <w:separator/>
      </w:r>
    </w:p>
  </w:endnote>
  <w:endnote w:type="continuationSeparator" w:id="0">
    <w:p w:rsidR="000408A3" w:rsidRPr="007C5F0B" w:rsidRDefault="000408A3">
      <w:r w:rsidRPr="007C5F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E34D88" w:rsidRPr="00D94637" w:rsidTr="00E34D88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="00E34D88" w:rsidRPr="00D94637" w:rsidRDefault="00A17898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8" w:name="FOOTER_STANDARD"/>
        </w:p>
      </w:tc>
    </w:tr>
    <w:tr w:rsidR="00E34D88" w:rsidRPr="00B310DC" w:rsidTr="00E34D88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="00E34D88" w:rsidRPr="00AD7BF2" w:rsidRDefault="00EF2A7C" w:rsidP="004F54B2">
          <w:pPr>
            <w:pStyle w:val="FooterText"/>
          </w:pPr>
          <w:r>
            <w:t>6380/24</w:t>
          </w:r>
          <w:r w:rsidRPr="002511D8">
            <w:t xml:space="preserve"> </w:t>
          </w:r>
          <w:r>
            <w:t>ADD 1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="00E34D88" w:rsidRPr="00AD7BF2" w:rsidRDefault="00A17898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="00E34D88" w:rsidRPr="002511D8" w:rsidRDefault="00A17898" w:rsidP="00D9463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="00E34D88" w:rsidRPr="00B310DC" w:rsidRDefault="00EF2A7C" w:rsidP="00D9463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E34D88" w:rsidRPr="00D94637" w:rsidTr="00E34D88">
      <w:trPr>
        <w:jc w:val="center"/>
      </w:trPr>
      <w:tc>
        <w:tcPr>
          <w:tcW w:w="1774" w:type="pct"/>
          <w:shd w:val="clear" w:color="auto" w:fill="auto"/>
        </w:tcPr>
        <w:p w:rsidR="00E34D88" w:rsidRPr="00AD7BF2" w:rsidRDefault="00A17898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="00E34D88" w:rsidRPr="00AD7BF2" w:rsidRDefault="00EF2A7C" w:rsidP="00D204D6">
          <w:pPr>
            <w:pStyle w:val="FooterText"/>
            <w:spacing w:before="40"/>
            <w:jc w:val="center"/>
          </w:pPr>
          <w:r>
            <w:t>DG.COORD</w:t>
          </w:r>
        </w:p>
      </w:tc>
      <w:tc>
        <w:tcPr>
          <w:tcW w:w="742" w:type="pct"/>
          <w:shd w:val="clear" w:color="auto" w:fill="auto"/>
        </w:tcPr>
        <w:p w:rsidR="00E34D88" w:rsidRPr="00D94637" w:rsidRDefault="00EF2A7C" w:rsidP="002F0099">
          <w:pPr>
            <w:pStyle w:val="FooterText"/>
            <w:jc w:val="center"/>
            <w:rPr>
              <w:b/>
              <w:position w:val="-4"/>
              <w:sz w:val="36"/>
            </w:rPr>
          </w:pPr>
          <w:r>
            <w:rPr>
              <w:b/>
              <w:position w:val="-4"/>
              <w:sz w:val="36"/>
            </w:rPr>
            <w:t>LIMITE</w:t>
          </w:r>
        </w:p>
      </w:tc>
      <w:tc>
        <w:tcPr>
          <w:tcW w:w="1029" w:type="pct"/>
          <w:gridSpan w:val="2"/>
          <w:shd w:val="clear" w:color="auto" w:fill="auto"/>
        </w:tcPr>
        <w:p w:rsidR="00E34D88" w:rsidRPr="00695BAF" w:rsidRDefault="00EF2A7C" w:rsidP="00D94637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MT</w:t>
          </w:r>
        </w:p>
      </w:tc>
    </w:tr>
    <w:bookmarkEnd w:id="8"/>
  </w:tbl>
  <w:p w:rsidR="00191AE7" w:rsidRPr="00E34D88" w:rsidRDefault="00A17898" w:rsidP="00E34D88">
    <w:pPr>
      <w:pStyle w:val="FooterCounci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A84" w:rsidRPr="00EF2A7C" w:rsidRDefault="00A17898" w:rsidP="00EF2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8A3" w:rsidRPr="007C5F0B" w:rsidRDefault="000408A3">
      <w:r w:rsidRPr="007C5F0B">
        <w:separator/>
      </w:r>
    </w:p>
  </w:footnote>
  <w:footnote w:type="continuationSeparator" w:id="0">
    <w:p w:rsidR="000408A3" w:rsidRPr="007C5F0B" w:rsidRDefault="000408A3">
      <w:r w:rsidRPr="007C5F0B">
        <w:continuationSeparator/>
      </w:r>
    </w:p>
  </w:footnote>
  <w:footnote w:id="1">
    <w:p w:rsidR="00B3263C" w:rsidRPr="00B3263C" w:rsidRDefault="00B3263C" w:rsidP="00B3263C">
      <w:pPr>
        <w:ind w:left="426" w:hanging="426"/>
        <w:rPr>
          <w:szCs w:val="24"/>
        </w:rPr>
      </w:pPr>
      <w:r w:rsidRPr="00B3263C">
        <w:rPr>
          <w:rStyle w:val="FootnoteReference"/>
          <w:szCs w:val="24"/>
        </w:rPr>
        <w:footnoteRef/>
      </w:r>
      <w:r w:rsidRPr="00B3263C">
        <w:rPr>
          <w:szCs w:val="24"/>
        </w:rPr>
        <w:t xml:space="preserve"> </w:t>
      </w:r>
      <w:r w:rsidRPr="00B3263C">
        <w:rPr>
          <w:szCs w:val="24"/>
        </w:rPr>
        <w:tab/>
      </w:r>
      <w:proofErr w:type="spellStart"/>
      <w:r w:rsidRPr="00B3263C">
        <w:rPr>
          <w:szCs w:val="24"/>
          <w:lang w:val="it-IT"/>
        </w:rPr>
        <w:t>Din</w:t>
      </w:r>
      <w:proofErr w:type="spellEnd"/>
      <w:r w:rsidRPr="00B3263C">
        <w:rPr>
          <w:szCs w:val="24"/>
          <w:lang w:val="it-IT"/>
        </w:rPr>
        <w:t xml:space="preserve"> il-</w:t>
      </w:r>
      <w:proofErr w:type="spellStart"/>
      <w:r w:rsidRPr="00B3263C">
        <w:rPr>
          <w:szCs w:val="24"/>
          <w:lang w:val="it-IT"/>
        </w:rPr>
        <w:t>pożizzjoni</w:t>
      </w:r>
      <w:proofErr w:type="spellEnd"/>
      <w:r w:rsidRPr="00B3263C">
        <w:rPr>
          <w:szCs w:val="24"/>
          <w:lang w:val="it-IT"/>
        </w:rPr>
        <w:t xml:space="preserve"> </w:t>
      </w:r>
      <w:r w:rsidRPr="00B3263C">
        <w:rPr>
          <w:szCs w:val="24"/>
        </w:rPr>
        <w:t>tissostitwixxi</w:t>
      </w:r>
      <w:r w:rsidRPr="00B3263C">
        <w:rPr>
          <w:szCs w:val="24"/>
          <w:lang w:val="it-IT"/>
        </w:rPr>
        <w:t xml:space="preserve"> l-emendi adottati fis-17 </w:t>
      </w:r>
      <w:proofErr w:type="spellStart"/>
      <w:r w:rsidRPr="00B3263C">
        <w:rPr>
          <w:szCs w:val="24"/>
          <w:lang w:val="it-IT"/>
        </w:rPr>
        <w:t>ta</w:t>
      </w:r>
      <w:proofErr w:type="spellEnd"/>
      <w:r w:rsidRPr="00B3263C">
        <w:rPr>
          <w:szCs w:val="24"/>
          <w:lang w:val="it-IT"/>
        </w:rPr>
        <w:t xml:space="preserve">’ </w:t>
      </w:r>
      <w:proofErr w:type="spellStart"/>
      <w:r w:rsidRPr="00B3263C">
        <w:rPr>
          <w:szCs w:val="24"/>
          <w:lang w:val="it-IT"/>
        </w:rPr>
        <w:t>Ottubru</w:t>
      </w:r>
      <w:proofErr w:type="spellEnd"/>
      <w:r w:rsidRPr="00B3263C">
        <w:rPr>
          <w:szCs w:val="24"/>
          <w:lang w:val="it-IT"/>
        </w:rPr>
        <w:t xml:space="preserve"> 2023 (Testi adottati, P9_</w:t>
      </w:r>
      <w:proofErr w:type="gramStart"/>
      <w:r w:rsidRPr="00B3263C">
        <w:rPr>
          <w:szCs w:val="24"/>
          <w:lang w:val="it-IT"/>
        </w:rPr>
        <w:t>TA(</w:t>
      </w:r>
      <w:proofErr w:type="gramEnd"/>
      <w:r w:rsidRPr="00B3263C">
        <w:rPr>
          <w:szCs w:val="24"/>
          <w:lang w:val="it-IT"/>
        </w:rPr>
        <w:t>2023)0363).</w:t>
      </w:r>
    </w:p>
  </w:footnote>
  <w:footnote w:id="2">
    <w:p w:rsidR="00B3263C" w:rsidRPr="00B3263C" w:rsidRDefault="00B3263C">
      <w:pPr>
        <w:pStyle w:val="FootnoteText"/>
        <w:rPr>
          <w:sz w:val="24"/>
          <w:szCs w:val="24"/>
          <w:lang w:val="mt-MT"/>
        </w:rPr>
      </w:pPr>
      <w:r w:rsidRPr="00B3263C">
        <w:rPr>
          <w:rStyle w:val="FootnoteReference"/>
          <w:sz w:val="24"/>
          <w:szCs w:val="24"/>
        </w:rPr>
        <w:footnoteRef/>
      </w:r>
      <w:r w:rsidRPr="00B3263C">
        <w:rPr>
          <w:sz w:val="24"/>
          <w:szCs w:val="24"/>
          <w:lang w:val="mt-MT"/>
        </w:rPr>
        <w:t xml:space="preserve"> </w:t>
      </w:r>
      <w:r w:rsidRPr="00B3263C">
        <w:rPr>
          <w:sz w:val="24"/>
          <w:szCs w:val="24"/>
          <w:lang w:val="mt-MT"/>
        </w:rPr>
        <w:tab/>
        <w:t>Ir-Regolament (UE) 2024/792 tal-Parlament Ewropew u tal-Kunsill tad-29 ta’ Frar 2024 li jistabbilixxi l-</w:t>
      </w:r>
      <w:proofErr w:type="spellStart"/>
      <w:r w:rsidRPr="00B3263C">
        <w:rPr>
          <w:sz w:val="24"/>
          <w:szCs w:val="24"/>
          <w:lang w:val="mt-MT"/>
        </w:rPr>
        <w:t>Faċilità</w:t>
      </w:r>
      <w:proofErr w:type="spellEnd"/>
      <w:r w:rsidRPr="00B3263C">
        <w:rPr>
          <w:sz w:val="24"/>
          <w:szCs w:val="24"/>
          <w:lang w:val="mt-MT"/>
        </w:rPr>
        <w:t xml:space="preserve"> għall-Ukrajna (ĠU L, 2024/792, 29.2.2024, ELI: http://data.europa.eu/eli/reg/2024/792/oj).</w:t>
      </w:r>
    </w:p>
  </w:footnote>
  <w:footnote w:id="3">
    <w:p w:rsidR="00B3263C" w:rsidRPr="00B3263C" w:rsidRDefault="00B3263C">
      <w:pPr>
        <w:pStyle w:val="FootnoteText"/>
        <w:rPr>
          <w:sz w:val="24"/>
          <w:szCs w:val="24"/>
          <w:lang w:val="mt-MT"/>
        </w:rPr>
      </w:pPr>
      <w:r w:rsidRPr="00B3263C">
        <w:rPr>
          <w:rStyle w:val="FootnoteReference"/>
          <w:sz w:val="24"/>
          <w:szCs w:val="24"/>
        </w:rPr>
        <w:footnoteRef/>
      </w:r>
      <w:r w:rsidRPr="00B3263C">
        <w:rPr>
          <w:sz w:val="24"/>
          <w:szCs w:val="24"/>
          <w:lang w:val="mt-MT"/>
        </w:rPr>
        <w:t xml:space="preserve"> </w:t>
      </w:r>
      <w:r w:rsidRPr="00B3263C">
        <w:rPr>
          <w:sz w:val="24"/>
          <w:szCs w:val="24"/>
          <w:lang w:val="mt-MT"/>
        </w:rPr>
        <w:tab/>
        <w:t>Ir-Regolament (UE) 2024/792 tal-Parlament Ewropew u tal-Kunsill tad-29 ta’ Frar 2024 li jistabbilixxi l-</w:t>
      </w:r>
      <w:proofErr w:type="spellStart"/>
      <w:r w:rsidRPr="00B3263C">
        <w:rPr>
          <w:sz w:val="24"/>
          <w:szCs w:val="24"/>
          <w:lang w:val="mt-MT"/>
        </w:rPr>
        <w:t>Faċilità</w:t>
      </w:r>
      <w:proofErr w:type="spellEnd"/>
      <w:r w:rsidRPr="00B3263C">
        <w:rPr>
          <w:sz w:val="24"/>
          <w:szCs w:val="24"/>
          <w:lang w:val="mt-MT"/>
        </w:rPr>
        <w:t xml:space="preserve"> għall-Ukrajna (ĠU L, 2024/792, 29.2.2024, ELI: http://data.europa.eu/eli/reg/2024/792/oj).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A84" w:rsidRPr="00E34D88" w:rsidRDefault="00EF2A7C" w:rsidP="00E34D88">
    <w:pPr>
      <w:pStyle w:val="HeaderCouncilLarge"/>
    </w:pP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A84" w:rsidRPr="00E34D88" w:rsidRDefault="00EF2A7C" w:rsidP="00E34D88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374819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8687F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2A9888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B04A8A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2C66C4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A24C3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FC400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7159B8"/>
    <w:multiLevelType w:val="hybridMultilevel"/>
    <w:tmpl w:val="1F30E3CC"/>
    <w:lvl w:ilvl="0" w:tplc="C51C3530">
      <w:start w:val="3"/>
      <w:numFmt w:val="lowerLetter"/>
      <w:lvlText w:val="(%1)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mt-MT" w:eastAsia="en-US" w:bidi="ar-SA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1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8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3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31" w15:restartNumberingAfterBreak="0">
    <w:nsid w:val="419774B8"/>
    <w:multiLevelType w:val="hybridMultilevel"/>
    <w:tmpl w:val="AA481702"/>
    <w:lvl w:ilvl="0" w:tplc="0ABAE84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3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6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8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7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5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5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5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5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6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4lett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1"/>
  </w:num>
  <w:num w:numId="9">
    <w:abstractNumId w:val="27"/>
  </w:num>
  <w:num w:numId="10">
    <w:abstractNumId w:val="47"/>
  </w:num>
  <w:num w:numId="11">
    <w:abstractNumId w:val="17"/>
  </w:num>
  <w:num w:numId="12">
    <w:abstractNumId w:val="34"/>
  </w:num>
  <w:num w:numId="13">
    <w:abstractNumId w:val="38"/>
  </w:num>
  <w:num w:numId="14">
    <w:abstractNumId w:val="37"/>
  </w:num>
  <w:num w:numId="15">
    <w:abstractNumId w:val="55"/>
  </w:num>
  <w:num w:numId="16">
    <w:abstractNumId w:val="28"/>
  </w:num>
  <w:num w:numId="17">
    <w:abstractNumId w:val="29"/>
  </w:num>
  <w:num w:numId="18">
    <w:abstractNumId w:val="30"/>
  </w:num>
  <w:num w:numId="19">
    <w:abstractNumId w:val="35"/>
  </w:num>
  <w:num w:numId="20">
    <w:abstractNumId w:val="21"/>
  </w:num>
  <w:num w:numId="21">
    <w:abstractNumId w:val="56"/>
  </w:num>
  <w:num w:numId="22">
    <w:abstractNumId w:val="26"/>
  </w:num>
  <w:num w:numId="23">
    <w:abstractNumId w:val="15"/>
  </w:num>
  <w:num w:numId="24">
    <w:abstractNumId w:val="14"/>
  </w:num>
  <w:num w:numId="25">
    <w:abstractNumId w:val="49"/>
  </w:num>
  <w:num w:numId="26">
    <w:abstractNumId w:val="46"/>
  </w:num>
  <w:num w:numId="27">
    <w:abstractNumId w:val="41"/>
  </w:num>
  <w:num w:numId="28">
    <w:abstractNumId w:val="52"/>
  </w:num>
  <w:num w:numId="29">
    <w:abstractNumId w:val="51"/>
  </w:num>
  <w:num w:numId="30">
    <w:abstractNumId w:val="53"/>
  </w:num>
  <w:num w:numId="31">
    <w:abstractNumId w:val="16"/>
  </w:num>
  <w:num w:numId="32">
    <w:abstractNumId w:val="44"/>
  </w:num>
  <w:num w:numId="33">
    <w:abstractNumId w:val="10"/>
  </w:num>
  <w:num w:numId="34">
    <w:abstractNumId w:val="45"/>
  </w:num>
  <w:num w:numId="35">
    <w:abstractNumId w:val="42"/>
  </w:num>
  <w:num w:numId="36">
    <w:abstractNumId w:val="13"/>
  </w:num>
  <w:num w:numId="37">
    <w:abstractNumId w:val="50"/>
  </w:num>
  <w:num w:numId="38">
    <w:abstractNumId w:val="54"/>
  </w:num>
  <w:num w:numId="39">
    <w:abstractNumId w:val="39"/>
  </w:num>
  <w:num w:numId="40">
    <w:abstractNumId w:val="48"/>
  </w:num>
  <w:num w:numId="41">
    <w:abstractNumId w:val="43"/>
  </w:num>
  <w:num w:numId="42">
    <w:abstractNumId w:val="32"/>
  </w:num>
  <w:num w:numId="43">
    <w:abstractNumId w:val="9"/>
  </w:num>
  <w:num w:numId="44">
    <w:abstractNumId w:val="22"/>
  </w:num>
  <w:num w:numId="45">
    <w:abstractNumId w:val="20"/>
  </w:num>
  <w:num w:numId="46">
    <w:abstractNumId w:val="23"/>
  </w:num>
  <w:num w:numId="47">
    <w:abstractNumId w:val="40"/>
  </w:num>
  <w:num w:numId="48">
    <w:abstractNumId w:val="8"/>
  </w:num>
  <w:num w:numId="49">
    <w:abstractNumId w:val="24"/>
  </w:num>
  <w:num w:numId="50">
    <w:abstractNumId w:val="36"/>
  </w:num>
  <w:num w:numId="51">
    <w:abstractNumId w:val="33"/>
  </w:num>
  <w:num w:numId="52">
    <w:abstractNumId w:val="18"/>
  </w:num>
  <w:num w:numId="53">
    <w:abstractNumId w:val="25"/>
  </w:num>
  <w:num w:numId="54">
    <w:abstractNumId w:val="19"/>
  </w:num>
  <w:num w:numId="55">
    <w:abstractNumId w:val="12"/>
  </w:num>
  <w:num w:numId="56">
    <w:abstractNumId w:val="3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MT"/>
    <w:docVar w:name="dvnumam" w:val="0"/>
    <w:docVar w:name="dvpe" w:val="751.825"/>
    <w:docVar w:name="dvrapporteur" w:val="Rapporteur: "/>
    <w:docVar w:name="dvstar" w:val="***I"/>
    <w:docVar w:name="dvtitre" w:val="Riżoluzzjoni leġiżlattiva tal-Parlament Ewropew tas-27 ta' Frar 2024 dwar il-proposta għal regolament tal-Parlament Ewropew u tal-Kunsill li jistabbilixxi l-Faċilità tal-Ukrajna(COM(2023)0338 – C9-0210/2023 – 2023/0200(COD))"/>
  </w:docVars>
  <w:rsids>
    <w:rsidRoot w:val="000408A3"/>
    <w:rsid w:val="00002272"/>
    <w:rsid w:val="000408A3"/>
    <w:rsid w:val="00064002"/>
    <w:rsid w:val="000677B9"/>
    <w:rsid w:val="000831BA"/>
    <w:rsid w:val="000A42CC"/>
    <w:rsid w:val="000E7DD9"/>
    <w:rsid w:val="0010095E"/>
    <w:rsid w:val="00125B37"/>
    <w:rsid w:val="00154CAE"/>
    <w:rsid w:val="00187494"/>
    <w:rsid w:val="001E218B"/>
    <w:rsid w:val="001F32AE"/>
    <w:rsid w:val="002767FF"/>
    <w:rsid w:val="002B18FE"/>
    <w:rsid w:val="002B5493"/>
    <w:rsid w:val="00316E5D"/>
    <w:rsid w:val="00343214"/>
    <w:rsid w:val="00361C00"/>
    <w:rsid w:val="00395FA1"/>
    <w:rsid w:val="003E15D4"/>
    <w:rsid w:val="00411CCE"/>
    <w:rsid w:val="0041666E"/>
    <w:rsid w:val="00421060"/>
    <w:rsid w:val="00427626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5F0B"/>
    <w:rsid w:val="007D1690"/>
    <w:rsid w:val="007E22AD"/>
    <w:rsid w:val="007F2268"/>
    <w:rsid w:val="00817416"/>
    <w:rsid w:val="00842779"/>
    <w:rsid w:val="00865F67"/>
    <w:rsid w:val="00881A7B"/>
    <w:rsid w:val="008840E5"/>
    <w:rsid w:val="00887B3E"/>
    <w:rsid w:val="008B4BAC"/>
    <w:rsid w:val="008C2AC6"/>
    <w:rsid w:val="00912623"/>
    <w:rsid w:val="00930C23"/>
    <w:rsid w:val="0093193B"/>
    <w:rsid w:val="009509D8"/>
    <w:rsid w:val="00950B64"/>
    <w:rsid w:val="00981893"/>
    <w:rsid w:val="00A1687D"/>
    <w:rsid w:val="00A17898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263C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2A7C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780D8-AB22-463A-BCDF-8C459363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8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8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8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9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F226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26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26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26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26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268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268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7F2268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7F2268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7F226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F226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F226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F2268"/>
    <w:pPr>
      <w:spacing w:after="120"/>
    </w:pPr>
  </w:style>
  <w:style w:type="paragraph" w:customStyle="1" w:styleId="PageHeading">
    <w:name w:val="PageHeading"/>
    <w:basedOn w:val="Normal"/>
    <w:link w:val="PageHeadingChar"/>
    <w:rsid w:val="007F226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7F2268"/>
    <w:rPr>
      <w:b/>
    </w:rPr>
  </w:style>
  <w:style w:type="paragraph" w:customStyle="1" w:styleId="NormalBold12a">
    <w:name w:val="NormalBold12a"/>
    <w:basedOn w:val="Normal"/>
    <w:rsid w:val="007F2268"/>
    <w:pPr>
      <w:spacing w:after="240"/>
    </w:pPr>
    <w:rPr>
      <w:b/>
    </w:rPr>
  </w:style>
  <w:style w:type="paragraph" w:customStyle="1" w:styleId="AmJustText">
    <w:name w:val="AmJustText"/>
    <w:basedOn w:val="Normal"/>
    <w:rsid w:val="007F226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F226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F2268"/>
    <w:pPr>
      <w:spacing w:after="480"/>
      <w:ind w:left="1417"/>
    </w:pPr>
  </w:style>
  <w:style w:type="paragraph" w:customStyle="1" w:styleId="CoverNormal">
    <w:name w:val="CoverNormal"/>
    <w:basedOn w:val="Normal"/>
    <w:rsid w:val="007F2268"/>
    <w:pPr>
      <w:ind w:left="1418"/>
    </w:pPr>
  </w:style>
  <w:style w:type="paragraph" w:customStyle="1" w:styleId="AmCrossRef">
    <w:name w:val="AmCrossRef"/>
    <w:basedOn w:val="Normal"/>
    <w:rsid w:val="007F226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F226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F226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F226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F226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F2268"/>
    <w:pPr>
      <w:spacing w:before="240" w:after="1200"/>
    </w:pPr>
  </w:style>
  <w:style w:type="paragraph" w:styleId="Header">
    <w:name w:val="header"/>
    <w:basedOn w:val="Normal"/>
    <w:link w:val="HeaderChar"/>
    <w:rsid w:val="007F22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2268"/>
    <w:rPr>
      <w:sz w:val="24"/>
      <w:lang w:val="mt-MT"/>
    </w:rPr>
  </w:style>
  <w:style w:type="paragraph" w:customStyle="1" w:styleId="AmOrLang">
    <w:name w:val="AmOrLang"/>
    <w:basedOn w:val="Normal"/>
    <w:rsid w:val="007F226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F226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F22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F2268"/>
    <w:pPr>
      <w:spacing w:before="240"/>
    </w:pPr>
    <w:rPr>
      <w:b/>
    </w:rPr>
  </w:style>
  <w:style w:type="paragraph" w:customStyle="1" w:styleId="EPBody">
    <w:name w:val="EPBody"/>
    <w:basedOn w:val="Normal"/>
    <w:rsid w:val="007F226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F226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F2268"/>
    <w:pPr>
      <w:spacing w:before="480" w:after="240"/>
    </w:pPr>
  </w:style>
  <w:style w:type="paragraph" w:customStyle="1" w:styleId="Lgendesigne">
    <w:name w:val="Légende signe"/>
    <w:basedOn w:val="Normal"/>
    <w:rsid w:val="007F226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F226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7F2268"/>
    <w:pPr>
      <w:ind w:left="0" w:firstLine="0"/>
    </w:pPr>
  </w:style>
  <w:style w:type="paragraph" w:customStyle="1" w:styleId="Normal12Hanging">
    <w:name w:val="Normal12Hanging"/>
    <w:basedOn w:val="Normal"/>
    <w:rsid w:val="007F2268"/>
    <w:pPr>
      <w:spacing w:after="240"/>
      <w:ind w:left="567" w:hanging="567"/>
    </w:pPr>
  </w:style>
  <w:style w:type="paragraph" w:customStyle="1" w:styleId="AMNumberTabs0">
    <w:name w:val="AMNumberTabs"/>
    <w:basedOn w:val="Normal"/>
    <w:rsid w:val="007F22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ListNumber">
    <w:name w:val="List Number"/>
    <w:basedOn w:val="Normal"/>
    <w:rsid w:val="007F2268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7F2268"/>
    <w:pPr>
      <w:widowControl/>
      <w:numPr>
        <w:ilvl w:val="1"/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7F2268"/>
    <w:pPr>
      <w:widowControl/>
      <w:numPr>
        <w:ilvl w:val="2"/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7F2268"/>
    <w:pPr>
      <w:widowControl/>
      <w:numPr>
        <w:ilvl w:val="3"/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Text1">
    <w:name w:val="Text 1"/>
    <w:basedOn w:val="Normal"/>
    <w:rsid w:val="007F226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F226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styleId="CommentReference">
    <w:name w:val="annotation reference"/>
    <w:rsid w:val="007F226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F2268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268"/>
    <w:rPr>
      <w:lang w:val="mt-MT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7F2268"/>
    <w:rPr>
      <w:color w:val="008000"/>
      <w:shd w:val="clear" w:color="auto" w:fill="auto"/>
    </w:rPr>
  </w:style>
  <w:style w:type="paragraph" w:customStyle="1" w:styleId="ChapterTitle">
    <w:name w:val="ChapterTitle"/>
    <w:basedOn w:val="Normal"/>
    <w:next w:val="Normal"/>
    <w:rsid w:val="007F226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7F2268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7F2268"/>
    <w:pPr>
      <w:spacing w:after="120"/>
    </w:pPr>
  </w:style>
  <w:style w:type="paragraph" w:styleId="Footer">
    <w:name w:val="footer"/>
    <w:basedOn w:val="Normal"/>
    <w:link w:val="FooterChar"/>
    <w:rsid w:val="007F2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F2268"/>
    <w:rPr>
      <w:sz w:val="24"/>
      <w:lang w:val="mt-MT"/>
    </w:rPr>
  </w:style>
  <w:style w:type="paragraph" w:customStyle="1" w:styleId="msonormal0">
    <w:name w:val="msonormal"/>
    <w:basedOn w:val="Normal"/>
    <w:rsid w:val="007F2268"/>
    <w:pPr>
      <w:widowControl/>
      <w:spacing w:before="100" w:beforeAutospacing="1" w:after="100" w:afterAutospacing="1"/>
    </w:pPr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F2268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2268"/>
    <w:rPr>
      <w:b/>
      <w:bCs/>
      <w:lang w:val="mt-MT"/>
    </w:rPr>
  </w:style>
  <w:style w:type="paragraph" w:styleId="BalloonText">
    <w:name w:val="Balloon Text"/>
    <w:basedOn w:val="Normal"/>
    <w:link w:val="BalloonTextChar"/>
    <w:unhideWhenUsed/>
    <w:rsid w:val="007F2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2268"/>
    <w:rPr>
      <w:rFonts w:ascii="Segoe UI" w:hAnsi="Segoe UI" w:cs="Segoe UI"/>
      <w:sz w:val="18"/>
      <w:szCs w:val="18"/>
      <w:lang w:val="mt-MT"/>
    </w:rPr>
  </w:style>
  <w:style w:type="paragraph" w:styleId="Revision">
    <w:name w:val="Revision"/>
    <w:uiPriority w:val="99"/>
    <w:semiHidden/>
    <w:rsid w:val="007F2268"/>
    <w:rPr>
      <w:sz w:val="24"/>
      <w:lang w:val="mt-MT"/>
    </w:rPr>
  </w:style>
  <w:style w:type="paragraph" w:customStyle="1" w:styleId="NormalCenter12a">
    <w:name w:val="NormalCenter12a"/>
    <w:basedOn w:val="Normal"/>
    <w:rsid w:val="007F2268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7F2268"/>
    <w:pPr>
      <w:spacing w:before="720" w:after="240"/>
      <w:jc w:val="center"/>
    </w:p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7F2268"/>
    <w:pPr>
      <w:ind w:left="720"/>
      <w:contextualSpacing/>
    </w:pPr>
  </w:style>
  <w:style w:type="paragraph" w:customStyle="1" w:styleId="Point1">
    <w:name w:val="Point 1"/>
    <w:basedOn w:val="Normal"/>
    <w:rsid w:val="007F226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character" w:customStyle="1" w:styleId="Marker0000000000000000000000000">
    <w:name w:val="Marker0000000000000000000000000"/>
    <w:basedOn w:val="DefaultParagraphFont"/>
    <w:rsid w:val="007F2268"/>
    <w:rPr>
      <w:color w:val="0000FF"/>
    </w:rPr>
  </w:style>
  <w:style w:type="paragraph" w:customStyle="1" w:styleId="ManualNumPar1">
    <w:name w:val="Manual NumPar 1"/>
    <w:basedOn w:val="Normal"/>
    <w:next w:val="Normal"/>
    <w:rsid w:val="007F226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7F2268"/>
    <w:pPr>
      <w:spacing w:after="240"/>
    </w:pPr>
  </w:style>
  <w:style w:type="paragraph" w:customStyle="1" w:styleId="LetterSalutation">
    <w:name w:val="LetterSalutation"/>
    <w:basedOn w:val="Normal"/>
    <w:rsid w:val="007F2268"/>
    <w:pPr>
      <w:spacing w:before="600" w:after="360"/>
    </w:pPr>
  </w:style>
  <w:style w:type="paragraph" w:customStyle="1" w:styleId="LetterSubject">
    <w:name w:val="LetterSubject"/>
    <w:basedOn w:val="Normal"/>
    <w:rsid w:val="007F2268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7F2268"/>
    <w:pPr>
      <w:spacing w:before="1320"/>
    </w:pPr>
  </w:style>
  <w:style w:type="paragraph" w:customStyle="1" w:styleId="ManualConsidrant">
    <w:name w:val="Manual Considérant"/>
    <w:basedOn w:val="Normal"/>
    <w:rsid w:val="007F226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7F2268"/>
    <w:pPr>
      <w:spacing w:after="480"/>
    </w:pPr>
  </w:style>
  <w:style w:type="paragraph" w:customStyle="1" w:styleId="LetterSignature">
    <w:name w:val="LetterSignature"/>
    <w:basedOn w:val="Normal"/>
    <w:next w:val="Normal"/>
    <w:rsid w:val="007F2268"/>
    <w:pPr>
      <w:spacing w:before="1320"/>
    </w:pPr>
  </w:style>
  <w:style w:type="character" w:customStyle="1" w:styleId="Normal24aChar">
    <w:name w:val="Normal24a Char"/>
    <w:basedOn w:val="DefaultParagraphFont"/>
    <w:link w:val="Normal24a"/>
    <w:rsid w:val="007F2268"/>
    <w:rPr>
      <w:sz w:val="24"/>
      <w:lang w:val="mt-MT"/>
    </w:rPr>
  </w:style>
  <w:style w:type="paragraph" w:customStyle="1" w:styleId="Normal12">
    <w:name w:val="Normal12"/>
    <w:basedOn w:val="Normal"/>
    <w:link w:val="Normal12Char"/>
    <w:rsid w:val="007F2268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7F2268"/>
    <w:rPr>
      <w:rFonts w:ascii="Arial" w:hAnsi="Arial" w:cs="Arial"/>
      <w:b/>
      <w:sz w:val="24"/>
      <w:lang w:val="mt-MT"/>
    </w:rPr>
  </w:style>
  <w:style w:type="character" w:customStyle="1" w:styleId="Normal12Char">
    <w:name w:val="Normal12 Char"/>
    <w:basedOn w:val="PageHeadingChar"/>
    <w:link w:val="Normal12"/>
    <w:rsid w:val="007F2268"/>
    <w:rPr>
      <w:rFonts w:ascii="Arial" w:hAnsi="Arial" w:cs="Arial"/>
      <w:b w:val="0"/>
      <w:sz w:val="24"/>
      <w:lang w:val="mt-MT"/>
    </w:rPr>
  </w:style>
  <w:style w:type="paragraph" w:customStyle="1" w:styleId="RollCallVotes">
    <w:name w:val="RollCallVotes"/>
    <w:basedOn w:val="Normal"/>
    <w:rsid w:val="007F226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F226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F226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F2268"/>
    <w:pPr>
      <w:spacing w:before="120" w:after="120"/>
    </w:pPr>
    <w:rPr>
      <w:snapToGrid w:val="0"/>
      <w:sz w:val="16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F2A7C"/>
  </w:style>
  <w:style w:type="paragraph" w:customStyle="1" w:styleId="TOC41">
    <w:name w:val="TOC 4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F2A7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F2A7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F2A7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EF2A7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EF2A7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F2A7C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EF2A7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F2A7C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EF2A7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F2A7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F2A7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F2A7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F2A7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F2A7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F2A7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F2A7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F2A7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F2A7C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F2A7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F2A7C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F2A7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F2A7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F2A7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F2A7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F2A7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F2A7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F2A7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F2A7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F2A7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F2A7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F2A7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F2A7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F2A7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F2A7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F2A7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F2A7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F2A7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F2A7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F2A7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F2A7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F2A7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F2A7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F2A7C"/>
    <w:pPr>
      <w:widowControl/>
      <w:numPr>
        <w:numId w:val="11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F2A7C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F2A7C"/>
    <w:pPr>
      <w:widowControl/>
      <w:numPr>
        <w:numId w:val="13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F2A7C"/>
    <w:pPr>
      <w:widowControl/>
      <w:numPr>
        <w:numId w:val="14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F2A7C"/>
    <w:pPr>
      <w:widowControl/>
      <w:numPr>
        <w:numId w:val="15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F2A7C"/>
    <w:pPr>
      <w:widowControl/>
      <w:numPr>
        <w:numId w:val="16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F2A7C"/>
    <w:pPr>
      <w:widowControl/>
      <w:numPr>
        <w:numId w:val="17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F2A7C"/>
    <w:pPr>
      <w:widowControl/>
      <w:numPr>
        <w:numId w:val="18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F2A7C"/>
    <w:pPr>
      <w:widowControl/>
      <w:numPr>
        <w:numId w:val="19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F2A7C"/>
    <w:pPr>
      <w:widowControl/>
      <w:numPr>
        <w:numId w:val="20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F2A7C"/>
    <w:pPr>
      <w:widowControl/>
      <w:numPr>
        <w:ilvl w:val="1"/>
        <w:numId w:val="20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F2A7C"/>
    <w:pPr>
      <w:widowControl/>
      <w:numPr>
        <w:ilvl w:val="2"/>
        <w:numId w:val="20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F2A7C"/>
    <w:pPr>
      <w:widowControl/>
      <w:numPr>
        <w:ilvl w:val="3"/>
        <w:numId w:val="20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F2A7C"/>
    <w:pPr>
      <w:widowControl/>
      <w:numPr>
        <w:ilvl w:val="4"/>
        <w:numId w:val="20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F2A7C"/>
    <w:pPr>
      <w:widowControl/>
      <w:numPr>
        <w:ilvl w:val="5"/>
        <w:numId w:val="20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F2A7C"/>
    <w:pPr>
      <w:widowControl/>
      <w:numPr>
        <w:ilvl w:val="6"/>
        <w:numId w:val="20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F2A7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F2A7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F2A7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F2A7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F2A7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F2A7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F2A7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F2A7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F2A7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F2A7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F2A7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F2A7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F2A7C"/>
    <w:pPr>
      <w:widowControl/>
      <w:tabs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F2A7C"/>
    <w:pPr>
      <w:widowControl/>
      <w:numPr>
        <w:ilvl w:val="2"/>
        <w:numId w:val="21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F2A7C"/>
    <w:pPr>
      <w:widowControl/>
      <w:numPr>
        <w:ilvl w:val="4"/>
        <w:numId w:val="21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F2A7C"/>
    <w:pPr>
      <w:widowControl/>
      <w:numPr>
        <w:ilvl w:val="6"/>
        <w:numId w:val="21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F2A7C"/>
    <w:pPr>
      <w:widowControl/>
      <w:numPr>
        <w:ilvl w:val="1"/>
        <w:numId w:val="21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F2A7C"/>
    <w:pPr>
      <w:widowControl/>
      <w:numPr>
        <w:ilvl w:val="3"/>
        <w:numId w:val="21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F2A7C"/>
    <w:pPr>
      <w:widowControl/>
      <w:numPr>
        <w:ilvl w:val="5"/>
        <w:numId w:val="21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F2A7C"/>
    <w:pPr>
      <w:widowControl/>
      <w:numPr>
        <w:ilvl w:val="7"/>
        <w:numId w:val="21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F2A7C"/>
    <w:pPr>
      <w:widowControl/>
      <w:numPr>
        <w:ilvl w:val="8"/>
        <w:numId w:val="21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F2A7C"/>
    <w:pPr>
      <w:widowControl/>
      <w:numPr>
        <w:numId w:val="22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F2A7C"/>
    <w:pPr>
      <w:widowControl/>
      <w:numPr>
        <w:numId w:val="23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F2A7C"/>
    <w:pPr>
      <w:widowControl/>
      <w:numPr>
        <w:numId w:val="24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F2A7C"/>
    <w:pPr>
      <w:widowControl/>
      <w:numPr>
        <w:numId w:val="25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F2A7C"/>
    <w:pPr>
      <w:widowControl/>
      <w:numPr>
        <w:numId w:val="26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F2A7C"/>
    <w:pPr>
      <w:widowControl/>
      <w:numPr>
        <w:numId w:val="27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F2A7C"/>
    <w:pPr>
      <w:widowControl/>
      <w:numPr>
        <w:numId w:val="28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F2A7C"/>
    <w:pPr>
      <w:widowControl/>
      <w:numPr>
        <w:numId w:val="29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F2A7C"/>
    <w:pPr>
      <w:widowControl/>
      <w:numPr>
        <w:numId w:val="30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F2A7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F2A7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F2A7C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EF2A7C"/>
    <w:pPr>
      <w:widowControl/>
      <w:numPr>
        <w:numId w:val="31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F2A7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F2A7C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F2A7C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F2A7C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F2A7C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F2A7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F2A7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F2A7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F2A7C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EF2A7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F2A7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F2A7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F2A7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F2A7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F2A7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F2A7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F2A7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EF2A7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F2A7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F2A7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F2A7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F2A7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F2A7C"/>
    <w:pPr>
      <w:spacing w:before="240"/>
    </w:pPr>
  </w:style>
  <w:style w:type="paragraph" w:customStyle="1" w:styleId="Accordtitre">
    <w:name w:val="Accord titre"/>
    <w:basedOn w:val="Normal"/>
    <w:rsid w:val="00EF2A7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F2A7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F2A7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F2A7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F2A7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F2A7C"/>
    <w:pPr>
      <w:spacing w:after="240"/>
    </w:pPr>
  </w:style>
  <w:style w:type="paragraph" w:customStyle="1" w:styleId="Annexetitre">
    <w:name w:val="Annexe titre"/>
    <w:basedOn w:val="Normal"/>
    <w:next w:val="Normal"/>
    <w:rsid w:val="00EF2A7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F2A7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F2A7C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EF2A7C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EF2A7C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F2A7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F2A7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F2A7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F2A7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F2A7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F2A7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F2A7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F2A7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F2A7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F2A7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F2A7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F2A7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F2A7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F2A7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F2A7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F2A7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F2A7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F2A7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F2A7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F2A7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F2A7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F2A7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F2A7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F2A7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F2A7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F2A7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EF2A7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F2A7C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F2A7C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EF2A7C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F2A7C"/>
    <w:rPr>
      <w:color w:val="808080"/>
    </w:rPr>
  </w:style>
  <w:style w:type="paragraph" w:customStyle="1" w:styleId="NormalJustified">
    <w:name w:val="Normal Justified"/>
    <w:basedOn w:val="Normal"/>
    <w:rsid w:val="00EF2A7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F2A7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F2A7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EF2A7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EF2A7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EF2A7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EF2A7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EF2A7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EF2A7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EF2A7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EF2A7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EF2A7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EF2A7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EF2A7C"/>
    <w:pPr>
      <w:widowControl/>
      <w:numPr>
        <w:ilvl w:val="1"/>
        <w:numId w:val="43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EF2A7C"/>
    <w:pPr>
      <w:widowControl/>
      <w:numPr>
        <w:ilvl w:val="3"/>
        <w:numId w:val="43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EF2A7C"/>
    <w:pPr>
      <w:widowControl/>
      <w:numPr>
        <w:ilvl w:val="5"/>
        <w:numId w:val="43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EF2A7C"/>
    <w:pPr>
      <w:widowControl/>
      <w:numPr>
        <w:ilvl w:val="7"/>
        <w:numId w:val="43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EF2A7C"/>
    <w:pPr>
      <w:widowControl/>
      <w:numPr>
        <w:ilvl w:val="8"/>
        <w:numId w:val="43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EF2A7C"/>
    <w:pPr>
      <w:widowControl/>
      <w:numPr>
        <w:numId w:val="43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EF2A7C"/>
    <w:pPr>
      <w:widowControl/>
      <w:numPr>
        <w:ilvl w:val="2"/>
        <w:numId w:val="43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EF2A7C"/>
    <w:pPr>
      <w:widowControl/>
      <w:numPr>
        <w:ilvl w:val="4"/>
        <w:numId w:val="43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EF2A7C"/>
    <w:pPr>
      <w:widowControl/>
      <w:numPr>
        <w:ilvl w:val="6"/>
        <w:numId w:val="43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EF2A7C"/>
    <w:pPr>
      <w:widowControl/>
      <w:numPr>
        <w:numId w:val="44"/>
      </w:numPr>
      <w:tabs>
        <w:tab w:val="clear" w:pos="56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EF2A7C"/>
    <w:pPr>
      <w:widowControl/>
      <w:numPr>
        <w:ilvl w:val="1"/>
        <w:numId w:val="44"/>
      </w:numPr>
      <w:tabs>
        <w:tab w:val="clear" w:pos="1134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EF2A7C"/>
    <w:pPr>
      <w:widowControl/>
      <w:numPr>
        <w:ilvl w:val="2"/>
        <w:numId w:val="44"/>
      </w:numPr>
      <w:tabs>
        <w:tab w:val="clear" w:pos="1701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EF2A7C"/>
    <w:pPr>
      <w:widowControl/>
      <w:numPr>
        <w:ilvl w:val="3"/>
        <w:numId w:val="44"/>
      </w:numPr>
      <w:tabs>
        <w:tab w:val="clear" w:pos="2268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EF2A7C"/>
    <w:pPr>
      <w:widowControl/>
      <w:numPr>
        <w:ilvl w:val="4"/>
        <w:numId w:val="44"/>
      </w:numPr>
      <w:tabs>
        <w:tab w:val="clear" w:pos="2835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EF2A7C"/>
    <w:pPr>
      <w:widowControl/>
      <w:numPr>
        <w:numId w:val="42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EF2A7C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EF2A7C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EF2A7C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EF2A7C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EF2A7C"/>
    <w:pPr>
      <w:widowControl/>
      <w:numPr>
        <w:numId w:val="3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EF2A7C"/>
    <w:pPr>
      <w:numPr>
        <w:numId w:val="37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EF2A7C"/>
    <w:pPr>
      <w:numPr>
        <w:numId w:val="38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EF2A7C"/>
    <w:pPr>
      <w:numPr>
        <w:numId w:val="39"/>
      </w:numPr>
      <w:tabs>
        <w:tab w:val="clear" w:pos="1701"/>
        <w:tab w:val="num" w:pos="1492"/>
      </w:tabs>
      <w:ind w:left="1492" w:hanging="360"/>
    </w:pPr>
  </w:style>
  <w:style w:type="paragraph" w:customStyle="1" w:styleId="DashEqual3">
    <w:name w:val="Dash Equal 3"/>
    <w:basedOn w:val="Dash3"/>
    <w:rsid w:val="00EF2A7C"/>
    <w:pPr>
      <w:numPr>
        <w:numId w:val="40"/>
      </w:numPr>
      <w:tabs>
        <w:tab w:val="clear" w:pos="2268"/>
        <w:tab w:val="num" w:pos="360"/>
      </w:tabs>
      <w:ind w:left="360" w:hanging="360"/>
    </w:pPr>
  </w:style>
  <w:style w:type="paragraph" w:customStyle="1" w:styleId="DashEqual4">
    <w:name w:val="Dash Equal 4"/>
    <w:basedOn w:val="Dash4"/>
    <w:rsid w:val="00EF2A7C"/>
    <w:pPr>
      <w:numPr>
        <w:numId w:val="41"/>
      </w:numPr>
      <w:tabs>
        <w:tab w:val="clear" w:pos="2835"/>
        <w:tab w:val="num" w:pos="643"/>
      </w:tabs>
      <w:ind w:left="643" w:hanging="360"/>
    </w:pPr>
  </w:style>
  <w:style w:type="paragraph" w:customStyle="1" w:styleId="HeadingLeft">
    <w:name w:val="Heading Left"/>
    <w:basedOn w:val="Normal"/>
    <w:next w:val="Normal"/>
    <w:rsid w:val="00EF2A7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F2A7C"/>
    <w:pPr>
      <w:numPr>
        <w:numId w:val="47"/>
      </w:numPr>
      <w:tabs>
        <w:tab w:val="clear" w:pos="567"/>
        <w:tab w:val="num" w:pos="926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EF2A7C"/>
    <w:pPr>
      <w:numPr>
        <w:numId w:val="46"/>
      </w:numPr>
      <w:tabs>
        <w:tab w:val="clear" w:pos="567"/>
        <w:tab w:val="num" w:pos="643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EF2A7C"/>
    <w:pPr>
      <w:numPr>
        <w:numId w:val="45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EF2A7C"/>
  </w:style>
  <w:style w:type="paragraph" w:customStyle="1" w:styleId="Jardin">
    <w:name w:val="Jardin"/>
    <w:basedOn w:val="Normal"/>
    <w:rsid w:val="00EF2A7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EF2A7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F2A7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EF2A7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F2A7C"/>
  </w:style>
  <w:style w:type="paragraph" w:customStyle="1" w:styleId="Annex">
    <w:name w:val="Annex"/>
    <w:basedOn w:val="Normal"/>
    <w:next w:val="Normal"/>
    <w:rsid w:val="00EF2A7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F2A7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F2A7C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F2A7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F2A7C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Lignefin">
    <w:name w:val="Ligne fin"/>
    <w:basedOn w:val="Normal"/>
    <w:rsid w:val="00EF2A7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EF2A7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mt-MT" w:eastAsia="en-US"/>
    </w:rPr>
  </w:style>
  <w:style w:type="paragraph" w:customStyle="1" w:styleId="ListBullet10">
    <w:name w:val="List Bullet1"/>
    <w:basedOn w:val="Normal"/>
    <w:next w:val="ListBullet"/>
    <w:unhideWhenUsed/>
    <w:rsid w:val="00EF2A7C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EF2A7C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EF2A7C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EF2A7C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EF2A7C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EF2A7C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EF2A7C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UnresolvedMention1">
    <w:name w:val="Unresolved Mention1"/>
    <w:basedOn w:val="DefaultParagraphFont"/>
    <w:uiPriority w:val="99"/>
    <w:unhideWhenUsed/>
    <w:rsid w:val="00EF2A7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F2A7C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2A7C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EF2A7C"/>
    <w:rPr>
      <w:sz w:val="24"/>
      <w:lang w:val="mt-MT"/>
    </w:rPr>
  </w:style>
  <w:style w:type="character" w:styleId="Hyperlink">
    <w:name w:val="Hyperlink"/>
    <w:basedOn w:val="DefaultParagraphFont"/>
    <w:uiPriority w:val="99"/>
    <w:unhideWhenUsed/>
    <w:rsid w:val="00EF2A7C"/>
    <w:rPr>
      <w:color w:val="0000FF"/>
      <w:u w:val="single"/>
    </w:rPr>
  </w:style>
  <w:style w:type="character" w:customStyle="1" w:styleId="FollowedHyperlink1">
    <w:name w:val="FollowedHyperlink1"/>
    <w:basedOn w:val="DefaultParagraphFont"/>
    <w:unhideWhenUsed/>
    <w:rsid w:val="00EF2A7C"/>
    <w:rPr>
      <w:color w:val="954F72"/>
      <w:u w:val="single"/>
    </w:rPr>
  </w:style>
  <w:style w:type="paragraph" w:customStyle="1" w:styleId="paragraph">
    <w:name w:val="paragraph"/>
    <w:basedOn w:val="Normal"/>
    <w:rsid w:val="00EF2A7C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EF2A7C"/>
  </w:style>
  <w:style w:type="character" w:customStyle="1" w:styleId="eop">
    <w:name w:val="eop"/>
    <w:basedOn w:val="DefaultParagraphFont"/>
    <w:rsid w:val="00EF2A7C"/>
  </w:style>
  <w:style w:type="character" w:styleId="Emphasis">
    <w:name w:val="Emphasis"/>
    <w:basedOn w:val="DefaultParagraphFont"/>
    <w:uiPriority w:val="20"/>
    <w:qFormat/>
    <w:rsid w:val="00EF2A7C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EF2A7C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EF2A7C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EF2A7C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EF2A7C"/>
    <w:rPr>
      <w:rFonts w:eastAsia="Calibri"/>
      <w:sz w:val="24"/>
      <w:szCs w:val="22"/>
      <w:lang w:val="mt-MT" w:eastAsia="en-US"/>
    </w:rPr>
  </w:style>
  <w:style w:type="character" w:customStyle="1" w:styleId="FooterSensitivityChar">
    <w:name w:val="Footer Sensitivity Char"/>
    <w:basedOn w:val="DefaultParagraphFont"/>
    <w:rsid w:val="00EF2A7C"/>
    <w:rPr>
      <w:rFonts w:ascii="Times New Roman" w:hAnsi="Times New Roman" w:cs="Times New Roman"/>
      <w:b/>
      <w:sz w:val="32"/>
      <w:lang w:val="mt-MT"/>
    </w:rPr>
  </w:style>
  <w:style w:type="paragraph" w:customStyle="1" w:styleId="HeaderCoverPage">
    <w:name w:val="Header Cover Page"/>
    <w:basedOn w:val="Normal"/>
    <w:link w:val="HeaderCoverPageChar"/>
    <w:rsid w:val="00EF2A7C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EF2A7C"/>
    <w:rPr>
      <w:rFonts w:eastAsia="Calibri"/>
      <w:sz w:val="24"/>
      <w:szCs w:val="22"/>
      <w:lang w:val="mt-MT" w:eastAsia="en-US"/>
    </w:rPr>
  </w:style>
  <w:style w:type="character" w:customStyle="1" w:styleId="HeaderSensitivityChar">
    <w:name w:val="Header Sensitivity Char"/>
    <w:basedOn w:val="DefaultParagraphFont"/>
    <w:rsid w:val="00EF2A7C"/>
    <w:rPr>
      <w:rFonts w:ascii="Times New Roman" w:hAnsi="Times New Roman" w:cs="Times New Roman"/>
      <w:b/>
      <w:sz w:val="32"/>
      <w:lang w:val="mt-MT"/>
    </w:rPr>
  </w:style>
  <w:style w:type="character" w:customStyle="1" w:styleId="HeaderSensitivityRightChar">
    <w:name w:val="Header Sensitivity Right Char"/>
    <w:basedOn w:val="DefaultParagraphFont"/>
    <w:rsid w:val="00EF2A7C"/>
    <w:rPr>
      <w:rFonts w:ascii="Times New Roman" w:hAnsi="Times New Roman" w:cs="Times New Roman"/>
      <w:sz w:val="28"/>
      <w:lang w:val="mt-MT"/>
    </w:rPr>
  </w:style>
  <w:style w:type="paragraph" w:customStyle="1" w:styleId="ListBullet1">
    <w:name w:val="List Bullet 1"/>
    <w:basedOn w:val="Normal"/>
    <w:rsid w:val="00EF2A7C"/>
    <w:pPr>
      <w:widowControl/>
      <w:numPr>
        <w:numId w:val="48"/>
      </w:numPr>
      <w:tabs>
        <w:tab w:val="clear" w:pos="1134"/>
        <w:tab w:val="num" w:pos="360"/>
      </w:tabs>
      <w:spacing w:before="120" w:after="120"/>
      <w:ind w:left="360" w:hanging="36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EF2A7C"/>
    <w:pPr>
      <w:widowControl/>
      <w:numPr>
        <w:numId w:val="49"/>
      </w:numPr>
      <w:tabs>
        <w:tab w:val="clear" w:pos="283"/>
        <w:tab w:val="num" w:pos="360"/>
      </w:tabs>
      <w:spacing w:before="120" w:after="120"/>
      <w:ind w:left="360" w:hanging="36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EF2A7C"/>
    <w:pPr>
      <w:widowControl/>
      <w:numPr>
        <w:numId w:val="50"/>
      </w:numPr>
      <w:tabs>
        <w:tab w:val="clear" w:pos="1134"/>
        <w:tab w:val="num" w:pos="709"/>
      </w:tabs>
      <w:spacing w:before="120" w:after="120"/>
      <w:ind w:left="709" w:hanging="709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EF2A7C"/>
    <w:pPr>
      <w:widowControl/>
      <w:numPr>
        <w:numId w:val="51"/>
      </w:numPr>
      <w:tabs>
        <w:tab w:val="clear" w:pos="1134"/>
        <w:tab w:val="num" w:pos="709"/>
      </w:tabs>
      <w:spacing w:before="120" w:after="120"/>
      <w:ind w:left="709" w:hanging="709"/>
      <w:jc w:val="both"/>
    </w:pPr>
    <w:rPr>
      <w:rFonts w:eastAsia="Calibri"/>
      <w:szCs w:val="22"/>
    </w:rPr>
  </w:style>
  <w:style w:type="paragraph" w:customStyle="1" w:styleId="Caption1">
    <w:name w:val="Caption1"/>
    <w:basedOn w:val="Normal"/>
    <w:next w:val="Normal"/>
    <w:qFormat/>
    <w:rsid w:val="00EF2A7C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customStyle="1" w:styleId="TableofFigures1">
    <w:name w:val="Table of Figures1"/>
    <w:basedOn w:val="Normal"/>
    <w:next w:val="Normal"/>
    <w:rsid w:val="00EF2A7C"/>
    <w:pPr>
      <w:widowControl/>
      <w:spacing w:before="120" w:after="120"/>
      <w:jc w:val="both"/>
    </w:pPr>
    <w:rPr>
      <w:rFonts w:eastAsia="Calibri"/>
      <w:szCs w:val="22"/>
    </w:rPr>
  </w:style>
  <w:style w:type="paragraph" w:customStyle="1" w:styleId="ListNumber21">
    <w:name w:val="List Number 21"/>
    <w:basedOn w:val="Normal"/>
    <w:next w:val="ListNumber2"/>
    <w:rsid w:val="00EF2A7C"/>
    <w:pPr>
      <w:widowControl/>
      <w:spacing w:before="120" w:after="120"/>
      <w:ind w:left="1080" w:hanging="720"/>
      <w:contextualSpacing/>
      <w:jc w:val="both"/>
    </w:pPr>
    <w:rPr>
      <w:rFonts w:eastAsia="Calibri"/>
      <w:szCs w:val="22"/>
    </w:rPr>
  </w:style>
  <w:style w:type="paragraph" w:customStyle="1" w:styleId="ListNumber31">
    <w:name w:val="List Number 31"/>
    <w:basedOn w:val="Normal"/>
    <w:next w:val="ListNumber3"/>
    <w:rsid w:val="00EF2A7C"/>
    <w:pPr>
      <w:widowControl/>
      <w:spacing w:before="120" w:after="120"/>
      <w:ind w:left="2215" w:hanging="360"/>
      <w:contextualSpacing/>
      <w:jc w:val="both"/>
    </w:pPr>
    <w:rPr>
      <w:rFonts w:eastAsia="Calibri"/>
      <w:szCs w:val="22"/>
    </w:rPr>
  </w:style>
  <w:style w:type="paragraph" w:customStyle="1" w:styleId="ListNumber41">
    <w:name w:val="List Number 41"/>
    <w:basedOn w:val="Normal"/>
    <w:next w:val="ListNumber4"/>
    <w:rsid w:val="00EF2A7C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rsid w:val="00EF2A7C"/>
    <w:pPr>
      <w:spacing w:line="240" w:lineRule="auto"/>
    </w:pPr>
    <w:rPr>
      <w:lang w:eastAsia="en-GB"/>
    </w:rPr>
  </w:style>
  <w:style w:type="character" w:customStyle="1" w:styleId="TOCHeadingChar">
    <w:name w:val="TOC Heading Char"/>
    <w:basedOn w:val="DefaultParagraphFont"/>
    <w:uiPriority w:val="39"/>
    <w:rsid w:val="00EF2A7C"/>
    <w:rPr>
      <w:rFonts w:ascii="Times New Roman" w:hAnsi="Times New Roman" w:cs="Times New Roman"/>
      <w:b/>
      <w:sz w:val="28"/>
      <w:lang w:val="mt-MT"/>
    </w:rPr>
  </w:style>
  <w:style w:type="character" w:customStyle="1" w:styleId="Mention2">
    <w:name w:val="Mention2"/>
    <w:basedOn w:val="DefaultParagraphFont"/>
    <w:uiPriority w:val="99"/>
    <w:unhideWhenUsed/>
    <w:rsid w:val="00EF2A7C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2A7C"/>
    <w:rPr>
      <w:color w:val="605E5C"/>
      <w:shd w:val="clear" w:color="auto" w:fill="E1DFDD"/>
    </w:rPr>
  </w:style>
  <w:style w:type="paragraph" w:customStyle="1" w:styleId="HeaderSensitivity">
    <w:name w:val="Header Sensitivity"/>
    <w:basedOn w:val="Normal"/>
    <w:rsid w:val="00EF2A7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F2A7C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F2A7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EF2A7C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EF2A7C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F2A7C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F2A7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F2A7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F2A7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F2A7C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EF2A7C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EF2A7C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EF2A7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F2A7C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F2A7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F2A7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EF2A7C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F2A7C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F2A7C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F2A7C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F2A7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F2A7C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F2A7C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EF2A7C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F2A7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F2A7C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F2A7C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F2A7C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EF2A7C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F2A7C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F2A7C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F2A7C"/>
  </w:style>
  <w:style w:type="paragraph" w:customStyle="1" w:styleId="StatutPagedecouverture">
    <w:name w:val="Statut (Page de couverture)"/>
    <w:basedOn w:val="Statut"/>
    <w:next w:val="TypedudocumentPagedecouverture"/>
    <w:rsid w:val="00EF2A7C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EF2A7C"/>
    <w:pPr>
      <w:spacing w:line="24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EF2A7C"/>
    <w:pPr>
      <w:spacing w:line="240" w:lineRule="auto"/>
    </w:pPr>
  </w:style>
  <w:style w:type="paragraph" w:customStyle="1" w:styleId="Volume">
    <w:name w:val="Volume"/>
    <w:basedOn w:val="Normal"/>
    <w:next w:val="Confidentialit"/>
    <w:rsid w:val="00EF2A7C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EF2A7C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F2A7C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F2A7C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F2A7C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EF2A7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F2A7C"/>
  </w:style>
  <w:style w:type="paragraph" w:customStyle="1" w:styleId="ObjetacteprincipalPagedecouverture">
    <w:name w:val="Objet acte principal (Page de couverture)"/>
    <w:basedOn w:val="Objetacteprincipal"/>
    <w:next w:val="Rfrencecroise"/>
    <w:rsid w:val="00EF2A7C"/>
  </w:style>
  <w:style w:type="paragraph" w:customStyle="1" w:styleId="LanguesfaisantfoiPagedecouverture">
    <w:name w:val="Langues faisant foi (Page de couverture)"/>
    <w:basedOn w:val="Normal"/>
    <w:next w:val="Normal"/>
    <w:rsid w:val="00EF2A7C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EF2A7C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EF2A7C"/>
    <w:rPr>
      <w:rFonts w:eastAsia="Calibri"/>
      <w:sz w:val="24"/>
      <w:szCs w:val="22"/>
      <w:lang w:val="mt-MT" w:eastAsia="en-US"/>
    </w:rPr>
  </w:style>
  <w:style w:type="paragraph" w:customStyle="1" w:styleId="nbbordered">
    <w:name w:val="nb bordered"/>
    <w:basedOn w:val="Normal"/>
    <w:link w:val="nbborderedChar"/>
    <w:rsid w:val="00EF2A7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EF2A7C"/>
    <w:rPr>
      <w:rFonts w:eastAsia="Calibri"/>
      <w:b/>
      <w:sz w:val="24"/>
      <w:szCs w:val="22"/>
      <w:lang w:val="mt-MT" w:eastAsia="en-US"/>
    </w:rPr>
  </w:style>
  <w:style w:type="character" w:customStyle="1" w:styleId="HeaderCouncilChar">
    <w:name w:val="Header Council Char"/>
    <w:basedOn w:val="DefaultParagraphFont"/>
    <w:link w:val="HeaderCouncil"/>
    <w:rsid w:val="00EF2A7C"/>
    <w:rPr>
      <w:rFonts w:eastAsia="Calibri"/>
      <w:sz w:val="2"/>
      <w:szCs w:val="22"/>
      <w:lang w:val="mt-MT" w:eastAsia="en-US"/>
    </w:rPr>
  </w:style>
  <w:style w:type="character" w:customStyle="1" w:styleId="FooterCouncilChar">
    <w:name w:val="Footer Council Char"/>
    <w:basedOn w:val="DefaultParagraphFont"/>
    <w:link w:val="FooterCouncil"/>
    <w:rsid w:val="00EF2A7C"/>
    <w:rPr>
      <w:rFonts w:eastAsia="Calibri"/>
      <w:sz w:val="2"/>
      <w:szCs w:val="22"/>
      <w:lang w:val="mt-MT" w:eastAsia="en-US"/>
    </w:rPr>
  </w:style>
  <w:style w:type="paragraph" w:customStyle="1" w:styleId="ListDash3">
    <w:name w:val="List Dash 3"/>
    <w:basedOn w:val="Normal"/>
    <w:rsid w:val="00EF2A7C"/>
    <w:pPr>
      <w:widowControl/>
      <w:numPr>
        <w:numId w:val="52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EF2A7C"/>
    <w:pPr>
      <w:widowControl/>
      <w:numPr>
        <w:numId w:val="53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EF2A7C"/>
    <w:pPr>
      <w:numPr>
        <w:numId w:val="54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EF2A7C"/>
    <w:pPr>
      <w:numPr>
        <w:ilvl w:val="1"/>
        <w:numId w:val="54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EF2A7C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EF2A7C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EF2A7C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EF2A7C"/>
    <w:pPr>
      <w:numPr>
        <w:ilvl w:val="2"/>
        <w:numId w:val="54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EF2A7C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EF2A7C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EF2A7C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EF2A7C"/>
    <w:pPr>
      <w:numPr>
        <w:ilvl w:val="3"/>
        <w:numId w:val="54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EF2A7C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EF2A7C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EF2A7C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EF2A7C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EF2A7C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EF2A7C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EF2A7C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EF2A7C"/>
    <w:pPr>
      <w:widowControl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EF2A7C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EF2A7C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EF2A7C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EF2A7C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EF2A7C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EF2A7C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EF2A7C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EF2A7C"/>
    <w:rPr>
      <w:color w:val="0000FF"/>
    </w:rPr>
  </w:style>
  <w:style w:type="character" w:customStyle="1" w:styleId="Marker00">
    <w:name w:val="Marker0"/>
    <w:basedOn w:val="DefaultParagraphFont"/>
    <w:rsid w:val="00EF2A7C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EF2A7C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EF2A7C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EF2A7C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EF2A7C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EF2A7C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EF2A7C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EF2A7C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EF2A7C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EF2A7C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EF2A7C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EF2A7C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EF2A7C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EF2A7C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EF2A7C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EF2A7C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EF2A7C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EF2A7C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EF2A7C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EF2A7C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EF2A7C"/>
  </w:style>
  <w:style w:type="paragraph" w:customStyle="1" w:styleId="xoj-normal">
    <w:name w:val="x_oj-normal"/>
    <w:basedOn w:val="Normal"/>
    <w:rsid w:val="00EF2A7C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EF2A7C"/>
  </w:style>
  <w:style w:type="character" w:customStyle="1" w:styleId="cf01">
    <w:name w:val="cf01"/>
    <w:basedOn w:val="DefaultParagraphFont"/>
    <w:rsid w:val="00EF2A7C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EF2A7C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2A7C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EF2A7C"/>
  </w:style>
  <w:style w:type="character" w:customStyle="1" w:styleId="highlight">
    <w:name w:val="highlight"/>
    <w:basedOn w:val="DefaultParagraphFont"/>
    <w:rsid w:val="00EF2A7C"/>
  </w:style>
  <w:style w:type="paragraph" w:customStyle="1" w:styleId="manualconsidrant0">
    <w:name w:val="manual considérant"/>
    <w:basedOn w:val="Normal"/>
    <w:uiPriority w:val="99"/>
    <w:rsid w:val="00EF2A7C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EF2A7C"/>
  </w:style>
  <w:style w:type="paragraph" w:customStyle="1" w:styleId="SignaturePersonne">
    <w:name w:val="Signature Personne"/>
    <w:basedOn w:val="Normal"/>
    <w:rsid w:val="00EF2A7C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EF2A7C"/>
    <w:pPr>
      <w:keepLines/>
      <w:widowControl w:val="0"/>
      <w:ind w:left="850" w:hanging="850"/>
    </w:pPr>
    <w:rPr>
      <w:sz w:val="24"/>
      <w:lang w:val="mt-MT" w:eastAsia="en-US"/>
    </w:rPr>
  </w:style>
  <w:style w:type="character" w:customStyle="1" w:styleId="Footer2">
    <w:name w:val="Footer2"/>
    <w:rsid w:val="00EF2A7C"/>
    <w:rPr>
      <w:rFonts w:ascii="Arial" w:hAnsi="Arial"/>
      <w:b/>
      <w:sz w:val="48"/>
    </w:rPr>
  </w:style>
  <w:style w:type="paragraph" w:customStyle="1" w:styleId="Normale">
    <w:name w:val="Normale"/>
    <w:rsid w:val="00EF2A7C"/>
    <w:pPr>
      <w:widowControl w:val="0"/>
      <w:spacing w:before="120" w:after="120" w:line="360" w:lineRule="auto"/>
    </w:pPr>
    <w:rPr>
      <w:sz w:val="24"/>
      <w:lang w:val="mt-MT" w:eastAsia="en-US"/>
    </w:rPr>
  </w:style>
  <w:style w:type="paragraph" w:customStyle="1" w:styleId="Footer1">
    <w:name w:val="Footer1"/>
    <w:basedOn w:val="Normal"/>
    <w:rsid w:val="00EF2A7C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F2A7C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EF2A7C"/>
    <w:rPr>
      <w:sz w:val="24"/>
      <w:szCs w:val="24"/>
    </w:rPr>
  </w:style>
  <w:style w:type="paragraph" w:styleId="EndnoteText">
    <w:name w:val="endnote text"/>
    <w:basedOn w:val="Normal"/>
    <w:link w:val="EndnoteTextChar1"/>
    <w:rsid w:val="00EF2A7C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F2A7C"/>
    <w:rPr>
      <w:lang w:val="mt-MT"/>
    </w:rPr>
  </w:style>
  <w:style w:type="paragraph" w:styleId="ListBullet">
    <w:name w:val="List Bullet"/>
    <w:basedOn w:val="Normal"/>
    <w:rsid w:val="00EF2A7C"/>
    <w:pPr>
      <w:numPr>
        <w:numId w:val="1"/>
      </w:numPr>
      <w:contextualSpacing/>
    </w:pPr>
  </w:style>
  <w:style w:type="paragraph" w:styleId="ListBullet2">
    <w:name w:val="List Bullet 2"/>
    <w:basedOn w:val="Normal"/>
    <w:rsid w:val="00EF2A7C"/>
    <w:pPr>
      <w:numPr>
        <w:numId w:val="2"/>
      </w:numPr>
      <w:contextualSpacing/>
    </w:pPr>
  </w:style>
  <w:style w:type="paragraph" w:styleId="ListBullet3">
    <w:name w:val="List Bullet 3"/>
    <w:basedOn w:val="Normal"/>
    <w:rsid w:val="00EF2A7C"/>
    <w:pPr>
      <w:numPr>
        <w:numId w:val="3"/>
      </w:numPr>
      <w:contextualSpacing/>
    </w:pPr>
  </w:style>
  <w:style w:type="paragraph" w:styleId="ListBullet4">
    <w:name w:val="List Bullet 4"/>
    <w:basedOn w:val="Normal"/>
    <w:rsid w:val="00EF2A7C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rsid w:val="00EF2A7C"/>
    <w:rPr>
      <w:color w:val="954F72" w:themeColor="followedHyperlink"/>
      <w:u w:val="single"/>
    </w:rPr>
  </w:style>
  <w:style w:type="paragraph" w:styleId="ListNumber2">
    <w:name w:val="List Number 2"/>
    <w:basedOn w:val="Normal"/>
    <w:rsid w:val="00EF2A7C"/>
    <w:pPr>
      <w:numPr>
        <w:numId w:val="5"/>
      </w:numPr>
      <w:contextualSpacing/>
    </w:pPr>
  </w:style>
  <w:style w:type="paragraph" w:styleId="ListNumber3">
    <w:name w:val="List Number 3"/>
    <w:basedOn w:val="Normal"/>
    <w:rsid w:val="00EF2A7C"/>
    <w:pPr>
      <w:numPr>
        <w:numId w:val="6"/>
      </w:numPr>
      <w:contextualSpacing/>
    </w:pPr>
  </w:style>
  <w:style w:type="paragraph" w:styleId="ListNumber4">
    <w:name w:val="List Number 4"/>
    <w:basedOn w:val="Normal"/>
    <w:rsid w:val="00EF2A7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18B18-5A76-4916-B234-836EAF3D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540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2024-05-31T09:46:00Z</dcterms:created>
  <dcterms:modified xsi:type="dcterms:W3CDTF">2024-05-31T09:46:00Z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