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D1C0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D1C0C" w:rsidRDefault="004D703C" w:rsidP="0010095E">
            <w:pPr>
              <w:pStyle w:val="EPName"/>
            </w:pPr>
            <w:r w:rsidRPr="008D1C0C">
              <w:t>Parlamento Europeu</w:t>
            </w:r>
          </w:p>
          <w:p w:rsidR="00751A4A" w:rsidRPr="008D1C0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5371A">
              <w:t>2019</w:t>
            </w:r>
            <w:r w:rsidRPr="008D1C0C">
              <w:t>-</w:t>
            </w:r>
            <w:r w:rsidRPr="0085371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D1C0C" w:rsidRDefault="00187494" w:rsidP="0010095E">
            <w:pPr>
              <w:pStyle w:val="EPLogo"/>
            </w:pPr>
            <w:r w:rsidRPr="008D1C0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D1C0C" w:rsidRDefault="00D058B8" w:rsidP="004C5D52">
      <w:pPr>
        <w:pStyle w:val="LineTop"/>
      </w:pPr>
    </w:p>
    <w:p w:rsidR="00680577" w:rsidRPr="008D1C0C" w:rsidRDefault="004D703C" w:rsidP="00680577">
      <w:pPr>
        <w:pStyle w:val="EPBodyTA1"/>
      </w:pPr>
      <w:r w:rsidRPr="008D1C0C">
        <w:t>TEXTOS APROVADOS</w:t>
      </w:r>
    </w:p>
    <w:p w:rsidR="00D058B8" w:rsidRPr="008D1C0C" w:rsidRDefault="00D058B8" w:rsidP="00D058B8">
      <w:pPr>
        <w:pStyle w:val="LineBottom"/>
      </w:pPr>
    </w:p>
    <w:p w:rsidR="004D703C" w:rsidRPr="008D1C0C" w:rsidRDefault="004D703C" w:rsidP="004D703C">
      <w:pPr>
        <w:pStyle w:val="ATHeading1"/>
      </w:pPr>
      <w:bookmarkStart w:id="0" w:name="TANumber"/>
      <w:r w:rsidRPr="008D1C0C">
        <w:t>P</w:t>
      </w:r>
      <w:r w:rsidRPr="0085371A">
        <w:t>9</w:t>
      </w:r>
      <w:r w:rsidRPr="008D1C0C">
        <w:t>_</w:t>
      </w:r>
      <w:proofErr w:type="gramStart"/>
      <w:r w:rsidRPr="008D1C0C">
        <w:t>TA(</w:t>
      </w:r>
      <w:proofErr w:type="gramEnd"/>
      <w:r w:rsidRPr="0085371A">
        <w:t>2024</w:t>
      </w:r>
      <w:r w:rsidRPr="008D1C0C">
        <w:t>)</w:t>
      </w:r>
      <w:r w:rsidRPr="0085371A">
        <w:t>00</w:t>
      </w:r>
      <w:r w:rsidR="00977481" w:rsidRPr="0085371A">
        <w:t>83</w:t>
      </w:r>
      <w:bookmarkEnd w:id="0"/>
    </w:p>
    <w:p w:rsidR="004D703C" w:rsidRPr="008D1C0C" w:rsidRDefault="004D703C" w:rsidP="004D703C">
      <w:pPr>
        <w:pStyle w:val="ATHeading2"/>
      </w:pPr>
      <w:bookmarkStart w:id="1" w:name="title"/>
      <w:r w:rsidRPr="008D1C0C">
        <w:t>Criação do Mecanismo para a Ucrânia</w:t>
      </w:r>
      <w:bookmarkEnd w:id="1"/>
    </w:p>
    <w:p w:rsidR="004D703C" w:rsidRPr="008D1C0C" w:rsidRDefault="004D703C" w:rsidP="004D703C">
      <w:pPr>
        <w:rPr>
          <w:i/>
          <w:vanish/>
        </w:rPr>
      </w:pPr>
      <w:r w:rsidRPr="008D1C0C">
        <w:rPr>
          <w:i/>
        </w:rPr>
        <w:fldChar w:fldCharType="begin"/>
      </w:r>
      <w:r w:rsidRPr="008D1C0C">
        <w:rPr>
          <w:i/>
        </w:rPr>
        <w:instrText xml:space="preserve"> TC"(</w:instrText>
      </w:r>
      <w:bookmarkStart w:id="2" w:name="DocNumber"/>
      <w:r w:rsidRPr="008D1C0C">
        <w:rPr>
          <w:i/>
        </w:rPr>
        <w:instrText>A</w:instrText>
      </w:r>
      <w:r w:rsidRPr="0085371A">
        <w:rPr>
          <w:i/>
        </w:rPr>
        <w:instrText>9</w:instrText>
      </w:r>
      <w:r w:rsidRPr="008D1C0C">
        <w:rPr>
          <w:i/>
        </w:rPr>
        <w:instrText>-</w:instrText>
      </w:r>
      <w:r w:rsidRPr="0085371A">
        <w:rPr>
          <w:i/>
        </w:rPr>
        <w:instrText>0286</w:instrText>
      </w:r>
      <w:r w:rsidRPr="008D1C0C">
        <w:rPr>
          <w:i/>
        </w:rPr>
        <w:instrText>/</w:instrText>
      </w:r>
      <w:r w:rsidRPr="0085371A">
        <w:rPr>
          <w:i/>
        </w:rPr>
        <w:instrText>2023</w:instrText>
      </w:r>
      <w:bookmarkEnd w:id="2"/>
      <w:r w:rsidRPr="008D1C0C">
        <w:rPr>
          <w:i/>
        </w:rPr>
        <w:instrText xml:space="preserve"> - Relatores: Michael </w:instrText>
      </w:r>
      <w:proofErr w:type="spellStart"/>
      <w:r w:rsidRPr="008D1C0C">
        <w:rPr>
          <w:i/>
        </w:rPr>
        <w:instrText>Gahler</w:instrText>
      </w:r>
      <w:proofErr w:type="spellEnd"/>
      <w:r w:rsidRPr="008D1C0C">
        <w:rPr>
          <w:i/>
        </w:rPr>
        <w:instrText xml:space="preserve">, </w:instrText>
      </w:r>
      <w:proofErr w:type="spellStart"/>
      <w:r w:rsidRPr="008D1C0C">
        <w:rPr>
          <w:i/>
        </w:rPr>
        <w:instrText>Eider</w:instrText>
      </w:r>
      <w:proofErr w:type="spellEnd"/>
      <w:r w:rsidRPr="008D1C0C">
        <w:rPr>
          <w:i/>
        </w:rPr>
        <w:instrText xml:space="preserve"> </w:instrText>
      </w:r>
      <w:proofErr w:type="spellStart"/>
      <w:r w:rsidRPr="008D1C0C">
        <w:rPr>
          <w:i/>
        </w:rPr>
        <w:instrText>Gardiazabal</w:instrText>
      </w:r>
      <w:proofErr w:type="spellEnd"/>
      <w:r w:rsidRPr="008D1C0C">
        <w:rPr>
          <w:i/>
        </w:rPr>
        <w:instrText xml:space="preserve"> </w:instrText>
      </w:r>
      <w:proofErr w:type="spellStart"/>
      <w:r w:rsidRPr="008D1C0C">
        <w:rPr>
          <w:i/>
        </w:rPr>
        <w:instrText>Rubial</w:instrText>
      </w:r>
      <w:proofErr w:type="spellEnd"/>
      <w:r w:rsidRPr="008D1C0C">
        <w:rPr>
          <w:i/>
        </w:rPr>
        <w:instrText>)"\l</w:instrText>
      </w:r>
      <w:r w:rsidRPr="0085371A">
        <w:rPr>
          <w:i/>
        </w:rPr>
        <w:instrText>3</w:instrText>
      </w:r>
      <w:r w:rsidRPr="008D1C0C">
        <w:rPr>
          <w:i/>
        </w:rPr>
        <w:instrText xml:space="preserve"> \n&gt; \* MERGEFORMAT </w:instrText>
      </w:r>
      <w:r w:rsidRPr="008D1C0C">
        <w:rPr>
          <w:i/>
        </w:rPr>
        <w:fldChar w:fldCharType="end"/>
      </w:r>
    </w:p>
    <w:p w:rsidR="004D703C" w:rsidRPr="008D1C0C" w:rsidRDefault="004D703C" w:rsidP="004D703C">
      <w:pPr>
        <w:rPr>
          <w:vanish/>
        </w:rPr>
      </w:pPr>
      <w:bookmarkStart w:id="3" w:name="Commission"/>
      <w:r w:rsidRPr="008D1C0C">
        <w:rPr>
          <w:vanish/>
        </w:rPr>
        <w:t>Comissão dos Assuntos Externos</w:t>
      </w:r>
      <w:bookmarkEnd w:id="3"/>
      <w:r w:rsidR="00A07B53">
        <w:rPr>
          <w:vanish/>
        </w:rPr>
        <w:t>, Comissão dos Orçamentos</w:t>
      </w:r>
    </w:p>
    <w:p w:rsidR="004D703C" w:rsidRPr="008D1C0C" w:rsidRDefault="004D703C" w:rsidP="004D703C">
      <w:pPr>
        <w:rPr>
          <w:vanish/>
        </w:rPr>
      </w:pPr>
      <w:bookmarkStart w:id="4" w:name="PE"/>
      <w:r w:rsidRPr="008D1C0C">
        <w:rPr>
          <w:vanish/>
        </w:rPr>
        <w:t>PE</w:t>
      </w:r>
      <w:r w:rsidRPr="0085371A">
        <w:rPr>
          <w:vanish/>
        </w:rPr>
        <w:t>751</w:t>
      </w:r>
      <w:r w:rsidRPr="008D1C0C">
        <w:rPr>
          <w:vanish/>
        </w:rPr>
        <w:t>.</w:t>
      </w:r>
      <w:r w:rsidRPr="0085371A">
        <w:rPr>
          <w:vanish/>
        </w:rPr>
        <w:t>825</w:t>
      </w:r>
      <w:bookmarkEnd w:id="4"/>
    </w:p>
    <w:p w:rsidR="004D703C" w:rsidRPr="008D1C0C" w:rsidRDefault="004D703C" w:rsidP="004D703C">
      <w:pPr>
        <w:pStyle w:val="ATHeading3"/>
      </w:pPr>
      <w:bookmarkStart w:id="5" w:name="Sujet"/>
      <w:r w:rsidRPr="008D1C0C">
        <w:t xml:space="preserve">Resolução legislativa do Parlamento Europeu, de </w:t>
      </w:r>
      <w:r w:rsidR="00A07B53" w:rsidRPr="0085371A">
        <w:t>27</w:t>
      </w:r>
      <w:r w:rsidRPr="008D1C0C">
        <w:t xml:space="preserve"> de </w:t>
      </w:r>
      <w:r w:rsidR="00A07B53">
        <w:t>fevereiro</w:t>
      </w:r>
      <w:r w:rsidRPr="008D1C0C">
        <w:t xml:space="preserve"> de </w:t>
      </w:r>
      <w:r w:rsidRPr="0085371A">
        <w:t>2024</w:t>
      </w:r>
      <w:r w:rsidRPr="008D1C0C">
        <w:t>, sobre a proposta de Regulamento do Parlamento Europeu e do Conselho relativo à criação do Mecanismo para a Ucrânia</w:t>
      </w:r>
      <w:bookmarkEnd w:id="5"/>
      <w:r w:rsidRPr="008D1C0C">
        <w:t xml:space="preserve"> </w:t>
      </w:r>
      <w:bookmarkStart w:id="6" w:name="References"/>
      <w:r w:rsidRPr="008D1C0C">
        <w:t>(</w:t>
      </w:r>
      <w:proofErr w:type="gramStart"/>
      <w:r w:rsidRPr="008D1C0C">
        <w:t>COM(</w:t>
      </w:r>
      <w:proofErr w:type="gramEnd"/>
      <w:r w:rsidRPr="0085371A">
        <w:t>2023</w:t>
      </w:r>
      <w:r w:rsidRPr="008D1C0C">
        <w:t>)</w:t>
      </w:r>
      <w:r w:rsidRPr="0085371A">
        <w:t>0338</w:t>
      </w:r>
      <w:r w:rsidRPr="008D1C0C">
        <w:t xml:space="preserve"> – C</w:t>
      </w:r>
      <w:r w:rsidRPr="0085371A">
        <w:t>9</w:t>
      </w:r>
      <w:r w:rsidRPr="008D1C0C">
        <w:t>-</w:t>
      </w:r>
      <w:r w:rsidRPr="0085371A">
        <w:t>0210</w:t>
      </w:r>
      <w:r w:rsidRPr="008D1C0C">
        <w:t>/</w:t>
      </w:r>
      <w:r w:rsidRPr="0085371A">
        <w:t>2023</w:t>
      </w:r>
      <w:r w:rsidRPr="008D1C0C">
        <w:t xml:space="preserve"> – </w:t>
      </w:r>
      <w:r w:rsidRPr="0085371A">
        <w:t>2023</w:t>
      </w:r>
      <w:r w:rsidRPr="008D1C0C">
        <w:t>/</w:t>
      </w:r>
      <w:r w:rsidRPr="0085371A">
        <w:t>0200</w:t>
      </w:r>
      <w:r w:rsidRPr="008D1C0C">
        <w:t>(COD))</w:t>
      </w:r>
      <w:bookmarkEnd w:id="6"/>
    </w:p>
    <w:p w:rsidR="00B16287" w:rsidRPr="008D1C0C" w:rsidRDefault="00B16287" w:rsidP="00B16287">
      <w:pPr>
        <w:pStyle w:val="NormalBold"/>
      </w:pPr>
      <w:bookmarkStart w:id="7" w:name="TextBodyBegin"/>
      <w:bookmarkEnd w:id="7"/>
      <w:r w:rsidRPr="008D1C0C">
        <w:t>(Processo legislativo ordinário: primeira leitura)</w:t>
      </w:r>
    </w:p>
    <w:p w:rsidR="00B16287" w:rsidRPr="008D1C0C" w:rsidRDefault="00B16287" w:rsidP="00B16287">
      <w:pPr>
        <w:pStyle w:val="EPComma"/>
      </w:pPr>
      <w:r w:rsidRPr="008D1C0C">
        <w:rPr>
          <w:i/>
          <w:iCs/>
        </w:rPr>
        <w:t>O Parlamento Europeu</w:t>
      </w:r>
      <w:r w:rsidRPr="008D1C0C">
        <w:t>,</w:t>
      </w:r>
    </w:p>
    <w:p w:rsidR="00B16287" w:rsidRPr="008D1C0C" w:rsidRDefault="00B16287" w:rsidP="00B16287">
      <w:pPr>
        <w:pStyle w:val="NormalHanging12a"/>
      </w:pPr>
      <w:r w:rsidRPr="008D1C0C">
        <w:t>–</w:t>
      </w:r>
      <w:r w:rsidRPr="008D1C0C">
        <w:tab/>
        <w:t>Tendo em conta a proposta da Comissão ao Parlamento e ao Conselho (</w:t>
      </w:r>
      <w:proofErr w:type="gramStart"/>
      <w:r w:rsidRPr="008D1C0C">
        <w:t>COM(</w:t>
      </w:r>
      <w:proofErr w:type="gramEnd"/>
      <w:r w:rsidRPr="0085371A">
        <w:t>2023</w:t>
      </w:r>
      <w:r w:rsidRPr="008D1C0C">
        <w:t>)</w:t>
      </w:r>
      <w:r w:rsidRPr="0085371A">
        <w:t>0338</w:t>
      </w:r>
      <w:r w:rsidRPr="008D1C0C">
        <w:t>),</w:t>
      </w:r>
    </w:p>
    <w:p w:rsidR="00B16287" w:rsidRPr="008D1C0C" w:rsidRDefault="00B16287" w:rsidP="00B16287">
      <w:pPr>
        <w:pStyle w:val="NormalHanging12a"/>
      </w:pPr>
      <w:r w:rsidRPr="008D1C0C">
        <w:t>–</w:t>
      </w:r>
      <w:r w:rsidRPr="008D1C0C">
        <w:tab/>
        <w:t>Tendo em conta o artigo </w:t>
      </w:r>
      <w:r w:rsidRPr="0085371A">
        <w:t>294</w:t>
      </w:r>
      <w:r w:rsidRPr="008D1C0C">
        <w:t>.º, n.º </w:t>
      </w:r>
      <w:r w:rsidRPr="0085371A">
        <w:t>2</w:t>
      </w:r>
      <w:r w:rsidRPr="008D1C0C">
        <w:t>, o artigo </w:t>
      </w:r>
      <w:r w:rsidRPr="0085371A">
        <w:t>212</w:t>
      </w:r>
      <w:r w:rsidRPr="008D1C0C">
        <w:t>.º e o artigo </w:t>
      </w:r>
      <w:r w:rsidRPr="0085371A">
        <w:t>322</w:t>
      </w:r>
      <w:r w:rsidRPr="008D1C0C">
        <w:t>.º, n.º </w:t>
      </w:r>
      <w:r w:rsidRPr="0085371A">
        <w:t>1</w:t>
      </w:r>
      <w:r w:rsidRPr="008D1C0C">
        <w:t xml:space="preserve"> do Tratado sobre o Funcionamento da União Europeia, nos termos dos quais a proposta lhe foi apresentada pela Comissão (C</w:t>
      </w:r>
      <w:r w:rsidRPr="0085371A">
        <w:t>9</w:t>
      </w:r>
      <w:r w:rsidRPr="008D1C0C">
        <w:noBreakHyphen/>
      </w:r>
      <w:r w:rsidRPr="0085371A">
        <w:t>0210</w:t>
      </w:r>
      <w:r w:rsidRPr="008D1C0C">
        <w:t>/</w:t>
      </w:r>
      <w:r w:rsidRPr="0085371A">
        <w:t>2023</w:t>
      </w:r>
      <w:r w:rsidRPr="008D1C0C">
        <w:t>),</w:t>
      </w:r>
    </w:p>
    <w:p w:rsidR="00B16287" w:rsidRPr="008D1C0C" w:rsidRDefault="00B16287" w:rsidP="00B16287">
      <w:pPr>
        <w:pStyle w:val="NormalHanging12a"/>
      </w:pPr>
      <w:r w:rsidRPr="008D1C0C">
        <w:t>–</w:t>
      </w:r>
      <w:r w:rsidRPr="008D1C0C">
        <w:tab/>
        <w:t xml:space="preserve">Tendo em conta o artigo </w:t>
      </w:r>
      <w:r w:rsidRPr="0085371A">
        <w:t>294</w:t>
      </w:r>
      <w:r w:rsidRPr="008D1C0C">
        <w:t xml:space="preserve">.º, n.º </w:t>
      </w:r>
      <w:r w:rsidRPr="0085371A">
        <w:t>3</w:t>
      </w:r>
      <w:r w:rsidRPr="008D1C0C">
        <w:t>, do Tratado sobre o Funcionamento da União Europeia,</w:t>
      </w:r>
    </w:p>
    <w:p w:rsidR="00F9763C" w:rsidRDefault="00A07B53" w:rsidP="00B16287">
      <w:pPr>
        <w:pStyle w:val="NormalHanging12a"/>
      </w:pPr>
      <w:r w:rsidRPr="008D1C0C">
        <w:t>–</w:t>
      </w:r>
      <w:r w:rsidRPr="008D1C0C">
        <w:tab/>
      </w:r>
      <w:r w:rsidRPr="00A07B53">
        <w:t>Tendo em conta o acordo provisório aprovado pela</w:t>
      </w:r>
      <w:r>
        <w:t>s comissões</w:t>
      </w:r>
      <w:r w:rsidRPr="00A07B53">
        <w:t xml:space="preserve"> competente</w:t>
      </w:r>
      <w:r>
        <w:t>s</w:t>
      </w:r>
      <w:r w:rsidRPr="00A07B53">
        <w:t xml:space="preserve">, nos termos do artigo </w:t>
      </w:r>
      <w:r w:rsidRPr="0085371A">
        <w:t>74</w:t>
      </w:r>
      <w:r w:rsidRPr="00A07B53">
        <w:t xml:space="preserve">.º, n.º </w:t>
      </w:r>
      <w:r w:rsidRPr="0085371A">
        <w:t>4</w:t>
      </w:r>
      <w:r w:rsidRPr="00A07B53">
        <w:t>, do seu Regimento, e o compromisso assumido pelo represen</w:t>
      </w:r>
      <w:r>
        <w:t xml:space="preserve">tante do Conselho, em carta de </w:t>
      </w:r>
      <w:r w:rsidRPr="0085371A">
        <w:t>14</w:t>
      </w:r>
      <w:r w:rsidRPr="00A07B53">
        <w:t xml:space="preserve"> de </w:t>
      </w:r>
      <w:r>
        <w:t xml:space="preserve">fevereiro </w:t>
      </w:r>
      <w:r w:rsidRPr="00A07B53">
        <w:t xml:space="preserve">de </w:t>
      </w:r>
      <w:r w:rsidRPr="0085371A">
        <w:t>2024</w:t>
      </w:r>
      <w:r w:rsidRPr="00A07B53">
        <w:t xml:space="preserve">, de aprovar a posição do Parlamento, nos termos do artigo </w:t>
      </w:r>
      <w:r w:rsidRPr="0085371A">
        <w:t>294</w:t>
      </w:r>
      <w:r w:rsidRPr="00A07B53">
        <w:t xml:space="preserve">.º, n.º </w:t>
      </w:r>
      <w:r w:rsidRPr="0085371A">
        <w:t>4</w:t>
      </w:r>
      <w:r w:rsidRPr="00A07B53">
        <w:t>, do Tratado sobre o Funcionamento da União Europeia,</w:t>
      </w:r>
    </w:p>
    <w:p w:rsidR="00B16287" w:rsidRPr="008D1C0C" w:rsidRDefault="00F9763C" w:rsidP="00B16287">
      <w:pPr>
        <w:pStyle w:val="NormalHanging12a"/>
      </w:pPr>
      <w:r w:rsidRPr="008D1C0C">
        <w:t>–</w:t>
      </w:r>
      <w:r w:rsidRPr="008D1C0C">
        <w:tab/>
        <w:t xml:space="preserve">Tendo em conta o artigo </w:t>
      </w:r>
      <w:r w:rsidRPr="0085371A">
        <w:t>59</w:t>
      </w:r>
      <w:r w:rsidRPr="008D1C0C">
        <w:t>.º do seu Regimento,</w:t>
      </w:r>
    </w:p>
    <w:p w:rsidR="00B16287" w:rsidRPr="008D1C0C" w:rsidRDefault="00B16287" w:rsidP="00B16287">
      <w:pPr>
        <w:pStyle w:val="Normal12Hanging"/>
      </w:pPr>
      <w:r w:rsidRPr="008D1C0C">
        <w:t>–</w:t>
      </w:r>
      <w:r w:rsidRPr="008D1C0C">
        <w:tab/>
        <w:t xml:space="preserve">Tendo em conta as deliberações conjuntas da Comissão dos Assuntos Externos e da Comissão dos Orçamentos, nos termos do artigo </w:t>
      </w:r>
      <w:r w:rsidRPr="0085371A">
        <w:t>58</w:t>
      </w:r>
      <w:r w:rsidRPr="008D1C0C">
        <w:t xml:space="preserve">.º do seu Regimento, </w:t>
      </w:r>
    </w:p>
    <w:p w:rsidR="00B16287" w:rsidRPr="008D1C0C" w:rsidRDefault="00B16287" w:rsidP="00B16287">
      <w:pPr>
        <w:pStyle w:val="Normal12Hanging"/>
      </w:pPr>
      <w:r w:rsidRPr="008D1C0C">
        <w:t>–</w:t>
      </w:r>
      <w:r w:rsidRPr="008D1C0C">
        <w:tab/>
        <w:t>Tendo em conta as cartas da Comissão do Control</w:t>
      </w:r>
      <w:r w:rsidR="00F31DB1">
        <w:t>o</w:t>
      </w:r>
      <w:r w:rsidRPr="008D1C0C">
        <w:t xml:space="preserve"> Orçamental e da Comissão da Agricultura e do Desenvolvimento Rural,</w:t>
      </w:r>
    </w:p>
    <w:p w:rsidR="00B16287" w:rsidRPr="008D1C0C" w:rsidRDefault="00B16287" w:rsidP="00B16287">
      <w:pPr>
        <w:pStyle w:val="NormalHanging12a"/>
      </w:pPr>
      <w:r w:rsidRPr="008D1C0C">
        <w:t>–</w:t>
      </w:r>
      <w:r w:rsidRPr="008D1C0C">
        <w:tab/>
        <w:t>Tendo em conta o relatório da Comissão dos Assuntos Externos e da Comissão dos Orçamentos (A</w:t>
      </w:r>
      <w:r w:rsidRPr="0085371A">
        <w:t>9</w:t>
      </w:r>
      <w:r w:rsidRPr="008D1C0C">
        <w:t>-</w:t>
      </w:r>
      <w:r w:rsidRPr="0085371A">
        <w:t>0286</w:t>
      </w:r>
      <w:r w:rsidRPr="008D1C0C">
        <w:t>/</w:t>
      </w:r>
      <w:r w:rsidRPr="0085371A">
        <w:t>2023</w:t>
      </w:r>
      <w:r w:rsidRPr="008D1C0C">
        <w:t>),</w:t>
      </w:r>
    </w:p>
    <w:p w:rsidR="00B16287" w:rsidRPr="008D1C0C" w:rsidRDefault="00B16287" w:rsidP="00B16287">
      <w:pPr>
        <w:pStyle w:val="NormalHanging12a"/>
      </w:pPr>
      <w:r w:rsidRPr="0085371A">
        <w:lastRenderedPageBreak/>
        <w:t>1</w:t>
      </w:r>
      <w:r w:rsidRPr="008D1C0C">
        <w:t>.</w:t>
      </w:r>
      <w:r w:rsidRPr="008D1C0C">
        <w:tab/>
        <w:t>Aprova a posição em primeira leitura que se segue</w:t>
      </w:r>
      <w:r w:rsidR="00CF66C8">
        <w:rPr>
          <w:rStyle w:val="FootnoteReference"/>
        </w:rPr>
        <w:footnoteReference w:id="1"/>
      </w:r>
      <w:r w:rsidRPr="008D1C0C">
        <w:t>;</w:t>
      </w:r>
    </w:p>
    <w:p w:rsidR="00F31DB1" w:rsidRPr="00977481" w:rsidRDefault="00B16287" w:rsidP="00B16287">
      <w:pPr>
        <w:pStyle w:val="Normal12Hanging"/>
        <w:rPr>
          <w:i/>
        </w:rPr>
      </w:pPr>
      <w:proofErr w:type="gramStart"/>
      <w:r w:rsidRPr="0085371A">
        <w:t>2</w:t>
      </w:r>
      <w:r w:rsidRPr="008D1C0C">
        <w:t>.</w:t>
      </w:r>
      <w:r w:rsidRPr="008D1C0C">
        <w:tab/>
      </w:r>
      <w:r w:rsidR="00F31DB1" w:rsidRPr="00F31DB1">
        <w:t>Aprova</w:t>
      </w:r>
      <w:proofErr w:type="gramEnd"/>
      <w:r w:rsidR="00F31DB1" w:rsidRPr="00F31DB1">
        <w:t xml:space="preserve"> a declaração comum</w:t>
      </w:r>
      <w:r w:rsidR="00F31DB1">
        <w:t xml:space="preserve"> do Parlamento Europeu e </w:t>
      </w:r>
      <w:r w:rsidR="00F31DB1" w:rsidRPr="00F31DB1">
        <w:t>do Conselho</w:t>
      </w:r>
      <w:r w:rsidR="00F31DB1">
        <w:t xml:space="preserve"> anexa</w:t>
      </w:r>
      <w:r w:rsidR="00F31DB1" w:rsidRPr="00F31DB1">
        <w:t xml:space="preserve"> à presente resolução, que será publicada na série </w:t>
      </w:r>
      <w:r w:rsidR="00F31DB1">
        <w:t>C</w:t>
      </w:r>
      <w:r w:rsidR="00F31DB1" w:rsidRPr="00F31DB1">
        <w:t xml:space="preserve"> do </w:t>
      </w:r>
      <w:r w:rsidR="00F31DB1" w:rsidRPr="00977481">
        <w:rPr>
          <w:i/>
        </w:rPr>
        <w:t>Jornal Oficial da União Europeia</w:t>
      </w:r>
      <w:r w:rsidR="00F31DB1" w:rsidRPr="00977481">
        <w:t>,</w:t>
      </w:r>
    </w:p>
    <w:p w:rsidR="00F31DB1" w:rsidRDefault="00F31DB1" w:rsidP="00B16287">
      <w:pPr>
        <w:pStyle w:val="Normal12Hanging"/>
      </w:pPr>
      <w:proofErr w:type="gramStart"/>
      <w:r w:rsidRPr="0085371A">
        <w:t>3</w:t>
      </w:r>
      <w:r>
        <w:t>.</w:t>
      </w:r>
      <w:r>
        <w:tab/>
      </w:r>
      <w:r w:rsidRPr="00F31DB1">
        <w:t>Aprova</w:t>
      </w:r>
      <w:proofErr w:type="gramEnd"/>
      <w:r w:rsidRPr="00F31DB1">
        <w:t xml:space="preserve"> a declaração comum</w:t>
      </w:r>
      <w:r>
        <w:t xml:space="preserve"> do Parlamento Europeu, </w:t>
      </w:r>
      <w:r w:rsidRPr="00F31DB1">
        <w:t>do Conselho e da Comissão</w:t>
      </w:r>
      <w:r>
        <w:t xml:space="preserve"> anexa</w:t>
      </w:r>
      <w:r w:rsidRPr="00F31DB1">
        <w:t xml:space="preserve"> à presente resolução, que será publicada na série </w:t>
      </w:r>
      <w:r>
        <w:t>C</w:t>
      </w:r>
      <w:r w:rsidRPr="00F31DB1">
        <w:t xml:space="preserve"> do </w:t>
      </w:r>
      <w:r w:rsidRPr="00F84CDE">
        <w:rPr>
          <w:i/>
        </w:rPr>
        <w:t>Jornal Oficial da União Europeia</w:t>
      </w:r>
      <w:r w:rsidRPr="00F84CDE">
        <w:t>,</w:t>
      </w:r>
    </w:p>
    <w:p w:rsidR="00B16287" w:rsidRPr="008D1C0C" w:rsidRDefault="00F31DB1" w:rsidP="00B16287">
      <w:pPr>
        <w:pStyle w:val="Normal12Hanging"/>
      </w:pPr>
      <w:r w:rsidRPr="0085371A">
        <w:t>4</w:t>
      </w:r>
      <w:r>
        <w:t>.</w:t>
      </w:r>
      <w:r>
        <w:tab/>
      </w:r>
      <w:r w:rsidR="00B16287" w:rsidRPr="008D1C0C">
        <w:t>Requer à Comissão que lhe submeta de novo a sua proposta, se a substituir, se a alterar substancialmente ou se pretender alterá-la substancialmente;</w:t>
      </w:r>
    </w:p>
    <w:p w:rsidR="00B16287" w:rsidRDefault="00B62C8A" w:rsidP="00B16287">
      <w:pPr>
        <w:pStyle w:val="Normal12Hanging"/>
      </w:pPr>
      <w:proofErr w:type="gramStart"/>
      <w:r w:rsidRPr="0085371A">
        <w:t>5</w:t>
      </w:r>
      <w:r w:rsidR="00B16287" w:rsidRPr="008D1C0C">
        <w:t>.</w:t>
      </w:r>
      <w:r w:rsidR="00B16287" w:rsidRPr="008D1C0C">
        <w:tab/>
        <w:t>Encarrega</w:t>
      </w:r>
      <w:proofErr w:type="gramEnd"/>
      <w:r w:rsidR="00B16287" w:rsidRPr="008D1C0C">
        <w:t xml:space="preserve"> a sua </w:t>
      </w:r>
      <w:r>
        <w:t>P</w:t>
      </w:r>
      <w:r w:rsidR="00B16287" w:rsidRPr="008D1C0C">
        <w:t>residente de transmitir a posição do Parlamento ao Conselho, à Comissão e aos parlamentos nacionais.</w:t>
      </w:r>
    </w:p>
    <w:p w:rsidR="00A07B53" w:rsidRDefault="00A07B53" w:rsidP="00B16287">
      <w:pPr>
        <w:pStyle w:val="Normal12Hanging"/>
        <w:sectPr w:rsidR="00A07B53" w:rsidSect="008D1C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07B53" w:rsidRPr="009F0FC3" w:rsidRDefault="00A07B53" w:rsidP="00A07B5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F0FC3">
        <w:rPr>
          <w:rFonts w:eastAsia="Calibri"/>
          <w:b/>
          <w:bCs/>
          <w:color w:val="000000"/>
          <w:szCs w:val="24"/>
        </w:rPr>
        <w:lastRenderedPageBreak/>
        <w:t>P</w:t>
      </w:r>
      <w:r w:rsidRPr="0085371A">
        <w:rPr>
          <w:rFonts w:eastAsia="Calibri"/>
          <w:b/>
          <w:bCs/>
          <w:color w:val="000000"/>
          <w:szCs w:val="24"/>
        </w:rPr>
        <w:t>9</w:t>
      </w:r>
      <w:r w:rsidRPr="009F0FC3">
        <w:rPr>
          <w:rFonts w:eastAsia="Calibri"/>
          <w:b/>
          <w:bCs/>
          <w:color w:val="000000"/>
          <w:szCs w:val="24"/>
        </w:rPr>
        <w:t>_TC</w:t>
      </w:r>
      <w:r w:rsidRPr="0085371A">
        <w:rPr>
          <w:rFonts w:eastAsia="Calibri"/>
          <w:b/>
          <w:bCs/>
          <w:color w:val="000000"/>
          <w:szCs w:val="24"/>
        </w:rPr>
        <w:t>1</w:t>
      </w:r>
      <w:r w:rsidRPr="009F0FC3">
        <w:rPr>
          <w:rFonts w:eastAsia="Calibri"/>
          <w:b/>
          <w:bCs/>
          <w:color w:val="000000"/>
          <w:szCs w:val="24"/>
        </w:rPr>
        <w:t>-</w:t>
      </w:r>
      <w:proofErr w:type="gramStart"/>
      <w:r w:rsidRPr="009F0FC3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85371A">
        <w:rPr>
          <w:rFonts w:eastAsia="Calibri"/>
          <w:b/>
          <w:bCs/>
          <w:color w:val="000000"/>
          <w:szCs w:val="24"/>
        </w:rPr>
        <w:t>2023</w:t>
      </w:r>
      <w:r w:rsidRPr="009F0FC3">
        <w:rPr>
          <w:rFonts w:eastAsia="Calibri"/>
          <w:b/>
          <w:bCs/>
          <w:color w:val="000000"/>
          <w:szCs w:val="24"/>
        </w:rPr>
        <w:t>)</w:t>
      </w:r>
      <w:r w:rsidRPr="0085371A">
        <w:rPr>
          <w:rFonts w:eastAsia="Calibri"/>
          <w:b/>
          <w:bCs/>
          <w:color w:val="000000"/>
          <w:szCs w:val="24"/>
        </w:rPr>
        <w:t>0200</w:t>
      </w:r>
    </w:p>
    <w:p w:rsidR="00A07B53" w:rsidRDefault="00A07B53" w:rsidP="00A07B53">
      <w:pPr>
        <w:pStyle w:val="Normal12Hanging"/>
        <w:ind w:left="0" w:firstLine="0"/>
        <w:rPr>
          <w:rFonts w:eastAsia="Calibri"/>
          <w:b/>
          <w:szCs w:val="24"/>
          <w:lang w:eastAsia="en-US"/>
        </w:rPr>
      </w:pPr>
      <w:r w:rsidRPr="00EC5A52">
        <w:rPr>
          <w:rFonts w:eastAsia="Calibri"/>
          <w:b/>
          <w:szCs w:val="24"/>
          <w:lang w:eastAsia="en-US"/>
        </w:rPr>
        <w:t xml:space="preserve">Posição do Parlamento Europeu aprovada em primeira leitura em </w:t>
      </w:r>
      <w:r w:rsidRPr="0085371A">
        <w:rPr>
          <w:rFonts w:eastAsia="Calibri"/>
          <w:b/>
          <w:szCs w:val="24"/>
          <w:lang w:eastAsia="en-US"/>
        </w:rPr>
        <w:t>27</w:t>
      </w:r>
      <w:r w:rsidRPr="00EC5A52">
        <w:rPr>
          <w:rFonts w:eastAsia="Calibri"/>
          <w:b/>
          <w:szCs w:val="24"/>
          <w:lang w:eastAsia="en-US"/>
        </w:rPr>
        <w:t xml:space="preserve"> de </w:t>
      </w:r>
      <w:r>
        <w:rPr>
          <w:rFonts w:eastAsia="Calibri"/>
          <w:b/>
          <w:szCs w:val="24"/>
          <w:lang w:eastAsia="en-US"/>
        </w:rPr>
        <w:t>fevereiro</w:t>
      </w:r>
      <w:r w:rsidRPr="00EC5A52">
        <w:rPr>
          <w:rFonts w:eastAsia="Calibri"/>
          <w:b/>
          <w:szCs w:val="24"/>
          <w:lang w:eastAsia="en-US"/>
        </w:rPr>
        <w:t xml:space="preserve"> </w:t>
      </w:r>
      <w:r>
        <w:rPr>
          <w:rFonts w:eastAsia="Calibri"/>
          <w:b/>
          <w:szCs w:val="24"/>
          <w:lang w:eastAsia="en-US"/>
        </w:rPr>
        <w:t>de </w:t>
      </w:r>
      <w:r w:rsidRPr="0085371A">
        <w:rPr>
          <w:rFonts w:eastAsia="Calibri"/>
          <w:b/>
          <w:szCs w:val="24"/>
          <w:lang w:eastAsia="en-US"/>
        </w:rPr>
        <w:t>2024</w:t>
      </w:r>
      <w:r>
        <w:rPr>
          <w:rFonts w:eastAsia="Calibri"/>
          <w:b/>
          <w:szCs w:val="24"/>
          <w:lang w:eastAsia="en-US"/>
        </w:rPr>
        <w:t xml:space="preserve"> tendo em vista a adoção do Regulamento (UE) </w:t>
      </w:r>
      <w:r w:rsidRPr="0085371A">
        <w:rPr>
          <w:rFonts w:eastAsia="Calibri"/>
          <w:b/>
          <w:szCs w:val="24"/>
          <w:lang w:eastAsia="en-US"/>
        </w:rPr>
        <w:t>2024</w:t>
      </w:r>
      <w:r w:rsidRPr="00EC5A52">
        <w:rPr>
          <w:rFonts w:eastAsia="Calibri"/>
          <w:b/>
          <w:szCs w:val="24"/>
          <w:lang w:eastAsia="en-US"/>
        </w:rPr>
        <w:t>/... do P</w:t>
      </w:r>
      <w:r w:rsidR="00CF66C8">
        <w:rPr>
          <w:rFonts w:eastAsia="Calibri"/>
          <w:b/>
          <w:szCs w:val="24"/>
          <w:lang w:eastAsia="en-US"/>
        </w:rPr>
        <w:t>arlamento Europeu e do Conselho</w:t>
      </w:r>
      <w:r w:rsidR="00B62C8A" w:rsidRPr="00B62C8A">
        <w:rPr>
          <w:rFonts w:eastAsia="Calibri"/>
          <w:b/>
          <w:szCs w:val="24"/>
          <w:lang w:eastAsia="en-US"/>
        </w:rPr>
        <w:t xml:space="preserve"> relativo à criação do Mecanismo para a Ucrânia</w:t>
      </w:r>
    </w:p>
    <w:p w:rsidR="00CF66C8" w:rsidRDefault="00CF66C8" w:rsidP="00CF66C8">
      <w:pPr>
        <w:pStyle w:val="Normal12Hanging"/>
        <w:spacing w:after="0"/>
        <w:ind w:left="0" w:firstLine="0"/>
        <w:rPr>
          <w:rFonts w:eastAsia="Calibri"/>
          <w:b/>
          <w:szCs w:val="24"/>
          <w:lang w:eastAsia="en-US"/>
        </w:rPr>
      </w:pPr>
    </w:p>
    <w:p w:rsidR="00B62C8A" w:rsidRDefault="00CF66C8" w:rsidP="00CF66C8">
      <w:pPr>
        <w:widowControl/>
        <w:tabs>
          <w:tab w:val="left" w:pos="4252"/>
        </w:tabs>
        <w:rPr>
          <w:i/>
          <w:color w:val="000000"/>
          <w:szCs w:val="24"/>
          <w:lang w:eastAsia="en-US"/>
        </w:rPr>
      </w:pPr>
      <w:r w:rsidRPr="00CF66C8">
        <w:rPr>
          <w:i/>
          <w:color w:val="000000"/>
          <w:szCs w:val="24"/>
          <w:lang w:eastAsia="en-US"/>
        </w:rPr>
        <w:t>(Uma vez que foi alcançado um acordo entre o Parlamento e o Conselho, a posição do Parlamento corresponde ao texto legislativo final, Regulamento</w:t>
      </w:r>
      <w:r>
        <w:rPr>
          <w:i/>
          <w:color w:val="000000"/>
          <w:szCs w:val="24"/>
          <w:lang w:eastAsia="en-US"/>
        </w:rPr>
        <w:t xml:space="preserve"> </w:t>
      </w:r>
      <w:r w:rsidRPr="00CF66C8">
        <w:rPr>
          <w:i/>
          <w:color w:val="000000"/>
          <w:szCs w:val="24"/>
          <w:lang w:eastAsia="en-US"/>
        </w:rPr>
        <w:t>(UE) 20</w:t>
      </w:r>
      <w:r>
        <w:rPr>
          <w:i/>
          <w:color w:val="000000"/>
          <w:szCs w:val="24"/>
          <w:lang w:eastAsia="en-US"/>
        </w:rPr>
        <w:t>24</w:t>
      </w:r>
      <w:r w:rsidRPr="00CF66C8">
        <w:rPr>
          <w:i/>
          <w:color w:val="000000"/>
          <w:szCs w:val="24"/>
          <w:lang w:eastAsia="en-US"/>
        </w:rPr>
        <w:t>/</w:t>
      </w:r>
      <w:r>
        <w:rPr>
          <w:i/>
          <w:color w:val="000000"/>
          <w:szCs w:val="24"/>
          <w:lang w:eastAsia="en-US"/>
        </w:rPr>
        <w:t>792</w:t>
      </w:r>
      <w:r w:rsidRPr="00CF66C8">
        <w:rPr>
          <w:i/>
          <w:color w:val="000000"/>
          <w:szCs w:val="24"/>
          <w:lang w:eastAsia="en-US"/>
        </w:rPr>
        <w:t>.)</w:t>
      </w:r>
    </w:p>
    <w:p w:rsidR="00CF66C8" w:rsidRPr="00B62C8A" w:rsidRDefault="00CF66C8" w:rsidP="00B62C8A">
      <w:pPr>
        <w:widowControl/>
        <w:tabs>
          <w:tab w:val="left" w:pos="4252"/>
        </w:tabs>
        <w:spacing w:line="360" w:lineRule="auto"/>
        <w:rPr>
          <w:i/>
          <w:color w:val="000000"/>
          <w:szCs w:val="24"/>
          <w:lang w:eastAsia="en-US"/>
        </w:rPr>
      </w:pPr>
      <w:bookmarkStart w:id="8" w:name="_GoBack"/>
      <w:bookmarkEnd w:id="8"/>
    </w:p>
    <w:p w:rsidR="00DA0A7A" w:rsidRDefault="00DA0A7A" w:rsidP="00A07B53">
      <w:pPr>
        <w:pStyle w:val="Normal12Hanging"/>
        <w:ind w:left="0" w:firstLine="0"/>
        <w:sectPr w:rsidR="00DA0A7A" w:rsidSect="008D1C0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62C8A" w:rsidRDefault="00DA0A7A" w:rsidP="00977481">
      <w:pPr>
        <w:pStyle w:val="Normal12Hanging"/>
        <w:ind w:left="0" w:firstLine="0"/>
        <w:jc w:val="right"/>
      </w:pPr>
      <w:r>
        <w:lastRenderedPageBreak/>
        <w:t>ANEXO DA RESOLUÇÃO LEGISLATIVA</w:t>
      </w:r>
    </w:p>
    <w:p w:rsidR="00DA0A7A" w:rsidRPr="00ED71FF" w:rsidRDefault="00DA0A7A" w:rsidP="00DA0A7A">
      <w:pPr>
        <w:pStyle w:val="NormalCentered"/>
        <w:spacing w:before="360"/>
        <w:rPr>
          <w:b/>
          <w:bCs/>
          <w:szCs w:val="24"/>
        </w:rPr>
      </w:pPr>
      <w:r w:rsidRPr="00ED71FF">
        <w:rPr>
          <w:b/>
          <w:bCs/>
        </w:rPr>
        <w:t xml:space="preserve">Declaração comum do Parlamento Europeu e do Conselho </w:t>
      </w:r>
      <w:r w:rsidR="00CF66C8">
        <w:rPr>
          <w:b/>
          <w:bCs/>
        </w:rPr>
        <w:t>sobre a nomenclatura </w:t>
      </w:r>
      <w:r w:rsidRPr="00ED71FF">
        <w:rPr>
          <w:b/>
          <w:bCs/>
        </w:rPr>
        <w:t>orçamental adequada para o Mecanismo para a Ucrânia</w:t>
      </w:r>
      <w:r w:rsidR="00CF66C8">
        <w:rPr>
          <w:rStyle w:val="FootnoteReference"/>
          <w:b/>
          <w:bCs/>
        </w:rPr>
        <w:footnoteReference w:id="2"/>
      </w:r>
    </w:p>
    <w:p w:rsidR="00DA0A7A" w:rsidRPr="00D22083" w:rsidRDefault="00DA0A7A" w:rsidP="00DA0A7A">
      <w:pPr>
        <w:widowControl/>
        <w:spacing w:before="120" w:after="120" w:line="360" w:lineRule="auto"/>
      </w:pPr>
      <w:r w:rsidRPr="00ED71FF">
        <w:rPr>
          <w:rFonts w:eastAsia="Calibri"/>
          <w:szCs w:val="22"/>
          <w:lang w:eastAsia="en-US"/>
        </w:rPr>
        <w:t xml:space="preserve">Sem prejuízo das prerrogativas da autoridade orçamental no quadro do processo orçamental anual, e das competências da Comissão para elaborar o projeto de orçamento, o Parlamento Europeu e o Conselho convidam a Comissão a propor a criação de, pelo menos, uma rubrica orçamental no âmbito do </w:t>
      </w:r>
      <w:r>
        <w:rPr>
          <w:rFonts w:eastAsia="Calibri"/>
          <w:szCs w:val="22"/>
          <w:lang w:eastAsia="en-US"/>
        </w:rPr>
        <w:t>P</w:t>
      </w:r>
      <w:r w:rsidRPr="00ED71FF">
        <w:rPr>
          <w:rFonts w:eastAsia="Calibri"/>
          <w:szCs w:val="22"/>
          <w:lang w:eastAsia="en-US"/>
        </w:rPr>
        <w:t>ilar I do Mecanismo para a Ucrânia, duas rub</w:t>
      </w:r>
      <w:r>
        <w:rPr>
          <w:rFonts w:eastAsia="Calibri"/>
          <w:szCs w:val="22"/>
          <w:lang w:eastAsia="en-US"/>
        </w:rPr>
        <w:t>ricas orçamentais no âmbito do P</w:t>
      </w:r>
      <w:r w:rsidRPr="00ED71FF">
        <w:rPr>
          <w:rFonts w:eastAsia="Calibri"/>
          <w:szCs w:val="22"/>
          <w:lang w:eastAsia="en-US"/>
        </w:rPr>
        <w:t xml:space="preserve">ilar II, incluindo o provisionamento do fundo comum de provisionamento para a Garantia para a Ucrânia criado ao abrigo do capítulo IV do Regulamento Mecanismo para a Ucrânia, três rubricas orçamentais no âmbito do </w:t>
      </w:r>
      <w:r>
        <w:rPr>
          <w:rFonts w:eastAsia="Calibri"/>
          <w:szCs w:val="22"/>
          <w:lang w:eastAsia="en-US"/>
        </w:rPr>
        <w:t>P</w:t>
      </w:r>
      <w:r w:rsidRPr="00ED71FF">
        <w:rPr>
          <w:rFonts w:eastAsia="Calibri"/>
          <w:szCs w:val="22"/>
          <w:lang w:eastAsia="en-US"/>
        </w:rPr>
        <w:t>ilar III para a assistência e outras medidas de apoio à adesão à União, as subvenções para os custos de empréstimos obtidos e o provisionamento do fundo comum de provisionamento existente, e uma rubrica orçamental específica para as despesas de assistência técnica e administrativ</w:t>
      </w:r>
      <w:r>
        <w:rPr>
          <w:rFonts w:eastAsia="Calibri"/>
          <w:szCs w:val="22"/>
          <w:lang w:eastAsia="en-US"/>
        </w:rPr>
        <w:t>a para a execução do Mecanismo.</w:t>
      </w:r>
    </w:p>
    <w:p w:rsidR="00DA0A7A" w:rsidRDefault="00DA0A7A" w:rsidP="00CF66C8">
      <w:pPr>
        <w:pStyle w:val="Normal12Hanging"/>
        <w:spacing w:after="0"/>
        <w:ind w:left="0" w:firstLine="0"/>
      </w:pPr>
    </w:p>
    <w:p w:rsidR="00DA0A7A" w:rsidRPr="00123E16" w:rsidRDefault="00DA0A7A" w:rsidP="00CF66C8">
      <w:pPr>
        <w:pStyle w:val="NormalCentered"/>
        <w:spacing w:before="120"/>
        <w:rPr>
          <w:b/>
          <w:bCs/>
        </w:rPr>
      </w:pPr>
      <w:r w:rsidRPr="00123E16">
        <w:rPr>
          <w:b/>
          <w:bCs/>
        </w:rPr>
        <w:t xml:space="preserve">Declaração comum do Parlamento Europeu, do Conselho e da Comissão </w:t>
      </w:r>
      <w:r w:rsidR="00CF66C8">
        <w:rPr>
          <w:b/>
          <w:bCs/>
        </w:rPr>
        <w:t>sobre a natureza </w:t>
      </w:r>
      <w:r w:rsidRPr="00123E16">
        <w:rPr>
          <w:b/>
          <w:bCs/>
        </w:rPr>
        <w:t>excecional do Mecanismo para a Ucrânia</w:t>
      </w:r>
      <w:r w:rsidR="00CF66C8">
        <w:rPr>
          <w:rStyle w:val="FootnoteReference"/>
          <w:b/>
          <w:bCs/>
        </w:rPr>
        <w:footnoteReference w:id="3"/>
      </w:r>
    </w:p>
    <w:p w:rsidR="00DA0A7A" w:rsidRPr="00123E16" w:rsidRDefault="00DA0A7A" w:rsidP="00DA0A7A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123E16">
        <w:rPr>
          <w:rFonts w:eastAsia="Calibri"/>
          <w:szCs w:val="22"/>
          <w:lang w:eastAsia="en-US"/>
        </w:rPr>
        <w:t xml:space="preserve">O Parlamento Europeu, o Conselho e a Comissão partilham a opinião de que o Mecanismo para a Ucrânia é um instrumento excecional a médio prazo de elevada importância geopolítica, adaptado à incerteza e aos desafios sem precedentes de apoiar um país em guerra com implicações diretas para a segurança da União. Consequentemente, o Mecanismo para a Ucrânia estabelece um equilíbrio entre a flexibilidade e a capacidade de programação da resposta da União para fazer face ao défice de financiamento e às necessidades de recuperação, de reconstrução e de modernização da Ucrânia e, ao mesmo tempo, apoia os esforços de reforma da Ucrânia como parte do seu percurso de adesão à União. Os objetivos, o financiamento e os mecanismos de governação acordados para o Mecanismo para a Ucrânia </w:t>
      </w:r>
      <w:r w:rsidRPr="00123E16">
        <w:rPr>
          <w:rFonts w:eastAsia="Calibri"/>
          <w:szCs w:val="22"/>
          <w:lang w:eastAsia="en-US"/>
        </w:rPr>
        <w:lastRenderedPageBreak/>
        <w:t>respondem ao contexto e aos desafios excecionais e específicos em relação aos quais este mecanismo específico foi adotado.</w:t>
      </w:r>
    </w:p>
    <w:p w:rsidR="00DA0A7A" w:rsidRPr="008D1C0C" w:rsidRDefault="00DA0A7A" w:rsidP="00DA0A7A">
      <w:pPr>
        <w:widowControl/>
        <w:spacing w:before="120" w:after="120" w:line="360" w:lineRule="auto"/>
      </w:pPr>
      <w:r w:rsidRPr="00123E16">
        <w:rPr>
          <w:rFonts w:eastAsia="Calibri"/>
          <w:szCs w:val="22"/>
          <w:lang w:eastAsia="en-US"/>
        </w:rPr>
        <w:t>Por conseguinte, esta solução encontrada para a Ucrânia não deve ser considerada um precedente para futuros instrumentos de assistência económica a países terceiros.</w:t>
      </w:r>
    </w:p>
    <w:sectPr w:rsidR="00DA0A7A" w:rsidRPr="008D1C0C" w:rsidSect="008D1C0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49" w:rsidRPr="008D1C0C" w:rsidRDefault="00C32F49">
      <w:r w:rsidRPr="008D1C0C">
        <w:separator/>
      </w:r>
    </w:p>
  </w:endnote>
  <w:endnote w:type="continuationSeparator" w:id="0">
    <w:p w:rsidR="00C32F49" w:rsidRPr="008D1C0C" w:rsidRDefault="00C32F49">
      <w:r w:rsidRPr="008D1C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49" w:rsidRPr="008D1C0C" w:rsidRDefault="00C32F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49" w:rsidRPr="008D1C0C" w:rsidRDefault="00C32F4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49" w:rsidRPr="008D1C0C" w:rsidRDefault="00C32F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49" w:rsidRPr="008D1C0C" w:rsidRDefault="00C32F49">
      <w:r w:rsidRPr="008D1C0C">
        <w:separator/>
      </w:r>
    </w:p>
  </w:footnote>
  <w:footnote w:type="continuationSeparator" w:id="0">
    <w:p w:rsidR="00C32F49" w:rsidRPr="008D1C0C" w:rsidRDefault="00C32F49">
      <w:r w:rsidRPr="008D1C0C">
        <w:continuationSeparator/>
      </w:r>
    </w:p>
  </w:footnote>
  <w:footnote w:id="1">
    <w:p w:rsidR="00CF66C8" w:rsidRPr="00CF66C8" w:rsidRDefault="00CF66C8" w:rsidP="00CF66C8">
      <w:pPr>
        <w:pStyle w:val="FootnoteText"/>
        <w:ind w:left="567" w:hanging="567"/>
        <w:rPr>
          <w:lang w:val="pt-PT"/>
        </w:rPr>
      </w:pPr>
      <w:r w:rsidRPr="00CF66C8">
        <w:rPr>
          <w:rStyle w:val="FootnoteReference"/>
          <w:sz w:val="24"/>
        </w:rPr>
        <w:footnoteRef/>
      </w:r>
      <w:r w:rsidRPr="00CF66C8">
        <w:rPr>
          <w:sz w:val="24"/>
          <w:lang w:val="pt-PT"/>
        </w:rPr>
        <w:t xml:space="preserve"> </w:t>
      </w:r>
      <w:r w:rsidRPr="00CF66C8">
        <w:rPr>
          <w:sz w:val="24"/>
          <w:lang w:val="pt-PT"/>
        </w:rPr>
        <w:tab/>
        <w:t>A presente posição substi</w:t>
      </w:r>
      <w:r>
        <w:rPr>
          <w:sz w:val="24"/>
          <w:lang w:val="pt-PT"/>
        </w:rPr>
        <w:t>tui as alterações aprovadas em 17</w:t>
      </w:r>
      <w:r w:rsidRPr="00CF66C8">
        <w:rPr>
          <w:sz w:val="24"/>
          <w:lang w:val="pt-PT"/>
        </w:rPr>
        <w:t xml:space="preserve"> de </w:t>
      </w:r>
      <w:r>
        <w:rPr>
          <w:sz w:val="24"/>
          <w:lang w:val="pt-PT"/>
        </w:rPr>
        <w:t xml:space="preserve">outubro </w:t>
      </w:r>
      <w:r w:rsidRPr="00CF66C8">
        <w:rPr>
          <w:sz w:val="24"/>
          <w:lang w:val="pt-PT"/>
        </w:rPr>
        <w:t>de 20</w:t>
      </w:r>
      <w:r>
        <w:rPr>
          <w:sz w:val="24"/>
          <w:lang w:val="pt-PT"/>
        </w:rPr>
        <w:t>23</w:t>
      </w:r>
      <w:r w:rsidRPr="00CF66C8">
        <w:rPr>
          <w:sz w:val="24"/>
          <w:lang w:val="pt-PT"/>
        </w:rPr>
        <w:t xml:space="preserve"> (Textos Aprovados, P</w:t>
      </w:r>
      <w:r>
        <w:rPr>
          <w:sz w:val="24"/>
          <w:lang w:val="pt-PT"/>
        </w:rPr>
        <w:t>9</w:t>
      </w:r>
      <w:r w:rsidRPr="00CF66C8">
        <w:rPr>
          <w:sz w:val="24"/>
          <w:lang w:val="pt-PT"/>
        </w:rPr>
        <w:t>_</w:t>
      </w:r>
      <w:proofErr w:type="gramStart"/>
      <w:r w:rsidRPr="00CF66C8">
        <w:rPr>
          <w:sz w:val="24"/>
          <w:lang w:val="pt-PT"/>
        </w:rPr>
        <w:t>TA(</w:t>
      </w:r>
      <w:proofErr w:type="gramEnd"/>
      <w:r w:rsidRPr="00CF66C8">
        <w:rPr>
          <w:sz w:val="24"/>
          <w:lang w:val="pt-PT"/>
        </w:rPr>
        <w:t>20</w:t>
      </w:r>
      <w:r>
        <w:rPr>
          <w:sz w:val="24"/>
          <w:lang w:val="pt-PT"/>
        </w:rPr>
        <w:t>23</w:t>
      </w:r>
      <w:r w:rsidRPr="00CF66C8">
        <w:rPr>
          <w:sz w:val="24"/>
          <w:lang w:val="pt-PT"/>
        </w:rPr>
        <w:t>)0</w:t>
      </w:r>
      <w:r>
        <w:rPr>
          <w:sz w:val="24"/>
          <w:lang w:val="pt-PT"/>
        </w:rPr>
        <w:t>363</w:t>
      </w:r>
      <w:r w:rsidRPr="00CF66C8">
        <w:rPr>
          <w:sz w:val="24"/>
          <w:lang w:val="pt-PT"/>
        </w:rPr>
        <w:t>.</w:t>
      </w:r>
    </w:p>
  </w:footnote>
  <w:footnote w:id="2">
    <w:p w:rsidR="00CF66C8" w:rsidRPr="00CF66C8" w:rsidRDefault="00CF66C8" w:rsidP="00CF66C8">
      <w:pPr>
        <w:pStyle w:val="FootnoteText"/>
        <w:ind w:left="567" w:hanging="567"/>
        <w:rPr>
          <w:lang w:val="pt-PT"/>
        </w:rPr>
      </w:pPr>
      <w:r w:rsidRPr="00CF66C8">
        <w:rPr>
          <w:rStyle w:val="FootnoteReference"/>
          <w:sz w:val="24"/>
        </w:rPr>
        <w:footnoteRef/>
      </w:r>
      <w:r w:rsidRPr="00CF66C8">
        <w:rPr>
          <w:sz w:val="24"/>
          <w:lang w:val="pt-PT"/>
        </w:rPr>
        <w:t xml:space="preserve"> </w:t>
      </w:r>
      <w:r w:rsidRPr="00CF66C8">
        <w:rPr>
          <w:sz w:val="24"/>
          <w:lang w:val="pt-PT"/>
        </w:rPr>
        <w:tab/>
        <w:t xml:space="preserve">Regulamento (UE) 2024/792 do Parlamento Europeu e do Conselho, de 29 de fevereiro de 2024, relativo à criação do Mecanismo para a Ucrânia (JO L, 2024/792, 29.2.2024, ELI: </w:t>
      </w:r>
      <w:hyperlink r:id="rId1" w:history="1">
        <w:r w:rsidRPr="00CF66C8">
          <w:rPr>
            <w:rStyle w:val="Hyperlink"/>
            <w:sz w:val="24"/>
            <w:lang w:val="pt-PT"/>
          </w:rPr>
          <w:t>http://data.europa.eu/eli/reg/2024/792/oj</w:t>
        </w:r>
      </w:hyperlink>
      <w:r w:rsidRPr="00CF66C8">
        <w:rPr>
          <w:sz w:val="24"/>
          <w:lang w:val="pt-PT"/>
        </w:rPr>
        <w:t>).</w:t>
      </w:r>
    </w:p>
  </w:footnote>
  <w:footnote w:id="3">
    <w:p w:rsidR="00CF66C8" w:rsidRPr="00CF66C8" w:rsidRDefault="00CF66C8" w:rsidP="00CF66C8">
      <w:pPr>
        <w:pStyle w:val="FootnoteText"/>
        <w:ind w:left="567" w:hanging="567"/>
        <w:rPr>
          <w:sz w:val="24"/>
          <w:szCs w:val="24"/>
          <w:lang w:val="pt-PT"/>
        </w:rPr>
      </w:pPr>
      <w:r w:rsidRPr="00CF66C8">
        <w:rPr>
          <w:rStyle w:val="FootnoteReference"/>
          <w:sz w:val="24"/>
          <w:szCs w:val="24"/>
        </w:rPr>
        <w:footnoteRef/>
      </w:r>
      <w:r w:rsidRPr="00CF66C8">
        <w:rPr>
          <w:sz w:val="24"/>
          <w:szCs w:val="24"/>
          <w:lang w:val="pt-PT"/>
        </w:rPr>
        <w:t xml:space="preserve"> </w:t>
      </w:r>
      <w:r w:rsidRPr="00CF66C8">
        <w:rPr>
          <w:sz w:val="24"/>
          <w:szCs w:val="24"/>
          <w:lang w:val="pt-PT"/>
        </w:rPr>
        <w:tab/>
      </w:r>
      <w:r w:rsidRPr="00CF66C8">
        <w:rPr>
          <w:sz w:val="24"/>
          <w:szCs w:val="24"/>
          <w:lang w:val="pt-PT"/>
        </w:rPr>
        <w:t xml:space="preserve">Regulamento (UE) 2024/792 do Parlamento Europeu e do Conselho, de 29 de fevereiro de 2024, relativo à criação do Mecanismo para a Ucrânia (JO L, 2024/792, 29.2.2024, ELI: </w:t>
      </w:r>
      <w:hyperlink r:id="rId2" w:history="1">
        <w:r w:rsidRPr="00CF66C8">
          <w:rPr>
            <w:rStyle w:val="Hyperlink"/>
            <w:sz w:val="24"/>
            <w:szCs w:val="24"/>
            <w:lang w:val="pt-PT"/>
          </w:rPr>
          <w:t>http://data.europa.eu/eli/reg/2024/792/oj</w:t>
        </w:r>
      </w:hyperlink>
      <w:r w:rsidRPr="00CF66C8">
        <w:rPr>
          <w:sz w:val="24"/>
          <w:szCs w:val="24"/>
          <w:lang w:val="pt-P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49" w:rsidRPr="008D1C0C" w:rsidRDefault="00C32F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49" w:rsidRPr="008D1C0C" w:rsidRDefault="00C32F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49" w:rsidRPr="008D1C0C" w:rsidRDefault="00C32F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3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4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6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7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3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1F06166"/>
    <w:multiLevelType w:val="multilevel"/>
    <w:tmpl w:val="C08066D2"/>
    <w:name w:val="0,3405529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4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7"/>
  </w:num>
  <w:num w:numId="3">
    <w:abstractNumId w:val="32"/>
  </w:num>
  <w:num w:numId="4">
    <w:abstractNumId w:val="2"/>
  </w:num>
  <w:num w:numId="5">
    <w:abstractNumId w:val="33"/>
  </w:num>
  <w:num w:numId="6">
    <w:abstractNumId w:val="28"/>
  </w:num>
  <w:num w:numId="7">
    <w:abstractNumId w:val="4"/>
  </w:num>
  <w:num w:numId="8">
    <w:abstractNumId w:val="36"/>
  </w:num>
  <w:num w:numId="9">
    <w:abstractNumId w:val="38"/>
  </w:num>
  <w:num w:numId="10">
    <w:abstractNumId w:val="25"/>
  </w:num>
  <w:num w:numId="11">
    <w:abstractNumId w:val="35"/>
  </w:num>
  <w:num w:numId="12">
    <w:abstractNumId w:val="29"/>
  </w:num>
  <w:num w:numId="13">
    <w:abstractNumId w:val="21"/>
  </w:num>
  <w:num w:numId="14">
    <w:abstractNumId w:val="10"/>
  </w:num>
  <w:num w:numId="15">
    <w:abstractNumId w:val="8"/>
  </w:num>
  <w:num w:numId="16">
    <w:abstractNumId w:val="31"/>
  </w:num>
  <w:num w:numId="17">
    <w:abstractNumId w:val="37"/>
  </w:num>
  <w:num w:numId="18">
    <w:abstractNumId w:val="1"/>
  </w:num>
  <w:num w:numId="19">
    <w:abstractNumId w:val="12"/>
  </w:num>
  <w:num w:numId="20">
    <w:abstractNumId w:val="7"/>
  </w:num>
  <w:num w:numId="21">
    <w:abstractNumId w:val="13"/>
  </w:num>
  <w:num w:numId="22">
    <w:abstractNumId w:val="26"/>
  </w:num>
  <w:num w:numId="23">
    <w:abstractNumId w:val="27"/>
    <w:lvlOverride w:ilvl="0">
      <w:startOverride w:val="1"/>
    </w:lvlOverride>
  </w:num>
  <w:num w:numId="24">
    <w:abstractNumId w:val="0"/>
  </w:num>
  <w:num w:numId="25">
    <w:abstractNumId w:val="15"/>
  </w:num>
  <w:num w:numId="26">
    <w:abstractNumId w:val="24"/>
  </w:num>
  <w:num w:numId="27">
    <w:abstractNumId w:val="23"/>
  </w:num>
  <w:num w:numId="28">
    <w:abstractNumId w:val="34"/>
  </w:num>
  <w:num w:numId="29">
    <w:abstractNumId w:val="18"/>
  </w:num>
  <w:num w:numId="30">
    <w:abstractNumId w:val="30"/>
  </w:num>
  <w:num w:numId="31">
    <w:abstractNumId w:val="14"/>
  </w:num>
  <w:num w:numId="32">
    <w:abstractNumId w:val="19"/>
  </w:num>
  <w:num w:numId="33">
    <w:abstractNumId w:val="20"/>
  </w:num>
  <w:num w:numId="34">
    <w:abstractNumId w:val="11"/>
  </w:num>
  <w:num w:numId="35">
    <w:abstractNumId w:val="9"/>
  </w:num>
  <w:num w:numId="36">
    <w:abstractNumId w:val="22"/>
  </w:num>
  <w:num w:numId="37">
    <w:abstractNumId w:val="39"/>
  </w:num>
  <w:num w:numId="38">
    <w:abstractNumId w:val="5"/>
  </w:num>
  <w:num w:numId="39">
    <w:abstractNumId w:val="16"/>
  </w:num>
  <w:num w:numId="40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PT"/>
    <w:docVar w:name="dvnumam" w:val="0"/>
    <w:docVar w:name="dvpe" w:val="751.825"/>
    <w:docVar w:name="dvrapporteur" w:val="Relatores: "/>
    <w:docVar w:name="dvstar" w:val="***I"/>
    <w:docVar w:name="dvtitre" w:val="Resolução legislativa do Parlamento Europeu, de ... de ... de 2024,_x000d__x000a_ sobre a proposta de Regulamento do Parlamento Europeu e do Conselho relativo à criação do Mecanismo para a Ucrânia(COM(2023)0338 – C9-0210/2023 – 2023/0200(COD))"/>
  </w:docVars>
  <w:rsids>
    <w:rsidRoot w:val="004D703C"/>
    <w:rsid w:val="00002272"/>
    <w:rsid w:val="00064002"/>
    <w:rsid w:val="000677B9"/>
    <w:rsid w:val="000831BA"/>
    <w:rsid w:val="000A42CC"/>
    <w:rsid w:val="000C5D31"/>
    <w:rsid w:val="000E7DD9"/>
    <w:rsid w:val="0010095E"/>
    <w:rsid w:val="00125B37"/>
    <w:rsid w:val="00187494"/>
    <w:rsid w:val="001F32AE"/>
    <w:rsid w:val="00253493"/>
    <w:rsid w:val="002767FF"/>
    <w:rsid w:val="002B18FE"/>
    <w:rsid w:val="002B5493"/>
    <w:rsid w:val="00326EC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703C"/>
    <w:rsid w:val="0050519A"/>
    <w:rsid w:val="005072A1"/>
    <w:rsid w:val="00514517"/>
    <w:rsid w:val="00545827"/>
    <w:rsid w:val="00560270"/>
    <w:rsid w:val="005C2568"/>
    <w:rsid w:val="006037C0"/>
    <w:rsid w:val="006373C4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371A"/>
    <w:rsid w:val="00865F67"/>
    <w:rsid w:val="00881A7B"/>
    <w:rsid w:val="008840E5"/>
    <w:rsid w:val="00887B3E"/>
    <w:rsid w:val="008C2AC6"/>
    <w:rsid w:val="008D1C0C"/>
    <w:rsid w:val="00930C23"/>
    <w:rsid w:val="0093193B"/>
    <w:rsid w:val="009509D8"/>
    <w:rsid w:val="00950B64"/>
    <w:rsid w:val="00977481"/>
    <w:rsid w:val="00981893"/>
    <w:rsid w:val="00A07B5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6287"/>
    <w:rsid w:val="00B22876"/>
    <w:rsid w:val="00B558F0"/>
    <w:rsid w:val="00B62C8A"/>
    <w:rsid w:val="00BD48FE"/>
    <w:rsid w:val="00BD7BD8"/>
    <w:rsid w:val="00BE6ADC"/>
    <w:rsid w:val="00C05BFE"/>
    <w:rsid w:val="00C23CD4"/>
    <w:rsid w:val="00C32F49"/>
    <w:rsid w:val="00C61C0C"/>
    <w:rsid w:val="00C941CB"/>
    <w:rsid w:val="00CC2357"/>
    <w:rsid w:val="00CF071A"/>
    <w:rsid w:val="00CF66C8"/>
    <w:rsid w:val="00D058B8"/>
    <w:rsid w:val="00D56C11"/>
    <w:rsid w:val="00D834A0"/>
    <w:rsid w:val="00D872DF"/>
    <w:rsid w:val="00D91E21"/>
    <w:rsid w:val="00DA0A7A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1DB1"/>
    <w:rsid w:val="00F5134D"/>
    <w:rsid w:val="00F74202"/>
    <w:rsid w:val="00F87713"/>
    <w:rsid w:val="00F9763C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B1812"/>
  <w15:chartTrackingRefBased/>
  <w15:docId w15:val="{2E7AEB41-8A25-444E-BBBA-C8E0FF5E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1628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8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8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8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8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87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87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B16287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B16287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B1628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1628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B16287"/>
    <w:pPr>
      <w:spacing w:before="480" w:after="240"/>
    </w:pPr>
  </w:style>
  <w:style w:type="paragraph" w:customStyle="1" w:styleId="TOCPage">
    <w:name w:val="TOC Page"/>
    <w:basedOn w:val="Normal"/>
    <w:next w:val="TOC1"/>
    <w:rsid w:val="00B16287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B1628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B16287"/>
    <w:rPr>
      <w:b/>
    </w:rPr>
  </w:style>
  <w:style w:type="paragraph" w:customStyle="1" w:styleId="NormalBold12a">
    <w:name w:val="NormalBold12a"/>
    <w:basedOn w:val="Normal"/>
    <w:rsid w:val="00B16287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B1628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16287"/>
    <w:pPr>
      <w:spacing w:after="480"/>
      <w:ind w:left="1417"/>
    </w:pPr>
  </w:style>
  <w:style w:type="paragraph" w:customStyle="1" w:styleId="CoverNormal">
    <w:name w:val="CoverNormal"/>
    <w:basedOn w:val="Normal"/>
    <w:rsid w:val="00B16287"/>
    <w:pPr>
      <w:ind w:left="1418"/>
    </w:pPr>
  </w:style>
  <w:style w:type="paragraph" w:customStyle="1" w:styleId="NormalCenter12a">
    <w:name w:val="NormalCenter12a"/>
    <w:basedOn w:val="Normal"/>
    <w:rsid w:val="00B16287"/>
    <w:pPr>
      <w:spacing w:after="240"/>
      <w:jc w:val="center"/>
    </w:pPr>
  </w:style>
  <w:style w:type="paragraph" w:customStyle="1" w:styleId="CoverReference">
    <w:name w:val="CoverReference"/>
    <w:basedOn w:val="Normal"/>
    <w:rsid w:val="00B1628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1628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1628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16287"/>
    <w:pPr>
      <w:spacing w:before="240" w:after="1200"/>
    </w:pPr>
  </w:style>
  <w:style w:type="paragraph" w:styleId="Header">
    <w:name w:val="header"/>
    <w:basedOn w:val="Normal"/>
    <w:link w:val="HeaderChar"/>
    <w:rsid w:val="00B162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16287"/>
    <w:rPr>
      <w:sz w:val="24"/>
      <w:lang w:val="pt-PT"/>
    </w:rPr>
  </w:style>
  <w:style w:type="paragraph" w:customStyle="1" w:styleId="AmNumberTabs">
    <w:name w:val="AmNumberTabs"/>
    <w:basedOn w:val="Normal"/>
    <w:rsid w:val="00B1628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16287"/>
    <w:pPr>
      <w:spacing w:before="720" w:after="240"/>
      <w:jc w:val="center"/>
    </w:pPr>
  </w:style>
  <w:style w:type="paragraph" w:customStyle="1" w:styleId="EPBody">
    <w:name w:val="EPBody"/>
    <w:basedOn w:val="Normal"/>
    <w:rsid w:val="00B1628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1628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B1628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1628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16287"/>
    <w:rPr>
      <w:sz w:val="18"/>
    </w:rPr>
  </w:style>
  <w:style w:type="paragraph" w:customStyle="1" w:styleId="Normal12Hanging">
    <w:name w:val="Normal12Hanging"/>
    <w:basedOn w:val="Normal"/>
    <w:rsid w:val="00B16287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unhideWhenUsed/>
    <w:rsid w:val="00B162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16287"/>
    <w:rPr>
      <w:rFonts w:ascii="Segoe UI" w:hAnsi="Segoe UI" w:cs="Segoe UI"/>
      <w:sz w:val="18"/>
      <w:szCs w:val="18"/>
      <w:lang w:val="pt-PT"/>
    </w:rPr>
  </w:style>
  <w:style w:type="paragraph" w:styleId="ListParagraph">
    <w:name w:val="List Paragraph"/>
    <w:aliases w:val="GSA List,Dot pt,F5 List Paragraph,List Paragraph Char Char Char,Indicator Text,Numbered Para 1,Bullet Points,List Paragraph2,MAIN CONTENT,Normal numbered,List Paragraph1,Issue Action POC,3,POCG Table Text,No Spacing1,Bullet list,EC,Puce"/>
    <w:basedOn w:val="Normal"/>
    <w:link w:val="ListParagraphChar"/>
    <w:uiPriority w:val="34"/>
    <w:qFormat/>
    <w:rsid w:val="00B16287"/>
    <w:pPr>
      <w:ind w:left="720"/>
      <w:contextualSpacing/>
    </w:pPr>
  </w:style>
  <w:style w:type="paragraph" w:customStyle="1" w:styleId="Point1">
    <w:name w:val="Point 1"/>
    <w:basedOn w:val="Normal"/>
    <w:rsid w:val="00B1628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character" w:customStyle="1" w:styleId="Marker0000000000000000000000000">
    <w:name w:val="Marker0000000000000000000000000"/>
    <w:basedOn w:val="DefaultParagraphFont"/>
    <w:rsid w:val="00B16287"/>
    <w:rPr>
      <w:color w:val="0000FF"/>
    </w:rPr>
  </w:style>
  <w:style w:type="paragraph" w:customStyle="1" w:styleId="ManualNumPar1">
    <w:name w:val="Manual NumPar 1"/>
    <w:basedOn w:val="Normal"/>
    <w:next w:val="Normal"/>
    <w:rsid w:val="00B1628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character" w:customStyle="1" w:styleId="Marker100000000000000000000000000000000000000000000">
    <w:name w:val="Marker100000000000000000000000000000000000000000000"/>
    <w:basedOn w:val="DefaultParagraphFont"/>
    <w:qFormat/>
    <w:rsid w:val="00B16287"/>
    <w:rPr>
      <w:color w:val="008000"/>
    </w:rPr>
  </w:style>
  <w:style w:type="paragraph" w:customStyle="1" w:styleId="Titrearticle">
    <w:name w:val="Titre article"/>
    <w:basedOn w:val="Normal"/>
    <w:next w:val="Normal"/>
    <w:rsid w:val="00B1628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Normal6a">
    <w:name w:val="Normal6a"/>
    <w:basedOn w:val="Normal"/>
    <w:rsid w:val="00B16287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B16287"/>
    <w:pPr>
      <w:spacing w:after="240"/>
    </w:pPr>
  </w:style>
  <w:style w:type="paragraph" w:customStyle="1" w:styleId="LetterSalutation">
    <w:name w:val="LetterSalutation"/>
    <w:basedOn w:val="Normal"/>
    <w:rsid w:val="00B16287"/>
    <w:pPr>
      <w:spacing w:before="600" w:after="360"/>
    </w:pPr>
  </w:style>
  <w:style w:type="paragraph" w:customStyle="1" w:styleId="LetterSubject">
    <w:name w:val="LetterSubject"/>
    <w:basedOn w:val="Normal"/>
    <w:rsid w:val="00B16287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B16287"/>
    <w:pPr>
      <w:spacing w:before="1320"/>
    </w:pPr>
  </w:style>
  <w:style w:type="paragraph" w:customStyle="1" w:styleId="ManualConsidrant">
    <w:name w:val="Manual Considérant"/>
    <w:basedOn w:val="Normal"/>
    <w:rsid w:val="00B1628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link w:val="Normal24aChar"/>
    <w:rsid w:val="00B16287"/>
    <w:pPr>
      <w:spacing w:after="480"/>
    </w:pPr>
  </w:style>
  <w:style w:type="paragraph" w:customStyle="1" w:styleId="LetterSignature">
    <w:name w:val="LetterSignature"/>
    <w:basedOn w:val="Normal"/>
    <w:next w:val="Normal"/>
    <w:rsid w:val="00B16287"/>
    <w:pPr>
      <w:spacing w:before="1320"/>
    </w:pPr>
  </w:style>
  <w:style w:type="character" w:customStyle="1" w:styleId="Normal24aChar">
    <w:name w:val="Normal24a Char"/>
    <w:basedOn w:val="DefaultParagraphFont"/>
    <w:link w:val="Normal24a"/>
    <w:rsid w:val="00B16287"/>
    <w:rPr>
      <w:sz w:val="24"/>
      <w:lang w:val="pt-PT"/>
    </w:rPr>
  </w:style>
  <w:style w:type="paragraph" w:customStyle="1" w:styleId="Normal12">
    <w:name w:val="Normal12"/>
    <w:basedOn w:val="Normal"/>
    <w:link w:val="Normal12Char"/>
    <w:rsid w:val="00B16287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B16287"/>
    <w:rPr>
      <w:rFonts w:ascii="Arial" w:hAnsi="Arial" w:cs="Arial"/>
      <w:b/>
      <w:sz w:val="24"/>
      <w:lang w:val="pt-PT"/>
    </w:rPr>
  </w:style>
  <w:style w:type="character" w:customStyle="1" w:styleId="Normal12Char">
    <w:name w:val="Normal12 Char"/>
    <w:basedOn w:val="PageHeadingChar"/>
    <w:link w:val="Normal12"/>
    <w:rsid w:val="00B16287"/>
    <w:rPr>
      <w:rFonts w:ascii="Arial" w:hAnsi="Arial" w:cs="Arial"/>
      <w:b w:val="0"/>
      <w:sz w:val="24"/>
      <w:lang w:val="pt-PT"/>
    </w:rPr>
  </w:style>
  <w:style w:type="paragraph" w:customStyle="1" w:styleId="RollCallVotes">
    <w:name w:val="RollCallVotes"/>
    <w:basedOn w:val="Normal"/>
    <w:rsid w:val="00B1628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1628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1628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16287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uiPriority w:val="99"/>
    <w:rsid w:val="00B162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287"/>
    <w:rPr>
      <w:sz w:val="24"/>
      <w:lang w:val="pt-PT"/>
    </w:rPr>
  </w:style>
  <w:style w:type="character" w:styleId="CommentReference">
    <w:name w:val="annotation reference"/>
    <w:basedOn w:val="DefaultParagraphFont"/>
    <w:rsid w:val="00B162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162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287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16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6287"/>
    <w:rPr>
      <w:b/>
      <w:bCs/>
      <w:lang w:val="pt-PT"/>
    </w:rPr>
  </w:style>
  <w:style w:type="paragraph" w:styleId="Revision">
    <w:name w:val="Revision"/>
    <w:hidden/>
    <w:uiPriority w:val="99"/>
    <w:semiHidden/>
    <w:rsid w:val="00B16287"/>
    <w:rPr>
      <w:sz w:val="24"/>
      <w:lang w:val="pt-PT"/>
    </w:rPr>
  </w:style>
  <w:style w:type="paragraph" w:customStyle="1" w:styleId="AmDocTypeTab">
    <w:name w:val="AmDocTypeTab"/>
    <w:basedOn w:val="Normal"/>
    <w:rsid w:val="00B62C8A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B62C8A"/>
    <w:pPr>
      <w:spacing w:before="240" w:after="240"/>
      <w:jc w:val="right"/>
    </w:pPr>
  </w:style>
  <w:style w:type="paragraph" w:customStyle="1" w:styleId="AmDateTab">
    <w:name w:val="AmDateTab"/>
    <w:basedOn w:val="Normal"/>
    <w:rsid w:val="00B62C8A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B62C8A"/>
  </w:style>
  <w:style w:type="paragraph" w:customStyle="1" w:styleId="NormalCentered">
    <w:name w:val="Normal Centered"/>
    <w:basedOn w:val="Normal"/>
    <w:rsid w:val="00B62C8A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B62C8A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B62C8A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B62C8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B62C8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B62C8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B62C8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62C8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B62C8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B62C8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B62C8A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B62C8A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B62C8A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B62C8A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B62C8A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B62C8A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B62C8A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B62C8A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B62C8A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B62C8A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B62C8A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B62C8A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B62C8A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B62C8A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B62C8A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B62C8A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B62C8A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B62C8A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B62C8A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B62C8A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B62C8A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B62C8A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B62C8A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B62C8A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B62C8A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B62C8A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B62C8A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B62C8A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B62C8A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B62C8A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B62C8A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B62C8A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B62C8A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B62C8A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B62C8A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B62C8A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B62C8A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B62C8A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B62C8A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B62C8A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B62C8A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B62C8A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B62C8A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B62C8A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B62C8A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B62C8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B62C8A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B62C8A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B62C8A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B62C8A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B62C8A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B62C8A"/>
    <w:pPr>
      <w:jc w:val="center"/>
    </w:pPr>
  </w:style>
  <w:style w:type="paragraph" w:customStyle="1" w:styleId="Jardin">
    <w:name w:val="Jardin"/>
    <w:basedOn w:val="Normal"/>
    <w:rsid w:val="00B62C8A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B62C8A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B62C8A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B62C8A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B62C8A"/>
    <w:rPr>
      <w:b/>
    </w:rPr>
  </w:style>
  <w:style w:type="paragraph" w:customStyle="1" w:styleId="Annex">
    <w:name w:val="Annex"/>
    <w:basedOn w:val="Normal"/>
    <w:next w:val="Normal"/>
    <w:rsid w:val="00B62C8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B62C8A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B62C8A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B62C8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62C8A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B62C8A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62C8A"/>
    <w:rPr>
      <w:rFonts w:eastAsia="Calibri"/>
      <w:lang w:val="pt-PT" w:eastAsia="en-US"/>
    </w:rPr>
  </w:style>
  <w:style w:type="character" w:styleId="EndnoteReference">
    <w:name w:val="endnote reference"/>
    <w:basedOn w:val="DefaultParagraphFont"/>
    <w:uiPriority w:val="99"/>
    <w:unhideWhenUsed/>
    <w:rsid w:val="00B62C8A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B62C8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B62C8A"/>
    <w:rPr>
      <w:rFonts w:eastAsia="Calibri"/>
      <w:sz w:val="24"/>
      <w:szCs w:val="22"/>
      <w:lang w:val="pt-P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B62C8A"/>
    <w:rPr>
      <w:rFonts w:eastAsia="Calibri"/>
      <w:sz w:val="2"/>
      <w:szCs w:val="22"/>
      <w:lang w:val="pt-PT" w:eastAsia="en-US"/>
    </w:rPr>
  </w:style>
  <w:style w:type="paragraph" w:customStyle="1" w:styleId="FooterText">
    <w:name w:val="Footer Text"/>
    <w:basedOn w:val="Normal"/>
    <w:rsid w:val="00B62C8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62C8A"/>
    <w:rPr>
      <w:color w:val="808080"/>
    </w:rPr>
  </w:style>
  <w:style w:type="paragraph" w:customStyle="1" w:styleId="Lignefin">
    <w:name w:val="Ligne fin"/>
    <w:basedOn w:val="Normal"/>
    <w:rsid w:val="00B62C8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B62C8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pt-PT" w:eastAsia="en-US"/>
    </w:rPr>
  </w:style>
  <w:style w:type="paragraph" w:styleId="ListBullet">
    <w:name w:val="List Bullet"/>
    <w:basedOn w:val="Normal"/>
    <w:unhideWhenUsed/>
    <w:rsid w:val="00B62C8A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nhideWhenUsed/>
    <w:rsid w:val="00B62C8A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nhideWhenUsed/>
    <w:rsid w:val="00B62C8A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nhideWhenUsed/>
    <w:rsid w:val="00B62C8A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62C8A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B62C8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B62C8A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customStyle="1" w:styleId="UnresolvedMention1">
    <w:name w:val="Unresolved Mention1"/>
    <w:basedOn w:val="DefaultParagraphFont"/>
    <w:uiPriority w:val="99"/>
    <w:unhideWhenUsed/>
    <w:rsid w:val="00B62C8A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B62C8A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2C8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ListParagraph"/>
    <w:uiPriority w:val="34"/>
    <w:qFormat/>
    <w:locked/>
    <w:rsid w:val="00B62C8A"/>
    <w:rPr>
      <w:sz w:val="24"/>
      <w:lang w:val="pt-PT"/>
    </w:rPr>
  </w:style>
  <w:style w:type="character" w:styleId="Hyperlink">
    <w:name w:val="Hyperlink"/>
    <w:basedOn w:val="DefaultParagraphFont"/>
    <w:uiPriority w:val="99"/>
    <w:unhideWhenUsed/>
    <w:rsid w:val="00B62C8A"/>
    <w:rPr>
      <w:color w:val="0000FF"/>
      <w:u w:val="single"/>
    </w:rPr>
  </w:style>
  <w:style w:type="character" w:customStyle="1" w:styleId="FollowedHyperlink1">
    <w:name w:val="FollowedHyperlink1"/>
    <w:basedOn w:val="DefaultParagraphFont"/>
    <w:unhideWhenUsed/>
    <w:rsid w:val="00B62C8A"/>
    <w:rPr>
      <w:color w:val="800080"/>
      <w:u w:val="single"/>
    </w:rPr>
  </w:style>
  <w:style w:type="paragraph" w:customStyle="1" w:styleId="paragraph">
    <w:name w:val="paragraph"/>
    <w:basedOn w:val="Normal"/>
    <w:rsid w:val="00B62C8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B62C8A"/>
  </w:style>
  <w:style w:type="character" w:customStyle="1" w:styleId="eop">
    <w:name w:val="eop"/>
    <w:basedOn w:val="DefaultParagraphFont"/>
    <w:rsid w:val="00B62C8A"/>
  </w:style>
  <w:style w:type="character" w:styleId="Emphasis">
    <w:name w:val="Emphasis"/>
    <w:basedOn w:val="DefaultParagraphFont"/>
    <w:uiPriority w:val="20"/>
    <w:qFormat/>
    <w:rsid w:val="00B62C8A"/>
    <w:rPr>
      <w:i/>
      <w:iCs/>
    </w:rPr>
  </w:style>
  <w:style w:type="table" w:customStyle="1" w:styleId="TableGrid2">
    <w:name w:val="Table Grid2"/>
    <w:basedOn w:val="TableNormal"/>
    <w:next w:val="TableGrid"/>
    <w:uiPriority w:val="59"/>
    <w:rsid w:val="00B62C8A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unhideWhenUsed/>
    <w:rsid w:val="00B62C8A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B62C8A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B62C8A"/>
    <w:rPr>
      <w:rFonts w:eastAsia="Calibri"/>
      <w:sz w:val="24"/>
      <w:szCs w:val="22"/>
      <w:lang w:val="pt-PT" w:eastAsia="en-US"/>
    </w:rPr>
  </w:style>
  <w:style w:type="character" w:customStyle="1" w:styleId="FooterSensitivityChar">
    <w:name w:val="Footer Sensitivity Char"/>
    <w:basedOn w:val="DefaultParagraphFont"/>
    <w:rsid w:val="00B62C8A"/>
    <w:rPr>
      <w:rFonts w:ascii="Times New Roman" w:hAnsi="Times New Roman" w:cs="Times New Roman"/>
      <w:b/>
      <w:sz w:val="32"/>
      <w:lang w:val="pt-PT"/>
    </w:rPr>
  </w:style>
  <w:style w:type="paragraph" w:customStyle="1" w:styleId="HeaderCoverPage">
    <w:name w:val="Header Cover Page"/>
    <w:basedOn w:val="Normal"/>
    <w:link w:val="HeaderCoverPageChar"/>
    <w:rsid w:val="00B62C8A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B62C8A"/>
    <w:rPr>
      <w:rFonts w:eastAsia="Calibri"/>
      <w:sz w:val="24"/>
      <w:szCs w:val="22"/>
      <w:lang w:val="pt-PT" w:eastAsia="en-US"/>
    </w:rPr>
  </w:style>
  <w:style w:type="character" w:customStyle="1" w:styleId="HeaderSensitivityChar">
    <w:name w:val="Header Sensitivity Char"/>
    <w:basedOn w:val="DefaultParagraphFont"/>
    <w:rsid w:val="00B62C8A"/>
    <w:rPr>
      <w:rFonts w:ascii="Times New Roman" w:hAnsi="Times New Roman" w:cs="Times New Roman"/>
      <w:b/>
      <w:sz w:val="32"/>
      <w:lang w:val="pt-PT"/>
    </w:rPr>
  </w:style>
  <w:style w:type="character" w:customStyle="1" w:styleId="HeaderSensitivityRightChar">
    <w:name w:val="Header Sensitivity Right Char"/>
    <w:basedOn w:val="DefaultParagraphFont"/>
    <w:rsid w:val="00B62C8A"/>
    <w:rPr>
      <w:rFonts w:ascii="Times New Roman" w:hAnsi="Times New Roman" w:cs="Times New Roman"/>
      <w:sz w:val="28"/>
      <w:lang w:val="pt-PT"/>
    </w:rPr>
  </w:style>
  <w:style w:type="paragraph" w:styleId="ListNumber">
    <w:name w:val="List Number"/>
    <w:basedOn w:val="Normal"/>
    <w:rsid w:val="00B62C8A"/>
    <w:pPr>
      <w:widowControl/>
      <w:numPr>
        <w:numId w:val="28"/>
      </w:numPr>
      <w:tabs>
        <w:tab w:val="clear" w:pos="709"/>
        <w:tab w:val="num" w:pos="2835"/>
      </w:tabs>
      <w:spacing w:before="120" w:after="120"/>
      <w:ind w:left="2835" w:hanging="567"/>
      <w:jc w:val="both"/>
    </w:pPr>
    <w:rPr>
      <w:rFonts w:eastAsia="Calibri"/>
      <w:szCs w:val="22"/>
    </w:rPr>
  </w:style>
  <w:style w:type="paragraph" w:customStyle="1" w:styleId="ListBullet1">
    <w:name w:val="List Bullet 1"/>
    <w:basedOn w:val="Normal"/>
    <w:rsid w:val="00B62C8A"/>
    <w:pPr>
      <w:widowControl/>
      <w:numPr>
        <w:numId w:val="24"/>
      </w:numPr>
      <w:tabs>
        <w:tab w:val="clear" w:pos="1134"/>
        <w:tab w:val="num" w:pos="567"/>
      </w:tabs>
      <w:spacing w:before="120" w:after="120"/>
      <w:ind w:left="567" w:hanging="567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B62C8A"/>
    <w:pPr>
      <w:widowControl/>
      <w:numPr>
        <w:numId w:val="25"/>
      </w:numPr>
      <w:tabs>
        <w:tab w:val="clear" w:pos="283"/>
        <w:tab w:val="num" w:pos="1134"/>
      </w:tabs>
      <w:spacing w:before="120" w:after="120"/>
      <w:ind w:left="1134" w:hanging="567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B62C8A"/>
    <w:pPr>
      <w:widowControl/>
      <w:numPr>
        <w:numId w:val="26"/>
      </w:numPr>
      <w:tabs>
        <w:tab w:val="clear" w:pos="1134"/>
        <w:tab w:val="num" w:pos="1701"/>
      </w:tabs>
      <w:spacing w:before="120" w:after="120"/>
      <w:ind w:left="1701" w:hanging="567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B62C8A"/>
    <w:pPr>
      <w:widowControl/>
      <w:numPr>
        <w:numId w:val="27"/>
      </w:numPr>
      <w:tabs>
        <w:tab w:val="clear" w:pos="1134"/>
        <w:tab w:val="num" w:pos="2268"/>
      </w:tabs>
      <w:spacing w:before="120" w:after="120"/>
      <w:ind w:left="2268" w:hanging="567"/>
      <w:jc w:val="both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rsid w:val="00B62C8A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rsid w:val="00B62C8A"/>
    <w:pPr>
      <w:widowControl/>
      <w:numPr>
        <w:ilvl w:val="2"/>
        <w:numId w:val="28"/>
      </w:numPr>
      <w:tabs>
        <w:tab w:val="clear" w:pos="2126"/>
        <w:tab w:val="num" w:pos="2835"/>
      </w:tabs>
      <w:spacing w:before="120" w:after="120"/>
      <w:ind w:left="2835" w:hanging="567"/>
      <w:jc w:val="both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rsid w:val="00B62C8A"/>
    <w:pPr>
      <w:widowControl/>
      <w:numPr>
        <w:ilvl w:val="3"/>
        <w:numId w:val="28"/>
      </w:numPr>
      <w:spacing w:before="120" w:after="120"/>
      <w:ind w:hanging="567"/>
      <w:jc w:val="both"/>
    </w:pPr>
    <w:rPr>
      <w:rFonts w:eastAsia="Calibri"/>
      <w:szCs w:val="22"/>
    </w:rPr>
  </w:style>
  <w:style w:type="paragraph" w:styleId="Caption">
    <w:name w:val="caption"/>
    <w:basedOn w:val="Normal"/>
    <w:next w:val="Normal"/>
    <w:qFormat/>
    <w:rsid w:val="00B62C8A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styleId="TableofFigures">
    <w:name w:val="table of figures"/>
    <w:basedOn w:val="Normal"/>
    <w:next w:val="Normal"/>
    <w:rsid w:val="00B62C8A"/>
    <w:pPr>
      <w:widowControl/>
      <w:spacing w:before="120" w:after="120"/>
      <w:jc w:val="both"/>
    </w:pPr>
    <w:rPr>
      <w:rFonts w:eastAsia="Calibri"/>
      <w:szCs w:val="22"/>
    </w:rPr>
  </w:style>
  <w:style w:type="paragraph" w:styleId="ListNumber2">
    <w:name w:val="List Number 2"/>
    <w:basedOn w:val="Normal"/>
    <w:rsid w:val="00B62C8A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</w:rPr>
  </w:style>
  <w:style w:type="paragraph" w:styleId="ListNumber3">
    <w:name w:val="List Number 3"/>
    <w:basedOn w:val="Normal"/>
    <w:rsid w:val="00B62C8A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</w:rPr>
  </w:style>
  <w:style w:type="paragraph" w:styleId="ListNumber4">
    <w:name w:val="List Number 4"/>
    <w:basedOn w:val="Normal"/>
    <w:rsid w:val="00B62C8A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</w:rPr>
  </w:style>
  <w:style w:type="paragraph" w:customStyle="1" w:styleId="Sous-titreobjet">
    <w:name w:val="Sous-titre objet"/>
    <w:basedOn w:val="Normal"/>
    <w:rsid w:val="00B62C8A"/>
    <w:pPr>
      <w:widowControl/>
      <w:jc w:val="center"/>
    </w:pPr>
    <w:rPr>
      <w:rFonts w:eastAsia="Calibr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B62C8A"/>
  </w:style>
  <w:style w:type="character" w:customStyle="1" w:styleId="TOCHeadingChar">
    <w:name w:val="TOC Heading Char"/>
    <w:basedOn w:val="DefaultParagraphFont"/>
    <w:uiPriority w:val="39"/>
    <w:rsid w:val="00B62C8A"/>
    <w:rPr>
      <w:rFonts w:ascii="Times New Roman" w:hAnsi="Times New Roman" w:cs="Times New Roman"/>
      <w:b/>
      <w:sz w:val="28"/>
      <w:lang w:val="pt-PT"/>
    </w:rPr>
  </w:style>
  <w:style w:type="character" w:customStyle="1" w:styleId="Mention2">
    <w:name w:val="Mention2"/>
    <w:basedOn w:val="DefaultParagraphFont"/>
    <w:uiPriority w:val="99"/>
    <w:unhideWhenUsed/>
    <w:rsid w:val="00B62C8A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62C8A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B62C8A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62C8A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62C8A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62C8A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62C8A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62C8A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B62C8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B62C8A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B62C8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B62C8A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B62C8A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B62C8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B62C8A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B62C8A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B62C8A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B62C8A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B62C8A"/>
    <w:pPr>
      <w:numPr>
        <w:numId w:val="23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B62C8A"/>
    <w:pPr>
      <w:numPr>
        <w:numId w:val="29"/>
      </w:numPr>
      <w:tabs>
        <w:tab w:val="clear" w:pos="1417"/>
        <w:tab w:val="num" w:pos="2268"/>
      </w:tabs>
      <w:ind w:left="2268"/>
    </w:pPr>
    <w:rPr>
      <w:rFonts w:eastAsia="Calibri"/>
    </w:rPr>
  </w:style>
  <w:style w:type="paragraph" w:customStyle="1" w:styleId="Tiret2">
    <w:name w:val="Tiret 2"/>
    <w:basedOn w:val="Point2"/>
    <w:rsid w:val="00B62C8A"/>
    <w:pPr>
      <w:numPr>
        <w:numId w:val="30"/>
      </w:numPr>
      <w:tabs>
        <w:tab w:val="clear" w:pos="1984"/>
        <w:tab w:val="num" w:pos="2835"/>
      </w:tabs>
      <w:ind w:left="2835"/>
    </w:pPr>
  </w:style>
  <w:style w:type="paragraph" w:customStyle="1" w:styleId="Tiret3">
    <w:name w:val="Tiret 3"/>
    <w:basedOn w:val="Point3"/>
    <w:rsid w:val="00B62C8A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B62C8A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Tiret5">
    <w:name w:val="Tiret 5"/>
    <w:basedOn w:val="Point5"/>
    <w:rsid w:val="00B62C8A"/>
    <w:pPr>
      <w:numPr>
        <w:numId w:val="33"/>
      </w:numPr>
      <w:tabs>
        <w:tab w:val="clear" w:pos="3685"/>
        <w:tab w:val="num" w:pos="567"/>
      </w:tabs>
      <w:ind w:left="567"/>
    </w:pPr>
  </w:style>
  <w:style w:type="paragraph" w:customStyle="1" w:styleId="PointDouble0">
    <w:name w:val="PointDouble 0"/>
    <w:basedOn w:val="Normal"/>
    <w:rsid w:val="00B62C8A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B62C8A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B62C8A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B62C8A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B62C8A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B62C8A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B62C8A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B62C8A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B62C8A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B62C8A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B62C8A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B62C8A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B62C8A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B62C8A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B62C8A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B62C8A"/>
    <w:pPr>
      <w:widowControl/>
      <w:numPr>
        <w:ilvl w:val="5"/>
        <w:numId w:val="34"/>
      </w:numPr>
      <w:tabs>
        <w:tab w:val="clear" w:pos="1417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B62C8A"/>
    <w:pPr>
      <w:widowControl/>
      <w:numPr>
        <w:ilvl w:val="6"/>
        <w:numId w:val="34"/>
      </w:numPr>
      <w:tabs>
        <w:tab w:val="clear" w:pos="1417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62C8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62C8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62C8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62C8A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62C8A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62C8A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B62C8A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62C8A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62C8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62C8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62C8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B62C8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B62C8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B62C8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62C8A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62C8A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62C8A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62C8A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B62C8A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B62C8A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B62C8A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B62C8A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B62C8A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B62C8A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B62C8A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B62C8A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B62C8A"/>
    <w:pPr>
      <w:widowControl/>
      <w:numPr>
        <w:ilvl w:val="7"/>
        <w:numId w:val="35"/>
      </w:numPr>
      <w:tabs>
        <w:tab w:val="clear" w:pos="2551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B62C8A"/>
    <w:pPr>
      <w:widowControl/>
      <w:numPr>
        <w:ilvl w:val="8"/>
        <w:numId w:val="35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B62C8A"/>
    <w:pPr>
      <w:widowControl/>
      <w:numPr>
        <w:numId w:val="36"/>
      </w:numPr>
      <w:tabs>
        <w:tab w:val="clear" w:pos="850"/>
        <w:tab w:val="num" w:pos="1134"/>
      </w:tabs>
      <w:spacing w:before="120" w:after="120"/>
      <w:ind w:left="1134" w:hanging="283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B62C8A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B62C8A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B62C8A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B62C8A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B62C8A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B62C8A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B62C8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B62C8A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B62C8A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B62C8A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B62C8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B62C8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B62C8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B62C8A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B62C8A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B62C8A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B62C8A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B62C8A"/>
    <w:pPr>
      <w:widowControl/>
      <w:numPr>
        <w:numId w:val="37"/>
      </w:numPr>
      <w:tabs>
        <w:tab w:val="clear" w:pos="709"/>
        <w:tab w:val="num" w:pos="283"/>
      </w:tabs>
      <w:spacing w:before="120" w:after="120"/>
      <w:ind w:left="283" w:hanging="283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B62C8A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62C8A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B62C8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B62C8A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62C8A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62C8A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62C8A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62C8A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62C8A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B62C8A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62C8A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62C8A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62C8A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B62C8A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B62C8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B62C8A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B62C8A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B62C8A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B62C8A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B62C8A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B62C8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62C8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62C8A"/>
  </w:style>
  <w:style w:type="paragraph" w:customStyle="1" w:styleId="StatutPagedecouverture">
    <w:name w:val="Statut (Page de couverture)"/>
    <w:basedOn w:val="Statut"/>
    <w:next w:val="TypedudocumentPagedecouverture"/>
    <w:rsid w:val="00B62C8A"/>
  </w:style>
  <w:style w:type="paragraph" w:customStyle="1" w:styleId="TitreobjetPagedecouverture">
    <w:name w:val="Titre objet (Page de couverture)"/>
    <w:basedOn w:val="Titreobjet"/>
    <w:next w:val="IntrtEEEPagedecouverture"/>
    <w:rsid w:val="00B62C8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B62C8A"/>
  </w:style>
  <w:style w:type="paragraph" w:customStyle="1" w:styleId="Volume">
    <w:name w:val="Volume"/>
    <w:basedOn w:val="Normal"/>
    <w:next w:val="Confidentialit"/>
    <w:rsid w:val="00B62C8A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62C8A"/>
    <w:pPr>
      <w:spacing w:after="240"/>
    </w:pPr>
  </w:style>
  <w:style w:type="paragraph" w:customStyle="1" w:styleId="Accompagnant">
    <w:name w:val="Accompagnant"/>
    <w:basedOn w:val="Normal"/>
    <w:next w:val="Typeacteprincipal"/>
    <w:rsid w:val="00B62C8A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B62C8A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B62C8A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B62C8A"/>
  </w:style>
  <w:style w:type="paragraph" w:customStyle="1" w:styleId="AccompagnantPagedecouverture">
    <w:name w:val="Accompagnant (Page de couverture)"/>
    <w:basedOn w:val="Accompagnant"/>
    <w:next w:val="TypeacteprincipalPagedecouverture"/>
    <w:rsid w:val="00B62C8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62C8A"/>
  </w:style>
  <w:style w:type="paragraph" w:customStyle="1" w:styleId="ObjetacteprincipalPagedecouverture">
    <w:name w:val="Objet acte principal (Page de couverture)"/>
    <w:basedOn w:val="Objetacteprincipal"/>
    <w:next w:val="Rfrencecroise"/>
    <w:rsid w:val="00B62C8A"/>
  </w:style>
  <w:style w:type="paragraph" w:customStyle="1" w:styleId="LanguesfaisantfoiPagedecouverture">
    <w:name w:val="Langues faisant foi (Page de couverture)"/>
    <w:basedOn w:val="Normal"/>
    <w:next w:val="Normal"/>
    <w:rsid w:val="00B62C8A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B62C8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B62C8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B62C8A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B62C8A"/>
    <w:rPr>
      <w:rFonts w:eastAsia="Calibri"/>
      <w:sz w:val="24"/>
      <w:szCs w:val="22"/>
      <w:lang w:val="pt-PT" w:eastAsia="en-US"/>
    </w:rPr>
  </w:style>
  <w:style w:type="paragraph" w:customStyle="1" w:styleId="nbbordered">
    <w:name w:val="nb bordered"/>
    <w:basedOn w:val="Normal"/>
    <w:link w:val="nbborderedChar"/>
    <w:rsid w:val="00B62C8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B62C8A"/>
    <w:rPr>
      <w:rFonts w:eastAsia="Calibri"/>
      <w:b/>
      <w:sz w:val="24"/>
      <w:szCs w:val="22"/>
      <w:lang w:val="pt-PT" w:eastAsia="en-US"/>
    </w:rPr>
  </w:style>
  <w:style w:type="character" w:customStyle="1" w:styleId="HeaderCouncilChar">
    <w:name w:val="Header Council Char"/>
    <w:basedOn w:val="DefaultParagraphFont"/>
    <w:link w:val="HeaderCouncil"/>
    <w:rsid w:val="00B62C8A"/>
    <w:rPr>
      <w:rFonts w:eastAsia="Calibri"/>
      <w:sz w:val="2"/>
      <w:szCs w:val="22"/>
      <w:lang w:val="pt-PT" w:eastAsia="en-US"/>
    </w:rPr>
  </w:style>
  <w:style w:type="character" w:customStyle="1" w:styleId="FooterCouncilChar">
    <w:name w:val="Footer Council Char"/>
    <w:basedOn w:val="DefaultParagraphFont"/>
    <w:link w:val="FooterCouncil"/>
    <w:rsid w:val="00B62C8A"/>
    <w:rPr>
      <w:rFonts w:eastAsia="Calibri"/>
      <w:sz w:val="2"/>
      <w:szCs w:val="22"/>
      <w:lang w:val="pt-PT" w:eastAsia="en-US"/>
    </w:rPr>
  </w:style>
  <w:style w:type="paragraph" w:customStyle="1" w:styleId="ListDash3">
    <w:name w:val="List Dash 3"/>
    <w:basedOn w:val="Normal"/>
    <w:rsid w:val="00B62C8A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B62C8A"/>
    <w:pPr>
      <w:widowControl/>
      <w:numPr>
        <w:numId w:val="39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B62C8A"/>
    <w:pPr>
      <w:numPr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B62C8A"/>
    <w:pPr>
      <w:numPr>
        <w:ilvl w:val="1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B62C8A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B62C8A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B62C8A"/>
    <w:pPr>
      <w:tabs>
        <w:tab w:val="num" w:pos="2268"/>
      </w:tabs>
      <w:spacing w:line="240" w:lineRule="auto"/>
      <w:ind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B62C8A"/>
    <w:pPr>
      <w:numPr>
        <w:ilvl w:val="2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B62C8A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B62C8A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B62C8A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B62C8A"/>
    <w:pPr>
      <w:numPr>
        <w:ilvl w:val="3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B62C8A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B62C8A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B62C8A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B62C8A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B62C8A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B62C8A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B62C8A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B62C8A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B62C8A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B62C8A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B62C8A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B62C8A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B62C8A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B62C8A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B62C8A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B62C8A"/>
    <w:rPr>
      <w:vanish/>
      <w:color w:val="800080"/>
      <w:vertAlign w:val="subscript"/>
    </w:rPr>
  </w:style>
  <w:style w:type="character" w:customStyle="1" w:styleId="marker0">
    <w:name w:val="marker"/>
    <w:basedOn w:val="DefaultParagraphFont"/>
    <w:rsid w:val="00B62C8A"/>
    <w:rPr>
      <w:color w:val="0000FF"/>
    </w:rPr>
  </w:style>
  <w:style w:type="character" w:customStyle="1" w:styleId="Marker00">
    <w:name w:val="Marker0"/>
    <w:basedOn w:val="DefaultParagraphFont"/>
    <w:rsid w:val="00B62C8A"/>
    <w:rPr>
      <w:color w:val="0000FF"/>
      <w:shd w:val="clear" w:color="auto" w:fill="auto"/>
    </w:rPr>
  </w:style>
  <w:style w:type="character" w:customStyle="1" w:styleId="Marker10">
    <w:name w:val="Marker10"/>
    <w:basedOn w:val="DefaultParagraphFont"/>
    <w:rsid w:val="00B62C8A"/>
    <w:rPr>
      <w:color w:val="008000"/>
      <w:shd w:val="clear" w:color="auto" w:fill="auto"/>
    </w:rPr>
  </w:style>
  <w:style w:type="character" w:customStyle="1" w:styleId="Marker000">
    <w:name w:val="Marker00"/>
    <w:basedOn w:val="DefaultParagraphFont"/>
    <w:rsid w:val="00B62C8A"/>
    <w:rPr>
      <w:color w:val="0000FF"/>
      <w:shd w:val="clear" w:color="auto" w:fill="auto"/>
    </w:rPr>
  </w:style>
  <w:style w:type="character" w:customStyle="1" w:styleId="Marker100">
    <w:name w:val="Marker1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">
    <w:name w:val="Marker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">
    <w:name w:val="Marker1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">
    <w:name w:val="Marker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">
    <w:name w:val="Marker1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">
    <w:name w:val="Marker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">
    <w:name w:val="Marker1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">
    <w:name w:val="Marker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">
    <w:name w:val="Marker1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">
    <w:name w:val="Marker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">
    <w:name w:val="Marker1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">
    <w:name w:val="Marker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">
    <w:name w:val="Marker1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">
    <w:name w:val="Marker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">
    <w:name w:val="Marker1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">
    <w:name w:val="Marker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">
    <w:name w:val="Marker1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">
    <w:name w:val="Marker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">
    <w:name w:val="Marker1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">
    <w:name w:val="Marker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">
    <w:name w:val="Marker1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">
    <w:name w:val="Marker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">
    <w:name w:val="Marker1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">
    <w:name w:val="Marker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">
    <w:name w:val="Marker1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">
    <w:name w:val="Marker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">
    <w:name w:val="Marker1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">
    <w:name w:val="Marker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">
    <w:name w:val="Marker1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">
    <w:name w:val="Marker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">
    <w:name w:val="Marker1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">
    <w:name w:val="Marker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">
    <w:name w:val="Marker1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">
    <w:name w:val="Marker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">
    <w:name w:val="Marker1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">
    <w:name w:val="Marker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">
    <w:name w:val="Marker1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">
    <w:name w:val="Marker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1">
    <w:name w:val="Marker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10000000000000000000000000">
    <w:name w:val="Marker1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">
    <w:name w:val="Marker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">
    <w:name w:val="Marker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B62C8A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0"/>
    <w:basedOn w:val="DefaultParagraphFont"/>
    <w:rsid w:val="00B62C8A"/>
    <w:rPr>
      <w:color w:val="0000FF"/>
      <w:shd w:val="clear" w:color="auto" w:fill="auto"/>
    </w:rPr>
  </w:style>
  <w:style w:type="character" w:customStyle="1" w:styleId="Marker11">
    <w:name w:val="Marker11"/>
    <w:basedOn w:val="DefaultParagraphFont"/>
    <w:rsid w:val="00B62C8A"/>
    <w:rPr>
      <w:color w:val="008000"/>
      <w:shd w:val="clear" w:color="auto" w:fill="auto"/>
    </w:rPr>
  </w:style>
  <w:style w:type="character" w:customStyle="1" w:styleId="Marker3">
    <w:name w:val="Marker3"/>
    <w:basedOn w:val="DefaultParagraphFont"/>
    <w:rsid w:val="00B62C8A"/>
    <w:rPr>
      <w:color w:val="0000FF"/>
      <w:shd w:val="clear" w:color="auto" w:fill="auto"/>
    </w:rPr>
  </w:style>
  <w:style w:type="character" w:customStyle="1" w:styleId="Marker12">
    <w:name w:val="Marker12"/>
    <w:basedOn w:val="DefaultParagraphFont"/>
    <w:rsid w:val="00B62C8A"/>
    <w:rPr>
      <w:color w:val="008000"/>
      <w:shd w:val="clear" w:color="auto" w:fill="auto"/>
    </w:rPr>
  </w:style>
  <w:style w:type="character" w:customStyle="1" w:styleId="Marker20">
    <w:name w:val="Marker20"/>
    <w:basedOn w:val="DefaultParagraphFont"/>
    <w:rsid w:val="00B62C8A"/>
    <w:rPr>
      <w:color w:val="FF0000"/>
      <w:shd w:val="clear" w:color="auto" w:fill="auto"/>
    </w:rPr>
  </w:style>
  <w:style w:type="character" w:customStyle="1" w:styleId="Marker4">
    <w:name w:val="Marker4"/>
    <w:basedOn w:val="DefaultParagraphFont"/>
    <w:rsid w:val="00B62C8A"/>
    <w:rPr>
      <w:color w:val="0000FF"/>
      <w:shd w:val="clear" w:color="auto" w:fill="auto"/>
    </w:rPr>
  </w:style>
  <w:style w:type="character" w:customStyle="1" w:styleId="Marker13">
    <w:name w:val="Marker13"/>
    <w:basedOn w:val="DefaultParagraphFont"/>
    <w:rsid w:val="00B62C8A"/>
    <w:rPr>
      <w:color w:val="0000FF"/>
      <w:shd w:val="clear" w:color="auto" w:fill="auto"/>
    </w:rPr>
  </w:style>
  <w:style w:type="character" w:customStyle="1" w:styleId="Marker21">
    <w:name w:val="Marker21"/>
    <w:basedOn w:val="DefaultParagraphFont"/>
    <w:rsid w:val="00B62C8A"/>
    <w:rPr>
      <w:color w:val="FF0000"/>
      <w:shd w:val="clear" w:color="auto" w:fill="auto"/>
    </w:rPr>
  </w:style>
  <w:style w:type="character" w:customStyle="1" w:styleId="Marker110">
    <w:name w:val="Marker110"/>
    <w:basedOn w:val="DefaultParagraphFont"/>
    <w:rsid w:val="00B62C8A"/>
    <w:rPr>
      <w:color w:val="008000"/>
      <w:shd w:val="clear" w:color="auto" w:fill="auto"/>
    </w:rPr>
  </w:style>
  <w:style w:type="character" w:customStyle="1" w:styleId="Marker30">
    <w:name w:val="Marker30"/>
    <w:basedOn w:val="DefaultParagraphFont"/>
    <w:rsid w:val="00B62C8A"/>
    <w:rPr>
      <w:color w:val="0000FF"/>
      <w:shd w:val="clear" w:color="auto" w:fill="auto"/>
    </w:rPr>
  </w:style>
  <w:style w:type="character" w:customStyle="1" w:styleId="Marker120">
    <w:name w:val="Marker120"/>
    <w:basedOn w:val="DefaultParagraphFont"/>
    <w:rsid w:val="00B62C8A"/>
    <w:rPr>
      <w:color w:val="008000"/>
      <w:shd w:val="clear" w:color="auto" w:fill="auto"/>
    </w:rPr>
  </w:style>
  <w:style w:type="character" w:customStyle="1" w:styleId="Marker200">
    <w:name w:val="Marker200"/>
    <w:basedOn w:val="DefaultParagraphFont"/>
    <w:rsid w:val="00B62C8A"/>
    <w:rPr>
      <w:color w:val="FF0000"/>
      <w:shd w:val="clear" w:color="auto" w:fill="auto"/>
    </w:rPr>
  </w:style>
  <w:style w:type="character" w:customStyle="1" w:styleId="Marker40">
    <w:name w:val="Marker40"/>
    <w:basedOn w:val="DefaultParagraphFont"/>
    <w:rsid w:val="00B62C8A"/>
    <w:rPr>
      <w:color w:val="0000FF"/>
      <w:shd w:val="clear" w:color="auto" w:fill="auto"/>
    </w:rPr>
  </w:style>
  <w:style w:type="character" w:customStyle="1" w:styleId="Marker130">
    <w:name w:val="Marker130"/>
    <w:basedOn w:val="DefaultParagraphFont"/>
    <w:rsid w:val="00B62C8A"/>
    <w:rPr>
      <w:color w:val="008000"/>
      <w:shd w:val="clear" w:color="auto" w:fill="auto"/>
    </w:rPr>
  </w:style>
  <w:style w:type="character" w:customStyle="1" w:styleId="Marker210">
    <w:name w:val="Marker210"/>
    <w:basedOn w:val="DefaultParagraphFont"/>
    <w:rsid w:val="00B62C8A"/>
    <w:rPr>
      <w:color w:val="FF0000"/>
      <w:shd w:val="clear" w:color="auto" w:fill="auto"/>
    </w:rPr>
  </w:style>
  <w:style w:type="character" w:customStyle="1" w:styleId="Marker14">
    <w:name w:val="Marker14"/>
    <w:basedOn w:val="DefaultParagraphFont"/>
    <w:rsid w:val="00B62C8A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B62C8A"/>
  </w:style>
  <w:style w:type="paragraph" w:customStyle="1" w:styleId="xoj-normal">
    <w:name w:val="x_oj-normal"/>
    <w:basedOn w:val="Normal"/>
    <w:rsid w:val="00B62C8A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B62C8A"/>
  </w:style>
  <w:style w:type="character" w:customStyle="1" w:styleId="cf01">
    <w:name w:val="cf01"/>
    <w:basedOn w:val="DefaultParagraphFont"/>
    <w:rsid w:val="00B62C8A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basedOn w:val="DefaultParagraphFont"/>
    <w:uiPriority w:val="99"/>
    <w:unhideWhenUsed/>
    <w:rsid w:val="00B62C8A"/>
    <w:rPr>
      <w:color w:val="2B579A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62C8A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B62C8A"/>
  </w:style>
  <w:style w:type="character" w:customStyle="1" w:styleId="highlight">
    <w:name w:val="highlight"/>
    <w:basedOn w:val="DefaultParagraphFont"/>
    <w:rsid w:val="00B62C8A"/>
  </w:style>
  <w:style w:type="paragraph" w:customStyle="1" w:styleId="manualconsidrant0">
    <w:name w:val="manual considérant"/>
    <w:basedOn w:val="Normal"/>
    <w:uiPriority w:val="99"/>
    <w:rsid w:val="00B62C8A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B62C8A"/>
  </w:style>
  <w:style w:type="paragraph" w:customStyle="1" w:styleId="SignaturePersonne">
    <w:name w:val="Signature Personne"/>
    <w:basedOn w:val="Normal"/>
    <w:rsid w:val="00B62C8A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B62C8A"/>
    <w:pPr>
      <w:keepLines/>
      <w:widowControl w:val="0"/>
      <w:ind w:left="850" w:hanging="850"/>
    </w:pPr>
    <w:rPr>
      <w:sz w:val="24"/>
      <w:lang w:val="pt-PT" w:eastAsia="en-US"/>
    </w:rPr>
  </w:style>
  <w:style w:type="character" w:customStyle="1" w:styleId="Footer2">
    <w:name w:val="Footer2"/>
    <w:rsid w:val="00B62C8A"/>
    <w:rPr>
      <w:rFonts w:ascii="Arial" w:hAnsi="Arial"/>
      <w:b/>
      <w:sz w:val="48"/>
    </w:rPr>
  </w:style>
  <w:style w:type="paragraph" w:customStyle="1" w:styleId="Normale">
    <w:name w:val="Normale"/>
    <w:rsid w:val="00B62C8A"/>
    <w:pPr>
      <w:widowControl w:val="0"/>
      <w:spacing w:before="120" w:after="120" w:line="360" w:lineRule="auto"/>
    </w:pPr>
    <w:rPr>
      <w:sz w:val="24"/>
      <w:lang w:val="pt-PT" w:eastAsia="en-US"/>
    </w:rPr>
  </w:style>
  <w:style w:type="paragraph" w:customStyle="1" w:styleId="Footer1">
    <w:name w:val="Footer1"/>
    <w:basedOn w:val="Normal"/>
    <w:rsid w:val="00B62C8A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B62C8A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semiHidden/>
    <w:rsid w:val="00B62C8A"/>
    <w:rPr>
      <w:sz w:val="24"/>
      <w:szCs w:val="24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62C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62C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4/792/oj" TargetMode="External"/><Relationship Id="rId1" Type="http://schemas.openxmlformats.org/officeDocument/2006/relationships/hyperlink" Target="http://data.europa.eu/eli/reg/2024/79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F9F52-F703-4A99-87EF-42C47812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SEMEDO Teresa</cp:lastModifiedBy>
  <cp:revision>2</cp:revision>
  <cp:lastPrinted>2004-11-19T15:42:00Z</cp:lastPrinted>
  <dcterms:created xsi:type="dcterms:W3CDTF">2024-06-04T08:49:00Z</dcterms:created>
  <dcterms:modified xsi:type="dcterms:W3CDTF">2024-06-04T08:49:00Z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