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76BAA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476BAA" w:rsidRDefault="004362B3" w:rsidP="0010095E">
            <w:pPr>
              <w:pStyle w:val="EPName"/>
            </w:pPr>
            <w:r w:rsidRPr="00476BAA">
              <w:t>Euroopan parlamentti</w:t>
            </w:r>
          </w:p>
          <w:p w:rsidR="00751A4A" w:rsidRPr="00476BAA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76BAA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476BAA" w:rsidRDefault="00187494" w:rsidP="0010095E">
            <w:pPr>
              <w:pStyle w:val="EPLogo"/>
            </w:pPr>
            <w:r w:rsidRPr="00476BAA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476BAA" w:rsidRDefault="00D058B8" w:rsidP="004C5D52">
      <w:pPr>
        <w:pStyle w:val="LineTop"/>
      </w:pPr>
    </w:p>
    <w:p w:rsidR="00680577" w:rsidRPr="00476BAA" w:rsidRDefault="004362B3" w:rsidP="00680577">
      <w:pPr>
        <w:pStyle w:val="EPBodyTA1"/>
      </w:pPr>
      <w:r w:rsidRPr="00476BAA">
        <w:t>HYVÄKSYTYT TEKSTIT</w:t>
      </w:r>
    </w:p>
    <w:p w:rsidR="00D058B8" w:rsidRPr="00476BAA" w:rsidRDefault="00D058B8" w:rsidP="00D058B8">
      <w:pPr>
        <w:pStyle w:val="LineBottom"/>
      </w:pPr>
    </w:p>
    <w:p w:rsidR="004362B3" w:rsidRPr="00476BAA" w:rsidRDefault="004362B3" w:rsidP="004362B3">
      <w:pPr>
        <w:pStyle w:val="ATHeading1"/>
      </w:pPr>
      <w:bookmarkStart w:id="0" w:name="TANumber"/>
      <w:r w:rsidRPr="00476BAA">
        <w:t>P9_TA(2024)00</w:t>
      </w:r>
      <w:r w:rsidR="0086650E" w:rsidRPr="00476BAA">
        <w:t>85</w:t>
      </w:r>
      <w:bookmarkEnd w:id="0"/>
    </w:p>
    <w:p w:rsidR="004362B3" w:rsidRPr="00476BAA" w:rsidRDefault="00F0483E" w:rsidP="00F0483E">
      <w:pPr>
        <w:pStyle w:val="ATHeading2"/>
      </w:pPr>
      <w:bookmarkStart w:id="1" w:name="title"/>
      <w:r w:rsidRPr="00476BAA">
        <w:rPr>
          <w:bCs/>
        </w:rPr>
        <w:t>Toimittajien ja ihmisoikeuksien puolustajien suojeleminen ilmeisen perusteettomilta tai aiheettomilta kanteilta</w:t>
      </w:r>
      <w:bookmarkEnd w:id="1"/>
    </w:p>
    <w:p w:rsidR="004362B3" w:rsidRPr="00476BAA" w:rsidRDefault="004362B3" w:rsidP="004362B3">
      <w:pPr>
        <w:rPr>
          <w:i/>
          <w:vanish/>
        </w:rPr>
      </w:pPr>
      <w:r w:rsidRPr="00476BAA">
        <w:rPr>
          <w:i/>
        </w:rPr>
        <w:fldChar w:fldCharType="begin"/>
      </w:r>
      <w:r w:rsidRPr="00476BAA">
        <w:rPr>
          <w:i/>
        </w:rPr>
        <w:instrText xml:space="preserve"> TC"(</w:instrText>
      </w:r>
      <w:bookmarkStart w:id="2" w:name="DocNumber"/>
      <w:r w:rsidRPr="00476BAA">
        <w:rPr>
          <w:i/>
        </w:rPr>
        <w:instrText>A9-0223/2023</w:instrText>
      </w:r>
      <w:bookmarkEnd w:id="2"/>
      <w:r w:rsidRPr="00476BAA">
        <w:rPr>
          <w:i/>
        </w:rPr>
        <w:instrText xml:space="preserve"> - Esittelijä: Tiemo Wölken)"\l3 \n&gt; \* MERGEFORMAT </w:instrText>
      </w:r>
      <w:r w:rsidRPr="00476BAA">
        <w:rPr>
          <w:i/>
        </w:rPr>
        <w:fldChar w:fldCharType="end"/>
      </w:r>
    </w:p>
    <w:p w:rsidR="004362B3" w:rsidRPr="00476BAA" w:rsidRDefault="004362B3" w:rsidP="004362B3">
      <w:pPr>
        <w:rPr>
          <w:vanish/>
        </w:rPr>
      </w:pPr>
      <w:bookmarkStart w:id="3" w:name="Commission"/>
      <w:r w:rsidRPr="00476BAA">
        <w:rPr>
          <w:vanish/>
        </w:rPr>
        <w:t>Oikeudellisten asioiden valiokunta</w:t>
      </w:r>
      <w:bookmarkEnd w:id="3"/>
    </w:p>
    <w:p w:rsidR="004362B3" w:rsidRPr="00476BAA" w:rsidRDefault="004362B3" w:rsidP="004362B3">
      <w:pPr>
        <w:rPr>
          <w:vanish/>
        </w:rPr>
      </w:pPr>
      <w:bookmarkStart w:id="4" w:name="PE"/>
      <w:r w:rsidRPr="00476BAA">
        <w:rPr>
          <w:vanish/>
        </w:rPr>
        <w:t>PE745.170</w:t>
      </w:r>
      <w:bookmarkEnd w:id="4"/>
    </w:p>
    <w:p w:rsidR="004362B3" w:rsidRPr="00476BAA" w:rsidRDefault="004362B3" w:rsidP="004362B3">
      <w:pPr>
        <w:pStyle w:val="ATHeading3"/>
      </w:pPr>
      <w:bookmarkStart w:id="5" w:name="Sujet"/>
      <w:r w:rsidRPr="00476BAA">
        <w:t xml:space="preserve">Euroopan parlamentin lainsäädäntöpäätöslauselma </w:t>
      </w:r>
      <w:r w:rsidR="00F0483E" w:rsidRPr="00476BAA">
        <w:t>27</w:t>
      </w:r>
      <w:r w:rsidRPr="00476BAA">
        <w:t>. helmikuuta 2024 ehdotuksesta Euroopan parlamentin ja neuvoston direktiiviksi julkista osallistumista harjoittavien henkilöiden suojelemisesta ilmeisen perusteettomilta tai aiheettomilta kanteilta (”strategiset häirintätarkoituksessa nostetut kanteet”)</w:t>
      </w:r>
      <w:bookmarkEnd w:id="5"/>
      <w:r w:rsidRPr="00476BAA">
        <w:t xml:space="preserve"> </w:t>
      </w:r>
      <w:bookmarkStart w:id="6" w:name="References"/>
      <w:r w:rsidRPr="00476BAA">
        <w:t>(COM(2022)0177 – C9-0161/2022 – 2022/0117(COD))</w:t>
      </w:r>
      <w:bookmarkEnd w:id="6"/>
    </w:p>
    <w:p w:rsidR="00962C0E" w:rsidRPr="00476BAA" w:rsidRDefault="00962C0E" w:rsidP="00962C0E">
      <w:pPr>
        <w:pStyle w:val="NormalBold"/>
        <w:widowControl/>
      </w:pPr>
      <w:bookmarkStart w:id="7" w:name="TextBodyBegin"/>
      <w:bookmarkEnd w:id="7"/>
      <w:r w:rsidRPr="00476BAA">
        <w:t>(Tavallinen lainsäätämisjärjestys: ensimmäinen käsittely)</w:t>
      </w:r>
    </w:p>
    <w:p w:rsidR="00962C0E" w:rsidRPr="00476BAA" w:rsidRDefault="00962C0E" w:rsidP="00962C0E">
      <w:pPr>
        <w:pStyle w:val="EPComma"/>
        <w:widowControl/>
      </w:pPr>
      <w:r w:rsidRPr="00476BAA">
        <w:rPr>
          <w:i/>
        </w:rPr>
        <w:t>Euroopan parlamentti</w:t>
      </w:r>
      <w:r w:rsidRPr="00476BAA">
        <w:t>, joka</w:t>
      </w:r>
    </w:p>
    <w:p w:rsidR="00962C0E" w:rsidRPr="00476BAA" w:rsidRDefault="00962C0E" w:rsidP="00962C0E">
      <w:pPr>
        <w:pStyle w:val="NormalHanging12a"/>
        <w:widowControl/>
      </w:pPr>
      <w:r w:rsidRPr="00476BAA">
        <w:t>–</w:t>
      </w:r>
      <w:r w:rsidRPr="00476BAA">
        <w:tab/>
        <w:t>ottaa huomioon komission ehdotuksen Euroopan parlamentille ja neuvostolle (COM(2022)0177),</w:t>
      </w:r>
    </w:p>
    <w:p w:rsidR="00962C0E" w:rsidRPr="00476BAA" w:rsidRDefault="00962C0E" w:rsidP="00962C0E">
      <w:pPr>
        <w:pStyle w:val="NormalHanging12a"/>
        <w:widowControl/>
      </w:pPr>
      <w:r w:rsidRPr="00476BAA">
        <w:t>–</w:t>
      </w:r>
      <w:r w:rsidRPr="00476BAA">
        <w:tab/>
        <w:t>ottaa huomioon Euroopan unionin toiminnasta tehdyn sopimuksen 294 artiklan 2 kohdan ja 81 artiklan 2 kohdan f alakohdan, joiden mukaisesti komissio on antanut ehdotuksen Euroopan parlamentille (C9</w:t>
      </w:r>
      <w:r w:rsidRPr="00476BAA">
        <w:noBreakHyphen/>
        <w:t>0161/2022),</w:t>
      </w:r>
    </w:p>
    <w:p w:rsidR="00962C0E" w:rsidRPr="00476BAA" w:rsidRDefault="00962C0E" w:rsidP="00962C0E">
      <w:pPr>
        <w:pStyle w:val="NormalHanging12a"/>
        <w:widowControl/>
      </w:pPr>
      <w:r w:rsidRPr="00476BAA">
        <w:t>–</w:t>
      </w:r>
      <w:r w:rsidRPr="00476BAA">
        <w:tab/>
        <w:t>ottaa huomioon Euroopan unionin toiminnasta tehdyn sopimuksen 294 artiklan 3 kohdan,</w:t>
      </w:r>
    </w:p>
    <w:p w:rsidR="00962C0E" w:rsidRPr="00476BAA" w:rsidRDefault="00962C0E" w:rsidP="00962C0E">
      <w:pPr>
        <w:pStyle w:val="NormalHanging12a"/>
      </w:pPr>
      <w:r w:rsidRPr="00476BAA">
        <w:t>–</w:t>
      </w:r>
      <w:r w:rsidRPr="00476BAA">
        <w:tab/>
        <w:t>ottaa huomioon Ranskan senaatin toissijaisuus- ja suhteellisuusperiaatteen soveltamisesta tehdyn pöytäkirjan N:o 2 mukaisesti antama</w:t>
      </w:r>
      <w:r w:rsidR="00F0483E" w:rsidRPr="00476BAA">
        <w:t>n</w:t>
      </w:r>
      <w:r w:rsidRPr="00476BAA">
        <w:t xml:space="preserve"> perustellu</w:t>
      </w:r>
      <w:r w:rsidR="00F0483E" w:rsidRPr="00476BAA">
        <w:t>n</w:t>
      </w:r>
      <w:r w:rsidRPr="00476BAA">
        <w:t xml:space="preserve"> lausunno</w:t>
      </w:r>
      <w:r w:rsidR="00F0483E" w:rsidRPr="00476BAA">
        <w:t>n</w:t>
      </w:r>
      <w:r w:rsidRPr="00476BAA">
        <w:t>, jo</w:t>
      </w:r>
      <w:r w:rsidR="00F0483E" w:rsidRPr="00476BAA">
        <w:t>nka</w:t>
      </w:r>
      <w:r w:rsidRPr="00476BAA">
        <w:t xml:space="preserve"> mukaan esitys lainsäätämisjärjestyksessä hyväksyttäväksi säädökseksi ei ole toissijaisuusperiaatteen mukainen,</w:t>
      </w:r>
      <w:r w:rsidRPr="00476BAA">
        <w:rPr>
          <w:rStyle w:val="FootnoteReference"/>
        </w:rPr>
        <w:t xml:space="preserve"> </w:t>
      </w:r>
    </w:p>
    <w:p w:rsidR="00962C0E" w:rsidRPr="00476BAA" w:rsidRDefault="00962C0E" w:rsidP="00962C0E">
      <w:pPr>
        <w:pStyle w:val="NormalHanging12a"/>
        <w:widowControl/>
      </w:pPr>
      <w:r w:rsidRPr="00476BAA">
        <w:t>–</w:t>
      </w:r>
      <w:r w:rsidRPr="00476BAA">
        <w:tab/>
        <w:t>ottaa huomioon Euroopan talous- ja sosiaalikomitean 26. lokakuuta 2022 antaman lausunnon</w:t>
      </w:r>
      <w:r w:rsidRPr="00476BAA">
        <w:rPr>
          <w:rStyle w:val="FootnoteReference"/>
        </w:rPr>
        <w:footnoteReference w:id="1"/>
      </w:r>
      <w:r w:rsidRPr="00476BAA">
        <w:t>,</w:t>
      </w:r>
    </w:p>
    <w:p w:rsidR="00F0483E" w:rsidRPr="00476BAA" w:rsidRDefault="00F0483E" w:rsidP="00EF4537">
      <w:pPr>
        <w:pStyle w:val="NormalHanging12a"/>
      </w:pPr>
      <w:r w:rsidRPr="00476BAA">
        <w:t>–</w:t>
      </w:r>
      <w:r w:rsidRPr="00476BAA">
        <w:tab/>
        <w:t>ottaa huomioon asiasta vastaavan valiokunnan työjärjestyksen 74 artiklan 4 kohdan mukaisesti hyväksymän alustavan sopimuksen sekä neuvoston edustajan 20. joulukuuta 2023 päivätyllä kirjeellä antaman sitoumuksen hyväksyä Euroopan parlamentin kanta Euroopan unionin toiminnasta tehdyn sopimuksen 294 artiklan 4 kohdan mukaisesti,</w:t>
      </w:r>
    </w:p>
    <w:p w:rsidR="00962C0E" w:rsidRPr="00476BAA" w:rsidRDefault="00962C0E" w:rsidP="00962C0E">
      <w:pPr>
        <w:pStyle w:val="NormalHanging12a"/>
        <w:widowControl/>
      </w:pPr>
      <w:r w:rsidRPr="00476BAA">
        <w:lastRenderedPageBreak/>
        <w:t>–</w:t>
      </w:r>
      <w:r w:rsidRPr="00476BAA">
        <w:tab/>
        <w:t>ottaa huomioon työjärjestyksen 59 artiklan,</w:t>
      </w:r>
    </w:p>
    <w:p w:rsidR="00962C0E" w:rsidRPr="00476BAA" w:rsidRDefault="00962C0E" w:rsidP="00962C0E">
      <w:pPr>
        <w:pStyle w:val="NormalHanging12a"/>
        <w:widowControl/>
      </w:pPr>
      <w:r w:rsidRPr="00476BAA">
        <w:t>–</w:t>
      </w:r>
      <w:r w:rsidRPr="00476BAA">
        <w:tab/>
        <w:t>ottaa huomioon kansalaisvapauksien sekä oikeus- ja sisäasioiden valiokunnan sekä kulttuuri- ja koulutusvaliokunnan lausunnot,</w:t>
      </w:r>
    </w:p>
    <w:p w:rsidR="00962C0E" w:rsidRPr="00476BAA" w:rsidRDefault="00962C0E" w:rsidP="00962C0E">
      <w:pPr>
        <w:pStyle w:val="NormalHanging12a"/>
        <w:widowControl/>
      </w:pPr>
      <w:r w:rsidRPr="00476BAA">
        <w:t>–</w:t>
      </w:r>
      <w:r w:rsidRPr="00476BAA">
        <w:tab/>
        <w:t>ottaa huomioon oikeudellisten asioiden valiokunnan mietinnön (A9</w:t>
      </w:r>
      <w:r w:rsidRPr="00476BAA">
        <w:noBreakHyphen/>
        <w:t>0223/2023),</w:t>
      </w:r>
    </w:p>
    <w:p w:rsidR="00962C0E" w:rsidRPr="00476BAA" w:rsidRDefault="00962C0E" w:rsidP="00962C0E">
      <w:pPr>
        <w:pStyle w:val="NormalHanging12a"/>
        <w:widowControl/>
      </w:pPr>
      <w:r w:rsidRPr="00476BAA">
        <w:t>1.</w:t>
      </w:r>
      <w:r w:rsidRPr="00476BAA">
        <w:tab/>
        <w:t>vahvistaa jäljempänä esitetyn ensimmäisen käsittelyn kannan</w:t>
      </w:r>
      <w:r w:rsidR="00501A44" w:rsidRPr="00476BAA">
        <w:rPr>
          <w:rStyle w:val="FootnoteReference"/>
        </w:rPr>
        <w:footnoteReference w:id="2"/>
      </w:r>
      <w:r w:rsidRPr="00476BAA">
        <w:t>;</w:t>
      </w:r>
    </w:p>
    <w:p w:rsidR="00962C0E" w:rsidRPr="00476BAA" w:rsidRDefault="00962C0E" w:rsidP="00962C0E">
      <w:pPr>
        <w:pStyle w:val="NormalHanging12a"/>
        <w:widowControl/>
      </w:pPr>
      <w:r w:rsidRPr="00476BAA">
        <w:t>2.</w:t>
      </w:r>
      <w:r w:rsidRPr="00476BAA">
        <w:tab/>
        <w:t xml:space="preserve">ehdottaa, että säädöksestä käytetään nimitystä ”Wölken – </w:t>
      </w:r>
      <w:r w:rsidR="00FC03AF" w:rsidRPr="00476BAA">
        <w:t>Bolaños García</w:t>
      </w:r>
      <w:r w:rsidRPr="00476BAA">
        <w:t xml:space="preserve"> -direktiivi julkista osallistumista harjoittavien henkilöiden suojelemisesta ilmeisen perusteettomilta tai aiheettomilta kanteilta (”strategiset häirintätarkoituksessa nostetut kanteet”)”</w:t>
      </w:r>
      <w:r w:rsidRPr="00476BAA">
        <w:rPr>
          <w:rStyle w:val="FootnoteReference"/>
        </w:rPr>
        <w:footnoteReference w:id="3"/>
      </w:r>
      <w:r w:rsidRPr="00476BAA">
        <w:t>;</w:t>
      </w:r>
    </w:p>
    <w:p w:rsidR="00962C0E" w:rsidRPr="00476BAA" w:rsidRDefault="00962C0E" w:rsidP="00962C0E">
      <w:pPr>
        <w:pStyle w:val="NormalHanging12a"/>
        <w:widowControl/>
      </w:pPr>
      <w:r w:rsidRPr="00476BAA">
        <w:t>3.</w:t>
      </w:r>
      <w:r w:rsidRPr="00476BAA">
        <w:tab/>
        <w:t>pyytää komissiota antamaan asian uudelleen Euroopan parlamentin käsiteltäväksi, jos se korvaa ehdotuksensa, muuttaa sitä huomattavasti tai aikoo muuttaa sitä huomattavasti;</w:t>
      </w:r>
    </w:p>
    <w:p w:rsidR="00FC03AF" w:rsidRPr="00476BAA" w:rsidRDefault="00962C0E" w:rsidP="00962C0E">
      <w:pPr>
        <w:pStyle w:val="NormalHanging12a"/>
        <w:widowControl/>
        <w:sectPr w:rsidR="00FC03AF" w:rsidRPr="00476BAA" w:rsidSect="00C96D11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476BAA">
        <w:t>4.</w:t>
      </w:r>
      <w:r w:rsidRPr="00476BAA">
        <w:tab/>
        <w:t>kehottaa puhemiestä välittämään parlamentin kannan neuvostolle ja komissiolle sekä kansallisille parlamenteille.</w:t>
      </w:r>
    </w:p>
    <w:p w:rsidR="00FC03AF" w:rsidRPr="00476BAA" w:rsidRDefault="00FC03AF" w:rsidP="00FC03AF">
      <w:pPr>
        <w:spacing w:after="240"/>
        <w:rPr>
          <w:b/>
          <w:szCs w:val="24"/>
        </w:rPr>
      </w:pPr>
      <w:r w:rsidRPr="00476BAA">
        <w:rPr>
          <w:b/>
          <w:szCs w:val="24"/>
        </w:rPr>
        <w:lastRenderedPageBreak/>
        <w:t>P9_TC1-COD(2022)0117</w:t>
      </w:r>
    </w:p>
    <w:p w:rsidR="00FC03AF" w:rsidRPr="00476BAA" w:rsidRDefault="00FC03AF" w:rsidP="00FC03AF">
      <w:pPr>
        <w:spacing w:after="240"/>
        <w:rPr>
          <w:rFonts w:eastAsia="Calibri"/>
          <w:b/>
          <w:szCs w:val="22"/>
          <w:lang w:eastAsia="en-US"/>
        </w:rPr>
      </w:pPr>
      <w:r w:rsidRPr="00476BAA">
        <w:rPr>
          <w:b/>
          <w:szCs w:val="24"/>
        </w:rPr>
        <w:t xml:space="preserve">Euroopan parlamentin kanta, vahvistettu ensimmäisessä käsittelyssä 27. helmikuuta 2024, Euroopan parlamentin ja neuvoston direktiivin (EU) 2024/… antamiseksi </w:t>
      </w:r>
      <w:r w:rsidRPr="00476BAA">
        <w:rPr>
          <w:rFonts w:eastAsia="Calibri"/>
          <w:b/>
          <w:szCs w:val="22"/>
          <w:lang w:eastAsia="en-US"/>
        </w:rPr>
        <w:t>julkiseen keskusteluun osallistuvien henkilöiden suojelemisesta ilmeisen perusteettomilta vaatimuksilta tai väärinkäyttöön perustuvilta oikeudenkäynneiltä (’julkiseen keskusteluun osallistumista vastustavat strategiset kanteet’)</w:t>
      </w:r>
    </w:p>
    <w:p w:rsidR="00476BAA" w:rsidRPr="00476BAA" w:rsidRDefault="00476BAA" w:rsidP="00476BAA">
      <w:pPr>
        <w:suppressAutoHyphens/>
        <w:rPr>
          <w:i/>
          <w:szCs w:val="24"/>
        </w:rPr>
      </w:pPr>
    </w:p>
    <w:p w:rsidR="00476BAA" w:rsidRPr="008046BC" w:rsidRDefault="00476BAA" w:rsidP="00476BAA">
      <w:pPr>
        <w:suppressAutoHyphens/>
        <w:rPr>
          <w:i/>
          <w:szCs w:val="24"/>
        </w:rPr>
      </w:pPr>
      <w:r w:rsidRPr="00476BAA">
        <w:rPr>
          <w:i/>
          <w:szCs w:val="24"/>
        </w:rPr>
        <w:t>(Euroopan parlamentin ja neuvoston päästyä sopimukseen parlamentin kanta vastaa lopullista säädöstä, direktiiviä (EU) 2024/</w:t>
      </w:r>
      <w:r w:rsidRPr="00476BAA">
        <w:rPr>
          <w:i/>
        </w:rPr>
        <w:t>1069</w:t>
      </w:r>
      <w:r w:rsidRPr="00476BAA">
        <w:rPr>
          <w:i/>
          <w:szCs w:val="24"/>
        </w:rPr>
        <w:t>.)</w:t>
      </w:r>
      <w:bookmarkStart w:id="8" w:name="_GoBack"/>
      <w:bookmarkEnd w:id="8"/>
    </w:p>
    <w:p w:rsidR="00476BAA" w:rsidRPr="00200E1C" w:rsidRDefault="00476BAA" w:rsidP="00FC03AF">
      <w:pPr>
        <w:spacing w:after="240"/>
        <w:rPr>
          <w:rFonts w:eastAsia="Calibri"/>
          <w:b/>
          <w:bCs/>
          <w:szCs w:val="22"/>
          <w:lang w:eastAsia="en-US"/>
        </w:rPr>
      </w:pPr>
    </w:p>
    <w:sectPr w:rsidR="00476BAA" w:rsidRPr="00200E1C" w:rsidSect="00C96D11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2B3" w:rsidRPr="00C96D11" w:rsidRDefault="004362B3">
      <w:r w:rsidRPr="00C96D11">
        <w:separator/>
      </w:r>
    </w:p>
  </w:endnote>
  <w:endnote w:type="continuationSeparator" w:id="0">
    <w:p w:rsidR="004362B3" w:rsidRPr="00C96D11" w:rsidRDefault="004362B3">
      <w:r w:rsidRPr="00C96D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2B3" w:rsidRPr="00C96D11" w:rsidRDefault="004362B3">
      <w:r w:rsidRPr="00C96D11">
        <w:separator/>
      </w:r>
    </w:p>
  </w:footnote>
  <w:footnote w:type="continuationSeparator" w:id="0">
    <w:p w:rsidR="004362B3" w:rsidRPr="00C96D11" w:rsidRDefault="004362B3">
      <w:r w:rsidRPr="00C96D11">
        <w:continuationSeparator/>
      </w:r>
    </w:p>
  </w:footnote>
  <w:footnote w:id="1">
    <w:p w:rsidR="00962C0E" w:rsidRPr="00C96D11" w:rsidRDefault="00962C0E" w:rsidP="00C96D11">
      <w:pPr>
        <w:pStyle w:val="FootnoteText"/>
        <w:ind w:left="567" w:hanging="567"/>
        <w:rPr>
          <w:sz w:val="24"/>
          <w:lang w:val="fi-FI"/>
        </w:rPr>
      </w:pPr>
      <w:r w:rsidRPr="00C96D11">
        <w:rPr>
          <w:rStyle w:val="FootnoteReference"/>
          <w:sz w:val="24"/>
          <w:lang w:val="fi-FI"/>
        </w:rPr>
        <w:footnoteRef/>
      </w:r>
      <w:r w:rsidR="00C96D11" w:rsidRPr="00C96D11">
        <w:rPr>
          <w:sz w:val="24"/>
          <w:lang w:val="fi-FI"/>
        </w:rPr>
        <w:t xml:space="preserve"> </w:t>
      </w:r>
      <w:r w:rsidR="00C96D11" w:rsidRPr="00C96D11">
        <w:rPr>
          <w:sz w:val="24"/>
          <w:lang w:val="fi-FI"/>
        </w:rPr>
        <w:tab/>
      </w:r>
      <w:r w:rsidRPr="00C96D11">
        <w:rPr>
          <w:sz w:val="24"/>
          <w:lang w:val="fi-FI"/>
        </w:rPr>
        <w:t>E</w:t>
      </w:r>
      <w:r w:rsidR="00F0483E">
        <w:rPr>
          <w:sz w:val="24"/>
          <w:lang w:val="fi-FI"/>
        </w:rPr>
        <w:t xml:space="preserve">UVL </w:t>
      </w:r>
      <w:r w:rsidR="00F0483E" w:rsidRPr="00EF4537">
        <w:rPr>
          <w:iCs/>
          <w:sz w:val="24"/>
          <w:lang w:val="fi-FI"/>
        </w:rPr>
        <w:t xml:space="preserve">C </w:t>
      </w:r>
      <w:r w:rsidR="00F0483E" w:rsidRPr="00AE674F">
        <w:rPr>
          <w:iCs/>
          <w:sz w:val="24"/>
          <w:lang w:val="fi-FI"/>
        </w:rPr>
        <w:t>75</w:t>
      </w:r>
      <w:r w:rsidR="00F0483E" w:rsidRPr="00EF4537">
        <w:rPr>
          <w:iCs/>
          <w:sz w:val="24"/>
          <w:lang w:val="fi-FI"/>
        </w:rPr>
        <w:t xml:space="preserve">, </w:t>
      </w:r>
      <w:r w:rsidR="00F0483E" w:rsidRPr="00AE674F">
        <w:rPr>
          <w:iCs/>
          <w:sz w:val="24"/>
          <w:lang w:val="fi-FI"/>
        </w:rPr>
        <w:t>28</w:t>
      </w:r>
      <w:r w:rsidR="00F0483E" w:rsidRPr="00EF4537">
        <w:rPr>
          <w:iCs/>
          <w:sz w:val="24"/>
          <w:lang w:val="fi-FI"/>
        </w:rPr>
        <w:t>.</w:t>
      </w:r>
      <w:r w:rsidR="00F0483E" w:rsidRPr="00AE674F">
        <w:rPr>
          <w:iCs/>
          <w:sz w:val="24"/>
          <w:lang w:val="fi-FI"/>
        </w:rPr>
        <w:t>2</w:t>
      </w:r>
      <w:r w:rsidR="00F0483E" w:rsidRPr="00EF4537">
        <w:rPr>
          <w:iCs/>
          <w:sz w:val="24"/>
          <w:lang w:val="fi-FI"/>
        </w:rPr>
        <w:t>.</w:t>
      </w:r>
      <w:r w:rsidR="00F0483E" w:rsidRPr="00AE674F">
        <w:rPr>
          <w:iCs/>
          <w:sz w:val="24"/>
          <w:lang w:val="fi-FI"/>
        </w:rPr>
        <w:t>2023</w:t>
      </w:r>
      <w:r w:rsidR="00F0483E" w:rsidRPr="00EF4537">
        <w:rPr>
          <w:iCs/>
          <w:sz w:val="24"/>
          <w:lang w:val="fi-FI"/>
        </w:rPr>
        <w:t xml:space="preserve">, </w:t>
      </w:r>
      <w:r w:rsidR="00F0483E">
        <w:rPr>
          <w:iCs/>
          <w:sz w:val="24"/>
          <w:lang w:val="fi-FI"/>
        </w:rPr>
        <w:t>s</w:t>
      </w:r>
      <w:r w:rsidR="00F0483E" w:rsidRPr="00EF4537">
        <w:rPr>
          <w:iCs/>
          <w:sz w:val="24"/>
          <w:lang w:val="fi-FI"/>
        </w:rPr>
        <w:t xml:space="preserve">. </w:t>
      </w:r>
      <w:r w:rsidR="00F0483E" w:rsidRPr="00AE674F">
        <w:rPr>
          <w:iCs/>
          <w:sz w:val="24"/>
          <w:lang w:val="fi-FI"/>
        </w:rPr>
        <w:t>143</w:t>
      </w:r>
      <w:r w:rsidRPr="00C96D11">
        <w:rPr>
          <w:sz w:val="24"/>
          <w:lang w:val="fi-FI"/>
        </w:rPr>
        <w:t>.</w:t>
      </w:r>
    </w:p>
  </w:footnote>
  <w:footnote w:id="2">
    <w:p w:rsidR="00501A44" w:rsidRPr="00501A44" w:rsidRDefault="00501A44" w:rsidP="00501A44">
      <w:pPr>
        <w:pStyle w:val="FootnoteText"/>
        <w:ind w:left="567" w:hanging="567"/>
        <w:rPr>
          <w:lang w:val="fi-FI"/>
        </w:rPr>
      </w:pPr>
      <w:r>
        <w:rPr>
          <w:rStyle w:val="FootnoteReference"/>
        </w:rPr>
        <w:footnoteRef/>
      </w:r>
      <w:r w:rsidRPr="00501A44">
        <w:rPr>
          <w:lang w:val="fi-FI"/>
        </w:rPr>
        <w:tab/>
      </w:r>
      <w:r w:rsidRPr="006E0791">
        <w:rPr>
          <w:sz w:val="24"/>
          <w:szCs w:val="24"/>
          <w:lang w:val="fi-FI"/>
        </w:rPr>
        <w:t xml:space="preserve">Tämä kanta korvaa </w:t>
      </w:r>
      <w:r w:rsidRPr="00AE674F">
        <w:rPr>
          <w:sz w:val="24"/>
          <w:szCs w:val="24"/>
          <w:lang w:val="fi-FI"/>
        </w:rPr>
        <w:t>11</w:t>
      </w:r>
      <w:r w:rsidRPr="006E0791">
        <w:rPr>
          <w:sz w:val="24"/>
          <w:szCs w:val="24"/>
          <w:lang w:val="fi-FI"/>
        </w:rPr>
        <w:t xml:space="preserve">. </w:t>
      </w:r>
      <w:r>
        <w:rPr>
          <w:sz w:val="24"/>
          <w:szCs w:val="24"/>
          <w:lang w:val="fi-FI"/>
        </w:rPr>
        <w:t>heinäkuuta</w:t>
      </w:r>
      <w:r w:rsidRPr="006E0791">
        <w:rPr>
          <w:sz w:val="24"/>
          <w:szCs w:val="24"/>
          <w:lang w:val="fi-FI"/>
        </w:rPr>
        <w:t xml:space="preserve"> </w:t>
      </w:r>
      <w:r w:rsidRPr="00AE674F">
        <w:rPr>
          <w:sz w:val="24"/>
          <w:szCs w:val="24"/>
          <w:lang w:val="fi-FI"/>
        </w:rPr>
        <w:t>2023</w:t>
      </w:r>
      <w:r w:rsidRPr="006E0791">
        <w:rPr>
          <w:sz w:val="24"/>
          <w:szCs w:val="24"/>
          <w:lang w:val="fi-FI"/>
        </w:rPr>
        <w:t xml:space="preserve"> hyväksytyt tarkistukset (Hyväksytyt tekstit, P</w:t>
      </w:r>
      <w:r w:rsidRPr="00AE674F">
        <w:rPr>
          <w:sz w:val="24"/>
          <w:szCs w:val="24"/>
          <w:lang w:val="fi-FI"/>
        </w:rPr>
        <w:t>9</w:t>
      </w:r>
      <w:r w:rsidRPr="006E0791">
        <w:rPr>
          <w:sz w:val="24"/>
          <w:szCs w:val="24"/>
          <w:lang w:val="fi-FI"/>
        </w:rPr>
        <w:t>_TA(</w:t>
      </w:r>
      <w:r w:rsidRPr="00AE674F">
        <w:rPr>
          <w:sz w:val="24"/>
          <w:szCs w:val="24"/>
          <w:lang w:val="fi-FI"/>
        </w:rPr>
        <w:t>2023</w:t>
      </w:r>
      <w:r w:rsidRPr="006E0791">
        <w:rPr>
          <w:sz w:val="24"/>
          <w:szCs w:val="24"/>
          <w:lang w:val="fi-FI"/>
        </w:rPr>
        <w:t>)</w:t>
      </w:r>
      <w:r w:rsidRPr="00AE674F">
        <w:rPr>
          <w:sz w:val="24"/>
          <w:szCs w:val="24"/>
          <w:lang w:val="fi-FI"/>
        </w:rPr>
        <w:t>0264</w:t>
      </w:r>
      <w:r w:rsidRPr="006E0791">
        <w:rPr>
          <w:sz w:val="24"/>
          <w:szCs w:val="24"/>
          <w:lang w:val="fi-FI"/>
        </w:rPr>
        <w:t>).</w:t>
      </w:r>
    </w:p>
  </w:footnote>
  <w:footnote w:id="3">
    <w:p w:rsidR="00962C0E" w:rsidRPr="00C96D11" w:rsidRDefault="00962C0E" w:rsidP="00C96D11">
      <w:pPr>
        <w:pStyle w:val="FootnoteText"/>
        <w:ind w:left="567" w:hanging="567"/>
        <w:rPr>
          <w:sz w:val="24"/>
          <w:lang w:val="fi-FI"/>
        </w:rPr>
      </w:pPr>
      <w:r w:rsidRPr="00C96D11">
        <w:rPr>
          <w:rStyle w:val="FootnoteReference"/>
          <w:sz w:val="24"/>
          <w:lang w:val="fi-FI"/>
        </w:rPr>
        <w:footnoteRef/>
      </w:r>
      <w:r w:rsidR="00C96D11" w:rsidRPr="00C96D11">
        <w:rPr>
          <w:sz w:val="24"/>
          <w:lang w:val="fi-FI"/>
        </w:rPr>
        <w:t xml:space="preserve"> </w:t>
      </w:r>
      <w:r w:rsidR="00C96D11" w:rsidRPr="00C96D11">
        <w:rPr>
          <w:sz w:val="24"/>
          <w:lang w:val="fi-FI"/>
        </w:rPr>
        <w:tab/>
      </w:r>
      <w:r w:rsidRPr="00C96D11">
        <w:rPr>
          <w:sz w:val="24"/>
          <w:lang w:val="fi-FI"/>
        </w:rPr>
        <w:t xml:space="preserve">Tiemo Wölken johti parlamentin ja </w:t>
      </w:r>
      <w:r w:rsidR="00FC03AF" w:rsidRPr="00EF4537">
        <w:rPr>
          <w:sz w:val="24"/>
          <w:lang w:val="fi-FI"/>
        </w:rPr>
        <w:t>Félix Bolaños García</w:t>
      </w:r>
      <w:r w:rsidRPr="00C96D11">
        <w:rPr>
          <w:sz w:val="24"/>
          <w:lang w:val="fi-FI"/>
        </w:rPr>
        <w:t xml:space="preserve"> neuvoston neuvotteluryhmää säädöstä koskevissa neuvotteluissa.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54255296"/>
    <w:multiLevelType w:val="hybridMultilevel"/>
    <w:tmpl w:val="FF18D614"/>
    <w:lvl w:ilvl="0" w:tplc="FA960A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EAD8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C086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5C7E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92EE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5638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AE97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7E95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7C93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538D7"/>
    <w:multiLevelType w:val="hybridMultilevel"/>
    <w:tmpl w:val="B4A836B6"/>
    <w:lvl w:ilvl="0" w:tplc="682AA094">
      <w:start w:val="1"/>
      <w:numFmt w:val="bullet"/>
      <w:pStyle w:val="Normal12a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0891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0EDA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48E9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2E42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B866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EC6C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84B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FC43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3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23/2023"/>
    <w:docVar w:name="dvlangue" w:val="FI"/>
    <w:docVar w:name="dvnumam" w:val="212"/>
    <w:docVar w:name="dvpe" w:val="745.170"/>
    <w:docVar w:name="dvrapporteur" w:val="Esittelijä: "/>
    <w:docVar w:name="dvstar" w:val="***I"/>
    <w:docVar w:name="dvtitre" w:val="Euroopan parlamentin lainsäädäntöpäätöslauselma xx. helmikuuta 2024 ehdotuksesta Euroopan parlamentin ja neuvoston direktiiviksi julkista osallistumista harjoittavien henkilöiden suojelemisesta ilmeisen perusteettomilta tai aiheettomilta kanteilta (”strategiset häirintätarkoituksessa nostetut kanteet”)(COM(2022)0177 – C9-0161/2022 – 2022/0117(COD))"/>
  </w:docVars>
  <w:rsids>
    <w:rsidRoot w:val="004362B3"/>
    <w:rsid w:val="00002272"/>
    <w:rsid w:val="00064002"/>
    <w:rsid w:val="000677B9"/>
    <w:rsid w:val="000831BA"/>
    <w:rsid w:val="000A42CC"/>
    <w:rsid w:val="000B3F1E"/>
    <w:rsid w:val="000E7DD9"/>
    <w:rsid w:val="0010095E"/>
    <w:rsid w:val="00125B37"/>
    <w:rsid w:val="0012798D"/>
    <w:rsid w:val="00187494"/>
    <w:rsid w:val="001F32AE"/>
    <w:rsid w:val="00200E1C"/>
    <w:rsid w:val="002767FF"/>
    <w:rsid w:val="002B18FE"/>
    <w:rsid w:val="002B5493"/>
    <w:rsid w:val="00324797"/>
    <w:rsid w:val="00343214"/>
    <w:rsid w:val="00361C00"/>
    <w:rsid w:val="00395FA1"/>
    <w:rsid w:val="003E15D4"/>
    <w:rsid w:val="00411A2E"/>
    <w:rsid w:val="00411CCE"/>
    <w:rsid w:val="0041666E"/>
    <w:rsid w:val="00421060"/>
    <w:rsid w:val="004362B3"/>
    <w:rsid w:val="00471C19"/>
    <w:rsid w:val="00476BAA"/>
    <w:rsid w:val="004867E3"/>
    <w:rsid w:val="00494A28"/>
    <w:rsid w:val="004C0004"/>
    <w:rsid w:val="004C5D52"/>
    <w:rsid w:val="00501A44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930AC"/>
    <w:rsid w:val="007D1690"/>
    <w:rsid w:val="007E22AD"/>
    <w:rsid w:val="00817416"/>
    <w:rsid w:val="00842779"/>
    <w:rsid w:val="00865F67"/>
    <w:rsid w:val="0086650E"/>
    <w:rsid w:val="00881A7B"/>
    <w:rsid w:val="008840E5"/>
    <w:rsid w:val="00887B3E"/>
    <w:rsid w:val="008C2AC6"/>
    <w:rsid w:val="00930C23"/>
    <w:rsid w:val="0093193B"/>
    <w:rsid w:val="009509D8"/>
    <w:rsid w:val="00950B64"/>
    <w:rsid w:val="00962C0E"/>
    <w:rsid w:val="00981893"/>
    <w:rsid w:val="00A1687D"/>
    <w:rsid w:val="00A43E52"/>
    <w:rsid w:val="00A4678D"/>
    <w:rsid w:val="00A778C7"/>
    <w:rsid w:val="00AB441E"/>
    <w:rsid w:val="00AB6293"/>
    <w:rsid w:val="00AE0928"/>
    <w:rsid w:val="00AE674F"/>
    <w:rsid w:val="00AF3B82"/>
    <w:rsid w:val="00B12E95"/>
    <w:rsid w:val="00B22876"/>
    <w:rsid w:val="00B558F0"/>
    <w:rsid w:val="00BD48FE"/>
    <w:rsid w:val="00BD7BD8"/>
    <w:rsid w:val="00BE430C"/>
    <w:rsid w:val="00BE6ADC"/>
    <w:rsid w:val="00C05BFE"/>
    <w:rsid w:val="00C23CD4"/>
    <w:rsid w:val="00C61C0C"/>
    <w:rsid w:val="00C941CB"/>
    <w:rsid w:val="00C96D11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EE4FB6"/>
    <w:rsid w:val="00EF4537"/>
    <w:rsid w:val="00F04346"/>
    <w:rsid w:val="00F0483E"/>
    <w:rsid w:val="00F075DC"/>
    <w:rsid w:val="00F149E9"/>
    <w:rsid w:val="00F5134D"/>
    <w:rsid w:val="00F74202"/>
    <w:rsid w:val="00F87713"/>
    <w:rsid w:val="00FB4360"/>
    <w:rsid w:val="00FC03AF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56756E"/>
  <w15:chartTrackingRefBased/>
  <w15:docId w15:val="{C18D1AF4-D9D5-4E37-83E9-592F767B2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i-FI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962C0E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962C0E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962C0E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962C0E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962C0E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962C0E"/>
    <w:rPr>
      <w:i/>
      <w:sz w:val="22"/>
      <w:lang w:val="fi-FI"/>
    </w:rPr>
  </w:style>
  <w:style w:type="character" w:customStyle="1" w:styleId="Heading7Char">
    <w:name w:val="Heading 7 Char"/>
    <w:basedOn w:val="DefaultParagraphFont"/>
    <w:link w:val="Heading7"/>
    <w:semiHidden/>
    <w:rsid w:val="00962C0E"/>
    <w:rPr>
      <w:rFonts w:ascii="Arial" w:hAnsi="Arial"/>
      <w:sz w:val="24"/>
      <w:lang w:val="fi-FI"/>
    </w:rPr>
  </w:style>
  <w:style w:type="character" w:customStyle="1" w:styleId="Heading8Char">
    <w:name w:val="Heading 8 Char"/>
    <w:basedOn w:val="DefaultParagraphFont"/>
    <w:link w:val="Heading8"/>
    <w:semiHidden/>
    <w:rsid w:val="00962C0E"/>
    <w:rPr>
      <w:rFonts w:ascii="Arial" w:hAnsi="Arial"/>
      <w:i/>
      <w:sz w:val="24"/>
      <w:lang w:val="fi-FI"/>
    </w:rPr>
  </w:style>
  <w:style w:type="character" w:customStyle="1" w:styleId="Heading9Char">
    <w:name w:val="Heading 9 Char"/>
    <w:basedOn w:val="DefaultParagraphFont"/>
    <w:link w:val="Heading9"/>
    <w:semiHidden/>
    <w:rsid w:val="00962C0E"/>
    <w:rPr>
      <w:rFonts w:ascii="Arial" w:hAnsi="Arial"/>
      <w:b/>
      <w:i/>
      <w:sz w:val="18"/>
      <w:lang w:val="fi-FI"/>
    </w:rPr>
  </w:style>
  <w:style w:type="paragraph" w:styleId="TOCHeading">
    <w:name w:val="TOC Heading"/>
    <w:basedOn w:val="Normal"/>
    <w:next w:val="Normal"/>
    <w:uiPriority w:val="39"/>
    <w:unhideWhenUsed/>
    <w:qFormat/>
    <w:rsid w:val="00962C0E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962C0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962C0E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962C0E"/>
    <w:pPr>
      <w:spacing w:after="120"/>
    </w:pPr>
  </w:style>
  <w:style w:type="paragraph" w:customStyle="1" w:styleId="PageHeading">
    <w:name w:val="PageHeading"/>
    <w:basedOn w:val="Normal"/>
    <w:rsid w:val="00962C0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962C0E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962C0E"/>
    <w:rPr>
      <w:b/>
      <w:sz w:val="24"/>
      <w:lang w:val="fi-FI"/>
    </w:rPr>
  </w:style>
  <w:style w:type="paragraph" w:customStyle="1" w:styleId="NormalBold12a">
    <w:name w:val="NormalBold12a"/>
    <w:basedOn w:val="Normal"/>
    <w:rsid w:val="00962C0E"/>
    <w:pPr>
      <w:spacing w:after="240"/>
    </w:pPr>
    <w:rPr>
      <w:b/>
    </w:rPr>
  </w:style>
  <w:style w:type="paragraph" w:customStyle="1" w:styleId="AmJustText">
    <w:name w:val="AmJustText"/>
    <w:basedOn w:val="Normal"/>
    <w:rsid w:val="00962C0E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962C0E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962C0E"/>
    <w:pPr>
      <w:spacing w:after="480"/>
      <w:ind w:left="1417"/>
    </w:pPr>
  </w:style>
  <w:style w:type="paragraph" w:customStyle="1" w:styleId="CoverNormal">
    <w:name w:val="CoverNormal"/>
    <w:basedOn w:val="Normal"/>
    <w:rsid w:val="00962C0E"/>
    <w:pPr>
      <w:ind w:left="1418"/>
    </w:pPr>
  </w:style>
  <w:style w:type="paragraph" w:customStyle="1" w:styleId="AmCrossRef">
    <w:name w:val="AmCrossRef"/>
    <w:basedOn w:val="Normal"/>
    <w:rsid w:val="00962C0E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962C0E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962C0E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962C0E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962C0E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962C0E"/>
    <w:pPr>
      <w:spacing w:before="240" w:after="1200"/>
    </w:pPr>
  </w:style>
  <w:style w:type="paragraph" w:styleId="Header">
    <w:name w:val="header"/>
    <w:basedOn w:val="Normal"/>
    <w:link w:val="HeaderChar"/>
    <w:rsid w:val="00962C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62C0E"/>
    <w:rPr>
      <w:sz w:val="24"/>
      <w:lang w:val="fi-FI"/>
    </w:rPr>
  </w:style>
  <w:style w:type="paragraph" w:customStyle="1" w:styleId="AmOrLang">
    <w:name w:val="AmOrLang"/>
    <w:basedOn w:val="Normal"/>
    <w:rsid w:val="00962C0E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962C0E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962C0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962C0E"/>
    <w:pPr>
      <w:spacing w:before="240"/>
    </w:pPr>
    <w:rPr>
      <w:b/>
    </w:rPr>
  </w:style>
  <w:style w:type="paragraph" w:customStyle="1" w:styleId="EPBody">
    <w:name w:val="EPBody"/>
    <w:basedOn w:val="Normal"/>
    <w:rsid w:val="00962C0E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962C0E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962C0E"/>
    <w:pPr>
      <w:spacing w:before="480" w:after="240"/>
    </w:pPr>
  </w:style>
  <w:style w:type="paragraph" w:customStyle="1" w:styleId="Lgendesigne">
    <w:name w:val="Légende signe"/>
    <w:basedOn w:val="Normal"/>
    <w:rsid w:val="00962C0E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962C0E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962C0E"/>
    <w:rPr>
      <w:sz w:val="18"/>
    </w:rPr>
  </w:style>
  <w:style w:type="paragraph" w:styleId="Footer">
    <w:name w:val="footer"/>
    <w:basedOn w:val="Normal"/>
    <w:link w:val="FooterChar"/>
    <w:rsid w:val="00962C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62C0E"/>
    <w:rPr>
      <w:sz w:val="24"/>
      <w:lang w:val="fi-FI"/>
    </w:rPr>
  </w:style>
  <w:style w:type="character" w:customStyle="1" w:styleId="Normal12Char">
    <w:name w:val="Normal12 Char"/>
    <w:basedOn w:val="DefaultParagraphFont"/>
    <w:link w:val="Normal12"/>
    <w:locked/>
    <w:rsid w:val="00962C0E"/>
    <w:rPr>
      <w:noProof/>
      <w:sz w:val="24"/>
    </w:rPr>
  </w:style>
  <w:style w:type="paragraph" w:customStyle="1" w:styleId="Normal12">
    <w:name w:val="Normal12"/>
    <w:basedOn w:val="Normal"/>
    <w:link w:val="Normal12Char"/>
    <w:rsid w:val="00962C0E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962C0E"/>
    <w:rPr>
      <w:sz w:val="24"/>
      <w:lang w:val="fi-FI"/>
    </w:rPr>
  </w:style>
  <w:style w:type="paragraph" w:customStyle="1" w:styleId="Normal6">
    <w:name w:val="Normal6"/>
    <w:basedOn w:val="Normal"/>
    <w:link w:val="Normal6Char"/>
    <w:rsid w:val="00962C0E"/>
    <w:pPr>
      <w:spacing w:after="120"/>
    </w:pPr>
  </w:style>
  <w:style w:type="paragraph" w:customStyle="1" w:styleId="Normal12Italic">
    <w:name w:val="Normal12Italic"/>
    <w:basedOn w:val="Normal12"/>
    <w:rsid w:val="00962C0E"/>
    <w:rPr>
      <w:i/>
    </w:rPr>
  </w:style>
  <w:style w:type="paragraph" w:customStyle="1" w:styleId="EntPE">
    <w:name w:val="EntPE"/>
    <w:basedOn w:val="Normal12"/>
    <w:rsid w:val="00962C0E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962C0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962C0E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962C0E"/>
    <w:pPr>
      <w:spacing w:before="240" w:after="240"/>
      <w:jc w:val="right"/>
    </w:pPr>
    <w:rPr>
      <w:noProof/>
      <w:szCs w:val="24"/>
    </w:rPr>
  </w:style>
  <w:style w:type="character" w:styleId="CommentReference">
    <w:name w:val="annotation reference"/>
    <w:basedOn w:val="DefaultParagraphFont"/>
    <w:rsid w:val="00962C0E"/>
    <w:rPr>
      <w:sz w:val="16"/>
      <w:szCs w:val="16"/>
    </w:rPr>
  </w:style>
  <w:style w:type="paragraph" w:styleId="CommentText">
    <w:name w:val="annotation text"/>
    <w:basedOn w:val="Normal"/>
    <w:link w:val="CommentTextChar"/>
    <w:rsid w:val="00962C0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62C0E"/>
    <w:rPr>
      <w:lang w:val="fi-FI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962C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62C0E"/>
    <w:rPr>
      <w:b/>
      <w:bCs/>
      <w:lang w:val="fi-FI"/>
    </w:rPr>
  </w:style>
  <w:style w:type="paragraph" w:styleId="BalloonText">
    <w:name w:val="Balloon Text"/>
    <w:basedOn w:val="Normal"/>
    <w:link w:val="BalloonTextChar"/>
    <w:unhideWhenUsed/>
    <w:rsid w:val="00962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62C0E"/>
    <w:rPr>
      <w:rFonts w:ascii="Segoe UI" w:hAnsi="Segoe UI" w:cs="Segoe UI"/>
      <w:sz w:val="18"/>
      <w:szCs w:val="18"/>
      <w:lang w:val="fi-FI"/>
    </w:rPr>
  </w:style>
  <w:style w:type="character" w:styleId="Hyperlink">
    <w:name w:val="Hyperlink"/>
    <w:basedOn w:val="DefaultParagraphFont"/>
    <w:rsid w:val="00962C0E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62C0E"/>
    <w:rPr>
      <w:sz w:val="24"/>
      <w:lang w:val="fi-FI"/>
    </w:rPr>
  </w:style>
  <w:style w:type="paragraph" w:customStyle="1" w:styleId="AmHeadingPA">
    <w:name w:val="AmHeadingPA"/>
    <w:basedOn w:val="Normal"/>
    <w:next w:val="Normal"/>
    <w:rsid w:val="00962C0E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msonormal0">
    <w:name w:val="msonormal"/>
    <w:basedOn w:val="Normal"/>
    <w:rsid w:val="00962C0E"/>
    <w:pPr>
      <w:widowControl/>
      <w:spacing w:before="100" w:beforeAutospacing="1" w:after="100" w:afterAutospacing="1"/>
    </w:pPr>
    <w:rPr>
      <w:szCs w:val="24"/>
    </w:rPr>
  </w:style>
  <w:style w:type="paragraph" w:customStyle="1" w:styleId="Normal12a">
    <w:name w:val="Normal12a"/>
    <w:basedOn w:val="Normal"/>
    <w:rsid w:val="00962C0E"/>
    <w:pPr>
      <w:spacing w:after="240"/>
    </w:pPr>
  </w:style>
  <w:style w:type="paragraph" w:customStyle="1" w:styleId="PageHeadingNotTOC">
    <w:name w:val="PageHeadingNotTOC"/>
    <w:basedOn w:val="Normal"/>
    <w:rsid w:val="00962C0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rial14CentreBold">
    <w:name w:val="Arial14CentreBold"/>
    <w:basedOn w:val="Normal"/>
    <w:qFormat/>
    <w:rsid w:val="00962C0E"/>
    <w:pPr>
      <w:jc w:val="center"/>
    </w:pPr>
    <w:rPr>
      <w:rFonts w:ascii="Arial" w:hAnsi="Arial"/>
      <w:b/>
      <w:sz w:val="28"/>
    </w:rPr>
  </w:style>
  <w:style w:type="character" w:customStyle="1" w:styleId="Bold">
    <w:name w:val="Bold"/>
    <w:uiPriority w:val="1"/>
    <w:rsid w:val="00962C0E"/>
    <w:rPr>
      <w:b/>
    </w:rPr>
  </w:style>
  <w:style w:type="character" w:customStyle="1" w:styleId="BoldItalic">
    <w:name w:val="BoldItalic"/>
    <w:uiPriority w:val="1"/>
    <w:rsid w:val="00962C0E"/>
    <w:rPr>
      <w:b/>
      <w:i/>
      <w:u w:val="none"/>
    </w:rPr>
  </w:style>
  <w:style w:type="paragraph" w:customStyle="1" w:styleId="CoverNormal12a">
    <w:name w:val="CoverNormal12a"/>
    <w:basedOn w:val="Normal"/>
    <w:rsid w:val="00962C0E"/>
    <w:pPr>
      <w:spacing w:after="240"/>
      <w:ind w:left="1418"/>
    </w:pPr>
  </w:style>
  <w:style w:type="paragraph" w:customStyle="1" w:styleId="EPFooter2Landscape">
    <w:name w:val="EPFooter2Landscape"/>
    <w:qFormat/>
    <w:rsid w:val="00962C0E"/>
    <w:pPr>
      <w:tabs>
        <w:tab w:val="center" w:pos="4536"/>
        <w:tab w:val="center" w:pos="9923"/>
        <w:tab w:val="right" w:pos="15026"/>
      </w:tabs>
    </w:pPr>
    <w:rPr>
      <w:rFonts w:ascii="Arial" w:hAnsi="Arial" w:cs="Arial"/>
      <w:b/>
      <w:sz w:val="48"/>
      <w:szCs w:val="22"/>
      <w:lang w:val="fi-FI"/>
    </w:rPr>
  </w:style>
  <w:style w:type="character" w:customStyle="1" w:styleId="EPFooter2Motto">
    <w:name w:val="EPFooter2Motto"/>
    <w:uiPriority w:val="1"/>
    <w:qFormat/>
    <w:rsid w:val="00962C0E"/>
    <w:rPr>
      <w:rFonts w:ascii="Arial" w:hAnsi="Arial"/>
      <w:b/>
      <w:i/>
      <w:color w:val="C0C0C0"/>
      <w:sz w:val="22"/>
    </w:rPr>
  </w:style>
  <w:style w:type="paragraph" w:customStyle="1" w:styleId="EPFooterLandscape">
    <w:name w:val="EPFooterLandscape"/>
    <w:qFormat/>
    <w:rsid w:val="00962C0E"/>
    <w:pPr>
      <w:tabs>
        <w:tab w:val="center" w:pos="6804"/>
        <w:tab w:val="right" w:pos="15026"/>
      </w:tabs>
    </w:pPr>
    <w:rPr>
      <w:sz w:val="22"/>
      <w:lang w:val="fi-FI"/>
    </w:rPr>
  </w:style>
  <w:style w:type="character" w:customStyle="1" w:styleId="Italic">
    <w:name w:val="Italic"/>
    <w:uiPriority w:val="1"/>
    <w:rsid w:val="00962C0E"/>
    <w:rPr>
      <w:i/>
    </w:rPr>
  </w:style>
  <w:style w:type="paragraph" w:customStyle="1" w:styleId="ProcedureTable">
    <w:name w:val="ProcedureTable"/>
    <w:basedOn w:val="Normal"/>
    <w:rsid w:val="00962C0E"/>
    <w:rPr>
      <w:sz w:val="20"/>
    </w:rPr>
  </w:style>
  <w:style w:type="paragraph" w:customStyle="1" w:styleId="ProcedureTableBold">
    <w:name w:val="ProcedureTableBold"/>
    <w:basedOn w:val="Normal"/>
    <w:rsid w:val="00962C0E"/>
    <w:rPr>
      <w:b/>
      <w:sz w:val="20"/>
    </w:rPr>
  </w:style>
  <w:style w:type="paragraph" w:customStyle="1" w:styleId="NormalCenter">
    <w:name w:val="NormalCenter"/>
    <w:basedOn w:val="Normal"/>
    <w:rsid w:val="00962C0E"/>
    <w:pPr>
      <w:jc w:val="center"/>
    </w:pPr>
  </w:style>
  <w:style w:type="paragraph" w:customStyle="1" w:styleId="Normal12a12b">
    <w:name w:val="Normal12a12b"/>
    <w:basedOn w:val="Normal"/>
    <w:rsid w:val="00962C0E"/>
    <w:pPr>
      <w:spacing w:before="240" w:after="240"/>
    </w:pPr>
  </w:style>
  <w:style w:type="character" w:customStyle="1" w:styleId="NormalBI">
    <w:name w:val="NormalBI"/>
    <w:basedOn w:val="DefaultParagraphFont"/>
    <w:uiPriority w:val="1"/>
    <w:qFormat/>
    <w:rsid w:val="00962C0E"/>
    <w:rPr>
      <w:rFonts w:ascii="Times New Roman" w:hAnsi="Times New Roman"/>
      <w:b/>
      <w:i/>
      <w:sz w:val="24"/>
    </w:rPr>
  </w:style>
  <w:style w:type="paragraph" w:customStyle="1" w:styleId="Normal12aBullet1">
    <w:name w:val="Normal12aBullet1"/>
    <w:basedOn w:val="Normal12a"/>
    <w:qFormat/>
    <w:rsid w:val="00962C0E"/>
    <w:pPr>
      <w:numPr>
        <w:numId w:val="45"/>
      </w:numPr>
    </w:pPr>
  </w:style>
  <w:style w:type="paragraph" w:customStyle="1" w:styleId="NormalHanging12a1">
    <w:name w:val="NormalHanging12a1"/>
    <w:basedOn w:val="Normal"/>
    <w:qFormat/>
    <w:rsid w:val="00962C0E"/>
    <w:pPr>
      <w:spacing w:after="240"/>
      <w:ind w:left="992" w:hanging="425"/>
    </w:pPr>
  </w:style>
  <w:style w:type="paragraph" w:customStyle="1" w:styleId="NormalHanging12a2">
    <w:name w:val="NormalHanging12a2"/>
    <w:basedOn w:val="Normal"/>
    <w:qFormat/>
    <w:rsid w:val="00962C0E"/>
    <w:pPr>
      <w:spacing w:after="240"/>
      <w:ind w:left="1417" w:hanging="425"/>
    </w:pPr>
  </w:style>
  <w:style w:type="paragraph" w:customStyle="1" w:styleId="NormalHanging12a3">
    <w:name w:val="NormalHanging12a3"/>
    <w:basedOn w:val="NormalHanging12a2"/>
    <w:qFormat/>
    <w:rsid w:val="00962C0E"/>
    <w:pPr>
      <w:ind w:left="1843"/>
    </w:pPr>
  </w:style>
  <w:style w:type="paragraph" w:customStyle="1" w:styleId="NormalHanging12a4">
    <w:name w:val="NormalHanging12a4"/>
    <w:basedOn w:val="NormalHanging12a3"/>
    <w:qFormat/>
    <w:rsid w:val="00962C0E"/>
    <w:pPr>
      <w:ind w:left="2268"/>
    </w:pPr>
  </w:style>
  <w:style w:type="paragraph" w:customStyle="1" w:styleId="NormalHanging12a5">
    <w:name w:val="NormalHanging12a5"/>
    <w:basedOn w:val="NormalHanging12a4"/>
    <w:qFormat/>
    <w:rsid w:val="00962C0E"/>
    <w:pPr>
      <w:ind w:left="2693"/>
    </w:pPr>
  </w:style>
  <w:style w:type="paragraph" w:customStyle="1" w:styleId="NormalHanging12a6">
    <w:name w:val="NormalHanging12a6"/>
    <w:basedOn w:val="NormalHanging12a5"/>
    <w:qFormat/>
    <w:rsid w:val="00962C0E"/>
    <w:pPr>
      <w:ind w:left="3118"/>
    </w:pPr>
  </w:style>
  <w:style w:type="paragraph" w:customStyle="1" w:styleId="NormalHanging12a7">
    <w:name w:val="NormalHanging12a7"/>
    <w:basedOn w:val="NormalHanging12a6"/>
    <w:qFormat/>
    <w:rsid w:val="00962C0E"/>
    <w:pPr>
      <w:ind w:left="3544"/>
    </w:pPr>
  </w:style>
  <w:style w:type="paragraph" w:customStyle="1" w:styleId="NormalHanging12a8">
    <w:name w:val="NormalHanging12a8"/>
    <w:basedOn w:val="NormalHanging12a7"/>
    <w:qFormat/>
    <w:rsid w:val="00962C0E"/>
    <w:pPr>
      <w:ind w:left="3969"/>
    </w:pPr>
  </w:style>
  <w:style w:type="paragraph" w:customStyle="1" w:styleId="Normal12HangingCenter">
    <w:name w:val="Normal12HangingCenter"/>
    <w:basedOn w:val="Normal"/>
    <w:qFormat/>
    <w:rsid w:val="00962C0E"/>
    <w:pPr>
      <w:spacing w:after="240"/>
      <w:ind w:left="567" w:hanging="567"/>
      <w:jc w:val="center"/>
    </w:pPr>
  </w:style>
  <w:style w:type="paragraph" w:customStyle="1" w:styleId="Normal12HangingJustified">
    <w:name w:val="Normal12HangingJustified"/>
    <w:basedOn w:val="Normal"/>
    <w:qFormat/>
    <w:rsid w:val="00962C0E"/>
    <w:pPr>
      <w:spacing w:after="240"/>
      <w:ind w:left="714" w:hanging="357"/>
      <w:jc w:val="both"/>
    </w:pPr>
  </w:style>
  <w:style w:type="paragraph" w:customStyle="1" w:styleId="Normal2">
    <w:name w:val="Normal2"/>
    <w:next w:val="Normal"/>
    <w:qFormat/>
    <w:rsid w:val="00962C0E"/>
    <w:pPr>
      <w:spacing w:line="120" w:lineRule="auto"/>
    </w:pPr>
    <w:rPr>
      <w:color w:val="000000"/>
      <w:sz w:val="4"/>
      <w:szCs w:val="24"/>
      <w:lang w:val="fi-FI"/>
    </w:rPr>
  </w:style>
  <w:style w:type="paragraph" w:customStyle="1" w:styleId="NormalBoldCenter">
    <w:name w:val="NormalBoldCenter"/>
    <w:basedOn w:val="Normal"/>
    <w:rsid w:val="00962C0E"/>
    <w:pPr>
      <w:jc w:val="center"/>
    </w:pPr>
    <w:rPr>
      <w:b/>
    </w:rPr>
  </w:style>
  <w:style w:type="paragraph" w:customStyle="1" w:styleId="NormalBoldItalic6a">
    <w:name w:val="NormalBoldItalic6a"/>
    <w:basedOn w:val="Normal6a"/>
    <w:qFormat/>
    <w:rsid w:val="00962C0E"/>
    <w:rPr>
      <w:b/>
      <w:i/>
    </w:rPr>
  </w:style>
  <w:style w:type="paragraph" w:customStyle="1" w:styleId="NormalBoldItalicCenter6a">
    <w:name w:val="NormalBoldItalicCenter6a"/>
    <w:basedOn w:val="Normal6a"/>
    <w:qFormat/>
    <w:rsid w:val="00962C0E"/>
    <w:pPr>
      <w:jc w:val="center"/>
    </w:pPr>
    <w:rPr>
      <w:b/>
      <w:i/>
    </w:rPr>
  </w:style>
  <w:style w:type="paragraph" w:customStyle="1" w:styleId="NormalItalic6a">
    <w:name w:val="NormalItalic6a"/>
    <w:basedOn w:val="Normal6a"/>
    <w:qFormat/>
    <w:rsid w:val="00962C0E"/>
    <w:rPr>
      <w:i/>
    </w:rPr>
  </w:style>
  <w:style w:type="character" w:customStyle="1" w:styleId="Sub">
    <w:name w:val="Sub"/>
    <w:uiPriority w:val="1"/>
    <w:qFormat/>
    <w:rsid w:val="00962C0E"/>
    <w:rPr>
      <w:vertAlign w:val="subscript"/>
    </w:rPr>
  </w:style>
  <w:style w:type="character" w:customStyle="1" w:styleId="SubBold">
    <w:name w:val="SubBold"/>
    <w:uiPriority w:val="1"/>
    <w:qFormat/>
    <w:rsid w:val="00962C0E"/>
    <w:rPr>
      <w:b/>
      <w:vertAlign w:val="subscript"/>
    </w:rPr>
  </w:style>
  <w:style w:type="character" w:customStyle="1" w:styleId="SubBoldItalic">
    <w:name w:val="SubBoldItalic"/>
    <w:uiPriority w:val="1"/>
    <w:rsid w:val="00962C0E"/>
    <w:rPr>
      <w:b/>
      <w:i/>
      <w:vertAlign w:val="subscript"/>
    </w:rPr>
  </w:style>
  <w:style w:type="character" w:customStyle="1" w:styleId="SubItalic">
    <w:name w:val="SubItalic"/>
    <w:uiPriority w:val="1"/>
    <w:qFormat/>
    <w:rsid w:val="00962C0E"/>
    <w:rPr>
      <w:b/>
      <w:i/>
      <w:vertAlign w:val="subscript"/>
    </w:rPr>
  </w:style>
  <w:style w:type="character" w:customStyle="1" w:styleId="Sup">
    <w:name w:val="Sup"/>
    <w:uiPriority w:val="1"/>
    <w:rsid w:val="00962C0E"/>
    <w:rPr>
      <w:vertAlign w:val="superscript"/>
    </w:rPr>
  </w:style>
  <w:style w:type="character" w:customStyle="1" w:styleId="SupBoldItalic">
    <w:name w:val="SupBoldItalic"/>
    <w:uiPriority w:val="1"/>
    <w:qFormat/>
    <w:rsid w:val="00962C0E"/>
    <w:rPr>
      <w:b/>
      <w:i/>
      <w:vertAlign w:val="superscript"/>
    </w:rPr>
  </w:style>
  <w:style w:type="character" w:customStyle="1" w:styleId="Underline">
    <w:name w:val="Underline"/>
    <w:uiPriority w:val="1"/>
    <w:rsid w:val="00962C0E"/>
    <w:rPr>
      <w:u w:val="single"/>
    </w:rPr>
  </w:style>
  <w:style w:type="character" w:customStyle="1" w:styleId="HideTermComment">
    <w:name w:val="HideTermComment"/>
    <w:uiPriority w:val="1"/>
    <w:qFormat/>
    <w:rsid w:val="00962C0E"/>
    <w:rPr>
      <w:rFonts w:ascii="Arial" w:hAnsi="Arial"/>
      <w:vanish/>
      <w:color w:val="0066CC"/>
      <w:sz w:val="18"/>
    </w:rPr>
  </w:style>
  <w:style w:type="character" w:customStyle="1" w:styleId="HideTerminTermComment">
    <w:name w:val="HideTerminTermComment"/>
    <w:basedOn w:val="HideTermComment"/>
    <w:uiPriority w:val="1"/>
    <w:qFormat/>
    <w:rsid w:val="00962C0E"/>
    <w:rPr>
      <w:rFonts w:ascii="Arial" w:hAnsi="Arial"/>
      <w:vanish/>
      <w:color w:val="538135" w:themeColor="accent6" w:themeShade="BF"/>
      <w:sz w:val="18"/>
    </w:rPr>
  </w:style>
  <w:style w:type="paragraph" w:customStyle="1" w:styleId="NormalCenter12a">
    <w:name w:val="NormalCenter12a"/>
    <w:basedOn w:val="Normal"/>
    <w:rsid w:val="00962C0E"/>
    <w:pPr>
      <w:spacing w:after="240"/>
      <w:jc w:val="center"/>
    </w:pPr>
  </w:style>
  <w:style w:type="paragraph" w:customStyle="1" w:styleId="Subheading">
    <w:name w:val="Subheading"/>
    <w:basedOn w:val="Normal"/>
    <w:rsid w:val="00962C0E"/>
    <w:pPr>
      <w:spacing w:before="480" w:after="240"/>
    </w:pPr>
    <w:rPr>
      <w:b/>
      <w:i/>
      <w:szCs w:val="24"/>
    </w:rPr>
  </w:style>
  <w:style w:type="character" w:customStyle="1" w:styleId="BoldItalicUnderline">
    <w:name w:val="BoldItalicUnderline"/>
    <w:uiPriority w:val="1"/>
    <w:rsid w:val="00962C0E"/>
    <w:rPr>
      <w:b/>
      <w:i/>
      <w:u w:val="single"/>
    </w:rPr>
  </w:style>
  <w:style w:type="character" w:customStyle="1" w:styleId="BoldUnderline">
    <w:name w:val="BoldUnderline"/>
    <w:uiPriority w:val="1"/>
    <w:rsid w:val="00962C0E"/>
    <w:rPr>
      <w:b/>
      <w:u w:val="single"/>
    </w:rPr>
  </w:style>
  <w:style w:type="character" w:customStyle="1" w:styleId="ItalicUnderline">
    <w:name w:val="ItalicUnderline"/>
    <w:uiPriority w:val="1"/>
    <w:rsid w:val="00962C0E"/>
    <w:rPr>
      <w:i/>
      <w:u w:val="single"/>
    </w:rPr>
  </w:style>
  <w:style w:type="character" w:customStyle="1" w:styleId="SubBoldItalicUnderline">
    <w:name w:val="SubBoldItalicUnderline"/>
    <w:uiPriority w:val="1"/>
    <w:rsid w:val="00962C0E"/>
    <w:rPr>
      <w:b/>
      <w:i/>
      <w:u w:val="single"/>
      <w:vertAlign w:val="subscript"/>
    </w:rPr>
  </w:style>
  <w:style w:type="character" w:customStyle="1" w:styleId="SubBoldUnderline">
    <w:name w:val="SubBoldUnderline"/>
    <w:uiPriority w:val="1"/>
    <w:rsid w:val="00962C0E"/>
    <w:rPr>
      <w:b/>
      <w:u w:val="single"/>
      <w:vertAlign w:val="subscript"/>
    </w:rPr>
  </w:style>
  <w:style w:type="character" w:customStyle="1" w:styleId="SubItalicUnderline">
    <w:name w:val="SubItalicUnderline"/>
    <w:uiPriority w:val="1"/>
    <w:rsid w:val="00962C0E"/>
    <w:rPr>
      <w:i/>
      <w:u w:val="single"/>
      <w:vertAlign w:val="subscript"/>
    </w:rPr>
  </w:style>
  <w:style w:type="character" w:customStyle="1" w:styleId="SubUnderline">
    <w:name w:val="SubUnderline"/>
    <w:uiPriority w:val="1"/>
    <w:rsid w:val="00962C0E"/>
    <w:rPr>
      <w:u w:val="single"/>
      <w:vertAlign w:val="subscript"/>
    </w:rPr>
  </w:style>
  <w:style w:type="character" w:customStyle="1" w:styleId="SupBold">
    <w:name w:val="SupBold"/>
    <w:uiPriority w:val="1"/>
    <w:rsid w:val="00962C0E"/>
    <w:rPr>
      <w:b/>
      <w:vertAlign w:val="superscript"/>
    </w:rPr>
  </w:style>
  <w:style w:type="character" w:customStyle="1" w:styleId="SupBoldItalicUnderline">
    <w:name w:val="SupBoldItalicUnderline"/>
    <w:uiPriority w:val="1"/>
    <w:rsid w:val="00962C0E"/>
    <w:rPr>
      <w:b/>
      <w:i/>
      <w:u w:val="single"/>
      <w:vertAlign w:val="superscript"/>
    </w:rPr>
  </w:style>
  <w:style w:type="character" w:customStyle="1" w:styleId="SupBoldUnderline">
    <w:name w:val="SupBoldUnderline"/>
    <w:uiPriority w:val="1"/>
    <w:rsid w:val="00962C0E"/>
    <w:rPr>
      <w:b/>
      <w:u w:val="single"/>
      <w:vertAlign w:val="superscript"/>
    </w:rPr>
  </w:style>
  <w:style w:type="character" w:customStyle="1" w:styleId="SupItalic">
    <w:name w:val="SupItalic"/>
    <w:uiPriority w:val="1"/>
    <w:rsid w:val="00962C0E"/>
    <w:rPr>
      <w:i/>
      <w:vertAlign w:val="superscript"/>
    </w:rPr>
  </w:style>
  <w:style w:type="character" w:customStyle="1" w:styleId="SupItalicUnderline">
    <w:name w:val="SupItalicUnderline"/>
    <w:uiPriority w:val="1"/>
    <w:rsid w:val="00962C0E"/>
    <w:rPr>
      <w:i/>
      <w:u w:val="single"/>
      <w:vertAlign w:val="superscript"/>
    </w:rPr>
  </w:style>
  <w:style w:type="character" w:customStyle="1" w:styleId="SupUnderline">
    <w:name w:val="SupUnderline"/>
    <w:uiPriority w:val="1"/>
    <w:rsid w:val="00962C0E"/>
    <w:rPr>
      <w:u w:val="single"/>
      <w:vertAlign w:val="superscript"/>
    </w:rPr>
  </w:style>
  <w:style w:type="paragraph" w:customStyle="1" w:styleId="RollCallSymbols14pt">
    <w:name w:val="RollCallSymbols14pt"/>
    <w:basedOn w:val="Normal"/>
    <w:rsid w:val="00962C0E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962C0E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962C0E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962C0E"/>
    <w:pPr>
      <w:spacing w:before="120" w:after="120"/>
    </w:pPr>
    <w:rPr>
      <w:snapToGrid w:val="0"/>
      <w:sz w:val="16"/>
      <w:lang w:eastAsia="en-US"/>
    </w:rPr>
  </w:style>
  <w:style w:type="paragraph" w:customStyle="1" w:styleId="Normal24a">
    <w:name w:val="Normal24a"/>
    <w:basedOn w:val="Normal"/>
    <w:link w:val="Normal24aChar"/>
    <w:rsid w:val="00962C0E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962C0E"/>
    <w:rPr>
      <w:sz w:val="24"/>
      <w:lang w:val="fi-FI"/>
    </w:rPr>
  </w:style>
  <w:style w:type="paragraph" w:customStyle="1" w:styleId="CommitteeAM">
    <w:name w:val="CommitteeAM"/>
    <w:basedOn w:val="Normal"/>
    <w:rsid w:val="00962C0E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962C0E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962C0E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962C0E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962C0E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962C0E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962C0E"/>
    <w:pPr>
      <w:spacing w:before="240"/>
      <w:jc w:val="center"/>
    </w:pPr>
    <w:rPr>
      <w:i/>
    </w:rPr>
  </w:style>
  <w:style w:type="character" w:customStyle="1" w:styleId="Footer2Middle">
    <w:name w:val="Footer2Middle"/>
    <w:rsid w:val="00962C0E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customStyle="1" w:styleId="AmNumberTabsChar">
    <w:name w:val="AmNumberTabs Char"/>
    <w:basedOn w:val="DefaultParagraphFont"/>
    <w:link w:val="AmNumberTabs"/>
    <w:rsid w:val="00962C0E"/>
    <w:rPr>
      <w:b/>
      <w:sz w:val="24"/>
      <w:lang w:val="fi-FI"/>
    </w:rPr>
  </w:style>
  <w:style w:type="character" w:customStyle="1" w:styleId="NormalBold12bChar">
    <w:name w:val="NormalBold12b Char"/>
    <w:basedOn w:val="AmNumberTabsChar"/>
    <w:link w:val="NormalBold12b"/>
    <w:rsid w:val="00962C0E"/>
    <w:rPr>
      <w:b/>
      <w:sz w:val="24"/>
      <w:lang w:val="fi-FI"/>
    </w:rPr>
  </w:style>
  <w:style w:type="character" w:styleId="FollowedHyperlink">
    <w:name w:val="FollowedHyperlink"/>
    <w:basedOn w:val="DefaultParagraphFont"/>
    <w:rsid w:val="00962C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8A366-21AD-4E34-9FAF-82A4A6D43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KINNUNEN Hannele</dc:creator>
  <cp:keywords/>
  <cp:lastModifiedBy>VUORIHUHTA Anne Kristiina</cp:lastModifiedBy>
  <cp:revision>2</cp:revision>
  <cp:lastPrinted>2004-11-19T15:42:00Z</cp:lastPrinted>
  <dcterms:created xsi:type="dcterms:W3CDTF">2024-06-05T16:21:00Z</dcterms:created>
  <dcterms:modified xsi:type="dcterms:W3CDTF">2024-06-05T16:21:00Z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FI</vt:lpwstr>
  </property>
  <property fmtid="{D5CDD505-2E9C-101B-9397-08002B2CF9AE}" pid="3" name="&lt;FdR&gt;">
    <vt:lpwstr>P9_TA(2024)0085_</vt:lpwstr>
  </property>
  <property fmtid="{D5CDD505-2E9C-101B-9397-08002B2CF9AE}" pid="4" name="&lt;Type&gt;">
    <vt:lpwstr>RR</vt:lpwstr>
  </property>
</Properties>
</file>