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0A8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0A80" w:rsidRDefault="000D534A" w:rsidP="0010095E">
            <w:pPr>
              <w:pStyle w:val="EPName"/>
            </w:pPr>
            <w:r w:rsidRPr="00730A80">
              <w:t>Europski parlament</w:t>
            </w:r>
          </w:p>
          <w:p w:rsidR="00751A4A" w:rsidRPr="00730A8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35CF7">
              <w:t>2019</w:t>
            </w:r>
            <w:r w:rsidRPr="00730A80">
              <w:t>-</w:t>
            </w:r>
            <w:r w:rsidRPr="00535CF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0A80" w:rsidRDefault="00187494" w:rsidP="0010095E">
            <w:pPr>
              <w:pStyle w:val="EPLogo"/>
            </w:pPr>
            <w:r w:rsidRPr="00730A8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0A80" w:rsidRDefault="00D058B8" w:rsidP="004C5D52">
      <w:pPr>
        <w:pStyle w:val="LineTop"/>
      </w:pPr>
    </w:p>
    <w:p w:rsidR="00680577" w:rsidRPr="00730A80" w:rsidRDefault="000D534A" w:rsidP="00680577">
      <w:pPr>
        <w:pStyle w:val="EPBodyTA1"/>
      </w:pPr>
      <w:r w:rsidRPr="00730A80">
        <w:t>USVOJENI TEKSTOVI</w:t>
      </w:r>
    </w:p>
    <w:p w:rsidR="00D058B8" w:rsidRPr="00730A80" w:rsidRDefault="00D058B8" w:rsidP="00D058B8">
      <w:pPr>
        <w:pStyle w:val="LineBottom"/>
      </w:pPr>
    </w:p>
    <w:p w:rsidR="000D534A" w:rsidRPr="00730A80" w:rsidRDefault="000D534A" w:rsidP="000D534A">
      <w:pPr>
        <w:pStyle w:val="ATHeading1"/>
      </w:pPr>
      <w:bookmarkStart w:id="0" w:name="TANumber"/>
      <w:r w:rsidRPr="00730A80">
        <w:t>P</w:t>
      </w:r>
      <w:r w:rsidRPr="00535CF7">
        <w:t>9</w:t>
      </w:r>
      <w:r w:rsidRPr="00730A80">
        <w:t>_TA(</w:t>
      </w:r>
      <w:r w:rsidRPr="00535CF7">
        <w:t>2024</w:t>
      </w:r>
      <w:r w:rsidRPr="00730A80">
        <w:t>)</w:t>
      </w:r>
      <w:r w:rsidRPr="00535CF7">
        <w:t>00</w:t>
      </w:r>
      <w:r w:rsidR="00730A80" w:rsidRPr="00535CF7">
        <w:t>85</w:t>
      </w:r>
      <w:bookmarkEnd w:id="0"/>
    </w:p>
    <w:p w:rsidR="000D534A" w:rsidRPr="00730A80" w:rsidRDefault="000D534A" w:rsidP="000D534A">
      <w:pPr>
        <w:pStyle w:val="ATHeading2"/>
      </w:pPr>
      <w:bookmarkStart w:id="1" w:name="title"/>
      <w:r w:rsidRPr="00730A80">
        <w:t>Zaštita novinara i boraca za ljudska prava od očito neosnovanih ili zlonamjernih sudskih postupaka</w:t>
      </w:r>
    </w:p>
    <w:p w:rsidR="000D534A" w:rsidRPr="00730A80" w:rsidRDefault="000D534A" w:rsidP="000D534A">
      <w:pPr>
        <w:rPr>
          <w:i/>
          <w:vanish/>
        </w:rPr>
      </w:pPr>
      <w:r w:rsidRPr="00730A80">
        <w:rPr>
          <w:i/>
        </w:rPr>
        <w:fldChar w:fldCharType="begin"/>
      </w:r>
      <w:r w:rsidRPr="00730A80">
        <w:rPr>
          <w:i/>
        </w:rPr>
        <w:instrText xml:space="preserve"> TC"(</w:instrText>
      </w:r>
      <w:bookmarkStart w:id="2" w:name="DocNumber"/>
      <w:r w:rsidRPr="00730A80">
        <w:rPr>
          <w:i/>
        </w:rPr>
        <w:instrText>A</w:instrText>
      </w:r>
      <w:r w:rsidRPr="00535CF7">
        <w:rPr>
          <w:i/>
        </w:rPr>
        <w:instrText>9</w:instrText>
      </w:r>
      <w:r w:rsidRPr="00730A80">
        <w:rPr>
          <w:i/>
        </w:rPr>
        <w:instrText>-</w:instrText>
      </w:r>
      <w:r w:rsidRPr="00535CF7">
        <w:rPr>
          <w:i/>
        </w:rPr>
        <w:instrText>0223</w:instrText>
      </w:r>
      <w:r w:rsidRPr="00730A80">
        <w:rPr>
          <w:i/>
        </w:rPr>
        <w:instrText>/</w:instrText>
      </w:r>
      <w:r w:rsidRPr="00535CF7">
        <w:rPr>
          <w:i/>
        </w:rPr>
        <w:instrText>2023</w:instrText>
      </w:r>
      <w:bookmarkEnd w:id="2"/>
      <w:r w:rsidRPr="00730A80">
        <w:rPr>
          <w:i/>
        </w:rPr>
        <w:instrText xml:space="preserve"> - Izvjestitelj: </w:instrText>
      </w:r>
      <w:proofErr w:type="spellStart"/>
      <w:r w:rsidRPr="00730A80">
        <w:rPr>
          <w:i/>
        </w:rPr>
        <w:instrText>Tiemo</w:instrText>
      </w:r>
      <w:proofErr w:type="spellEnd"/>
      <w:r w:rsidRPr="00730A80">
        <w:rPr>
          <w:i/>
        </w:rPr>
        <w:instrText xml:space="preserve"> </w:instrText>
      </w:r>
      <w:proofErr w:type="spellStart"/>
      <w:r w:rsidRPr="00730A80">
        <w:rPr>
          <w:i/>
        </w:rPr>
        <w:instrText>Wölken</w:instrText>
      </w:r>
      <w:proofErr w:type="spellEnd"/>
      <w:r w:rsidRPr="00730A80">
        <w:rPr>
          <w:i/>
        </w:rPr>
        <w:instrText>)"\l</w:instrText>
      </w:r>
      <w:r w:rsidRPr="00535CF7">
        <w:rPr>
          <w:i/>
        </w:rPr>
        <w:instrText>3</w:instrText>
      </w:r>
      <w:r w:rsidRPr="00730A80">
        <w:rPr>
          <w:i/>
        </w:rPr>
        <w:instrText xml:space="preserve"> \n&gt; \* MERGEFORMAT </w:instrText>
      </w:r>
      <w:r w:rsidRPr="00730A80">
        <w:rPr>
          <w:i/>
        </w:rPr>
        <w:fldChar w:fldCharType="end"/>
      </w:r>
    </w:p>
    <w:p w:rsidR="000D534A" w:rsidRPr="00730A80" w:rsidRDefault="000D534A" w:rsidP="000D534A">
      <w:pPr>
        <w:rPr>
          <w:vanish/>
        </w:rPr>
      </w:pPr>
      <w:bookmarkStart w:id="3" w:name="Commission"/>
      <w:r w:rsidRPr="00730A80">
        <w:rPr>
          <w:vanish/>
        </w:rPr>
        <w:t>Odbor za pravna pitanja</w:t>
      </w:r>
      <w:bookmarkEnd w:id="3"/>
    </w:p>
    <w:p w:rsidR="000D534A" w:rsidRPr="00730A80" w:rsidRDefault="000D534A" w:rsidP="000D534A">
      <w:pPr>
        <w:rPr>
          <w:vanish/>
        </w:rPr>
      </w:pPr>
      <w:bookmarkStart w:id="4" w:name="PE"/>
      <w:r w:rsidRPr="00730A80">
        <w:rPr>
          <w:vanish/>
        </w:rPr>
        <w:t>PE</w:t>
      </w:r>
      <w:r w:rsidRPr="00535CF7">
        <w:rPr>
          <w:vanish/>
        </w:rPr>
        <w:t>745</w:t>
      </w:r>
      <w:r w:rsidRPr="00730A80">
        <w:rPr>
          <w:vanish/>
        </w:rPr>
        <w:t>.</w:t>
      </w:r>
      <w:r w:rsidRPr="00535CF7">
        <w:rPr>
          <w:vanish/>
        </w:rPr>
        <w:t>170</w:t>
      </w:r>
      <w:bookmarkEnd w:id="4"/>
    </w:p>
    <w:p w:rsidR="000D534A" w:rsidRPr="00730A80" w:rsidRDefault="000D534A" w:rsidP="000D534A">
      <w:pPr>
        <w:pStyle w:val="ATHeading3"/>
      </w:pPr>
      <w:bookmarkStart w:id="5" w:name="Sujet"/>
      <w:r w:rsidRPr="00730A80">
        <w:t>Zakonodavna rezolucija Europskog parlamenta od</w:t>
      </w:r>
      <w:r w:rsidR="00FD3F04" w:rsidRPr="00730A80">
        <w:t xml:space="preserve"> </w:t>
      </w:r>
      <w:r w:rsidR="00FD3F04" w:rsidRPr="00535CF7">
        <w:t>27</w:t>
      </w:r>
      <w:r w:rsidR="00FD3F04" w:rsidRPr="00730A80">
        <w:t>.</w:t>
      </w:r>
      <w:r w:rsidRPr="00730A80">
        <w:t xml:space="preserve"> </w:t>
      </w:r>
      <w:r w:rsidR="00786982" w:rsidRPr="00730A80">
        <w:t>veljače</w:t>
      </w:r>
      <w:r w:rsidRPr="00730A80">
        <w:t xml:space="preserve"> </w:t>
      </w:r>
      <w:r w:rsidRPr="00535CF7">
        <w:t>2024</w:t>
      </w:r>
      <w:r w:rsidRPr="00730A80">
        <w:t>. o Prijedlogu direktive Europskog parlamenta i Vijeća o zaštiti osoba uključenih u javno sudjelovanje od očito neosnovanih ili zlonamjernih sudskih postupaka („strateške tužbe protiv javnog sudjelovanja”)</w:t>
      </w:r>
      <w:bookmarkEnd w:id="5"/>
      <w:r w:rsidRPr="00730A80">
        <w:t xml:space="preserve"> </w:t>
      </w:r>
      <w:bookmarkStart w:id="6" w:name="References"/>
      <w:r w:rsidRPr="00730A80">
        <w:t>(COM(</w:t>
      </w:r>
      <w:r w:rsidRPr="00535CF7">
        <w:t>2022</w:t>
      </w:r>
      <w:r w:rsidRPr="00730A80">
        <w:t>)</w:t>
      </w:r>
      <w:r w:rsidRPr="00535CF7">
        <w:t>0177</w:t>
      </w:r>
      <w:r w:rsidRPr="00730A80">
        <w:t xml:space="preserve"> – C</w:t>
      </w:r>
      <w:r w:rsidRPr="00535CF7">
        <w:t>9</w:t>
      </w:r>
      <w:r w:rsidRPr="00730A80">
        <w:t>-</w:t>
      </w:r>
      <w:r w:rsidRPr="00535CF7">
        <w:t>0161</w:t>
      </w:r>
      <w:r w:rsidRPr="00730A80">
        <w:t>/</w:t>
      </w:r>
      <w:r w:rsidRPr="00535CF7">
        <w:t>2022</w:t>
      </w:r>
      <w:r w:rsidRPr="00730A80">
        <w:t xml:space="preserve"> – </w:t>
      </w:r>
      <w:r w:rsidRPr="00535CF7">
        <w:t>2022</w:t>
      </w:r>
      <w:r w:rsidRPr="00730A80">
        <w:t>/</w:t>
      </w:r>
      <w:r w:rsidRPr="00535CF7">
        <w:t>0117</w:t>
      </w:r>
      <w:r w:rsidRPr="00730A80">
        <w:t>(COD))</w:t>
      </w:r>
      <w:bookmarkEnd w:id="6"/>
    </w:p>
    <w:p w:rsidR="00D91452" w:rsidRPr="00730A80" w:rsidRDefault="00D91452" w:rsidP="00D91452">
      <w:pPr>
        <w:pStyle w:val="NormalBold"/>
      </w:pPr>
      <w:bookmarkStart w:id="7" w:name="TextBodyBegin"/>
      <w:bookmarkEnd w:id="1"/>
      <w:bookmarkEnd w:id="7"/>
      <w:r w:rsidRPr="00730A80">
        <w:t>(Redovni zakonodavni postupak: prvo čitanje)</w:t>
      </w:r>
    </w:p>
    <w:p w:rsidR="00D91452" w:rsidRPr="00730A80" w:rsidRDefault="00D91452" w:rsidP="00D91452">
      <w:pPr>
        <w:pStyle w:val="EPComma"/>
      </w:pPr>
      <w:r w:rsidRPr="00730A80">
        <w:rPr>
          <w:i/>
        </w:rPr>
        <w:t>Europski parlament</w:t>
      </w:r>
      <w:r w:rsidRPr="00730A80">
        <w:t>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>uzimajući u obzir Prijedlog Komisije upućen Europskom parlamentu i Vijeću (COM(</w:t>
      </w:r>
      <w:r w:rsidRPr="00535CF7">
        <w:t>2022</w:t>
      </w:r>
      <w:r w:rsidRPr="00730A80">
        <w:t>)</w:t>
      </w:r>
      <w:r w:rsidRPr="00535CF7">
        <w:t>0177</w:t>
      </w:r>
      <w:r w:rsidRPr="00730A80">
        <w:t>),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 xml:space="preserve">uzimajući u obzir članak </w:t>
      </w:r>
      <w:r w:rsidRPr="00535CF7">
        <w:t>294</w:t>
      </w:r>
      <w:r w:rsidRPr="00730A80">
        <w:t xml:space="preserve">. stavak </w:t>
      </w:r>
      <w:r w:rsidRPr="00535CF7">
        <w:t>2</w:t>
      </w:r>
      <w:r w:rsidRPr="00730A80">
        <w:t xml:space="preserve">. i članak </w:t>
      </w:r>
      <w:r w:rsidRPr="00535CF7">
        <w:t>81</w:t>
      </w:r>
      <w:r w:rsidRPr="00730A80">
        <w:t xml:space="preserve">. stavak </w:t>
      </w:r>
      <w:r w:rsidRPr="00535CF7">
        <w:t>2</w:t>
      </w:r>
      <w:r w:rsidRPr="00730A80">
        <w:t xml:space="preserve"> točku (f) Ugovora o funkcioniranju Europske unije, u skladu s kojima je Komisija podnijela Prijedlog Parlamentu (C</w:t>
      </w:r>
      <w:r w:rsidRPr="00535CF7">
        <w:t>9</w:t>
      </w:r>
      <w:r w:rsidRPr="00730A80">
        <w:noBreakHyphen/>
      </w:r>
      <w:r w:rsidRPr="00535CF7">
        <w:t>0161</w:t>
      </w:r>
      <w:r w:rsidRPr="00730A80">
        <w:t>/</w:t>
      </w:r>
      <w:r w:rsidRPr="00535CF7">
        <w:t>2022</w:t>
      </w:r>
      <w:r w:rsidRPr="00730A80">
        <w:t>),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 xml:space="preserve">uzimajući u obzir članak </w:t>
      </w:r>
      <w:r w:rsidRPr="00535CF7">
        <w:t>294</w:t>
      </w:r>
      <w:r w:rsidRPr="00730A80">
        <w:t xml:space="preserve">. stavak </w:t>
      </w:r>
      <w:r w:rsidRPr="00535CF7">
        <w:t>3</w:t>
      </w:r>
      <w:r w:rsidRPr="00730A80">
        <w:t>. Ugovora o funkcioniranju Europske unije,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>uzimajući u obzir obrazložen</w:t>
      </w:r>
      <w:r w:rsidR="00FD3F04" w:rsidRPr="00730A80">
        <w:t>o</w:t>
      </w:r>
      <w:r w:rsidRPr="00730A80">
        <w:t xml:space="preserve"> mišljenj</w:t>
      </w:r>
      <w:r w:rsidR="00FD3F04" w:rsidRPr="00730A80">
        <w:t>e</w:t>
      </w:r>
      <w:r w:rsidRPr="00730A80">
        <w:t xml:space="preserve"> francuskog Senata podnesen</w:t>
      </w:r>
      <w:r w:rsidR="00FD3F04" w:rsidRPr="00730A80">
        <w:t>o</w:t>
      </w:r>
      <w:r w:rsidRPr="00730A80">
        <w:t xml:space="preserve"> u okviru Protokola br. </w:t>
      </w:r>
      <w:r w:rsidRPr="00535CF7">
        <w:t>2</w:t>
      </w:r>
      <w:r w:rsidRPr="00730A80">
        <w:t xml:space="preserve"> o primjeni načela supsidijarnosti i proporcionalnosti, u koj</w:t>
      </w:r>
      <w:r w:rsidR="00FD3F04" w:rsidRPr="00730A80">
        <w:t>em</w:t>
      </w:r>
      <w:r w:rsidR="00286DF6" w:rsidRPr="00730A80">
        <w:t>u</w:t>
      </w:r>
      <w:r w:rsidRPr="00730A80">
        <w:t xml:space="preserve"> se izjavljuje da nacrt zakonodavnog akta nije u skladu s načelom supsidijarnosti,</w:t>
      </w:r>
      <w:r w:rsidRPr="00730A80">
        <w:rPr>
          <w:rStyle w:val="FootnoteReference"/>
        </w:rPr>
        <w:t xml:space="preserve"> </w:t>
      </w:r>
    </w:p>
    <w:p w:rsidR="00D91452" w:rsidRPr="00730A80" w:rsidRDefault="00D91452" w:rsidP="00D91452">
      <w:pPr>
        <w:pStyle w:val="NormalHanging12a"/>
        <w:rPr>
          <w:b/>
        </w:rPr>
      </w:pPr>
      <w:r w:rsidRPr="00730A80">
        <w:t>–</w:t>
      </w:r>
      <w:r w:rsidRPr="00730A80">
        <w:tab/>
        <w:t xml:space="preserve">uzimajući u obzir mišljenje Europskoga gospodarskog i socijalnog odbora od </w:t>
      </w:r>
      <w:r w:rsidRPr="00535CF7">
        <w:t>26</w:t>
      </w:r>
      <w:r w:rsidRPr="00730A80">
        <w:t>. listopada </w:t>
      </w:r>
      <w:r w:rsidRPr="00535CF7">
        <w:t>2022</w:t>
      </w:r>
      <w:r w:rsidRPr="00730A80">
        <w:t>.</w:t>
      </w:r>
      <w:r w:rsidRPr="00730A80">
        <w:rPr>
          <w:rStyle w:val="FootnoteReference"/>
        </w:rPr>
        <w:footnoteReference w:id="1"/>
      </w:r>
      <w:r w:rsidRPr="00730A80">
        <w:t>,</w:t>
      </w:r>
      <w:r w:rsidRPr="00730A80">
        <w:rPr>
          <w:b/>
        </w:rPr>
        <w:t xml:space="preserve"> </w:t>
      </w:r>
    </w:p>
    <w:p w:rsidR="00FD3F04" w:rsidRPr="00730A80" w:rsidRDefault="00FD3F04" w:rsidP="00D91452">
      <w:pPr>
        <w:pStyle w:val="NormalHanging12a"/>
      </w:pPr>
      <w:r w:rsidRPr="00730A80">
        <w:t>–</w:t>
      </w:r>
      <w:r w:rsidRPr="00730A80">
        <w:tab/>
        <w:t xml:space="preserve">uzimajući u obzir privremeni sporazum koji je odobrio nadležni odbor u skladu s člankom </w:t>
      </w:r>
      <w:r w:rsidRPr="00535CF7">
        <w:t>74</w:t>
      </w:r>
      <w:r w:rsidRPr="00730A80">
        <w:t xml:space="preserve">. stavkom </w:t>
      </w:r>
      <w:r w:rsidRPr="00535CF7">
        <w:t>4</w:t>
      </w:r>
      <w:r w:rsidRPr="00730A80">
        <w:t xml:space="preserve">. Poslovnika te činjenicu da se predstavnik Vijeća pismom od </w:t>
      </w:r>
      <w:r w:rsidRPr="00535CF7">
        <w:t>20</w:t>
      </w:r>
      <w:r w:rsidRPr="00730A80">
        <w:t xml:space="preserve">. prosinca </w:t>
      </w:r>
      <w:r w:rsidRPr="00535CF7">
        <w:t>2023</w:t>
      </w:r>
      <w:r w:rsidRPr="00730A80">
        <w:t xml:space="preserve">. obvezao prihvatiti stajalište Europskog parlamenta u skladu s člankom </w:t>
      </w:r>
      <w:r w:rsidRPr="00535CF7">
        <w:t>294</w:t>
      </w:r>
      <w:r w:rsidRPr="00730A80">
        <w:t xml:space="preserve">. stavkom </w:t>
      </w:r>
      <w:r w:rsidRPr="00535CF7">
        <w:t>4</w:t>
      </w:r>
      <w:r w:rsidRPr="00730A80">
        <w:t>. Ugovora o funkcioniranju Europske unije</w:t>
      </w:r>
      <w:r w:rsidR="00121A09" w:rsidRPr="00730A80">
        <w:t>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 xml:space="preserve">uzimajući u obzir članak </w:t>
      </w:r>
      <w:r w:rsidRPr="00535CF7">
        <w:t>59</w:t>
      </w:r>
      <w:r w:rsidRPr="00730A80">
        <w:t>. Poslovnika,</w:t>
      </w:r>
    </w:p>
    <w:p w:rsidR="00D91452" w:rsidRPr="00730A80" w:rsidRDefault="00D91452" w:rsidP="00D91452">
      <w:pPr>
        <w:pStyle w:val="NormalHanging12a"/>
      </w:pPr>
      <w:r w:rsidRPr="00730A80">
        <w:lastRenderedPageBreak/>
        <w:t>–</w:t>
      </w:r>
      <w:r w:rsidRPr="00730A80">
        <w:tab/>
        <w:t>uzimajući u obzir mišljenja Odbora za građanske slobode, pravosuđe i unutarnje poslove i Odbora za kulturu i obrazovanje,</w:t>
      </w:r>
    </w:p>
    <w:p w:rsidR="00D91452" w:rsidRPr="00730A80" w:rsidRDefault="00D91452" w:rsidP="00D91452">
      <w:pPr>
        <w:pStyle w:val="NormalHanging12a"/>
      </w:pPr>
      <w:r w:rsidRPr="00730A80">
        <w:t>–</w:t>
      </w:r>
      <w:r w:rsidRPr="00730A80">
        <w:tab/>
        <w:t>uzimajući u obzir izvješće Odbora za pravna pitanja (A</w:t>
      </w:r>
      <w:r w:rsidRPr="00535CF7">
        <w:t>9</w:t>
      </w:r>
      <w:r w:rsidRPr="00730A80">
        <w:noBreakHyphen/>
      </w:r>
      <w:r w:rsidRPr="00535CF7">
        <w:t>0223</w:t>
      </w:r>
      <w:r w:rsidRPr="00730A80">
        <w:t>/</w:t>
      </w:r>
      <w:r w:rsidRPr="00535CF7">
        <w:t>2023</w:t>
      </w:r>
      <w:r w:rsidRPr="00730A80">
        <w:t>),</w:t>
      </w:r>
    </w:p>
    <w:p w:rsidR="00D91452" w:rsidRPr="00730A80" w:rsidRDefault="00D91452" w:rsidP="00D91452">
      <w:pPr>
        <w:pStyle w:val="NormalHanging12a"/>
      </w:pPr>
      <w:r w:rsidRPr="00535CF7">
        <w:t>1</w:t>
      </w:r>
      <w:r w:rsidRPr="00730A80">
        <w:t>.</w:t>
      </w:r>
      <w:r w:rsidRPr="00730A80">
        <w:tab/>
        <w:t>usvaja sljedeće stajalište u prvom čitanju</w:t>
      </w:r>
      <w:r w:rsidR="00A75832">
        <w:rPr>
          <w:rStyle w:val="FootnoteReference"/>
        </w:rPr>
        <w:footnoteReference w:id="2"/>
      </w:r>
      <w:r w:rsidRPr="00730A80">
        <w:t>;</w:t>
      </w:r>
    </w:p>
    <w:p w:rsidR="00D91452" w:rsidRPr="00730A80" w:rsidRDefault="00D91452" w:rsidP="00D91452">
      <w:pPr>
        <w:pStyle w:val="NormalHanging12a"/>
      </w:pPr>
      <w:r w:rsidRPr="00535CF7">
        <w:t>2</w:t>
      </w:r>
      <w:r w:rsidRPr="00730A80">
        <w:t>.</w:t>
      </w:r>
      <w:r w:rsidRPr="00730A80">
        <w:tab/>
        <w:t xml:space="preserve">predlaže da se na akt upućuje kao na „Direktivu </w:t>
      </w:r>
      <w:proofErr w:type="spellStart"/>
      <w:r w:rsidRPr="00730A80">
        <w:t>Wölken-</w:t>
      </w:r>
      <w:r w:rsidR="00FD3F04" w:rsidRPr="00535CF7">
        <w:t>Bolaños</w:t>
      </w:r>
      <w:proofErr w:type="spellEnd"/>
      <w:r w:rsidR="00FD3F04" w:rsidRPr="00535CF7">
        <w:t xml:space="preserve"> Garcí</w:t>
      </w:r>
      <w:r w:rsidR="00286DF6" w:rsidRPr="00535CF7">
        <w:t>a</w:t>
      </w:r>
      <w:r w:rsidRPr="00730A80">
        <w:t xml:space="preserve"> o zaštiti osoba uključenih u javno sudjelovanje od očito neosnovanih ili zlonamjernih sudskih postupaka („strateške tužbe protiv javnog sudjelovanja”)”</w:t>
      </w:r>
      <w:r w:rsidRPr="00730A80">
        <w:rPr>
          <w:rStyle w:val="FootnoteReference"/>
        </w:rPr>
        <w:footnoteReference w:id="3"/>
      </w:r>
      <w:r w:rsidRPr="00730A80">
        <w:t>;</w:t>
      </w:r>
    </w:p>
    <w:p w:rsidR="00D91452" w:rsidRPr="00730A80" w:rsidRDefault="00D91452" w:rsidP="00D91452">
      <w:pPr>
        <w:pStyle w:val="NormalHanging12a"/>
      </w:pPr>
      <w:r w:rsidRPr="00535CF7">
        <w:t>3</w:t>
      </w:r>
      <w:r w:rsidRPr="00730A80">
        <w:t>.</w:t>
      </w:r>
      <w:r w:rsidRPr="00730A80">
        <w:tab/>
        <w:t>poziva Komisiju da predmet ponovno uputi Parlamentu ako zamijeni, bitno izmijeni ili namjerava bitno izmijeniti svoj Prijedlog;</w:t>
      </w:r>
    </w:p>
    <w:p w:rsidR="00D91452" w:rsidRPr="00730A80" w:rsidRDefault="00D91452" w:rsidP="00D91452">
      <w:pPr>
        <w:pStyle w:val="NormalHanging12a"/>
      </w:pPr>
      <w:r w:rsidRPr="00535CF7">
        <w:t>4</w:t>
      </w:r>
      <w:r w:rsidRPr="00730A80">
        <w:t>.</w:t>
      </w:r>
      <w:r w:rsidRPr="00730A80">
        <w:tab/>
        <w:t>nalaže svojoj predsjednici da stajalište Parlamenta proslijedi Vijeću, Komisiji i nacionalnim parlamentima.</w:t>
      </w:r>
    </w:p>
    <w:p w:rsidR="00D91452" w:rsidRPr="00730A80" w:rsidRDefault="00D91452" w:rsidP="00D91452"/>
    <w:p w:rsidR="003A7FE5" w:rsidRPr="00730A80" w:rsidRDefault="003A7FE5" w:rsidP="00D91452">
      <w:pPr>
        <w:rPr>
          <w:sz w:val="28"/>
          <w:lang w:eastAsia="fr-FR"/>
        </w:rPr>
        <w:sectPr w:rsidR="003A7FE5" w:rsidRPr="00730A80" w:rsidSect="00D95C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286DF6" w:rsidRPr="00730A80" w:rsidRDefault="00121A09" w:rsidP="00286DF6">
      <w:pPr>
        <w:widowControl/>
        <w:spacing w:after="240"/>
        <w:rPr>
          <w:rFonts w:eastAsia="Calibri"/>
          <w:b/>
          <w:szCs w:val="24"/>
          <w:lang w:eastAsia="en-US"/>
        </w:rPr>
      </w:pPr>
      <w:r w:rsidRPr="00730A80">
        <w:rPr>
          <w:b/>
          <w:bCs/>
          <w:color w:val="000000"/>
        </w:rPr>
        <w:lastRenderedPageBreak/>
        <w:t>P</w:t>
      </w:r>
      <w:r w:rsidRPr="00535CF7">
        <w:rPr>
          <w:b/>
          <w:bCs/>
          <w:color w:val="000000"/>
        </w:rPr>
        <w:t>9</w:t>
      </w:r>
      <w:r w:rsidRPr="00730A80">
        <w:rPr>
          <w:b/>
          <w:bCs/>
          <w:color w:val="000000"/>
        </w:rPr>
        <w:t>_TC</w:t>
      </w:r>
      <w:r w:rsidRPr="00535CF7">
        <w:rPr>
          <w:b/>
          <w:bCs/>
          <w:color w:val="000000"/>
        </w:rPr>
        <w:t>1</w:t>
      </w:r>
      <w:r w:rsidRPr="00730A80">
        <w:rPr>
          <w:b/>
          <w:bCs/>
          <w:color w:val="000000"/>
        </w:rPr>
        <w:t>-COD(</w:t>
      </w:r>
      <w:r w:rsidRPr="00535CF7">
        <w:rPr>
          <w:b/>
          <w:bCs/>
          <w:color w:val="000000"/>
        </w:rPr>
        <w:t>2022</w:t>
      </w:r>
      <w:r w:rsidRPr="00730A80">
        <w:rPr>
          <w:b/>
          <w:bCs/>
          <w:color w:val="000000"/>
        </w:rPr>
        <w:t>)</w:t>
      </w:r>
      <w:r w:rsidRPr="00535CF7">
        <w:rPr>
          <w:b/>
          <w:bCs/>
          <w:color w:val="000000"/>
        </w:rPr>
        <w:t>0117</w:t>
      </w:r>
    </w:p>
    <w:p w:rsidR="00286DF6" w:rsidRPr="00730A80" w:rsidRDefault="00286DF6" w:rsidP="00730A80">
      <w:pPr>
        <w:widowControl/>
        <w:spacing w:before="120" w:after="120"/>
        <w:rPr>
          <w:rFonts w:eastAsia="Calibri"/>
          <w:b/>
          <w:bCs/>
          <w:szCs w:val="22"/>
          <w:lang w:eastAsia="en-US"/>
        </w:rPr>
      </w:pPr>
      <w:r w:rsidRPr="00730A80">
        <w:rPr>
          <w:rFonts w:eastAsia="Calibri"/>
          <w:b/>
          <w:szCs w:val="24"/>
          <w:lang w:eastAsia="en-US"/>
        </w:rPr>
        <w:t xml:space="preserve">Stajalište Europskog parlamenta usvojeno u prvom čitanju </w:t>
      </w:r>
      <w:r w:rsidRPr="00535CF7">
        <w:rPr>
          <w:rFonts w:eastAsia="Calibri"/>
          <w:b/>
          <w:szCs w:val="24"/>
          <w:lang w:eastAsia="en-US"/>
        </w:rPr>
        <w:t>27</w:t>
      </w:r>
      <w:r w:rsidRPr="00730A80">
        <w:rPr>
          <w:rFonts w:eastAsia="Calibri"/>
          <w:b/>
          <w:szCs w:val="24"/>
          <w:lang w:eastAsia="en-US"/>
        </w:rPr>
        <w:t xml:space="preserve">. veljače </w:t>
      </w:r>
      <w:r w:rsidRPr="00535CF7">
        <w:rPr>
          <w:rFonts w:eastAsia="Calibri"/>
          <w:b/>
          <w:szCs w:val="24"/>
          <w:lang w:eastAsia="en-US"/>
        </w:rPr>
        <w:t>2024</w:t>
      </w:r>
      <w:r w:rsidRPr="00730A80">
        <w:rPr>
          <w:rFonts w:eastAsia="Calibri"/>
          <w:b/>
          <w:szCs w:val="24"/>
          <w:lang w:eastAsia="en-US"/>
        </w:rPr>
        <w:t xml:space="preserve">. radi donošenja </w:t>
      </w:r>
      <w:r w:rsidR="003A7FE5" w:rsidRPr="00730A80">
        <w:rPr>
          <w:rFonts w:eastAsia="Calibri"/>
          <w:b/>
          <w:szCs w:val="24"/>
          <w:lang w:eastAsia="en-US"/>
        </w:rPr>
        <w:t>Direktive</w:t>
      </w:r>
      <w:r w:rsidRPr="00730A80">
        <w:rPr>
          <w:rFonts w:eastAsia="Calibri"/>
          <w:b/>
          <w:szCs w:val="24"/>
          <w:lang w:eastAsia="en-US"/>
        </w:rPr>
        <w:t xml:space="preserve"> (EU) </w:t>
      </w:r>
      <w:r w:rsidRPr="00535CF7">
        <w:rPr>
          <w:rFonts w:eastAsia="Calibri"/>
          <w:b/>
          <w:szCs w:val="24"/>
          <w:lang w:eastAsia="en-US"/>
        </w:rPr>
        <w:t>2024</w:t>
      </w:r>
      <w:r w:rsidRPr="00730A80">
        <w:rPr>
          <w:rFonts w:eastAsia="Calibri"/>
          <w:b/>
          <w:szCs w:val="24"/>
          <w:lang w:eastAsia="en-US"/>
        </w:rPr>
        <w:t>/... Europskog parlamenta i Vijeća</w:t>
      </w:r>
      <w:r w:rsidR="003A7FE5" w:rsidRPr="00730A80">
        <w:rPr>
          <w:rFonts w:eastAsia="Calibri"/>
          <w:b/>
          <w:szCs w:val="24"/>
          <w:lang w:eastAsia="en-US"/>
        </w:rPr>
        <w:t xml:space="preserve"> </w:t>
      </w:r>
      <w:r w:rsidRPr="00730A80">
        <w:rPr>
          <w:rFonts w:eastAsia="Calibri"/>
          <w:b/>
          <w:szCs w:val="22"/>
          <w:lang w:eastAsia="en-US"/>
        </w:rPr>
        <w:t xml:space="preserve">o zaštiti osoba uključenih u javno djelovanje od očito neosnovanih </w:t>
      </w:r>
      <w:r w:rsidRPr="009609F5">
        <w:rPr>
          <w:rFonts w:eastAsia="Calibri"/>
          <w:b/>
          <w:szCs w:val="22"/>
          <w:lang w:eastAsia="en-US"/>
        </w:rPr>
        <w:t xml:space="preserve">tužbi </w:t>
      </w:r>
      <w:r w:rsidRPr="00730A80">
        <w:rPr>
          <w:rFonts w:eastAsia="Calibri"/>
          <w:b/>
          <w:szCs w:val="22"/>
          <w:lang w:eastAsia="en-US"/>
        </w:rPr>
        <w:t>ili zlonamjernih sudskih postupaka („strateške tužbe usmjerene protiv javnog djelovanja”)</w:t>
      </w:r>
    </w:p>
    <w:p w:rsidR="009609F5" w:rsidRDefault="009609F5" w:rsidP="009609F5">
      <w:pPr>
        <w:widowControl/>
        <w:jc w:val="both"/>
        <w:rPr>
          <w:rFonts w:eastAsia="Calibri"/>
          <w:i/>
          <w:szCs w:val="24"/>
          <w:lang w:eastAsia="en-US"/>
        </w:rPr>
      </w:pPr>
    </w:p>
    <w:p w:rsidR="009609F5" w:rsidRPr="00C316C4" w:rsidRDefault="009609F5" w:rsidP="009609F5">
      <w:pPr>
        <w:widowControl/>
        <w:jc w:val="both"/>
        <w:rPr>
          <w:rFonts w:eastAsia="Calibri"/>
          <w:i/>
          <w:szCs w:val="24"/>
          <w:lang w:eastAsia="en-US"/>
        </w:rPr>
      </w:pPr>
      <w:r w:rsidRPr="00C316C4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 xml:space="preserve"> Direktivi (EU) 2024/1069</w:t>
      </w:r>
      <w:bookmarkStart w:id="9" w:name="_GoBack"/>
      <w:bookmarkEnd w:id="9"/>
      <w:r>
        <w:rPr>
          <w:rFonts w:eastAsia="Calibri"/>
          <w:i/>
          <w:szCs w:val="24"/>
          <w:lang w:eastAsia="en-US"/>
        </w:rPr>
        <w:t>.</w:t>
      </w:r>
      <w:r w:rsidRPr="00C316C4">
        <w:rPr>
          <w:rFonts w:eastAsia="Calibri"/>
          <w:i/>
          <w:szCs w:val="24"/>
          <w:lang w:eastAsia="en-US"/>
        </w:rPr>
        <w:t>)</w:t>
      </w:r>
    </w:p>
    <w:p w:rsidR="00E365E1" w:rsidRPr="00730A80" w:rsidRDefault="00E365E1" w:rsidP="00535CF7">
      <w:pPr>
        <w:widowControl/>
        <w:tabs>
          <w:tab w:val="left" w:pos="5103"/>
        </w:tabs>
        <w:spacing w:line="360" w:lineRule="auto"/>
        <w:rPr>
          <w:sz w:val="28"/>
          <w:lang w:eastAsia="fr-FR"/>
        </w:rPr>
      </w:pPr>
    </w:p>
    <w:sectPr w:rsidR="00E365E1" w:rsidRPr="00730A80" w:rsidSect="00D95C5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4A" w:rsidRPr="00D95C5D" w:rsidRDefault="000D534A">
      <w:r w:rsidRPr="00D95C5D">
        <w:separator/>
      </w:r>
    </w:p>
  </w:endnote>
  <w:endnote w:type="continuationSeparator" w:id="0">
    <w:p w:rsidR="000D534A" w:rsidRPr="00D95C5D" w:rsidRDefault="000D534A">
      <w:r w:rsidRPr="00D95C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4A" w:rsidRPr="00D95C5D" w:rsidRDefault="000D534A">
      <w:r w:rsidRPr="00D95C5D">
        <w:separator/>
      </w:r>
    </w:p>
  </w:footnote>
  <w:footnote w:type="continuationSeparator" w:id="0">
    <w:p w:rsidR="000D534A" w:rsidRPr="00D95C5D" w:rsidRDefault="000D534A">
      <w:r w:rsidRPr="00D95C5D">
        <w:continuationSeparator/>
      </w:r>
    </w:p>
  </w:footnote>
  <w:footnote w:id="1">
    <w:p w:rsidR="00D91452" w:rsidRPr="00D95C5D" w:rsidRDefault="00D91452" w:rsidP="00D95C5D">
      <w:pPr>
        <w:pStyle w:val="FootnoteText"/>
        <w:ind w:left="567" w:hanging="567"/>
        <w:rPr>
          <w:sz w:val="24"/>
          <w:lang w:val="hr-HR"/>
        </w:rPr>
      </w:pPr>
      <w:r w:rsidRPr="00D95C5D">
        <w:rPr>
          <w:rStyle w:val="FootnoteReference"/>
          <w:sz w:val="24"/>
          <w:lang w:val="hr-HR"/>
        </w:rPr>
        <w:footnoteRef/>
      </w:r>
      <w:r w:rsidR="00D95C5D" w:rsidRPr="00D95C5D">
        <w:rPr>
          <w:sz w:val="24"/>
          <w:lang w:val="hr-HR"/>
        </w:rPr>
        <w:t xml:space="preserve"> </w:t>
      </w:r>
      <w:r w:rsidR="00D95C5D" w:rsidRPr="00D95C5D">
        <w:rPr>
          <w:sz w:val="24"/>
          <w:lang w:val="hr-HR"/>
        </w:rPr>
        <w:tab/>
      </w:r>
      <w:r w:rsidR="00286DF6">
        <w:rPr>
          <w:iCs/>
          <w:sz w:val="24"/>
          <w:lang w:val="en-GB"/>
        </w:rPr>
        <w:t>SL</w:t>
      </w:r>
      <w:r w:rsidR="00286DF6" w:rsidRPr="00286DF6">
        <w:rPr>
          <w:iCs/>
          <w:sz w:val="24"/>
          <w:lang w:val="en-GB"/>
        </w:rPr>
        <w:t xml:space="preserve"> C </w:t>
      </w:r>
      <w:r w:rsidR="00286DF6" w:rsidRPr="00535CF7">
        <w:rPr>
          <w:iCs/>
          <w:sz w:val="24"/>
          <w:lang w:val="en-GB"/>
        </w:rPr>
        <w:t>75</w:t>
      </w:r>
      <w:r w:rsidR="00286DF6" w:rsidRPr="00286DF6">
        <w:rPr>
          <w:iCs/>
          <w:sz w:val="24"/>
          <w:lang w:val="en-GB"/>
        </w:rPr>
        <w:t xml:space="preserve">, </w:t>
      </w:r>
      <w:r w:rsidR="00286DF6" w:rsidRPr="00535CF7">
        <w:rPr>
          <w:iCs/>
          <w:sz w:val="24"/>
          <w:lang w:val="en-GB"/>
        </w:rPr>
        <w:t>28</w:t>
      </w:r>
      <w:r w:rsidR="00286DF6" w:rsidRPr="00286DF6">
        <w:rPr>
          <w:iCs/>
          <w:sz w:val="24"/>
          <w:lang w:val="en-GB"/>
        </w:rPr>
        <w:t>.</w:t>
      </w:r>
      <w:r w:rsidR="00286DF6" w:rsidRPr="00535CF7">
        <w:rPr>
          <w:iCs/>
          <w:sz w:val="24"/>
          <w:lang w:val="en-GB"/>
        </w:rPr>
        <w:t>2</w:t>
      </w:r>
      <w:r w:rsidR="00286DF6" w:rsidRPr="00286DF6">
        <w:rPr>
          <w:iCs/>
          <w:sz w:val="24"/>
          <w:lang w:val="en-GB"/>
        </w:rPr>
        <w:t>.</w:t>
      </w:r>
      <w:r w:rsidR="00286DF6" w:rsidRPr="00535CF7">
        <w:rPr>
          <w:iCs/>
          <w:sz w:val="24"/>
          <w:lang w:val="en-GB"/>
        </w:rPr>
        <w:t>2023</w:t>
      </w:r>
      <w:r w:rsidR="00286DF6">
        <w:rPr>
          <w:iCs/>
          <w:sz w:val="24"/>
          <w:lang w:val="en-GB"/>
        </w:rPr>
        <w:t>., str</w:t>
      </w:r>
      <w:r w:rsidR="00286DF6" w:rsidRPr="00286DF6">
        <w:rPr>
          <w:iCs/>
          <w:sz w:val="24"/>
          <w:lang w:val="en-GB"/>
        </w:rPr>
        <w:t xml:space="preserve">. </w:t>
      </w:r>
      <w:r w:rsidR="00286DF6" w:rsidRPr="00535CF7">
        <w:rPr>
          <w:iCs/>
          <w:sz w:val="24"/>
          <w:lang w:val="en-GB"/>
        </w:rPr>
        <w:t>143</w:t>
      </w:r>
      <w:r w:rsidRPr="00D95C5D">
        <w:rPr>
          <w:sz w:val="24"/>
          <w:lang w:val="hr-HR"/>
        </w:rPr>
        <w:t>.</w:t>
      </w:r>
    </w:p>
  </w:footnote>
  <w:footnote w:id="2">
    <w:p w:rsidR="00A75832" w:rsidRPr="00A75832" w:rsidRDefault="00A75832" w:rsidP="00A75832">
      <w:pPr>
        <w:pStyle w:val="FootnoteText"/>
        <w:ind w:left="567" w:hanging="567"/>
        <w:rPr>
          <w:sz w:val="24"/>
          <w:szCs w:val="24"/>
          <w:lang w:val="sl-SI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A75832">
        <w:rPr>
          <w:sz w:val="24"/>
          <w:szCs w:val="24"/>
          <w:lang w:val="hr-HR"/>
        </w:rPr>
        <w:t xml:space="preserve">Ovo stajalište zamjenjuje amandmane usvojene na sjednici </w:t>
      </w:r>
      <w:r w:rsidRPr="00535CF7">
        <w:rPr>
          <w:sz w:val="24"/>
          <w:szCs w:val="24"/>
          <w:lang w:val="hr-HR"/>
        </w:rPr>
        <w:t>11</w:t>
      </w:r>
      <w:r w:rsidRPr="00A75832">
        <w:rPr>
          <w:sz w:val="24"/>
          <w:szCs w:val="24"/>
          <w:lang w:val="hr-HR"/>
        </w:rPr>
        <w:t>.</w:t>
      </w:r>
      <w:r w:rsidR="009609F5">
        <w:rPr>
          <w:sz w:val="24"/>
          <w:szCs w:val="24"/>
          <w:lang w:val="hr-HR"/>
        </w:rPr>
        <w:t xml:space="preserve"> </w:t>
      </w:r>
      <w:r w:rsidRPr="00A75832">
        <w:rPr>
          <w:sz w:val="24"/>
          <w:szCs w:val="24"/>
          <w:lang w:val="hr-HR"/>
        </w:rPr>
        <w:t xml:space="preserve">srpnja </w:t>
      </w:r>
      <w:r w:rsidRPr="00535CF7">
        <w:rPr>
          <w:sz w:val="24"/>
          <w:szCs w:val="24"/>
          <w:lang w:val="hr-HR"/>
        </w:rPr>
        <w:t>2023</w:t>
      </w:r>
      <w:r w:rsidRPr="00A75832">
        <w:rPr>
          <w:sz w:val="24"/>
          <w:szCs w:val="24"/>
          <w:lang w:val="hr-HR"/>
        </w:rPr>
        <w:t xml:space="preserve">. (Usvojeni tekstovi </w:t>
      </w:r>
      <w:r w:rsidRPr="00535CF7">
        <w:rPr>
          <w:sz w:val="24"/>
          <w:szCs w:val="24"/>
          <w:lang w:val="hr-HR"/>
        </w:rPr>
        <w:t>P9_TA(2023)0264).</w:t>
      </w:r>
    </w:p>
  </w:footnote>
  <w:footnote w:id="3">
    <w:p w:rsidR="00D91452" w:rsidRPr="00D95C5D" w:rsidRDefault="00D91452" w:rsidP="00D95C5D">
      <w:pPr>
        <w:pStyle w:val="FootnoteText"/>
        <w:ind w:left="567" w:hanging="567"/>
        <w:rPr>
          <w:sz w:val="24"/>
          <w:lang w:val="hr-HR"/>
        </w:rPr>
      </w:pPr>
      <w:r w:rsidRPr="00D95C5D">
        <w:rPr>
          <w:rStyle w:val="FootnoteReference"/>
          <w:sz w:val="24"/>
          <w:lang w:val="hr-HR"/>
        </w:rPr>
        <w:footnoteRef/>
      </w:r>
      <w:r w:rsidR="00D95C5D" w:rsidRPr="00D95C5D">
        <w:rPr>
          <w:sz w:val="24"/>
          <w:lang w:val="hr-HR"/>
        </w:rPr>
        <w:t xml:space="preserve"> </w:t>
      </w:r>
      <w:r w:rsidR="00D95C5D" w:rsidRPr="00D95C5D">
        <w:rPr>
          <w:sz w:val="24"/>
          <w:lang w:val="hr-HR"/>
        </w:rPr>
        <w:tab/>
      </w:r>
      <w:proofErr w:type="spellStart"/>
      <w:r w:rsidRPr="00D95C5D">
        <w:rPr>
          <w:sz w:val="24"/>
          <w:lang w:val="hr-HR"/>
        </w:rPr>
        <w:t>Tiemo</w:t>
      </w:r>
      <w:proofErr w:type="spellEnd"/>
      <w:r w:rsidRPr="00D95C5D">
        <w:rPr>
          <w:sz w:val="24"/>
          <w:lang w:val="hr-HR"/>
        </w:rPr>
        <w:t xml:space="preserve"> </w:t>
      </w:r>
      <w:proofErr w:type="spellStart"/>
      <w:r w:rsidRPr="00D95C5D">
        <w:rPr>
          <w:sz w:val="24"/>
          <w:lang w:val="hr-HR"/>
        </w:rPr>
        <w:t>Wölken</w:t>
      </w:r>
      <w:proofErr w:type="spellEnd"/>
      <w:r w:rsidRPr="00D95C5D">
        <w:rPr>
          <w:sz w:val="24"/>
          <w:lang w:val="hr-HR"/>
        </w:rPr>
        <w:t xml:space="preserve"> i </w:t>
      </w:r>
      <w:r w:rsidR="00286DF6" w:rsidRPr="00535CF7">
        <w:rPr>
          <w:sz w:val="24"/>
          <w:lang w:val="hr-HR"/>
        </w:rPr>
        <w:t xml:space="preserve">Félix </w:t>
      </w:r>
      <w:proofErr w:type="spellStart"/>
      <w:r w:rsidR="00286DF6" w:rsidRPr="00535CF7">
        <w:rPr>
          <w:sz w:val="24"/>
          <w:lang w:val="hr-HR"/>
        </w:rPr>
        <w:t>Bolaños</w:t>
      </w:r>
      <w:proofErr w:type="spellEnd"/>
      <w:r w:rsidR="00286DF6" w:rsidRPr="00535CF7">
        <w:rPr>
          <w:sz w:val="24"/>
          <w:lang w:val="hr-HR"/>
        </w:rPr>
        <w:t xml:space="preserve"> García</w:t>
      </w:r>
      <w:r w:rsidRPr="00D95C5D">
        <w:rPr>
          <w:sz w:val="24"/>
          <w:lang w:val="hr-HR"/>
        </w:rPr>
        <w:t xml:space="preserve"> vodili su pregovore o aktu u ime Parlamenta i Vijeća.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95C5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4EC67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4CF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A5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4C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AEA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3E6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47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AF8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4F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7FA6A46A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43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4D7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E5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8D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44B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C5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66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9CA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HR"/>
    <w:docVar w:name="dvnumam" w:val="212"/>
    <w:docVar w:name="dvpe" w:val="745.170"/>
    <w:docVar w:name="dvrapporteur" w:val="Izvjestitelj: "/>
    <w:docVar w:name="dvstar" w:val="***I"/>
    <w:docVar w:name="dvtitre" w:val="Zakonodavna rezolucija Europskog parlamenta od .... 2024. o Prijedlogu direktive Europskog parlamenta i Vijeća o zaštiti osoba uključenih u javno sudjelovanje od očito neosnovanih ili zlonamjernih sudskih postupaka („strateške tužbe protiv javnog sudjelovanja”)(COM(2022)0177 – C9-0161/2022 – 2022/0117(COD))"/>
  </w:docVars>
  <w:rsids>
    <w:rsidRoot w:val="000D534A"/>
    <w:rsid w:val="00002272"/>
    <w:rsid w:val="00064002"/>
    <w:rsid w:val="000677B9"/>
    <w:rsid w:val="000831BA"/>
    <w:rsid w:val="000A42CC"/>
    <w:rsid w:val="000D534A"/>
    <w:rsid w:val="000E7DD9"/>
    <w:rsid w:val="0010095E"/>
    <w:rsid w:val="00121A09"/>
    <w:rsid w:val="00125B37"/>
    <w:rsid w:val="00187494"/>
    <w:rsid w:val="001F32AE"/>
    <w:rsid w:val="002767FF"/>
    <w:rsid w:val="00286DF6"/>
    <w:rsid w:val="002B18FE"/>
    <w:rsid w:val="002B5493"/>
    <w:rsid w:val="00343214"/>
    <w:rsid w:val="00361C00"/>
    <w:rsid w:val="00395FA1"/>
    <w:rsid w:val="003A7FE5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5CF7"/>
    <w:rsid w:val="00545827"/>
    <w:rsid w:val="00560270"/>
    <w:rsid w:val="005C2568"/>
    <w:rsid w:val="006037C0"/>
    <w:rsid w:val="006631B6"/>
    <w:rsid w:val="00680577"/>
    <w:rsid w:val="006F74FA"/>
    <w:rsid w:val="00730A80"/>
    <w:rsid w:val="00731ADD"/>
    <w:rsid w:val="00734777"/>
    <w:rsid w:val="00747932"/>
    <w:rsid w:val="00751A4A"/>
    <w:rsid w:val="00756632"/>
    <w:rsid w:val="00762C74"/>
    <w:rsid w:val="00786982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09F5"/>
    <w:rsid w:val="00981893"/>
    <w:rsid w:val="00A1687D"/>
    <w:rsid w:val="00A43E52"/>
    <w:rsid w:val="00A4678D"/>
    <w:rsid w:val="00A75832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452"/>
    <w:rsid w:val="00D91E21"/>
    <w:rsid w:val="00D95C5D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BB4D7"/>
  <w15:chartTrackingRefBased/>
  <w15:docId w15:val="{3E195990-EE39-480F-BBFD-7CD0393A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9145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D9145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D9145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9145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9145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91452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D91452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D91452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D91452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D9145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9145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9145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91452"/>
    <w:pPr>
      <w:spacing w:after="120"/>
    </w:pPr>
  </w:style>
  <w:style w:type="paragraph" w:customStyle="1" w:styleId="PageHeading">
    <w:name w:val="PageHeading"/>
    <w:basedOn w:val="Normal"/>
    <w:rsid w:val="00D9145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91452"/>
    <w:rPr>
      <w:b/>
    </w:rPr>
  </w:style>
  <w:style w:type="paragraph" w:customStyle="1" w:styleId="NormalBold12a">
    <w:name w:val="NormalBold12a"/>
    <w:basedOn w:val="Normal"/>
    <w:rsid w:val="00D91452"/>
    <w:pPr>
      <w:spacing w:after="240"/>
    </w:pPr>
    <w:rPr>
      <w:b/>
    </w:rPr>
  </w:style>
  <w:style w:type="paragraph" w:customStyle="1" w:styleId="AmJustText">
    <w:name w:val="AmJustText"/>
    <w:basedOn w:val="Normal"/>
    <w:rsid w:val="00D9145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9145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91452"/>
    <w:pPr>
      <w:spacing w:after="480"/>
      <w:ind w:left="1417"/>
    </w:pPr>
  </w:style>
  <w:style w:type="paragraph" w:customStyle="1" w:styleId="CoverNormal">
    <w:name w:val="CoverNormal"/>
    <w:basedOn w:val="Normal"/>
    <w:rsid w:val="00D91452"/>
    <w:pPr>
      <w:ind w:left="1418"/>
    </w:pPr>
  </w:style>
  <w:style w:type="paragraph" w:customStyle="1" w:styleId="AmCrossRef">
    <w:name w:val="AmCrossRef"/>
    <w:basedOn w:val="Normal"/>
    <w:rsid w:val="00D9145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9145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9145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9145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9145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91452"/>
    <w:pPr>
      <w:spacing w:before="240" w:after="1200"/>
    </w:pPr>
  </w:style>
  <w:style w:type="paragraph" w:styleId="Header">
    <w:name w:val="header"/>
    <w:basedOn w:val="Normal"/>
    <w:link w:val="HeaderChar"/>
    <w:rsid w:val="00D914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1452"/>
    <w:rPr>
      <w:sz w:val="24"/>
      <w:lang w:val="hr-HR"/>
    </w:rPr>
  </w:style>
  <w:style w:type="paragraph" w:customStyle="1" w:styleId="AmOrLang">
    <w:name w:val="AmOrLang"/>
    <w:basedOn w:val="Normal"/>
    <w:rsid w:val="00D9145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9145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9145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91452"/>
    <w:pPr>
      <w:spacing w:before="240"/>
    </w:pPr>
    <w:rPr>
      <w:b/>
    </w:rPr>
  </w:style>
  <w:style w:type="paragraph" w:customStyle="1" w:styleId="EPBody">
    <w:name w:val="EPBody"/>
    <w:basedOn w:val="Normal"/>
    <w:rsid w:val="00D9145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9145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91452"/>
    <w:pPr>
      <w:spacing w:before="480" w:after="240"/>
    </w:pPr>
  </w:style>
  <w:style w:type="paragraph" w:customStyle="1" w:styleId="Lgendesigne">
    <w:name w:val="Légende signe"/>
    <w:basedOn w:val="Normal"/>
    <w:rsid w:val="00D9145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9145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91452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D91452"/>
    <w:rPr>
      <w:b/>
      <w:sz w:val="24"/>
      <w:lang w:val="hr-HR"/>
    </w:rPr>
  </w:style>
  <w:style w:type="paragraph" w:styleId="Footer">
    <w:name w:val="footer"/>
    <w:basedOn w:val="Normal"/>
    <w:link w:val="FooterChar"/>
    <w:rsid w:val="00D914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1452"/>
    <w:rPr>
      <w:sz w:val="24"/>
      <w:lang w:val="hr-HR"/>
    </w:rPr>
  </w:style>
  <w:style w:type="character" w:customStyle="1" w:styleId="FooterChar1">
    <w:name w:val="Footer Char1"/>
    <w:basedOn w:val="DefaultParagraphFont"/>
    <w:semiHidden/>
    <w:rsid w:val="00D91452"/>
    <w:rPr>
      <w:sz w:val="24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D91452"/>
    <w:rPr>
      <w:noProof/>
      <w:sz w:val="24"/>
    </w:rPr>
  </w:style>
  <w:style w:type="paragraph" w:customStyle="1" w:styleId="Normal12">
    <w:name w:val="Normal12"/>
    <w:basedOn w:val="Normal"/>
    <w:link w:val="Normal12Char"/>
    <w:rsid w:val="00D91452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91452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D91452"/>
    <w:pPr>
      <w:spacing w:after="120"/>
    </w:pPr>
  </w:style>
  <w:style w:type="paragraph" w:customStyle="1" w:styleId="Normal12Italic">
    <w:name w:val="Normal12Italic"/>
    <w:basedOn w:val="Normal12"/>
    <w:rsid w:val="00D91452"/>
    <w:rPr>
      <w:i/>
    </w:rPr>
  </w:style>
  <w:style w:type="paragraph" w:customStyle="1" w:styleId="EntPE">
    <w:name w:val="EntPE"/>
    <w:basedOn w:val="Normal12"/>
    <w:rsid w:val="00D91452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9145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91452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91452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D914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145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1452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91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1452"/>
    <w:rPr>
      <w:b/>
      <w:bCs/>
      <w:lang w:val="hr-HR"/>
    </w:rPr>
  </w:style>
  <w:style w:type="paragraph" w:styleId="BalloonText">
    <w:name w:val="Balloon Text"/>
    <w:basedOn w:val="Normal"/>
    <w:link w:val="BalloonTextChar"/>
    <w:unhideWhenUsed/>
    <w:rsid w:val="00D914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452"/>
    <w:rPr>
      <w:rFonts w:ascii="Segoe U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rsid w:val="00D9145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91452"/>
    <w:rPr>
      <w:sz w:val="24"/>
      <w:lang w:val="hr-HR"/>
    </w:rPr>
  </w:style>
  <w:style w:type="paragraph" w:customStyle="1" w:styleId="AmHeadingPA">
    <w:name w:val="AmHeadingPA"/>
    <w:basedOn w:val="Normal"/>
    <w:next w:val="Normal"/>
    <w:rsid w:val="00D9145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D9145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D91452"/>
    <w:pPr>
      <w:spacing w:after="240"/>
    </w:pPr>
  </w:style>
  <w:style w:type="paragraph" w:customStyle="1" w:styleId="PageHeadingNotTOC">
    <w:name w:val="PageHeadingNotTOC"/>
    <w:basedOn w:val="Normal"/>
    <w:rsid w:val="00D9145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D91452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D91452"/>
    <w:rPr>
      <w:b/>
    </w:rPr>
  </w:style>
  <w:style w:type="character" w:customStyle="1" w:styleId="BoldItalic">
    <w:name w:val="BoldItalic"/>
    <w:uiPriority w:val="1"/>
    <w:rsid w:val="00D91452"/>
    <w:rPr>
      <w:b/>
      <w:i/>
      <w:u w:val="none"/>
    </w:rPr>
  </w:style>
  <w:style w:type="paragraph" w:customStyle="1" w:styleId="CoverNormal12a">
    <w:name w:val="CoverNormal12a"/>
    <w:basedOn w:val="Normal"/>
    <w:rsid w:val="00D91452"/>
    <w:pPr>
      <w:spacing w:after="240"/>
      <w:ind w:left="1418"/>
    </w:pPr>
  </w:style>
  <w:style w:type="paragraph" w:customStyle="1" w:styleId="EPFooter2Landscape">
    <w:name w:val="EPFooter2Landscape"/>
    <w:qFormat/>
    <w:rsid w:val="00D91452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hr-HR"/>
    </w:rPr>
  </w:style>
  <w:style w:type="character" w:customStyle="1" w:styleId="EPFooter2Motto">
    <w:name w:val="EPFooter2Motto"/>
    <w:uiPriority w:val="1"/>
    <w:qFormat/>
    <w:rsid w:val="00D91452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D91452"/>
    <w:pPr>
      <w:tabs>
        <w:tab w:val="center" w:pos="6804"/>
        <w:tab w:val="right" w:pos="15026"/>
      </w:tabs>
    </w:pPr>
    <w:rPr>
      <w:sz w:val="22"/>
      <w:lang w:val="hr-HR"/>
    </w:rPr>
  </w:style>
  <w:style w:type="character" w:customStyle="1" w:styleId="Italic">
    <w:name w:val="Italic"/>
    <w:uiPriority w:val="1"/>
    <w:rsid w:val="00D91452"/>
    <w:rPr>
      <w:i/>
    </w:rPr>
  </w:style>
  <w:style w:type="paragraph" w:customStyle="1" w:styleId="ProcedureTable">
    <w:name w:val="ProcedureTable"/>
    <w:basedOn w:val="Normal"/>
    <w:rsid w:val="00D91452"/>
    <w:rPr>
      <w:sz w:val="20"/>
    </w:rPr>
  </w:style>
  <w:style w:type="paragraph" w:customStyle="1" w:styleId="ProcedureTableBold">
    <w:name w:val="ProcedureTableBold"/>
    <w:basedOn w:val="Normal"/>
    <w:rsid w:val="00D91452"/>
    <w:rPr>
      <w:b/>
      <w:sz w:val="20"/>
    </w:rPr>
  </w:style>
  <w:style w:type="paragraph" w:customStyle="1" w:styleId="NormalCenter">
    <w:name w:val="NormalCenter"/>
    <w:basedOn w:val="Normal"/>
    <w:rsid w:val="00D91452"/>
    <w:pPr>
      <w:jc w:val="center"/>
    </w:pPr>
  </w:style>
  <w:style w:type="paragraph" w:customStyle="1" w:styleId="Normal12a12b">
    <w:name w:val="Normal12a12b"/>
    <w:basedOn w:val="Normal"/>
    <w:rsid w:val="00D91452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D91452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D91452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D91452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D91452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D91452"/>
    <w:pPr>
      <w:ind w:left="1843"/>
    </w:pPr>
  </w:style>
  <w:style w:type="paragraph" w:customStyle="1" w:styleId="NormalHanging12a4">
    <w:name w:val="NormalHanging12a4"/>
    <w:basedOn w:val="NormalHanging12a3"/>
    <w:qFormat/>
    <w:rsid w:val="00D91452"/>
    <w:pPr>
      <w:ind w:left="2268"/>
    </w:pPr>
  </w:style>
  <w:style w:type="paragraph" w:customStyle="1" w:styleId="NormalHanging12a5">
    <w:name w:val="NormalHanging12a5"/>
    <w:basedOn w:val="NormalHanging12a4"/>
    <w:qFormat/>
    <w:rsid w:val="00D91452"/>
    <w:pPr>
      <w:ind w:left="2693"/>
    </w:pPr>
  </w:style>
  <w:style w:type="paragraph" w:customStyle="1" w:styleId="NormalHanging12a6">
    <w:name w:val="NormalHanging12a6"/>
    <w:basedOn w:val="NormalHanging12a5"/>
    <w:qFormat/>
    <w:rsid w:val="00D91452"/>
    <w:pPr>
      <w:ind w:left="3118"/>
    </w:pPr>
  </w:style>
  <w:style w:type="paragraph" w:customStyle="1" w:styleId="NormalHanging12a7">
    <w:name w:val="NormalHanging12a7"/>
    <w:basedOn w:val="NormalHanging12a6"/>
    <w:qFormat/>
    <w:rsid w:val="00D91452"/>
    <w:pPr>
      <w:ind w:left="3544"/>
    </w:pPr>
  </w:style>
  <w:style w:type="paragraph" w:customStyle="1" w:styleId="NormalHanging12a8">
    <w:name w:val="NormalHanging12a8"/>
    <w:basedOn w:val="NormalHanging12a7"/>
    <w:qFormat/>
    <w:rsid w:val="00D91452"/>
    <w:pPr>
      <w:ind w:left="3969"/>
    </w:pPr>
  </w:style>
  <w:style w:type="paragraph" w:customStyle="1" w:styleId="Normal12HangingCenter">
    <w:name w:val="Normal12HangingCenter"/>
    <w:basedOn w:val="Normal"/>
    <w:qFormat/>
    <w:rsid w:val="00D91452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D91452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D91452"/>
    <w:pPr>
      <w:spacing w:line="120" w:lineRule="auto"/>
    </w:pPr>
    <w:rPr>
      <w:color w:val="000000"/>
      <w:sz w:val="4"/>
      <w:szCs w:val="24"/>
      <w:lang w:val="hr-HR"/>
    </w:rPr>
  </w:style>
  <w:style w:type="paragraph" w:customStyle="1" w:styleId="NormalBoldCenter">
    <w:name w:val="NormalBoldCenter"/>
    <w:basedOn w:val="Normal"/>
    <w:rsid w:val="00D91452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D91452"/>
    <w:rPr>
      <w:b/>
      <w:i/>
    </w:rPr>
  </w:style>
  <w:style w:type="paragraph" w:customStyle="1" w:styleId="NormalBoldItalicCenter6a">
    <w:name w:val="NormalBoldItalicCenter6a"/>
    <w:basedOn w:val="Normal6a"/>
    <w:qFormat/>
    <w:rsid w:val="00D91452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D91452"/>
    <w:rPr>
      <w:i/>
    </w:rPr>
  </w:style>
  <w:style w:type="character" w:customStyle="1" w:styleId="Sub">
    <w:name w:val="Sub"/>
    <w:uiPriority w:val="1"/>
    <w:qFormat/>
    <w:rsid w:val="00D91452"/>
    <w:rPr>
      <w:vertAlign w:val="subscript"/>
    </w:rPr>
  </w:style>
  <w:style w:type="character" w:customStyle="1" w:styleId="SubBold">
    <w:name w:val="SubBold"/>
    <w:uiPriority w:val="1"/>
    <w:qFormat/>
    <w:rsid w:val="00D91452"/>
    <w:rPr>
      <w:b/>
      <w:vertAlign w:val="subscript"/>
    </w:rPr>
  </w:style>
  <w:style w:type="character" w:customStyle="1" w:styleId="SubBoldItalic">
    <w:name w:val="SubBoldItalic"/>
    <w:uiPriority w:val="1"/>
    <w:rsid w:val="00D91452"/>
    <w:rPr>
      <w:b/>
      <w:i/>
      <w:vertAlign w:val="subscript"/>
    </w:rPr>
  </w:style>
  <w:style w:type="character" w:customStyle="1" w:styleId="SubItalic">
    <w:name w:val="SubItalic"/>
    <w:uiPriority w:val="1"/>
    <w:qFormat/>
    <w:rsid w:val="00D91452"/>
    <w:rPr>
      <w:b/>
      <w:i/>
      <w:vertAlign w:val="subscript"/>
    </w:rPr>
  </w:style>
  <w:style w:type="character" w:customStyle="1" w:styleId="Sup">
    <w:name w:val="Sup"/>
    <w:uiPriority w:val="1"/>
    <w:rsid w:val="00D91452"/>
    <w:rPr>
      <w:vertAlign w:val="superscript"/>
    </w:rPr>
  </w:style>
  <w:style w:type="character" w:customStyle="1" w:styleId="SupBoldItalic">
    <w:name w:val="SupBoldItalic"/>
    <w:uiPriority w:val="1"/>
    <w:qFormat/>
    <w:rsid w:val="00D91452"/>
    <w:rPr>
      <w:b/>
      <w:i/>
      <w:vertAlign w:val="superscript"/>
    </w:rPr>
  </w:style>
  <w:style w:type="character" w:customStyle="1" w:styleId="Underline">
    <w:name w:val="Underline"/>
    <w:uiPriority w:val="1"/>
    <w:rsid w:val="00D91452"/>
    <w:rPr>
      <w:u w:val="single"/>
    </w:rPr>
  </w:style>
  <w:style w:type="character" w:customStyle="1" w:styleId="HideTermComment">
    <w:name w:val="HideTermComment"/>
    <w:uiPriority w:val="1"/>
    <w:qFormat/>
    <w:rsid w:val="00D91452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D91452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D91452"/>
    <w:pPr>
      <w:spacing w:after="240"/>
      <w:jc w:val="center"/>
    </w:pPr>
  </w:style>
  <w:style w:type="paragraph" w:customStyle="1" w:styleId="Subheading">
    <w:name w:val="Subheading"/>
    <w:basedOn w:val="Normal"/>
    <w:rsid w:val="00D91452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D91452"/>
    <w:rPr>
      <w:b/>
      <w:i/>
      <w:u w:val="single"/>
    </w:rPr>
  </w:style>
  <w:style w:type="character" w:customStyle="1" w:styleId="BoldUnderline">
    <w:name w:val="BoldUnderline"/>
    <w:uiPriority w:val="1"/>
    <w:rsid w:val="00D91452"/>
    <w:rPr>
      <w:b/>
      <w:u w:val="single"/>
    </w:rPr>
  </w:style>
  <w:style w:type="character" w:customStyle="1" w:styleId="ItalicUnderline">
    <w:name w:val="ItalicUnderline"/>
    <w:uiPriority w:val="1"/>
    <w:rsid w:val="00D91452"/>
    <w:rPr>
      <w:i/>
      <w:u w:val="single"/>
    </w:rPr>
  </w:style>
  <w:style w:type="character" w:customStyle="1" w:styleId="SubBoldItalicUnderline">
    <w:name w:val="SubBoldItalicUnderline"/>
    <w:uiPriority w:val="1"/>
    <w:rsid w:val="00D91452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D91452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D91452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D91452"/>
    <w:rPr>
      <w:u w:val="single"/>
      <w:vertAlign w:val="subscript"/>
    </w:rPr>
  </w:style>
  <w:style w:type="character" w:customStyle="1" w:styleId="SupBold">
    <w:name w:val="SupBold"/>
    <w:uiPriority w:val="1"/>
    <w:rsid w:val="00D91452"/>
    <w:rPr>
      <w:b/>
      <w:vertAlign w:val="superscript"/>
    </w:rPr>
  </w:style>
  <w:style w:type="character" w:customStyle="1" w:styleId="SupBoldItalicUnderline">
    <w:name w:val="SupBoldItalicUnderline"/>
    <w:uiPriority w:val="1"/>
    <w:rsid w:val="00D91452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D91452"/>
    <w:rPr>
      <w:b/>
      <w:u w:val="single"/>
      <w:vertAlign w:val="superscript"/>
    </w:rPr>
  </w:style>
  <w:style w:type="character" w:customStyle="1" w:styleId="SupItalic">
    <w:name w:val="SupItalic"/>
    <w:uiPriority w:val="1"/>
    <w:rsid w:val="00D91452"/>
    <w:rPr>
      <w:i/>
      <w:vertAlign w:val="superscript"/>
    </w:rPr>
  </w:style>
  <w:style w:type="character" w:customStyle="1" w:styleId="SupItalicUnderline">
    <w:name w:val="SupItalicUnderline"/>
    <w:uiPriority w:val="1"/>
    <w:rsid w:val="00D91452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D91452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D9145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9145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9145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91452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D9145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91452"/>
    <w:rPr>
      <w:sz w:val="24"/>
      <w:lang w:val="hr-HR"/>
    </w:rPr>
  </w:style>
  <w:style w:type="paragraph" w:customStyle="1" w:styleId="CommitteeAM">
    <w:name w:val="CommitteeAM"/>
    <w:basedOn w:val="Normal"/>
    <w:rsid w:val="00D9145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9145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9145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9145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91452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D9145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91452"/>
    <w:pPr>
      <w:spacing w:before="240"/>
      <w:jc w:val="center"/>
    </w:pPr>
    <w:rPr>
      <w:i/>
    </w:rPr>
  </w:style>
  <w:style w:type="character" w:customStyle="1" w:styleId="Footer2Middle">
    <w:name w:val="Footer2Middle"/>
    <w:rsid w:val="00D9145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D91452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D91452"/>
    <w:rPr>
      <w:b/>
      <w:sz w:val="24"/>
      <w:lang w:val="hr-HR"/>
    </w:rPr>
  </w:style>
  <w:style w:type="character" w:styleId="FollowedHyperlink">
    <w:name w:val="FollowedHyperlink"/>
    <w:basedOn w:val="DefaultParagraphFont"/>
    <w:rsid w:val="00D914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6F3D2-B4CB-4BB6-BA4C-BC5433D5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2024-06-05T08:31:00Z</dcterms:created>
  <dcterms:modified xsi:type="dcterms:W3CDTF">2024-06-05T08:31:00Z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