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7436B" w:rsidTr="0010095E">
        <w:trPr>
          <w:trHeight w:hRule="exact" w:val="1418"/>
        </w:trPr>
        <w:tc>
          <w:tcPr>
            <w:tcW w:w="6804" w:type="dxa"/>
            <w:shd w:val="clear" w:color="auto" w:fill="auto"/>
            <w:vAlign w:val="center"/>
          </w:tcPr>
          <w:p w:rsidR="00751A4A" w:rsidRPr="0037436B" w:rsidRDefault="00C65CD7" w:rsidP="0010095E">
            <w:pPr>
              <w:pStyle w:val="EPName"/>
            </w:pPr>
            <w:r w:rsidRPr="0037436B">
              <w:t>Eiropas Parlaments</w:t>
            </w:r>
          </w:p>
          <w:p w:rsidR="00751A4A" w:rsidRPr="0037436B" w:rsidRDefault="00817416" w:rsidP="00756632">
            <w:pPr>
              <w:pStyle w:val="EPTerm"/>
              <w:rPr>
                <w:rStyle w:val="HideTWBExt"/>
                <w:noProof w:val="0"/>
                <w:vanish w:val="0"/>
                <w:color w:val="auto"/>
              </w:rPr>
            </w:pPr>
            <w:r w:rsidRPr="00D2370F">
              <w:t>2019</w:t>
            </w:r>
            <w:r w:rsidRPr="0037436B">
              <w:t>-</w:t>
            </w:r>
            <w:r w:rsidRPr="00D2370F">
              <w:t>2024</w:t>
            </w:r>
          </w:p>
        </w:tc>
        <w:tc>
          <w:tcPr>
            <w:tcW w:w="2268" w:type="dxa"/>
            <w:shd w:val="clear" w:color="auto" w:fill="auto"/>
          </w:tcPr>
          <w:p w:rsidR="00751A4A" w:rsidRPr="0037436B" w:rsidRDefault="00187494" w:rsidP="0010095E">
            <w:pPr>
              <w:pStyle w:val="EPLogo"/>
            </w:pPr>
            <w:r w:rsidRPr="0037436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7436B" w:rsidRDefault="00D058B8" w:rsidP="004C5D52">
      <w:pPr>
        <w:pStyle w:val="LineTop"/>
      </w:pPr>
    </w:p>
    <w:p w:rsidR="00680577" w:rsidRPr="0037436B" w:rsidRDefault="00C65CD7" w:rsidP="00680577">
      <w:pPr>
        <w:pStyle w:val="EPBodyTA1"/>
      </w:pPr>
      <w:r w:rsidRPr="0037436B">
        <w:t>PIEŅEMTIE TEKSTI</w:t>
      </w:r>
    </w:p>
    <w:p w:rsidR="00D058B8" w:rsidRPr="0037436B" w:rsidRDefault="00D058B8" w:rsidP="00D058B8">
      <w:pPr>
        <w:pStyle w:val="LineBottom"/>
      </w:pPr>
    </w:p>
    <w:p w:rsidR="00C65CD7" w:rsidRPr="0037436B" w:rsidRDefault="00C65CD7" w:rsidP="00C65CD7">
      <w:pPr>
        <w:pStyle w:val="ATHeading1"/>
      </w:pPr>
      <w:bookmarkStart w:id="0" w:name="TANumber"/>
      <w:r w:rsidRPr="0037436B">
        <w:t>P</w:t>
      </w:r>
      <w:r w:rsidRPr="00D2370F">
        <w:t>9</w:t>
      </w:r>
      <w:r w:rsidRPr="0037436B">
        <w:t>_TA(</w:t>
      </w:r>
      <w:r w:rsidRPr="00D2370F">
        <w:t>2024</w:t>
      </w:r>
      <w:r w:rsidRPr="0037436B">
        <w:t>)</w:t>
      </w:r>
      <w:r w:rsidRPr="00D2370F">
        <w:t>00</w:t>
      </w:r>
      <w:r w:rsidR="0037436B" w:rsidRPr="00D2370F">
        <w:t>85</w:t>
      </w:r>
      <w:bookmarkEnd w:id="0"/>
    </w:p>
    <w:p w:rsidR="00C65CD7" w:rsidRPr="0037436B" w:rsidRDefault="00C65CD7" w:rsidP="00C65CD7">
      <w:pPr>
        <w:pStyle w:val="ATHeading2"/>
      </w:pPr>
      <w:bookmarkStart w:id="1" w:name="title"/>
      <w:r w:rsidRPr="0037436B">
        <w:t>Žurnālistu un cilvēktiesību aizstāvju aizsardzība pret acīmredzami nepamatotu vai ļaunprātīgu tiesvedību</w:t>
      </w:r>
      <w:bookmarkEnd w:id="1"/>
    </w:p>
    <w:p w:rsidR="00C65CD7" w:rsidRPr="0037436B" w:rsidRDefault="00C65CD7" w:rsidP="00C65CD7">
      <w:pPr>
        <w:rPr>
          <w:i/>
          <w:vanish/>
        </w:rPr>
      </w:pPr>
      <w:r w:rsidRPr="0037436B">
        <w:rPr>
          <w:i/>
        </w:rPr>
        <w:fldChar w:fldCharType="begin"/>
      </w:r>
      <w:r w:rsidRPr="0037436B">
        <w:rPr>
          <w:i/>
        </w:rPr>
        <w:instrText xml:space="preserve"> TC"(</w:instrText>
      </w:r>
      <w:bookmarkStart w:id="2" w:name="DocNumber"/>
      <w:r w:rsidRPr="0037436B">
        <w:rPr>
          <w:i/>
        </w:rPr>
        <w:instrText>A</w:instrText>
      </w:r>
      <w:r w:rsidRPr="00D2370F">
        <w:rPr>
          <w:i/>
        </w:rPr>
        <w:instrText>9</w:instrText>
      </w:r>
      <w:r w:rsidRPr="0037436B">
        <w:rPr>
          <w:i/>
        </w:rPr>
        <w:instrText>-</w:instrText>
      </w:r>
      <w:r w:rsidRPr="00D2370F">
        <w:rPr>
          <w:i/>
        </w:rPr>
        <w:instrText>0223</w:instrText>
      </w:r>
      <w:r w:rsidRPr="0037436B">
        <w:rPr>
          <w:i/>
        </w:rPr>
        <w:instrText>/</w:instrText>
      </w:r>
      <w:r w:rsidRPr="00D2370F">
        <w:rPr>
          <w:i/>
        </w:rPr>
        <w:instrText>2023</w:instrText>
      </w:r>
      <w:bookmarkEnd w:id="2"/>
      <w:r w:rsidRPr="0037436B">
        <w:rPr>
          <w:i/>
        </w:rPr>
        <w:instrText xml:space="preserve"> - Referents: Tiemo Wölken)"\l</w:instrText>
      </w:r>
      <w:r w:rsidRPr="00D2370F">
        <w:rPr>
          <w:i/>
        </w:rPr>
        <w:instrText>3</w:instrText>
      </w:r>
      <w:r w:rsidRPr="0037436B">
        <w:rPr>
          <w:i/>
        </w:rPr>
        <w:instrText xml:space="preserve"> \n&gt; \* MERGEFORMAT </w:instrText>
      </w:r>
      <w:r w:rsidRPr="0037436B">
        <w:rPr>
          <w:i/>
        </w:rPr>
        <w:fldChar w:fldCharType="end"/>
      </w:r>
    </w:p>
    <w:p w:rsidR="00C65CD7" w:rsidRPr="0037436B" w:rsidRDefault="00C65CD7" w:rsidP="00C65CD7">
      <w:pPr>
        <w:rPr>
          <w:vanish/>
        </w:rPr>
      </w:pPr>
      <w:bookmarkStart w:id="3" w:name="Commission"/>
      <w:r w:rsidRPr="0037436B">
        <w:rPr>
          <w:vanish/>
        </w:rPr>
        <w:t>Juridiskā komiteja</w:t>
      </w:r>
      <w:bookmarkEnd w:id="3"/>
    </w:p>
    <w:p w:rsidR="00C65CD7" w:rsidRPr="0037436B" w:rsidRDefault="00C65CD7" w:rsidP="00C65CD7">
      <w:pPr>
        <w:rPr>
          <w:vanish/>
        </w:rPr>
      </w:pPr>
      <w:bookmarkStart w:id="4" w:name="PE"/>
      <w:r w:rsidRPr="0037436B">
        <w:rPr>
          <w:vanish/>
        </w:rPr>
        <w:t>PE</w:t>
      </w:r>
      <w:r w:rsidRPr="00D2370F">
        <w:rPr>
          <w:vanish/>
        </w:rPr>
        <w:t>745</w:t>
      </w:r>
      <w:r w:rsidRPr="0037436B">
        <w:rPr>
          <w:vanish/>
        </w:rPr>
        <w:t>.</w:t>
      </w:r>
      <w:r w:rsidRPr="00D2370F">
        <w:rPr>
          <w:vanish/>
        </w:rPr>
        <w:t>170</w:t>
      </w:r>
      <w:bookmarkEnd w:id="4"/>
    </w:p>
    <w:p w:rsidR="002C6FC2" w:rsidRPr="0037436B" w:rsidRDefault="00C65CD7" w:rsidP="00BB0AC6">
      <w:pPr>
        <w:pStyle w:val="ATHeading3"/>
      </w:pPr>
      <w:bookmarkStart w:id="5" w:name="Sujet"/>
      <w:r w:rsidRPr="0037436B">
        <w:t xml:space="preserve">Eiropas Parlamenta </w:t>
      </w:r>
      <w:r w:rsidRPr="00D2370F">
        <w:t>2024</w:t>
      </w:r>
      <w:r w:rsidRPr="0037436B">
        <w:t xml:space="preserve">. gada </w:t>
      </w:r>
      <w:r w:rsidR="00BB0AC6" w:rsidRPr="00D2370F">
        <w:t>27</w:t>
      </w:r>
      <w:r w:rsidRPr="0037436B">
        <w:t xml:space="preserve">. </w:t>
      </w:r>
      <w:r w:rsidR="00BB0AC6" w:rsidRPr="0037436B">
        <w:t>februāra</w:t>
      </w:r>
      <w:r w:rsidRPr="0037436B">
        <w:t xml:space="preserve"> normatīvā rezolūcija par priekšlikumu Eiropas Parlamenta un Padomes direktīvai par sabiedrības līdzdalībā iesaistījušos personu aizsardzību pret acīmredzami nepamatotu vai ļaunprātīgu tiesvedību (“stratēģisku tiesvedību pret sabiedrības līdzdalību”)</w:t>
      </w:r>
      <w:bookmarkEnd w:id="5"/>
      <w:r w:rsidRPr="0037436B">
        <w:t xml:space="preserve"> </w:t>
      </w:r>
      <w:bookmarkStart w:id="6" w:name="References"/>
      <w:r w:rsidRPr="0037436B">
        <w:t>(COM(</w:t>
      </w:r>
      <w:r w:rsidRPr="00D2370F">
        <w:t>2022</w:t>
      </w:r>
      <w:r w:rsidRPr="0037436B">
        <w:t>)</w:t>
      </w:r>
      <w:r w:rsidRPr="00D2370F">
        <w:t>0177</w:t>
      </w:r>
      <w:r w:rsidRPr="0037436B">
        <w:t xml:space="preserve"> – C</w:t>
      </w:r>
      <w:r w:rsidRPr="00D2370F">
        <w:t>9</w:t>
      </w:r>
      <w:r w:rsidRPr="0037436B">
        <w:t>-</w:t>
      </w:r>
      <w:r w:rsidRPr="00D2370F">
        <w:t>0161</w:t>
      </w:r>
      <w:r w:rsidRPr="0037436B">
        <w:t>/</w:t>
      </w:r>
      <w:r w:rsidRPr="00D2370F">
        <w:t>2022</w:t>
      </w:r>
      <w:r w:rsidRPr="0037436B">
        <w:t xml:space="preserve"> – </w:t>
      </w:r>
      <w:r w:rsidRPr="00D2370F">
        <w:t>2022</w:t>
      </w:r>
      <w:r w:rsidRPr="0037436B">
        <w:t>/</w:t>
      </w:r>
      <w:r w:rsidRPr="00D2370F">
        <w:t>0117</w:t>
      </w:r>
      <w:r w:rsidRPr="0037436B">
        <w:t>(COD))</w:t>
      </w:r>
      <w:bookmarkStart w:id="7" w:name="TextBodyBegin"/>
      <w:bookmarkEnd w:id="6"/>
      <w:bookmarkEnd w:id="7"/>
    </w:p>
    <w:p w:rsidR="002C6FC2" w:rsidRPr="0037436B" w:rsidRDefault="002C6FC2" w:rsidP="002C6FC2">
      <w:pPr>
        <w:pStyle w:val="NormalBold"/>
      </w:pPr>
      <w:r w:rsidRPr="0037436B">
        <w:t>(Parastā likumdošanas procedūra: pirmais lasījums)</w:t>
      </w:r>
    </w:p>
    <w:p w:rsidR="002C6FC2" w:rsidRPr="0037436B" w:rsidRDefault="002C6FC2" w:rsidP="002C6FC2">
      <w:pPr>
        <w:pStyle w:val="EPComma"/>
      </w:pPr>
      <w:r w:rsidRPr="0037436B">
        <w:rPr>
          <w:i/>
        </w:rPr>
        <w:t>Eiropas Parlaments</w:t>
      </w:r>
      <w:r w:rsidRPr="0037436B">
        <w:t>,</w:t>
      </w:r>
    </w:p>
    <w:p w:rsidR="002C6FC2" w:rsidRPr="0037436B" w:rsidRDefault="002C6FC2" w:rsidP="002C6FC2">
      <w:pPr>
        <w:pStyle w:val="NormalHanging12a"/>
      </w:pPr>
      <w:r w:rsidRPr="0037436B">
        <w:t>–</w:t>
      </w:r>
      <w:r w:rsidRPr="0037436B">
        <w:tab/>
        <w:t>ņemot vērā Komisijas priekšlikumu Eiropas Parlamentam un Padomei (COM(</w:t>
      </w:r>
      <w:r w:rsidRPr="00D2370F">
        <w:t>2022</w:t>
      </w:r>
      <w:r w:rsidRPr="0037436B">
        <w:t>)</w:t>
      </w:r>
      <w:r w:rsidRPr="00D2370F">
        <w:t>0177</w:t>
      </w:r>
      <w:r w:rsidRPr="0037436B">
        <w:t>),</w:t>
      </w:r>
    </w:p>
    <w:p w:rsidR="002C6FC2" w:rsidRPr="0037436B" w:rsidRDefault="002C6FC2" w:rsidP="002C6FC2">
      <w:pPr>
        <w:pStyle w:val="NormalHanging12a"/>
      </w:pPr>
      <w:r w:rsidRPr="0037436B">
        <w:t>–</w:t>
      </w:r>
      <w:r w:rsidRPr="0037436B">
        <w:tab/>
        <w:t>ņemot vērā Līguma par Eiropas Savienības darbību</w:t>
      </w:r>
      <w:r w:rsidRPr="0037436B">
        <w:rPr>
          <w:snapToGrid w:val="0"/>
        </w:rPr>
        <w:t xml:space="preserve"> </w:t>
      </w:r>
      <w:r w:rsidRPr="00D2370F">
        <w:t>294</w:t>
      </w:r>
      <w:r w:rsidRPr="0037436B">
        <w:t xml:space="preserve">. panta </w:t>
      </w:r>
      <w:r w:rsidRPr="00D2370F">
        <w:t>2</w:t>
      </w:r>
      <w:r w:rsidRPr="0037436B">
        <w:t xml:space="preserve">. punktu un </w:t>
      </w:r>
      <w:r w:rsidRPr="00D2370F">
        <w:t>81</w:t>
      </w:r>
      <w:r w:rsidRPr="0037436B">
        <w:t xml:space="preserve">. panta </w:t>
      </w:r>
      <w:r w:rsidRPr="00D2370F">
        <w:t>2</w:t>
      </w:r>
      <w:r w:rsidRPr="0037436B">
        <w:t>. punkta f) apakšpunktu, saskaņā ar kuriem Komisija tam ir iesniegusi priekšlikumu (C</w:t>
      </w:r>
      <w:r w:rsidRPr="00D2370F">
        <w:t>9</w:t>
      </w:r>
      <w:r w:rsidRPr="0037436B">
        <w:noBreakHyphen/>
      </w:r>
      <w:r w:rsidRPr="00D2370F">
        <w:t>0161</w:t>
      </w:r>
      <w:r w:rsidRPr="0037436B">
        <w:t>/</w:t>
      </w:r>
      <w:r w:rsidRPr="00D2370F">
        <w:t>2022</w:t>
      </w:r>
      <w:r w:rsidRPr="0037436B">
        <w:t>),</w:t>
      </w:r>
    </w:p>
    <w:p w:rsidR="002C6FC2" w:rsidRPr="0037436B" w:rsidRDefault="002C6FC2" w:rsidP="002C6FC2">
      <w:pPr>
        <w:pStyle w:val="NormalHanging12a"/>
      </w:pPr>
      <w:r w:rsidRPr="0037436B">
        <w:t>–</w:t>
      </w:r>
      <w:r w:rsidRPr="0037436B">
        <w:tab/>
        <w:t xml:space="preserve">ņemot vērā Līguma par Eiropas Savienības darbību </w:t>
      </w:r>
      <w:r w:rsidRPr="00D2370F">
        <w:t>294</w:t>
      </w:r>
      <w:r w:rsidRPr="0037436B">
        <w:t xml:space="preserve">. panta </w:t>
      </w:r>
      <w:r w:rsidRPr="00D2370F">
        <w:t>3</w:t>
      </w:r>
      <w:r w:rsidRPr="0037436B">
        <w:t>. punktu,</w:t>
      </w:r>
    </w:p>
    <w:p w:rsidR="002C6FC2" w:rsidRPr="0037436B" w:rsidRDefault="002C6FC2" w:rsidP="002C6FC2">
      <w:pPr>
        <w:pStyle w:val="NormalHanging12a"/>
      </w:pPr>
      <w:r w:rsidRPr="0037436B">
        <w:t>–</w:t>
      </w:r>
      <w:r w:rsidRPr="0037436B">
        <w:tab/>
        <w:t>ņemot vērā pamatoto atzinumu, kurus saskaņā ar Protokolu Nr. </w:t>
      </w:r>
      <w:r w:rsidRPr="00D2370F">
        <w:t>2</w:t>
      </w:r>
      <w:r w:rsidRPr="0037436B">
        <w:t xml:space="preserve"> par subsidiaritātes principa un proporcionalitātes principa piemērošanu iesniedzis Francijas parlamenta Senāts un </w:t>
      </w:r>
      <w:r w:rsidR="00BB0AC6" w:rsidRPr="0037436B">
        <w:t xml:space="preserve">kurā </w:t>
      </w:r>
      <w:r w:rsidRPr="0037436B">
        <w:t>norādīts, ka leģislatīvā akta projekts neatbilst subsidiaritātes principam,</w:t>
      </w:r>
      <w:r w:rsidRPr="0037436B">
        <w:rPr>
          <w:rStyle w:val="FootnoteReference"/>
        </w:rPr>
        <w:t xml:space="preserve"> </w:t>
      </w:r>
    </w:p>
    <w:p w:rsidR="002C6FC2" w:rsidRPr="0037436B" w:rsidRDefault="002C6FC2" w:rsidP="002C6FC2">
      <w:pPr>
        <w:pStyle w:val="NormalHanging12a"/>
        <w:rPr>
          <w:b/>
        </w:rPr>
      </w:pPr>
      <w:r w:rsidRPr="0037436B">
        <w:t>–</w:t>
      </w:r>
      <w:r w:rsidRPr="0037436B">
        <w:tab/>
        <w:t xml:space="preserve">ņemot vērā Eiropas Ekonomikas un sociālo lietu komitejas </w:t>
      </w:r>
      <w:r w:rsidRPr="00D2370F">
        <w:t>2022</w:t>
      </w:r>
      <w:r w:rsidRPr="0037436B">
        <w:t xml:space="preserve">. gada </w:t>
      </w:r>
      <w:r w:rsidRPr="00D2370F">
        <w:t>26</w:t>
      </w:r>
      <w:r w:rsidRPr="0037436B">
        <w:t>. oktobra atzinumu</w:t>
      </w:r>
      <w:r w:rsidRPr="0037436B">
        <w:rPr>
          <w:rStyle w:val="FootnoteReference"/>
        </w:rPr>
        <w:footnoteReference w:id="1"/>
      </w:r>
      <w:r w:rsidRPr="0037436B">
        <w:t>,</w:t>
      </w:r>
      <w:r w:rsidRPr="0037436B">
        <w:rPr>
          <w:b/>
        </w:rPr>
        <w:t xml:space="preserve"> </w:t>
      </w:r>
    </w:p>
    <w:p w:rsidR="00BB0AC6" w:rsidRPr="0037436B" w:rsidRDefault="00BB0AC6" w:rsidP="0037436B">
      <w:pPr>
        <w:spacing w:after="240"/>
        <w:ind w:left="567" w:hanging="567"/>
      </w:pPr>
      <w:r w:rsidRPr="0037436B">
        <w:t>–</w:t>
      </w:r>
      <w:r w:rsidRPr="0037436B">
        <w:tab/>
        <w:t xml:space="preserve">ņemot vērā provizorisko vienošanos, ko atbildīgā komiteja apstiprināja saskaņā ar Reglamenta </w:t>
      </w:r>
      <w:r w:rsidRPr="00D2370F">
        <w:t>74</w:t>
      </w:r>
      <w:r w:rsidRPr="0037436B">
        <w:t xml:space="preserve">. panta </w:t>
      </w:r>
      <w:r w:rsidRPr="00D2370F">
        <w:t>4</w:t>
      </w:r>
      <w:r w:rsidRPr="0037436B">
        <w:t xml:space="preserve">. punktu, un Padomes pārstāvja </w:t>
      </w:r>
      <w:r w:rsidRPr="00D2370F">
        <w:t>2023</w:t>
      </w:r>
      <w:r w:rsidRPr="0037436B">
        <w:t xml:space="preserve">. gada </w:t>
      </w:r>
      <w:r w:rsidRPr="00D2370F">
        <w:t>20</w:t>
      </w:r>
      <w:r w:rsidRPr="0037436B">
        <w:t xml:space="preserve">. decembra vēstulē pausto apņemšanos apstiprināt Parlamenta nostāju saskaņā ar Līguma par Eiropas Savienības darbību </w:t>
      </w:r>
      <w:r w:rsidRPr="00D2370F">
        <w:t>294</w:t>
      </w:r>
      <w:r w:rsidRPr="0037436B">
        <w:t xml:space="preserve">. panta </w:t>
      </w:r>
      <w:r w:rsidRPr="00D2370F">
        <w:t>4</w:t>
      </w:r>
      <w:r w:rsidRPr="0037436B">
        <w:t>. punktu,</w:t>
      </w:r>
    </w:p>
    <w:p w:rsidR="002C6FC2" w:rsidRPr="0037436B" w:rsidRDefault="002C6FC2" w:rsidP="002C6FC2">
      <w:pPr>
        <w:pStyle w:val="NormalHanging12a"/>
      </w:pPr>
      <w:r w:rsidRPr="0037436B">
        <w:t>–</w:t>
      </w:r>
      <w:r w:rsidRPr="0037436B">
        <w:tab/>
        <w:t xml:space="preserve">ņemot vērā Reglamenta </w:t>
      </w:r>
      <w:r w:rsidRPr="00D2370F">
        <w:t>59</w:t>
      </w:r>
      <w:r w:rsidRPr="0037436B">
        <w:t>. pantu,</w:t>
      </w:r>
    </w:p>
    <w:p w:rsidR="002C6FC2" w:rsidRPr="0037436B" w:rsidRDefault="002C6FC2" w:rsidP="002C6FC2">
      <w:pPr>
        <w:pStyle w:val="NormalHanging12a"/>
      </w:pPr>
      <w:r w:rsidRPr="0037436B">
        <w:lastRenderedPageBreak/>
        <w:t>–</w:t>
      </w:r>
      <w:r w:rsidRPr="0037436B">
        <w:tab/>
        <w:t xml:space="preserve">ņemot vērā Pilsoņu brīvību, tieslietu un </w:t>
      </w:r>
      <w:proofErr w:type="spellStart"/>
      <w:r w:rsidRPr="0037436B">
        <w:t>iekšlietu</w:t>
      </w:r>
      <w:proofErr w:type="spellEnd"/>
      <w:r w:rsidRPr="0037436B">
        <w:t xml:space="preserve"> komitejas un Kultūras un izglītības komitejas atzinumus,</w:t>
      </w:r>
    </w:p>
    <w:p w:rsidR="002C6FC2" w:rsidRPr="0037436B" w:rsidRDefault="002C6FC2" w:rsidP="002C6FC2">
      <w:pPr>
        <w:pStyle w:val="NormalHanging12a"/>
      </w:pPr>
      <w:r w:rsidRPr="0037436B">
        <w:t>–</w:t>
      </w:r>
      <w:r w:rsidRPr="0037436B">
        <w:tab/>
        <w:t>ņemot vērā Juridiskās komitejas ziņojumu (A</w:t>
      </w:r>
      <w:r w:rsidRPr="00D2370F">
        <w:t>9</w:t>
      </w:r>
      <w:r w:rsidRPr="0037436B">
        <w:t>-</w:t>
      </w:r>
      <w:r w:rsidRPr="00D2370F">
        <w:t>0223</w:t>
      </w:r>
      <w:r w:rsidRPr="0037436B">
        <w:t>/</w:t>
      </w:r>
      <w:r w:rsidRPr="00D2370F">
        <w:t>2023</w:t>
      </w:r>
      <w:r w:rsidRPr="0037436B">
        <w:t>),</w:t>
      </w:r>
    </w:p>
    <w:p w:rsidR="002C6FC2" w:rsidRPr="0037436B" w:rsidRDefault="002C6FC2" w:rsidP="002C6FC2">
      <w:pPr>
        <w:pStyle w:val="NormalHanging12a"/>
      </w:pPr>
      <w:r w:rsidRPr="00D2370F">
        <w:t>1</w:t>
      </w:r>
      <w:r w:rsidRPr="0037436B">
        <w:t>.</w:t>
      </w:r>
      <w:r w:rsidRPr="0037436B">
        <w:tab/>
        <w:t>pieņem pirmajā lasījumā turpmāk izklāstīto nostāju</w:t>
      </w:r>
      <w:r w:rsidR="0053622B">
        <w:rPr>
          <w:rStyle w:val="FootnoteReference"/>
        </w:rPr>
        <w:footnoteReference w:id="2"/>
      </w:r>
      <w:r w:rsidRPr="0037436B">
        <w:t>;</w:t>
      </w:r>
    </w:p>
    <w:p w:rsidR="002C6FC2" w:rsidRPr="0037436B" w:rsidRDefault="002C6FC2" w:rsidP="002C6FC2">
      <w:pPr>
        <w:pStyle w:val="NormalHanging12a"/>
      </w:pPr>
      <w:r w:rsidRPr="00D2370F">
        <w:t>2</w:t>
      </w:r>
      <w:r w:rsidRPr="0037436B">
        <w:t>.</w:t>
      </w:r>
      <w:r w:rsidRPr="0037436B">
        <w:tab/>
        <w:t xml:space="preserve">ierosina aktu saukt par </w:t>
      </w:r>
      <w:proofErr w:type="spellStart"/>
      <w:r w:rsidR="00BB0AC6" w:rsidRPr="0037436B">
        <w:rPr>
          <w:i/>
        </w:rPr>
        <w:t>Wölken-Bolaños</w:t>
      </w:r>
      <w:proofErr w:type="spellEnd"/>
      <w:r w:rsidR="00BB0AC6" w:rsidRPr="0037436B">
        <w:rPr>
          <w:i/>
        </w:rPr>
        <w:t xml:space="preserve"> </w:t>
      </w:r>
      <w:proofErr w:type="spellStart"/>
      <w:r w:rsidR="00BB0AC6" w:rsidRPr="0037436B">
        <w:rPr>
          <w:i/>
        </w:rPr>
        <w:t>García</w:t>
      </w:r>
      <w:proofErr w:type="spellEnd"/>
      <w:r w:rsidRPr="0037436B">
        <w:t xml:space="preserve"> direktīvu par sabiedrības līdzdalībā iesaistījušos personu aizsardzību pret acīmredzami nepamatotu vai ļaunprātīgu tiesvedību (“stratēģisk</w:t>
      </w:r>
      <w:r w:rsidR="00EA3CF9" w:rsidRPr="0037436B">
        <w:t>a</w:t>
      </w:r>
      <w:r w:rsidRPr="0037436B">
        <w:t xml:space="preserve"> tiesvedīb</w:t>
      </w:r>
      <w:r w:rsidR="00EA3CF9" w:rsidRPr="0037436B">
        <w:t>a</w:t>
      </w:r>
      <w:r w:rsidRPr="0037436B">
        <w:t xml:space="preserve"> pret sabiedrības līdzdalību”)</w:t>
      </w:r>
      <w:r w:rsidRPr="0037436B">
        <w:rPr>
          <w:rStyle w:val="FootnoteReference"/>
        </w:rPr>
        <w:footnoteReference w:id="3"/>
      </w:r>
      <w:r w:rsidRPr="0037436B">
        <w:t>;</w:t>
      </w:r>
    </w:p>
    <w:p w:rsidR="002C6FC2" w:rsidRPr="0037436B" w:rsidRDefault="002C6FC2" w:rsidP="002C6FC2">
      <w:pPr>
        <w:pStyle w:val="NormalHanging12a"/>
      </w:pPr>
      <w:r w:rsidRPr="00D2370F">
        <w:t>3</w:t>
      </w:r>
      <w:r w:rsidRPr="0037436B">
        <w:t>.</w:t>
      </w:r>
      <w:r w:rsidRPr="0037436B">
        <w:tab/>
        <w:t>prasa Komisijai priekšlikumu Parlamentam iesniegt vēlreiz, ja tā savu priekšlikumu aizstāj, būtiski groza vai ir paredzējusi to būtiski grozīt;</w:t>
      </w:r>
    </w:p>
    <w:p w:rsidR="002C6FC2" w:rsidRPr="0037436B" w:rsidRDefault="002C6FC2" w:rsidP="0037436B">
      <w:pPr>
        <w:pStyle w:val="NormalHanging12a"/>
      </w:pPr>
      <w:r w:rsidRPr="00D2370F">
        <w:t>4</w:t>
      </w:r>
      <w:r w:rsidRPr="0037436B">
        <w:t>.</w:t>
      </w:r>
      <w:r w:rsidRPr="0037436B">
        <w:tab/>
        <w:t>uzdod priekšsēdētājai Parlamenta nostāju nosūtīt Padomei, Komisijai un dalībvalstu parlamentiem.</w:t>
      </w:r>
    </w:p>
    <w:p w:rsidR="00BB0AC6" w:rsidRPr="0037436B" w:rsidRDefault="00BB0AC6" w:rsidP="002C6FC2"/>
    <w:p w:rsidR="00BB0AC6" w:rsidRPr="0037436B" w:rsidRDefault="00BB0AC6" w:rsidP="002C6FC2">
      <w:pPr>
        <w:sectPr w:rsidR="00BB0AC6" w:rsidRPr="0037436B" w:rsidSect="00AE745D">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B0AC6" w:rsidRPr="0037436B" w:rsidRDefault="00BB0AC6" w:rsidP="00BB0AC6">
      <w:pPr>
        <w:tabs>
          <w:tab w:val="left" w:pos="357"/>
        </w:tabs>
        <w:spacing w:after="240"/>
        <w:rPr>
          <w:b/>
        </w:rPr>
      </w:pPr>
      <w:bookmarkStart w:id="8" w:name="TextBodyEnd"/>
      <w:bookmarkEnd w:id="8"/>
      <w:r w:rsidRPr="0037436B">
        <w:rPr>
          <w:b/>
        </w:rPr>
        <w:lastRenderedPageBreak/>
        <w:t>P</w:t>
      </w:r>
      <w:r w:rsidRPr="00D2370F">
        <w:rPr>
          <w:b/>
        </w:rPr>
        <w:t>9</w:t>
      </w:r>
      <w:r w:rsidRPr="0037436B">
        <w:rPr>
          <w:b/>
        </w:rPr>
        <w:t>_TC</w:t>
      </w:r>
      <w:r w:rsidRPr="00D2370F">
        <w:rPr>
          <w:b/>
        </w:rPr>
        <w:t>1</w:t>
      </w:r>
      <w:r w:rsidRPr="0037436B">
        <w:rPr>
          <w:b/>
        </w:rPr>
        <w:t>-COD(</w:t>
      </w:r>
      <w:r w:rsidRPr="00D2370F">
        <w:rPr>
          <w:rFonts w:eastAsia="Calibri"/>
          <w:b/>
          <w:bCs/>
          <w:color w:val="000000"/>
          <w:szCs w:val="24"/>
        </w:rPr>
        <w:t>20</w:t>
      </w:r>
      <w:r w:rsidRPr="00D2370F">
        <w:rPr>
          <w:b/>
          <w:bCs/>
          <w:color w:val="000000"/>
        </w:rPr>
        <w:t>22</w:t>
      </w:r>
      <w:r w:rsidRPr="0037436B">
        <w:rPr>
          <w:b/>
          <w:bCs/>
          <w:color w:val="000000"/>
        </w:rPr>
        <w:t>)</w:t>
      </w:r>
      <w:r w:rsidRPr="00D2370F">
        <w:rPr>
          <w:b/>
          <w:bCs/>
          <w:color w:val="000000"/>
        </w:rPr>
        <w:t>0117</w:t>
      </w:r>
    </w:p>
    <w:p w:rsidR="00BB0AC6" w:rsidRDefault="00BB0AC6" w:rsidP="0037436B">
      <w:pPr>
        <w:spacing w:after="240"/>
        <w:rPr>
          <w:rFonts w:eastAsia="Calibri"/>
          <w:b/>
          <w:szCs w:val="22"/>
          <w:lang w:eastAsia="en-US"/>
        </w:rPr>
      </w:pPr>
      <w:r w:rsidRPr="0037436B">
        <w:rPr>
          <w:b/>
        </w:rPr>
        <w:t xml:space="preserve">Eiropas Parlamenta nostāja, pieņemta pirmajā lasījumā </w:t>
      </w:r>
      <w:r w:rsidRPr="00D2370F">
        <w:rPr>
          <w:b/>
        </w:rPr>
        <w:t>2024</w:t>
      </w:r>
      <w:r w:rsidRPr="0037436B">
        <w:rPr>
          <w:b/>
        </w:rPr>
        <w:t xml:space="preserve">. gada </w:t>
      </w:r>
      <w:r w:rsidRPr="00D2370F">
        <w:rPr>
          <w:b/>
        </w:rPr>
        <w:t>27</w:t>
      </w:r>
      <w:r w:rsidRPr="0037436B">
        <w:rPr>
          <w:b/>
        </w:rPr>
        <w:t xml:space="preserve">. februārī, lai pieņemtu Eiropas Parlamenta un Padomes Direktīvu (ES) </w:t>
      </w:r>
      <w:r w:rsidRPr="00D2370F">
        <w:rPr>
          <w:b/>
        </w:rPr>
        <w:t>2024</w:t>
      </w:r>
      <w:r w:rsidRPr="0037436B">
        <w:rPr>
          <w:b/>
        </w:rPr>
        <w:t>/...</w:t>
      </w:r>
      <w:r w:rsidRPr="0037436B">
        <w:rPr>
          <w:rFonts w:eastAsiaTheme="minorHAnsi"/>
          <w:b/>
          <w:szCs w:val="22"/>
          <w:lang w:eastAsia="en-US"/>
        </w:rPr>
        <w:t xml:space="preserve"> </w:t>
      </w:r>
      <w:r w:rsidRPr="0037436B">
        <w:rPr>
          <w:rFonts w:eastAsia="Calibri"/>
          <w:b/>
          <w:szCs w:val="22"/>
          <w:lang w:eastAsia="en-US"/>
        </w:rPr>
        <w:t xml:space="preserve">par sabiedrības līdzdalībā iesaistījušos personu aizsardzību pret acīmredzami nepamatotām </w:t>
      </w:r>
      <w:r w:rsidRPr="00320722">
        <w:rPr>
          <w:rFonts w:eastAsia="Calibri"/>
          <w:b/>
          <w:szCs w:val="22"/>
          <w:lang w:eastAsia="en-US"/>
        </w:rPr>
        <w:t xml:space="preserve">prasībām </w:t>
      </w:r>
      <w:r w:rsidRPr="0037436B">
        <w:rPr>
          <w:rFonts w:eastAsia="Calibri"/>
          <w:b/>
          <w:szCs w:val="22"/>
          <w:lang w:eastAsia="en-US"/>
        </w:rPr>
        <w:t>vai ļaunprātīgu tiesvedību (“stratēģiska tiesvedība pret sabiedrības līdzdalību”)</w:t>
      </w:r>
    </w:p>
    <w:p w:rsidR="00320722" w:rsidRDefault="00320722" w:rsidP="00320722">
      <w:pPr>
        <w:rPr>
          <w:i/>
        </w:rPr>
      </w:pPr>
      <w:r w:rsidRPr="003E6639">
        <w:rPr>
          <w:i/>
        </w:rPr>
        <w:t xml:space="preserve">(Tā kā starp Parlamentu un Padomi tika panākta vienošanās, Parlamenta nostāja atbilst galīgajam tiesību aktam </w:t>
      </w:r>
      <w:r>
        <w:rPr>
          <w:i/>
        </w:rPr>
        <w:t>Direkt</w:t>
      </w:r>
      <w:r w:rsidRPr="003E6639">
        <w:rPr>
          <w:i/>
        </w:rPr>
        <w:t>ī</w:t>
      </w:r>
      <w:r>
        <w:rPr>
          <w:i/>
        </w:rPr>
        <w:t>vai</w:t>
      </w:r>
      <w:r w:rsidRPr="00722D1F">
        <w:rPr>
          <w:i/>
        </w:rPr>
        <w:t xml:space="preserve"> (ES) 2024/</w:t>
      </w:r>
      <w:r>
        <w:rPr>
          <w:i/>
        </w:rPr>
        <w:t>1069</w:t>
      </w:r>
      <w:r w:rsidRPr="00722D1F">
        <w:rPr>
          <w:i/>
        </w:rPr>
        <w:t>.)</w:t>
      </w:r>
    </w:p>
    <w:p w:rsidR="00320722" w:rsidRDefault="00320722" w:rsidP="0037436B">
      <w:pPr>
        <w:spacing w:after="240"/>
        <w:rPr>
          <w:rFonts w:eastAsia="Calibri"/>
          <w:b/>
          <w:szCs w:val="22"/>
          <w:lang w:eastAsia="en-US"/>
        </w:rPr>
      </w:pPr>
    </w:p>
    <w:p w:rsidR="00320722" w:rsidRPr="0037436B" w:rsidRDefault="00320722" w:rsidP="0037436B">
      <w:pPr>
        <w:spacing w:after="240"/>
        <w:rPr>
          <w:rFonts w:eastAsia="Calibri"/>
          <w:b/>
          <w:bCs/>
          <w:szCs w:val="22"/>
          <w:lang w:eastAsia="en-US"/>
        </w:rPr>
      </w:pPr>
      <w:bookmarkStart w:id="9" w:name="_GoBack"/>
      <w:bookmarkEnd w:id="9"/>
    </w:p>
    <w:sectPr w:rsidR="00320722" w:rsidRPr="0037436B" w:rsidSect="00AE745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CD7" w:rsidRPr="00AE745D" w:rsidRDefault="00C65CD7">
      <w:r w:rsidRPr="00AE745D">
        <w:separator/>
      </w:r>
    </w:p>
  </w:endnote>
  <w:endnote w:type="continuationSeparator" w:id="0">
    <w:p w:rsidR="00C65CD7" w:rsidRPr="00AE745D" w:rsidRDefault="00C65CD7">
      <w:r w:rsidRPr="00AE74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CD7" w:rsidRPr="00AE745D" w:rsidRDefault="00C65CD7">
      <w:r w:rsidRPr="00AE745D">
        <w:separator/>
      </w:r>
    </w:p>
  </w:footnote>
  <w:footnote w:type="continuationSeparator" w:id="0">
    <w:p w:rsidR="00C65CD7" w:rsidRPr="00AE745D" w:rsidRDefault="00C65CD7">
      <w:r w:rsidRPr="00AE745D">
        <w:continuationSeparator/>
      </w:r>
    </w:p>
  </w:footnote>
  <w:footnote w:id="1">
    <w:p w:rsidR="002C6FC2" w:rsidRPr="00AE745D" w:rsidRDefault="002C6FC2" w:rsidP="0037436B">
      <w:pPr>
        <w:pStyle w:val="FootnoteText"/>
        <w:ind w:left="720" w:hanging="720"/>
        <w:rPr>
          <w:sz w:val="24"/>
          <w:lang w:val="lv-LV"/>
        </w:rPr>
      </w:pPr>
      <w:r w:rsidRPr="00AE745D">
        <w:rPr>
          <w:rStyle w:val="FootnoteReference"/>
          <w:sz w:val="24"/>
          <w:lang w:val="lv-LV"/>
        </w:rPr>
        <w:footnoteRef/>
      </w:r>
      <w:r w:rsidR="00AE745D" w:rsidRPr="00AE745D">
        <w:rPr>
          <w:i/>
          <w:iCs/>
          <w:sz w:val="24"/>
          <w:lang w:val="lv-LV"/>
        </w:rPr>
        <w:t xml:space="preserve"> </w:t>
      </w:r>
      <w:r w:rsidR="00AE745D" w:rsidRPr="00AE745D">
        <w:rPr>
          <w:i/>
          <w:iCs/>
          <w:sz w:val="24"/>
          <w:lang w:val="lv-LV"/>
        </w:rPr>
        <w:tab/>
      </w:r>
      <w:r w:rsidR="00BB0AC6" w:rsidRPr="005C3082">
        <w:rPr>
          <w:iCs/>
          <w:sz w:val="24"/>
          <w:szCs w:val="24"/>
          <w:lang w:val="en-GB"/>
        </w:rPr>
        <w:t>O</w:t>
      </w:r>
      <w:r w:rsidR="00BB0AC6">
        <w:rPr>
          <w:iCs/>
          <w:sz w:val="24"/>
          <w:szCs w:val="24"/>
          <w:lang w:val="en-GB"/>
        </w:rPr>
        <w:t>V</w:t>
      </w:r>
      <w:r w:rsidR="00BB0AC6" w:rsidRPr="005C3082">
        <w:rPr>
          <w:iCs/>
          <w:sz w:val="24"/>
          <w:szCs w:val="24"/>
          <w:lang w:val="en-GB"/>
        </w:rPr>
        <w:t xml:space="preserve"> C </w:t>
      </w:r>
      <w:r w:rsidR="00BB0AC6" w:rsidRPr="00D2370F">
        <w:rPr>
          <w:iCs/>
          <w:sz w:val="24"/>
          <w:szCs w:val="24"/>
          <w:lang w:val="en-GB"/>
        </w:rPr>
        <w:t>75</w:t>
      </w:r>
      <w:r w:rsidR="00BB0AC6" w:rsidRPr="005C3082">
        <w:rPr>
          <w:iCs/>
          <w:sz w:val="24"/>
          <w:szCs w:val="24"/>
          <w:lang w:val="en-GB"/>
        </w:rPr>
        <w:t xml:space="preserve">, </w:t>
      </w:r>
      <w:r w:rsidR="00BB0AC6" w:rsidRPr="00D2370F">
        <w:rPr>
          <w:iCs/>
          <w:sz w:val="24"/>
          <w:szCs w:val="24"/>
          <w:lang w:val="en-GB"/>
        </w:rPr>
        <w:t>28</w:t>
      </w:r>
      <w:r w:rsidR="00BB0AC6" w:rsidRPr="005C3082">
        <w:rPr>
          <w:iCs/>
          <w:sz w:val="24"/>
          <w:szCs w:val="24"/>
          <w:lang w:val="en-GB"/>
        </w:rPr>
        <w:t>.</w:t>
      </w:r>
      <w:r w:rsidR="00BB0AC6" w:rsidRPr="00D2370F">
        <w:rPr>
          <w:iCs/>
          <w:sz w:val="24"/>
          <w:szCs w:val="24"/>
          <w:lang w:val="en-GB"/>
        </w:rPr>
        <w:t>2</w:t>
      </w:r>
      <w:r w:rsidR="00BB0AC6" w:rsidRPr="005C3082">
        <w:rPr>
          <w:iCs/>
          <w:sz w:val="24"/>
          <w:szCs w:val="24"/>
          <w:lang w:val="en-GB"/>
        </w:rPr>
        <w:t>.</w:t>
      </w:r>
      <w:r w:rsidR="00BB0AC6" w:rsidRPr="00D2370F">
        <w:rPr>
          <w:iCs/>
          <w:sz w:val="24"/>
          <w:szCs w:val="24"/>
          <w:lang w:val="en-GB"/>
        </w:rPr>
        <w:t>2023</w:t>
      </w:r>
      <w:r w:rsidR="00BB0AC6">
        <w:rPr>
          <w:iCs/>
          <w:sz w:val="24"/>
          <w:szCs w:val="24"/>
          <w:lang w:val="en-GB"/>
        </w:rPr>
        <w:t>.</w:t>
      </w:r>
      <w:r w:rsidR="00BB0AC6" w:rsidRPr="005C3082">
        <w:rPr>
          <w:iCs/>
          <w:sz w:val="24"/>
          <w:szCs w:val="24"/>
          <w:lang w:val="en-GB"/>
        </w:rPr>
        <w:t xml:space="preserve">, </w:t>
      </w:r>
      <w:r w:rsidR="00BB0AC6" w:rsidRPr="00D2370F">
        <w:rPr>
          <w:iCs/>
          <w:sz w:val="24"/>
          <w:szCs w:val="24"/>
          <w:lang w:val="en-GB"/>
        </w:rPr>
        <w:t>143</w:t>
      </w:r>
      <w:r w:rsidR="00BB0AC6">
        <w:rPr>
          <w:iCs/>
          <w:sz w:val="24"/>
          <w:szCs w:val="24"/>
          <w:lang w:val="en-GB"/>
        </w:rPr>
        <w:t xml:space="preserve">. </w:t>
      </w:r>
      <w:proofErr w:type="spellStart"/>
      <w:proofErr w:type="gramStart"/>
      <w:r w:rsidR="00BB0AC6">
        <w:rPr>
          <w:iCs/>
          <w:sz w:val="24"/>
          <w:szCs w:val="24"/>
          <w:lang w:val="en-GB"/>
        </w:rPr>
        <w:t>lpp</w:t>
      </w:r>
      <w:proofErr w:type="spellEnd"/>
      <w:proofErr w:type="gramEnd"/>
      <w:r w:rsidR="00BB0AC6">
        <w:rPr>
          <w:iCs/>
          <w:sz w:val="24"/>
          <w:szCs w:val="24"/>
          <w:lang w:val="en-GB"/>
        </w:rPr>
        <w:t>.</w:t>
      </w:r>
    </w:p>
  </w:footnote>
  <w:footnote w:id="2">
    <w:p w:rsidR="0053622B" w:rsidRPr="0053622B" w:rsidRDefault="0053622B" w:rsidP="0053622B">
      <w:pPr>
        <w:pStyle w:val="FootnoteText"/>
        <w:ind w:left="709" w:hanging="709"/>
        <w:rPr>
          <w:sz w:val="24"/>
          <w:szCs w:val="24"/>
          <w:lang w:val="lv-LV"/>
        </w:rPr>
      </w:pPr>
      <w:r w:rsidRPr="0053622B">
        <w:rPr>
          <w:rStyle w:val="FootnoteReference"/>
          <w:sz w:val="24"/>
          <w:szCs w:val="24"/>
        </w:rPr>
        <w:footnoteRef/>
      </w:r>
      <w:r w:rsidRPr="0053622B">
        <w:rPr>
          <w:sz w:val="24"/>
          <w:szCs w:val="24"/>
          <w:lang w:val="lv-LV"/>
        </w:rPr>
        <w:t xml:space="preserve"> </w:t>
      </w:r>
      <w:r w:rsidRPr="0053622B">
        <w:rPr>
          <w:sz w:val="24"/>
          <w:szCs w:val="24"/>
          <w:lang w:val="lv-LV"/>
        </w:rPr>
        <w:tab/>
        <w:t xml:space="preserve">Ar šo nostāju aizstāj </w:t>
      </w:r>
      <w:r w:rsidRPr="00D2370F">
        <w:rPr>
          <w:sz w:val="24"/>
          <w:szCs w:val="24"/>
          <w:lang w:val="lv-LV"/>
        </w:rPr>
        <w:t>2023</w:t>
      </w:r>
      <w:r w:rsidRPr="0053622B">
        <w:rPr>
          <w:sz w:val="24"/>
          <w:szCs w:val="24"/>
          <w:lang w:val="lv-LV"/>
        </w:rPr>
        <w:t xml:space="preserve">. gada </w:t>
      </w:r>
      <w:r w:rsidRPr="00D2370F">
        <w:rPr>
          <w:sz w:val="24"/>
          <w:szCs w:val="24"/>
          <w:lang w:val="lv-LV"/>
        </w:rPr>
        <w:t>11</w:t>
      </w:r>
      <w:r w:rsidRPr="0053622B">
        <w:rPr>
          <w:sz w:val="24"/>
          <w:szCs w:val="24"/>
          <w:lang w:val="lv-LV"/>
        </w:rPr>
        <w:t>. jūlijā pieņemtos grozījumus (Pieņemtie teksti P</w:t>
      </w:r>
      <w:r w:rsidRPr="00D2370F">
        <w:rPr>
          <w:sz w:val="24"/>
          <w:szCs w:val="24"/>
          <w:lang w:val="lv-LV"/>
        </w:rPr>
        <w:t>9</w:t>
      </w:r>
      <w:r w:rsidRPr="0053622B">
        <w:rPr>
          <w:sz w:val="24"/>
          <w:szCs w:val="24"/>
          <w:lang w:val="lv-LV"/>
        </w:rPr>
        <w:t>_TA(</w:t>
      </w:r>
      <w:r w:rsidRPr="00D2370F">
        <w:rPr>
          <w:sz w:val="24"/>
          <w:szCs w:val="24"/>
          <w:lang w:val="lv-LV"/>
        </w:rPr>
        <w:t>2023</w:t>
      </w:r>
      <w:r w:rsidRPr="0053622B">
        <w:rPr>
          <w:sz w:val="24"/>
          <w:szCs w:val="24"/>
          <w:lang w:val="lv-LV"/>
        </w:rPr>
        <w:t>)</w:t>
      </w:r>
      <w:r w:rsidRPr="00D2370F">
        <w:rPr>
          <w:sz w:val="24"/>
          <w:szCs w:val="24"/>
          <w:lang w:val="lv-LV"/>
        </w:rPr>
        <w:t>0264</w:t>
      </w:r>
      <w:r w:rsidRPr="0053622B">
        <w:rPr>
          <w:sz w:val="24"/>
          <w:szCs w:val="24"/>
          <w:lang w:val="lv-LV"/>
        </w:rPr>
        <w:t>).</w:t>
      </w:r>
    </w:p>
  </w:footnote>
  <w:footnote w:id="3">
    <w:p w:rsidR="002C6FC2" w:rsidRPr="00AE745D" w:rsidRDefault="002C6FC2" w:rsidP="0037436B">
      <w:pPr>
        <w:pStyle w:val="FootnoteText"/>
        <w:ind w:left="720" w:hanging="720"/>
        <w:rPr>
          <w:sz w:val="24"/>
          <w:lang w:val="lv-LV"/>
        </w:rPr>
      </w:pPr>
      <w:r w:rsidRPr="0053622B">
        <w:rPr>
          <w:rStyle w:val="FootnoteReference"/>
          <w:sz w:val="24"/>
          <w:lang w:val="lv-LV"/>
        </w:rPr>
        <w:footnoteRef/>
      </w:r>
      <w:r w:rsidR="00AE745D" w:rsidRPr="0053622B">
        <w:rPr>
          <w:i/>
          <w:iCs/>
          <w:sz w:val="24"/>
          <w:lang w:val="lv-LV"/>
        </w:rPr>
        <w:t xml:space="preserve"> </w:t>
      </w:r>
      <w:r w:rsidR="00AE745D" w:rsidRPr="0053622B">
        <w:rPr>
          <w:i/>
          <w:iCs/>
          <w:sz w:val="24"/>
          <w:lang w:val="lv-LV"/>
        </w:rPr>
        <w:tab/>
      </w:r>
      <w:proofErr w:type="spellStart"/>
      <w:r w:rsidRPr="0053622B">
        <w:rPr>
          <w:i/>
          <w:iCs/>
          <w:sz w:val="24"/>
          <w:lang w:val="lv-LV"/>
        </w:rPr>
        <w:t>Tiemo</w:t>
      </w:r>
      <w:proofErr w:type="spellEnd"/>
      <w:r w:rsidRPr="0053622B">
        <w:rPr>
          <w:i/>
          <w:iCs/>
          <w:sz w:val="24"/>
          <w:lang w:val="lv-LV"/>
        </w:rPr>
        <w:t xml:space="preserve"> </w:t>
      </w:r>
      <w:proofErr w:type="spellStart"/>
      <w:r w:rsidRPr="0053622B">
        <w:rPr>
          <w:i/>
          <w:iCs/>
          <w:sz w:val="24"/>
          <w:lang w:val="lv-LV"/>
        </w:rPr>
        <w:t>Wölken</w:t>
      </w:r>
      <w:proofErr w:type="spellEnd"/>
      <w:r w:rsidRPr="0053622B">
        <w:rPr>
          <w:sz w:val="24"/>
          <w:lang w:val="lv-LV"/>
        </w:rPr>
        <w:t xml:space="preserve"> un </w:t>
      </w:r>
      <w:proofErr w:type="spellStart"/>
      <w:r w:rsidR="00BB0AC6" w:rsidRPr="0053622B">
        <w:rPr>
          <w:i/>
          <w:sz w:val="24"/>
          <w:lang w:val="lv-LV"/>
        </w:rPr>
        <w:t>Félix</w:t>
      </w:r>
      <w:proofErr w:type="spellEnd"/>
      <w:r w:rsidR="00BB0AC6" w:rsidRPr="0037436B">
        <w:rPr>
          <w:i/>
          <w:sz w:val="24"/>
          <w:lang w:val="lv-LV"/>
        </w:rPr>
        <w:t xml:space="preserve"> </w:t>
      </w:r>
      <w:proofErr w:type="spellStart"/>
      <w:r w:rsidR="00BB0AC6" w:rsidRPr="0037436B">
        <w:rPr>
          <w:i/>
          <w:sz w:val="24"/>
          <w:lang w:val="lv-LV"/>
        </w:rPr>
        <w:t>Bolaños</w:t>
      </w:r>
      <w:proofErr w:type="spellEnd"/>
      <w:r w:rsidR="00BB0AC6" w:rsidRPr="0037436B">
        <w:rPr>
          <w:i/>
          <w:sz w:val="24"/>
          <w:lang w:val="lv-LV"/>
        </w:rPr>
        <w:t xml:space="preserve"> </w:t>
      </w:r>
      <w:proofErr w:type="spellStart"/>
      <w:r w:rsidR="00BB0AC6" w:rsidRPr="0037436B">
        <w:rPr>
          <w:i/>
          <w:sz w:val="24"/>
          <w:lang w:val="lv-LV"/>
        </w:rPr>
        <w:t>García</w:t>
      </w:r>
      <w:proofErr w:type="spellEnd"/>
      <w:r w:rsidR="00BB0AC6" w:rsidRPr="0037436B">
        <w:rPr>
          <w:sz w:val="24"/>
          <w:lang w:val="lv-LV"/>
        </w:rPr>
        <w:t xml:space="preserve"> </w:t>
      </w:r>
      <w:r w:rsidRPr="00AE745D">
        <w:rPr>
          <w:sz w:val="24"/>
          <w:lang w:val="lv-LV"/>
        </w:rPr>
        <w:t>vadīja sarunas par šo aktu, pārstāvot attiecīgi Parlamentu un Padomi.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3/2023"/>
    <w:docVar w:name="dvlangue" w:val="LV"/>
    <w:docVar w:name="dvnumam" w:val="212"/>
    <w:docVar w:name="dvpe" w:val="745.170"/>
    <w:docVar w:name="dvrapporteur" w:val="Referents: "/>
    <w:docVar w:name="dvstar" w:val="***I"/>
    <w:docVar w:name="dvtitre" w:val="Eiropas Parlamenta 2024. gada XX. XXX normatīvā rezolūcija par priekšlikumu Eiropas Parlamenta un Padomes direktīvai par sabiedrības līdzdalībā iesaistījušos personu aizsardzību pret acīmredzami nepamatotu vai ļaunprātīgu tiesvedību (“stratēģisku tiesvedību pret sabiedrības līdzdalību”)(COM(2022)0177 – C9-0161/2022 – 2022/0117(COD))"/>
  </w:docVars>
  <w:rsids>
    <w:rsidRoot w:val="00C65CD7"/>
    <w:rsid w:val="00002272"/>
    <w:rsid w:val="00064002"/>
    <w:rsid w:val="000677B9"/>
    <w:rsid w:val="000831BA"/>
    <w:rsid w:val="000A42CC"/>
    <w:rsid w:val="000E7DD9"/>
    <w:rsid w:val="0010095E"/>
    <w:rsid w:val="00125B37"/>
    <w:rsid w:val="00187494"/>
    <w:rsid w:val="001F32AE"/>
    <w:rsid w:val="002767FF"/>
    <w:rsid w:val="00294788"/>
    <w:rsid w:val="002B18FE"/>
    <w:rsid w:val="002B5493"/>
    <w:rsid w:val="002C6FC2"/>
    <w:rsid w:val="00320722"/>
    <w:rsid w:val="00343214"/>
    <w:rsid w:val="00361C00"/>
    <w:rsid w:val="0037436B"/>
    <w:rsid w:val="00395FA1"/>
    <w:rsid w:val="003E15D4"/>
    <w:rsid w:val="00411CCE"/>
    <w:rsid w:val="0041666E"/>
    <w:rsid w:val="00421060"/>
    <w:rsid w:val="00471C19"/>
    <w:rsid w:val="004867E3"/>
    <w:rsid w:val="00494A28"/>
    <w:rsid w:val="004C0004"/>
    <w:rsid w:val="004C5D52"/>
    <w:rsid w:val="0050519A"/>
    <w:rsid w:val="005072A1"/>
    <w:rsid w:val="00514517"/>
    <w:rsid w:val="0053622B"/>
    <w:rsid w:val="00545827"/>
    <w:rsid w:val="00560270"/>
    <w:rsid w:val="00591208"/>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E745D"/>
    <w:rsid w:val="00AF3B82"/>
    <w:rsid w:val="00B12E95"/>
    <w:rsid w:val="00B22876"/>
    <w:rsid w:val="00B558F0"/>
    <w:rsid w:val="00BB0AC6"/>
    <w:rsid w:val="00BD48FE"/>
    <w:rsid w:val="00BD7BD8"/>
    <w:rsid w:val="00BE6ADC"/>
    <w:rsid w:val="00C05BFE"/>
    <w:rsid w:val="00C23CD4"/>
    <w:rsid w:val="00C61C0C"/>
    <w:rsid w:val="00C65CD7"/>
    <w:rsid w:val="00C941CB"/>
    <w:rsid w:val="00CC2357"/>
    <w:rsid w:val="00CF071A"/>
    <w:rsid w:val="00D058B8"/>
    <w:rsid w:val="00D2370F"/>
    <w:rsid w:val="00D56C11"/>
    <w:rsid w:val="00D834A0"/>
    <w:rsid w:val="00D872DF"/>
    <w:rsid w:val="00D91E21"/>
    <w:rsid w:val="00DA7FCD"/>
    <w:rsid w:val="00DF2269"/>
    <w:rsid w:val="00E365E1"/>
    <w:rsid w:val="00E56F6B"/>
    <w:rsid w:val="00E820A4"/>
    <w:rsid w:val="00EA3CF9"/>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7092D"/>
  <w15:chartTrackingRefBased/>
  <w15:docId w15:val="{34CB3B10-12FA-40C2-984C-C0DB69D8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2C6FC2"/>
    <w:rPr>
      <w:b/>
    </w:rPr>
  </w:style>
  <w:style w:type="character" w:customStyle="1" w:styleId="NormalBoldChar">
    <w:name w:val="NormalBold Char"/>
    <w:basedOn w:val="DefaultParagraphFont"/>
    <w:link w:val="NormalBold"/>
    <w:locked/>
    <w:rsid w:val="002C6FC2"/>
    <w:rPr>
      <w:b/>
      <w:sz w:val="24"/>
      <w:lang w:val="lv-LV"/>
    </w:rPr>
  </w:style>
  <w:style w:type="paragraph" w:customStyle="1" w:styleId="NormalBold12a">
    <w:name w:val="NormalBold12a"/>
    <w:basedOn w:val="Normal"/>
    <w:rsid w:val="002C6FC2"/>
    <w:pPr>
      <w:spacing w:after="240"/>
    </w:pPr>
    <w:rPr>
      <w:b/>
    </w:rPr>
  </w:style>
  <w:style w:type="paragraph" w:customStyle="1" w:styleId="NormalHanging12a">
    <w:name w:val="NormalHanging12a"/>
    <w:basedOn w:val="Normal"/>
    <w:rsid w:val="002C6FC2"/>
    <w:pPr>
      <w:spacing w:after="240"/>
      <w:ind w:left="567" w:hanging="567"/>
    </w:pPr>
  </w:style>
  <w:style w:type="paragraph" w:customStyle="1" w:styleId="EPComma">
    <w:name w:val="EPComma"/>
    <w:basedOn w:val="Normal"/>
    <w:rsid w:val="002C6FC2"/>
    <w:pPr>
      <w:spacing w:before="480" w:after="240"/>
    </w:pPr>
  </w:style>
  <w:style w:type="paragraph" w:styleId="BalloonText">
    <w:name w:val="Balloon Text"/>
    <w:basedOn w:val="Normal"/>
    <w:link w:val="BalloonTextChar"/>
    <w:rsid w:val="00BB0AC6"/>
    <w:rPr>
      <w:rFonts w:ascii="Segoe UI" w:hAnsi="Segoe UI" w:cs="Segoe UI"/>
      <w:sz w:val="18"/>
      <w:szCs w:val="18"/>
    </w:rPr>
  </w:style>
  <w:style w:type="character" w:customStyle="1" w:styleId="BalloonTextChar">
    <w:name w:val="Balloon Text Char"/>
    <w:basedOn w:val="DefaultParagraphFont"/>
    <w:link w:val="BalloonText"/>
    <w:rsid w:val="00BB0AC6"/>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DA8A8-8303-4067-BDAE-2F0E3A2E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336</Words>
  <Characters>2563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Karina Pesa</cp:lastModifiedBy>
  <cp:revision>2</cp:revision>
  <cp:lastPrinted>2004-11-19T15:42:00Z</cp:lastPrinted>
  <dcterms:created xsi:type="dcterms:W3CDTF">2024-06-10T06:46:00Z</dcterms:created>
  <dcterms:modified xsi:type="dcterms:W3CDTF">2024-06-10T06:46:00Z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P9_TA(2024)0085_</vt:lpwstr>
  </property>
  <property fmtid="{D5CDD505-2E9C-101B-9397-08002B2CF9AE}" pid="4" name="&lt;Type&gt;">
    <vt:lpwstr>RR</vt:lpwstr>
  </property>
</Properties>
</file>