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B017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B017E" w:rsidRDefault="008A771D" w:rsidP="0010095E">
            <w:pPr>
              <w:pStyle w:val="EPName"/>
            </w:pPr>
            <w:r w:rsidRPr="001B017E">
              <w:t>Parlamentul Euro</w:t>
            </w:r>
            <w:bookmarkStart w:id="0" w:name="_GoBack"/>
            <w:bookmarkEnd w:id="0"/>
            <w:r w:rsidRPr="001B017E">
              <w:t>pean</w:t>
            </w:r>
          </w:p>
          <w:p w:rsidR="00751A4A" w:rsidRPr="001B017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24E75">
              <w:t>2019</w:t>
            </w:r>
            <w:r w:rsidRPr="001B017E">
              <w:t>-</w:t>
            </w:r>
            <w:r w:rsidRPr="00224E7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B017E" w:rsidRDefault="00187494" w:rsidP="0010095E">
            <w:pPr>
              <w:pStyle w:val="EPLogo"/>
            </w:pPr>
            <w:r w:rsidRPr="001B017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B017E" w:rsidRDefault="00D058B8" w:rsidP="004C5D52">
      <w:pPr>
        <w:pStyle w:val="LineTop"/>
      </w:pPr>
    </w:p>
    <w:p w:rsidR="00680577" w:rsidRPr="001B017E" w:rsidRDefault="008A771D" w:rsidP="00680577">
      <w:pPr>
        <w:pStyle w:val="EPBodyTA1"/>
      </w:pPr>
      <w:r w:rsidRPr="001B017E">
        <w:t>TEXTE ADOPTATE</w:t>
      </w:r>
    </w:p>
    <w:p w:rsidR="00D058B8" w:rsidRPr="001B017E" w:rsidRDefault="00D058B8" w:rsidP="00D058B8">
      <w:pPr>
        <w:pStyle w:val="LineBottom"/>
      </w:pPr>
    </w:p>
    <w:p w:rsidR="008A771D" w:rsidRPr="001B017E" w:rsidRDefault="008A771D" w:rsidP="008A771D">
      <w:pPr>
        <w:pStyle w:val="ATHeading1"/>
      </w:pPr>
      <w:bookmarkStart w:id="1" w:name="TANumber"/>
      <w:r w:rsidRPr="001B017E">
        <w:t>P</w:t>
      </w:r>
      <w:r w:rsidRPr="00224E75">
        <w:t>9</w:t>
      </w:r>
      <w:r w:rsidRPr="001B017E">
        <w:t>_TA(</w:t>
      </w:r>
      <w:r w:rsidRPr="00224E75">
        <w:t>2024</w:t>
      </w:r>
      <w:r w:rsidRPr="001B017E">
        <w:t>)</w:t>
      </w:r>
      <w:r w:rsidRPr="00224E75">
        <w:t>00</w:t>
      </w:r>
      <w:bookmarkEnd w:id="1"/>
      <w:r w:rsidR="0077637A" w:rsidRPr="00224E75">
        <w:t>85</w:t>
      </w:r>
    </w:p>
    <w:p w:rsidR="008A771D" w:rsidRPr="001B017E" w:rsidRDefault="002215BD" w:rsidP="008A771D">
      <w:pPr>
        <w:pStyle w:val="ATHeading2"/>
      </w:pPr>
      <w:bookmarkStart w:id="2" w:name="title"/>
      <w:r w:rsidRPr="001B017E">
        <w:rPr>
          <w:bCs/>
        </w:rPr>
        <w:t>Protecția jurnaliștilor și a apărătorilor drepturilor omului împotriva procedurilor judiciare vădit nefondate sau abuzive</w:t>
      </w:r>
      <w:bookmarkEnd w:id="2"/>
    </w:p>
    <w:p w:rsidR="008A771D" w:rsidRPr="001B017E" w:rsidRDefault="008A771D" w:rsidP="008A771D">
      <w:pPr>
        <w:rPr>
          <w:i/>
          <w:vanish/>
        </w:rPr>
      </w:pPr>
      <w:r w:rsidRPr="001B017E">
        <w:rPr>
          <w:i/>
        </w:rPr>
        <w:fldChar w:fldCharType="begin"/>
      </w:r>
      <w:r w:rsidRPr="001B017E">
        <w:rPr>
          <w:i/>
        </w:rPr>
        <w:instrText xml:space="preserve"> TC"(</w:instrText>
      </w:r>
      <w:bookmarkStart w:id="3" w:name="DocNumber"/>
      <w:r w:rsidRPr="001B017E">
        <w:rPr>
          <w:i/>
        </w:rPr>
        <w:instrText>A</w:instrText>
      </w:r>
      <w:r w:rsidRPr="00224E75">
        <w:rPr>
          <w:i/>
        </w:rPr>
        <w:instrText>9</w:instrText>
      </w:r>
      <w:r w:rsidRPr="001B017E">
        <w:rPr>
          <w:i/>
        </w:rPr>
        <w:instrText>-</w:instrText>
      </w:r>
      <w:r w:rsidRPr="00224E75">
        <w:rPr>
          <w:i/>
        </w:rPr>
        <w:instrText>0223</w:instrText>
      </w:r>
      <w:r w:rsidRPr="001B017E">
        <w:rPr>
          <w:i/>
        </w:rPr>
        <w:instrText>/</w:instrText>
      </w:r>
      <w:r w:rsidRPr="00224E75">
        <w:rPr>
          <w:i/>
        </w:rPr>
        <w:instrText>2023</w:instrText>
      </w:r>
      <w:bookmarkEnd w:id="3"/>
      <w:r w:rsidRPr="001B017E">
        <w:rPr>
          <w:i/>
        </w:rPr>
        <w:instrText xml:space="preserve"> - Raportor: Tiemo Wölken)"\l</w:instrText>
      </w:r>
      <w:r w:rsidRPr="00224E75">
        <w:rPr>
          <w:i/>
        </w:rPr>
        <w:instrText>3</w:instrText>
      </w:r>
      <w:r w:rsidRPr="001B017E">
        <w:rPr>
          <w:i/>
        </w:rPr>
        <w:instrText xml:space="preserve"> \n&gt; \* MERGEFORMAT </w:instrText>
      </w:r>
      <w:r w:rsidRPr="001B017E">
        <w:rPr>
          <w:i/>
        </w:rPr>
        <w:fldChar w:fldCharType="end"/>
      </w:r>
    </w:p>
    <w:p w:rsidR="008A771D" w:rsidRPr="001B017E" w:rsidRDefault="008A771D" w:rsidP="008A771D">
      <w:pPr>
        <w:rPr>
          <w:vanish/>
        </w:rPr>
      </w:pPr>
      <w:bookmarkStart w:id="4" w:name="Commission"/>
      <w:r w:rsidRPr="001B017E">
        <w:rPr>
          <w:vanish/>
        </w:rPr>
        <w:t>Comisia pentru afaceri juridice</w:t>
      </w:r>
      <w:bookmarkEnd w:id="4"/>
    </w:p>
    <w:p w:rsidR="008A771D" w:rsidRPr="001B017E" w:rsidRDefault="008A771D" w:rsidP="008A771D">
      <w:pPr>
        <w:rPr>
          <w:vanish/>
        </w:rPr>
      </w:pPr>
      <w:bookmarkStart w:id="5" w:name="PE"/>
      <w:r w:rsidRPr="001B017E">
        <w:rPr>
          <w:vanish/>
        </w:rPr>
        <w:t>PE</w:t>
      </w:r>
      <w:r w:rsidRPr="00224E75">
        <w:rPr>
          <w:vanish/>
        </w:rPr>
        <w:t>745</w:t>
      </w:r>
      <w:r w:rsidRPr="001B017E">
        <w:rPr>
          <w:vanish/>
        </w:rPr>
        <w:t>.</w:t>
      </w:r>
      <w:r w:rsidRPr="00224E75">
        <w:rPr>
          <w:vanish/>
        </w:rPr>
        <w:t>170</w:t>
      </w:r>
      <w:bookmarkEnd w:id="5"/>
    </w:p>
    <w:p w:rsidR="008A771D" w:rsidRPr="001B017E" w:rsidRDefault="008A771D" w:rsidP="008A771D">
      <w:pPr>
        <w:pStyle w:val="ATHeading3"/>
      </w:pPr>
      <w:bookmarkStart w:id="6" w:name="Sujet"/>
      <w:r w:rsidRPr="001B017E">
        <w:t xml:space="preserve">Rezoluția legislativă a Parlamentului European din </w:t>
      </w:r>
      <w:r w:rsidR="00263802" w:rsidRPr="00224E75">
        <w:t>27</w:t>
      </w:r>
      <w:r w:rsidR="00263802" w:rsidRPr="001B017E">
        <w:t xml:space="preserve"> februarie</w:t>
      </w:r>
      <w:r w:rsidRPr="001B017E">
        <w:t xml:space="preserve"> </w:t>
      </w:r>
      <w:r w:rsidRPr="00224E75">
        <w:t>2024</w:t>
      </w:r>
      <w:r w:rsidRPr="001B017E">
        <w:t xml:space="preserve"> referito</w:t>
      </w:r>
      <w:r w:rsidR="00263802" w:rsidRPr="001B017E">
        <w:t>a</w:t>
      </w:r>
      <w:r w:rsidRPr="001B017E">
        <w:t>r</w:t>
      </w:r>
      <w:r w:rsidR="00263802" w:rsidRPr="001B017E">
        <w:t>e</w:t>
      </w:r>
      <w:r w:rsidRPr="001B017E">
        <w:t xml:space="preserve"> la propunerea de directivă a Parlamentului European și a Consiliului privind protecția persoanelor implicate în acțiuni de mobilizare publică împotriva procedurilor judiciare vădit nefondate sau abuzive („Acțiuni strategice în justiție împotriva mobilizării publice”)</w:t>
      </w:r>
      <w:bookmarkEnd w:id="6"/>
      <w:r w:rsidRPr="001B017E">
        <w:t xml:space="preserve"> </w:t>
      </w:r>
      <w:bookmarkStart w:id="7" w:name="References"/>
      <w:r w:rsidRPr="001B017E">
        <w:t>(COM(</w:t>
      </w:r>
      <w:r w:rsidRPr="00224E75">
        <w:t>2022</w:t>
      </w:r>
      <w:r w:rsidRPr="001B017E">
        <w:t>)</w:t>
      </w:r>
      <w:r w:rsidRPr="00224E75">
        <w:t>0177</w:t>
      </w:r>
      <w:r w:rsidRPr="001B017E">
        <w:t xml:space="preserve"> – C</w:t>
      </w:r>
      <w:r w:rsidRPr="00224E75">
        <w:t>9</w:t>
      </w:r>
      <w:r w:rsidRPr="001B017E">
        <w:t>-</w:t>
      </w:r>
      <w:r w:rsidRPr="00224E75">
        <w:t>0161</w:t>
      </w:r>
      <w:r w:rsidRPr="001B017E">
        <w:t>/</w:t>
      </w:r>
      <w:r w:rsidRPr="00224E75">
        <w:t>2022</w:t>
      </w:r>
      <w:r w:rsidRPr="001B017E">
        <w:t xml:space="preserve"> – </w:t>
      </w:r>
      <w:r w:rsidRPr="00224E75">
        <w:t>2022</w:t>
      </w:r>
      <w:r w:rsidRPr="001B017E">
        <w:t>/</w:t>
      </w:r>
      <w:r w:rsidRPr="00224E75">
        <w:t>0117</w:t>
      </w:r>
      <w:r w:rsidRPr="001B017E">
        <w:t>(COD))</w:t>
      </w:r>
      <w:bookmarkEnd w:id="7"/>
    </w:p>
    <w:p w:rsidR="007C62FE" w:rsidRPr="001B017E" w:rsidRDefault="007C62FE" w:rsidP="007C62FE">
      <w:pPr>
        <w:pStyle w:val="NormalBold"/>
      </w:pPr>
      <w:bookmarkStart w:id="8" w:name="TextBodyBegin"/>
      <w:bookmarkEnd w:id="8"/>
      <w:r w:rsidRPr="001B017E">
        <w:t>(Procedura legislativă ordinară: prima lectură)</w:t>
      </w:r>
    </w:p>
    <w:p w:rsidR="007C62FE" w:rsidRPr="001B017E" w:rsidRDefault="007C62FE" w:rsidP="007C62FE">
      <w:pPr>
        <w:pStyle w:val="EPComma"/>
      </w:pPr>
      <w:r w:rsidRPr="001B017E">
        <w:rPr>
          <w:i/>
          <w:iCs/>
        </w:rPr>
        <w:t>Parlamentul European</w:t>
      </w:r>
      <w:r w:rsidRPr="001B017E">
        <w:t>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 propunerea Comisiei prezentată Parlamentului European și Consiliului (COM(</w:t>
      </w:r>
      <w:r w:rsidRPr="00224E75">
        <w:t>2022</w:t>
      </w:r>
      <w:r w:rsidRPr="001B017E">
        <w:t>)</w:t>
      </w:r>
      <w:r w:rsidRPr="00224E75">
        <w:t>0177</w:t>
      </w:r>
      <w:r w:rsidRPr="001B017E">
        <w:t>),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</w:t>
      </w:r>
      <w:r w:rsidRPr="001B017E">
        <w:rPr>
          <w:snapToGrid w:val="0"/>
        </w:rPr>
        <w:t xml:space="preserve"> </w:t>
      </w:r>
      <w:r w:rsidRPr="001B017E">
        <w:t>articolul </w:t>
      </w:r>
      <w:r w:rsidRPr="00224E75">
        <w:t>294</w:t>
      </w:r>
      <w:r w:rsidRPr="001B017E">
        <w:t xml:space="preserve"> alineatul (</w:t>
      </w:r>
      <w:r w:rsidRPr="00224E75">
        <w:t>2</w:t>
      </w:r>
      <w:r w:rsidRPr="001B017E">
        <w:t>) și articolul </w:t>
      </w:r>
      <w:r w:rsidRPr="00224E75">
        <w:t>81</w:t>
      </w:r>
      <w:r w:rsidRPr="001B017E">
        <w:t xml:space="preserve"> alineatul (</w:t>
      </w:r>
      <w:r w:rsidRPr="00224E75">
        <w:t>2</w:t>
      </w:r>
      <w:r w:rsidRPr="001B017E">
        <w:t xml:space="preserve">) </w:t>
      </w:r>
      <w:r w:rsidR="00685731" w:rsidRPr="001B017E">
        <w:t xml:space="preserve">litera (f) </w:t>
      </w:r>
      <w:r w:rsidRPr="001B017E">
        <w:t>din Tratatul privind funcționarea Uniunii Europene, în temeiul cărora propunerea a fost prezentată Parlamentului de Comisie (C</w:t>
      </w:r>
      <w:r w:rsidRPr="00224E75">
        <w:t>9</w:t>
      </w:r>
      <w:r w:rsidRPr="001B017E">
        <w:noBreakHyphen/>
      </w:r>
      <w:r w:rsidRPr="00224E75">
        <w:t>0161</w:t>
      </w:r>
      <w:r w:rsidRPr="001B017E">
        <w:t>/</w:t>
      </w:r>
      <w:r w:rsidRPr="00224E75">
        <w:t>2022</w:t>
      </w:r>
      <w:r w:rsidRPr="001B017E">
        <w:t>),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 articolul </w:t>
      </w:r>
      <w:r w:rsidRPr="00224E75">
        <w:t>294</w:t>
      </w:r>
      <w:r w:rsidRPr="001B017E">
        <w:t xml:space="preserve"> alineatul (</w:t>
      </w:r>
      <w:r w:rsidRPr="00224E75">
        <w:t>3</w:t>
      </w:r>
      <w:r w:rsidRPr="001B017E">
        <w:t>) din Tratatul privind funcționarea Uniunii Europene,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 aviz</w:t>
      </w:r>
      <w:r w:rsidR="00483590" w:rsidRPr="001B017E">
        <w:t>ul</w:t>
      </w:r>
      <w:r w:rsidRPr="001B017E">
        <w:t xml:space="preserve"> motivat prezentat de către Senatul Franței în cadrul Protocolului nr. </w:t>
      </w:r>
      <w:r w:rsidRPr="00224E75">
        <w:t>2</w:t>
      </w:r>
      <w:r w:rsidRPr="001B017E">
        <w:t xml:space="preserve"> privind aplicarea principiilor subsidiarității și proporționalității, în care se susține că proiectul de act legislativ nu respectă principiul subsidiarității,</w:t>
      </w:r>
      <w:r w:rsidRPr="001B017E">
        <w:rPr>
          <w:rStyle w:val="FootnoteReference"/>
        </w:rPr>
        <w:t xml:space="preserve"> 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 xml:space="preserve">având în vedere avizul Comitetului Economic și Social European din </w:t>
      </w:r>
      <w:r w:rsidRPr="00224E75">
        <w:t>26</w:t>
      </w:r>
      <w:r w:rsidRPr="001B017E">
        <w:t xml:space="preserve"> octombrie </w:t>
      </w:r>
      <w:r w:rsidRPr="00224E75">
        <w:t>2022</w:t>
      </w:r>
      <w:r w:rsidRPr="001B017E">
        <w:rPr>
          <w:rStyle w:val="FootnoteReference"/>
        </w:rPr>
        <w:footnoteReference w:id="1"/>
      </w:r>
      <w:r w:rsidRPr="001B017E">
        <w:rPr>
          <w:b/>
        </w:rPr>
        <w:t xml:space="preserve">, </w:t>
      </w:r>
    </w:p>
    <w:p w:rsidR="0095204B" w:rsidRPr="001B017E" w:rsidRDefault="0095204B" w:rsidP="0095204B">
      <w:pPr>
        <w:pStyle w:val="NormalHanging12a"/>
        <w:widowControl/>
      </w:pPr>
      <w:r w:rsidRPr="001B017E">
        <w:t>–</w:t>
      </w:r>
      <w:r w:rsidRPr="001B017E">
        <w:tab/>
        <w:t xml:space="preserve">având în vedere acordul provizoriu aprobat de comisia competentă în temeiul articolului </w:t>
      </w:r>
      <w:r w:rsidRPr="00224E75">
        <w:t>74</w:t>
      </w:r>
      <w:r w:rsidRPr="001B017E">
        <w:t xml:space="preserve"> alineatul (</w:t>
      </w:r>
      <w:r w:rsidRPr="00224E75">
        <w:t>4</w:t>
      </w:r>
      <w:r w:rsidRPr="001B017E">
        <w:t xml:space="preserve">) din Regulamentul său de procedură și angajamentul reprezentantului Consiliului, exprimat în scrisoarea din </w:t>
      </w:r>
      <w:r w:rsidRPr="00224E75">
        <w:t>20</w:t>
      </w:r>
      <w:r w:rsidRPr="001B017E">
        <w:t xml:space="preserve"> decembrie </w:t>
      </w:r>
      <w:r w:rsidRPr="00224E75">
        <w:t>2023</w:t>
      </w:r>
      <w:r w:rsidRPr="001B017E">
        <w:t xml:space="preserve">, de a aproba poziția </w:t>
      </w:r>
      <w:r w:rsidRPr="001B017E">
        <w:lastRenderedPageBreak/>
        <w:t xml:space="preserve">Parlamentului în conformitate cu articolul </w:t>
      </w:r>
      <w:r w:rsidRPr="00224E75">
        <w:t>294</w:t>
      </w:r>
      <w:r w:rsidRPr="001B017E">
        <w:t xml:space="preserve"> alineatul (</w:t>
      </w:r>
      <w:r w:rsidRPr="00224E75">
        <w:t>4</w:t>
      </w:r>
      <w:r w:rsidRPr="001B017E">
        <w:t>) din Tratatul privind funcționarea Uniunii Europene,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 xml:space="preserve">având în vedere articolul </w:t>
      </w:r>
      <w:r w:rsidRPr="00224E75">
        <w:t>59</w:t>
      </w:r>
      <w:r w:rsidRPr="001B017E">
        <w:t xml:space="preserve"> din Regulamentul său de procedură,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 avizele Comisiei pentru libertăți civile, justiție și afaceri interne și al Comisiei pentru cultură și educație,</w:t>
      </w:r>
    </w:p>
    <w:p w:rsidR="007C62FE" w:rsidRPr="001B017E" w:rsidRDefault="007C62FE" w:rsidP="00263802">
      <w:pPr>
        <w:pStyle w:val="NormalHanging12a"/>
        <w:widowControl/>
      </w:pPr>
      <w:r w:rsidRPr="001B017E">
        <w:t>–</w:t>
      </w:r>
      <w:r w:rsidRPr="001B017E">
        <w:tab/>
        <w:t>având în vedere raportul Comisiei pentru afaceri juridice (A</w:t>
      </w:r>
      <w:r w:rsidRPr="00224E75">
        <w:t>9</w:t>
      </w:r>
      <w:r w:rsidRPr="001B017E">
        <w:t>-</w:t>
      </w:r>
      <w:r w:rsidRPr="00224E75">
        <w:t>0223</w:t>
      </w:r>
      <w:r w:rsidRPr="001B017E">
        <w:t>/</w:t>
      </w:r>
      <w:r w:rsidRPr="00224E75">
        <w:t>2023</w:t>
      </w:r>
      <w:r w:rsidRPr="001B017E">
        <w:t>),</w:t>
      </w:r>
    </w:p>
    <w:p w:rsidR="007C62FE" w:rsidRPr="001B017E" w:rsidRDefault="007C62FE" w:rsidP="00263802">
      <w:pPr>
        <w:pStyle w:val="NormalHanging12a"/>
        <w:widowControl/>
      </w:pPr>
      <w:r w:rsidRPr="00224E75">
        <w:t>1</w:t>
      </w:r>
      <w:r w:rsidRPr="001B017E">
        <w:t>.</w:t>
      </w:r>
      <w:r w:rsidRPr="001B017E">
        <w:tab/>
        <w:t>adoptă poziția sa în primă lectură prezentată în continuare</w:t>
      </w:r>
      <w:r w:rsidR="006712B8" w:rsidRPr="001B017E">
        <w:rPr>
          <w:rStyle w:val="FootnoteReference"/>
        </w:rPr>
        <w:footnoteReference w:id="2"/>
      </w:r>
      <w:r w:rsidRPr="001B017E">
        <w:t>;</w:t>
      </w:r>
    </w:p>
    <w:p w:rsidR="007C62FE" w:rsidRPr="001B017E" w:rsidRDefault="007C62FE" w:rsidP="00263802">
      <w:pPr>
        <w:pStyle w:val="NormalHanging12a"/>
        <w:widowControl/>
      </w:pPr>
      <w:r w:rsidRPr="00224E75">
        <w:t>2</w:t>
      </w:r>
      <w:r w:rsidRPr="001B017E">
        <w:t>.</w:t>
      </w:r>
      <w:r w:rsidRPr="001B017E">
        <w:tab/>
        <w:t xml:space="preserve">propune ca acest act legislativ să fie denumit „Directiva </w:t>
      </w:r>
      <w:proofErr w:type="spellStart"/>
      <w:r w:rsidRPr="001B017E">
        <w:t>Wölken-</w:t>
      </w:r>
      <w:r w:rsidR="0095204B" w:rsidRPr="001B017E">
        <w:t>Bolaños</w:t>
      </w:r>
      <w:proofErr w:type="spellEnd"/>
      <w:r w:rsidR="0095204B" w:rsidRPr="001B017E">
        <w:t xml:space="preserve"> </w:t>
      </w:r>
      <w:proofErr w:type="spellStart"/>
      <w:r w:rsidR="0095204B" w:rsidRPr="001B017E">
        <w:t>García</w:t>
      </w:r>
      <w:proofErr w:type="spellEnd"/>
      <w:r w:rsidRPr="001B017E">
        <w:t xml:space="preserve"> privind protecția persoanelor implicate în acțiuni de mobilizare publică împotriva procedurilor judiciare vădit nefondate sau abuzive („Acțiuni strategice în justiție împotriva mobilizării publice”)”</w:t>
      </w:r>
      <w:r w:rsidRPr="001B017E">
        <w:rPr>
          <w:rStyle w:val="FootnoteReference"/>
        </w:rPr>
        <w:footnoteReference w:id="3"/>
      </w:r>
      <w:r w:rsidRPr="001B017E">
        <w:t>;</w:t>
      </w:r>
    </w:p>
    <w:p w:rsidR="007C62FE" w:rsidRPr="001B017E" w:rsidRDefault="007C62FE" w:rsidP="00263802">
      <w:pPr>
        <w:pStyle w:val="NormalHanging12a"/>
        <w:widowControl/>
      </w:pPr>
      <w:r w:rsidRPr="00224E75">
        <w:t>3</w:t>
      </w:r>
      <w:r w:rsidRPr="001B017E">
        <w:t>.</w:t>
      </w:r>
      <w:r w:rsidRPr="001B017E">
        <w:tab/>
        <w:t>solicită Comisiei să îl sesizeze din nou în cazul în care își înlocuiește, își modifică în mod substanțial sau intenționează să-și modifice în mod substanțial propunerea;</w:t>
      </w:r>
    </w:p>
    <w:p w:rsidR="007C62FE" w:rsidRPr="001B017E" w:rsidRDefault="007C62FE" w:rsidP="00263802">
      <w:pPr>
        <w:pStyle w:val="NormalHanging12a"/>
        <w:widowControl/>
      </w:pPr>
      <w:r w:rsidRPr="00224E75">
        <w:t>4</w:t>
      </w:r>
      <w:r w:rsidRPr="001B017E">
        <w:t>.</w:t>
      </w:r>
      <w:r w:rsidRPr="001B017E">
        <w:tab/>
        <w:t>încredințează Președintei sarcina de a transmite Consiliului și Comisiei, precum și parlamentelor naționale poziția Parlamentului.</w:t>
      </w:r>
    </w:p>
    <w:p w:rsidR="007C62FE" w:rsidRPr="001B017E" w:rsidRDefault="007C62FE" w:rsidP="007C62FE"/>
    <w:p w:rsidR="0095204B" w:rsidRPr="001B017E" w:rsidRDefault="0095204B" w:rsidP="008A771D">
      <w:pPr>
        <w:sectPr w:rsidR="0095204B" w:rsidRPr="001B017E" w:rsidSect="005A09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9" w:name="TextBodyEnd"/>
      <w:bookmarkEnd w:id="9"/>
    </w:p>
    <w:p w:rsidR="0095204B" w:rsidRPr="001B017E" w:rsidRDefault="0095204B" w:rsidP="0077637A">
      <w:pPr>
        <w:spacing w:before="120" w:after="240"/>
        <w:rPr>
          <w:b/>
        </w:rPr>
      </w:pPr>
      <w:r w:rsidRPr="001B017E">
        <w:rPr>
          <w:b/>
        </w:rPr>
        <w:lastRenderedPageBreak/>
        <w:t>P</w:t>
      </w:r>
      <w:r w:rsidRPr="00224E75">
        <w:rPr>
          <w:b/>
        </w:rPr>
        <w:t>9</w:t>
      </w:r>
      <w:r w:rsidRPr="001B017E">
        <w:rPr>
          <w:b/>
        </w:rPr>
        <w:t>_TC</w:t>
      </w:r>
      <w:r w:rsidRPr="00224E75">
        <w:rPr>
          <w:b/>
        </w:rPr>
        <w:t>1</w:t>
      </w:r>
      <w:r w:rsidRPr="001B017E">
        <w:rPr>
          <w:b/>
        </w:rPr>
        <w:t>-COD(</w:t>
      </w:r>
      <w:r w:rsidRPr="00224E75">
        <w:rPr>
          <w:b/>
        </w:rPr>
        <w:t>2022</w:t>
      </w:r>
      <w:r w:rsidRPr="001B017E">
        <w:rPr>
          <w:b/>
        </w:rPr>
        <w:t>)</w:t>
      </w:r>
      <w:r w:rsidRPr="00224E75">
        <w:rPr>
          <w:b/>
        </w:rPr>
        <w:t>0117</w:t>
      </w:r>
    </w:p>
    <w:p w:rsidR="0095204B" w:rsidRPr="001B017E" w:rsidRDefault="0095204B" w:rsidP="0077637A">
      <w:pPr>
        <w:spacing w:before="120" w:after="240"/>
        <w:rPr>
          <w:b/>
          <w:i/>
          <w:iCs/>
        </w:rPr>
      </w:pPr>
      <w:r w:rsidRPr="001B017E">
        <w:rPr>
          <w:b/>
        </w:rPr>
        <w:t xml:space="preserve">Poziția Parlamentului European adoptată în primă lectură la </w:t>
      </w:r>
      <w:r w:rsidRPr="00224E75">
        <w:rPr>
          <w:b/>
        </w:rPr>
        <w:t>27</w:t>
      </w:r>
      <w:r w:rsidRPr="001B017E">
        <w:rPr>
          <w:b/>
        </w:rPr>
        <w:t xml:space="preserve"> februarie </w:t>
      </w:r>
      <w:r w:rsidRPr="00224E75">
        <w:rPr>
          <w:b/>
        </w:rPr>
        <w:t>2024</w:t>
      </w:r>
      <w:r w:rsidRPr="001B017E">
        <w:rPr>
          <w:b/>
        </w:rPr>
        <w:t xml:space="preserve"> în vederea adoptării Directivei (UE) </w:t>
      </w:r>
      <w:r w:rsidRPr="00224E75">
        <w:rPr>
          <w:b/>
        </w:rPr>
        <w:t>2024</w:t>
      </w:r>
      <w:r w:rsidRPr="001B017E">
        <w:rPr>
          <w:b/>
        </w:rPr>
        <w:t xml:space="preserve">/... a Parlamentului European și a Consiliului privind protecția împotriva </w:t>
      </w:r>
      <w:r w:rsidRPr="007D05FF">
        <w:rPr>
          <w:b/>
        </w:rPr>
        <w:t>cererilor</w:t>
      </w:r>
      <w:r w:rsidRPr="001B017E">
        <w:rPr>
          <w:b/>
        </w:rPr>
        <w:t xml:space="preserve"> vădit neîntemeiate sau a procedurilor judiciare abuzive împotriva persoanelor implicate în acțiuni de mobilizare publică</w:t>
      </w:r>
      <w:r w:rsidR="00483590" w:rsidRPr="001B017E">
        <w:rPr>
          <w:b/>
        </w:rPr>
        <w:t xml:space="preserve"> </w:t>
      </w:r>
      <w:r w:rsidRPr="001B017E">
        <w:rPr>
          <w:b/>
        </w:rPr>
        <w:t>(„acțiuni strategice în justiție împotriva mobilizării publice”)</w:t>
      </w:r>
    </w:p>
    <w:p w:rsidR="007D05FF" w:rsidRDefault="007D05FF" w:rsidP="007D05FF">
      <w:pPr>
        <w:spacing w:before="120"/>
        <w:rPr>
          <w:rStyle w:val="ATHeading3Char"/>
          <w:b w:val="0"/>
          <w:i/>
        </w:rPr>
      </w:pPr>
    </w:p>
    <w:p w:rsidR="007D05FF" w:rsidRPr="007D05FF" w:rsidRDefault="007D05FF" w:rsidP="007D05FF">
      <w:pPr>
        <w:spacing w:before="120"/>
        <w:rPr>
          <w:rStyle w:val="ATHeading3Char"/>
          <w:b w:val="0"/>
          <w:i/>
        </w:rPr>
      </w:pPr>
      <w:r w:rsidRPr="007D05FF">
        <w:rPr>
          <w:rStyle w:val="ATHeading3Char"/>
          <w:b w:val="0"/>
          <w:i/>
        </w:rPr>
        <w:t>(Întrucât s-a ajuns la un acord între Parlament și Consiliu, poziția Parlamentului corespunde cu actul legislativ final, Directiva (UE) 2024/</w:t>
      </w:r>
      <w:r>
        <w:rPr>
          <w:rStyle w:val="ATHeading3Char"/>
          <w:b w:val="0"/>
          <w:i/>
        </w:rPr>
        <w:t>1069</w:t>
      </w:r>
      <w:r w:rsidRPr="007D05FF">
        <w:rPr>
          <w:rStyle w:val="ATHeading3Char"/>
          <w:b w:val="0"/>
          <w:i/>
        </w:rPr>
        <w:t>.)</w:t>
      </w:r>
    </w:p>
    <w:p w:rsidR="00E365E1" w:rsidRPr="001B017E" w:rsidRDefault="00E365E1" w:rsidP="00224E75">
      <w:pPr>
        <w:tabs>
          <w:tab w:val="left" w:pos="5103"/>
        </w:tabs>
        <w:spacing w:before="120" w:after="120" w:line="360" w:lineRule="auto"/>
      </w:pPr>
    </w:p>
    <w:sectPr w:rsidR="00E365E1" w:rsidRPr="001B017E" w:rsidSect="005A09C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04B" w:rsidRPr="005A09C3" w:rsidRDefault="0095204B">
      <w:r w:rsidRPr="005A09C3">
        <w:separator/>
      </w:r>
    </w:p>
  </w:endnote>
  <w:endnote w:type="continuationSeparator" w:id="0">
    <w:p w:rsidR="0095204B" w:rsidRPr="005A09C3" w:rsidRDefault="0095204B">
      <w:r w:rsidRPr="005A09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04B" w:rsidRPr="005A09C3" w:rsidRDefault="0095204B">
      <w:r w:rsidRPr="005A09C3">
        <w:separator/>
      </w:r>
    </w:p>
  </w:footnote>
  <w:footnote w:type="continuationSeparator" w:id="0">
    <w:p w:rsidR="0095204B" w:rsidRPr="005A09C3" w:rsidRDefault="0095204B">
      <w:r w:rsidRPr="005A09C3">
        <w:continuationSeparator/>
      </w:r>
    </w:p>
  </w:footnote>
  <w:footnote w:id="1">
    <w:p w:rsidR="0095204B" w:rsidRPr="007D05FF" w:rsidRDefault="0095204B" w:rsidP="005A09C3">
      <w:pPr>
        <w:pStyle w:val="FootnoteText"/>
        <w:ind w:left="567" w:hanging="567"/>
        <w:rPr>
          <w:sz w:val="24"/>
          <w:lang w:val="ro-RO"/>
        </w:rPr>
      </w:pPr>
      <w:r w:rsidRPr="007D05FF">
        <w:rPr>
          <w:rStyle w:val="FootnoteReference"/>
          <w:sz w:val="24"/>
          <w:lang w:val="ro-RO"/>
        </w:rPr>
        <w:footnoteRef/>
      </w:r>
      <w:r w:rsidRPr="007D05FF">
        <w:rPr>
          <w:sz w:val="24"/>
          <w:lang w:val="ro-RO"/>
        </w:rPr>
        <w:t xml:space="preserve"> </w:t>
      </w:r>
      <w:r w:rsidRPr="007D05FF">
        <w:rPr>
          <w:sz w:val="24"/>
          <w:lang w:val="ro-RO"/>
        </w:rPr>
        <w:tab/>
        <w:t>JO C 75, 28.2.2023, p. 143.</w:t>
      </w:r>
    </w:p>
  </w:footnote>
  <w:footnote w:id="2">
    <w:p w:rsidR="006712B8" w:rsidRPr="007D05FF" w:rsidRDefault="006712B8" w:rsidP="006712B8">
      <w:pPr>
        <w:pStyle w:val="FootnoteText"/>
        <w:ind w:left="567" w:hanging="567"/>
        <w:rPr>
          <w:sz w:val="24"/>
          <w:szCs w:val="24"/>
          <w:lang w:val="ro-RO"/>
        </w:rPr>
      </w:pPr>
      <w:r w:rsidRPr="007D05FF">
        <w:rPr>
          <w:rStyle w:val="FootnoteReference"/>
          <w:sz w:val="24"/>
          <w:szCs w:val="24"/>
          <w:lang w:val="ro-RO"/>
        </w:rPr>
        <w:footnoteRef/>
      </w:r>
      <w:r w:rsidRPr="007D05FF">
        <w:rPr>
          <w:sz w:val="24"/>
          <w:szCs w:val="24"/>
          <w:lang w:val="ro-RO"/>
        </w:rPr>
        <w:t xml:space="preserve"> </w:t>
      </w:r>
      <w:r w:rsidRPr="007D05FF">
        <w:rPr>
          <w:sz w:val="24"/>
          <w:szCs w:val="24"/>
          <w:lang w:val="ro-RO"/>
        </w:rPr>
        <w:tab/>
      </w:r>
      <w:r w:rsidRPr="007D05FF">
        <w:rPr>
          <w:sz w:val="24"/>
          <w:szCs w:val="24"/>
          <w:lang w:val="ro-RO"/>
        </w:rPr>
        <w:t xml:space="preserve">Prezenta </w:t>
      </w:r>
      <w:r w:rsidR="007D05FF" w:rsidRPr="007D05FF">
        <w:rPr>
          <w:sz w:val="24"/>
          <w:szCs w:val="24"/>
          <w:lang w:val="ro-RO"/>
        </w:rPr>
        <w:t>poziție</w:t>
      </w:r>
      <w:r w:rsidRPr="007D05FF">
        <w:rPr>
          <w:sz w:val="24"/>
          <w:szCs w:val="24"/>
          <w:lang w:val="ro-RO"/>
        </w:rPr>
        <w:t xml:space="preserve"> </w:t>
      </w:r>
      <w:r w:rsidR="007D05FF" w:rsidRPr="007D05FF">
        <w:rPr>
          <w:sz w:val="24"/>
          <w:szCs w:val="24"/>
          <w:lang w:val="ro-RO"/>
        </w:rPr>
        <w:t>înlocuiește</w:t>
      </w:r>
      <w:r w:rsidRPr="007D05FF">
        <w:rPr>
          <w:sz w:val="24"/>
          <w:szCs w:val="24"/>
          <w:lang w:val="ro-RO"/>
        </w:rPr>
        <w:t xml:space="preserve"> amendamentele adoptate la 11 iulie 2023 (Texte adoptate, P9_TA(2023)0264).</w:t>
      </w:r>
    </w:p>
  </w:footnote>
  <w:footnote w:id="3">
    <w:p w:rsidR="0095204B" w:rsidRPr="007D05FF" w:rsidRDefault="0095204B" w:rsidP="005A09C3">
      <w:pPr>
        <w:pStyle w:val="FootnoteText"/>
        <w:ind w:left="567" w:hanging="567"/>
        <w:rPr>
          <w:sz w:val="24"/>
          <w:lang w:val="ro-RO"/>
        </w:rPr>
      </w:pPr>
      <w:r w:rsidRPr="007D05FF">
        <w:rPr>
          <w:rStyle w:val="FootnoteReference"/>
          <w:sz w:val="24"/>
          <w:lang w:val="ro-RO"/>
        </w:rPr>
        <w:footnoteRef/>
      </w:r>
      <w:r w:rsidRPr="007D05FF">
        <w:rPr>
          <w:sz w:val="24"/>
          <w:lang w:val="ro-RO"/>
        </w:rPr>
        <w:t xml:space="preserve"> </w:t>
      </w:r>
      <w:r w:rsidRPr="007D05FF">
        <w:rPr>
          <w:sz w:val="24"/>
          <w:lang w:val="ro-RO"/>
        </w:rPr>
        <w:tab/>
      </w:r>
      <w:proofErr w:type="spellStart"/>
      <w:r w:rsidRPr="007D05FF">
        <w:rPr>
          <w:sz w:val="24"/>
          <w:lang w:val="ro-RO"/>
        </w:rPr>
        <w:t>Tiemo</w:t>
      </w:r>
      <w:proofErr w:type="spellEnd"/>
      <w:r w:rsidRPr="007D05FF">
        <w:rPr>
          <w:sz w:val="24"/>
          <w:lang w:val="ro-RO"/>
        </w:rPr>
        <w:t xml:space="preserve"> </w:t>
      </w:r>
      <w:proofErr w:type="spellStart"/>
      <w:r w:rsidRPr="007D05FF">
        <w:rPr>
          <w:sz w:val="24"/>
          <w:lang w:val="ro-RO"/>
        </w:rPr>
        <w:t>Wölken</w:t>
      </w:r>
      <w:proofErr w:type="spellEnd"/>
      <w:r w:rsidRPr="007D05FF">
        <w:rPr>
          <w:sz w:val="24"/>
          <w:lang w:val="ro-RO"/>
        </w:rPr>
        <w:t xml:space="preserve"> și </w:t>
      </w:r>
      <w:proofErr w:type="spellStart"/>
      <w:r w:rsidRPr="007D05FF">
        <w:rPr>
          <w:sz w:val="24"/>
          <w:lang w:val="ro-RO"/>
        </w:rPr>
        <w:t>Félix</w:t>
      </w:r>
      <w:proofErr w:type="spellEnd"/>
      <w:r w:rsidRPr="007D05FF">
        <w:rPr>
          <w:sz w:val="24"/>
          <w:lang w:val="ro-RO"/>
        </w:rPr>
        <w:t xml:space="preserve"> </w:t>
      </w:r>
      <w:proofErr w:type="spellStart"/>
      <w:r w:rsidRPr="007D05FF">
        <w:rPr>
          <w:sz w:val="24"/>
          <w:lang w:val="ro-RO"/>
        </w:rPr>
        <w:t>Bolaños</w:t>
      </w:r>
      <w:proofErr w:type="spellEnd"/>
      <w:r w:rsidRPr="007D05FF">
        <w:rPr>
          <w:sz w:val="24"/>
          <w:lang w:val="ro-RO"/>
        </w:rPr>
        <w:t xml:space="preserve"> </w:t>
      </w:r>
      <w:proofErr w:type="spellStart"/>
      <w:r w:rsidRPr="007D05FF">
        <w:rPr>
          <w:sz w:val="24"/>
          <w:lang w:val="ro-RO"/>
        </w:rPr>
        <w:t>García</w:t>
      </w:r>
      <w:proofErr w:type="spellEnd"/>
      <w:r w:rsidRPr="007D05FF">
        <w:rPr>
          <w:sz w:val="24"/>
          <w:lang w:val="ro-RO"/>
        </w:rPr>
        <w:t xml:space="preserve"> au condus negocierile pentru actul în cauză în numele Parlamentului și, respectiv, al Consiliului.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04B" w:rsidRPr="005A09C3" w:rsidRDefault="009520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RO"/>
    <w:docVar w:name="dvnumam" w:val="212"/>
    <w:docVar w:name="dvpe" w:val="745.170"/>
    <w:docVar w:name="dvrapporteur" w:val="Raportor: "/>
    <w:docVar w:name="dvstar" w:val="***I"/>
    <w:docVar w:name="dvtitre" w:val="Rezoluția legislativă a Parlamentului European din ... 2024 referitor la propunerea de directivă a Parlamentului European și a Consiliului privind protecția persoanelor implicate în acțiuni de mobilizare publică împotriva procedurilor judiciare vădit nefondate sau abuzive („Acțiuni strategice în justiție împotriva mobilizării publice”)(COM(2022)0177 – C9-0161/2022 – 2022/0117(COD))"/>
  </w:docVars>
  <w:rsids>
    <w:rsidRoot w:val="008A771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12D0"/>
    <w:rsid w:val="001B017E"/>
    <w:rsid w:val="001F32AE"/>
    <w:rsid w:val="002215BD"/>
    <w:rsid w:val="00224E75"/>
    <w:rsid w:val="00263802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3590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09C3"/>
    <w:rsid w:val="005C2568"/>
    <w:rsid w:val="006037C0"/>
    <w:rsid w:val="006631B6"/>
    <w:rsid w:val="006712B8"/>
    <w:rsid w:val="00680577"/>
    <w:rsid w:val="00685731"/>
    <w:rsid w:val="006F74FA"/>
    <w:rsid w:val="00731ADD"/>
    <w:rsid w:val="00734777"/>
    <w:rsid w:val="00747932"/>
    <w:rsid w:val="00751A4A"/>
    <w:rsid w:val="00756632"/>
    <w:rsid w:val="00762C74"/>
    <w:rsid w:val="0077637A"/>
    <w:rsid w:val="00786EC0"/>
    <w:rsid w:val="007C62FE"/>
    <w:rsid w:val="007D05FF"/>
    <w:rsid w:val="007D1690"/>
    <w:rsid w:val="007E22AD"/>
    <w:rsid w:val="00817416"/>
    <w:rsid w:val="00842779"/>
    <w:rsid w:val="00865F67"/>
    <w:rsid w:val="00881A7B"/>
    <w:rsid w:val="008840E5"/>
    <w:rsid w:val="00887B3E"/>
    <w:rsid w:val="008A771D"/>
    <w:rsid w:val="008C2AC6"/>
    <w:rsid w:val="00930C23"/>
    <w:rsid w:val="0093193B"/>
    <w:rsid w:val="009509D8"/>
    <w:rsid w:val="00950B64"/>
    <w:rsid w:val="0095204B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5C27"/>
    <w:rsid w:val="00C941CB"/>
    <w:rsid w:val="00CC2357"/>
    <w:rsid w:val="00CF071A"/>
    <w:rsid w:val="00D058B8"/>
    <w:rsid w:val="00D540B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134C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96F32"/>
  <w15:chartTrackingRefBased/>
  <w15:docId w15:val="{082D7907-FA67-49E0-AF16-E968895B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C62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C62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C62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C62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C62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C62FE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7C62FE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7C62FE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7C62FE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7C62F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C62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C62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C62FE"/>
    <w:pPr>
      <w:spacing w:after="120"/>
    </w:pPr>
  </w:style>
  <w:style w:type="paragraph" w:customStyle="1" w:styleId="PageHeading">
    <w:name w:val="PageHeading"/>
    <w:basedOn w:val="Normal"/>
    <w:rsid w:val="007C62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C62F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C62FE"/>
    <w:rPr>
      <w:b/>
      <w:sz w:val="24"/>
      <w:lang w:val="ro-RO"/>
    </w:rPr>
  </w:style>
  <w:style w:type="paragraph" w:customStyle="1" w:styleId="NormalBold12a">
    <w:name w:val="NormalBold12a"/>
    <w:basedOn w:val="Normal"/>
    <w:rsid w:val="007C62FE"/>
    <w:pPr>
      <w:spacing w:after="240"/>
    </w:pPr>
    <w:rPr>
      <w:b/>
    </w:rPr>
  </w:style>
  <w:style w:type="paragraph" w:customStyle="1" w:styleId="AmJustText">
    <w:name w:val="AmJustText"/>
    <w:basedOn w:val="Normal"/>
    <w:rsid w:val="007C62F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C62F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C62FE"/>
    <w:pPr>
      <w:spacing w:after="480"/>
      <w:ind w:left="1417"/>
    </w:pPr>
  </w:style>
  <w:style w:type="paragraph" w:customStyle="1" w:styleId="CoverNormal">
    <w:name w:val="CoverNormal"/>
    <w:basedOn w:val="Normal"/>
    <w:rsid w:val="007C62FE"/>
    <w:pPr>
      <w:ind w:left="1418"/>
    </w:pPr>
  </w:style>
  <w:style w:type="paragraph" w:customStyle="1" w:styleId="AmCrossRef">
    <w:name w:val="AmCrossRef"/>
    <w:basedOn w:val="Normal"/>
    <w:rsid w:val="007C62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C62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C62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C62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C62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C62FE"/>
    <w:pPr>
      <w:spacing w:before="240" w:after="1200"/>
    </w:pPr>
  </w:style>
  <w:style w:type="paragraph" w:styleId="Header">
    <w:name w:val="header"/>
    <w:basedOn w:val="Normal"/>
    <w:link w:val="HeaderChar"/>
    <w:rsid w:val="007C62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C62FE"/>
    <w:rPr>
      <w:sz w:val="24"/>
      <w:lang w:val="ro-RO"/>
    </w:rPr>
  </w:style>
  <w:style w:type="paragraph" w:customStyle="1" w:styleId="AmOrLang">
    <w:name w:val="AmOrLang"/>
    <w:basedOn w:val="Normal"/>
    <w:rsid w:val="007C62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C62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C62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C62FE"/>
    <w:pPr>
      <w:spacing w:before="240"/>
    </w:pPr>
    <w:rPr>
      <w:b/>
    </w:rPr>
  </w:style>
  <w:style w:type="paragraph" w:customStyle="1" w:styleId="EPBody">
    <w:name w:val="EPBody"/>
    <w:basedOn w:val="Normal"/>
    <w:rsid w:val="007C62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C62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C62FE"/>
    <w:pPr>
      <w:spacing w:before="480" w:after="240"/>
    </w:pPr>
  </w:style>
  <w:style w:type="paragraph" w:customStyle="1" w:styleId="Lgendesigne">
    <w:name w:val="Légende signe"/>
    <w:basedOn w:val="Normal"/>
    <w:rsid w:val="007C62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C62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C62FE"/>
    <w:rPr>
      <w:sz w:val="18"/>
    </w:rPr>
  </w:style>
  <w:style w:type="paragraph" w:customStyle="1" w:styleId="AmHeadingPA">
    <w:name w:val="AmHeadingPA"/>
    <w:basedOn w:val="Normal"/>
    <w:next w:val="Normal"/>
    <w:rsid w:val="007C62F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7C62FE"/>
    <w:rPr>
      <w:noProof/>
      <w:sz w:val="24"/>
    </w:rPr>
  </w:style>
  <w:style w:type="paragraph" w:customStyle="1" w:styleId="Normal12">
    <w:name w:val="Normal12"/>
    <w:basedOn w:val="Normal"/>
    <w:link w:val="Normal12Char"/>
    <w:rsid w:val="007C62F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7C62F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7C62FE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7C62FE"/>
    <w:rPr>
      <w:i/>
      <w:lang w:val="fr-FR"/>
    </w:rPr>
  </w:style>
  <w:style w:type="paragraph" w:customStyle="1" w:styleId="msonormal0">
    <w:name w:val="msonormal"/>
    <w:basedOn w:val="Normal"/>
    <w:rsid w:val="007C62FE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7C62F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C62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7C62FE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7C62FE"/>
    <w:pPr>
      <w:spacing w:before="240" w:after="240"/>
      <w:jc w:val="right"/>
    </w:pPr>
    <w:rPr>
      <w:noProof/>
      <w:szCs w:val="24"/>
      <w:lang w:val="fr-FR"/>
    </w:rPr>
  </w:style>
  <w:style w:type="character" w:styleId="CommentReference">
    <w:name w:val="annotation reference"/>
    <w:basedOn w:val="DefaultParagraphFont"/>
    <w:rsid w:val="007C62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62F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C62F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C6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C62FE"/>
    <w:rPr>
      <w:b/>
      <w:bCs/>
      <w:lang w:val="ro-RO"/>
    </w:rPr>
  </w:style>
  <w:style w:type="paragraph" w:styleId="BalloonText">
    <w:name w:val="Balloon Text"/>
    <w:basedOn w:val="Normal"/>
    <w:link w:val="BalloonTextChar"/>
    <w:unhideWhenUsed/>
    <w:rsid w:val="007C6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C62FE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rsid w:val="007C62F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C62FE"/>
    <w:rPr>
      <w:sz w:val="24"/>
    </w:rPr>
  </w:style>
  <w:style w:type="paragraph" w:customStyle="1" w:styleId="Normal12a">
    <w:name w:val="Normal12a"/>
    <w:basedOn w:val="Normal"/>
    <w:rsid w:val="007C62FE"/>
    <w:pPr>
      <w:spacing w:after="240"/>
    </w:pPr>
  </w:style>
  <w:style w:type="paragraph" w:customStyle="1" w:styleId="PageHeadingNotTOC">
    <w:name w:val="PageHeadingNotTOC"/>
    <w:basedOn w:val="Normal"/>
    <w:rsid w:val="007C62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7C62FE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7C62FE"/>
    <w:rPr>
      <w:b/>
    </w:rPr>
  </w:style>
  <w:style w:type="character" w:customStyle="1" w:styleId="BoldItalic">
    <w:name w:val="BoldItalic"/>
    <w:uiPriority w:val="1"/>
    <w:rsid w:val="007C62FE"/>
    <w:rPr>
      <w:b/>
      <w:i/>
      <w:u w:val="none"/>
    </w:rPr>
  </w:style>
  <w:style w:type="paragraph" w:customStyle="1" w:styleId="CoverNormal12a">
    <w:name w:val="CoverNormal12a"/>
    <w:basedOn w:val="Normal"/>
    <w:rsid w:val="007C62FE"/>
    <w:pPr>
      <w:spacing w:after="240"/>
      <w:ind w:left="1418"/>
    </w:pPr>
  </w:style>
  <w:style w:type="paragraph" w:customStyle="1" w:styleId="EPFooter2Landscape">
    <w:name w:val="EPFooter2Landscape"/>
    <w:qFormat/>
    <w:rsid w:val="007C62FE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7C62FE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7C62FE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7C62FE"/>
    <w:rPr>
      <w:i/>
    </w:rPr>
  </w:style>
  <w:style w:type="paragraph" w:customStyle="1" w:styleId="ProcedureTable">
    <w:name w:val="ProcedureTable"/>
    <w:basedOn w:val="Normal"/>
    <w:rsid w:val="007C62FE"/>
    <w:rPr>
      <w:sz w:val="20"/>
    </w:rPr>
  </w:style>
  <w:style w:type="paragraph" w:customStyle="1" w:styleId="ProcedureTableBold">
    <w:name w:val="ProcedureTableBold"/>
    <w:basedOn w:val="Normal"/>
    <w:rsid w:val="007C62FE"/>
    <w:rPr>
      <w:b/>
      <w:sz w:val="20"/>
    </w:rPr>
  </w:style>
  <w:style w:type="paragraph" w:customStyle="1" w:styleId="NormalCenter">
    <w:name w:val="NormalCenter"/>
    <w:basedOn w:val="Normal"/>
    <w:rsid w:val="007C62FE"/>
    <w:pPr>
      <w:jc w:val="center"/>
    </w:pPr>
  </w:style>
  <w:style w:type="paragraph" w:customStyle="1" w:styleId="Normal12a12b">
    <w:name w:val="Normal12a12b"/>
    <w:basedOn w:val="Normal"/>
    <w:rsid w:val="007C62FE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7C62FE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7C62FE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7C62FE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7C62FE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7C62FE"/>
    <w:pPr>
      <w:ind w:left="1843"/>
    </w:pPr>
  </w:style>
  <w:style w:type="paragraph" w:customStyle="1" w:styleId="NormalHanging12a4">
    <w:name w:val="NormalHanging12a4"/>
    <w:basedOn w:val="NormalHanging12a3"/>
    <w:qFormat/>
    <w:rsid w:val="007C62FE"/>
    <w:pPr>
      <w:ind w:left="2268"/>
    </w:pPr>
  </w:style>
  <w:style w:type="paragraph" w:customStyle="1" w:styleId="NormalHanging12a5">
    <w:name w:val="NormalHanging12a5"/>
    <w:basedOn w:val="NormalHanging12a4"/>
    <w:qFormat/>
    <w:rsid w:val="007C62FE"/>
    <w:pPr>
      <w:ind w:left="2693"/>
    </w:pPr>
  </w:style>
  <w:style w:type="paragraph" w:customStyle="1" w:styleId="NormalHanging12a6">
    <w:name w:val="NormalHanging12a6"/>
    <w:basedOn w:val="NormalHanging12a5"/>
    <w:qFormat/>
    <w:rsid w:val="007C62FE"/>
    <w:pPr>
      <w:ind w:left="3118"/>
    </w:pPr>
  </w:style>
  <w:style w:type="paragraph" w:customStyle="1" w:styleId="NormalHanging12a7">
    <w:name w:val="NormalHanging12a7"/>
    <w:basedOn w:val="NormalHanging12a6"/>
    <w:qFormat/>
    <w:rsid w:val="007C62FE"/>
    <w:pPr>
      <w:ind w:left="3544"/>
    </w:pPr>
  </w:style>
  <w:style w:type="paragraph" w:customStyle="1" w:styleId="NormalHanging12a8">
    <w:name w:val="NormalHanging12a8"/>
    <w:basedOn w:val="NormalHanging12a7"/>
    <w:qFormat/>
    <w:rsid w:val="007C62FE"/>
    <w:pPr>
      <w:ind w:left="3969"/>
    </w:pPr>
  </w:style>
  <w:style w:type="paragraph" w:customStyle="1" w:styleId="Normal12HangingCenter">
    <w:name w:val="Normal12HangingCenter"/>
    <w:basedOn w:val="Normal"/>
    <w:qFormat/>
    <w:rsid w:val="007C62FE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7C62FE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7C62FE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7C62FE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7C62FE"/>
    <w:rPr>
      <w:b/>
      <w:i/>
    </w:rPr>
  </w:style>
  <w:style w:type="paragraph" w:customStyle="1" w:styleId="NormalBoldItalicCenter6a">
    <w:name w:val="NormalBoldItalicCenter6a"/>
    <w:basedOn w:val="Normal6a"/>
    <w:qFormat/>
    <w:rsid w:val="007C62FE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7C62FE"/>
    <w:rPr>
      <w:i/>
    </w:rPr>
  </w:style>
  <w:style w:type="character" w:customStyle="1" w:styleId="Sub">
    <w:name w:val="Sub"/>
    <w:uiPriority w:val="1"/>
    <w:qFormat/>
    <w:rsid w:val="007C62FE"/>
    <w:rPr>
      <w:vertAlign w:val="subscript"/>
    </w:rPr>
  </w:style>
  <w:style w:type="character" w:customStyle="1" w:styleId="SubBold">
    <w:name w:val="SubBold"/>
    <w:uiPriority w:val="1"/>
    <w:qFormat/>
    <w:rsid w:val="007C62FE"/>
    <w:rPr>
      <w:b/>
      <w:vertAlign w:val="subscript"/>
    </w:rPr>
  </w:style>
  <w:style w:type="character" w:customStyle="1" w:styleId="SubBoldItalic">
    <w:name w:val="SubBoldItalic"/>
    <w:uiPriority w:val="1"/>
    <w:rsid w:val="007C62FE"/>
    <w:rPr>
      <w:b/>
      <w:i/>
      <w:vertAlign w:val="subscript"/>
    </w:rPr>
  </w:style>
  <w:style w:type="character" w:customStyle="1" w:styleId="SubItalic">
    <w:name w:val="SubItalic"/>
    <w:uiPriority w:val="1"/>
    <w:qFormat/>
    <w:rsid w:val="007C62FE"/>
    <w:rPr>
      <w:b/>
      <w:i/>
      <w:vertAlign w:val="subscript"/>
    </w:rPr>
  </w:style>
  <w:style w:type="character" w:customStyle="1" w:styleId="Sup">
    <w:name w:val="Sup"/>
    <w:uiPriority w:val="1"/>
    <w:rsid w:val="007C62FE"/>
    <w:rPr>
      <w:vertAlign w:val="superscript"/>
    </w:rPr>
  </w:style>
  <w:style w:type="character" w:customStyle="1" w:styleId="SupBoldItalic">
    <w:name w:val="SupBoldItalic"/>
    <w:uiPriority w:val="1"/>
    <w:qFormat/>
    <w:rsid w:val="007C62FE"/>
    <w:rPr>
      <w:b/>
      <w:i/>
      <w:vertAlign w:val="superscript"/>
    </w:rPr>
  </w:style>
  <w:style w:type="character" w:customStyle="1" w:styleId="Underline">
    <w:name w:val="Underline"/>
    <w:uiPriority w:val="1"/>
    <w:rsid w:val="007C62FE"/>
    <w:rPr>
      <w:u w:val="single"/>
    </w:rPr>
  </w:style>
  <w:style w:type="character" w:customStyle="1" w:styleId="HideTermComment">
    <w:name w:val="HideTermComment"/>
    <w:uiPriority w:val="1"/>
    <w:qFormat/>
    <w:rsid w:val="007C62FE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7C62FE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7C62FE"/>
    <w:pPr>
      <w:spacing w:after="240"/>
      <w:jc w:val="center"/>
    </w:pPr>
  </w:style>
  <w:style w:type="paragraph" w:customStyle="1" w:styleId="Subheading">
    <w:name w:val="Subheading"/>
    <w:basedOn w:val="Normal"/>
    <w:rsid w:val="007C62FE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7C62FE"/>
    <w:rPr>
      <w:b/>
      <w:i/>
      <w:u w:val="single"/>
    </w:rPr>
  </w:style>
  <w:style w:type="character" w:customStyle="1" w:styleId="BoldUnderline">
    <w:name w:val="BoldUnderline"/>
    <w:uiPriority w:val="1"/>
    <w:rsid w:val="007C62FE"/>
    <w:rPr>
      <w:b/>
      <w:u w:val="single"/>
    </w:rPr>
  </w:style>
  <w:style w:type="character" w:customStyle="1" w:styleId="ItalicUnderline">
    <w:name w:val="ItalicUnderline"/>
    <w:uiPriority w:val="1"/>
    <w:rsid w:val="007C62FE"/>
    <w:rPr>
      <w:i/>
      <w:u w:val="single"/>
    </w:rPr>
  </w:style>
  <w:style w:type="character" w:customStyle="1" w:styleId="SubBoldItalicUnderline">
    <w:name w:val="SubBoldItalicUnderline"/>
    <w:uiPriority w:val="1"/>
    <w:rsid w:val="007C62FE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7C62FE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7C62FE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7C62FE"/>
    <w:rPr>
      <w:u w:val="single"/>
      <w:vertAlign w:val="subscript"/>
    </w:rPr>
  </w:style>
  <w:style w:type="character" w:customStyle="1" w:styleId="SupBold">
    <w:name w:val="SupBold"/>
    <w:uiPriority w:val="1"/>
    <w:rsid w:val="007C62FE"/>
    <w:rPr>
      <w:b/>
      <w:vertAlign w:val="superscript"/>
    </w:rPr>
  </w:style>
  <w:style w:type="character" w:customStyle="1" w:styleId="SupBoldItalicUnderline">
    <w:name w:val="SupBoldItalicUnderline"/>
    <w:uiPriority w:val="1"/>
    <w:rsid w:val="007C62FE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7C62FE"/>
    <w:rPr>
      <w:b/>
      <w:u w:val="single"/>
      <w:vertAlign w:val="superscript"/>
    </w:rPr>
  </w:style>
  <w:style w:type="character" w:customStyle="1" w:styleId="SupItalic">
    <w:name w:val="SupItalic"/>
    <w:uiPriority w:val="1"/>
    <w:rsid w:val="007C62FE"/>
    <w:rPr>
      <w:i/>
      <w:vertAlign w:val="superscript"/>
    </w:rPr>
  </w:style>
  <w:style w:type="character" w:customStyle="1" w:styleId="SupItalicUnderline">
    <w:name w:val="SupItalicUnderline"/>
    <w:uiPriority w:val="1"/>
    <w:rsid w:val="007C62FE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7C62FE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7C62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7C62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7C62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7C62FE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7C62F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C62FE"/>
    <w:rPr>
      <w:sz w:val="24"/>
      <w:lang w:val="ro-RO"/>
    </w:rPr>
  </w:style>
  <w:style w:type="paragraph" w:customStyle="1" w:styleId="CommitteeAM">
    <w:name w:val="CommitteeAM"/>
    <w:basedOn w:val="Normal"/>
    <w:rsid w:val="007C62F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C62F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C62F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C62FE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7C62FE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7C62FE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7C62FE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7C62F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7C62FE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rsid w:val="007C62FE"/>
    <w:rPr>
      <w:b/>
      <w:sz w:val="24"/>
      <w:lang w:val="ro-RO"/>
    </w:rPr>
  </w:style>
  <w:style w:type="paragraph" w:styleId="Footer">
    <w:name w:val="footer"/>
    <w:basedOn w:val="Normal"/>
    <w:link w:val="FooterChar"/>
    <w:rsid w:val="007C62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C62FE"/>
    <w:rPr>
      <w:sz w:val="24"/>
      <w:lang w:val="ro-RO"/>
    </w:rPr>
  </w:style>
  <w:style w:type="character" w:styleId="FollowedHyperlink">
    <w:name w:val="FollowedHyperlink"/>
    <w:basedOn w:val="DefaultParagraphFont"/>
    <w:rsid w:val="007C62FE"/>
    <w:rPr>
      <w:color w:val="954F72" w:themeColor="followedHyperlink"/>
      <w:u w:val="single"/>
    </w:rPr>
  </w:style>
  <w:style w:type="character" w:customStyle="1" w:styleId="FormatAM">
    <w:name w:val="FormatAM"/>
    <w:rsid w:val="007C62FE"/>
    <w:rPr>
      <w:rFonts w:ascii="Times New Roman" w:hAnsi="Times New Roman" w:cs="Times New Roman"/>
      <w:sz w:val="24"/>
      <w:lang w:val="ro-RO"/>
    </w:rPr>
  </w:style>
  <w:style w:type="paragraph" w:customStyle="1" w:styleId="Titel">
    <w:name w:val="Titel"/>
    <w:rsid w:val="007C62FE"/>
    <w:pPr>
      <w:widowControl w:val="0"/>
      <w:tabs>
        <w:tab w:val="left" w:pos="432"/>
        <w:tab w:val="left" w:pos="576"/>
      </w:tabs>
      <w:suppressAutoHyphens/>
    </w:pPr>
    <w:rPr>
      <w:b/>
      <w:sz w:val="24"/>
      <w:lang w:val="ro-RO"/>
    </w:rPr>
  </w:style>
  <w:style w:type="character" w:customStyle="1" w:styleId="ATHeading3Char">
    <w:name w:val="AT Heading 3 Char"/>
    <w:link w:val="ATHeading3"/>
    <w:locked/>
    <w:rsid w:val="007D05FF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6A530-25CE-4B57-8697-6AA1B311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TA</vt:lpstr>
      <vt:lpstr>P9_TA(2024)0000</vt:lpstr>
      <vt:lpstr>    Protecția jurnaliștilor și a apărătorilor drepturilor omului împotriva proceduri</vt:lpstr>
      <vt:lpstr>        Rezoluția legislativă a Parlamentului European din 27 februarie... 2024 referito</vt:lpstr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DUMITRESCU Mihai</cp:lastModifiedBy>
  <cp:revision>2</cp:revision>
  <cp:lastPrinted>2004-11-19T15:42:00Z</cp:lastPrinted>
  <dcterms:created xsi:type="dcterms:W3CDTF">2024-06-06T12:38:00Z</dcterms:created>
  <dcterms:modified xsi:type="dcterms:W3CDTF">2024-06-06T12:38:00Z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