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215D9" w:rsidRPr="002B0DE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215D9" w:rsidRPr="002B0DED" w:rsidRDefault="006E4A01">
            <w:pPr>
              <w:pStyle w:val="EPName"/>
            </w:pPr>
            <w:r w:rsidRPr="002B0DED">
              <w:t>Európsky parlament</w:t>
            </w:r>
          </w:p>
          <w:p w:rsidR="003215D9" w:rsidRPr="002B0DED" w:rsidRDefault="006E4A0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ED0">
              <w:t>2019</w:t>
            </w:r>
            <w:r w:rsidRPr="002B0DED">
              <w:t>-</w:t>
            </w:r>
            <w:r w:rsidRPr="00451ED0">
              <w:t>2024</w:t>
            </w:r>
          </w:p>
        </w:tc>
        <w:tc>
          <w:tcPr>
            <w:tcW w:w="2268" w:type="dxa"/>
            <w:shd w:val="clear" w:color="auto" w:fill="auto"/>
          </w:tcPr>
          <w:p w:rsidR="003215D9" w:rsidRPr="002B0DED" w:rsidRDefault="006E4A01">
            <w:pPr>
              <w:pStyle w:val="EPLogo"/>
            </w:pPr>
            <w:r w:rsidRPr="002B0D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15D9" w:rsidRPr="002B0DED" w:rsidRDefault="003215D9">
      <w:pPr>
        <w:pStyle w:val="LineTop"/>
      </w:pPr>
    </w:p>
    <w:p w:rsidR="003215D9" w:rsidRPr="002B0DED" w:rsidRDefault="006E4A01">
      <w:pPr>
        <w:pStyle w:val="EPBodyTA1"/>
      </w:pPr>
      <w:r w:rsidRPr="002B0DED">
        <w:t>PRIJATÉ TEXTY</w:t>
      </w:r>
    </w:p>
    <w:p w:rsidR="003215D9" w:rsidRPr="002B0DED" w:rsidRDefault="003215D9">
      <w:pPr>
        <w:pStyle w:val="LineBottom"/>
      </w:pPr>
    </w:p>
    <w:p w:rsidR="003215D9" w:rsidRPr="002B0DED" w:rsidRDefault="006E4A01">
      <w:pPr>
        <w:pStyle w:val="ATHeading1"/>
      </w:pPr>
      <w:bookmarkStart w:id="0" w:name="TANumber"/>
      <w:r w:rsidRPr="002B0DED">
        <w:t>P</w:t>
      </w:r>
      <w:r w:rsidRPr="00451ED0">
        <w:t>9</w:t>
      </w:r>
      <w:r w:rsidRPr="002B0DED">
        <w:t>_TA(</w:t>
      </w:r>
      <w:r w:rsidRPr="00451ED0">
        <w:t>2024</w:t>
      </w:r>
      <w:r w:rsidRPr="002B0DED">
        <w:t>)</w:t>
      </w:r>
      <w:r w:rsidRPr="00451ED0">
        <w:t>00</w:t>
      </w:r>
      <w:r w:rsidR="00DA5B8E" w:rsidRPr="00451ED0">
        <w:t>85</w:t>
      </w:r>
      <w:bookmarkEnd w:id="0"/>
    </w:p>
    <w:p w:rsidR="003215D9" w:rsidRPr="002B0DED" w:rsidRDefault="006E4A01">
      <w:pPr>
        <w:pStyle w:val="ATHeading2"/>
      </w:pPr>
      <w:r w:rsidRPr="002B0DED">
        <w:t>Ochrana novinárov a obhajcov ľudských práv pred zjavne neopodstatnenými alebo zneužívajúcimi súdnymi konaniami</w:t>
      </w:r>
    </w:p>
    <w:p w:rsidR="003215D9" w:rsidRPr="002B0DED" w:rsidRDefault="006E4A01">
      <w:pPr>
        <w:rPr>
          <w:i/>
          <w:vanish/>
        </w:rPr>
      </w:pPr>
      <w:r w:rsidRPr="002B0DED">
        <w:rPr>
          <w:i/>
        </w:rPr>
        <w:fldChar w:fldCharType="begin"/>
      </w:r>
      <w:r w:rsidRPr="002B0DED">
        <w:rPr>
          <w:i/>
        </w:rPr>
        <w:instrText xml:space="preserve"> TC"(</w:instrText>
      </w:r>
      <w:bookmarkStart w:id="1" w:name="DocNumber"/>
      <w:r w:rsidRPr="002B0DED">
        <w:rPr>
          <w:i/>
        </w:rPr>
        <w:instrText>A</w:instrText>
      </w:r>
      <w:r w:rsidRPr="00451ED0">
        <w:rPr>
          <w:i/>
        </w:rPr>
        <w:instrText>9</w:instrText>
      </w:r>
      <w:r w:rsidRPr="002B0DED">
        <w:rPr>
          <w:i/>
        </w:rPr>
        <w:instrText>-</w:instrText>
      </w:r>
      <w:r w:rsidRPr="00451ED0">
        <w:rPr>
          <w:i/>
        </w:rPr>
        <w:instrText>0223</w:instrText>
      </w:r>
      <w:r w:rsidRPr="002B0DED">
        <w:rPr>
          <w:i/>
        </w:rPr>
        <w:instrText>/</w:instrText>
      </w:r>
      <w:r w:rsidRPr="00451ED0">
        <w:rPr>
          <w:i/>
        </w:rPr>
        <w:instrText>2023</w:instrText>
      </w:r>
      <w:bookmarkEnd w:id="1"/>
      <w:r w:rsidRPr="002B0DED">
        <w:rPr>
          <w:i/>
        </w:rPr>
        <w:instrText xml:space="preserve"> - Spravodajca: Tiemo Wölken)"\l</w:instrText>
      </w:r>
      <w:r w:rsidRPr="00451ED0">
        <w:rPr>
          <w:i/>
        </w:rPr>
        <w:instrText>3</w:instrText>
      </w:r>
      <w:r w:rsidRPr="002B0DED">
        <w:rPr>
          <w:i/>
        </w:rPr>
        <w:instrText xml:space="preserve"> \n&gt; \* MERGEFORMAT </w:instrText>
      </w:r>
      <w:r w:rsidRPr="002B0DED">
        <w:rPr>
          <w:i/>
        </w:rPr>
        <w:fldChar w:fldCharType="end"/>
      </w:r>
    </w:p>
    <w:p w:rsidR="003215D9" w:rsidRPr="002B0DED" w:rsidRDefault="006E4A01">
      <w:pPr>
        <w:rPr>
          <w:vanish/>
        </w:rPr>
      </w:pPr>
      <w:bookmarkStart w:id="2" w:name="Commission"/>
      <w:r w:rsidRPr="002B0DED">
        <w:rPr>
          <w:vanish/>
        </w:rPr>
        <w:t>Výbor pre právne veci</w:t>
      </w:r>
      <w:bookmarkEnd w:id="2"/>
    </w:p>
    <w:p w:rsidR="003215D9" w:rsidRPr="002B0DED" w:rsidRDefault="006E4A01">
      <w:pPr>
        <w:rPr>
          <w:vanish/>
        </w:rPr>
      </w:pPr>
      <w:bookmarkStart w:id="3" w:name="PE"/>
      <w:r w:rsidRPr="002B0DED">
        <w:rPr>
          <w:vanish/>
        </w:rPr>
        <w:t>PE</w:t>
      </w:r>
      <w:r w:rsidRPr="00451ED0">
        <w:rPr>
          <w:vanish/>
        </w:rPr>
        <w:t>745</w:t>
      </w:r>
      <w:r w:rsidRPr="002B0DED">
        <w:rPr>
          <w:vanish/>
        </w:rPr>
        <w:t>.</w:t>
      </w:r>
      <w:r w:rsidRPr="00451ED0">
        <w:rPr>
          <w:vanish/>
        </w:rPr>
        <w:t>170</w:t>
      </w:r>
      <w:bookmarkEnd w:id="3"/>
    </w:p>
    <w:p w:rsidR="003215D9" w:rsidRPr="002B0DED" w:rsidRDefault="006E4A01">
      <w:pPr>
        <w:pStyle w:val="ATHeading3"/>
      </w:pPr>
      <w:bookmarkStart w:id="4" w:name="Sujet"/>
      <w:r w:rsidRPr="002B0DED">
        <w:t xml:space="preserve">Legislatívne uznesenie Európskeho parlamentu z </w:t>
      </w:r>
      <w:r w:rsidR="00354E4B" w:rsidRPr="00451ED0">
        <w:t>27</w:t>
      </w:r>
      <w:r w:rsidRPr="002B0DED">
        <w:t xml:space="preserve">. februára </w:t>
      </w:r>
      <w:r w:rsidRPr="00451ED0">
        <w:t>2024</w:t>
      </w:r>
      <w:r w:rsidRPr="002B0DED">
        <w:t xml:space="preserve"> o návrhu smernice Európskeho parlamentu a Rady o ochrane osôb zapojených do verejnej účasti pred zjavne neopodstatnenými alebo zneužívajúcimi súdnymi konaniami („strategickými žalobami proti verejnej účasti“)</w:t>
      </w:r>
      <w:bookmarkEnd w:id="4"/>
      <w:r w:rsidRPr="002B0DED">
        <w:t xml:space="preserve"> </w:t>
      </w:r>
      <w:bookmarkStart w:id="5" w:name="References"/>
      <w:r w:rsidRPr="002B0DED">
        <w:t>(COM(</w:t>
      </w:r>
      <w:r w:rsidRPr="00451ED0">
        <w:t>2022</w:t>
      </w:r>
      <w:r w:rsidRPr="002B0DED">
        <w:t>)</w:t>
      </w:r>
      <w:r w:rsidRPr="00451ED0">
        <w:t>0177</w:t>
      </w:r>
      <w:r w:rsidRPr="002B0DED">
        <w:t xml:space="preserve"> – C</w:t>
      </w:r>
      <w:r w:rsidRPr="00451ED0">
        <w:t>9</w:t>
      </w:r>
      <w:r w:rsidRPr="002B0DED">
        <w:t>-</w:t>
      </w:r>
      <w:r w:rsidRPr="00451ED0">
        <w:t>0161</w:t>
      </w:r>
      <w:r w:rsidRPr="002B0DED">
        <w:t>/</w:t>
      </w:r>
      <w:r w:rsidRPr="00451ED0">
        <w:t>2022</w:t>
      </w:r>
      <w:r w:rsidRPr="002B0DED">
        <w:t xml:space="preserve"> – </w:t>
      </w:r>
      <w:r w:rsidRPr="00451ED0">
        <w:t>2022</w:t>
      </w:r>
      <w:r w:rsidRPr="002B0DED">
        <w:t>/</w:t>
      </w:r>
      <w:r w:rsidRPr="00451ED0">
        <w:t>0117</w:t>
      </w:r>
      <w:r w:rsidRPr="002B0DED">
        <w:t>(COD))</w:t>
      </w:r>
      <w:bookmarkEnd w:id="5"/>
    </w:p>
    <w:p w:rsidR="003215D9" w:rsidRPr="002B0DED" w:rsidRDefault="006E4A01">
      <w:pPr>
        <w:pStyle w:val="NormalBold"/>
      </w:pPr>
      <w:bookmarkStart w:id="6" w:name="TextBodyBegin"/>
      <w:bookmarkEnd w:id="6"/>
      <w:r w:rsidRPr="002B0DED">
        <w:t>(Riadny legislatívny postup: prvé čítanie)</w:t>
      </w:r>
    </w:p>
    <w:p w:rsidR="003215D9" w:rsidRPr="002B0DED" w:rsidRDefault="006E4A01">
      <w:pPr>
        <w:pStyle w:val="EPComma"/>
      </w:pPr>
      <w:r w:rsidRPr="002B0DED">
        <w:rPr>
          <w:i/>
          <w:iCs/>
        </w:rPr>
        <w:t>Európsky parlament</w:t>
      </w:r>
      <w:r w:rsidRPr="002B0DED">
        <w:t>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>so zreteľom na návrh Komisie pre Európsky parlament a Radu (COM(</w:t>
      </w:r>
      <w:r w:rsidRPr="00451ED0">
        <w:t>2022</w:t>
      </w:r>
      <w:r w:rsidRPr="002B0DED">
        <w:t>)</w:t>
      </w:r>
      <w:r w:rsidRPr="00451ED0">
        <w:t>0177</w:t>
      </w:r>
      <w:r w:rsidRPr="002B0DED">
        <w:t>),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 xml:space="preserve">so zreteľom na článok </w:t>
      </w:r>
      <w:r w:rsidRPr="00451ED0">
        <w:t>294</w:t>
      </w:r>
      <w:r w:rsidRPr="002B0DED">
        <w:t xml:space="preserve"> ods. </w:t>
      </w:r>
      <w:r w:rsidRPr="00451ED0">
        <w:t>2</w:t>
      </w:r>
      <w:r w:rsidRPr="002B0DED">
        <w:t xml:space="preserve"> a článok </w:t>
      </w:r>
      <w:r w:rsidRPr="00451ED0">
        <w:t>81</w:t>
      </w:r>
      <w:r w:rsidRPr="002B0DED">
        <w:t xml:space="preserve"> ods. </w:t>
      </w:r>
      <w:r w:rsidRPr="00451ED0">
        <w:t>2</w:t>
      </w:r>
      <w:r w:rsidRPr="002B0DED">
        <w:t xml:space="preserve"> </w:t>
      </w:r>
      <w:r w:rsidR="00040000" w:rsidRPr="002B0DED">
        <w:t xml:space="preserve">písm. f) </w:t>
      </w:r>
      <w:r w:rsidRPr="002B0DED">
        <w:t>Zmluvy o fungovaní Európskej únie, v súlade s ktorými Komisia predložila návrh Európskemu parlamentu (C</w:t>
      </w:r>
      <w:r w:rsidRPr="00451ED0">
        <w:t>9</w:t>
      </w:r>
      <w:r w:rsidRPr="002B0DED">
        <w:noBreakHyphen/>
      </w:r>
      <w:r w:rsidRPr="00451ED0">
        <w:t>0161</w:t>
      </w:r>
      <w:r w:rsidRPr="002B0DED">
        <w:t>/</w:t>
      </w:r>
      <w:r w:rsidRPr="00451ED0">
        <w:t>2022</w:t>
      </w:r>
      <w:r w:rsidRPr="002B0DED">
        <w:t>),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 xml:space="preserve">so zreteľom na článok </w:t>
      </w:r>
      <w:r w:rsidRPr="00451ED0">
        <w:t>294</w:t>
      </w:r>
      <w:r w:rsidRPr="002B0DED">
        <w:t xml:space="preserve"> ods. </w:t>
      </w:r>
      <w:r w:rsidRPr="00451ED0">
        <w:t>3</w:t>
      </w:r>
      <w:r w:rsidRPr="002B0DED">
        <w:t xml:space="preserve"> Zmluvy o fungovaní Európskej únie,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>so zreteľom na odôvodnené stanovisk</w:t>
      </w:r>
      <w:r w:rsidR="00407CCA" w:rsidRPr="002B0DED">
        <w:t>o</w:t>
      </w:r>
      <w:r w:rsidRPr="002B0DED">
        <w:t xml:space="preserve"> predložené na základe Protokolu č. </w:t>
      </w:r>
      <w:r w:rsidRPr="00451ED0">
        <w:t>2</w:t>
      </w:r>
      <w:r w:rsidRPr="002B0DED">
        <w:t xml:space="preserve"> o uplatňovaní zásad subsidiarity a proporcionality francúzskym </w:t>
      </w:r>
      <w:r w:rsidR="00354E4B" w:rsidRPr="002B0DED">
        <w:t>S</w:t>
      </w:r>
      <w:r w:rsidRPr="002B0DED">
        <w:t>enátom, ktor</w:t>
      </w:r>
      <w:r w:rsidR="00407CCA" w:rsidRPr="002B0DED">
        <w:t>ý</w:t>
      </w:r>
      <w:r w:rsidRPr="002B0DED">
        <w:t xml:space="preserve"> tvrd</w:t>
      </w:r>
      <w:r w:rsidR="00407CCA" w:rsidRPr="002B0DED">
        <w:t>í</w:t>
      </w:r>
      <w:r w:rsidRPr="002B0DED">
        <w:t>, že návrh legislatívneho aktu nie je v súlade so zásadou subsidiarity,</w:t>
      </w:r>
      <w:r w:rsidRPr="002B0DED">
        <w:rPr>
          <w:rStyle w:val="FootnoteReference"/>
        </w:rPr>
        <w:t xml:space="preserve"> </w:t>
      </w:r>
    </w:p>
    <w:p w:rsidR="00ED76F1" w:rsidRPr="002B0DED" w:rsidRDefault="006E4A01">
      <w:pPr>
        <w:pStyle w:val="NormalHanging12a"/>
      </w:pPr>
      <w:r w:rsidRPr="002B0DED">
        <w:t>–</w:t>
      </w:r>
      <w:r w:rsidRPr="002B0DED">
        <w:tab/>
        <w:t>so zreteľom na stanovisko Európskeho hospodárskeho a sociálneho výboru z </w:t>
      </w:r>
      <w:r w:rsidRPr="00451ED0">
        <w:t>26</w:t>
      </w:r>
      <w:r w:rsidRPr="002B0DED">
        <w:t xml:space="preserve">. októbra </w:t>
      </w:r>
      <w:r w:rsidRPr="00451ED0">
        <w:t>2022</w:t>
      </w:r>
      <w:r w:rsidRPr="002B0DED">
        <w:rPr>
          <w:rStyle w:val="FootnoteReference"/>
        </w:rPr>
        <w:footnoteReference w:id="1"/>
      </w:r>
      <w:r w:rsidRPr="002B0DED">
        <w:t>,</w:t>
      </w:r>
    </w:p>
    <w:p w:rsidR="003215D9" w:rsidRPr="002B0DED" w:rsidRDefault="00ED76F1">
      <w:pPr>
        <w:pStyle w:val="NormalHanging12a"/>
      </w:pPr>
      <w:r w:rsidRPr="002B0DED">
        <w:t>–</w:t>
      </w:r>
      <w:r w:rsidRPr="002B0DED">
        <w:tab/>
        <w:t xml:space="preserve">so zreteľom na predbežnú dohodu schválenú gestorským výborom podľa článku </w:t>
      </w:r>
      <w:r w:rsidRPr="00451ED0">
        <w:t>74</w:t>
      </w:r>
      <w:r w:rsidRPr="002B0DED">
        <w:t xml:space="preserve"> ods. </w:t>
      </w:r>
      <w:r w:rsidRPr="00451ED0">
        <w:t>4</w:t>
      </w:r>
      <w:r w:rsidRPr="002B0DED">
        <w:t xml:space="preserve"> rokovacieho poriadku, a na záväzok zástupcu Rady, vyjadrený v liste z </w:t>
      </w:r>
      <w:r w:rsidRPr="00451ED0">
        <w:t>20</w:t>
      </w:r>
      <w:r w:rsidRPr="002B0DED">
        <w:t>. decembra </w:t>
      </w:r>
      <w:r w:rsidRPr="00451ED0">
        <w:t>2023</w:t>
      </w:r>
      <w:r w:rsidRPr="002B0DED">
        <w:t xml:space="preserve">, schváliť pozíciu Európskeho parlamentu v súlade s článkom </w:t>
      </w:r>
      <w:r w:rsidRPr="00451ED0">
        <w:t>294</w:t>
      </w:r>
      <w:r w:rsidRPr="002B0DED">
        <w:t xml:space="preserve"> ods. </w:t>
      </w:r>
      <w:r w:rsidRPr="00451ED0">
        <w:t>4</w:t>
      </w:r>
      <w:r w:rsidRPr="002B0DED">
        <w:t xml:space="preserve"> Zmluvy o fungovaní Európskej únie,</w:t>
      </w:r>
      <w:r w:rsidR="006E4A01" w:rsidRPr="002B0DED">
        <w:t xml:space="preserve"> 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 xml:space="preserve">so zreteľom na článok </w:t>
      </w:r>
      <w:r w:rsidRPr="00451ED0">
        <w:t>59</w:t>
      </w:r>
      <w:r w:rsidRPr="002B0DED">
        <w:t xml:space="preserve"> rokovacieho poriadku,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 xml:space="preserve">so zreteľom na stanoviská Výboru pre občianske slobody, spravodlivosť a vnútorné veci </w:t>
      </w:r>
      <w:r w:rsidRPr="002B0DED">
        <w:lastRenderedPageBreak/>
        <w:t>a Výboru pre kultúru a vzdelávanie,</w:t>
      </w:r>
    </w:p>
    <w:p w:rsidR="003215D9" w:rsidRPr="002B0DED" w:rsidRDefault="006E4A01">
      <w:pPr>
        <w:pStyle w:val="NormalHanging12a"/>
      </w:pPr>
      <w:r w:rsidRPr="002B0DED">
        <w:t>–</w:t>
      </w:r>
      <w:r w:rsidRPr="002B0DED">
        <w:tab/>
        <w:t>so zreteľom na správu Výboru pre právne veci (A</w:t>
      </w:r>
      <w:r w:rsidRPr="00451ED0">
        <w:t>9</w:t>
      </w:r>
      <w:r w:rsidRPr="002B0DED">
        <w:t>-</w:t>
      </w:r>
      <w:r w:rsidRPr="00451ED0">
        <w:t>0223</w:t>
      </w:r>
      <w:r w:rsidRPr="002B0DED">
        <w:t>/</w:t>
      </w:r>
      <w:r w:rsidRPr="00451ED0">
        <w:t>2023</w:t>
      </w:r>
      <w:r w:rsidRPr="002B0DED">
        <w:t>),</w:t>
      </w:r>
    </w:p>
    <w:p w:rsidR="003215D9" w:rsidRPr="002B0DED" w:rsidRDefault="006E4A01">
      <w:pPr>
        <w:pStyle w:val="NormalHanging12a"/>
      </w:pPr>
      <w:r w:rsidRPr="00451ED0">
        <w:t>1</w:t>
      </w:r>
      <w:r w:rsidRPr="002B0DED">
        <w:t>.</w:t>
      </w:r>
      <w:r w:rsidRPr="002B0DED">
        <w:tab/>
        <w:t>prijíma nasledujúcu pozíciu v prvom čítaní</w:t>
      </w:r>
      <w:r w:rsidR="00DD5D98" w:rsidRPr="002B0DED">
        <w:rPr>
          <w:rStyle w:val="FootnoteReference"/>
        </w:rPr>
        <w:footnoteReference w:id="2"/>
      </w:r>
      <w:r w:rsidRPr="002B0DED">
        <w:t>;</w:t>
      </w:r>
    </w:p>
    <w:p w:rsidR="003215D9" w:rsidRPr="002B0DED" w:rsidRDefault="006E4A01">
      <w:pPr>
        <w:pStyle w:val="NormalHanging12a"/>
      </w:pPr>
      <w:r w:rsidRPr="00451ED0">
        <w:t>2</w:t>
      </w:r>
      <w:r w:rsidRPr="002B0DED">
        <w:t>.</w:t>
      </w:r>
      <w:r w:rsidRPr="002B0DED">
        <w:tab/>
        <w:t>navrhuje, aby sa tento akt označoval ako „</w:t>
      </w:r>
      <w:proofErr w:type="spellStart"/>
      <w:r w:rsidRPr="002B0DED">
        <w:t>Wölken</w:t>
      </w:r>
      <w:proofErr w:type="spellEnd"/>
      <w:r w:rsidRPr="002B0DED">
        <w:t xml:space="preserve"> – </w:t>
      </w:r>
      <w:proofErr w:type="spellStart"/>
      <w:r w:rsidR="006B6632" w:rsidRPr="002B0DED">
        <w:t>Bolaños</w:t>
      </w:r>
      <w:proofErr w:type="spellEnd"/>
      <w:r w:rsidR="006B6632" w:rsidRPr="002B0DED">
        <w:t xml:space="preserve"> </w:t>
      </w:r>
      <w:proofErr w:type="spellStart"/>
      <w:r w:rsidR="006B6632" w:rsidRPr="002B0DED">
        <w:t>García</w:t>
      </w:r>
      <w:proofErr w:type="spellEnd"/>
      <w:r w:rsidR="006B6632" w:rsidRPr="002B0DED">
        <w:t xml:space="preserve"> </w:t>
      </w:r>
      <w:r w:rsidR="00407CCA" w:rsidRPr="002B0DED">
        <w:t>s</w:t>
      </w:r>
      <w:r w:rsidRPr="002B0DED">
        <w:t>mernica o ochrane osôb zapojených do verejnej účasti pred zjavne neopodstatnenými alebo zneužívajúcimi súdnymi konaniami („strategick</w:t>
      </w:r>
      <w:r w:rsidR="00040000" w:rsidRPr="002B0DED">
        <w:t>é</w:t>
      </w:r>
      <w:r w:rsidRPr="002B0DED">
        <w:t xml:space="preserve"> žalob</w:t>
      </w:r>
      <w:r w:rsidR="00040000" w:rsidRPr="002B0DED">
        <w:t>y</w:t>
      </w:r>
      <w:r w:rsidRPr="002B0DED">
        <w:t xml:space="preserve"> proti verejnej účasti“)</w:t>
      </w:r>
      <w:r w:rsidRPr="002B0DED">
        <w:rPr>
          <w:rStyle w:val="FootnoteReference"/>
        </w:rPr>
        <w:footnoteReference w:id="3"/>
      </w:r>
      <w:r w:rsidRPr="002B0DED">
        <w:t>;</w:t>
      </w:r>
    </w:p>
    <w:p w:rsidR="003215D9" w:rsidRPr="002B0DED" w:rsidRDefault="006E4A01">
      <w:pPr>
        <w:pStyle w:val="NormalHanging12a"/>
      </w:pPr>
      <w:r w:rsidRPr="00451ED0">
        <w:t>3</w:t>
      </w:r>
      <w:r w:rsidRPr="002B0DED">
        <w:t>.</w:t>
      </w:r>
      <w:r w:rsidRPr="002B0DED">
        <w:tab/>
        <w:t>žiada Komisiu, aby mu vec znovu predložila, ak nahrádza, podstatne mení alebo má v úmysle podstatne zmeniť svoj návrh;</w:t>
      </w:r>
    </w:p>
    <w:p w:rsidR="00451ED0" w:rsidRDefault="006E4A01">
      <w:pPr>
        <w:pStyle w:val="NormalHanging12a"/>
        <w:sectPr w:rsidR="00451E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space="720"/>
          <w:docGrid w:linePitch="360"/>
        </w:sectPr>
      </w:pPr>
      <w:r w:rsidRPr="00451ED0">
        <w:t>4</w:t>
      </w:r>
      <w:r w:rsidRPr="002B0DED">
        <w:t>.</w:t>
      </w:r>
      <w:r w:rsidRPr="002B0DED">
        <w:tab/>
        <w:t>poveruje svoju predsedníčku, aby postúpila túto pozíciu Rade, Komisii a národným parlamentom.</w:t>
      </w:r>
    </w:p>
    <w:p w:rsidR="005C6E3D" w:rsidRPr="002B0DED" w:rsidRDefault="005C6E3D" w:rsidP="005C6E3D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bookmarkStart w:id="7" w:name="TextBodyEnd"/>
      <w:bookmarkEnd w:id="7"/>
      <w:r w:rsidRPr="002B0DED">
        <w:rPr>
          <w:b/>
          <w:lang w:val="sk-SK"/>
        </w:rPr>
        <w:lastRenderedPageBreak/>
        <w:t>P</w:t>
      </w:r>
      <w:r w:rsidRPr="00451ED0">
        <w:rPr>
          <w:b/>
          <w:lang w:val="sk-SK"/>
        </w:rPr>
        <w:t>9</w:t>
      </w:r>
      <w:r w:rsidRPr="002B0DED">
        <w:rPr>
          <w:b/>
          <w:lang w:val="sk-SK"/>
        </w:rPr>
        <w:t>_TC</w:t>
      </w:r>
      <w:r w:rsidRPr="00451ED0">
        <w:rPr>
          <w:b/>
          <w:lang w:val="sk-SK"/>
        </w:rPr>
        <w:t>1</w:t>
      </w:r>
      <w:r w:rsidRPr="002B0DED">
        <w:rPr>
          <w:b/>
          <w:lang w:val="sk-SK"/>
        </w:rPr>
        <w:t>-COD(</w:t>
      </w:r>
      <w:r w:rsidRPr="00451ED0">
        <w:rPr>
          <w:b/>
          <w:lang w:val="sk-SK"/>
        </w:rPr>
        <w:t>2022</w:t>
      </w:r>
      <w:r w:rsidRPr="002B0DED">
        <w:rPr>
          <w:b/>
          <w:lang w:val="sk-SK"/>
        </w:rPr>
        <w:t>)</w:t>
      </w:r>
      <w:r w:rsidRPr="00451ED0">
        <w:rPr>
          <w:b/>
          <w:lang w:val="sk-SK"/>
        </w:rPr>
        <w:t>0117</w:t>
      </w:r>
    </w:p>
    <w:p w:rsidR="003215D9" w:rsidRDefault="005C6E3D" w:rsidP="005C6E3D">
      <w:pPr>
        <w:pStyle w:val="PageHeadingNotTOC"/>
        <w:jc w:val="left"/>
        <w:rPr>
          <w:rFonts w:ascii="Times New Roman" w:hAnsi="Times New Roman" w:cs="Times New Roman"/>
        </w:rPr>
      </w:pPr>
      <w:r w:rsidRPr="002B0DED">
        <w:rPr>
          <w:rFonts w:ascii="Times New Roman" w:hAnsi="Times New Roman" w:cs="Times New Roman"/>
        </w:rPr>
        <w:t xml:space="preserve">Pozícia Európskeho parlamentu prijatá v prvom čítaní </w:t>
      </w:r>
      <w:r w:rsidRPr="00451ED0">
        <w:rPr>
          <w:rFonts w:ascii="Times New Roman" w:hAnsi="Times New Roman" w:cs="Times New Roman"/>
        </w:rPr>
        <w:t>27</w:t>
      </w:r>
      <w:r w:rsidRPr="002B0DED">
        <w:rPr>
          <w:rFonts w:ascii="Times New Roman" w:hAnsi="Times New Roman" w:cs="Times New Roman"/>
        </w:rPr>
        <w:t xml:space="preserve">. februára </w:t>
      </w:r>
      <w:r w:rsidRPr="00451ED0">
        <w:rPr>
          <w:rFonts w:ascii="Times New Roman" w:hAnsi="Times New Roman" w:cs="Times New Roman"/>
        </w:rPr>
        <w:t>2024</w:t>
      </w:r>
      <w:r w:rsidRPr="002B0DED">
        <w:rPr>
          <w:rFonts w:ascii="Times New Roman" w:hAnsi="Times New Roman" w:cs="Times New Roman"/>
        </w:rPr>
        <w:t xml:space="preserve"> na účely prijatia smernice Európskeho parlamentu a Rady (EÚ) </w:t>
      </w:r>
      <w:r w:rsidRPr="00451ED0">
        <w:rPr>
          <w:rFonts w:ascii="Times New Roman" w:hAnsi="Times New Roman" w:cs="Times New Roman"/>
        </w:rPr>
        <w:t>2024</w:t>
      </w:r>
      <w:r w:rsidRPr="002B0DED">
        <w:rPr>
          <w:rFonts w:ascii="Times New Roman" w:hAnsi="Times New Roman" w:cs="Times New Roman"/>
        </w:rPr>
        <w:t xml:space="preserve">/... o ochrane osôb zapojených do verejnej účasti pred zjavne </w:t>
      </w:r>
      <w:r w:rsidRPr="00760BA4">
        <w:rPr>
          <w:rFonts w:ascii="Times New Roman" w:hAnsi="Times New Roman" w:cs="Times New Roman"/>
        </w:rPr>
        <w:t>neopodstatnenými nárokmi alebo</w:t>
      </w:r>
      <w:r w:rsidRPr="002B0DED">
        <w:rPr>
          <w:rFonts w:ascii="Times New Roman" w:hAnsi="Times New Roman" w:cs="Times New Roman"/>
        </w:rPr>
        <w:t xml:space="preserve"> </w:t>
      </w:r>
      <w:bookmarkStart w:id="8" w:name="_Hlk158635846"/>
      <w:r w:rsidRPr="002B0DED">
        <w:rPr>
          <w:rFonts w:ascii="Times New Roman" w:hAnsi="Times New Roman" w:cs="Times New Roman"/>
        </w:rPr>
        <w:t>zneužívajúcimi</w:t>
      </w:r>
      <w:bookmarkEnd w:id="8"/>
      <w:r w:rsidRPr="002B0DED">
        <w:rPr>
          <w:rFonts w:ascii="Times New Roman" w:hAnsi="Times New Roman" w:cs="Times New Roman"/>
        </w:rPr>
        <w:t xml:space="preserve"> súdnymi konaniami („strategické žal</w:t>
      </w:r>
      <w:bookmarkStart w:id="9" w:name="_GoBack"/>
      <w:bookmarkEnd w:id="9"/>
      <w:r w:rsidRPr="002B0DED">
        <w:rPr>
          <w:rFonts w:ascii="Times New Roman" w:hAnsi="Times New Roman" w:cs="Times New Roman"/>
        </w:rPr>
        <w:t>oby proti verejnej účasti“)</w:t>
      </w:r>
    </w:p>
    <w:p w:rsidR="00760BA4" w:rsidRPr="00731EF8" w:rsidRDefault="00760BA4" w:rsidP="00760BA4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B5400">
        <w:rPr>
          <w:i/>
          <w:iCs/>
        </w:rPr>
        <w:t xml:space="preserve">legislatívnemu aktu, </w:t>
      </w:r>
      <w:r>
        <w:rPr>
          <w:i/>
          <w:iCs/>
        </w:rPr>
        <w:t>smernici</w:t>
      </w:r>
      <w:r w:rsidRPr="000B5400">
        <w:rPr>
          <w:i/>
          <w:iCs/>
        </w:rPr>
        <w:t xml:space="preserve"> (EÚ) 202</w:t>
      </w:r>
      <w:r>
        <w:rPr>
          <w:i/>
          <w:iCs/>
        </w:rPr>
        <w:t>4</w:t>
      </w:r>
      <w:r w:rsidRPr="000B5400">
        <w:rPr>
          <w:i/>
          <w:iCs/>
        </w:rPr>
        <w:t>/</w:t>
      </w:r>
      <w:r>
        <w:rPr>
          <w:i/>
          <w:iCs/>
        </w:rPr>
        <w:t>1069</w:t>
      </w:r>
      <w:r w:rsidRPr="000B5400">
        <w:rPr>
          <w:i/>
          <w:iCs/>
        </w:rPr>
        <w:t>.)</w:t>
      </w:r>
    </w:p>
    <w:p w:rsidR="00760BA4" w:rsidRDefault="00760BA4" w:rsidP="005C6E3D">
      <w:pPr>
        <w:pStyle w:val="PageHeadingNotTOC"/>
        <w:jc w:val="left"/>
        <w:rPr>
          <w:rFonts w:ascii="Times New Roman" w:hAnsi="Times New Roman" w:cs="Times New Roman"/>
        </w:rPr>
      </w:pPr>
    </w:p>
    <w:sectPr w:rsidR="00760BA4" w:rsidSect="00451ED0">
      <w:footnotePr>
        <w:numRestart w:val="eachSect"/>
      </w:footnotePr>
      <w:pgSz w:w="11906" w:h="16838"/>
      <w:pgMar w:top="1134" w:right="1417" w:bottom="1417" w:left="1417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5D9" w:rsidRDefault="006E4A01">
      <w:r>
        <w:separator/>
      </w:r>
    </w:p>
  </w:endnote>
  <w:endnote w:type="continuationSeparator" w:id="0">
    <w:p w:rsidR="003215D9" w:rsidRDefault="006E4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5D9" w:rsidRDefault="006E4A01">
      <w:r>
        <w:separator/>
      </w:r>
    </w:p>
  </w:footnote>
  <w:footnote w:type="continuationSeparator" w:id="0">
    <w:p w:rsidR="003215D9" w:rsidRDefault="006E4A01">
      <w:r>
        <w:continuationSeparator/>
      </w:r>
    </w:p>
  </w:footnote>
  <w:footnote w:id="1">
    <w:p w:rsidR="003215D9" w:rsidRDefault="006E4A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ED76F1">
        <w:rPr>
          <w:sz w:val="24"/>
          <w:lang w:val="sk-SK"/>
        </w:rPr>
        <w:t xml:space="preserve">Ú. v. EÚ C </w:t>
      </w:r>
      <w:r w:rsidR="00ED76F1" w:rsidRPr="00451ED0">
        <w:rPr>
          <w:sz w:val="24"/>
          <w:lang w:val="sk-SK"/>
        </w:rPr>
        <w:t>75</w:t>
      </w:r>
      <w:r w:rsidR="00ED76F1">
        <w:rPr>
          <w:sz w:val="24"/>
          <w:lang w:val="sk-SK"/>
        </w:rPr>
        <w:t xml:space="preserve">, </w:t>
      </w:r>
      <w:r w:rsidR="00ED76F1" w:rsidRPr="00451ED0">
        <w:rPr>
          <w:sz w:val="24"/>
          <w:lang w:val="sk-SK"/>
        </w:rPr>
        <w:t>28</w:t>
      </w:r>
      <w:r w:rsidR="00ED76F1">
        <w:rPr>
          <w:sz w:val="24"/>
          <w:lang w:val="sk-SK"/>
        </w:rPr>
        <w:t>.</w:t>
      </w:r>
      <w:r w:rsidR="00ED76F1" w:rsidRPr="00451ED0">
        <w:rPr>
          <w:sz w:val="24"/>
          <w:lang w:val="sk-SK"/>
        </w:rPr>
        <w:t>2</w:t>
      </w:r>
      <w:r w:rsidR="00ED76F1">
        <w:rPr>
          <w:sz w:val="24"/>
          <w:lang w:val="sk-SK"/>
        </w:rPr>
        <w:t>.</w:t>
      </w:r>
      <w:r w:rsidR="00ED76F1" w:rsidRPr="00451ED0">
        <w:rPr>
          <w:sz w:val="24"/>
          <w:lang w:val="sk-SK"/>
        </w:rPr>
        <w:t>2023</w:t>
      </w:r>
      <w:r w:rsidR="00ED76F1">
        <w:rPr>
          <w:sz w:val="24"/>
          <w:lang w:val="sk-SK"/>
        </w:rPr>
        <w:t xml:space="preserve">, s. </w:t>
      </w:r>
      <w:r w:rsidR="00ED76F1" w:rsidRPr="00451ED0">
        <w:rPr>
          <w:sz w:val="24"/>
          <w:lang w:val="sk-SK"/>
        </w:rPr>
        <w:t>143</w:t>
      </w:r>
      <w:r>
        <w:rPr>
          <w:sz w:val="24"/>
          <w:lang w:val="sk-SK"/>
        </w:rPr>
        <w:t>.</w:t>
      </w:r>
    </w:p>
  </w:footnote>
  <w:footnote w:id="2">
    <w:p w:rsidR="00DD5D98" w:rsidRPr="006F45FB" w:rsidRDefault="00DD5D98" w:rsidP="006F45FB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6F45FB">
        <w:rPr>
          <w:lang w:val="sk-SK"/>
        </w:rPr>
        <w:t xml:space="preserve"> </w:t>
      </w:r>
      <w:r>
        <w:rPr>
          <w:lang w:val="sk-SK"/>
        </w:rPr>
        <w:tab/>
      </w:r>
      <w:r w:rsidRPr="006F45FB">
        <w:rPr>
          <w:sz w:val="24"/>
          <w:szCs w:val="24"/>
          <w:lang w:val="sk-SK"/>
        </w:rPr>
        <w:t xml:space="preserve">Táto pozícia nahrádza pozmeňujúce návrhy prijaté </w:t>
      </w:r>
      <w:r w:rsidRPr="00451ED0">
        <w:rPr>
          <w:sz w:val="24"/>
          <w:szCs w:val="24"/>
          <w:lang w:val="sk-SK"/>
        </w:rPr>
        <w:t>11</w:t>
      </w:r>
      <w:r>
        <w:rPr>
          <w:sz w:val="24"/>
          <w:szCs w:val="24"/>
          <w:lang w:val="sk-SK"/>
        </w:rPr>
        <w:t>. júla </w:t>
      </w:r>
      <w:r w:rsidRPr="00451ED0">
        <w:rPr>
          <w:sz w:val="24"/>
          <w:szCs w:val="24"/>
          <w:lang w:val="sk-SK"/>
        </w:rPr>
        <w:t>2023</w:t>
      </w:r>
      <w:r>
        <w:rPr>
          <w:sz w:val="24"/>
          <w:szCs w:val="24"/>
          <w:lang w:val="sk-SK"/>
        </w:rPr>
        <w:t xml:space="preserve"> (Prijaté texty, P</w:t>
      </w:r>
      <w:r w:rsidRPr="00451ED0">
        <w:rPr>
          <w:sz w:val="24"/>
          <w:szCs w:val="24"/>
          <w:lang w:val="sk-SK"/>
        </w:rPr>
        <w:t>9</w:t>
      </w:r>
      <w:r>
        <w:rPr>
          <w:sz w:val="24"/>
          <w:szCs w:val="24"/>
          <w:lang w:val="sk-SK"/>
        </w:rPr>
        <w:t>_TA(</w:t>
      </w:r>
      <w:r w:rsidRPr="00451ED0">
        <w:rPr>
          <w:sz w:val="24"/>
          <w:szCs w:val="24"/>
          <w:lang w:val="sk-SK"/>
        </w:rPr>
        <w:t>2023</w:t>
      </w:r>
      <w:r>
        <w:rPr>
          <w:sz w:val="24"/>
          <w:szCs w:val="24"/>
          <w:lang w:val="sk-SK"/>
        </w:rPr>
        <w:t>)</w:t>
      </w:r>
      <w:r w:rsidRPr="00451ED0">
        <w:rPr>
          <w:sz w:val="24"/>
          <w:szCs w:val="24"/>
          <w:lang w:val="sk-SK"/>
        </w:rPr>
        <w:t>0264</w:t>
      </w:r>
      <w:r w:rsidRPr="006F45FB">
        <w:rPr>
          <w:sz w:val="24"/>
          <w:szCs w:val="24"/>
          <w:lang w:val="sk-SK"/>
        </w:rPr>
        <w:t>).</w:t>
      </w:r>
    </w:p>
  </w:footnote>
  <w:footnote w:id="3">
    <w:p w:rsidR="003215D9" w:rsidRDefault="006E4A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Tiemo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Wölken</w:t>
      </w:r>
      <w:proofErr w:type="spellEnd"/>
      <w:r>
        <w:rPr>
          <w:sz w:val="24"/>
          <w:lang w:val="sk-SK"/>
        </w:rPr>
        <w:t xml:space="preserve"> a </w:t>
      </w:r>
      <w:r w:rsidR="00407CCA" w:rsidRPr="006F45FB">
        <w:rPr>
          <w:sz w:val="24"/>
          <w:lang w:val="sk-SK"/>
        </w:rPr>
        <w:t xml:space="preserve">Félix </w:t>
      </w:r>
      <w:proofErr w:type="spellStart"/>
      <w:r w:rsidR="006B6632" w:rsidRPr="006F45FB">
        <w:rPr>
          <w:sz w:val="24"/>
          <w:lang w:val="sk-SK"/>
        </w:rPr>
        <w:t>Bolaños</w:t>
      </w:r>
      <w:proofErr w:type="spellEnd"/>
      <w:r w:rsidR="006B6632" w:rsidRPr="006F45FB">
        <w:rPr>
          <w:sz w:val="24"/>
          <w:lang w:val="sk-SK"/>
        </w:rPr>
        <w:t xml:space="preserve"> </w:t>
      </w:r>
      <w:proofErr w:type="spellStart"/>
      <w:r w:rsidR="006B6632" w:rsidRPr="006F45FB">
        <w:rPr>
          <w:sz w:val="24"/>
          <w:lang w:val="sk-SK"/>
        </w:rPr>
        <w:t>García</w:t>
      </w:r>
      <w:proofErr w:type="spellEnd"/>
      <w:r>
        <w:rPr>
          <w:sz w:val="24"/>
          <w:lang w:val="sk-SK"/>
        </w:rPr>
        <w:t xml:space="preserve"> viedli v mene </w:t>
      </w:r>
      <w:r w:rsidR="005C6E3D">
        <w:rPr>
          <w:sz w:val="24"/>
          <w:lang w:val="sk-SK"/>
        </w:rPr>
        <w:t>Európskeho p</w:t>
      </w:r>
      <w:r>
        <w:rPr>
          <w:sz w:val="24"/>
          <w:lang w:val="sk-SK"/>
        </w:rPr>
        <w:t>arlamentu a Rady rokovania o tomto akte.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5D9" w:rsidRDefault="003215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255296"/>
    <w:multiLevelType w:val="hybridMultilevel"/>
    <w:tmpl w:val="FF18D614"/>
    <w:lvl w:ilvl="0" w:tplc="6D04B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61C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ECA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CC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6EC3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728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81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A08F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708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538D7"/>
    <w:multiLevelType w:val="hybridMultilevel"/>
    <w:tmpl w:val="B4A836B6"/>
    <w:lvl w:ilvl="0" w:tplc="D3C6EB5C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24E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A89D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065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6C3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8E4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0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C62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061B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23/2023"/>
    <w:docVar w:name="dvlangue" w:val="SK"/>
    <w:docVar w:name="dvnumam" w:val="212"/>
    <w:docVar w:name="dvpe" w:val="745.170"/>
    <w:docVar w:name="dvrapporteur" w:val="Spravodajca: "/>
    <w:docVar w:name="dvstar" w:val="***I"/>
    <w:docVar w:name="dvtitre" w:val="Legislatívne uznesenie Európskeho parlamentu z xx. februára 2024 o návrhu smernice Európskeho parlamentu a Rady o ochrane osôb zapojených do verejnej účasti pred zjavne neopodstatnenými alebo zneužívajúcimi súdnymi konaniami („strategickými žalobami proti verejnej účasti“)(COM(2022)0177 – C9-0161/2022 – 2022/0117(COD))"/>
  </w:docVars>
  <w:rsids>
    <w:rsidRoot w:val="003215D9"/>
    <w:rsid w:val="00040000"/>
    <w:rsid w:val="000F5E99"/>
    <w:rsid w:val="002B0DED"/>
    <w:rsid w:val="003215D9"/>
    <w:rsid w:val="00354E4B"/>
    <w:rsid w:val="00407CCA"/>
    <w:rsid w:val="00451ED0"/>
    <w:rsid w:val="004E64B4"/>
    <w:rsid w:val="005C6E3D"/>
    <w:rsid w:val="006B6632"/>
    <w:rsid w:val="006E4A01"/>
    <w:rsid w:val="006F45FB"/>
    <w:rsid w:val="00760BA4"/>
    <w:rsid w:val="0097160C"/>
    <w:rsid w:val="00DA5B8E"/>
    <w:rsid w:val="00DD5D98"/>
    <w:rsid w:val="00E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3B1FB"/>
  <w15:chartTrackingRefBased/>
  <w15:docId w15:val="{13C0EC63-FF88-4A0E-B5EB-AC8F8177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rial14CentreBold">
    <w:name w:val="Arial14CentreBold"/>
    <w:basedOn w:val="Normal"/>
    <w:qFormat/>
    <w:pPr>
      <w:jc w:val="center"/>
    </w:pPr>
    <w:rPr>
      <w:rFonts w:ascii="Arial" w:hAnsi="Arial"/>
      <w:b/>
      <w:sz w:val="28"/>
    </w:rPr>
  </w:style>
  <w:style w:type="character" w:customStyle="1" w:styleId="Bold">
    <w:name w:val="Bold"/>
    <w:uiPriority w:val="1"/>
    <w:rPr>
      <w:b/>
    </w:rPr>
  </w:style>
  <w:style w:type="character" w:customStyle="1" w:styleId="BoldItalic">
    <w:name w:val="BoldItalic"/>
    <w:uiPriority w:val="1"/>
    <w:rPr>
      <w:b/>
      <w:i/>
      <w:u w:val="none"/>
    </w:rPr>
  </w:style>
  <w:style w:type="paragraph" w:customStyle="1" w:styleId="CoverNormal12a">
    <w:name w:val="CoverNormal12a"/>
    <w:basedOn w:val="Normal"/>
    <w:pPr>
      <w:spacing w:after="240"/>
      <w:ind w:left="1418"/>
    </w:pPr>
  </w:style>
  <w:style w:type="paragraph" w:customStyle="1" w:styleId="EPFooter2Landscape">
    <w:name w:val="EPFooter2Landscape"/>
    <w:qFormat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k-SK"/>
    </w:rPr>
  </w:style>
  <w:style w:type="character" w:customStyle="1" w:styleId="EPFooter2Motto">
    <w:name w:val="EPFooter2Motto"/>
    <w:uiPriority w:val="1"/>
    <w:qFormat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pPr>
      <w:tabs>
        <w:tab w:val="center" w:pos="6804"/>
        <w:tab w:val="right" w:pos="15026"/>
      </w:tabs>
    </w:pPr>
    <w:rPr>
      <w:sz w:val="22"/>
      <w:lang w:val="sk-SK"/>
    </w:rPr>
  </w:style>
  <w:style w:type="character" w:customStyle="1" w:styleId="Italic">
    <w:name w:val="Italic"/>
    <w:uiPriority w:val="1"/>
    <w:rPr>
      <w:i/>
    </w:rPr>
  </w:style>
  <w:style w:type="paragraph" w:customStyle="1" w:styleId="ProcedureTable">
    <w:name w:val="ProcedureTable"/>
    <w:basedOn w:val="Normal"/>
    <w:rPr>
      <w:sz w:val="20"/>
    </w:rPr>
  </w:style>
  <w:style w:type="paragraph" w:customStyle="1" w:styleId="ProcedureTableBold">
    <w:name w:val="ProcedureTableBold"/>
    <w:basedOn w:val="Normal"/>
    <w:rPr>
      <w:b/>
      <w:sz w:val="20"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Normal12a12b">
    <w:name w:val="Normal12a12b"/>
    <w:basedOn w:val="Normal"/>
    <w:pPr>
      <w:spacing w:before="240" w:after="240"/>
    </w:pPr>
  </w:style>
  <w:style w:type="character" w:customStyle="1" w:styleId="NormalBI">
    <w:name w:val="NormalBI"/>
    <w:basedOn w:val="DefaultParagraphFont"/>
    <w:uiPriority w:val="1"/>
    <w:qFormat/>
    <w:rPr>
      <w:rFonts w:ascii="Times New Roman" w:hAnsi="Times New Roman"/>
      <w:b/>
      <w:i/>
      <w:sz w:val="24"/>
    </w:rPr>
  </w:style>
  <w:style w:type="paragraph" w:customStyle="1" w:styleId="Normal12aBullet1">
    <w:name w:val="Normal12aBullet1"/>
    <w:basedOn w:val="Normal12a"/>
    <w:qFormat/>
    <w:pPr>
      <w:numPr>
        <w:numId w:val="45"/>
      </w:numPr>
    </w:pPr>
  </w:style>
  <w:style w:type="paragraph" w:customStyle="1" w:styleId="NormalHanging12a1">
    <w:name w:val="NormalHanging12a1"/>
    <w:basedOn w:val="Normal"/>
    <w:qFormat/>
    <w:pPr>
      <w:spacing w:after="240"/>
      <w:ind w:left="992" w:hanging="425"/>
    </w:pPr>
  </w:style>
  <w:style w:type="paragraph" w:customStyle="1" w:styleId="NormalHanging12a2">
    <w:name w:val="NormalHanging12a2"/>
    <w:basedOn w:val="Normal"/>
    <w:qFormat/>
    <w:pPr>
      <w:spacing w:after="240"/>
      <w:ind w:left="1417" w:hanging="425"/>
    </w:pPr>
  </w:style>
  <w:style w:type="paragraph" w:customStyle="1" w:styleId="NormalHanging12a3">
    <w:name w:val="NormalHanging12a3"/>
    <w:basedOn w:val="NormalHanging12a2"/>
    <w:qFormat/>
    <w:pPr>
      <w:ind w:left="1843"/>
    </w:pPr>
  </w:style>
  <w:style w:type="paragraph" w:customStyle="1" w:styleId="NormalHanging12a4">
    <w:name w:val="NormalHanging12a4"/>
    <w:basedOn w:val="NormalHanging12a3"/>
    <w:qFormat/>
    <w:pPr>
      <w:ind w:left="2268"/>
    </w:pPr>
  </w:style>
  <w:style w:type="paragraph" w:customStyle="1" w:styleId="NormalHanging12a5">
    <w:name w:val="NormalHanging12a5"/>
    <w:basedOn w:val="NormalHanging12a4"/>
    <w:qFormat/>
    <w:pPr>
      <w:ind w:left="2693"/>
    </w:pPr>
  </w:style>
  <w:style w:type="paragraph" w:customStyle="1" w:styleId="NormalHanging12a6">
    <w:name w:val="NormalHanging12a6"/>
    <w:basedOn w:val="NormalHanging12a5"/>
    <w:qFormat/>
    <w:pPr>
      <w:ind w:left="3118"/>
    </w:pPr>
  </w:style>
  <w:style w:type="paragraph" w:customStyle="1" w:styleId="NormalHanging12a7">
    <w:name w:val="NormalHanging12a7"/>
    <w:basedOn w:val="NormalHanging12a6"/>
    <w:qFormat/>
    <w:pPr>
      <w:ind w:left="3544"/>
    </w:pPr>
  </w:style>
  <w:style w:type="paragraph" w:customStyle="1" w:styleId="NormalHanging12a8">
    <w:name w:val="NormalHanging12a8"/>
    <w:basedOn w:val="NormalHanging12a7"/>
    <w:qFormat/>
    <w:pPr>
      <w:ind w:left="3969"/>
    </w:pPr>
  </w:style>
  <w:style w:type="paragraph" w:customStyle="1" w:styleId="Normal12HangingCenter">
    <w:name w:val="Normal12HangingCenter"/>
    <w:basedOn w:val="Normal"/>
    <w:qFormat/>
    <w:pPr>
      <w:spacing w:after="240"/>
      <w:ind w:left="567" w:hanging="567"/>
      <w:jc w:val="center"/>
    </w:pPr>
  </w:style>
  <w:style w:type="paragraph" w:customStyle="1" w:styleId="Normal12HangingJustified">
    <w:name w:val="Normal12HangingJustified"/>
    <w:basedOn w:val="Normal"/>
    <w:qFormat/>
    <w:pPr>
      <w:spacing w:after="240"/>
      <w:ind w:left="714" w:hanging="357"/>
      <w:jc w:val="both"/>
    </w:pPr>
  </w:style>
  <w:style w:type="paragraph" w:customStyle="1" w:styleId="Normal2">
    <w:name w:val="Normal2"/>
    <w:next w:val="Normal"/>
    <w:qFormat/>
    <w:pPr>
      <w:spacing w:line="120" w:lineRule="auto"/>
    </w:pPr>
    <w:rPr>
      <w:color w:val="000000"/>
      <w:sz w:val="4"/>
      <w:szCs w:val="24"/>
      <w:lang w:val="sk-SK"/>
    </w:r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customStyle="1" w:styleId="NormalBoldItalic6a">
    <w:name w:val="NormalBoldItalic6a"/>
    <w:basedOn w:val="Normal6a"/>
    <w:qFormat/>
    <w:rPr>
      <w:b/>
      <w:i/>
    </w:rPr>
  </w:style>
  <w:style w:type="paragraph" w:customStyle="1" w:styleId="NormalBoldItalicCenter6a">
    <w:name w:val="NormalBoldItalicCenter6a"/>
    <w:basedOn w:val="Normal6a"/>
    <w:qFormat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Pr>
      <w:i/>
    </w:rPr>
  </w:style>
  <w:style w:type="character" w:customStyle="1" w:styleId="Sub">
    <w:name w:val="Sub"/>
    <w:uiPriority w:val="1"/>
    <w:qFormat/>
    <w:rPr>
      <w:vertAlign w:val="subscript"/>
    </w:rPr>
  </w:style>
  <w:style w:type="character" w:customStyle="1" w:styleId="SubBold">
    <w:name w:val="SubBold"/>
    <w:uiPriority w:val="1"/>
    <w:qFormat/>
    <w:rPr>
      <w:b/>
      <w:vertAlign w:val="subscript"/>
    </w:rPr>
  </w:style>
  <w:style w:type="character" w:customStyle="1" w:styleId="SubBoldItalic">
    <w:name w:val="SubBoldItalic"/>
    <w:uiPriority w:val="1"/>
    <w:rPr>
      <w:b/>
      <w:i/>
      <w:vertAlign w:val="subscript"/>
    </w:rPr>
  </w:style>
  <w:style w:type="character" w:customStyle="1" w:styleId="SubItalic">
    <w:name w:val="SubItalic"/>
    <w:uiPriority w:val="1"/>
    <w:qFormat/>
    <w:rPr>
      <w:b/>
      <w:i/>
      <w:vertAlign w:val="subscript"/>
    </w:rPr>
  </w:style>
  <w:style w:type="character" w:customStyle="1" w:styleId="Sup">
    <w:name w:val="Sup"/>
    <w:uiPriority w:val="1"/>
    <w:rPr>
      <w:vertAlign w:val="superscript"/>
    </w:rPr>
  </w:style>
  <w:style w:type="character" w:customStyle="1" w:styleId="SupBoldItalic">
    <w:name w:val="SupBoldItalic"/>
    <w:uiPriority w:val="1"/>
    <w:qFormat/>
    <w:rPr>
      <w:b/>
      <w:i/>
      <w:vertAlign w:val="superscript"/>
    </w:rPr>
  </w:style>
  <w:style w:type="character" w:customStyle="1" w:styleId="Underline">
    <w:name w:val="Underline"/>
    <w:uiPriority w:val="1"/>
    <w:rPr>
      <w:u w:val="single"/>
    </w:rPr>
  </w:style>
  <w:style w:type="character" w:customStyle="1" w:styleId="HideTermComment">
    <w:name w:val="HideTermComment"/>
    <w:uiPriority w:val="1"/>
    <w:qFormat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Pr>
      <w:rFonts w:ascii="Arial" w:hAnsi="Arial"/>
      <w:vanish/>
      <w:color w:val="538135" w:themeColor="accent6" w:themeShade="BF"/>
      <w:sz w:val="18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Subheading">
    <w:name w:val="Subheading"/>
    <w:basedOn w:val="Normal"/>
    <w:pPr>
      <w:spacing w:before="480" w:after="240"/>
    </w:pPr>
    <w:rPr>
      <w:b/>
      <w:i/>
      <w:szCs w:val="24"/>
    </w:rPr>
  </w:style>
  <w:style w:type="character" w:customStyle="1" w:styleId="BoldItalicUnderline">
    <w:name w:val="BoldItalicUnderline"/>
    <w:uiPriority w:val="1"/>
    <w:rPr>
      <w:b/>
      <w:i/>
      <w:u w:val="single"/>
    </w:rPr>
  </w:style>
  <w:style w:type="character" w:customStyle="1" w:styleId="BoldUnderline">
    <w:name w:val="BoldUnderline"/>
    <w:uiPriority w:val="1"/>
    <w:rPr>
      <w:b/>
      <w:u w:val="single"/>
    </w:rPr>
  </w:style>
  <w:style w:type="character" w:customStyle="1" w:styleId="ItalicUnderline">
    <w:name w:val="ItalicUnderline"/>
    <w:uiPriority w:val="1"/>
    <w:rPr>
      <w:i/>
      <w:u w:val="single"/>
    </w:rPr>
  </w:style>
  <w:style w:type="character" w:customStyle="1" w:styleId="SubBoldItalicUnderline">
    <w:name w:val="SubBoldItalicUnderline"/>
    <w:uiPriority w:val="1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Pr>
      <w:i/>
      <w:u w:val="single"/>
      <w:vertAlign w:val="subscript"/>
    </w:rPr>
  </w:style>
  <w:style w:type="character" w:customStyle="1" w:styleId="SubUnderline">
    <w:name w:val="SubUnderline"/>
    <w:uiPriority w:val="1"/>
    <w:rPr>
      <w:u w:val="single"/>
      <w:vertAlign w:val="subscript"/>
    </w:rPr>
  </w:style>
  <w:style w:type="character" w:customStyle="1" w:styleId="SupBold">
    <w:name w:val="SupBold"/>
    <w:uiPriority w:val="1"/>
    <w:rPr>
      <w:b/>
      <w:vertAlign w:val="superscript"/>
    </w:rPr>
  </w:style>
  <w:style w:type="character" w:customStyle="1" w:styleId="SupBoldItalicUnderline">
    <w:name w:val="SupBoldItalicUnderline"/>
    <w:uiPriority w:val="1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Pr>
      <w:b/>
      <w:u w:val="single"/>
      <w:vertAlign w:val="superscript"/>
    </w:rPr>
  </w:style>
  <w:style w:type="character" w:customStyle="1" w:styleId="SupItalic">
    <w:name w:val="SupItalic"/>
    <w:uiPriority w:val="1"/>
    <w:rPr>
      <w:i/>
      <w:vertAlign w:val="superscript"/>
    </w:rPr>
  </w:style>
  <w:style w:type="character" w:customStyle="1" w:styleId="SupItalicUnderline">
    <w:name w:val="SupItalicUnderline"/>
    <w:uiPriority w:val="1"/>
    <w:rPr>
      <w:i/>
      <w:u w:val="single"/>
      <w:vertAlign w:val="superscript"/>
    </w:rPr>
  </w:style>
  <w:style w:type="character" w:customStyle="1" w:styleId="SupUnderline">
    <w:name w:val="SupUnderline"/>
    <w:uiPriority w:val="1"/>
    <w:rPr>
      <w:u w:val="single"/>
      <w:vertAlign w:val="superscript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5C6E3D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F193-9703-4C04-8E7D-72263299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2024-05-30T14:41:00Z</dcterms:created>
  <dcterms:modified xsi:type="dcterms:W3CDTF">2024-05-30T14:41:00Z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P9_TA(2024)0085_</vt:lpwstr>
  </property>
  <property fmtid="{D5CDD505-2E9C-101B-9397-08002B2CF9AE}" pid="4" name="&lt;Type&gt;">
    <vt:lpwstr>RR</vt:lpwstr>
  </property>
</Properties>
</file>