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21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212E" w:rsidRDefault="00B84C26" w:rsidP="0010095E">
            <w:pPr>
              <w:pStyle w:val="EPName"/>
            </w:pPr>
            <w:r w:rsidRPr="00CF212E">
              <w:t>Parlamento Europeo</w:t>
            </w:r>
          </w:p>
          <w:p w:rsidR="00751A4A" w:rsidRPr="00CF212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3E75">
              <w:t>2019</w:t>
            </w:r>
            <w:r w:rsidRPr="00CF212E">
              <w:t>-</w:t>
            </w:r>
            <w:r w:rsidRPr="00BE3E7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F212E" w:rsidRDefault="00187494" w:rsidP="0010095E">
            <w:pPr>
              <w:pStyle w:val="EPLogo"/>
            </w:pPr>
            <w:r w:rsidRPr="00CF212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212E" w:rsidRDefault="00D058B8" w:rsidP="004C5D52">
      <w:pPr>
        <w:pStyle w:val="LineTop"/>
      </w:pPr>
    </w:p>
    <w:p w:rsidR="00680577" w:rsidRPr="00CF212E" w:rsidRDefault="00B84C26" w:rsidP="00680577">
      <w:pPr>
        <w:pStyle w:val="EPBodyTA1"/>
      </w:pPr>
      <w:r w:rsidRPr="00CF212E">
        <w:t>TEXTOS APROBADOS</w:t>
      </w:r>
    </w:p>
    <w:p w:rsidR="00D058B8" w:rsidRPr="00CF212E" w:rsidRDefault="00D058B8" w:rsidP="00D058B8">
      <w:pPr>
        <w:pStyle w:val="LineBottom"/>
      </w:pPr>
    </w:p>
    <w:p w:rsidR="00B84C26" w:rsidRPr="00CF212E" w:rsidRDefault="00B84C26" w:rsidP="00B84C26">
      <w:pPr>
        <w:pStyle w:val="ATHeading1"/>
      </w:pPr>
      <w:bookmarkStart w:id="0" w:name="TANumber"/>
      <w:r w:rsidRPr="00CF212E">
        <w:t>P</w:t>
      </w:r>
      <w:r w:rsidRPr="00BE3E75">
        <w:t>9</w:t>
      </w:r>
      <w:r w:rsidRPr="00CF212E">
        <w:t>_TA(</w:t>
      </w:r>
      <w:r w:rsidRPr="00BE3E75">
        <w:t>2024</w:t>
      </w:r>
      <w:r w:rsidRPr="00CF212E">
        <w:t>)</w:t>
      </w:r>
      <w:bookmarkEnd w:id="0"/>
      <w:r w:rsidR="00011F5E" w:rsidRPr="00BE3E75">
        <w:t>0086</w:t>
      </w:r>
    </w:p>
    <w:p w:rsidR="00B84C26" w:rsidRPr="00CF212E" w:rsidRDefault="00B84C26" w:rsidP="00B84C26">
      <w:pPr>
        <w:pStyle w:val="ATHeading2"/>
      </w:pPr>
      <w:bookmarkStart w:id="1" w:name="title"/>
      <w:r w:rsidRPr="00CF212E">
        <w:t xml:space="preserve">Modificaciones al Protocolo n.° </w:t>
      </w:r>
      <w:r w:rsidRPr="00BE3E75">
        <w:t>3</w:t>
      </w:r>
      <w:r w:rsidRPr="00CF212E">
        <w:t xml:space="preserve"> sobre el Estatuto del Tribunal de Justicia</w:t>
      </w:r>
      <w:r w:rsidR="00FC39A8" w:rsidRPr="00CF212E">
        <w:t xml:space="preserve"> de la Unión Europea</w:t>
      </w:r>
      <w:bookmarkEnd w:id="1"/>
    </w:p>
    <w:p w:rsidR="00B84C26" w:rsidRPr="00CF212E" w:rsidRDefault="00B84C26" w:rsidP="00B84C26">
      <w:pPr>
        <w:rPr>
          <w:i/>
          <w:vanish/>
        </w:rPr>
      </w:pPr>
      <w:r w:rsidRPr="00CF212E">
        <w:rPr>
          <w:i/>
        </w:rPr>
        <w:fldChar w:fldCharType="begin"/>
      </w:r>
      <w:r w:rsidRPr="00CF212E">
        <w:rPr>
          <w:i/>
        </w:rPr>
        <w:instrText xml:space="preserve"> TC"(</w:instrText>
      </w:r>
      <w:bookmarkStart w:id="2" w:name="DocNumber"/>
      <w:r w:rsidRPr="00CF212E">
        <w:rPr>
          <w:i/>
        </w:rPr>
        <w:instrText>A</w:instrText>
      </w:r>
      <w:r w:rsidRPr="00BE3E75">
        <w:rPr>
          <w:i/>
        </w:rPr>
        <w:instrText>9</w:instrText>
      </w:r>
      <w:r w:rsidRPr="00CF212E">
        <w:rPr>
          <w:i/>
        </w:rPr>
        <w:instrText>-</w:instrText>
      </w:r>
      <w:r w:rsidRPr="00BE3E75">
        <w:rPr>
          <w:i/>
        </w:rPr>
        <w:instrText>0278</w:instrText>
      </w:r>
      <w:r w:rsidRPr="00CF212E">
        <w:rPr>
          <w:i/>
        </w:rPr>
        <w:instrText>/</w:instrText>
      </w:r>
      <w:r w:rsidRPr="00BE3E75">
        <w:rPr>
          <w:i/>
        </w:rPr>
        <w:instrText>2023</w:instrText>
      </w:r>
      <w:bookmarkEnd w:id="2"/>
      <w:r w:rsidRPr="00CF212E">
        <w:rPr>
          <w:i/>
        </w:rPr>
        <w:instrText xml:space="preserve"> - Ponente: Ilana Cicurel)"\l</w:instrText>
      </w:r>
      <w:r w:rsidRPr="00BE3E75">
        <w:rPr>
          <w:i/>
        </w:rPr>
        <w:instrText>3</w:instrText>
      </w:r>
      <w:r w:rsidRPr="00CF212E">
        <w:rPr>
          <w:i/>
        </w:rPr>
        <w:instrText xml:space="preserve"> \n&gt; \* MERGEFORMAT </w:instrText>
      </w:r>
      <w:r w:rsidRPr="00CF212E">
        <w:rPr>
          <w:i/>
        </w:rPr>
        <w:fldChar w:fldCharType="end"/>
      </w:r>
    </w:p>
    <w:p w:rsidR="00B84C26" w:rsidRPr="00CF212E" w:rsidRDefault="00B84C26" w:rsidP="00B84C26">
      <w:pPr>
        <w:rPr>
          <w:vanish/>
        </w:rPr>
      </w:pPr>
      <w:bookmarkStart w:id="3" w:name="Commission"/>
      <w:r w:rsidRPr="00CF212E">
        <w:rPr>
          <w:vanish/>
        </w:rPr>
        <w:t>Comisión de Asuntos Jurídicos</w:t>
      </w:r>
      <w:bookmarkEnd w:id="3"/>
    </w:p>
    <w:p w:rsidR="00B84C26" w:rsidRPr="00CF212E" w:rsidRDefault="00B84C26" w:rsidP="00B84C26">
      <w:pPr>
        <w:rPr>
          <w:vanish/>
        </w:rPr>
      </w:pPr>
      <w:bookmarkStart w:id="4" w:name="PE"/>
      <w:r w:rsidRPr="00CF212E">
        <w:rPr>
          <w:vanish/>
        </w:rPr>
        <w:t>PE</w:t>
      </w:r>
      <w:r w:rsidRPr="00BE3E75">
        <w:rPr>
          <w:vanish/>
        </w:rPr>
        <w:t>749</w:t>
      </w:r>
      <w:r w:rsidRPr="00CF212E">
        <w:rPr>
          <w:vanish/>
        </w:rPr>
        <w:t>.</w:t>
      </w:r>
      <w:r w:rsidRPr="00BE3E75">
        <w:rPr>
          <w:vanish/>
        </w:rPr>
        <w:t>912</w:t>
      </w:r>
      <w:bookmarkEnd w:id="4"/>
    </w:p>
    <w:p w:rsidR="00B84C26" w:rsidRPr="00CF212E" w:rsidRDefault="00B84C26" w:rsidP="00B84C26">
      <w:pPr>
        <w:pStyle w:val="ATHeading3"/>
      </w:pPr>
      <w:bookmarkStart w:id="5" w:name="Sujet"/>
      <w:r w:rsidRPr="00CF212E">
        <w:t xml:space="preserve">Resolución legislativa del Parlamento Europeo, de </w:t>
      </w:r>
      <w:r w:rsidRPr="00BE3E75">
        <w:t>27</w:t>
      </w:r>
      <w:r w:rsidRPr="00CF212E">
        <w:t xml:space="preserve"> de febrero de </w:t>
      </w:r>
      <w:r w:rsidRPr="00BE3E75">
        <w:t>2024</w:t>
      </w:r>
      <w:r w:rsidRPr="00CF212E">
        <w:t>, sobre el proyecto de Reglamento del Parlamento Europeo y del Consejo por el que se modifica el Protocolo n.º </w:t>
      </w:r>
      <w:r w:rsidRPr="00BE3E75">
        <w:t>3</w:t>
      </w:r>
      <w:r w:rsidRPr="00CF212E">
        <w:t xml:space="preserve"> sobre el Estatuto del Tribunal de Justicia de la Unión Europea</w:t>
      </w:r>
      <w:bookmarkEnd w:id="5"/>
      <w:r w:rsidRPr="00CF212E">
        <w:t xml:space="preserve"> </w:t>
      </w:r>
      <w:bookmarkStart w:id="6" w:name="References"/>
      <w:r w:rsidRPr="00CF212E">
        <w:t>(</w:t>
      </w:r>
      <w:r w:rsidRPr="00BE3E75">
        <w:t>07307</w:t>
      </w:r>
      <w:r w:rsidRPr="00CF212E">
        <w:t>/</w:t>
      </w:r>
      <w:r w:rsidRPr="00BE3E75">
        <w:t>2022</w:t>
      </w:r>
      <w:r w:rsidRPr="00CF212E">
        <w:t xml:space="preserve"> – C</w:t>
      </w:r>
      <w:r w:rsidRPr="00BE3E75">
        <w:t>9</w:t>
      </w:r>
      <w:r w:rsidRPr="00CF212E">
        <w:t>-</w:t>
      </w:r>
      <w:r w:rsidRPr="00BE3E75">
        <w:t>0405</w:t>
      </w:r>
      <w:r w:rsidRPr="00CF212E">
        <w:t>/</w:t>
      </w:r>
      <w:r w:rsidRPr="00BE3E75">
        <w:t>2022</w:t>
      </w:r>
      <w:r w:rsidRPr="00CF212E">
        <w:t xml:space="preserve"> – </w:t>
      </w:r>
      <w:r w:rsidRPr="00BE3E75">
        <w:t>2022</w:t>
      </w:r>
      <w:r w:rsidRPr="00CF212E">
        <w:t>/</w:t>
      </w:r>
      <w:r w:rsidRPr="00BE3E75">
        <w:t>0906</w:t>
      </w:r>
      <w:r w:rsidRPr="00CF212E">
        <w:t>(COD))</w:t>
      </w:r>
      <w:bookmarkEnd w:id="6"/>
    </w:p>
    <w:p w:rsidR="009776FE" w:rsidRPr="00CF212E" w:rsidRDefault="001A0315" w:rsidP="009776FE">
      <w:pPr>
        <w:pStyle w:val="NormalBold"/>
        <w:rPr>
          <w:lang w:val="es-ES_tradnl"/>
        </w:rPr>
      </w:pPr>
      <w:bookmarkStart w:id="7" w:name="TextBodyBegin"/>
      <w:bookmarkEnd w:id="7"/>
      <w:r w:rsidRPr="00CF212E">
        <w:rPr>
          <w:lang w:val="es-ES_tradnl"/>
        </w:rPr>
        <w:t>(</w:t>
      </w:r>
      <w:r w:rsidR="009776FE" w:rsidRPr="00CF212E">
        <w:rPr>
          <w:lang w:val="es-ES_tradnl"/>
        </w:rPr>
        <w:t>Procedimiento legislativo ordinario: primera lectura)</w:t>
      </w:r>
    </w:p>
    <w:p w:rsidR="009776FE" w:rsidRPr="00CF212E" w:rsidRDefault="009776FE" w:rsidP="009776FE">
      <w:pPr>
        <w:pStyle w:val="EPComma"/>
        <w:rPr>
          <w:lang w:val="es-ES_tradnl"/>
        </w:rPr>
      </w:pPr>
      <w:r w:rsidRPr="00CF212E">
        <w:rPr>
          <w:i/>
          <w:lang w:val="es-ES_tradnl"/>
        </w:rPr>
        <w:t>El Parlamento Europeo</w:t>
      </w:r>
      <w:r w:rsidRPr="00CF212E">
        <w:rPr>
          <w:lang w:val="es-ES_tradnl"/>
        </w:rPr>
        <w:t>,</w:t>
      </w:r>
    </w:p>
    <w:p w:rsidR="009776FE" w:rsidRPr="00CF212E" w:rsidRDefault="009776FE" w:rsidP="009776FE">
      <w:pPr>
        <w:pStyle w:val="NormalHanging12a"/>
        <w:rPr>
          <w:lang w:val="es-ES_tradnl"/>
        </w:rPr>
      </w:pPr>
      <w:r w:rsidRPr="00CF212E">
        <w:rPr>
          <w:lang w:val="es-ES_tradnl"/>
        </w:rPr>
        <w:t>–</w:t>
      </w:r>
      <w:r w:rsidRPr="00CF212E">
        <w:rPr>
          <w:lang w:val="es-ES_tradnl"/>
        </w:rPr>
        <w:tab/>
        <w:t>Vista la petición del Tribunal de Justicia presentada al Parlamento y al Consejo (</w:t>
      </w:r>
      <w:r w:rsidRPr="00BE3E75">
        <w:rPr>
          <w:lang w:val="es-ES_tradnl"/>
        </w:rPr>
        <w:t>07307</w:t>
      </w:r>
      <w:r w:rsidRPr="00CF212E">
        <w:rPr>
          <w:lang w:val="es-ES_tradnl"/>
        </w:rPr>
        <w:t>/</w:t>
      </w:r>
      <w:r w:rsidRPr="00BE3E75">
        <w:rPr>
          <w:lang w:val="es-ES_tradnl"/>
        </w:rPr>
        <w:t>2022</w:t>
      </w:r>
      <w:r w:rsidRPr="00CF212E">
        <w:rPr>
          <w:lang w:val="es-ES_tradnl"/>
        </w:rPr>
        <w:t>),</w:t>
      </w:r>
    </w:p>
    <w:p w:rsidR="009776FE" w:rsidRPr="00CF212E" w:rsidRDefault="009776FE" w:rsidP="009776FE">
      <w:pPr>
        <w:pStyle w:val="NormalHanging12a"/>
        <w:rPr>
          <w:lang w:val="es-ES_tradnl"/>
        </w:rPr>
      </w:pPr>
      <w:r w:rsidRPr="00CF212E">
        <w:rPr>
          <w:lang w:val="es-ES_tradnl"/>
        </w:rPr>
        <w:t>–</w:t>
      </w:r>
      <w:r w:rsidRPr="00CF212E">
        <w:rPr>
          <w:lang w:val="es-ES_tradnl"/>
        </w:rPr>
        <w:tab/>
        <w:t>Vistos el artículo </w:t>
      </w:r>
      <w:r w:rsidRPr="00BE3E75">
        <w:rPr>
          <w:lang w:val="es-ES_tradnl"/>
        </w:rPr>
        <w:t>256</w:t>
      </w:r>
      <w:r w:rsidRPr="00CF212E">
        <w:rPr>
          <w:lang w:val="es-ES_tradnl"/>
        </w:rPr>
        <w:t>, apartado </w:t>
      </w:r>
      <w:r w:rsidRPr="00BE3E75">
        <w:rPr>
          <w:lang w:val="es-ES_tradnl"/>
        </w:rPr>
        <w:t>3</w:t>
      </w:r>
      <w:r w:rsidRPr="00CF212E">
        <w:rPr>
          <w:lang w:val="es-ES_tradnl"/>
        </w:rPr>
        <w:t>, y el artículo </w:t>
      </w:r>
      <w:r w:rsidRPr="00BE3E75">
        <w:rPr>
          <w:lang w:val="es-ES_tradnl"/>
        </w:rPr>
        <w:t>281</w:t>
      </w:r>
      <w:r w:rsidRPr="00CF212E">
        <w:rPr>
          <w:lang w:val="es-ES_tradnl"/>
        </w:rPr>
        <w:t>, párrafo </w:t>
      </w:r>
      <w:r w:rsidR="00B5623B" w:rsidRPr="00CF212E">
        <w:rPr>
          <w:lang w:val="es-ES_tradnl"/>
        </w:rPr>
        <w:t>segundo</w:t>
      </w:r>
      <w:r w:rsidRPr="00CF212E">
        <w:rPr>
          <w:lang w:val="es-ES_tradnl"/>
        </w:rPr>
        <w:t>, del Tratado de Funcionamiento de la Unión Europea, así como el artículo </w:t>
      </w:r>
      <w:r w:rsidRPr="00BE3E75">
        <w:rPr>
          <w:lang w:val="es-ES_tradnl"/>
        </w:rPr>
        <w:t>106</w:t>
      </w:r>
      <w:r w:rsidRPr="00CF212E">
        <w:rPr>
          <w:lang w:val="es-ES_tradnl"/>
        </w:rPr>
        <w:t> bis, apartado </w:t>
      </w:r>
      <w:r w:rsidRPr="00BE3E75">
        <w:rPr>
          <w:lang w:val="es-ES_tradnl"/>
        </w:rPr>
        <w:t>1</w:t>
      </w:r>
      <w:r w:rsidRPr="00CF212E">
        <w:rPr>
          <w:lang w:val="es-ES_tradnl"/>
        </w:rPr>
        <w:t>, del Tratado constitutivo de la Comunidad Europea de la Energía Atómica conforme a los cuales la Comisión le ha presentado su propuesta (C</w:t>
      </w:r>
      <w:r w:rsidRPr="00BE3E75">
        <w:rPr>
          <w:lang w:val="es-ES_tradnl"/>
        </w:rPr>
        <w:t>9</w:t>
      </w:r>
      <w:r w:rsidRPr="00CF212E">
        <w:rPr>
          <w:lang w:val="es-ES_tradnl"/>
        </w:rPr>
        <w:t>-</w:t>
      </w:r>
      <w:r w:rsidRPr="00BE3E75">
        <w:rPr>
          <w:lang w:val="es-ES_tradnl"/>
        </w:rPr>
        <w:t>0405</w:t>
      </w:r>
      <w:r w:rsidRPr="00CF212E">
        <w:rPr>
          <w:lang w:val="es-ES_tradnl"/>
        </w:rPr>
        <w:t>/</w:t>
      </w:r>
      <w:r w:rsidRPr="00BE3E75">
        <w:rPr>
          <w:lang w:val="es-ES_tradnl"/>
        </w:rPr>
        <w:t>2022</w:t>
      </w:r>
      <w:r w:rsidRPr="00CF212E">
        <w:rPr>
          <w:lang w:val="es-ES_tradnl"/>
        </w:rPr>
        <w:t>),</w:t>
      </w:r>
    </w:p>
    <w:p w:rsidR="009776FE" w:rsidRPr="00CF212E" w:rsidRDefault="009776FE" w:rsidP="009776FE">
      <w:pPr>
        <w:pStyle w:val="NormalHanging12a"/>
        <w:rPr>
          <w:lang w:val="es-ES_tradnl"/>
        </w:rPr>
      </w:pPr>
      <w:r w:rsidRPr="00CF212E">
        <w:rPr>
          <w:lang w:val="es-ES_tradnl"/>
        </w:rPr>
        <w:t>–</w:t>
      </w:r>
      <w:r w:rsidRPr="00CF212E">
        <w:rPr>
          <w:lang w:val="es-ES_tradnl"/>
        </w:rPr>
        <w:tab/>
        <w:t>Visto el artículo </w:t>
      </w:r>
      <w:r w:rsidRPr="00BE3E75">
        <w:rPr>
          <w:lang w:val="es-ES_tradnl"/>
        </w:rPr>
        <w:t>294</w:t>
      </w:r>
      <w:r w:rsidRPr="00CF212E">
        <w:rPr>
          <w:lang w:val="es-ES_tradnl"/>
        </w:rPr>
        <w:t>, apartados </w:t>
      </w:r>
      <w:r w:rsidRPr="00BE3E75">
        <w:rPr>
          <w:lang w:val="es-ES_tradnl"/>
        </w:rPr>
        <w:t>3</w:t>
      </w:r>
      <w:r w:rsidRPr="00CF212E">
        <w:rPr>
          <w:lang w:val="es-ES_tradnl"/>
        </w:rPr>
        <w:t xml:space="preserve"> y </w:t>
      </w:r>
      <w:r w:rsidRPr="00BE3E75">
        <w:rPr>
          <w:lang w:val="es-ES_tradnl"/>
        </w:rPr>
        <w:t>15</w:t>
      </w:r>
      <w:r w:rsidRPr="00CF212E">
        <w:rPr>
          <w:lang w:val="es-ES_tradnl"/>
        </w:rPr>
        <w:t>, del Tratado de Funcionamiento de la Unión Europea,</w:t>
      </w:r>
    </w:p>
    <w:p w:rsidR="009776FE" w:rsidRPr="00CF212E" w:rsidRDefault="009776FE" w:rsidP="009776FE">
      <w:pPr>
        <w:pStyle w:val="NormalHanging12a"/>
        <w:rPr>
          <w:lang w:val="es-ES_tradnl"/>
        </w:rPr>
      </w:pPr>
      <w:r w:rsidRPr="00CF212E">
        <w:rPr>
          <w:lang w:val="es-ES_tradnl"/>
        </w:rPr>
        <w:t>–</w:t>
      </w:r>
      <w:r w:rsidRPr="00CF212E">
        <w:rPr>
          <w:lang w:val="es-ES_tradnl"/>
        </w:rPr>
        <w:tab/>
        <w:t>Visto el dictamen de la Comisión (COM(</w:t>
      </w:r>
      <w:r w:rsidRPr="00BE3E75">
        <w:rPr>
          <w:lang w:val="es-ES_tradnl"/>
        </w:rPr>
        <w:t>2023</w:t>
      </w:r>
      <w:r w:rsidRPr="00CF212E">
        <w:rPr>
          <w:lang w:val="es-ES_tradnl"/>
        </w:rPr>
        <w:t>)</w:t>
      </w:r>
      <w:r w:rsidRPr="00BE3E75">
        <w:rPr>
          <w:lang w:val="es-ES_tradnl"/>
        </w:rPr>
        <w:t>0135</w:t>
      </w:r>
      <w:r w:rsidRPr="00CF212E">
        <w:rPr>
          <w:lang w:val="es-ES_tradnl"/>
        </w:rPr>
        <w:t>),</w:t>
      </w:r>
    </w:p>
    <w:p w:rsidR="001A0315" w:rsidRPr="00CF212E" w:rsidRDefault="001A0315" w:rsidP="009776FE">
      <w:pPr>
        <w:pStyle w:val="NormalHanging12a"/>
        <w:rPr>
          <w:lang w:val="es-ES_tradnl"/>
        </w:rPr>
      </w:pPr>
      <w:r w:rsidRPr="00CF212E">
        <w:rPr>
          <w:lang w:val="es-ES_tradnl"/>
        </w:rPr>
        <w:t>–</w:t>
      </w:r>
      <w:r w:rsidRPr="00CF212E">
        <w:rPr>
          <w:lang w:val="es-ES_tradnl"/>
        </w:rPr>
        <w:tab/>
        <w:t xml:space="preserve">Vistos el acuerdo provisional aprobado por la comisión competente con arreglo al artículo </w:t>
      </w:r>
      <w:r w:rsidRPr="00BE3E75">
        <w:rPr>
          <w:lang w:val="es-ES_tradnl"/>
        </w:rPr>
        <w:t>74</w:t>
      </w:r>
      <w:r w:rsidRPr="00CF212E">
        <w:rPr>
          <w:lang w:val="es-ES_tradnl"/>
        </w:rPr>
        <w:t xml:space="preserve">, apartado </w:t>
      </w:r>
      <w:r w:rsidRPr="00BE3E75">
        <w:rPr>
          <w:lang w:val="es-ES_tradnl"/>
        </w:rPr>
        <w:t>4</w:t>
      </w:r>
      <w:r w:rsidRPr="00CF212E">
        <w:rPr>
          <w:lang w:val="es-ES_tradnl"/>
        </w:rPr>
        <w:t xml:space="preserve">, de su Reglamento interno y el compromiso asumido por el representante del Consejo, mediante carta de </w:t>
      </w:r>
      <w:r w:rsidRPr="00BE3E75">
        <w:rPr>
          <w:lang w:val="es-ES_tradnl"/>
        </w:rPr>
        <w:t>18</w:t>
      </w:r>
      <w:r w:rsidRPr="00CF212E">
        <w:rPr>
          <w:lang w:val="es-ES_tradnl"/>
        </w:rPr>
        <w:t xml:space="preserve"> de enero de </w:t>
      </w:r>
      <w:r w:rsidRPr="00BE3E75">
        <w:rPr>
          <w:lang w:val="es-ES_tradnl"/>
        </w:rPr>
        <w:t>2024</w:t>
      </w:r>
      <w:r w:rsidRPr="00CF212E">
        <w:rPr>
          <w:lang w:val="es-ES_tradnl"/>
        </w:rPr>
        <w:t xml:space="preserve">, de aprobar la Posición del Parlamento Europeo, de conformidad con el artículo </w:t>
      </w:r>
      <w:r w:rsidRPr="00BE3E75">
        <w:rPr>
          <w:lang w:val="es-ES_tradnl"/>
        </w:rPr>
        <w:t>294</w:t>
      </w:r>
      <w:r w:rsidRPr="00CF212E">
        <w:rPr>
          <w:lang w:val="es-ES_tradnl"/>
        </w:rPr>
        <w:t xml:space="preserve">, apartado </w:t>
      </w:r>
      <w:r w:rsidRPr="00BE3E75">
        <w:rPr>
          <w:lang w:val="es-ES_tradnl"/>
        </w:rPr>
        <w:t>4</w:t>
      </w:r>
      <w:r w:rsidRPr="00CF212E">
        <w:rPr>
          <w:lang w:val="es-ES_tradnl"/>
        </w:rPr>
        <w:t>, del Tratado de Funcionamiento de la Unión Europea,</w:t>
      </w:r>
    </w:p>
    <w:p w:rsidR="009776FE" w:rsidRPr="00CF212E" w:rsidRDefault="009776FE" w:rsidP="009776FE">
      <w:pPr>
        <w:pStyle w:val="NormalHanging12a"/>
        <w:rPr>
          <w:lang w:val="es-ES_tradnl"/>
        </w:rPr>
      </w:pPr>
      <w:r w:rsidRPr="00CF212E">
        <w:rPr>
          <w:lang w:val="es-ES_tradnl"/>
        </w:rPr>
        <w:t>–</w:t>
      </w:r>
      <w:r w:rsidRPr="00CF212E">
        <w:rPr>
          <w:lang w:val="es-ES_tradnl"/>
        </w:rPr>
        <w:tab/>
        <w:t>Vistos los artículos </w:t>
      </w:r>
      <w:r w:rsidRPr="00BE3E75">
        <w:rPr>
          <w:lang w:val="es-ES_tradnl"/>
        </w:rPr>
        <w:t>50</w:t>
      </w:r>
      <w:r w:rsidRPr="00CF212E">
        <w:rPr>
          <w:lang w:val="es-ES_tradnl"/>
        </w:rPr>
        <w:t xml:space="preserve"> y </w:t>
      </w:r>
      <w:r w:rsidRPr="00BE3E75">
        <w:rPr>
          <w:lang w:val="es-ES_tradnl"/>
        </w:rPr>
        <w:t>59</w:t>
      </w:r>
      <w:r w:rsidRPr="00CF212E">
        <w:rPr>
          <w:lang w:val="es-ES_tradnl"/>
        </w:rPr>
        <w:t xml:space="preserve"> de su Reglamento interno,</w:t>
      </w:r>
    </w:p>
    <w:p w:rsidR="009776FE" w:rsidRPr="00CF212E" w:rsidRDefault="009776FE" w:rsidP="009776FE">
      <w:pPr>
        <w:pStyle w:val="NormalHanging12a"/>
        <w:rPr>
          <w:lang w:val="es-ES_tradnl"/>
        </w:rPr>
      </w:pPr>
      <w:r w:rsidRPr="00CF212E">
        <w:rPr>
          <w:lang w:val="es-ES_tradnl"/>
        </w:rPr>
        <w:t>–</w:t>
      </w:r>
      <w:r w:rsidRPr="00CF212E">
        <w:rPr>
          <w:lang w:val="es-ES_tradnl"/>
        </w:rPr>
        <w:tab/>
        <w:t>Vista la opinión de la Comisión de Asuntos Constitucionales,</w:t>
      </w:r>
    </w:p>
    <w:p w:rsidR="009776FE" w:rsidRPr="00CF212E" w:rsidRDefault="009776FE" w:rsidP="009776FE">
      <w:pPr>
        <w:pStyle w:val="NormalHanging12a"/>
        <w:rPr>
          <w:lang w:val="es-ES_tradnl"/>
        </w:rPr>
      </w:pPr>
      <w:r w:rsidRPr="00CF212E">
        <w:rPr>
          <w:lang w:val="es-ES_tradnl"/>
        </w:rPr>
        <w:t>–</w:t>
      </w:r>
      <w:r w:rsidRPr="00CF212E">
        <w:rPr>
          <w:lang w:val="es-ES_tradnl"/>
        </w:rPr>
        <w:tab/>
        <w:t>Visto el informe de la Comisión de Asuntos Jurídicos (A</w:t>
      </w:r>
      <w:r w:rsidRPr="00BE3E75">
        <w:rPr>
          <w:lang w:val="es-ES_tradnl"/>
        </w:rPr>
        <w:t>9</w:t>
      </w:r>
      <w:r w:rsidRPr="00CF212E">
        <w:rPr>
          <w:lang w:val="es-ES_tradnl"/>
        </w:rPr>
        <w:t>-</w:t>
      </w:r>
      <w:r w:rsidRPr="00BE3E75">
        <w:rPr>
          <w:lang w:val="es-ES_tradnl"/>
        </w:rPr>
        <w:t>0278</w:t>
      </w:r>
      <w:r w:rsidRPr="00CF212E">
        <w:rPr>
          <w:lang w:val="es-ES_tradnl"/>
        </w:rPr>
        <w:t>/</w:t>
      </w:r>
      <w:r w:rsidRPr="00BE3E75">
        <w:rPr>
          <w:lang w:val="es-ES_tradnl"/>
        </w:rPr>
        <w:t>2023</w:t>
      </w:r>
      <w:r w:rsidRPr="00CF212E">
        <w:rPr>
          <w:lang w:val="es-ES_tradnl"/>
        </w:rPr>
        <w:t>),</w:t>
      </w:r>
    </w:p>
    <w:p w:rsidR="009776FE" w:rsidRPr="00CF212E" w:rsidRDefault="009776FE" w:rsidP="009776FE">
      <w:pPr>
        <w:pStyle w:val="NormalHanging12a"/>
        <w:rPr>
          <w:lang w:val="es-ES_tradnl"/>
        </w:rPr>
      </w:pPr>
      <w:r w:rsidRPr="00BE3E75">
        <w:rPr>
          <w:lang w:val="es-ES_tradnl"/>
        </w:rPr>
        <w:t>1</w:t>
      </w:r>
      <w:r w:rsidRPr="00CF212E">
        <w:rPr>
          <w:lang w:val="es-ES_tradnl"/>
        </w:rPr>
        <w:t>.</w:t>
      </w:r>
      <w:r w:rsidRPr="00CF212E">
        <w:rPr>
          <w:lang w:val="es-ES_tradnl"/>
        </w:rPr>
        <w:tab/>
        <w:t>Aprueba la Posición en primera lectura que figura a continuación;</w:t>
      </w:r>
    </w:p>
    <w:p w:rsidR="00FC39A8" w:rsidRPr="00CF212E" w:rsidRDefault="009776FE" w:rsidP="009776FE">
      <w:pPr>
        <w:pStyle w:val="NormalHanging12a"/>
        <w:rPr>
          <w:lang w:val="es-ES_tradnl"/>
        </w:rPr>
        <w:sectPr w:rsidR="00FC39A8" w:rsidRPr="00CF212E" w:rsidSect="00AD4C5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E3E75">
        <w:rPr>
          <w:lang w:val="es-ES_tradnl"/>
        </w:rPr>
        <w:lastRenderedPageBreak/>
        <w:t>2</w:t>
      </w:r>
      <w:r w:rsidRPr="00CF212E">
        <w:rPr>
          <w:lang w:val="es-ES_tradnl"/>
        </w:rPr>
        <w:t>.</w:t>
      </w:r>
      <w:r w:rsidRPr="00CF212E">
        <w:rPr>
          <w:lang w:val="es-ES_tradnl"/>
        </w:rPr>
        <w:tab/>
        <w:t>Encarga a su presidenta que transmita la Posición del Parlamento al Consejo, a la Comisión y al Tribunal de Justicia, así como a los Parlamentos nacionales.</w:t>
      </w:r>
    </w:p>
    <w:p w:rsidR="00FC39A8" w:rsidRPr="00CF212E" w:rsidRDefault="00FC39A8" w:rsidP="00FC39A8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CF212E">
        <w:rPr>
          <w:rFonts w:eastAsia="Calibri"/>
          <w:b/>
          <w:bCs/>
          <w:color w:val="000000"/>
          <w:szCs w:val="24"/>
        </w:rPr>
        <w:lastRenderedPageBreak/>
        <w:t>P</w:t>
      </w:r>
      <w:r w:rsidRPr="00BE3E75">
        <w:rPr>
          <w:rFonts w:eastAsia="Calibri"/>
          <w:b/>
          <w:bCs/>
          <w:color w:val="000000"/>
          <w:szCs w:val="24"/>
        </w:rPr>
        <w:t>9</w:t>
      </w:r>
      <w:r w:rsidRPr="00CF212E">
        <w:rPr>
          <w:rFonts w:eastAsia="Calibri"/>
          <w:b/>
          <w:bCs/>
          <w:color w:val="000000"/>
          <w:szCs w:val="24"/>
        </w:rPr>
        <w:t>_TC</w:t>
      </w:r>
      <w:r w:rsidRPr="00BE3E75">
        <w:rPr>
          <w:rFonts w:eastAsia="Calibri"/>
          <w:b/>
          <w:bCs/>
          <w:color w:val="000000"/>
          <w:szCs w:val="24"/>
        </w:rPr>
        <w:t>1</w:t>
      </w:r>
      <w:r w:rsidRPr="00CF212E">
        <w:rPr>
          <w:rFonts w:eastAsia="Calibri"/>
          <w:b/>
          <w:bCs/>
          <w:color w:val="000000"/>
          <w:szCs w:val="24"/>
        </w:rPr>
        <w:t>-COD(</w:t>
      </w:r>
      <w:r w:rsidRPr="00BE3E75">
        <w:rPr>
          <w:rFonts w:eastAsia="Calibri"/>
          <w:b/>
          <w:bCs/>
          <w:color w:val="000000"/>
          <w:szCs w:val="24"/>
        </w:rPr>
        <w:t>2022</w:t>
      </w:r>
      <w:r w:rsidRPr="00CF212E">
        <w:rPr>
          <w:rFonts w:eastAsia="Calibri"/>
          <w:b/>
          <w:bCs/>
          <w:color w:val="000000"/>
          <w:szCs w:val="24"/>
        </w:rPr>
        <w:t>)</w:t>
      </w:r>
      <w:r w:rsidRPr="00BE3E75">
        <w:rPr>
          <w:rFonts w:eastAsia="Calibri"/>
          <w:b/>
          <w:bCs/>
          <w:color w:val="000000"/>
          <w:szCs w:val="24"/>
        </w:rPr>
        <w:t>0906</w:t>
      </w:r>
    </w:p>
    <w:p w:rsidR="00FC39A8" w:rsidRDefault="00FC39A8" w:rsidP="00FC39A8">
      <w:pPr>
        <w:spacing w:before="360" w:after="360"/>
        <w:rPr>
          <w:b/>
          <w:szCs w:val="24"/>
        </w:rPr>
      </w:pPr>
      <w:r w:rsidRPr="00CF212E">
        <w:rPr>
          <w:rFonts w:eastAsia="Calibri"/>
          <w:b/>
          <w:bCs/>
          <w:snapToGrid w:val="0"/>
          <w:color w:val="000000"/>
          <w:szCs w:val="24"/>
        </w:rPr>
        <w:t xml:space="preserve">Posición del Parlamento Europeo aprobada en primera lectura el </w:t>
      </w:r>
      <w:r w:rsidRPr="00BE3E75">
        <w:rPr>
          <w:rFonts w:eastAsia="Calibri"/>
          <w:b/>
          <w:bCs/>
          <w:snapToGrid w:val="0"/>
          <w:color w:val="000000"/>
          <w:szCs w:val="24"/>
        </w:rPr>
        <w:t>27</w:t>
      </w:r>
      <w:r w:rsidRPr="00CF212E">
        <w:rPr>
          <w:rFonts w:eastAsia="Calibri"/>
          <w:b/>
          <w:bCs/>
          <w:snapToGrid w:val="0"/>
          <w:color w:val="000000"/>
          <w:szCs w:val="24"/>
        </w:rPr>
        <w:t xml:space="preserve"> de febrero de </w:t>
      </w:r>
      <w:r w:rsidRPr="00BE3E75">
        <w:rPr>
          <w:rFonts w:eastAsia="Calibri"/>
          <w:b/>
          <w:bCs/>
          <w:snapToGrid w:val="0"/>
          <w:color w:val="000000"/>
          <w:szCs w:val="24"/>
        </w:rPr>
        <w:t>2024</w:t>
      </w:r>
      <w:r w:rsidRPr="00CF212E">
        <w:rPr>
          <w:rFonts w:eastAsia="Calibri"/>
          <w:b/>
          <w:bCs/>
          <w:snapToGrid w:val="0"/>
          <w:color w:val="000000"/>
          <w:szCs w:val="24"/>
        </w:rPr>
        <w:t xml:space="preserve"> con vistas a la adopción del Reglamento (UE</w:t>
      </w:r>
      <w:r w:rsidR="0014293F" w:rsidRPr="00CF212E">
        <w:rPr>
          <w:rFonts w:eastAsia="Calibri"/>
          <w:b/>
          <w:bCs/>
          <w:snapToGrid w:val="0"/>
          <w:color w:val="000000"/>
          <w:szCs w:val="24"/>
        </w:rPr>
        <w:t>, Euratom</w:t>
      </w:r>
      <w:r w:rsidRPr="00CF212E">
        <w:rPr>
          <w:rFonts w:eastAsia="Calibri"/>
          <w:b/>
          <w:bCs/>
          <w:snapToGrid w:val="0"/>
          <w:color w:val="000000"/>
          <w:szCs w:val="24"/>
        </w:rPr>
        <w:t xml:space="preserve">) </w:t>
      </w:r>
      <w:r w:rsidRPr="00BE3E75">
        <w:rPr>
          <w:rFonts w:eastAsia="Calibri"/>
          <w:b/>
          <w:bCs/>
          <w:snapToGrid w:val="0"/>
          <w:color w:val="000000"/>
          <w:szCs w:val="24"/>
        </w:rPr>
        <w:t>2024</w:t>
      </w:r>
      <w:r w:rsidRPr="00CF212E">
        <w:rPr>
          <w:rFonts w:eastAsia="Calibri"/>
          <w:b/>
          <w:bCs/>
          <w:snapToGrid w:val="0"/>
          <w:color w:val="000000"/>
          <w:szCs w:val="24"/>
        </w:rPr>
        <w:t>/... del Parlamento Europeo y del Consejo</w:t>
      </w:r>
      <w:r w:rsidRPr="00CF212E">
        <w:rPr>
          <w:b/>
        </w:rPr>
        <w:t xml:space="preserve"> por el q</w:t>
      </w:r>
      <w:r w:rsidRPr="00CF212E">
        <w:rPr>
          <w:b/>
          <w:szCs w:val="24"/>
        </w:rPr>
        <w:t>ue se modifica el Protocolo n.º </w:t>
      </w:r>
      <w:r w:rsidRPr="00BE3E75">
        <w:rPr>
          <w:b/>
          <w:szCs w:val="24"/>
        </w:rPr>
        <w:t>3</w:t>
      </w:r>
      <w:r w:rsidRPr="00CF212E">
        <w:rPr>
          <w:b/>
          <w:szCs w:val="24"/>
        </w:rPr>
        <w:t xml:space="preserve"> sobre el Estatuto del Tribunal de Justicia de la Unión Europea</w:t>
      </w:r>
      <w:bookmarkStart w:id="9" w:name="_GoBack"/>
      <w:bookmarkEnd w:id="9"/>
    </w:p>
    <w:p w:rsidR="00351511" w:rsidRPr="00351511" w:rsidRDefault="00351511" w:rsidP="00351511">
      <w:pPr>
        <w:pStyle w:val="normal12hanging0"/>
        <w:spacing w:before="240" w:beforeAutospacing="0" w:after="240" w:afterAutospacing="0"/>
        <w:ind w:firstLine="6"/>
        <w:rPr>
          <w:b/>
          <w:lang w:val="es-ES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</w:t>
      </w:r>
      <w:r w:rsidRPr="00351511">
        <w:rPr>
          <w:i/>
          <w:lang w:val="es-ES_tradnl"/>
        </w:rPr>
        <w:t>initivo, el Reglamento (UE</w:t>
      </w:r>
      <w:r w:rsidRPr="00351511">
        <w:rPr>
          <w:i/>
          <w:lang w:val="es-ES_tradnl"/>
        </w:rPr>
        <w:t>, Euratom</w:t>
      </w:r>
      <w:r w:rsidRPr="00351511">
        <w:rPr>
          <w:i/>
          <w:lang w:val="es-ES_tradnl"/>
        </w:rPr>
        <w:t>) 2024/</w:t>
      </w:r>
      <w:r w:rsidRPr="00351511">
        <w:rPr>
          <w:i/>
          <w:lang w:val="es-ES_tradnl"/>
        </w:rPr>
        <w:t>2019</w:t>
      </w:r>
      <w:r w:rsidRPr="00351511">
        <w:rPr>
          <w:i/>
          <w:lang w:val="es-ES_tradnl"/>
        </w:rPr>
        <w:t>.)</w:t>
      </w:r>
    </w:p>
    <w:sectPr w:rsidR="00351511" w:rsidRPr="00351511" w:rsidSect="00AD4C5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C26" w:rsidRPr="00AD4C51" w:rsidRDefault="00B84C26">
      <w:r w:rsidRPr="00AD4C51">
        <w:separator/>
      </w:r>
    </w:p>
  </w:endnote>
  <w:endnote w:type="continuationSeparator" w:id="0">
    <w:p w:rsidR="00B84C26" w:rsidRPr="00AD4C51" w:rsidRDefault="00B84C26">
      <w:r w:rsidRPr="00AD4C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C26" w:rsidRPr="00AD4C51" w:rsidRDefault="00B84C26">
      <w:r w:rsidRPr="00AD4C51">
        <w:separator/>
      </w:r>
    </w:p>
  </w:footnote>
  <w:footnote w:type="continuationSeparator" w:id="0">
    <w:p w:rsidR="00B84C26" w:rsidRPr="00AD4C51" w:rsidRDefault="00B84C26">
      <w:r w:rsidRPr="00AD4C5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ES"/>
    <w:docVar w:name="dvnumam" w:val="21"/>
    <w:docVar w:name="dvpe" w:val="749.912"/>
    <w:docVar w:name="dvrapporteur" w:val="Ponente: "/>
    <w:docVar w:name="dvstar" w:val="***I"/>
    <w:docVar w:name="dvtitre" w:val="Resolución legislativa del Parlamento Europeo, de 27 de febrero de 2024, sobre el proyecto de Reglamento del Parlamento Europeo y del Consejo por el que se modifica el Protocolo n.º 3 sobre el Estatuto del Tribunal de Justicia de la Unión Europea(07307/2022 – C9-0405/2022 – 2022/0906(COD))"/>
  </w:docVars>
  <w:rsids>
    <w:rsidRoot w:val="00B84C26"/>
    <w:rsid w:val="00002272"/>
    <w:rsid w:val="00011F5E"/>
    <w:rsid w:val="00064002"/>
    <w:rsid w:val="000677B9"/>
    <w:rsid w:val="000831BA"/>
    <w:rsid w:val="000A42CC"/>
    <w:rsid w:val="000E7DD9"/>
    <w:rsid w:val="0010095E"/>
    <w:rsid w:val="00125B37"/>
    <w:rsid w:val="0014293F"/>
    <w:rsid w:val="00187494"/>
    <w:rsid w:val="001A0315"/>
    <w:rsid w:val="001F32AE"/>
    <w:rsid w:val="002767FF"/>
    <w:rsid w:val="002B18FE"/>
    <w:rsid w:val="002B5493"/>
    <w:rsid w:val="00343214"/>
    <w:rsid w:val="0035151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85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6FE"/>
    <w:rsid w:val="00981893"/>
    <w:rsid w:val="00A1687D"/>
    <w:rsid w:val="00A43E52"/>
    <w:rsid w:val="00A4678D"/>
    <w:rsid w:val="00A778C7"/>
    <w:rsid w:val="00AB441E"/>
    <w:rsid w:val="00AB6293"/>
    <w:rsid w:val="00AD4C51"/>
    <w:rsid w:val="00AE0928"/>
    <w:rsid w:val="00AF3B82"/>
    <w:rsid w:val="00B12E95"/>
    <w:rsid w:val="00B22876"/>
    <w:rsid w:val="00B558F0"/>
    <w:rsid w:val="00B5623B"/>
    <w:rsid w:val="00B84C26"/>
    <w:rsid w:val="00BD48FE"/>
    <w:rsid w:val="00BD7BD8"/>
    <w:rsid w:val="00BE3E75"/>
    <w:rsid w:val="00BE6ADC"/>
    <w:rsid w:val="00C05BFE"/>
    <w:rsid w:val="00C23CD4"/>
    <w:rsid w:val="00C61C0C"/>
    <w:rsid w:val="00C941CB"/>
    <w:rsid w:val="00CC2357"/>
    <w:rsid w:val="00CF071A"/>
    <w:rsid w:val="00CF212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9A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BD7CC"/>
  <w15:chartTrackingRefBased/>
  <w15:docId w15:val="{2BDD68B9-A7A5-4DA1-9ADA-24BB302D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76FE"/>
    <w:pPr>
      <w:spacing w:before="480" w:after="240"/>
    </w:pPr>
    <w:rPr>
      <w:lang w:val="es-ES"/>
    </w:rPr>
  </w:style>
  <w:style w:type="paragraph" w:customStyle="1" w:styleId="NormalBold">
    <w:name w:val="NormalBold"/>
    <w:basedOn w:val="Normal"/>
    <w:rsid w:val="009776FE"/>
    <w:rPr>
      <w:b/>
      <w:lang w:val="es-ES"/>
    </w:rPr>
  </w:style>
  <w:style w:type="paragraph" w:customStyle="1" w:styleId="NormalHanging12a">
    <w:name w:val="NormalHanging12a"/>
    <w:basedOn w:val="Normal"/>
    <w:rsid w:val="009776FE"/>
    <w:pPr>
      <w:spacing w:after="240"/>
      <w:ind w:left="567" w:hanging="567"/>
    </w:pPr>
    <w:rPr>
      <w:lang w:val="es-ES"/>
    </w:rPr>
  </w:style>
  <w:style w:type="paragraph" w:customStyle="1" w:styleId="AmNumberTabs">
    <w:name w:val="AmNumberTabs"/>
    <w:basedOn w:val="Normal"/>
    <w:link w:val="AmNumberTabsChar"/>
    <w:rsid w:val="009776F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styleId="ListParagraph">
    <w:name w:val="List Paragraph"/>
    <w:basedOn w:val="Normal"/>
    <w:uiPriority w:val="34"/>
    <w:qFormat/>
    <w:rsid w:val="009776FE"/>
    <w:pPr>
      <w:ind w:left="720"/>
      <w:contextualSpacing/>
    </w:pPr>
    <w:rPr>
      <w:lang w:val="es-ES"/>
    </w:rPr>
  </w:style>
  <w:style w:type="paragraph" w:styleId="CommentText">
    <w:name w:val="annotation text"/>
    <w:basedOn w:val="Normal"/>
    <w:link w:val="CommentTextChar"/>
    <w:rsid w:val="009776FE"/>
    <w:rPr>
      <w:sz w:val="20"/>
      <w:lang w:val="es-ES"/>
    </w:rPr>
  </w:style>
  <w:style w:type="character" w:customStyle="1" w:styleId="CommentTextChar">
    <w:name w:val="Comment Text Char"/>
    <w:basedOn w:val="DefaultParagraphFont"/>
    <w:link w:val="CommentText"/>
    <w:rsid w:val="009776FE"/>
    <w:rPr>
      <w:lang w:val="es-ES"/>
    </w:rPr>
  </w:style>
  <w:style w:type="paragraph" w:customStyle="1" w:styleId="NormalCenter12a">
    <w:name w:val="NormalCenter12a"/>
    <w:basedOn w:val="Normal"/>
    <w:rsid w:val="009776FE"/>
    <w:pPr>
      <w:spacing w:after="240"/>
      <w:jc w:val="center"/>
    </w:pPr>
    <w:rPr>
      <w:lang w:val="es-ES"/>
    </w:rPr>
  </w:style>
  <w:style w:type="paragraph" w:customStyle="1" w:styleId="AmHeadingConsam">
    <w:name w:val="AmHeadingConsam"/>
    <w:basedOn w:val="Normal"/>
    <w:next w:val="NormalCenter12a"/>
    <w:rsid w:val="009776FE"/>
    <w:pPr>
      <w:spacing w:before="720" w:after="240"/>
      <w:jc w:val="center"/>
    </w:pPr>
    <w:rPr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9776FE"/>
    <w:pPr>
      <w:widowControl/>
    </w:pPr>
    <w:rPr>
      <w:rFonts w:ascii="Calibri" w:eastAsiaTheme="minorHAnsi" w:hAnsi="Calibri" w:cstheme="minorBidi"/>
      <w:sz w:val="22"/>
      <w:szCs w:val="21"/>
      <w:lang w:val="es-E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776FE"/>
    <w:rPr>
      <w:rFonts w:ascii="Calibri" w:eastAsiaTheme="minorHAnsi" w:hAnsi="Calibri" w:cstheme="minorBidi"/>
      <w:sz w:val="22"/>
      <w:szCs w:val="21"/>
      <w:lang w:val="es-ES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9776FE"/>
    <w:rPr>
      <w:b/>
      <w:sz w:val="24"/>
      <w:lang w:val="es-ES"/>
    </w:rPr>
  </w:style>
  <w:style w:type="paragraph" w:styleId="BalloonText">
    <w:name w:val="Balloon Text"/>
    <w:basedOn w:val="Normal"/>
    <w:link w:val="BalloonTextChar"/>
    <w:rsid w:val="001A03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0315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FC39A8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351511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61A2-9DD6-4C95-B44D-E9F1BE4D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Rodríguez Fernán RELFINAL</cp:lastModifiedBy>
  <cp:revision>2</cp:revision>
  <cp:lastPrinted>2004-11-19T15:42:00Z</cp:lastPrinted>
  <dcterms:created xsi:type="dcterms:W3CDTF">2024-11-07T16:50:00Z</dcterms:created>
  <dcterms:modified xsi:type="dcterms:W3CDTF">2024-11-07T16:50:00Z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