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00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007C" w:rsidRDefault="00D00C4E" w:rsidP="0010095E">
            <w:pPr>
              <w:pStyle w:val="EPName"/>
            </w:pPr>
            <w:r w:rsidRPr="003D007C">
              <w:t>Parlement européen</w:t>
            </w:r>
          </w:p>
          <w:p w:rsidR="00751A4A" w:rsidRPr="003D007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13BD">
              <w:t>2019</w:t>
            </w:r>
            <w:r w:rsidRPr="003D007C">
              <w:t>-</w:t>
            </w:r>
            <w:r w:rsidRPr="004713B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D007C" w:rsidRDefault="00187494" w:rsidP="0010095E">
            <w:pPr>
              <w:pStyle w:val="EPLogo"/>
            </w:pPr>
            <w:r w:rsidRPr="003D00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007C" w:rsidRDefault="00D058B8" w:rsidP="004C5D52">
      <w:pPr>
        <w:pStyle w:val="LineTop"/>
      </w:pPr>
    </w:p>
    <w:p w:rsidR="00680577" w:rsidRPr="003D007C" w:rsidRDefault="00D00C4E" w:rsidP="00680577">
      <w:pPr>
        <w:pStyle w:val="EPBodyTA1"/>
      </w:pPr>
      <w:r w:rsidRPr="003D007C">
        <w:t>TEXTES ADOPTÉS</w:t>
      </w:r>
    </w:p>
    <w:p w:rsidR="00D058B8" w:rsidRPr="003D007C" w:rsidRDefault="00D058B8" w:rsidP="00D058B8">
      <w:pPr>
        <w:pStyle w:val="LineBottom"/>
      </w:pPr>
    </w:p>
    <w:p w:rsidR="00D00C4E" w:rsidRPr="003D007C" w:rsidRDefault="00D00C4E" w:rsidP="00D00C4E">
      <w:pPr>
        <w:pStyle w:val="ATHeading1"/>
      </w:pPr>
      <w:bookmarkStart w:id="0" w:name="TANumber"/>
      <w:r w:rsidRPr="003D007C">
        <w:t>P</w:t>
      </w:r>
      <w:r w:rsidRPr="004713BD">
        <w:t>9</w:t>
      </w:r>
      <w:r w:rsidRPr="003D007C">
        <w:t>_TA(</w:t>
      </w:r>
      <w:r w:rsidRPr="004713BD">
        <w:t>2024</w:t>
      </w:r>
      <w:r w:rsidRPr="003D007C">
        <w:t>)</w:t>
      </w:r>
      <w:r w:rsidRPr="004713BD">
        <w:t>00</w:t>
      </w:r>
      <w:r w:rsidR="002463C6" w:rsidRPr="004713BD">
        <w:t>86</w:t>
      </w:r>
      <w:bookmarkEnd w:id="0"/>
    </w:p>
    <w:p w:rsidR="00D00C4E" w:rsidRPr="003D007C" w:rsidRDefault="00036249" w:rsidP="00D00C4E">
      <w:pPr>
        <w:pStyle w:val="ATHeading2"/>
      </w:pPr>
      <w:r w:rsidRPr="00036249">
        <w:rPr>
          <w:bCs/>
        </w:rPr>
        <w:t xml:space="preserve">Modifications du protocole nº </w:t>
      </w:r>
      <w:r w:rsidRPr="004713BD">
        <w:rPr>
          <w:bCs/>
        </w:rPr>
        <w:t>3</w:t>
      </w:r>
      <w:r w:rsidRPr="00036249">
        <w:rPr>
          <w:bCs/>
        </w:rPr>
        <w:t xml:space="preserve"> sur le statut de la Cour de justice</w:t>
      </w:r>
      <w:r w:rsidR="00EB12CB">
        <w:rPr>
          <w:bCs/>
        </w:rPr>
        <w:t xml:space="preserve"> de l’Union européenne</w:t>
      </w:r>
    </w:p>
    <w:p w:rsidR="00D00C4E" w:rsidRPr="003D007C" w:rsidRDefault="00D00C4E" w:rsidP="00D00C4E">
      <w:pPr>
        <w:rPr>
          <w:i/>
          <w:vanish/>
        </w:rPr>
      </w:pPr>
      <w:r w:rsidRPr="003D007C">
        <w:rPr>
          <w:i/>
        </w:rPr>
        <w:fldChar w:fldCharType="begin"/>
      </w:r>
      <w:r w:rsidRPr="003D007C">
        <w:rPr>
          <w:i/>
        </w:rPr>
        <w:instrText xml:space="preserve"> TC"(</w:instrText>
      </w:r>
      <w:bookmarkStart w:id="1" w:name="DocNumber"/>
      <w:r w:rsidRPr="003D007C">
        <w:rPr>
          <w:i/>
        </w:rPr>
        <w:instrText>A</w:instrText>
      </w:r>
      <w:r w:rsidRPr="004713BD">
        <w:rPr>
          <w:i/>
        </w:rPr>
        <w:instrText>9</w:instrText>
      </w:r>
      <w:r w:rsidRPr="003D007C">
        <w:rPr>
          <w:i/>
        </w:rPr>
        <w:instrText>-</w:instrText>
      </w:r>
      <w:r w:rsidRPr="004713BD">
        <w:rPr>
          <w:i/>
        </w:rPr>
        <w:instrText>0278</w:instrText>
      </w:r>
      <w:r w:rsidRPr="003D007C">
        <w:rPr>
          <w:i/>
        </w:rPr>
        <w:instrText>/</w:instrText>
      </w:r>
      <w:r w:rsidRPr="004713BD">
        <w:rPr>
          <w:i/>
        </w:rPr>
        <w:instrText>2023</w:instrText>
      </w:r>
      <w:bookmarkEnd w:id="1"/>
      <w:r w:rsidRPr="003D007C">
        <w:rPr>
          <w:i/>
        </w:rPr>
        <w:instrText xml:space="preserve"> - Rapporteure: Ilana Cicurel)"\l</w:instrText>
      </w:r>
      <w:r w:rsidRPr="004713BD">
        <w:rPr>
          <w:i/>
        </w:rPr>
        <w:instrText>3</w:instrText>
      </w:r>
      <w:r w:rsidRPr="003D007C">
        <w:rPr>
          <w:i/>
        </w:rPr>
        <w:instrText xml:space="preserve"> \n&gt; \* MERGEFORMAT </w:instrText>
      </w:r>
      <w:r w:rsidRPr="003D007C">
        <w:rPr>
          <w:i/>
        </w:rPr>
        <w:fldChar w:fldCharType="end"/>
      </w:r>
    </w:p>
    <w:p w:rsidR="00D00C4E" w:rsidRPr="003D007C" w:rsidRDefault="00D00C4E" w:rsidP="00D00C4E">
      <w:pPr>
        <w:rPr>
          <w:vanish/>
        </w:rPr>
      </w:pPr>
      <w:bookmarkStart w:id="2" w:name="Commission"/>
      <w:r w:rsidRPr="003D007C">
        <w:rPr>
          <w:vanish/>
        </w:rPr>
        <w:t>Commission des affaires juridiques</w:t>
      </w:r>
      <w:bookmarkEnd w:id="2"/>
    </w:p>
    <w:p w:rsidR="00D00C4E" w:rsidRPr="003D007C" w:rsidRDefault="00D00C4E" w:rsidP="00D00C4E">
      <w:pPr>
        <w:rPr>
          <w:vanish/>
        </w:rPr>
      </w:pPr>
      <w:bookmarkStart w:id="3" w:name="PE"/>
      <w:r w:rsidRPr="003D007C">
        <w:rPr>
          <w:vanish/>
        </w:rPr>
        <w:t>PE</w:t>
      </w:r>
      <w:r w:rsidRPr="004713BD">
        <w:rPr>
          <w:vanish/>
        </w:rPr>
        <w:t>749</w:t>
      </w:r>
      <w:r w:rsidRPr="003D007C">
        <w:rPr>
          <w:vanish/>
        </w:rPr>
        <w:t>.</w:t>
      </w:r>
      <w:r w:rsidRPr="004713BD">
        <w:rPr>
          <w:vanish/>
        </w:rPr>
        <w:t>912</w:t>
      </w:r>
      <w:bookmarkEnd w:id="3"/>
    </w:p>
    <w:p w:rsidR="00D00C4E" w:rsidRPr="003D007C" w:rsidRDefault="00D00C4E" w:rsidP="00D00C4E">
      <w:pPr>
        <w:pStyle w:val="ATHeading3"/>
      </w:pPr>
      <w:bookmarkStart w:id="4" w:name="Sujet"/>
      <w:r w:rsidRPr="003D007C">
        <w:t xml:space="preserve">Résolution législative du Parlement européen du </w:t>
      </w:r>
      <w:r w:rsidR="008D1B38" w:rsidRPr="004713BD">
        <w:t>27</w:t>
      </w:r>
      <w:r w:rsidR="008D1B38">
        <w:t xml:space="preserve"> </w:t>
      </w:r>
      <w:r w:rsidR="00383242">
        <w:t>février</w:t>
      </w:r>
      <w:r w:rsidRPr="003D007C">
        <w:t xml:space="preserve"> </w:t>
      </w:r>
      <w:r w:rsidRPr="004713BD">
        <w:t>2024</w:t>
      </w:r>
      <w:r w:rsidRPr="003D007C">
        <w:t xml:space="preserve"> sur le projet de règlement du Parlement européen et du Conseil modifiant le protocole nº </w:t>
      </w:r>
      <w:r w:rsidRPr="004713BD">
        <w:t>3</w:t>
      </w:r>
      <w:r w:rsidRPr="003D007C">
        <w:t xml:space="preserve"> sur le statut de la Cour de justice de l’Union européenne</w:t>
      </w:r>
      <w:bookmarkEnd w:id="4"/>
      <w:r w:rsidRPr="003D007C">
        <w:t xml:space="preserve"> </w:t>
      </w:r>
      <w:bookmarkStart w:id="5" w:name="References"/>
      <w:r w:rsidRPr="003D007C">
        <w:t>(</w:t>
      </w:r>
      <w:r w:rsidRPr="004713BD">
        <w:t>07307</w:t>
      </w:r>
      <w:r w:rsidRPr="003D007C">
        <w:t>/</w:t>
      </w:r>
      <w:r w:rsidRPr="004713BD">
        <w:t>2022</w:t>
      </w:r>
      <w:r w:rsidRPr="003D007C">
        <w:t xml:space="preserve"> – C</w:t>
      </w:r>
      <w:r w:rsidRPr="004713BD">
        <w:t>9</w:t>
      </w:r>
      <w:r w:rsidRPr="003D007C">
        <w:t>-</w:t>
      </w:r>
      <w:r w:rsidRPr="004713BD">
        <w:t>0405</w:t>
      </w:r>
      <w:r w:rsidRPr="003D007C">
        <w:t>/</w:t>
      </w:r>
      <w:r w:rsidRPr="004713BD">
        <w:t>2022</w:t>
      </w:r>
      <w:r w:rsidRPr="003D007C">
        <w:t xml:space="preserve"> – </w:t>
      </w:r>
      <w:r w:rsidRPr="004713BD">
        <w:t>2022</w:t>
      </w:r>
      <w:r w:rsidRPr="003D007C">
        <w:t>/</w:t>
      </w:r>
      <w:r w:rsidRPr="004713BD">
        <w:t>0906</w:t>
      </w:r>
      <w:r w:rsidRPr="003D007C">
        <w:t>(COD))</w:t>
      </w:r>
      <w:bookmarkEnd w:id="5"/>
    </w:p>
    <w:p w:rsidR="00C44211" w:rsidRPr="003D007C" w:rsidRDefault="00C44211" w:rsidP="00C44211">
      <w:pPr>
        <w:pStyle w:val="NormalBold"/>
      </w:pPr>
      <w:bookmarkStart w:id="6" w:name="TextBodyBegin"/>
      <w:bookmarkEnd w:id="6"/>
      <w:r w:rsidRPr="003D007C">
        <w:t>(Procédure législative ordinaire: première lecture)</w:t>
      </w:r>
    </w:p>
    <w:p w:rsidR="00C44211" w:rsidRPr="003D007C" w:rsidRDefault="00C44211" w:rsidP="00C44211">
      <w:pPr>
        <w:pStyle w:val="EPComma"/>
      </w:pPr>
      <w:r w:rsidRPr="003D007C">
        <w:rPr>
          <w:i/>
        </w:rPr>
        <w:t>Le Parlement européen</w:t>
      </w:r>
      <w:r w:rsidRPr="003D007C">
        <w:t>,</w:t>
      </w:r>
    </w:p>
    <w:p w:rsidR="00C44211" w:rsidRPr="003D007C" w:rsidRDefault="00C44211" w:rsidP="00C44211">
      <w:pPr>
        <w:pStyle w:val="NormalHanging12a"/>
      </w:pPr>
      <w:r w:rsidRPr="003D007C">
        <w:t>–</w:t>
      </w:r>
      <w:r w:rsidRPr="003D007C">
        <w:tab/>
        <w:t>vu la demande de la Cour de justice soumise au Parlement européen et au Conseil (</w:t>
      </w:r>
      <w:r w:rsidRPr="004713BD">
        <w:t>07307</w:t>
      </w:r>
      <w:r w:rsidRPr="003D007C">
        <w:t>/</w:t>
      </w:r>
      <w:r w:rsidRPr="004713BD">
        <w:t>2022</w:t>
      </w:r>
      <w:r w:rsidRPr="003D007C">
        <w:t>),</w:t>
      </w:r>
    </w:p>
    <w:p w:rsidR="00C44211" w:rsidRPr="003D007C" w:rsidRDefault="00C44211" w:rsidP="00C44211">
      <w:pPr>
        <w:pStyle w:val="NormalHanging12a"/>
      </w:pPr>
      <w:r w:rsidRPr="003D007C">
        <w:t>–</w:t>
      </w:r>
      <w:r w:rsidRPr="003D007C">
        <w:tab/>
        <w:t>vu l’article </w:t>
      </w:r>
      <w:r w:rsidRPr="004713BD">
        <w:t>256</w:t>
      </w:r>
      <w:r w:rsidRPr="003D007C">
        <w:t>, paragraphe </w:t>
      </w:r>
      <w:r w:rsidRPr="004713BD">
        <w:t>3</w:t>
      </w:r>
      <w:r w:rsidRPr="003D007C">
        <w:t>, et l’article </w:t>
      </w:r>
      <w:r w:rsidRPr="004713BD">
        <w:t>281</w:t>
      </w:r>
      <w:r w:rsidRPr="003D007C">
        <w:t>, deuxième alinéa, du traité sur le fonctionnement de l’Union européenne, ainsi que l’article </w:t>
      </w:r>
      <w:r w:rsidRPr="004713BD">
        <w:t>106</w:t>
      </w:r>
      <w:r w:rsidRPr="003D007C">
        <w:t> bis, paragraphe </w:t>
      </w:r>
      <w:r w:rsidRPr="004713BD">
        <w:t>1</w:t>
      </w:r>
      <w:r w:rsidRPr="003D007C">
        <w:t>, du traité instituant la Communauté européenne de l’énergie atomique, conformément auxquels le projet d’acte lui a été soumis (C</w:t>
      </w:r>
      <w:r w:rsidRPr="004713BD">
        <w:t>9</w:t>
      </w:r>
      <w:r w:rsidRPr="003D007C">
        <w:t>-</w:t>
      </w:r>
      <w:r w:rsidRPr="004713BD">
        <w:t>0405</w:t>
      </w:r>
      <w:r w:rsidRPr="003D007C">
        <w:t>/</w:t>
      </w:r>
      <w:r w:rsidRPr="004713BD">
        <w:t>2022</w:t>
      </w:r>
      <w:r w:rsidRPr="003D007C">
        <w:t>),</w:t>
      </w:r>
    </w:p>
    <w:p w:rsidR="00C44211" w:rsidRPr="003D007C" w:rsidRDefault="00C44211" w:rsidP="00C44211">
      <w:pPr>
        <w:pStyle w:val="NormalHanging12a"/>
      </w:pPr>
      <w:r w:rsidRPr="003D007C">
        <w:t>–</w:t>
      </w:r>
      <w:r w:rsidRPr="003D007C">
        <w:tab/>
        <w:t>vu l’article </w:t>
      </w:r>
      <w:r w:rsidRPr="004713BD">
        <w:t>294</w:t>
      </w:r>
      <w:r w:rsidRPr="003D007C">
        <w:t>, paragraphes </w:t>
      </w:r>
      <w:r w:rsidRPr="004713BD">
        <w:t>3</w:t>
      </w:r>
      <w:r w:rsidRPr="003D007C">
        <w:t xml:space="preserve"> et </w:t>
      </w:r>
      <w:r w:rsidRPr="004713BD">
        <w:t>15</w:t>
      </w:r>
      <w:r w:rsidRPr="003D007C">
        <w:t>, du traité sur le fonctionnement de l’Union européenne,</w:t>
      </w:r>
    </w:p>
    <w:p w:rsidR="00C44211" w:rsidRDefault="00C44211" w:rsidP="00C44211">
      <w:pPr>
        <w:pStyle w:val="NormalHanging12a"/>
      </w:pPr>
      <w:r w:rsidRPr="003D007C">
        <w:t>–</w:t>
      </w:r>
      <w:r w:rsidRPr="003D007C">
        <w:tab/>
        <w:t>vu l’avis de la Commission (COM(</w:t>
      </w:r>
      <w:r w:rsidRPr="004713BD">
        <w:t>2023</w:t>
      </w:r>
      <w:r w:rsidRPr="003D007C">
        <w:t>)</w:t>
      </w:r>
      <w:r w:rsidRPr="004713BD">
        <w:t>0135</w:t>
      </w:r>
      <w:r w:rsidRPr="003D007C">
        <w:t>),</w:t>
      </w:r>
    </w:p>
    <w:p w:rsidR="008B1BF5" w:rsidRPr="003D007C" w:rsidRDefault="008B1BF5" w:rsidP="00C44211">
      <w:pPr>
        <w:pStyle w:val="NormalHanging12a"/>
      </w:pPr>
      <w:r w:rsidRPr="003D007C">
        <w:t>–</w:t>
      </w:r>
      <w:r w:rsidRPr="003D007C">
        <w:tab/>
      </w:r>
      <w:r>
        <w:t xml:space="preserve">vu </w:t>
      </w:r>
      <w:r w:rsidRPr="008B1BF5">
        <w:t>l’accord provisoire approuvé en vertu de l’article </w:t>
      </w:r>
      <w:r w:rsidRPr="004713BD">
        <w:t>74</w:t>
      </w:r>
      <w:r w:rsidRPr="008B1BF5">
        <w:t>, paragraphe </w:t>
      </w:r>
      <w:r w:rsidRPr="004713BD">
        <w:t>4</w:t>
      </w:r>
      <w:r w:rsidRPr="008B1BF5">
        <w:t xml:space="preserve">, de son règlement intérieur par la commission compétente et l’engagement pris par le représentant du Conseil, par lettre du </w:t>
      </w:r>
      <w:r w:rsidRPr="004713BD">
        <w:t>18</w:t>
      </w:r>
      <w:r w:rsidRPr="008B1BF5">
        <w:t> </w:t>
      </w:r>
      <w:r>
        <w:t>janvier</w:t>
      </w:r>
      <w:r w:rsidRPr="008B1BF5">
        <w:t> </w:t>
      </w:r>
      <w:r w:rsidRPr="004713BD">
        <w:t>2024</w:t>
      </w:r>
      <w:r w:rsidRPr="008B1BF5">
        <w:t>, d’approuver la position du Parlement européen, conformément à l’article </w:t>
      </w:r>
      <w:r w:rsidRPr="004713BD">
        <w:t>294</w:t>
      </w:r>
      <w:r w:rsidRPr="008B1BF5">
        <w:t>, paragraphe </w:t>
      </w:r>
      <w:r w:rsidRPr="004713BD">
        <w:t>4</w:t>
      </w:r>
      <w:r w:rsidRPr="008B1BF5">
        <w:t>, du traité sur le fonctionnement de l’Union européenne,</w:t>
      </w:r>
    </w:p>
    <w:p w:rsidR="00C44211" w:rsidRPr="003D007C" w:rsidRDefault="00C44211" w:rsidP="00C44211">
      <w:pPr>
        <w:pStyle w:val="NormalHanging12a"/>
      </w:pPr>
      <w:r w:rsidRPr="003D007C">
        <w:t>–</w:t>
      </w:r>
      <w:r w:rsidRPr="003D007C">
        <w:tab/>
        <w:t>vu les articles </w:t>
      </w:r>
      <w:r w:rsidRPr="004713BD">
        <w:t>50</w:t>
      </w:r>
      <w:r w:rsidRPr="003D007C">
        <w:t xml:space="preserve"> et </w:t>
      </w:r>
      <w:r w:rsidRPr="004713BD">
        <w:t>59</w:t>
      </w:r>
      <w:r w:rsidRPr="003D007C">
        <w:t xml:space="preserve"> de son règlement intérieur,</w:t>
      </w:r>
    </w:p>
    <w:p w:rsidR="00C44211" w:rsidRPr="003D007C" w:rsidRDefault="00C44211" w:rsidP="00C44211">
      <w:pPr>
        <w:pStyle w:val="NormalHanging12a"/>
      </w:pPr>
      <w:r w:rsidRPr="003D007C">
        <w:t>–</w:t>
      </w:r>
      <w:r w:rsidRPr="003D007C">
        <w:tab/>
        <w:t>vu l’avis de la commission des affaires constitutionnelles,</w:t>
      </w:r>
    </w:p>
    <w:p w:rsidR="00C44211" w:rsidRPr="003D007C" w:rsidRDefault="00C44211" w:rsidP="00C44211">
      <w:pPr>
        <w:pStyle w:val="NormalHanging12a"/>
      </w:pPr>
      <w:r w:rsidRPr="003D007C">
        <w:t>–</w:t>
      </w:r>
      <w:r w:rsidRPr="003D007C">
        <w:tab/>
        <w:t>vu le rapport de la commission des affaires juridiques (A</w:t>
      </w:r>
      <w:r w:rsidRPr="004713BD">
        <w:t>9</w:t>
      </w:r>
      <w:r w:rsidRPr="003D007C">
        <w:t>-</w:t>
      </w:r>
      <w:r w:rsidRPr="004713BD">
        <w:t>0278</w:t>
      </w:r>
      <w:r w:rsidRPr="003D007C">
        <w:t>/</w:t>
      </w:r>
      <w:r w:rsidRPr="004713BD">
        <w:t>2023</w:t>
      </w:r>
      <w:r w:rsidRPr="003D007C">
        <w:t>),</w:t>
      </w:r>
    </w:p>
    <w:p w:rsidR="00C44211" w:rsidRPr="003D007C" w:rsidRDefault="00C44211" w:rsidP="00C44211">
      <w:pPr>
        <w:pStyle w:val="NormalHanging12a"/>
      </w:pPr>
      <w:r w:rsidRPr="004713BD">
        <w:lastRenderedPageBreak/>
        <w:t>1</w:t>
      </w:r>
      <w:r w:rsidRPr="003D007C">
        <w:t>.</w:t>
      </w:r>
      <w:r w:rsidRPr="003D007C">
        <w:tab/>
        <w:t>arrête la position en première lecture figurant ci-après;</w:t>
      </w:r>
    </w:p>
    <w:p w:rsidR="00C44211" w:rsidRPr="003D007C" w:rsidRDefault="00C44211" w:rsidP="00C44211">
      <w:pPr>
        <w:pStyle w:val="NormalHanging12a"/>
      </w:pPr>
      <w:r w:rsidRPr="004713BD">
        <w:t>2</w:t>
      </w:r>
      <w:r w:rsidRPr="003D007C">
        <w:t>.</w:t>
      </w:r>
      <w:r w:rsidRPr="003D007C">
        <w:tab/>
        <w:t>charge sa Présidente de transmettre la position du Parlement au Conseil, à la Commission, à la Cour de justice, ainsi qu’aux parlements nationaux.</w:t>
      </w:r>
    </w:p>
    <w:p w:rsidR="00C44211" w:rsidRPr="003D007C" w:rsidRDefault="00C44211" w:rsidP="00C44211"/>
    <w:p w:rsidR="00056C3E" w:rsidRDefault="00056C3E">
      <w:pPr>
        <w:widowControl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br w:type="page"/>
      </w:r>
    </w:p>
    <w:p w:rsidR="008F21E9" w:rsidRPr="008F21E9" w:rsidRDefault="008F21E9" w:rsidP="008F21E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</w:t>
      </w:r>
      <w:r w:rsidRPr="004713BD">
        <w:rPr>
          <w:rFonts w:eastAsia="Calibri"/>
          <w:b/>
          <w:bCs/>
          <w:color w:val="000000"/>
          <w:szCs w:val="24"/>
        </w:rPr>
        <w:t>9</w:t>
      </w:r>
      <w:r>
        <w:rPr>
          <w:rFonts w:eastAsia="Calibri"/>
          <w:b/>
          <w:bCs/>
          <w:color w:val="000000"/>
          <w:szCs w:val="24"/>
        </w:rPr>
        <w:t>_TC</w:t>
      </w:r>
      <w:r w:rsidRPr="004713BD">
        <w:rPr>
          <w:rFonts w:eastAsia="Calibri"/>
          <w:b/>
          <w:bCs/>
          <w:color w:val="000000"/>
          <w:szCs w:val="24"/>
        </w:rPr>
        <w:t>1</w:t>
      </w:r>
      <w:r>
        <w:rPr>
          <w:rFonts w:eastAsia="Calibri"/>
          <w:b/>
          <w:bCs/>
          <w:color w:val="000000"/>
          <w:szCs w:val="24"/>
        </w:rPr>
        <w:t>-COD(</w:t>
      </w:r>
      <w:r w:rsidRPr="004713BD">
        <w:rPr>
          <w:rFonts w:eastAsia="Calibri"/>
          <w:b/>
          <w:bCs/>
          <w:color w:val="000000"/>
          <w:szCs w:val="24"/>
        </w:rPr>
        <w:t>2022</w:t>
      </w:r>
      <w:r>
        <w:rPr>
          <w:rFonts w:eastAsia="Calibri"/>
          <w:b/>
          <w:bCs/>
          <w:color w:val="000000"/>
          <w:szCs w:val="24"/>
        </w:rPr>
        <w:t>)</w:t>
      </w:r>
      <w:r w:rsidRPr="004713BD">
        <w:rPr>
          <w:rFonts w:eastAsia="Calibri"/>
          <w:b/>
          <w:bCs/>
          <w:color w:val="000000"/>
          <w:szCs w:val="24"/>
        </w:rPr>
        <w:t>0906</w:t>
      </w:r>
    </w:p>
    <w:p w:rsidR="008F21E9" w:rsidRDefault="005401C3" w:rsidP="005401C3">
      <w:pPr>
        <w:widowControl/>
        <w:spacing w:before="360"/>
        <w:rPr>
          <w:b/>
          <w:szCs w:val="24"/>
          <w:lang w:eastAsia="fr-BE"/>
        </w:rPr>
      </w:pPr>
      <w:r>
        <w:rPr>
          <w:b/>
          <w:szCs w:val="24"/>
          <w:lang w:eastAsia="fr-BE"/>
        </w:rPr>
        <w:t xml:space="preserve">Position du Parlement européen arrêtée en première lecture le </w:t>
      </w:r>
      <w:r w:rsidRPr="004713BD">
        <w:rPr>
          <w:b/>
          <w:szCs w:val="24"/>
          <w:lang w:eastAsia="fr-BE"/>
        </w:rPr>
        <w:t>27</w:t>
      </w:r>
      <w:r>
        <w:rPr>
          <w:b/>
          <w:szCs w:val="24"/>
          <w:lang w:eastAsia="fr-BE"/>
        </w:rPr>
        <w:t xml:space="preserve"> février </w:t>
      </w:r>
      <w:r w:rsidRPr="004713BD">
        <w:rPr>
          <w:b/>
          <w:szCs w:val="24"/>
          <w:lang w:eastAsia="fr-BE"/>
        </w:rPr>
        <w:t>2024</w:t>
      </w:r>
      <w:r>
        <w:rPr>
          <w:b/>
          <w:szCs w:val="24"/>
          <w:lang w:eastAsia="fr-BE"/>
        </w:rPr>
        <w:t xml:space="preserve"> en vue de l’adoption du règlement </w:t>
      </w:r>
      <w:r w:rsidR="008F21E9" w:rsidRPr="008F21E9">
        <w:rPr>
          <w:b/>
          <w:szCs w:val="24"/>
          <w:lang w:eastAsia="fr-BE"/>
        </w:rPr>
        <w:t>(UE, Euratom) </w:t>
      </w:r>
      <w:r w:rsidR="008F21E9" w:rsidRPr="004713BD">
        <w:rPr>
          <w:b/>
          <w:szCs w:val="24"/>
          <w:lang w:eastAsia="fr-BE"/>
        </w:rPr>
        <w:t>2024</w:t>
      </w:r>
      <w:r w:rsidR="008F21E9" w:rsidRPr="008F21E9">
        <w:rPr>
          <w:b/>
          <w:szCs w:val="24"/>
          <w:lang w:eastAsia="fr-BE"/>
        </w:rPr>
        <w:t xml:space="preserve">/… </w:t>
      </w:r>
      <w:r>
        <w:rPr>
          <w:b/>
          <w:szCs w:val="24"/>
          <w:lang w:eastAsia="fr-BE"/>
        </w:rPr>
        <w:t xml:space="preserve">du Parlement européen et du Conseil </w:t>
      </w:r>
      <w:r w:rsidR="008F21E9" w:rsidRPr="008F21E9">
        <w:rPr>
          <w:b/>
          <w:szCs w:val="24"/>
          <w:lang w:eastAsia="fr-BE"/>
        </w:rPr>
        <w:t>modifiant le protocole n° </w:t>
      </w:r>
      <w:r w:rsidR="008F21E9" w:rsidRPr="004713BD">
        <w:rPr>
          <w:b/>
          <w:szCs w:val="24"/>
          <w:lang w:eastAsia="fr-BE"/>
        </w:rPr>
        <w:t>3</w:t>
      </w:r>
      <w:r w:rsidR="008F21E9" w:rsidRPr="008F21E9">
        <w:rPr>
          <w:b/>
          <w:szCs w:val="24"/>
          <w:lang w:eastAsia="fr-BE"/>
        </w:rPr>
        <w:t xml:space="preserve"> sur le statut de la Cour de Justice de l’Union européenne</w:t>
      </w:r>
    </w:p>
    <w:p w:rsidR="004637D3" w:rsidRPr="008F21E9" w:rsidRDefault="004637D3" w:rsidP="004637D3">
      <w:pPr>
        <w:pStyle w:val="Datedadoption"/>
        <w:spacing w:after="240" w:line="240" w:lineRule="auto"/>
        <w:jc w:val="left"/>
        <w:rPr>
          <w:b w:val="0"/>
          <w:szCs w:val="24"/>
          <w:lang w:eastAsia="fr-BE"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(UE, Euratom) </w:t>
      </w:r>
      <w:r w:rsidRPr="00EB53D5">
        <w:rPr>
          <w:b w:val="0"/>
          <w:i/>
        </w:rPr>
        <w:t>20</w:t>
      </w:r>
      <w:r>
        <w:rPr>
          <w:b w:val="0"/>
          <w:i/>
        </w:rPr>
        <w:t>24/2019</w:t>
      </w:r>
      <w:bookmarkStart w:id="7" w:name="_GoBack"/>
      <w:bookmarkEnd w:id="7"/>
      <w:r w:rsidRPr="00EB53D5">
        <w:rPr>
          <w:b w:val="0"/>
          <w:i/>
        </w:rPr>
        <w:t>.)</w:t>
      </w:r>
    </w:p>
    <w:sectPr w:rsidR="004637D3" w:rsidRPr="008F21E9" w:rsidSect="003D00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C4E" w:rsidRPr="003D007C" w:rsidRDefault="00D00C4E">
      <w:r w:rsidRPr="003D007C">
        <w:separator/>
      </w:r>
    </w:p>
  </w:endnote>
  <w:endnote w:type="continuationSeparator" w:id="0">
    <w:p w:rsidR="00D00C4E" w:rsidRPr="003D007C" w:rsidRDefault="00D00C4E">
      <w:r w:rsidRPr="003D00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0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0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0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C4E" w:rsidRPr="003D007C" w:rsidRDefault="00D00C4E">
      <w:r w:rsidRPr="003D007C">
        <w:separator/>
      </w:r>
    </w:p>
  </w:footnote>
  <w:footnote w:type="continuationSeparator" w:id="0">
    <w:p w:rsidR="00D00C4E" w:rsidRPr="003D007C" w:rsidRDefault="00D00C4E">
      <w:r w:rsidRPr="003D00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0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0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0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FR"/>
    <w:docVar w:name="dvnumam" w:val="0"/>
    <w:docVar w:name="dvpe" w:val="749.912"/>
    <w:docVar w:name="dvrapporteur" w:val="Rapporteure: "/>
    <w:docVar w:name="dvstar" w:val="***I"/>
    <w:docVar w:name="dvtitre" w:val="Résolution législative du Parlement européen du ... 2024 sur le projet de règlement du Parlement européen et du Conseil modifiant le protocole nº 3 sur le statut de la Cour de justice de l’Union européenne(07307/2022 – C9-0405/2022 – 2022/0906(COD))"/>
  </w:docVars>
  <w:rsids>
    <w:rsidRoot w:val="00D00C4E"/>
    <w:rsid w:val="00002272"/>
    <w:rsid w:val="00036249"/>
    <w:rsid w:val="00056C3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3C6"/>
    <w:rsid w:val="002767FF"/>
    <w:rsid w:val="002B18FE"/>
    <w:rsid w:val="002B5493"/>
    <w:rsid w:val="00343214"/>
    <w:rsid w:val="00361C00"/>
    <w:rsid w:val="0036677D"/>
    <w:rsid w:val="00383242"/>
    <w:rsid w:val="00395FA1"/>
    <w:rsid w:val="003D007C"/>
    <w:rsid w:val="003E15D4"/>
    <w:rsid w:val="00411CCE"/>
    <w:rsid w:val="0041666E"/>
    <w:rsid w:val="00421060"/>
    <w:rsid w:val="004637D3"/>
    <w:rsid w:val="004713BD"/>
    <w:rsid w:val="00471C19"/>
    <w:rsid w:val="004867E3"/>
    <w:rsid w:val="00494A28"/>
    <w:rsid w:val="004C0004"/>
    <w:rsid w:val="004C5D52"/>
    <w:rsid w:val="0050519A"/>
    <w:rsid w:val="005072A1"/>
    <w:rsid w:val="00514517"/>
    <w:rsid w:val="005401C3"/>
    <w:rsid w:val="00545827"/>
    <w:rsid w:val="00560270"/>
    <w:rsid w:val="005B7664"/>
    <w:rsid w:val="005C2568"/>
    <w:rsid w:val="006037C0"/>
    <w:rsid w:val="006631B6"/>
    <w:rsid w:val="00680577"/>
    <w:rsid w:val="006B4DFF"/>
    <w:rsid w:val="006F74FA"/>
    <w:rsid w:val="00731ADD"/>
    <w:rsid w:val="00734777"/>
    <w:rsid w:val="00747932"/>
    <w:rsid w:val="00751A4A"/>
    <w:rsid w:val="00756632"/>
    <w:rsid w:val="00762C74"/>
    <w:rsid w:val="00786EC0"/>
    <w:rsid w:val="007D14FA"/>
    <w:rsid w:val="007D1690"/>
    <w:rsid w:val="007E22AD"/>
    <w:rsid w:val="00817416"/>
    <w:rsid w:val="00842779"/>
    <w:rsid w:val="00865F67"/>
    <w:rsid w:val="00881A7B"/>
    <w:rsid w:val="008840E5"/>
    <w:rsid w:val="00887B3E"/>
    <w:rsid w:val="008B1BF5"/>
    <w:rsid w:val="008C2AC6"/>
    <w:rsid w:val="008D1B38"/>
    <w:rsid w:val="008F21E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5C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211"/>
    <w:rsid w:val="00C61C0C"/>
    <w:rsid w:val="00C941CB"/>
    <w:rsid w:val="00CC2357"/>
    <w:rsid w:val="00CF071A"/>
    <w:rsid w:val="00D00C4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2CB"/>
    <w:rsid w:val="00EB4772"/>
    <w:rsid w:val="00ED169E"/>
    <w:rsid w:val="00ED4235"/>
    <w:rsid w:val="00EE20C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9E1B8"/>
  <w15:chartTrackingRefBased/>
  <w15:docId w15:val="{1E4D4A26-1CF7-4A10-93FF-A73C9ABD1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4421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44211"/>
    <w:pPr>
      <w:spacing w:before="480" w:after="240"/>
    </w:pPr>
  </w:style>
  <w:style w:type="paragraph" w:customStyle="1" w:styleId="NormalBold">
    <w:name w:val="NormalBold"/>
    <w:basedOn w:val="Normal"/>
    <w:rsid w:val="00C44211"/>
    <w:rPr>
      <w:b/>
    </w:rPr>
  </w:style>
  <w:style w:type="paragraph" w:customStyle="1" w:styleId="NormalHanging12a">
    <w:name w:val="NormalHanging12a"/>
    <w:basedOn w:val="Normal"/>
    <w:rsid w:val="00C4421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44211"/>
    <w:pPr>
      <w:spacing w:after="240"/>
      <w:jc w:val="center"/>
    </w:pPr>
  </w:style>
  <w:style w:type="paragraph" w:styleId="Header">
    <w:name w:val="header"/>
    <w:basedOn w:val="Normal"/>
    <w:link w:val="HeaderChar"/>
    <w:rsid w:val="00C442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44211"/>
    <w:rPr>
      <w:sz w:val="24"/>
      <w:lang w:val="fr-FR"/>
    </w:rPr>
  </w:style>
  <w:style w:type="paragraph" w:customStyle="1" w:styleId="AmNumberTabs">
    <w:name w:val="AmNumberTabs"/>
    <w:basedOn w:val="Normal"/>
    <w:link w:val="AmNumberTabsChar"/>
    <w:rsid w:val="00C442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44211"/>
    <w:pPr>
      <w:spacing w:before="720" w:after="240"/>
      <w:jc w:val="center"/>
    </w:pPr>
  </w:style>
  <w:style w:type="paragraph" w:customStyle="1" w:styleId="EPFooter">
    <w:name w:val="EPFooter"/>
    <w:basedOn w:val="Normal"/>
    <w:rsid w:val="00C4421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C44211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C44211"/>
    <w:rPr>
      <w:lang w:val="fr-FR" w:eastAsia="fr-BE"/>
    </w:rPr>
  </w:style>
  <w:style w:type="paragraph" w:styleId="ListParagraph">
    <w:name w:val="List Paragraph"/>
    <w:basedOn w:val="Normal"/>
    <w:uiPriority w:val="34"/>
    <w:qFormat/>
    <w:rsid w:val="00C4421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C44211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44211"/>
    <w:rPr>
      <w:rFonts w:ascii="Calibri" w:eastAsiaTheme="minorHAnsi" w:hAnsi="Calibri" w:cstheme="minorBidi"/>
      <w:sz w:val="22"/>
      <w:szCs w:val="21"/>
      <w:lang w:val="fr-FR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C44211"/>
    <w:rPr>
      <w:b/>
      <w:sz w:val="24"/>
      <w:lang w:val="fr-FR"/>
    </w:rPr>
  </w:style>
  <w:style w:type="character" w:styleId="Emphasis">
    <w:name w:val="Emphasis"/>
    <w:basedOn w:val="DefaultParagraphFont"/>
    <w:uiPriority w:val="20"/>
    <w:qFormat/>
    <w:rsid w:val="008F21E9"/>
    <w:rPr>
      <w:i/>
      <w:iCs/>
    </w:rPr>
  </w:style>
  <w:style w:type="paragraph" w:customStyle="1" w:styleId="Datedadoption">
    <w:name w:val="Date d'adoption"/>
    <w:basedOn w:val="Normal"/>
    <w:next w:val="Normal"/>
    <w:rsid w:val="004637D3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31E93-BAAD-44C4-ACA5-404826D2B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2024-11-07T14:25:00Z</dcterms:created>
  <dcterms:modified xsi:type="dcterms:W3CDTF">2024-11-07T14:25:00Z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