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6786" w14:paraId="6B5FBF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8FE667" w14:textId="77777777" w:rsidR="00751A4A" w:rsidRPr="00AB6786" w:rsidRDefault="00AF22ED" w:rsidP="0010095E">
            <w:pPr>
              <w:pStyle w:val="EPName"/>
            </w:pPr>
            <w:r w:rsidRPr="00AB6786">
              <w:t>Parlement européen</w:t>
            </w:r>
          </w:p>
          <w:p w14:paraId="7886C199" w14:textId="77777777" w:rsidR="00751A4A" w:rsidRPr="00AB678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2195">
              <w:t>2019</w:t>
            </w:r>
            <w:r w:rsidRPr="00AB6786">
              <w:t>-</w:t>
            </w:r>
            <w:r w:rsidRPr="009C2195">
              <w:t>2024</w:t>
            </w:r>
          </w:p>
        </w:tc>
        <w:tc>
          <w:tcPr>
            <w:tcW w:w="2268" w:type="dxa"/>
            <w:shd w:val="clear" w:color="auto" w:fill="auto"/>
          </w:tcPr>
          <w:p w14:paraId="64BE1606" w14:textId="77777777" w:rsidR="00751A4A" w:rsidRPr="00AB6786" w:rsidRDefault="00187494" w:rsidP="0010095E">
            <w:pPr>
              <w:pStyle w:val="EPLogo"/>
            </w:pPr>
            <w:r w:rsidRPr="00AB6786">
              <w:rPr>
                <w:noProof/>
                <w:lang w:val="en-GB"/>
              </w:rPr>
              <w:drawing>
                <wp:inline distT="0" distB="0" distL="0" distR="0" wp14:anchorId="3F69D799" wp14:editId="5A80DA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3D5529" w14:textId="77777777" w:rsidR="00D058B8" w:rsidRPr="00AB6786" w:rsidRDefault="00D058B8" w:rsidP="004C5D52">
      <w:pPr>
        <w:pStyle w:val="LineTop"/>
      </w:pPr>
    </w:p>
    <w:p w14:paraId="72F8E1D4" w14:textId="77777777" w:rsidR="00680577" w:rsidRPr="00AB6786" w:rsidRDefault="00AF22ED" w:rsidP="00680577">
      <w:pPr>
        <w:pStyle w:val="EPBodyTA1"/>
      </w:pPr>
      <w:r w:rsidRPr="00AB6786">
        <w:t>TEXTES ADOPTÉS</w:t>
      </w:r>
    </w:p>
    <w:p w14:paraId="50FC7D59" w14:textId="77777777" w:rsidR="00D058B8" w:rsidRPr="00AB6786" w:rsidRDefault="00D058B8" w:rsidP="00D058B8">
      <w:pPr>
        <w:pStyle w:val="LineBottom"/>
      </w:pPr>
    </w:p>
    <w:p w14:paraId="01619893" w14:textId="00807420" w:rsidR="00AF22ED" w:rsidRPr="00AB6786" w:rsidRDefault="00AF22ED" w:rsidP="00AF22ED">
      <w:pPr>
        <w:pStyle w:val="ATHeading1"/>
      </w:pPr>
      <w:bookmarkStart w:id="0" w:name="TANumber"/>
      <w:r w:rsidRPr="00AB6786">
        <w:t>P</w:t>
      </w:r>
      <w:r w:rsidRPr="009C2195">
        <w:t>9</w:t>
      </w:r>
      <w:r w:rsidRPr="00AB6786">
        <w:t>_</w:t>
      </w:r>
      <w:proofErr w:type="gramStart"/>
      <w:r w:rsidRPr="00AB6786">
        <w:t>TA(</w:t>
      </w:r>
      <w:proofErr w:type="gramEnd"/>
      <w:r w:rsidRPr="009C2195">
        <w:t>2024</w:t>
      </w:r>
      <w:r w:rsidRPr="00AB6786">
        <w:t>)</w:t>
      </w:r>
      <w:bookmarkEnd w:id="0"/>
      <w:r w:rsidR="009C0E2B" w:rsidRPr="009C2195">
        <w:t>0090</w:t>
      </w:r>
    </w:p>
    <w:p w14:paraId="1826FFB2" w14:textId="77777777" w:rsidR="00AF22ED" w:rsidRPr="00AB6786" w:rsidRDefault="005D1E9A" w:rsidP="00AF22ED">
      <w:pPr>
        <w:pStyle w:val="ATHeading2"/>
      </w:pPr>
      <w:r w:rsidRPr="005D1E9A">
        <w:rPr>
          <w:bCs/>
        </w:rPr>
        <w:t>Transparence et ciblage de la publicité à caractère politique</w:t>
      </w:r>
    </w:p>
    <w:p w14:paraId="2B2BFD4C" w14:textId="77777777" w:rsidR="00AF22ED" w:rsidRPr="00AB6786" w:rsidRDefault="00AF22ED" w:rsidP="00AF22ED">
      <w:pPr>
        <w:rPr>
          <w:i/>
          <w:vanish/>
        </w:rPr>
      </w:pPr>
      <w:r w:rsidRPr="00AB6786">
        <w:rPr>
          <w:i/>
        </w:rPr>
        <w:fldChar w:fldCharType="begin"/>
      </w:r>
      <w:r w:rsidRPr="00AB6786">
        <w:rPr>
          <w:i/>
        </w:rPr>
        <w:instrText xml:space="preserve"> TC"(</w:instrText>
      </w:r>
      <w:bookmarkStart w:id="1" w:name="DocNumber"/>
      <w:r w:rsidRPr="00AB6786">
        <w:rPr>
          <w:i/>
        </w:rPr>
        <w:instrText>A</w:instrText>
      </w:r>
      <w:r w:rsidRPr="009C2195">
        <w:rPr>
          <w:i/>
        </w:rPr>
        <w:instrText>9</w:instrText>
      </w:r>
      <w:r w:rsidRPr="00AB6786">
        <w:rPr>
          <w:i/>
        </w:rPr>
        <w:instrText>-</w:instrText>
      </w:r>
      <w:r w:rsidRPr="009C2195">
        <w:rPr>
          <w:i/>
        </w:rPr>
        <w:instrText>0009</w:instrText>
      </w:r>
      <w:r w:rsidRPr="00AB6786">
        <w:rPr>
          <w:i/>
        </w:rPr>
        <w:instrText>/</w:instrText>
      </w:r>
      <w:r w:rsidRPr="009C2195">
        <w:rPr>
          <w:i/>
        </w:rPr>
        <w:instrText>2023</w:instrText>
      </w:r>
      <w:bookmarkEnd w:id="1"/>
      <w:r w:rsidRPr="00AB6786">
        <w:rPr>
          <w:i/>
        </w:rPr>
        <w:instrText xml:space="preserve"> - Rapporteur: Sandro </w:instrText>
      </w:r>
      <w:proofErr w:type="spellStart"/>
      <w:r w:rsidRPr="00AB6786">
        <w:rPr>
          <w:i/>
        </w:rPr>
        <w:instrText>Gozi</w:instrText>
      </w:r>
      <w:proofErr w:type="spellEnd"/>
      <w:r w:rsidRPr="00AB6786">
        <w:rPr>
          <w:i/>
        </w:rPr>
        <w:instrText>)"\l</w:instrText>
      </w:r>
      <w:r w:rsidRPr="009C2195">
        <w:rPr>
          <w:i/>
        </w:rPr>
        <w:instrText>3</w:instrText>
      </w:r>
      <w:r w:rsidRPr="00AB6786">
        <w:rPr>
          <w:i/>
        </w:rPr>
        <w:instrText xml:space="preserve"> \n&gt; \* MERGEFORMAT </w:instrText>
      </w:r>
      <w:r w:rsidRPr="00AB6786">
        <w:rPr>
          <w:i/>
        </w:rPr>
        <w:fldChar w:fldCharType="end"/>
      </w:r>
    </w:p>
    <w:p w14:paraId="51A12357" w14:textId="77777777" w:rsidR="00AF22ED" w:rsidRPr="00AB6786" w:rsidRDefault="00AF22ED" w:rsidP="00AF22ED">
      <w:pPr>
        <w:rPr>
          <w:vanish/>
        </w:rPr>
      </w:pPr>
      <w:bookmarkStart w:id="2" w:name="Commission"/>
      <w:r w:rsidRPr="00AB6786">
        <w:rPr>
          <w:vanish/>
        </w:rPr>
        <w:t>Commission du marché intérieur et de la protection des consommateurs</w:t>
      </w:r>
      <w:bookmarkEnd w:id="2"/>
    </w:p>
    <w:p w14:paraId="2DD590D1" w14:textId="77777777" w:rsidR="00AF22ED" w:rsidRPr="00AB6786" w:rsidRDefault="00AF22ED" w:rsidP="00AF22ED">
      <w:pPr>
        <w:rPr>
          <w:vanish/>
        </w:rPr>
      </w:pPr>
      <w:bookmarkStart w:id="3" w:name="PE"/>
      <w:r w:rsidRPr="00AB6786">
        <w:rPr>
          <w:vanish/>
        </w:rPr>
        <w:t>PE</w:t>
      </w:r>
      <w:r w:rsidRPr="009C2195">
        <w:rPr>
          <w:vanish/>
        </w:rPr>
        <w:t>732</w:t>
      </w:r>
      <w:r w:rsidRPr="00AB6786">
        <w:rPr>
          <w:vanish/>
        </w:rPr>
        <w:t>.</w:t>
      </w:r>
      <w:r w:rsidRPr="009C2195">
        <w:rPr>
          <w:vanish/>
        </w:rPr>
        <w:t>754</w:t>
      </w:r>
      <w:bookmarkEnd w:id="3"/>
    </w:p>
    <w:p w14:paraId="752179BD" w14:textId="77777777" w:rsidR="00AF22ED" w:rsidRPr="00AB6786" w:rsidRDefault="00AF22ED" w:rsidP="00AF22ED">
      <w:pPr>
        <w:pStyle w:val="ATHeading3"/>
      </w:pPr>
      <w:bookmarkStart w:id="4" w:name="Sujet"/>
      <w:r w:rsidRPr="00AB6786">
        <w:t xml:space="preserve">Résolution législative du Parlement européen du </w:t>
      </w:r>
      <w:r w:rsidR="00920B0D" w:rsidRPr="009C2195">
        <w:t>27</w:t>
      </w:r>
      <w:r w:rsidR="000F2781">
        <w:t xml:space="preserve"> février</w:t>
      </w:r>
      <w:r w:rsidRPr="00AB6786">
        <w:t xml:space="preserve"> </w:t>
      </w:r>
      <w:r w:rsidRPr="009C2195">
        <w:t>2024</w:t>
      </w:r>
      <w:r w:rsidRPr="00AB6786">
        <w:t xml:space="preserve"> sur la proposition de règlement du Parlement européen et du Conseil relatif à la transparence et au ciblage de la publicité à caractère politique</w:t>
      </w:r>
      <w:bookmarkEnd w:id="4"/>
      <w:r w:rsidRPr="00AB6786">
        <w:t xml:space="preserve"> </w:t>
      </w:r>
      <w:bookmarkStart w:id="5" w:name="References"/>
      <w:r w:rsidRPr="00AB6786">
        <w:t>(</w:t>
      </w:r>
      <w:proofErr w:type="gramStart"/>
      <w:r w:rsidRPr="00AB6786">
        <w:t>COM(</w:t>
      </w:r>
      <w:proofErr w:type="gramEnd"/>
      <w:r w:rsidRPr="009C2195">
        <w:t>2021</w:t>
      </w:r>
      <w:r w:rsidRPr="00AB6786">
        <w:t>)</w:t>
      </w:r>
      <w:r w:rsidRPr="009C2195">
        <w:t>0731</w:t>
      </w:r>
      <w:r w:rsidRPr="00AB6786">
        <w:t xml:space="preserve"> – C</w:t>
      </w:r>
      <w:r w:rsidRPr="009C2195">
        <w:t>9</w:t>
      </w:r>
      <w:r w:rsidRPr="00AB6786">
        <w:t>-</w:t>
      </w:r>
      <w:r w:rsidRPr="009C2195">
        <w:t>0433</w:t>
      </w:r>
      <w:r w:rsidRPr="00AB6786">
        <w:t>/</w:t>
      </w:r>
      <w:r w:rsidRPr="009C2195">
        <w:t>2021</w:t>
      </w:r>
      <w:r w:rsidRPr="00AB6786">
        <w:t xml:space="preserve"> – </w:t>
      </w:r>
      <w:r w:rsidRPr="009C2195">
        <w:t>2021</w:t>
      </w:r>
      <w:r w:rsidRPr="00AB6786">
        <w:t>/</w:t>
      </w:r>
      <w:r w:rsidRPr="009C2195">
        <w:t>0381</w:t>
      </w:r>
      <w:r w:rsidRPr="00AB6786">
        <w:t>(COD))</w:t>
      </w:r>
      <w:bookmarkEnd w:id="5"/>
    </w:p>
    <w:p w14:paraId="2048435E" w14:textId="77777777" w:rsidR="00225B52" w:rsidRPr="00AB6786" w:rsidRDefault="00225B52" w:rsidP="00225B52">
      <w:pPr>
        <w:pStyle w:val="NormalBold"/>
      </w:pPr>
      <w:bookmarkStart w:id="6" w:name="TextBodyBegin"/>
      <w:bookmarkEnd w:id="6"/>
      <w:r w:rsidRPr="00AB6786">
        <w:t>(Procédure législative ordinaire: première lecture)</w:t>
      </w:r>
    </w:p>
    <w:p w14:paraId="0F4D42CB" w14:textId="77777777" w:rsidR="00225B52" w:rsidRPr="00AB6786" w:rsidRDefault="00225B52" w:rsidP="00225B52">
      <w:pPr>
        <w:pStyle w:val="EPComma"/>
      </w:pPr>
      <w:r w:rsidRPr="00AB6786">
        <w:rPr>
          <w:i/>
        </w:rPr>
        <w:t>Le Parlement européen</w:t>
      </w:r>
      <w:r w:rsidRPr="00AB6786">
        <w:t>,</w:t>
      </w:r>
    </w:p>
    <w:p w14:paraId="220830D4" w14:textId="77777777" w:rsidR="00225B52" w:rsidRPr="00AB6786" w:rsidRDefault="00225B52" w:rsidP="00225B52">
      <w:pPr>
        <w:pStyle w:val="NormalHanging12a"/>
      </w:pPr>
      <w:r w:rsidRPr="00AB6786">
        <w:t>–</w:t>
      </w:r>
      <w:r w:rsidRPr="00AB6786">
        <w:tab/>
        <w:t>vu la proposition de la Commission au Parlement européen et au Conseil (</w:t>
      </w:r>
      <w:proofErr w:type="gramStart"/>
      <w:r w:rsidRPr="00AB6786">
        <w:t>COM(</w:t>
      </w:r>
      <w:proofErr w:type="gramEnd"/>
      <w:r w:rsidRPr="009C2195">
        <w:t>2021</w:t>
      </w:r>
      <w:r w:rsidRPr="00AB6786">
        <w:t>)</w:t>
      </w:r>
      <w:r w:rsidRPr="009C2195">
        <w:t>0731</w:t>
      </w:r>
      <w:r w:rsidRPr="00AB6786">
        <w:t>),</w:t>
      </w:r>
    </w:p>
    <w:p w14:paraId="2F45E8A4" w14:textId="77777777" w:rsidR="00225B52" w:rsidRPr="00AB6786" w:rsidRDefault="00225B52" w:rsidP="00225B52">
      <w:pPr>
        <w:pStyle w:val="NormalHanging12a"/>
      </w:pPr>
      <w:r w:rsidRPr="00AB6786">
        <w:t>–</w:t>
      </w:r>
      <w:r w:rsidRPr="00AB6786">
        <w:tab/>
        <w:t>vu l’article </w:t>
      </w:r>
      <w:r w:rsidRPr="009C2195">
        <w:t>294</w:t>
      </w:r>
      <w:r w:rsidRPr="00AB6786">
        <w:t>, paragraphe </w:t>
      </w:r>
      <w:r w:rsidRPr="009C2195">
        <w:t>2</w:t>
      </w:r>
      <w:r w:rsidRPr="00AB6786">
        <w:t>, et les articles </w:t>
      </w:r>
      <w:r w:rsidRPr="009C2195">
        <w:t>16</w:t>
      </w:r>
      <w:r w:rsidRPr="00AB6786">
        <w:t xml:space="preserve"> et </w:t>
      </w:r>
      <w:r w:rsidRPr="009C2195">
        <w:t>114</w:t>
      </w:r>
      <w:r w:rsidRPr="00AB6786">
        <w:t xml:space="preserve"> du traité sur le fonctionnement de l’Union européenne, conformément auxquels la proposition lui a été présentée par la Commission (C</w:t>
      </w:r>
      <w:r w:rsidRPr="009C2195">
        <w:t>9</w:t>
      </w:r>
      <w:r w:rsidRPr="00AB6786">
        <w:noBreakHyphen/>
      </w:r>
      <w:r w:rsidRPr="009C2195">
        <w:t>0433</w:t>
      </w:r>
      <w:r w:rsidRPr="00AB6786">
        <w:t>/</w:t>
      </w:r>
      <w:r w:rsidRPr="009C2195">
        <w:t>2021</w:t>
      </w:r>
      <w:r w:rsidRPr="00AB6786">
        <w:t>),</w:t>
      </w:r>
    </w:p>
    <w:p w14:paraId="27FABB30" w14:textId="77777777" w:rsidR="00225B52" w:rsidRPr="00AB6786" w:rsidRDefault="00225B52" w:rsidP="00225B52">
      <w:pPr>
        <w:pStyle w:val="NormalHanging12a"/>
      </w:pPr>
      <w:r w:rsidRPr="00AB6786">
        <w:t>–</w:t>
      </w:r>
      <w:r w:rsidRPr="00AB6786">
        <w:tab/>
        <w:t>vu l’article </w:t>
      </w:r>
      <w:r w:rsidRPr="009C2195">
        <w:t>294</w:t>
      </w:r>
      <w:r w:rsidRPr="00AB6786">
        <w:t>, paragraphe </w:t>
      </w:r>
      <w:r w:rsidRPr="009C2195">
        <w:t>3</w:t>
      </w:r>
      <w:r w:rsidRPr="00AB6786">
        <w:t>, du traité sur le fonctionnement de l’Union européenne,</w:t>
      </w:r>
    </w:p>
    <w:p w14:paraId="58EBF195" w14:textId="77777777" w:rsidR="00225B52" w:rsidRDefault="00225B52" w:rsidP="00225B52">
      <w:pPr>
        <w:pStyle w:val="NormalHanging12a"/>
      </w:pPr>
      <w:r w:rsidRPr="00AB6786">
        <w:t>–</w:t>
      </w:r>
      <w:r w:rsidRPr="00AB6786">
        <w:tab/>
        <w:t xml:space="preserve">vu l’avis du Comité économique et social européen du </w:t>
      </w:r>
      <w:r w:rsidRPr="009C2195">
        <w:t>23</w:t>
      </w:r>
      <w:r w:rsidRPr="00AB6786">
        <w:t> février </w:t>
      </w:r>
      <w:r w:rsidRPr="009C2195">
        <w:t>2022</w:t>
      </w:r>
      <w:r w:rsidRPr="00AB6786">
        <w:rPr>
          <w:rStyle w:val="FootnoteReference"/>
        </w:rPr>
        <w:footnoteReference w:id="1"/>
      </w:r>
      <w:r w:rsidRPr="00AB6786">
        <w:t>,</w:t>
      </w:r>
    </w:p>
    <w:p w14:paraId="6E9FD677" w14:textId="77777777" w:rsidR="00EE03D6" w:rsidRDefault="00EE03D6" w:rsidP="00225B52">
      <w:pPr>
        <w:pStyle w:val="NormalHanging12a"/>
      </w:pPr>
      <w:r w:rsidRPr="00AB6786">
        <w:t>–</w:t>
      </w:r>
      <w:r w:rsidRPr="00AB6786">
        <w:tab/>
      </w:r>
      <w:r>
        <w:t xml:space="preserve">vu l’avis du Comité des régions du </w:t>
      </w:r>
      <w:r w:rsidRPr="009C2195">
        <w:t>28</w:t>
      </w:r>
      <w:r>
        <w:t xml:space="preserve"> avril </w:t>
      </w:r>
      <w:r w:rsidRPr="009C2195">
        <w:t>2022</w:t>
      </w:r>
      <w:r>
        <w:rPr>
          <w:rStyle w:val="FootnoteReference"/>
        </w:rPr>
        <w:footnoteReference w:id="2"/>
      </w:r>
    </w:p>
    <w:p w14:paraId="04F37E4F" w14:textId="77777777" w:rsidR="00EE03D6" w:rsidRPr="00AB6786" w:rsidRDefault="00EE03D6" w:rsidP="00225B52">
      <w:pPr>
        <w:pStyle w:val="NormalHanging12a"/>
      </w:pPr>
      <w:r w:rsidRPr="00AB6786">
        <w:t>–</w:t>
      </w:r>
      <w:r w:rsidRPr="00AB6786">
        <w:tab/>
      </w:r>
      <w:r w:rsidR="00540C06" w:rsidRPr="004C305D">
        <w:t>vu l’accord provisoire approuvé en vertu de l’article </w:t>
      </w:r>
      <w:r w:rsidR="00540C06" w:rsidRPr="009C2195">
        <w:t>74</w:t>
      </w:r>
      <w:r w:rsidR="00540C06" w:rsidRPr="004C305D">
        <w:t>, paragraphe </w:t>
      </w:r>
      <w:r w:rsidR="00540C06" w:rsidRPr="009C2195">
        <w:t>4</w:t>
      </w:r>
      <w:r w:rsidR="00540C06" w:rsidRPr="004C305D">
        <w:t xml:space="preserve">, de son règlement intérieur </w:t>
      </w:r>
      <w:r w:rsidR="00540C06">
        <w:t xml:space="preserve">par </w:t>
      </w:r>
      <w:r w:rsidR="00540C06" w:rsidRPr="004C305D">
        <w:t xml:space="preserve">la commission compétente et l’engagement pris par le représentant du Conseil, par lettre du </w:t>
      </w:r>
      <w:r w:rsidR="00540C06" w:rsidRPr="009C2195">
        <w:t>20</w:t>
      </w:r>
      <w:r w:rsidR="00540C06" w:rsidRPr="004C305D">
        <w:t> </w:t>
      </w:r>
      <w:r w:rsidR="00540C06">
        <w:t>décembre</w:t>
      </w:r>
      <w:r w:rsidR="00540C06" w:rsidRPr="004C305D">
        <w:t> </w:t>
      </w:r>
      <w:r w:rsidR="00540C06" w:rsidRPr="009C2195">
        <w:t>2023</w:t>
      </w:r>
      <w:r w:rsidR="00540C06" w:rsidRPr="004C305D">
        <w:t>, d’approuver la position du Parlement européen, conformément à l’article </w:t>
      </w:r>
      <w:r w:rsidR="00540C06" w:rsidRPr="009C2195">
        <w:t>294</w:t>
      </w:r>
      <w:r w:rsidR="00540C06" w:rsidRPr="004C305D">
        <w:t>, paragraphe </w:t>
      </w:r>
      <w:r w:rsidR="00540C06" w:rsidRPr="009C2195">
        <w:t>4</w:t>
      </w:r>
      <w:r w:rsidR="00540C06" w:rsidRPr="004C305D">
        <w:t>, du traité sur le fonctionnement de l’Union européenne,</w:t>
      </w:r>
    </w:p>
    <w:p w14:paraId="0C413F8B" w14:textId="2610AE7E" w:rsidR="00225B52" w:rsidRPr="00AB6786" w:rsidRDefault="00225B52" w:rsidP="00225B52">
      <w:pPr>
        <w:pStyle w:val="NormalHanging12a"/>
      </w:pPr>
      <w:r w:rsidRPr="00AB6786">
        <w:t>–</w:t>
      </w:r>
      <w:r w:rsidRPr="00AB6786">
        <w:tab/>
        <w:t>vu l’article </w:t>
      </w:r>
      <w:r w:rsidRPr="009C2195">
        <w:t>59</w:t>
      </w:r>
      <w:r w:rsidRPr="00AB6786">
        <w:t xml:space="preserve"> de son règlement</w:t>
      </w:r>
      <w:r w:rsidR="0046398A">
        <w:t xml:space="preserve"> intérieur</w:t>
      </w:r>
      <w:r w:rsidRPr="00AB6786">
        <w:t>,</w:t>
      </w:r>
    </w:p>
    <w:p w14:paraId="3E2F7CBB" w14:textId="77777777" w:rsidR="00225B52" w:rsidRPr="00AB6786" w:rsidRDefault="00225B52" w:rsidP="00225B52">
      <w:pPr>
        <w:pStyle w:val="NormalHanging12a"/>
      </w:pPr>
      <w:r w:rsidRPr="00AB6786">
        <w:t>–</w:t>
      </w:r>
      <w:r w:rsidRPr="00AB6786">
        <w:tab/>
        <w:t xml:space="preserve">vu l’avis de la commission de la culture et de l’éducation, de la commission des libertés civiles, de la justice et des affaires intérieures, de la commission des affaires juridiques, </w:t>
      </w:r>
      <w:r w:rsidRPr="00AB6786">
        <w:lastRenderedPageBreak/>
        <w:t>de la commission des affaires constitutionnelles,</w:t>
      </w:r>
    </w:p>
    <w:p w14:paraId="3ED0E57B" w14:textId="77777777" w:rsidR="00225B52" w:rsidRPr="00AB6786" w:rsidRDefault="00225B52" w:rsidP="00225B52">
      <w:pPr>
        <w:pStyle w:val="NormalHanging12a"/>
      </w:pPr>
      <w:r w:rsidRPr="00AB6786">
        <w:t>–</w:t>
      </w:r>
      <w:r w:rsidRPr="00AB6786">
        <w:tab/>
        <w:t>vu le rapport de la commission du marché intérieur et de la protection des consommateurs (A</w:t>
      </w:r>
      <w:r w:rsidRPr="009C2195">
        <w:t>9</w:t>
      </w:r>
      <w:r w:rsidRPr="00AB6786">
        <w:t>-</w:t>
      </w:r>
      <w:r w:rsidRPr="009C2195">
        <w:t>0009</w:t>
      </w:r>
      <w:r w:rsidRPr="00AB6786">
        <w:t>/</w:t>
      </w:r>
      <w:r w:rsidRPr="009C2195">
        <w:t>2023</w:t>
      </w:r>
      <w:r w:rsidRPr="00AB6786">
        <w:t>),</w:t>
      </w:r>
    </w:p>
    <w:p w14:paraId="6F006776" w14:textId="77777777" w:rsidR="00225B52" w:rsidRPr="00AB6786" w:rsidRDefault="00225B52" w:rsidP="00225B52">
      <w:pPr>
        <w:pStyle w:val="NormalHanging12a"/>
      </w:pPr>
      <w:r w:rsidRPr="009C2195">
        <w:t>1</w:t>
      </w:r>
      <w:r w:rsidRPr="00AB6786">
        <w:t>.</w:t>
      </w:r>
      <w:r w:rsidRPr="00AB6786">
        <w:tab/>
        <w:t>arrête la position en première lecture figurant ci-après</w:t>
      </w:r>
      <w:r w:rsidR="000247CE">
        <w:rPr>
          <w:rStyle w:val="FootnoteReference"/>
        </w:rPr>
        <w:footnoteReference w:id="3"/>
      </w:r>
      <w:r w:rsidRPr="00AB6786">
        <w:t>;</w:t>
      </w:r>
    </w:p>
    <w:p w14:paraId="7D8E1A84" w14:textId="77777777" w:rsidR="00225B52" w:rsidRPr="00AB6786" w:rsidRDefault="00225B52" w:rsidP="00225B52">
      <w:pPr>
        <w:pStyle w:val="NormalHanging12a"/>
      </w:pPr>
      <w:r w:rsidRPr="009C2195">
        <w:t>2</w:t>
      </w:r>
      <w:r w:rsidRPr="00AB6786">
        <w:t>.</w:t>
      </w:r>
      <w:r w:rsidRPr="00AB6786">
        <w:tab/>
        <w:t>demande à la Commission de le saisir à nouveau, si elle remplace, modifie de manière substantielle ou entend modifier de manière substantielle sa proposition;</w:t>
      </w:r>
    </w:p>
    <w:p w14:paraId="4F9C3582" w14:textId="0A639145" w:rsidR="00225B52" w:rsidRPr="00AB6786" w:rsidRDefault="00225B52" w:rsidP="00225B52">
      <w:pPr>
        <w:pStyle w:val="NormalHanging12a"/>
      </w:pPr>
      <w:r w:rsidRPr="009C2195">
        <w:t>3</w:t>
      </w:r>
      <w:r w:rsidRPr="00AB6786">
        <w:t>.</w:t>
      </w:r>
      <w:r w:rsidRPr="00AB6786">
        <w:tab/>
        <w:t xml:space="preserve">charge </w:t>
      </w:r>
      <w:r w:rsidR="00540C06">
        <w:t>sa</w:t>
      </w:r>
      <w:r w:rsidR="00540C06" w:rsidRPr="00AB6786">
        <w:t xml:space="preserve"> </w:t>
      </w:r>
      <w:r w:rsidRPr="00AB6786">
        <w:t>Président</w:t>
      </w:r>
      <w:r w:rsidR="00540C06">
        <w:t>e</w:t>
      </w:r>
      <w:r w:rsidRPr="00AB6786">
        <w:t xml:space="preserve"> de transmettre la position du Parlement au Conseil et à la Commission ainsi qu’aux parlements nationaux.</w:t>
      </w:r>
    </w:p>
    <w:p w14:paraId="36BDAA4C" w14:textId="77777777" w:rsidR="00FF3A96" w:rsidRDefault="00FF3A96" w:rsidP="00920B0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FF3A96" w:rsidSect="00AB678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7" w:name="TextBodyEnd"/>
      <w:bookmarkEnd w:id="7"/>
    </w:p>
    <w:p w14:paraId="253AF8EE" w14:textId="77777777" w:rsidR="00920B0D" w:rsidRPr="002D37F5" w:rsidRDefault="00920B0D" w:rsidP="00920B0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D37F5">
        <w:rPr>
          <w:rFonts w:eastAsia="Calibri"/>
          <w:b/>
          <w:bCs/>
          <w:color w:val="000000"/>
          <w:szCs w:val="24"/>
        </w:rPr>
        <w:lastRenderedPageBreak/>
        <w:t>P</w:t>
      </w:r>
      <w:r w:rsidRPr="009C2195">
        <w:rPr>
          <w:rFonts w:eastAsia="Calibri"/>
          <w:b/>
          <w:bCs/>
          <w:color w:val="000000"/>
          <w:szCs w:val="24"/>
        </w:rPr>
        <w:t>9</w:t>
      </w:r>
      <w:r w:rsidRPr="002D37F5">
        <w:rPr>
          <w:rFonts w:eastAsia="Calibri"/>
          <w:b/>
          <w:bCs/>
          <w:color w:val="000000"/>
          <w:szCs w:val="24"/>
        </w:rPr>
        <w:t>_TC</w:t>
      </w:r>
      <w:r w:rsidRPr="009C2195">
        <w:rPr>
          <w:rFonts w:eastAsia="Calibri"/>
          <w:b/>
          <w:bCs/>
          <w:color w:val="000000"/>
          <w:szCs w:val="24"/>
        </w:rPr>
        <w:t>1</w:t>
      </w:r>
      <w:r w:rsidRPr="002D37F5">
        <w:rPr>
          <w:rFonts w:eastAsia="Calibri"/>
          <w:b/>
          <w:bCs/>
          <w:color w:val="000000"/>
          <w:szCs w:val="24"/>
        </w:rPr>
        <w:t>-</w:t>
      </w:r>
      <w:proofErr w:type="gramStart"/>
      <w:r w:rsidRPr="002D37F5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9C2195">
        <w:rPr>
          <w:rFonts w:eastAsia="Calibri"/>
          <w:b/>
          <w:bCs/>
          <w:color w:val="000000"/>
          <w:szCs w:val="24"/>
        </w:rPr>
        <w:t>2021</w:t>
      </w:r>
      <w:r w:rsidRPr="002D37F5">
        <w:rPr>
          <w:rFonts w:eastAsia="Calibri"/>
          <w:b/>
          <w:bCs/>
          <w:color w:val="000000"/>
          <w:szCs w:val="24"/>
        </w:rPr>
        <w:t>)</w:t>
      </w:r>
      <w:r w:rsidRPr="009C2195">
        <w:rPr>
          <w:rFonts w:eastAsia="Calibri"/>
          <w:b/>
          <w:bCs/>
          <w:color w:val="000000"/>
          <w:szCs w:val="24"/>
        </w:rPr>
        <w:t>0381</w:t>
      </w:r>
    </w:p>
    <w:p w14:paraId="7B9E08AD" w14:textId="1802B386" w:rsidR="00920B0D" w:rsidRDefault="00920B0D" w:rsidP="009C2195">
      <w:pPr>
        <w:widowControl/>
        <w:spacing w:before="360"/>
        <w:rPr>
          <w:rFonts w:eastAsiaTheme="minorHAnsi"/>
          <w:b/>
          <w:szCs w:val="22"/>
          <w:lang w:eastAsia="en-US"/>
        </w:rPr>
      </w:pPr>
      <w:r>
        <w:rPr>
          <w:rFonts w:eastAsiaTheme="minorHAnsi"/>
          <w:b/>
          <w:szCs w:val="22"/>
          <w:lang w:eastAsia="en-US"/>
        </w:rPr>
        <w:t xml:space="preserve">Position du Parlement européen arrêtée en première lecture le </w:t>
      </w:r>
      <w:r w:rsidRPr="009C2195">
        <w:rPr>
          <w:rFonts w:eastAsiaTheme="minorHAnsi"/>
          <w:b/>
          <w:szCs w:val="22"/>
          <w:lang w:eastAsia="en-US"/>
        </w:rPr>
        <w:t>27</w:t>
      </w:r>
      <w:r>
        <w:rPr>
          <w:rFonts w:eastAsiaTheme="minorHAnsi"/>
          <w:b/>
          <w:szCs w:val="22"/>
          <w:lang w:eastAsia="en-US"/>
        </w:rPr>
        <w:t xml:space="preserve"> février </w:t>
      </w:r>
      <w:r w:rsidRPr="009C2195">
        <w:rPr>
          <w:rFonts w:eastAsiaTheme="minorHAnsi"/>
          <w:b/>
          <w:szCs w:val="22"/>
          <w:lang w:eastAsia="en-US"/>
        </w:rPr>
        <w:t>2024</w:t>
      </w:r>
      <w:r>
        <w:rPr>
          <w:rFonts w:eastAsiaTheme="minorHAnsi"/>
          <w:b/>
          <w:szCs w:val="22"/>
          <w:lang w:eastAsia="en-US"/>
        </w:rPr>
        <w:t xml:space="preserve"> en vue de l’adoption du règlement</w:t>
      </w:r>
      <w:r w:rsidRPr="00920B0D">
        <w:rPr>
          <w:rFonts w:eastAsiaTheme="minorHAnsi"/>
          <w:b/>
          <w:szCs w:val="22"/>
          <w:lang w:eastAsia="en-US"/>
        </w:rPr>
        <w:t xml:space="preserve"> (UE) </w:t>
      </w:r>
      <w:r w:rsidRPr="009C2195">
        <w:rPr>
          <w:rFonts w:eastAsiaTheme="minorHAnsi"/>
          <w:b/>
          <w:szCs w:val="22"/>
          <w:lang w:eastAsia="en-US"/>
        </w:rPr>
        <w:t>2024</w:t>
      </w:r>
      <w:r w:rsidRPr="00920B0D">
        <w:rPr>
          <w:rFonts w:eastAsiaTheme="minorHAnsi"/>
          <w:b/>
          <w:szCs w:val="22"/>
          <w:lang w:eastAsia="en-US"/>
        </w:rPr>
        <w:t>/...</w:t>
      </w:r>
      <w:r>
        <w:rPr>
          <w:rFonts w:eastAsiaTheme="minorHAnsi"/>
          <w:b/>
          <w:szCs w:val="22"/>
          <w:lang w:eastAsia="en-US"/>
        </w:rPr>
        <w:t xml:space="preserve"> du Parlement européen et du Conseil </w:t>
      </w:r>
      <w:r w:rsidRPr="00920B0D">
        <w:rPr>
          <w:rFonts w:eastAsiaTheme="minorHAnsi"/>
          <w:b/>
          <w:szCs w:val="22"/>
          <w:lang w:eastAsia="en-US"/>
        </w:rPr>
        <w:t>relatif à la transparence et au ciblage de la publicité à caractère politique</w:t>
      </w:r>
    </w:p>
    <w:p w14:paraId="01804374" w14:textId="3280AAA9" w:rsidR="000060F4" w:rsidRDefault="000060F4" w:rsidP="000060F4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24</w:t>
      </w:r>
      <w:r>
        <w:rPr>
          <w:b w:val="0"/>
          <w:i/>
        </w:rPr>
        <w:t>/</w:t>
      </w:r>
      <w:r>
        <w:rPr>
          <w:b w:val="0"/>
          <w:i/>
        </w:rPr>
        <w:t>900</w:t>
      </w:r>
      <w:bookmarkStart w:id="8" w:name="_GoBack"/>
      <w:bookmarkEnd w:id="8"/>
      <w:r w:rsidRPr="00EB53D5">
        <w:rPr>
          <w:b w:val="0"/>
          <w:i/>
        </w:rPr>
        <w:t>.)</w:t>
      </w:r>
    </w:p>
    <w:p w14:paraId="3AADC830" w14:textId="77777777" w:rsidR="000060F4" w:rsidRDefault="000060F4" w:rsidP="009C2195">
      <w:pPr>
        <w:widowControl/>
        <w:spacing w:before="360"/>
        <w:rPr>
          <w:rFonts w:eastAsiaTheme="minorHAnsi"/>
          <w:b/>
          <w:szCs w:val="22"/>
          <w:lang w:eastAsia="en-US"/>
        </w:rPr>
      </w:pPr>
    </w:p>
    <w:sectPr w:rsidR="000060F4" w:rsidSect="00AB678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C5062" w14:textId="77777777" w:rsidR="00116246" w:rsidRPr="00AB6786" w:rsidRDefault="00116246">
      <w:r w:rsidRPr="00AB6786">
        <w:separator/>
      </w:r>
    </w:p>
  </w:endnote>
  <w:endnote w:type="continuationSeparator" w:id="0">
    <w:p w14:paraId="2DFC56A5" w14:textId="77777777" w:rsidR="00116246" w:rsidRPr="00AB6786" w:rsidRDefault="00116246">
      <w:r w:rsidRPr="00AB67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D8B48" w14:textId="77777777" w:rsidR="00116246" w:rsidRPr="00AB6786" w:rsidRDefault="001162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06231" w14:textId="77777777" w:rsidR="00116246" w:rsidRPr="00AB6786" w:rsidRDefault="0011624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3ED30" w14:textId="77777777" w:rsidR="00116246" w:rsidRPr="00AB6786" w:rsidRDefault="001162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99644" w14:textId="77777777" w:rsidR="00116246" w:rsidRPr="00AB6786" w:rsidRDefault="00116246">
      <w:r w:rsidRPr="00AB6786">
        <w:separator/>
      </w:r>
    </w:p>
  </w:footnote>
  <w:footnote w:type="continuationSeparator" w:id="0">
    <w:p w14:paraId="144A812F" w14:textId="77777777" w:rsidR="00116246" w:rsidRPr="00AB6786" w:rsidRDefault="00116246">
      <w:r w:rsidRPr="00AB6786">
        <w:continuationSeparator/>
      </w:r>
    </w:p>
  </w:footnote>
  <w:footnote w:id="1">
    <w:p w14:paraId="69B6C192" w14:textId="076E71A8" w:rsidR="00116246" w:rsidRPr="0046398A" w:rsidRDefault="00116246" w:rsidP="00AB6786">
      <w:pPr>
        <w:pStyle w:val="FootnoteText"/>
        <w:ind w:left="567" w:hanging="567"/>
        <w:rPr>
          <w:sz w:val="24"/>
          <w:szCs w:val="24"/>
          <w:lang w:val="da-DK"/>
        </w:rPr>
      </w:pPr>
      <w:r w:rsidRPr="000247CE">
        <w:rPr>
          <w:rStyle w:val="FootnoteReference"/>
          <w:sz w:val="24"/>
          <w:szCs w:val="24"/>
        </w:rPr>
        <w:footnoteRef/>
      </w:r>
      <w:r w:rsidRPr="0046398A">
        <w:rPr>
          <w:sz w:val="24"/>
          <w:szCs w:val="24"/>
          <w:lang w:val="da-DK"/>
        </w:rPr>
        <w:t xml:space="preserve"> </w:t>
      </w:r>
      <w:r w:rsidRPr="0046398A">
        <w:rPr>
          <w:sz w:val="24"/>
          <w:szCs w:val="24"/>
          <w:lang w:val="da-DK"/>
        </w:rPr>
        <w:tab/>
        <w:t>JO C </w:t>
      </w:r>
      <w:r w:rsidRPr="009C2195">
        <w:rPr>
          <w:sz w:val="24"/>
          <w:szCs w:val="24"/>
          <w:lang w:val="da-DK"/>
        </w:rPr>
        <w:t>275</w:t>
      </w:r>
      <w:r w:rsidRPr="0046398A">
        <w:rPr>
          <w:sz w:val="24"/>
          <w:szCs w:val="24"/>
          <w:lang w:val="da-DK"/>
        </w:rPr>
        <w:t xml:space="preserve"> du </w:t>
      </w:r>
      <w:r w:rsidRPr="009C2195">
        <w:rPr>
          <w:sz w:val="24"/>
          <w:szCs w:val="24"/>
          <w:lang w:val="da-DK"/>
        </w:rPr>
        <w:t>18</w:t>
      </w:r>
      <w:r w:rsidRPr="0046398A">
        <w:rPr>
          <w:sz w:val="24"/>
          <w:szCs w:val="24"/>
          <w:lang w:val="da-DK"/>
        </w:rPr>
        <w:t>.</w:t>
      </w:r>
      <w:r w:rsidRPr="009C2195">
        <w:rPr>
          <w:sz w:val="24"/>
          <w:szCs w:val="24"/>
          <w:lang w:val="da-DK"/>
        </w:rPr>
        <w:t>7</w:t>
      </w:r>
      <w:r w:rsidRPr="0046398A">
        <w:rPr>
          <w:sz w:val="24"/>
          <w:szCs w:val="24"/>
          <w:lang w:val="da-DK"/>
        </w:rPr>
        <w:t>.</w:t>
      </w:r>
      <w:r w:rsidRPr="009C2195">
        <w:rPr>
          <w:sz w:val="24"/>
          <w:szCs w:val="24"/>
          <w:lang w:val="da-DK"/>
        </w:rPr>
        <w:t>2022</w:t>
      </w:r>
      <w:r w:rsidRPr="0046398A">
        <w:rPr>
          <w:sz w:val="24"/>
          <w:szCs w:val="24"/>
          <w:lang w:val="da-DK"/>
        </w:rPr>
        <w:t>, p. </w:t>
      </w:r>
      <w:r w:rsidRPr="009C2195">
        <w:rPr>
          <w:sz w:val="24"/>
          <w:szCs w:val="24"/>
          <w:lang w:val="da-DK"/>
        </w:rPr>
        <w:t>66</w:t>
      </w:r>
      <w:r w:rsidRPr="0046398A">
        <w:rPr>
          <w:sz w:val="24"/>
          <w:szCs w:val="24"/>
          <w:lang w:val="da-DK"/>
        </w:rPr>
        <w:t>.</w:t>
      </w:r>
    </w:p>
  </w:footnote>
  <w:footnote w:id="2">
    <w:p w14:paraId="232D007E" w14:textId="77777777" w:rsidR="00116246" w:rsidRPr="0046398A" w:rsidRDefault="00116246" w:rsidP="009C0E2B">
      <w:pPr>
        <w:pStyle w:val="FootnoteText"/>
        <w:ind w:left="567" w:hanging="567"/>
        <w:rPr>
          <w:sz w:val="24"/>
          <w:szCs w:val="24"/>
          <w:lang w:val="da-DK"/>
        </w:rPr>
      </w:pPr>
      <w:r w:rsidRPr="009C0E2B">
        <w:rPr>
          <w:rStyle w:val="FootnoteReference"/>
          <w:sz w:val="24"/>
          <w:szCs w:val="24"/>
        </w:rPr>
        <w:footnoteRef/>
      </w:r>
      <w:r w:rsidRPr="0046398A">
        <w:rPr>
          <w:sz w:val="24"/>
          <w:szCs w:val="24"/>
          <w:lang w:val="da-DK"/>
        </w:rPr>
        <w:t xml:space="preserve"> </w:t>
      </w:r>
      <w:r w:rsidRPr="0046398A">
        <w:rPr>
          <w:sz w:val="24"/>
          <w:szCs w:val="24"/>
          <w:lang w:val="da-DK"/>
        </w:rPr>
        <w:tab/>
        <w:t xml:space="preserve">JO C </w:t>
      </w:r>
      <w:r w:rsidRPr="009C2195">
        <w:rPr>
          <w:sz w:val="24"/>
          <w:szCs w:val="24"/>
          <w:lang w:val="da-DK"/>
        </w:rPr>
        <w:t>301</w:t>
      </w:r>
      <w:r w:rsidRPr="0046398A">
        <w:rPr>
          <w:sz w:val="24"/>
          <w:szCs w:val="24"/>
          <w:lang w:val="da-DK"/>
        </w:rPr>
        <w:t xml:space="preserve"> du </w:t>
      </w:r>
      <w:r w:rsidRPr="009C2195">
        <w:rPr>
          <w:sz w:val="24"/>
          <w:szCs w:val="24"/>
          <w:lang w:val="da-DK"/>
        </w:rPr>
        <w:t>5</w:t>
      </w:r>
      <w:r w:rsidRPr="0046398A">
        <w:rPr>
          <w:sz w:val="24"/>
          <w:szCs w:val="24"/>
          <w:lang w:val="da-DK"/>
        </w:rPr>
        <w:t>.</w:t>
      </w:r>
      <w:r w:rsidRPr="009C2195">
        <w:rPr>
          <w:sz w:val="24"/>
          <w:szCs w:val="24"/>
          <w:lang w:val="da-DK"/>
        </w:rPr>
        <w:t>8</w:t>
      </w:r>
      <w:r w:rsidRPr="0046398A">
        <w:rPr>
          <w:sz w:val="24"/>
          <w:szCs w:val="24"/>
          <w:lang w:val="da-DK"/>
        </w:rPr>
        <w:t>.</w:t>
      </w:r>
      <w:r w:rsidRPr="009C2195">
        <w:rPr>
          <w:sz w:val="24"/>
          <w:szCs w:val="24"/>
          <w:lang w:val="da-DK"/>
        </w:rPr>
        <w:t>2022</w:t>
      </w:r>
      <w:r w:rsidRPr="0046398A">
        <w:rPr>
          <w:sz w:val="24"/>
          <w:szCs w:val="24"/>
          <w:lang w:val="da-DK"/>
        </w:rPr>
        <w:t xml:space="preserve">, p. </w:t>
      </w:r>
      <w:r w:rsidRPr="009C2195">
        <w:rPr>
          <w:sz w:val="24"/>
          <w:szCs w:val="24"/>
          <w:lang w:val="da-DK"/>
        </w:rPr>
        <w:t>102</w:t>
      </w:r>
      <w:r w:rsidRPr="0046398A">
        <w:rPr>
          <w:sz w:val="24"/>
          <w:szCs w:val="24"/>
          <w:lang w:val="da-DK"/>
        </w:rPr>
        <w:t>.</w:t>
      </w:r>
    </w:p>
  </w:footnote>
  <w:footnote w:id="3">
    <w:p w14:paraId="10789E52" w14:textId="330B0051" w:rsidR="00116246" w:rsidRPr="009C0E2B" w:rsidRDefault="00116246" w:rsidP="009C0E2B">
      <w:pPr>
        <w:pStyle w:val="FootnoteText"/>
        <w:tabs>
          <w:tab w:val="left" w:pos="1078"/>
        </w:tabs>
        <w:ind w:left="567" w:hanging="567"/>
        <w:rPr>
          <w:sz w:val="24"/>
          <w:szCs w:val="24"/>
          <w:lang w:val="fr-BE"/>
        </w:rPr>
      </w:pPr>
      <w:r w:rsidRPr="009C0E2B">
        <w:rPr>
          <w:rStyle w:val="FootnoteReference"/>
          <w:sz w:val="24"/>
          <w:szCs w:val="24"/>
          <w:lang w:val="fr-BE"/>
        </w:rPr>
        <w:footnoteRef/>
      </w:r>
      <w:r w:rsidRPr="009C0E2B">
        <w:rPr>
          <w:sz w:val="24"/>
          <w:szCs w:val="24"/>
          <w:lang w:val="fr-BE"/>
        </w:rPr>
        <w:t xml:space="preserve"> </w:t>
      </w:r>
      <w:r w:rsidRPr="009C0E2B">
        <w:rPr>
          <w:sz w:val="24"/>
          <w:szCs w:val="24"/>
          <w:lang w:val="fr-BE"/>
        </w:rPr>
        <w:tab/>
        <w:t xml:space="preserve">La présente position remplace les amendements adoptés le </w:t>
      </w:r>
      <w:r w:rsidRPr="009C2195">
        <w:rPr>
          <w:sz w:val="24"/>
          <w:szCs w:val="24"/>
          <w:lang w:val="fr-BE"/>
        </w:rPr>
        <w:t>2</w:t>
      </w:r>
      <w:r w:rsidRPr="009C0E2B">
        <w:rPr>
          <w:sz w:val="24"/>
          <w:szCs w:val="24"/>
          <w:lang w:val="fr-BE"/>
        </w:rPr>
        <w:t xml:space="preserve"> février </w:t>
      </w:r>
      <w:r w:rsidRPr="009C2195">
        <w:rPr>
          <w:sz w:val="24"/>
          <w:szCs w:val="24"/>
          <w:lang w:val="fr-BE"/>
        </w:rPr>
        <w:t>2023</w:t>
      </w:r>
      <w:r w:rsidRPr="009C0E2B">
        <w:rPr>
          <w:sz w:val="24"/>
          <w:szCs w:val="24"/>
          <w:lang w:val="fr-BE"/>
        </w:rPr>
        <w:t xml:space="preserve"> (textes adoptés de cette date, P</w:t>
      </w:r>
      <w:r w:rsidRPr="009C2195">
        <w:rPr>
          <w:sz w:val="24"/>
          <w:szCs w:val="24"/>
          <w:lang w:val="fr-BE"/>
        </w:rPr>
        <w:t>9</w:t>
      </w:r>
      <w:r w:rsidRPr="009C0E2B">
        <w:rPr>
          <w:sz w:val="24"/>
          <w:szCs w:val="24"/>
          <w:lang w:val="fr-BE"/>
        </w:rPr>
        <w:t>_</w:t>
      </w:r>
      <w:proofErr w:type="gramStart"/>
      <w:r w:rsidRPr="009C0E2B">
        <w:rPr>
          <w:sz w:val="24"/>
          <w:szCs w:val="24"/>
          <w:lang w:val="fr-BE"/>
        </w:rPr>
        <w:t>TA(</w:t>
      </w:r>
      <w:proofErr w:type="gramEnd"/>
      <w:r w:rsidRPr="009C2195">
        <w:rPr>
          <w:sz w:val="24"/>
          <w:szCs w:val="24"/>
          <w:lang w:val="fr-BE"/>
        </w:rPr>
        <w:t>2023</w:t>
      </w:r>
      <w:r w:rsidRPr="009C0E2B">
        <w:rPr>
          <w:sz w:val="24"/>
          <w:szCs w:val="24"/>
          <w:lang w:val="fr-BE"/>
        </w:rPr>
        <w:t>)</w:t>
      </w:r>
      <w:r w:rsidRPr="009C2195">
        <w:rPr>
          <w:sz w:val="24"/>
          <w:szCs w:val="24"/>
          <w:lang w:val="fr-BE"/>
        </w:rPr>
        <w:t>0027</w:t>
      </w:r>
      <w:r w:rsidRPr="009C0E2B">
        <w:rPr>
          <w:sz w:val="24"/>
          <w:szCs w:val="24"/>
          <w:lang w:val="fr-B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23D05" w14:textId="77777777" w:rsidR="00116246" w:rsidRPr="00AB6786" w:rsidRDefault="0011624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3CB96" w14:textId="77777777" w:rsidR="00116246" w:rsidRPr="00AB6786" w:rsidRDefault="0011624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85E7D" w14:textId="77777777" w:rsidR="00116246" w:rsidRPr="00AB6786" w:rsidRDefault="001162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FR"/>
    <w:docVar w:name="dvnumam" w:val="678"/>
    <w:docVar w:name="dvpe" w:val="732.754"/>
    <w:docVar w:name="dvrapporteur" w:val="Rapporteur: "/>
    <w:docVar w:name="dvstar" w:val="***I"/>
    <w:docVar w:name="dvtitre" w:val="Résolution législative du Parlement européen du ... 2024 sur la proposition de règlement du Parlement européen et du Conseil relatif à la transparence et au ciblage de la publicité à caractère politique(COM(2021)0731 – C9-0433/2021 – 2021/0381(COD))"/>
  </w:docVars>
  <w:rsids>
    <w:rsidRoot w:val="00AF22ED"/>
    <w:rsid w:val="00002272"/>
    <w:rsid w:val="000060F4"/>
    <w:rsid w:val="000247CE"/>
    <w:rsid w:val="00037A42"/>
    <w:rsid w:val="00064002"/>
    <w:rsid w:val="000677B9"/>
    <w:rsid w:val="000831BA"/>
    <w:rsid w:val="000A42CC"/>
    <w:rsid w:val="000D294D"/>
    <w:rsid w:val="000E7DD9"/>
    <w:rsid w:val="000F2781"/>
    <w:rsid w:val="0010095E"/>
    <w:rsid w:val="00116246"/>
    <w:rsid w:val="00125B37"/>
    <w:rsid w:val="00187494"/>
    <w:rsid w:val="001F32AE"/>
    <w:rsid w:val="00225B52"/>
    <w:rsid w:val="002767FF"/>
    <w:rsid w:val="002B18FE"/>
    <w:rsid w:val="002B5493"/>
    <w:rsid w:val="00343214"/>
    <w:rsid w:val="00361C00"/>
    <w:rsid w:val="00395FA1"/>
    <w:rsid w:val="003E15D4"/>
    <w:rsid w:val="00404255"/>
    <w:rsid w:val="00411CCE"/>
    <w:rsid w:val="0041666E"/>
    <w:rsid w:val="00421060"/>
    <w:rsid w:val="0046398A"/>
    <w:rsid w:val="00471C19"/>
    <w:rsid w:val="004867E3"/>
    <w:rsid w:val="00494A28"/>
    <w:rsid w:val="004C0004"/>
    <w:rsid w:val="004C5D52"/>
    <w:rsid w:val="0050519A"/>
    <w:rsid w:val="005072A1"/>
    <w:rsid w:val="00514517"/>
    <w:rsid w:val="00540C06"/>
    <w:rsid w:val="00545827"/>
    <w:rsid w:val="00560270"/>
    <w:rsid w:val="005C2568"/>
    <w:rsid w:val="005D1E9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683D"/>
    <w:rsid w:val="008C2AC6"/>
    <w:rsid w:val="00920B0D"/>
    <w:rsid w:val="00930C23"/>
    <w:rsid w:val="0093193B"/>
    <w:rsid w:val="009509D8"/>
    <w:rsid w:val="00950B64"/>
    <w:rsid w:val="00981893"/>
    <w:rsid w:val="009C0E2B"/>
    <w:rsid w:val="009C2195"/>
    <w:rsid w:val="00A1687D"/>
    <w:rsid w:val="00A43E52"/>
    <w:rsid w:val="00A4678D"/>
    <w:rsid w:val="00A778C7"/>
    <w:rsid w:val="00AB441E"/>
    <w:rsid w:val="00AB6293"/>
    <w:rsid w:val="00AB6786"/>
    <w:rsid w:val="00AE0928"/>
    <w:rsid w:val="00AF22ED"/>
    <w:rsid w:val="00AF3B82"/>
    <w:rsid w:val="00B12E95"/>
    <w:rsid w:val="00B22876"/>
    <w:rsid w:val="00B558F0"/>
    <w:rsid w:val="00B6044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3D6"/>
    <w:rsid w:val="00F04346"/>
    <w:rsid w:val="00F075DC"/>
    <w:rsid w:val="00F149E9"/>
    <w:rsid w:val="00F5134D"/>
    <w:rsid w:val="00F74202"/>
    <w:rsid w:val="00F87713"/>
    <w:rsid w:val="00F92F0E"/>
    <w:rsid w:val="00FB4360"/>
    <w:rsid w:val="00FD0C70"/>
    <w:rsid w:val="00FF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2943C7"/>
  <w15:chartTrackingRefBased/>
  <w15:docId w15:val="{D0DD85CE-70A9-4E2E-B5DE-D4BCAC34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25B5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B5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B5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B5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25B5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25B52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225B52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225B52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225B52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225B5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25B5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25B5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25B52"/>
    <w:pPr>
      <w:spacing w:after="120"/>
    </w:pPr>
  </w:style>
  <w:style w:type="paragraph" w:customStyle="1" w:styleId="PageHeading">
    <w:name w:val="PageHeading"/>
    <w:basedOn w:val="Normal"/>
    <w:rsid w:val="00225B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25B52"/>
    <w:rPr>
      <w:b/>
    </w:rPr>
  </w:style>
  <w:style w:type="paragraph" w:customStyle="1" w:styleId="NormalBold12a">
    <w:name w:val="NormalBold12a"/>
    <w:basedOn w:val="Normal"/>
    <w:rsid w:val="00225B52"/>
    <w:pPr>
      <w:spacing w:after="240"/>
    </w:pPr>
    <w:rPr>
      <w:b/>
    </w:rPr>
  </w:style>
  <w:style w:type="paragraph" w:customStyle="1" w:styleId="AmJustText">
    <w:name w:val="AmJustText"/>
    <w:basedOn w:val="Normal"/>
    <w:rsid w:val="00225B5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25B5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25B52"/>
    <w:pPr>
      <w:spacing w:after="480"/>
      <w:ind w:left="1417"/>
    </w:pPr>
  </w:style>
  <w:style w:type="paragraph" w:customStyle="1" w:styleId="CoverNormal">
    <w:name w:val="CoverNormal"/>
    <w:basedOn w:val="Normal"/>
    <w:rsid w:val="00225B52"/>
    <w:pPr>
      <w:ind w:left="1418"/>
    </w:pPr>
  </w:style>
  <w:style w:type="paragraph" w:customStyle="1" w:styleId="AmCrossRef">
    <w:name w:val="AmCrossRef"/>
    <w:basedOn w:val="Normal"/>
    <w:rsid w:val="00225B5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25B5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25B5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25B5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25B5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25B5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25B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5B52"/>
    <w:rPr>
      <w:sz w:val="24"/>
      <w:lang w:val="fr-FR"/>
    </w:rPr>
  </w:style>
  <w:style w:type="paragraph" w:customStyle="1" w:styleId="AmOrLang">
    <w:name w:val="AmOrLang"/>
    <w:basedOn w:val="Normal"/>
    <w:rsid w:val="00225B5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25B5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25B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25B52"/>
    <w:pPr>
      <w:spacing w:before="240"/>
    </w:pPr>
    <w:rPr>
      <w:b/>
    </w:rPr>
  </w:style>
  <w:style w:type="paragraph" w:customStyle="1" w:styleId="EPBody">
    <w:name w:val="EPBody"/>
    <w:basedOn w:val="Normal"/>
    <w:rsid w:val="00225B5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25B5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25B52"/>
    <w:pPr>
      <w:spacing w:before="480" w:after="240"/>
    </w:pPr>
  </w:style>
  <w:style w:type="paragraph" w:customStyle="1" w:styleId="Lgendesigne">
    <w:name w:val="Légende signe"/>
    <w:basedOn w:val="Normal"/>
    <w:rsid w:val="00225B5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25B5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25B52"/>
    <w:rPr>
      <w:sz w:val="18"/>
    </w:rPr>
  </w:style>
  <w:style w:type="character" w:styleId="CommentReference">
    <w:name w:val="annotation reference"/>
    <w:basedOn w:val="DefaultParagraphFont"/>
    <w:rsid w:val="00225B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25B5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25B5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25B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25B52"/>
    <w:rPr>
      <w:b/>
      <w:bCs/>
      <w:lang w:val="fr-FR"/>
    </w:rPr>
  </w:style>
  <w:style w:type="paragraph" w:styleId="BalloonText">
    <w:name w:val="Balloon Text"/>
    <w:basedOn w:val="Normal"/>
    <w:link w:val="BalloonTextChar"/>
    <w:unhideWhenUsed/>
    <w:rsid w:val="00225B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5B52"/>
    <w:rPr>
      <w:rFonts w:ascii="Segoe UI" w:hAnsi="Segoe UI" w:cs="Segoe UI"/>
      <w:sz w:val="18"/>
      <w:szCs w:val="18"/>
      <w:lang w:val="fr-FR"/>
    </w:rPr>
  </w:style>
  <w:style w:type="paragraph" w:styleId="Footer">
    <w:name w:val="footer"/>
    <w:basedOn w:val="Normal"/>
    <w:link w:val="FooterChar"/>
    <w:uiPriority w:val="99"/>
    <w:rsid w:val="00225B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5B52"/>
    <w:rPr>
      <w:sz w:val="24"/>
      <w:lang w:val="fr-FR"/>
    </w:rPr>
  </w:style>
  <w:style w:type="paragraph" w:styleId="EndnoteText">
    <w:name w:val="endnote text"/>
    <w:basedOn w:val="Normal"/>
    <w:link w:val="EndnoteTextChar"/>
    <w:rsid w:val="00225B52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225B52"/>
    <w:rPr>
      <w:lang w:val="fr-FR"/>
    </w:rPr>
  </w:style>
  <w:style w:type="character" w:styleId="EndnoteReference">
    <w:name w:val="endnote reference"/>
    <w:basedOn w:val="DefaultParagraphFont"/>
    <w:rsid w:val="00225B52"/>
    <w:rPr>
      <w:vertAlign w:val="superscript"/>
    </w:rPr>
  </w:style>
  <w:style w:type="paragraph" w:customStyle="1" w:styleId="msonormal0">
    <w:name w:val="msonormal"/>
    <w:basedOn w:val="Normal"/>
    <w:rsid w:val="00225B52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225B52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225B5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25B5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25B5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25B5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25B5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25B52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25B52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225B5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25B52"/>
    <w:rPr>
      <w:b/>
      <w:sz w:val="24"/>
      <w:lang w:val="fr-FR"/>
    </w:rPr>
  </w:style>
  <w:style w:type="paragraph" w:customStyle="1" w:styleId="Normal12Italic">
    <w:name w:val="Normal12Italic"/>
    <w:basedOn w:val="Normal12"/>
    <w:rsid w:val="00225B52"/>
    <w:rPr>
      <w:i/>
    </w:rPr>
  </w:style>
  <w:style w:type="paragraph" w:customStyle="1" w:styleId="JustificationTitle">
    <w:name w:val="JustificationTitle"/>
    <w:basedOn w:val="Normal"/>
    <w:next w:val="Normal12"/>
    <w:rsid w:val="00225B5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25B5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25B5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25B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25B52"/>
    <w:pPr>
      <w:spacing w:before="240"/>
      <w:jc w:val="center"/>
    </w:pPr>
    <w:rPr>
      <w:i/>
    </w:rPr>
  </w:style>
  <w:style w:type="character" w:customStyle="1" w:styleId="FooterChar1">
    <w:name w:val="Footer Char1"/>
    <w:basedOn w:val="DefaultParagraphFont"/>
    <w:rsid w:val="00225B52"/>
    <w:rPr>
      <w:sz w:val="24"/>
    </w:rPr>
  </w:style>
  <w:style w:type="character" w:customStyle="1" w:styleId="Footer2Middle">
    <w:name w:val="Footer2Middle"/>
    <w:rsid w:val="00225B5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25B52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225B5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225B52"/>
  </w:style>
  <w:style w:type="table" w:customStyle="1" w:styleId="TableGrid1">
    <w:name w:val="Table Grid1"/>
    <w:basedOn w:val="TableNormal"/>
    <w:next w:val="TableGrid"/>
    <w:rsid w:val="00225B52"/>
    <w:pPr>
      <w:widowControl w:val="0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225B52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225B52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225B52"/>
    <w:rPr>
      <w:i/>
      <w:iCs/>
    </w:rPr>
  </w:style>
  <w:style w:type="paragraph" w:customStyle="1" w:styleId="Normal12a">
    <w:name w:val="Normal12a"/>
    <w:basedOn w:val="Normal"/>
    <w:rsid w:val="00225B52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225B52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225B52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225B52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225B52"/>
    <w:pPr>
      <w:spacing w:before="120" w:after="120"/>
    </w:pPr>
    <w:rPr>
      <w:snapToGrid w:val="0"/>
      <w:sz w:val="16"/>
      <w:lang w:val="en-GB" w:eastAsia="en-US"/>
    </w:rPr>
  </w:style>
  <w:style w:type="character" w:styleId="Hyperlink">
    <w:name w:val="Hyperlink"/>
    <w:basedOn w:val="DefaultParagraphFont"/>
    <w:rsid w:val="00225B52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225B52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225B52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24a">
    <w:name w:val="Normal24a"/>
    <w:basedOn w:val="Normal"/>
    <w:link w:val="Normal24aChar"/>
    <w:rsid w:val="00225B52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225B52"/>
    <w:rPr>
      <w:sz w:val="24"/>
    </w:rPr>
  </w:style>
  <w:style w:type="paragraph" w:customStyle="1" w:styleId="NormalBoldCenter">
    <w:name w:val="NormalBoldCenter"/>
    <w:basedOn w:val="Normal"/>
    <w:rsid w:val="00225B52"/>
    <w:pPr>
      <w:jc w:val="center"/>
    </w:pPr>
    <w:rPr>
      <w:b/>
      <w:lang w:val="en-GB"/>
    </w:rPr>
  </w:style>
  <w:style w:type="paragraph" w:customStyle="1" w:styleId="NormalBoldItalicCenter6a">
    <w:name w:val="NormalBoldItalicCenter6a"/>
    <w:basedOn w:val="Normal6a"/>
    <w:qFormat/>
    <w:rsid w:val="00225B52"/>
    <w:pPr>
      <w:jc w:val="center"/>
    </w:pPr>
    <w:rPr>
      <w:b/>
      <w:i/>
      <w:lang w:val="en-GB"/>
    </w:rPr>
  </w:style>
  <w:style w:type="paragraph" w:customStyle="1" w:styleId="ManualNumPar1">
    <w:name w:val="Manual NumPar 1"/>
    <w:basedOn w:val="Normal"/>
    <w:next w:val="Normal"/>
    <w:rsid w:val="00225B52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Text1">
    <w:name w:val="Text 1"/>
    <w:basedOn w:val="Normal"/>
    <w:rsid w:val="00225B52"/>
    <w:pPr>
      <w:widowControl/>
      <w:spacing w:before="120" w:after="120"/>
      <w:ind w:left="850"/>
      <w:jc w:val="both"/>
    </w:pPr>
    <w:rPr>
      <w:rFonts w:eastAsia="Calibri"/>
      <w:szCs w:val="22"/>
      <w:lang w:val="en-GB" w:eastAsia="en-US"/>
    </w:rPr>
  </w:style>
  <w:style w:type="paragraph" w:customStyle="1" w:styleId="Default">
    <w:name w:val="Default"/>
    <w:rsid w:val="00225B5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225B52"/>
    <w:rPr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225B52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920B0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20B0D"/>
    <w:pPr>
      <w:spacing w:after="240"/>
      <w:jc w:val="center"/>
    </w:pPr>
  </w:style>
  <w:style w:type="paragraph" w:customStyle="1" w:styleId="AmDateTab">
    <w:name w:val="AmDateTab"/>
    <w:basedOn w:val="Normal"/>
    <w:rsid w:val="00920B0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20B0D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920B0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20B0D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20B0D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20B0D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20B0D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20B0D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920B0D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920B0D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920B0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920B0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920B0D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920B0D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920B0D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920B0D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920B0D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920B0D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920B0D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20B0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20B0D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20B0D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20B0D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20B0D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920B0D"/>
    <w:pPr>
      <w:numPr>
        <w:numId w:val="12"/>
      </w:numPr>
    </w:pPr>
  </w:style>
  <w:style w:type="paragraph" w:customStyle="1" w:styleId="Tiret1">
    <w:name w:val="Tiret 1"/>
    <w:basedOn w:val="Point1"/>
    <w:rsid w:val="00920B0D"/>
    <w:pPr>
      <w:numPr>
        <w:numId w:val="13"/>
      </w:numPr>
    </w:pPr>
  </w:style>
  <w:style w:type="paragraph" w:customStyle="1" w:styleId="Tiret2">
    <w:name w:val="Tiret 2"/>
    <w:basedOn w:val="Point2"/>
    <w:rsid w:val="00920B0D"/>
    <w:pPr>
      <w:numPr>
        <w:numId w:val="14"/>
      </w:numPr>
    </w:pPr>
  </w:style>
  <w:style w:type="paragraph" w:customStyle="1" w:styleId="Tiret3">
    <w:name w:val="Tiret 3"/>
    <w:basedOn w:val="Point3"/>
    <w:rsid w:val="00920B0D"/>
    <w:pPr>
      <w:numPr>
        <w:numId w:val="15"/>
      </w:numPr>
    </w:pPr>
  </w:style>
  <w:style w:type="paragraph" w:customStyle="1" w:styleId="Tiret4">
    <w:name w:val="Tiret 4"/>
    <w:basedOn w:val="Point4"/>
    <w:rsid w:val="00920B0D"/>
    <w:pPr>
      <w:numPr>
        <w:numId w:val="16"/>
      </w:numPr>
    </w:pPr>
  </w:style>
  <w:style w:type="paragraph" w:customStyle="1" w:styleId="PointDouble0">
    <w:name w:val="PointDouble 0"/>
    <w:basedOn w:val="Normal"/>
    <w:rsid w:val="00920B0D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920B0D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920B0D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920B0D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920B0D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920B0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920B0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920B0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920B0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920B0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920B0D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920B0D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920B0D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920B0D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20B0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20B0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20B0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920B0D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20B0D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20B0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20B0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20B0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20B0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20B0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20B0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20B0D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920B0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20B0D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20B0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920B0D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20B0D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920B0D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20B0D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20B0D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920B0D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20B0D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20B0D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20B0D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20B0D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20B0D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20B0D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20B0D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20B0D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20B0D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20B0D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20B0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20B0D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20B0D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20B0D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920B0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20B0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20B0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20B0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20B0D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20B0D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20B0D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20B0D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20B0D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20B0D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20B0D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20B0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20B0D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20B0D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20B0D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20B0D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20B0D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20B0D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20B0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20B0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20B0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20B0D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20B0D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20B0D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920B0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20B0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20B0D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20B0D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20B0D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20B0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920B0D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20B0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20B0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20B0D"/>
  </w:style>
  <w:style w:type="paragraph" w:customStyle="1" w:styleId="StatutPagedecouverture">
    <w:name w:val="Statut (Page de couverture)"/>
    <w:basedOn w:val="Statut"/>
    <w:next w:val="TypedudocumentPagedecouverture"/>
    <w:rsid w:val="00920B0D"/>
  </w:style>
  <w:style w:type="paragraph" w:customStyle="1" w:styleId="TitreobjetPagedecouverture">
    <w:name w:val="Titre objet (Page de couverture)"/>
    <w:basedOn w:val="Titreobjet"/>
    <w:next w:val="IntrtEEEPagedecouverture"/>
    <w:rsid w:val="00920B0D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20B0D"/>
  </w:style>
  <w:style w:type="paragraph" w:customStyle="1" w:styleId="Volume">
    <w:name w:val="Volume"/>
    <w:basedOn w:val="Normal"/>
    <w:next w:val="Confidentialit"/>
    <w:rsid w:val="00920B0D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20B0D"/>
    <w:pPr>
      <w:spacing w:after="240"/>
    </w:pPr>
  </w:style>
  <w:style w:type="paragraph" w:customStyle="1" w:styleId="Accompagnant">
    <w:name w:val="Accompagnant"/>
    <w:basedOn w:val="Normal"/>
    <w:next w:val="Typeacteprincipal"/>
    <w:rsid w:val="00920B0D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20B0D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20B0D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20B0D"/>
  </w:style>
  <w:style w:type="paragraph" w:customStyle="1" w:styleId="AccompagnantPagedecouverture">
    <w:name w:val="Accompagnant (Page de couverture)"/>
    <w:basedOn w:val="Accompagnant"/>
    <w:next w:val="TypeacteprincipalPagedecouverture"/>
    <w:rsid w:val="00920B0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20B0D"/>
  </w:style>
  <w:style w:type="paragraph" w:customStyle="1" w:styleId="ObjetacteprincipalPagedecouverture">
    <w:name w:val="Objet acte principal (Page de couverture)"/>
    <w:basedOn w:val="Objetacteprincipal"/>
    <w:next w:val="Rfrencecroise"/>
    <w:rsid w:val="00920B0D"/>
  </w:style>
  <w:style w:type="paragraph" w:customStyle="1" w:styleId="LanguesfaisantfoiPagedecouverture">
    <w:name w:val="Langues faisant foi (Page de couverture)"/>
    <w:basedOn w:val="Normal"/>
    <w:next w:val="Normal"/>
    <w:rsid w:val="00920B0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920B0D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920B0D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920B0D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920B0D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920B0D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character" w:customStyle="1" w:styleId="Footer2">
    <w:name w:val="Footer2"/>
    <w:uiPriority w:val="1"/>
    <w:qFormat/>
    <w:rsid w:val="00920B0D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920B0D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920B0D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920B0D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920B0D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920B0D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920B0D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920B0D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920B0D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920B0D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920B0D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920B0D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920B0D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920B0D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920B0D"/>
    <w:pPr>
      <w:spacing w:before="120"/>
    </w:pPr>
  </w:style>
  <w:style w:type="paragraph" w:customStyle="1" w:styleId="TitlePar3">
    <w:name w:val="TitlePar 3"/>
    <w:basedOn w:val="TitlePar2"/>
    <w:qFormat/>
    <w:rsid w:val="00920B0D"/>
    <w:rPr>
      <w:b w:val="0"/>
      <w:i/>
    </w:rPr>
  </w:style>
  <w:style w:type="paragraph" w:customStyle="1" w:styleId="SubsectionTitle">
    <w:name w:val="SubsectionTitle"/>
    <w:basedOn w:val="SectionTitle"/>
    <w:qFormat/>
    <w:rsid w:val="00920B0D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920B0D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920B0D"/>
    <w:rPr>
      <w:b/>
    </w:rPr>
  </w:style>
  <w:style w:type="paragraph" w:customStyle="1" w:styleId="NumTitle">
    <w:name w:val="NumTitle"/>
    <w:basedOn w:val="Normal"/>
    <w:qFormat/>
    <w:rsid w:val="00920B0D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920B0D"/>
  </w:style>
  <w:style w:type="paragraph" w:customStyle="1" w:styleId="Text5">
    <w:name w:val="Text 5"/>
    <w:basedOn w:val="Text4"/>
    <w:qFormat/>
    <w:rsid w:val="00920B0D"/>
    <w:pPr>
      <w:ind w:left="3119"/>
    </w:pPr>
  </w:style>
  <w:style w:type="paragraph" w:customStyle="1" w:styleId="Text0">
    <w:name w:val="Text 0"/>
    <w:basedOn w:val="Normal"/>
    <w:qFormat/>
    <w:rsid w:val="00920B0D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920B0D"/>
    <w:pPr>
      <w:spacing w:before="360" w:after="120"/>
    </w:pPr>
  </w:style>
  <w:style w:type="paragraph" w:customStyle="1" w:styleId="PartNum">
    <w:name w:val="PartNum"/>
    <w:basedOn w:val="PartTitle"/>
    <w:qFormat/>
    <w:rsid w:val="00920B0D"/>
    <w:pPr>
      <w:spacing w:before="360" w:after="120"/>
    </w:pPr>
  </w:style>
  <w:style w:type="paragraph" w:customStyle="1" w:styleId="SectionNum">
    <w:name w:val="SectionNum"/>
    <w:basedOn w:val="SectionTitle"/>
    <w:qFormat/>
    <w:rsid w:val="00920B0D"/>
    <w:pPr>
      <w:spacing w:before="360" w:after="120"/>
    </w:pPr>
  </w:style>
  <w:style w:type="paragraph" w:customStyle="1" w:styleId="TitleHeading">
    <w:name w:val="TitleHeading"/>
    <w:basedOn w:val="NumTitle"/>
    <w:qFormat/>
    <w:rsid w:val="00920B0D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920B0D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920B0D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920B0D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920B0D"/>
    <w:pPr>
      <w:ind w:left="3686"/>
    </w:pPr>
  </w:style>
  <w:style w:type="paragraph" w:customStyle="1" w:styleId="Point6">
    <w:name w:val="Point 6"/>
    <w:basedOn w:val="Point5"/>
    <w:qFormat/>
    <w:rsid w:val="00920B0D"/>
    <w:pPr>
      <w:ind w:left="4253"/>
    </w:pPr>
  </w:style>
  <w:style w:type="character" w:customStyle="1" w:styleId="cf01">
    <w:name w:val="cf01"/>
    <w:basedOn w:val="DefaultParagraphFont"/>
    <w:rsid w:val="00920B0D"/>
    <w:rPr>
      <w:rFonts w:ascii="Segoe UI" w:hAnsi="Segoe UI" w:cs="Segoe UI" w:hint="default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0B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FE622-A64D-4A01-A8AD-E10EEA129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DELECROIX Dorothee</cp:lastModifiedBy>
  <cp:revision>2</cp:revision>
  <cp:lastPrinted>2004-11-19T15:42:00Z</cp:lastPrinted>
  <dcterms:created xsi:type="dcterms:W3CDTF">2024-06-10T13:43:00Z</dcterms:created>
  <dcterms:modified xsi:type="dcterms:W3CDTF">2024-06-10T13:43:00Z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