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12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1250" w:rsidRDefault="007274F0" w:rsidP="0010095E">
            <w:pPr>
              <w:pStyle w:val="EPName"/>
            </w:pPr>
            <w:r w:rsidRPr="00C41250">
              <w:t>Parlament Ewropew</w:t>
            </w:r>
          </w:p>
          <w:p w:rsidR="00751A4A" w:rsidRPr="00C412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0F3E">
              <w:t>2019</w:t>
            </w:r>
            <w:r w:rsidRPr="00C41250">
              <w:t>-</w:t>
            </w:r>
            <w:r w:rsidRPr="00DF0F3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41250" w:rsidRDefault="00187494" w:rsidP="0010095E">
            <w:pPr>
              <w:pStyle w:val="EPLogo"/>
            </w:pPr>
            <w:r w:rsidRPr="00C412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1250" w:rsidRDefault="00D058B8" w:rsidP="004C5D52">
      <w:pPr>
        <w:pStyle w:val="LineTop"/>
      </w:pPr>
    </w:p>
    <w:p w:rsidR="00680577" w:rsidRPr="00C41250" w:rsidRDefault="007274F0" w:rsidP="00680577">
      <w:pPr>
        <w:pStyle w:val="EPBodyTA1"/>
      </w:pPr>
      <w:r w:rsidRPr="00C41250">
        <w:t>TESTI ADOTTATI</w:t>
      </w:r>
    </w:p>
    <w:p w:rsidR="00D058B8" w:rsidRPr="00C41250" w:rsidRDefault="00D058B8" w:rsidP="00D058B8">
      <w:pPr>
        <w:pStyle w:val="LineBottom"/>
      </w:pPr>
    </w:p>
    <w:p w:rsidR="007274F0" w:rsidRPr="00C41250" w:rsidRDefault="007274F0" w:rsidP="007274F0">
      <w:pPr>
        <w:pStyle w:val="ATHeading1"/>
      </w:pPr>
      <w:bookmarkStart w:id="0" w:name="TANumber"/>
      <w:r w:rsidRPr="00C41250">
        <w:t>P</w:t>
      </w:r>
      <w:r w:rsidRPr="00DF0F3E">
        <w:t>9</w:t>
      </w:r>
      <w:r w:rsidRPr="00C41250">
        <w:t>_TA(</w:t>
      </w:r>
      <w:r w:rsidRPr="00DF0F3E">
        <w:t>2024</w:t>
      </w:r>
      <w:r w:rsidRPr="00C41250">
        <w:t>)</w:t>
      </w:r>
      <w:r w:rsidRPr="00DF0F3E">
        <w:t>00</w:t>
      </w:r>
      <w:r w:rsidR="00AD70F1" w:rsidRPr="00DF0F3E">
        <w:t>90</w:t>
      </w:r>
      <w:bookmarkEnd w:id="0"/>
    </w:p>
    <w:p w:rsidR="007274F0" w:rsidRPr="00C41250" w:rsidRDefault="00286ACD" w:rsidP="007274F0">
      <w:pPr>
        <w:pStyle w:val="ATHeading2"/>
      </w:pPr>
      <w:r w:rsidRPr="00C41250">
        <w:t>It-trasparenza u l-immirar tar-reklamar politiku</w:t>
      </w:r>
    </w:p>
    <w:p w:rsidR="007274F0" w:rsidRPr="00C41250" w:rsidRDefault="007274F0" w:rsidP="007274F0">
      <w:pPr>
        <w:rPr>
          <w:i/>
          <w:vanish/>
        </w:rPr>
      </w:pPr>
      <w:r w:rsidRPr="00C41250">
        <w:rPr>
          <w:i/>
        </w:rPr>
        <w:fldChar w:fldCharType="begin"/>
      </w:r>
      <w:r w:rsidRPr="00C41250">
        <w:rPr>
          <w:i/>
        </w:rPr>
        <w:instrText xml:space="preserve"> TC"(</w:instrText>
      </w:r>
      <w:bookmarkStart w:id="1" w:name="DocNumber"/>
      <w:r w:rsidRPr="00C41250">
        <w:rPr>
          <w:i/>
        </w:rPr>
        <w:instrText>A</w:instrText>
      </w:r>
      <w:r w:rsidRPr="00DF0F3E">
        <w:rPr>
          <w:i/>
        </w:rPr>
        <w:instrText>9</w:instrText>
      </w:r>
      <w:r w:rsidRPr="00C41250">
        <w:rPr>
          <w:i/>
        </w:rPr>
        <w:instrText>-</w:instrText>
      </w:r>
      <w:r w:rsidRPr="00DF0F3E">
        <w:rPr>
          <w:i/>
        </w:rPr>
        <w:instrText>0009</w:instrText>
      </w:r>
      <w:r w:rsidRPr="00C41250">
        <w:rPr>
          <w:i/>
        </w:rPr>
        <w:instrText>/</w:instrText>
      </w:r>
      <w:r w:rsidRPr="00DF0F3E">
        <w:rPr>
          <w:i/>
        </w:rPr>
        <w:instrText>2023</w:instrText>
      </w:r>
      <w:bookmarkEnd w:id="1"/>
      <w:r w:rsidRPr="00C41250">
        <w:rPr>
          <w:i/>
        </w:rPr>
        <w:instrText xml:space="preserve"> - Rapporteur: Sandro Gozi)"\l</w:instrText>
      </w:r>
      <w:r w:rsidRPr="00DF0F3E">
        <w:rPr>
          <w:i/>
        </w:rPr>
        <w:instrText>3</w:instrText>
      </w:r>
      <w:r w:rsidRPr="00C41250">
        <w:rPr>
          <w:i/>
        </w:rPr>
        <w:instrText xml:space="preserve"> \n&gt; \* MERGEFORMAT </w:instrText>
      </w:r>
      <w:r w:rsidRPr="00C41250">
        <w:rPr>
          <w:i/>
        </w:rPr>
        <w:fldChar w:fldCharType="end"/>
      </w:r>
    </w:p>
    <w:p w:rsidR="007274F0" w:rsidRPr="00C41250" w:rsidRDefault="007274F0" w:rsidP="007274F0">
      <w:pPr>
        <w:rPr>
          <w:vanish/>
        </w:rPr>
      </w:pPr>
      <w:bookmarkStart w:id="2" w:name="Commission"/>
      <w:r w:rsidRPr="00C41250">
        <w:rPr>
          <w:vanish/>
        </w:rPr>
        <w:t>Kumitat għas-Suq Intern u l-Ħarsien tal-Konsumatur</w:t>
      </w:r>
      <w:bookmarkEnd w:id="2"/>
    </w:p>
    <w:p w:rsidR="007274F0" w:rsidRPr="00C41250" w:rsidRDefault="007274F0" w:rsidP="007274F0">
      <w:pPr>
        <w:rPr>
          <w:vanish/>
        </w:rPr>
      </w:pPr>
      <w:bookmarkStart w:id="3" w:name="PE"/>
      <w:r w:rsidRPr="00C41250">
        <w:rPr>
          <w:vanish/>
        </w:rPr>
        <w:t>PE</w:t>
      </w:r>
      <w:r w:rsidRPr="00DF0F3E">
        <w:rPr>
          <w:vanish/>
        </w:rPr>
        <w:t>732</w:t>
      </w:r>
      <w:r w:rsidRPr="00C41250">
        <w:rPr>
          <w:vanish/>
        </w:rPr>
        <w:t>.</w:t>
      </w:r>
      <w:r w:rsidRPr="00DF0F3E">
        <w:rPr>
          <w:vanish/>
        </w:rPr>
        <w:t>754</w:t>
      </w:r>
      <w:bookmarkEnd w:id="3"/>
    </w:p>
    <w:p w:rsidR="007274F0" w:rsidRPr="00C41250" w:rsidRDefault="007274F0" w:rsidP="007274F0">
      <w:pPr>
        <w:pStyle w:val="ATHeading3"/>
      </w:pPr>
      <w:bookmarkStart w:id="4" w:name="Sujet"/>
      <w:r w:rsidRPr="00C41250">
        <w:t>Riżoluzzjoni leġiżlattiva tal-Parlament Ewropew tas-</w:t>
      </w:r>
      <w:r w:rsidRPr="00DF0F3E">
        <w:t>27</w:t>
      </w:r>
      <w:r w:rsidRPr="00C41250">
        <w:t xml:space="preserve"> ta' Frar </w:t>
      </w:r>
      <w:r w:rsidRPr="00DF0F3E">
        <w:t>2024</w:t>
      </w:r>
      <w:r w:rsidRPr="00C41250">
        <w:t xml:space="preserve"> dwar il-proposta għal regolament tal-Parlament Ewropew u tal-Kunsill dwar it-trasparenza u l-immirar tar-reklamar politiku</w:t>
      </w:r>
      <w:bookmarkEnd w:id="4"/>
      <w:r w:rsidRPr="00C41250">
        <w:t xml:space="preserve"> </w:t>
      </w:r>
      <w:bookmarkStart w:id="5" w:name="References"/>
      <w:r w:rsidRPr="00C41250">
        <w:t>(COM(</w:t>
      </w:r>
      <w:r w:rsidRPr="00DF0F3E">
        <w:t>2021</w:t>
      </w:r>
      <w:r w:rsidRPr="00C41250">
        <w:t>)</w:t>
      </w:r>
      <w:r w:rsidRPr="00DF0F3E">
        <w:t>0731</w:t>
      </w:r>
      <w:r w:rsidRPr="00C41250">
        <w:t xml:space="preserve"> – C</w:t>
      </w:r>
      <w:r w:rsidRPr="00DF0F3E">
        <w:t>9</w:t>
      </w:r>
      <w:r w:rsidRPr="00C41250">
        <w:t>-</w:t>
      </w:r>
      <w:r w:rsidRPr="00DF0F3E">
        <w:t>0433</w:t>
      </w:r>
      <w:r w:rsidRPr="00C41250">
        <w:t>/</w:t>
      </w:r>
      <w:r w:rsidRPr="00DF0F3E">
        <w:t>2021</w:t>
      </w:r>
      <w:r w:rsidRPr="00C41250">
        <w:t xml:space="preserve"> – </w:t>
      </w:r>
      <w:r w:rsidRPr="00DF0F3E">
        <w:t>2021</w:t>
      </w:r>
      <w:r w:rsidRPr="00C41250">
        <w:t>/</w:t>
      </w:r>
      <w:r w:rsidRPr="00DF0F3E">
        <w:t>0381</w:t>
      </w:r>
      <w:r w:rsidRPr="00C41250">
        <w:t>(COD))</w:t>
      </w:r>
      <w:bookmarkEnd w:id="5"/>
    </w:p>
    <w:p w:rsidR="00A261D1" w:rsidRPr="00C41250" w:rsidRDefault="00A261D1" w:rsidP="00A261D1">
      <w:pPr>
        <w:pStyle w:val="NormalBold"/>
      </w:pPr>
      <w:bookmarkStart w:id="6" w:name="TextBodyBegin"/>
      <w:bookmarkEnd w:id="6"/>
      <w:r w:rsidRPr="00C41250">
        <w:t>(Proċedura leġiżlattiva ordinarja: l-ewwel qari)</w:t>
      </w:r>
    </w:p>
    <w:p w:rsidR="00A261D1" w:rsidRPr="00C41250" w:rsidRDefault="00A261D1" w:rsidP="00A261D1">
      <w:pPr>
        <w:pStyle w:val="EPComma"/>
      </w:pPr>
      <w:r w:rsidRPr="00C41250">
        <w:rPr>
          <w:i/>
        </w:rPr>
        <w:t>Il-Parlament Ewropew</w:t>
      </w:r>
      <w:r w:rsidRPr="00C41250">
        <w:t>,</w:t>
      </w:r>
    </w:p>
    <w:p w:rsidR="00A261D1" w:rsidRPr="00C41250" w:rsidRDefault="00A261D1" w:rsidP="00A261D1">
      <w:pPr>
        <w:pStyle w:val="NormalHanging12a"/>
      </w:pPr>
      <w:r w:rsidRPr="00C41250">
        <w:t>–</w:t>
      </w:r>
      <w:r w:rsidRPr="00C41250">
        <w:tab/>
        <w:t>wara li kkunsidra l-proposta tal-Kummissjoni lill-Parlament Ewropew u lill-Kunsill (COM(</w:t>
      </w:r>
      <w:r w:rsidRPr="00DF0F3E">
        <w:t>2021</w:t>
      </w:r>
      <w:r w:rsidRPr="00C41250">
        <w:t>)</w:t>
      </w:r>
      <w:r w:rsidRPr="00DF0F3E">
        <w:t>0731</w:t>
      </w:r>
      <w:r w:rsidRPr="00C41250">
        <w:t>),</w:t>
      </w:r>
    </w:p>
    <w:p w:rsidR="00A261D1" w:rsidRPr="00C41250" w:rsidRDefault="00A261D1" w:rsidP="00A261D1">
      <w:pPr>
        <w:pStyle w:val="NormalHanging12a"/>
      </w:pPr>
      <w:r w:rsidRPr="00C41250">
        <w:t>–</w:t>
      </w:r>
      <w:r w:rsidRPr="00C41250">
        <w:tab/>
        <w:t>wara li kkunsidra l-Artikolu </w:t>
      </w:r>
      <w:r w:rsidRPr="00DF0F3E">
        <w:t>294</w:t>
      </w:r>
      <w:r w:rsidRPr="00C41250">
        <w:t>(</w:t>
      </w:r>
      <w:r w:rsidRPr="00DF0F3E">
        <w:t>2</w:t>
      </w:r>
      <w:r w:rsidRPr="00C41250">
        <w:t>) u l-Artikoli </w:t>
      </w:r>
      <w:r w:rsidRPr="00DF0F3E">
        <w:t>16</w:t>
      </w:r>
      <w:r w:rsidRPr="00C41250">
        <w:t xml:space="preserve"> u </w:t>
      </w:r>
      <w:r w:rsidRPr="00DF0F3E">
        <w:t>114</w:t>
      </w:r>
      <w:r w:rsidRPr="00C41250">
        <w:t xml:space="preserve"> tat-Trattat dwar il-Funzjonament tal-Unjoni Ewropea, skont liema artikoli l-Kummissjoni ppreżentat il-proposta lill-Parlament (C</w:t>
      </w:r>
      <w:r w:rsidRPr="00DF0F3E">
        <w:t>9</w:t>
      </w:r>
      <w:r w:rsidRPr="00C41250">
        <w:noBreakHyphen/>
      </w:r>
      <w:r w:rsidRPr="00DF0F3E">
        <w:t>0433</w:t>
      </w:r>
      <w:r w:rsidRPr="00C41250">
        <w:t>/</w:t>
      </w:r>
      <w:r w:rsidRPr="00DF0F3E">
        <w:t>2021</w:t>
      </w:r>
      <w:r w:rsidRPr="00C41250">
        <w:t>),</w:t>
      </w:r>
    </w:p>
    <w:p w:rsidR="00A261D1" w:rsidRPr="00C41250" w:rsidRDefault="00A261D1" w:rsidP="00A261D1">
      <w:pPr>
        <w:pStyle w:val="NormalHanging12a"/>
      </w:pPr>
      <w:r w:rsidRPr="00C41250">
        <w:t>–</w:t>
      </w:r>
      <w:r w:rsidRPr="00C41250">
        <w:tab/>
        <w:t>wara li kkunsidra l-Artikolu </w:t>
      </w:r>
      <w:r w:rsidRPr="00DF0F3E">
        <w:t>294</w:t>
      </w:r>
      <w:r w:rsidRPr="00C41250">
        <w:t>(</w:t>
      </w:r>
      <w:r w:rsidRPr="00DF0F3E">
        <w:t>3</w:t>
      </w:r>
      <w:r w:rsidRPr="00C41250">
        <w:t>) tat-Trattat dwar il-Funzjonament tal-Unjoni Ewropea,</w:t>
      </w:r>
    </w:p>
    <w:p w:rsidR="00A261D1" w:rsidRPr="00C41250" w:rsidRDefault="00A261D1" w:rsidP="00AD70F1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70"/>
        </w:tabs>
      </w:pPr>
      <w:r w:rsidRPr="00C41250">
        <w:t>–</w:t>
      </w:r>
      <w:r w:rsidRPr="00C41250">
        <w:tab/>
        <w:t>wara li kkunsidra l-opinjoni tal-Kumitat Ekonomiku u Soċjali tat-</w:t>
      </w:r>
      <w:r w:rsidRPr="00DF0F3E">
        <w:t>23</w:t>
      </w:r>
      <w:r w:rsidRPr="00C41250">
        <w:t> ta' Frar </w:t>
      </w:r>
      <w:r w:rsidRPr="00DF0F3E">
        <w:t>2022</w:t>
      </w:r>
      <w:r w:rsidRPr="00C41250">
        <w:rPr>
          <w:rStyle w:val="FootnoteReference"/>
        </w:rPr>
        <w:footnoteReference w:id="1"/>
      </w:r>
      <w:r w:rsidRPr="00C41250">
        <w:t>,</w:t>
      </w:r>
    </w:p>
    <w:p w:rsidR="002F265B" w:rsidRPr="00C41250" w:rsidRDefault="002F265B" w:rsidP="00AD70F1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70"/>
        </w:tabs>
      </w:pPr>
      <w:r w:rsidRPr="00C41250">
        <w:t>–</w:t>
      </w:r>
      <w:r w:rsidRPr="00C41250">
        <w:tab/>
        <w:t>wara li kkunsidra l-opinjoni tal-Kumitat tar-Reġjuni tat-</w:t>
      </w:r>
      <w:r w:rsidRPr="00DF0F3E">
        <w:t>28</w:t>
      </w:r>
      <w:r w:rsidRPr="00C41250">
        <w:t xml:space="preserve"> ta' April </w:t>
      </w:r>
      <w:r w:rsidRPr="00DF0F3E">
        <w:t>2022</w:t>
      </w:r>
      <w:r w:rsidRPr="00C41250">
        <w:rPr>
          <w:rStyle w:val="FootnoteReference"/>
        </w:rPr>
        <w:footnoteReference w:id="2"/>
      </w:r>
      <w:r w:rsidRPr="00C41250">
        <w:t>,</w:t>
      </w:r>
    </w:p>
    <w:p w:rsidR="002F265B" w:rsidRPr="00C41250" w:rsidRDefault="002F265B" w:rsidP="00AD70F1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70"/>
        </w:tabs>
      </w:pPr>
      <w:r w:rsidRPr="00C41250">
        <w:t>–</w:t>
      </w:r>
      <w:r w:rsidRPr="00C41250">
        <w:tab/>
        <w:t xml:space="preserve">wara li kkunsidra l-ftehim proviżorju approvat mill-kumitat responsabbli skont l-Artikolu </w:t>
      </w:r>
      <w:r w:rsidRPr="00DF0F3E">
        <w:t>74</w:t>
      </w:r>
      <w:r w:rsidRPr="00C41250">
        <w:t>(</w:t>
      </w:r>
      <w:r w:rsidRPr="00DF0F3E">
        <w:t>4</w:t>
      </w:r>
      <w:r w:rsidRPr="00C41250">
        <w:t>) tar-Regoli ta' Proċedura tiegħu u l-impenn mogħti mir-rappreżentant tal-Kunsill permezz ta' ittra tal-</w:t>
      </w:r>
      <w:r w:rsidRPr="00DF0F3E">
        <w:t>20</w:t>
      </w:r>
      <w:r w:rsidRPr="00C41250">
        <w:t xml:space="preserve"> ta' Diċembru </w:t>
      </w:r>
      <w:r w:rsidRPr="00DF0F3E">
        <w:t>2023</w:t>
      </w:r>
      <w:r w:rsidRPr="00C41250">
        <w:t xml:space="preserve"> li japprova l-pożizzjoni tal-Parlament, skont l-Artikolu </w:t>
      </w:r>
      <w:r w:rsidRPr="00DF0F3E">
        <w:t>294</w:t>
      </w:r>
      <w:r w:rsidRPr="00C41250">
        <w:t>(</w:t>
      </w:r>
      <w:r w:rsidRPr="00DF0F3E">
        <w:t>4</w:t>
      </w:r>
      <w:r w:rsidRPr="00C41250">
        <w:t>) tat-Trattat dwar il-Funzjonament tal-Unjoni Ewropea,</w:t>
      </w:r>
    </w:p>
    <w:p w:rsidR="00A261D1" w:rsidRPr="00C41250" w:rsidRDefault="00A261D1" w:rsidP="00A261D1">
      <w:pPr>
        <w:pStyle w:val="NormalHanging12a"/>
      </w:pPr>
      <w:r w:rsidRPr="00C41250">
        <w:t>–</w:t>
      </w:r>
      <w:r w:rsidRPr="00C41250">
        <w:tab/>
        <w:t>wara li kkunsidra l-Artikolu </w:t>
      </w:r>
      <w:r w:rsidRPr="00DF0F3E">
        <w:t>59</w:t>
      </w:r>
      <w:r w:rsidRPr="00C41250">
        <w:t xml:space="preserve"> tar-Regoli ta' Proċedura tiegħu,</w:t>
      </w:r>
    </w:p>
    <w:p w:rsidR="00A261D1" w:rsidRPr="00C41250" w:rsidRDefault="00A261D1" w:rsidP="00A261D1">
      <w:pPr>
        <w:pStyle w:val="NormalHanging12a"/>
      </w:pPr>
      <w:r w:rsidRPr="00C41250">
        <w:t>–</w:t>
      </w:r>
      <w:r w:rsidRPr="00C41250">
        <w:tab/>
        <w:t>wara li kkunsidra l-opinjoni tal-Kumitat għall-Kultura u l-Edukazzjoni, tal-Kumitat għal-Libertajiet Ċivili, il-Ġustizzja u l-Intern, tal-Kumitat għall-Affarijiet Legali u tal-</w:t>
      </w:r>
      <w:r w:rsidRPr="00C41250">
        <w:lastRenderedPageBreak/>
        <w:t>Kumitat għall-Affarijiet Kostituzzjonali,</w:t>
      </w:r>
    </w:p>
    <w:p w:rsidR="00A261D1" w:rsidRPr="00C41250" w:rsidRDefault="00A261D1" w:rsidP="00A261D1">
      <w:pPr>
        <w:pStyle w:val="NormalHanging12a"/>
      </w:pPr>
      <w:r w:rsidRPr="00C41250">
        <w:t>–</w:t>
      </w:r>
      <w:r w:rsidRPr="00C41250">
        <w:tab/>
        <w:t>wara li kkunsidra r-rapport tal-Kumitat għas-Suq Intern u l-Ħarsien tal-Konsumatur (A</w:t>
      </w:r>
      <w:r w:rsidRPr="00DF0F3E">
        <w:t>9</w:t>
      </w:r>
      <w:r w:rsidRPr="00C41250">
        <w:noBreakHyphen/>
      </w:r>
      <w:r w:rsidRPr="00DF0F3E">
        <w:t>0009</w:t>
      </w:r>
      <w:r w:rsidRPr="00C41250">
        <w:t>/</w:t>
      </w:r>
      <w:r w:rsidRPr="00DF0F3E">
        <w:t>2023</w:t>
      </w:r>
      <w:r w:rsidRPr="00C41250">
        <w:t>),</w:t>
      </w:r>
    </w:p>
    <w:p w:rsidR="00A261D1" w:rsidRPr="00C41250" w:rsidRDefault="00A261D1" w:rsidP="00A261D1">
      <w:pPr>
        <w:pStyle w:val="NormalHanging12a"/>
      </w:pPr>
      <w:r w:rsidRPr="00DF0F3E">
        <w:t>1</w:t>
      </w:r>
      <w:r w:rsidRPr="00C41250">
        <w:t>.</w:t>
      </w:r>
      <w:r w:rsidRPr="00C41250">
        <w:tab/>
        <w:t>Jadotta l-pożizzjoni fl-ewwel qari li tidher hawn taħt</w:t>
      </w:r>
      <w:r w:rsidR="002F265B" w:rsidRPr="00C41250">
        <w:rPr>
          <w:rStyle w:val="FootnoteReference"/>
        </w:rPr>
        <w:footnoteReference w:id="3"/>
      </w:r>
      <w:r w:rsidRPr="00C41250">
        <w:t>;</w:t>
      </w:r>
    </w:p>
    <w:p w:rsidR="00A261D1" w:rsidRPr="00C41250" w:rsidRDefault="00A261D1" w:rsidP="00A261D1">
      <w:pPr>
        <w:pStyle w:val="NormalHanging12a"/>
      </w:pPr>
      <w:r w:rsidRPr="00DF0F3E">
        <w:t>2</w:t>
      </w:r>
      <w:r w:rsidRPr="00C41250">
        <w:t>.</w:t>
      </w:r>
      <w:r w:rsidRPr="00C41250">
        <w:tab/>
        <w:t>Jitlob lill-Kummissjoni terġa' tirreferi l-kwistjoni lill-Parlament jekk tibdel il-proposta tagħha, temendaha b'mod sustanzjali jew ikollha l-ħsieb li temendaha b'mod sustanzjali;</w:t>
      </w:r>
    </w:p>
    <w:p w:rsidR="002F265B" w:rsidRPr="00C41250" w:rsidRDefault="00A261D1" w:rsidP="00A261D1">
      <w:pPr>
        <w:pStyle w:val="NormalHanging12a"/>
        <w:sectPr w:rsidR="002F265B" w:rsidRPr="00C41250" w:rsidSect="008B2E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F0F3E">
        <w:t>3</w:t>
      </w:r>
      <w:r w:rsidRPr="00C41250">
        <w:t>.</w:t>
      </w:r>
      <w:r w:rsidRPr="00C41250">
        <w:tab/>
        <w:t>Jagħti istruzzjonijiet lill-President tiegħu biex tgħaddi l-pożizzjoni tiegħu lill-Kunsill, lill-Kummissjoni kif ukoll lill-parlamenti nazzjonali.</w:t>
      </w:r>
    </w:p>
    <w:p w:rsidR="00E606E8" w:rsidRPr="00C41250" w:rsidRDefault="00E606E8" w:rsidP="00E606E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41250">
        <w:rPr>
          <w:rFonts w:eastAsia="Calibri"/>
          <w:b/>
          <w:bCs/>
          <w:color w:val="000000"/>
          <w:szCs w:val="24"/>
        </w:rPr>
        <w:lastRenderedPageBreak/>
        <w:t>P</w:t>
      </w:r>
      <w:r w:rsidRPr="00DF0F3E">
        <w:rPr>
          <w:rFonts w:eastAsia="Calibri"/>
          <w:b/>
          <w:bCs/>
          <w:color w:val="000000"/>
          <w:szCs w:val="24"/>
        </w:rPr>
        <w:t>9</w:t>
      </w:r>
      <w:r w:rsidRPr="00C41250">
        <w:rPr>
          <w:rFonts w:eastAsia="Calibri"/>
          <w:b/>
          <w:bCs/>
          <w:color w:val="000000"/>
          <w:szCs w:val="24"/>
        </w:rPr>
        <w:t>_TC</w:t>
      </w:r>
      <w:r w:rsidRPr="00DF0F3E">
        <w:rPr>
          <w:rFonts w:eastAsia="Calibri"/>
          <w:b/>
          <w:bCs/>
          <w:color w:val="000000"/>
          <w:szCs w:val="24"/>
        </w:rPr>
        <w:t>1</w:t>
      </w:r>
      <w:r w:rsidRPr="00C41250">
        <w:rPr>
          <w:rFonts w:eastAsia="Calibri"/>
          <w:b/>
          <w:bCs/>
          <w:color w:val="000000"/>
          <w:szCs w:val="24"/>
        </w:rPr>
        <w:t>-COD(</w:t>
      </w:r>
      <w:r w:rsidRPr="00DF0F3E">
        <w:rPr>
          <w:rFonts w:eastAsia="Calibri"/>
          <w:b/>
          <w:bCs/>
          <w:color w:val="000000"/>
          <w:szCs w:val="24"/>
        </w:rPr>
        <w:t>2021</w:t>
      </w:r>
      <w:r w:rsidRPr="00C41250">
        <w:rPr>
          <w:rFonts w:eastAsia="Calibri"/>
          <w:b/>
          <w:bCs/>
          <w:color w:val="000000"/>
          <w:szCs w:val="24"/>
        </w:rPr>
        <w:t>)</w:t>
      </w:r>
      <w:r w:rsidRPr="00DF0F3E">
        <w:rPr>
          <w:rFonts w:eastAsia="Calibri"/>
          <w:b/>
          <w:bCs/>
          <w:color w:val="000000"/>
          <w:szCs w:val="24"/>
        </w:rPr>
        <w:t>0381</w:t>
      </w:r>
    </w:p>
    <w:p w:rsidR="00E606E8" w:rsidRPr="00C41250" w:rsidRDefault="00E606E8" w:rsidP="00E606E8">
      <w:pPr>
        <w:widowControl/>
        <w:spacing w:after="240"/>
        <w:jc w:val="both"/>
        <w:rPr>
          <w:rFonts w:eastAsia="Calibri"/>
          <w:b/>
          <w:szCs w:val="22"/>
          <w:lang w:eastAsia="en-US"/>
        </w:rPr>
      </w:pPr>
      <w:r w:rsidRPr="00C41250">
        <w:rPr>
          <w:rFonts w:eastAsia="Calibri"/>
          <w:b/>
          <w:bCs/>
          <w:szCs w:val="24"/>
          <w:lang w:eastAsia="en-US"/>
        </w:rPr>
        <w:t>Pożizzjoni tal-Parlament Ewropew adottata fl-ewwel qari tas-</w:t>
      </w:r>
      <w:r w:rsidRPr="00DF0F3E">
        <w:rPr>
          <w:rFonts w:eastAsia="Calibri"/>
          <w:b/>
          <w:bCs/>
          <w:szCs w:val="24"/>
          <w:lang w:eastAsia="en-US"/>
        </w:rPr>
        <w:t>27</w:t>
      </w:r>
      <w:r w:rsidRPr="00C41250">
        <w:rPr>
          <w:rFonts w:eastAsia="Calibri"/>
          <w:b/>
          <w:szCs w:val="24"/>
          <w:lang w:eastAsia="en-US"/>
        </w:rPr>
        <w:t xml:space="preserve"> </w:t>
      </w:r>
      <w:r w:rsidRPr="00C41250">
        <w:rPr>
          <w:rFonts w:eastAsia="Calibri"/>
          <w:b/>
          <w:bCs/>
          <w:szCs w:val="24"/>
          <w:lang w:eastAsia="en-US"/>
        </w:rPr>
        <w:t xml:space="preserve">ta' Frar </w:t>
      </w:r>
      <w:r w:rsidRPr="00DF0F3E">
        <w:rPr>
          <w:rFonts w:eastAsia="Calibri"/>
          <w:b/>
          <w:bCs/>
          <w:szCs w:val="24"/>
          <w:lang w:eastAsia="en-US"/>
        </w:rPr>
        <w:t>2024</w:t>
      </w:r>
      <w:r w:rsidRPr="00C41250">
        <w:rPr>
          <w:rFonts w:eastAsia="Calibri"/>
          <w:b/>
          <w:bCs/>
          <w:szCs w:val="24"/>
          <w:lang w:eastAsia="en-US"/>
        </w:rPr>
        <w:t xml:space="preserve"> bil-ħsieb tal-adozzjoni tar-Regolament (UE) </w:t>
      </w:r>
      <w:r w:rsidRPr="00DF0F3E">
        <w:rPr>
          <w:rFonts w:eastAsia="Calibri"/>
          <w:b/>
          <w:bCs/>
          <w:szCs w:val="24"/>
          <w:lang w:eastAsia="en-US"/>
        </w:rPr>
        <w:t>2024</w:t>
      </w:r>
      <w:r w:rsidRPr="00C41250">
        <w:rPr>
          <w:rFonts w:eastAsia="Calibri"/>
          <w:b/>
          <w:bCs/>
          <w:szCs w:val="24"/>
          <w:lang w:eastAsia="en-US"/>
        </w:rPr>
        <w:t xml:space="preserve">/... </w:t>
      </w:r>
      <w:r w:rsidRPr="00C41250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C41250">
        <w:rPr>
          <w:rFonts w:eastAsia="Calibri"/>
          <w:b/>
          <w:szCs w:val="22"/>
          <w:lang w:eastAsia="en-US"/>
        </w:rPr>
        <w:t xml:space="preserve"> dwar it-trasparenza u l-immirar tar-reklamar politiku </w:t>
      </w:r>
    </w:p>
    <w:p w:rsidR="00E606E8" w:rsidRDefault="00E606E8" w:rsidP="00A261D1">
      <w:pPr>
        <w:widowControl/>
      </w:pPr>
    </w:p>
    <w:p w:rsidR="006563B8" w:rsidRPr="006563B8" w:rsidRDefault="006563B8" w:rsidP="006563B8">
      <w:pPr>
        <w:rPr>
          <w:i/>
        </w:rPr>
      </w:pPr>
      <w:r w:rsidRPr="006563B8">
        <w:rPr>
          <w:i/>
        </w:rPr>
        <w:t xml:space="preserve">(Peress li ntlaħaq ftehim bejn il-Parlament u l-Kunsill, il-pożizzjoni tal-Parlament taqbel mal-att leġiżlattiv finali, ir-Regolament (UE) </w:t>
      </w:r>
      <w:r w:rsidRPr="006563B8">
        <w:rPr>
          <w:i/>
        </w:rPr>
        <w:t>2024/900</w:t>
      </w:r>
      <w:r w:rsidRPr="006563B8">
        <w:rPr>
          <w:i/>
        </w:rPr>
        <w:t>.)</w:t>
      </w:r>
    </w:p>
    <w:p w:rsidR="006563B8" w:rsidRPr="008B2EBB" w:rsidRDefault="006563B8" w:rsidP="00A261D1">
      <w:pPr>
        <w:widowControl/>
      </w:pPr>
    </w:p>
    <w:sectPr w:rsidR="006563B8" w:rsidRPr="008B2EBB" w:rsidSect="008B2EB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4F0" w:rsidRPr="008B2EBB" w:rsidRDefault="007274F0">
      <w:r w:rsidRPr="008B2EBB">
        <w:separator/>
      </w:r>
    </w:p>
  </w:endnote>
  <w:endnote w:type="continuationSeparator" w:id="0">
    <w:p w:rsidR="007274F0" w:rsidRPr="008B2EBB" w:rsidRDefault="007274F0">
      <w:r w:rsidRPr="008B2E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E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E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E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4F0" w:rsidRPr="008B2EBB" w:rsidRDefault="007274F0">
      <w:r w:rsidRPr="008B2EBB">
        <w:separator/>
      </w:r>
    </w:p>
  </w:footnote>
  <w:footnote w:type="continuationSeparator" w:id="0">
    <w:p w:rsidR="007274F0" w:rsidRPr="008B2EBB" w:rsidRDefault="007274F0">
      <w:r w:rsidRPr="008B2EBB">
        <w:continuationSeparator/>
      </w:r>
    </w:p>
  </w:footnote>
  <w:footnote w:id="1">
    <w:p w:rsidR="00A261D1" w:rsidRPr="00AD70F1" w:rsidRDefault="00A261D1" w:rsidP="002F265B">
      <w:pPr>
        <w:pStyle w:val="FootnoteText"/>
        <w:ind w:left="851" w:hanging="851"/>
        <w:rPr>
          <w:sz w:val="24"/>
          <w:szCs w:val="24"/>
          <w:lang w:val="mt-MT"/>
        </w:rPr>
      </w:pPr>
      <w:r w:rsidRPr="00AD70F1">
        <w:rPr>
          <w:rStyle w:val="FootnoteReference"/>
          <w:sz w:val="24"/>
          <w:szCs w:val="24"/>
          <w:lang w:val="mt-MT"/>
        </w:rPr>
        <w:footnoteRef/>
      </w:r>
      <w:r w:rsidR="008B2EBB" w:rsidRPr="00AD70F1">
        <w:rPr>
          <w:sz w:val="24"/>
          <w:szCs w:val="24"/>
          <w:lang w:val="mt-MT"/>
        </w:rPr>
        <w:t xml:space="preserve"> </w:t>
      </w:r>
      <w:r w:rsidR="008B2EBB" w:rsidRPr="00AD70F1">
        <w:rPr>
          <w:sz w:val="24"/>
          <w:szCs w:val="24"/>
          <w:lang w:val="mt-MT"/>
        </w:rPr>
        <w:tab/>
      </w:r>
      <w:r w:rsidRPr="00AD70F1">
        <w:rPr>
          <w:sz w:val="24"/>
          <w:szCs w:val="24"/>
          <w:lang w:val="mt-MT"/>
        </w:rPr>
        <w:t xml:space="preserve">ĠU C </w:t>
      </w:r>
      <w:r w:rsidR="002F265B" w:rsidRPr="00DF0F3E">
        <w:rPr>
          <w:sz w:val="24"/>
          <w:szCs w:val="24"/>
          <w:lang w:val="it-IT"/>
        </w:rPr>
        <w:t>275</w:t>
      </w:r>
      <w:r w:rsidR="002F265B" w:rsidRPr="00AD70F1">
        <w:rPr>
          <w:sz w:val="24"/>
          <w:szCs w:val="24"/>
          <w:lang w:val="it-IT"/>
        </w:rPr>
        <w:t xml:space="preserve">, </w:t>
      </w:r>
      <w:r w:rsidR="002F265B" w:rsidRPr="00DF0F3E">
        <w:rPr>
          <w:sz w:val="24"/>
          <w:szCs w:val="24"/>
          <w:lang w:val="it-IT"/>
        </w:rPr>
        <w:t>18</w:t>
      </w:r>
      <w:r w:rsidR="002F265B" w:rsidRPr="00AD70F1">
        <w:rPr>
          <w:sz w:val="24"/>
          <w:szCs w:val="24"/>
          <w:lang w:val="it-IT"/>
        </w:rPr>
        <w:t>.</w:t>
      </w:r>
      <w:r w:rsidR="002F265B" w:rsidRPr="00DF0F3E">
        <w:rPr>
          <w:sz w:val="24"/>
          <w:szCs w:val="24"/>
          <w:lang w:val="it-IT"/>
        </w:rPr>
        <w:t>7</w:t>
      </w:r>
      <w:r w:rsidR="002F265B" w:rsidRPr="00AD70F1">
        <w:rPr>
          <w:sz w:val="24"/>
          <w:szCs w:val="24"/>
          <w:lang w:val="it-IT"/>
        </w:rPr>
        <w:t>.</w:t>
      </w:r>
      <w:r w:rsidR="002F265B" w:rsidRPr="00DF0F3E">
        <w:rPr>
          <w:sz w:val="24"/>
          <w:szCs w:val="24"/>
          <w:lang w:val="it-IT"/>
        </w:rPr>
        <w:t>2022</w:t>
      </w:r>
      <w:r w:rsidR="002F265B" w:rsidRPr="00AD70F1">
        <w:rPr>
          <w:sz w:val="24"/>
          <w:szCs w:val="24"/>
          <w:lang w:val="it-IT"/>
        </w:rPr>
        <w:t xml:space="preserve">, p. </w:t>
      </w:r>
      <w:r w:rsidR="002F265B" w:rsidRPr="00DF0F3E">
        <w:rPr>
          <w:sz w:val="24"/>
          <w:szCs w:val="24"/>
          <w:lang w:val="it-IT"/>
        </w:rPr>
        <w:t>66</w:t>
      </w:r>
      <w:r w:rsidR="002F265B" w:rsidRPr="00AD70F1">
        <w:rPr>
          <w:sz w:val="24"/>
          <w:szCs w:val="24"/>
          <w:lang w:val="it-IT"/>
        </w:rPr>
        <w:t>.</w:t>
      </w:r>
      <w:r w:rsidRPr="00AD70F1">
        <w:rPr>
          <w:sz w:val="24"/>
          <w:szCs w:val="24"/>
          <w:lang w:val="mt-MT"/>
        </w:rPr>
        <w:t>.</w:t>
      </w:r>
    </w:p>
  </w:footnote>
  <w:footnote w:id="2">
    <w:p w:rsidR="002F265B" w:rsidRPr="00AD70F1" w:rsidRDefault="002F265B" w:rsidP="002F265B">
      <w:pPr>
        <w:pStyle w:val="FootnoteText"/>
        <w:ind w:left="851" w:hanging="851"/>
        <w:rPr>
          <w:sz w:val="24"/>
          <w:szCs w:val="24"/>
          <w:lang w:val="mt-MT"/>
        </w:rPr>
      </w:pPr>
      <w:r w:rsidRPr="00AD70F1">
        <w:rPr>
          <w:rStyle w:val="FootnoteReference"/>
          <w:sz w:val="24"/>
          <w:szCs w:val="24"/>
        </w:rPr>
        <w:footnoteRef/>
      </w:r>
      <w:r w:rsidRPr="00AD70F1">
        <w:rPr>
          <w:sz w:val="24"/>
          <w:szCs w:val="24"/>
          <w:lang w:val="mt-MT"/>
        </w:rPr>
        <w:t xml:space="preserve"> </w:t>
      </w:r>
      <w:r w:rsidRPr="00AD70F1">
        <w:rPr>
          <w:sz w:val="24"/>
          <w:szCs w:val="24"/>
          <w:lang w:val="mt-MT"/>
        </w:rPr>
        <w:tab/>
        <w:t xml:space="preserve">ĠU C </w:t>
      </w:r>
      <w:r w:rsidRPr="00DF0F3E">
        <w:rPr>
          <w:sz w:val="24"/>
          <w:szCs w:val="24"/>
          <w:lang w:val="mt-MT"/>
        </w:rPr>
        <w:t>301</w:t>
      </w:r>
      <w:r w:rsidRPr="00AD70F1">
        <w:rPr>
          <w:sz w:val="24"/>
          <w:szCs w:val="24"/>
          <w:lang w:val="mt-MT"/>
        </w:rPr>
        <w:t xml:space="preserve">, </w:t>
      </w:r>
      <w:r w:rsidRPr="00DF0F3E">
        <w:rPr>
          <w:sz w:val="24"/>
          <w:szCs w:val="24"/>
          <w:lang w:val="mt-MT"/>
        </w:rPr>
        <w:t>5</w:t>
      </w:r>
      <w:r w:rsidRPr="00AD70F1">
        <w:rPr>
          <w:sz w:val="24"/>
          <w:szCs w:val="24"/>
          <w:lang w:val="mt-MT"/>
        </w:rPr>
        <w:t>.</w:t>
      </w:r>
      <w:r w:rsidRPr="00DF0F3E">
        <w:rPr>
          <w:sz w:val="24"/>
          <w:szCs w:val="24"/>
          <w:lang w:val="mt-MT"/>
        </w:rPr>
        <w:t>8</w:t>
      </w:r>
      <w:r w:rsidRPr="00AD70F1">
        <w:rPr>
          <w:sz w:val="24"/>
          <w:szCs w:val="24"/>
          <w:lang w:val="mt-MT"/>
        </w:rPr>
        <w:t>.</w:t>
      </w:r>
      <w:r w:rsidRPr="00DF0F3E">
        <w:rPr>
          <w:sz w:val="24"/>
          <w:szCs w:val="24"/>
          <w:lang w:val="mt-MT"/>
        </w:rPr>
        <w:t>2022</w:t>
      </w:r>
      <w:r w:rsidRPr="00AD70F1">
        <w:rPr>
          <w:sz w:val="24"/>
          <w:szCs w:val="24"/>
          <w:lang w:val="mt-MT"/>
        </w:rPr>
        <w:t xml:space="preserve">, p. </w:t>
      </w:r>
      <w:r w:rsidRPr="00DF0F3E">
        <w:rPr>
          <w:sz w:val="24"/>
          <w:szCs w:val="24"/>
          <w:lang w:val="mt-MT"/>
        </w:rPr>
        <w:t>102</w:t>
      </w:r>
      <w:r w:rsidRPr="00AD70F1">
        <w:rPr>
          <w:sz w:val="24"/>
          <w:szCs w:val="24"/>
          <w:lang w:val="mt-MT"/>
        </w:rPr>
        <w:t>.</w:t>
      </w:r>
    </w:p>
  </w:footnote>
  <w:footnote w:id="3">
    <w:p w:rsidR="002F265B" w:rsidRPr="00AD70F1" w:rsidRDefault="002F265B" w:rsidP="00AD70F1">
      <w:pPr>
        <w:pStyle w:val="FootnoteText"/>
        <w:ind w:left="851" w:hanging="851"/>
        <w:rPr>
          <w:sz w:val="24"/>
          <w:szCs w:val="24"/>
          <w:lang w:val="mt-MT"/>
        </w:rPr>
      </w:pPr>
      <w:r w:rsidRPr="00AD70F1">
        <w:rPr>
          <w:rStyle w:val="FootnoteReference"/>
          <w:sz w:val="24"/>
          <w:szCs w:val="24"/>
        </w:rPr>
        <w:footnoteRef/>
      </w:r>
      <w:r w:rsidRPr="00AD70F1">
        <w:rPr>
          <w:sz w:val="24"/>
          <w:szCs w:val="24"/>
          <w:lang w:val="it-IT"/>
        </w:rPr>
        <w:t xml:space="preserve"> </w:t>
      </w:r>
      <w:r w:rsidRPr="00AD70F1">
        <w:rPr>
          <w:sz w:val="24"/>
          <w:szCs w:val="24"/>
          <w:lang w:val="mt-MT"/>
        </w:rPr>
        <w:tab/>
        <w:t>Din il-pożizzjoni tissostitwixxi l-emendi adottati fit-</w:t>
      </w:r>
      <w:r w:rsidRPr="00DF0F3E">
        <w:rPr>
          <w:sz w:val="24"/>
          <w:szCs w:val="24"/>
          <w:lang w:val="mt-MT"/>
        </w:rPr>
        <w:t>2</w:t>
      </w:r>
      <w:r w:rsidRPr="00AD70F1">
        <w:rPr>
          <w:sz w:val="24"/>
          <w:szCs w:val="24"/>
          <w:lang w:val="mt-MT"/>
        </w:rPr>
        <w:t xml:space="preserve"> ta' Frar </w:t>
      </w:r>
      <w:r w:rsidR="00633416">
        <w:rPr>
          <w:sz w:val="24"/>
          <w:szCs w:val="24"/>
          <w:lang w:val="mt-MT"/>
        </w:rPr>
        <w:t>2023</w:t>
      </w:r>
      <w:bookmarkStart w:id="7" w:name="_GoBack"/>
      <w:bookmarkEnd w:id="7"/>
      <w:r w:rsidRPr="00AD70F1">
        <w:rPr>
          <w:sz w:val="24"/>
          <w:szCs w:val="24"/>
          <w:lang w:val="mt-MT"/>
        </w:rPr>
        <w:t xml:space="preserve"> (Testi adottati, P</w:t>
      </w:r>
      <w:r w:rsidRPr="00DF0F3E">
        <w:rPr>
          <w:sz w:val="24"/>
          <w:szCs w:val="24"/>
          <w:lang w:val="mt-MT"/>
        </w:rPr>
        <w:t>9</w:t>
      </w:r>
      <w:r w:rsidRPr="00AD70F1">
        <w:rPr>
          <w:sz w:val="24"/>
          <w:szCs w:val="24"/>
          <w:lang w:val="mt-MT"/>
        </w:rPr>
        <w:t>_TA(</w:t>
      </w:r>
      <w:r w:rsidRPr="00DF0F3E">
        <w:rPr>
          <w:sz w:val="24"/>
          <w:szCs w:val="24"/>
          <w:lang w:val="mt-MT"/>
        </w:rPr>
        <w:t>2023</w:t>
      </w:r>
      <w:r w:rsidRPr="00AD70F1">
        <w:rPr>
          <w:sz w:val="24"/>
          <w:szCs w:val="24"/>
          <w:lang w:val="mt-MT"/>
        </w:rPr>
        <w:t>)</w:t>
      </w:r>
      <w:r w:rsidRPr="00DF0F3E">
        <w:rPr>
          <w:sz w:val="24"/>
          <w:szCs w:val="24"/>
          <w:lang w:val="mt-MT"/>
        </w:rPr>
        <w:t>0027</w:t>
      </w:r>
      <w:r w:rsidRPr="00AD70F1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E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E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E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MT"/>
    <w:docVar w:name="dvnumam" w:val="678"/>
    <w:docVar w:name="dvpe" w:val="732.754"/>
    <w:docVar w:name="dvrapporteur" w:val="Rapporteur: "/>
    <w:docVar w:name="dvstar" w:val="***I"/>
    <w:docVar w:name="dvtitre" w:val="Riżoluzzjoni leġiżlattiva tal-Parlament Ewropew tas-27 ta' Frar 2024 dwar il-proposta għal regolament tal-Parlament Ewropew u tal-Kunsill dwar it-trasparenza u l-immirar tar-reklamar politiku(COM(2021)0731 – C9-0433/2021 – 2021/0381(COD))"/>
  </w:docVars>
  <w:rsids>
    <w:rsidRoot w:val="007274F0"/>
    <w:rsid w:val="00002272"/>
    <w:rsid w:val="00064002"/>
    <w:rsid w:val="000677B9"/>
    <w:rsid w:val="000831BA"/>
    <w:rsid w:val="000A42CC"/>
    <w:rsid w:val="000E7DD9"/>
    <w:rsid w:val="0010095E"/>
    <w:rsid w:val="00125B37"/>
    <w:rsid w:val="001441E3"/>
    <w:rsid w:val="00187494"/>
    <w:rsid w:val="001F32AE"/>
    <w:rsid w:val="002767FF"/>
    <w:rsid w:val="00286ACD"/>
    <w:rsid w:val="002B18FE"/>
    <w:rsid w:val="002B5493"/>
    <w:rsid w:val="002F265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6DC"/>
    <w:rsid w:val="0050519A"/>
    <w:rsid w:val="005072A1"/>
    <w:rsid w:val="00514517"/>
    <w:rsid w:val="00545827"/>
    <w:rsid w:val="00560270"/>
    <w:rsid w:val="005B11D6"/>
    <w:rsid w:val="005C2568"/>
    <w:rsid w:val="006037C0"/>
    <w:rsid w:val="00633416"/>
    <w:rsid w:val="006563B8"/>
    <w:rsid w:val="006631B6"/>
    <w:rsid w:val="00680577"/>
    <w:rsid w:val="006F74FA"/>
    <w:rsid w:val="007274F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EBB"/>
    <w:rsid w:val="008C2AC6"/>
    <w:rsid w:val="00930C23"/>
    <w:rsid w:val="0093193B"/>
    <w:rsid w:val="009509D8"/>
    <w:rsid w:val="00950B64"/>
    <w:rsid w:val="00981893"/>
    <w:rsid w:val="00A1687D"/>
    <w:rsid w:val="00A261D1"/>
    <w:rsid w:val="00A43E52"/>
    <w:rsid w:val="00A4678D"/>
    <w:rsid w:val="00A778C7"/>
    <w:rsid w:val="00AB441E"/>
    <w:rsid w:val="00AB6293"/>
    <w:rsid w:val="00AD70F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250"/>
    <w:rsid w:val="00C61C0C"/>
    <w:rsid w:val="00C941CB"/>
    <w:rsid w:val="00CC2357"/>
    <w:rsid w:val="00CF071A"/>
    <w:rsid w:val="00D058B8"/>
    <w:rsid w:val="00D33FA2"/>
    <w:rsid w:val="00D56C11"/>
    <w:rsid w:val="00D834A0"/>
    <w:rsid w:val="00D872DF"/>
    <w:rsid w:val="00D91E21"/>
    <w:rsid w:val="00DA7FCD"/>
    <w:rsid w:val="00DF0F3E"/>
    <w:rsid w:val="00E365E1"/>
    <w:rsid w:val="00E606E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07813"/>
  <w15:chartTrackingRefBased/>
  <w15:docId w15:val="{6E676A34-C953-445E-8ED3-148D94FF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261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1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1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1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261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261D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A261D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A261D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A261D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A261D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261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261D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261D1"/>
    <w:pPr>
      <w:spacing w:after="120"/>
    </w:pPr>
  </w:style>
  <w:style w:type="paragraph" w:customStyle="1" w:styleId="PageHeading">
    <w:name w:val="PageHeading"/>
    <w:basedOn w:val="Normal"/>
    <w:rsid w:val="00A261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261D1"/>
    <w:rPr>
      <w:b/>
    </w:rPr>
  </w:style>
  <w:style w:type="paragraph" w:customStyle="1" w:styleId="NormalBold12a">
    <w:name w:val="NormalBold12a"/>
    <w:basedOn w:val="Normal"/>
    <w:rsid w:val="00A261D1"/>
    <w:pPr>
      <w:spacing w:after="240"/>
    </w:pPr>
    <w:rPr>
      <w:b/>
    </w:rPr>
  </w:style>
  <w:style w:type="paragraph" w:customStyle="1" w:styleId="AmJustText">
    <w:name w:val="AmJustText"/>
    <w:basedOn w:val="Normal"/>
    <w:rsid w:val="00A261D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261D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261D1"/>
    <w:pPr>
      <w:spacing w:after="480"/>
      <w:ind w:left="1417"/>
    </w:pPr>
  </w:style>
  <w:style w:type="paragraph" w:customStyle="1" w:styleId="CoverNormal">
    <w:name w:val="CoverNormal"/>
    <w:basedOn w:val="Normal"/>
    <w:rsid w:val="00A261D1"/>
    <w:pPr>
      <w:ind w:left="1418"/>
    </w:pPr>
  </w:style>
  <w:style w:type="paragraph" w:customStyle="1" w:styleId="AmCrossRef">
    <w:name w:val="AmCrossRef"/>
    <w:basedOn w:val="Normal"/>
    <w:rsid w:val="00A261D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261D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261D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261D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261D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261D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261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1D1"/>
    <w:rPr>
      <w:sz w:val="24"/>
      <w:lang w:val="mt-MT"/>
    </w:rPr>
  </w:style>
  <w:style w:type="paragraph" w:customStyle="1" w:styleId="AmOrLang">
    <w:name w:val="AmOrLang"/>
    <w:basedOn w:val="Normal"/>
    <w:rsid w:val="00A261D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261D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261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261D1"/>
    <w:pPr>
      <w:spacing w:before="240"/>
    </w:pPr>
    <w:rPr>
      <w:b/>
    </w:rPr>
  </w:style>
  <w:style w:type="paragraph" w:customStyle="1" w:styleId="EPBody">
    <w:name w:val="EPBody"/>
    <w:basedOn w:val="Normal"/>
    <w:rsid w:val="00A261D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261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261D1"/>
    <w:pPr>
      <w:spacing w:before="480" w:after="240"/>
    </w:pPr>
  </w:style>
  <w:style w:type="paragraph" w:customStyle="1" w:styleId="Lgendesigne">
    <w:name w:val="Légende signe"/>
    <w:basedOn w:val="Normal"/>
    <w:rsid w:val="00A261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261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A261D1"/>
    <w:pPr>
      <w:ind w:left="0" w:firstLine="0"/>
    </w:pPr>
  </w:style>
  <w:style w:type="character" w:styleId="CommentReference">
    <w:name w:val="annotation reference"/>
    <w:basedOn w:val="DefaultParagraphFont"/>
    <w:rsid w:val="00A261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61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61D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26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61D1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A26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61D1"/>
    <w:rPr>
      <w:rFonts w:ascii="Segoe UI" w:hAnsi="Segoe UI" w:cs="Segoe UI"/>
      <w:sz w:val="18"/>
      <w:szCs w:val="18"/>
      <w:lang w:val="mt-MT"/>
    </w:rPr>
  </w:style>
  <w:style w:type="paragraph" w:styleId="Footer">
    <w:name w:val="footer"/>
    <w:basedOn w:val="Normal"/>
    <w:link w:val="FooterChar"/>
    <w:uiPriority w:val="99"/>
    <w:rsid w:val="00A261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1D1"/>
    <w:rPr>
      <w:sz w:val="24"/>
      <w:lang w:val="mt-MT"/>
    </w:rPr>
  </w:style>
  <w:style w:type="paragraph" w:styleId="EndnoteText">
    <w:name w:val="endnote text"/>
    <w:basedOn w:val="Normal"/>
    <w:link w:val="EndnoteTextChar"/>
    <w:rsid w:val="00A261D1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A261D1"/>
    <w:rPr>
      <w:lang w:val="mt-MT"/>
    </w:rPr>
  </w:style>
  <w:style w:type="character" w:styleId="EndnoteReference">
    <w:name w:val="endnote reference"/>
    <w:basedOn w:val="DefaultParagraphFont"/>
    <w:rsid w:val="00A261D1"/>
    <w:rPr>
      <w:vertAlign w:val="superscript"/>
    </w:rPr>
  </w:style>
  <w:style w:type="paragraph" w:customStyle="1" w:styleId="msonormal0">
    <w:name w:val="msonormal"/>
    <w:basedOn w:val="Normal"/>
    <w:rsid w:val="00A261D1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A261D1"/>
    <w:rPr>
      <w:noProof/>
      <w:sz w:val="24"/>
    </w:rPr>
  </w:style>
  <w:style w:type="paragraph" w:customStyle="1" w:styleId="Normal12">
    <w:name w:val="Normal12"/>
    <w:basedOn w:val="Normal"/>
    <w:link w:val="Normal12Char"/>
    <w:rsid w:val="00A261D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261D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261D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261D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261D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261D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261D1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A261D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261D1"/>
    <w:rPr>
      <w:b/>
      <w:sz w:val="24"/>
      <w:lang w:val="mt-MT"/>
    </w:rPr>
  </w:style>
  <w:style w:type="paragraph" w:customStyle="1" w:styleId="Normal12Italic">
    <w:name w:val="Normal12Italic"/>
    <w:basedOn w:val="Normal12"/>
    <w:rsid w:val="00A261D1"/>
    <w:rPr>
      <w:i/>
    </w:rPr>
  </w:style>
  <w:style w:type="paragraph" w:customStyle="1" w:styleId="JustificationTitle">
    <w:name w:val="JustificationTitle"/>
    <w:basedOn w:val="Normal"/>
    <w:next w:val="Normal12"/>
    <w:rsid w:val="00A261D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261D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261D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261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261D1"/>
    <w:pPr>
      <w:spacing w:before="240"/>
      <w:jc w:val="center"/>
    </w:pPr>
    <w:rPr>
      <w:i/>
    </w:rPr>
  </w:style>
  <w:style w:type="character" w:customStyle="1" w:styleId="FooterChar1">
    <w:name w:val="Footer Char1"/>
    <w:basedOn w:val="DefaultParagraphFont"/>
    <w:rsid w:val="00A261D1"/>
    <w:rPr>
      <w:sz w:val="24"/>
    </w:rPr>
  </w:style>
  <w:style w:type="character" w:customStyle="1" w:styleId="Footer2Middle">
    <w:name w:val="Footer2Middle"/>
    <w:rsid w:val="00A261D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261D1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A261D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A261D1"/>
  </w:style>
  <w:style w:type="table" w:customStyle="1" w:styleId="TableGrid1">
    <w:name w:val="Table Grid1"/>
    <w:basedOn w:val="TableNormal"/>
    <w:next w:val="TableGrid"/>
    <w:rsid w:val="00A261D1"/>
    <w:pPr>
      <w:widowControl w:val="0"/>
    </w:pPr>
    <w:rPr>
      <w:lang w:val="mt-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A261D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A261D1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261D1"/>
    <w:rPr>
      <w:i/>
      <w:iCs/>
    </w:rPr>
  </w:style>
  <w:style w:type="paragraph" w:customStyle="1" w:styleId="Normal12a">
    <w:name w:val="Normal12a"/>
    <w:basedOn w:val="Normal"/>
    <w:rsid w:val="00A261D1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A261D1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A261D1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A261D1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A261D1"/>
    <w:pPr>
      <w:spacing w:before="120" w:after="120"/>
    </w:pPr>
    <w:rPr>
      <w:snapToGrid w:val="0"/>
      <w:sz w:val="16"/>
      <w:lang w:val="en-GB" w:eastAsia="en-US"/>
    </w:rPr>
  </w:style>
  <w:style w:type="character" w:styleId="Hyperlink">
    <w:name w:val="Hyperlink"/>
    <w:basedOn w:val="DefaultParagraphFont"/>
    <w:rsid w:val="00A261D1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A261D1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A261D1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24a">
    <w:name w:val="Normal24a"/>
    <w:basedOn w:val="Normal"/>
    <w:link w:val="Normal24aChar"/>
    <w:rsid w:val="00A261D1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A261D1"/>
    <w:rPr>
      <w:sz w:val="24"/>
    </w:rPr>
  </w:style>
  <w:style w:type="paragraph" w:customStyle="1" w:styleId="NormalBoldCenter">
    <w:name w:val="NormalBoldCenter"/>
    <w:basedOn w:val="Normal"/>
    <w:rsid w:val="00A261D1"/>
    <w:pPr>
      <w:jc w:val="center"/>
    </w:pPr>
    <w:rPr>
      <w:b/>
      <w:lang w:val="en-GB"/>
    </w:rPr>
  </w:style>
  <w:style w:type="paragraph" w:customStyle="1" w:styleId="NormalBoldItalicCenter6a">
    <w:name w:val="NormalBoldItalicCenter6a"/>
    <w:basedOn w:val="Normal6a"/>
    <w:qFormat/>
    <w:rsid w:val="00A261D1"/>
    <w:pPr>
      <w:jc w:val="center"/>
    </w:pPr>
    <w:rPr>
      <w:b/>
      <w:i/>
      <w:lang w:val="en-GB"/>
    </w:rPr>
  </w:style>
  <w:style w:type="paragraph" w:customStyle="1" w:styleId="ManualNumPar1">
    <w:name w:val="Manual NumPar 1"/>
    <w:basedOn w:val="Normal"/>
    <w:next w:val="Normal"/>
    <w:rsid w:val="00A261D1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ext1">
    <w:name w:val="Text 1"/>
    <w:basedOn w:val="Normal"/>
    <w:rsid w:val="00A261D1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customStyle="1" w:styleId="Default">
    <w:name w:val="Default"/>
    <w:rsid w:val="00A261D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A261D1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261D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261D1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1D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261D1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A261D1"/>
    <w:rPr>
      <w:b/>
      <w:bCs/>
    </w:rPr>
  </w:style>
  <w:style w:type="paragraph" w:styleId="NoSpacing">
    <w:name w:val="No Spacing"/>
    <w:basedOn w:val="Normal"/>
    <w:uiPriority w:val="1"/>
    <w:qFormat/>
    <w:rsid w:val="00A261D1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261D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261D1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1D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1D1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A261D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261D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261D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261D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261D1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Footer2">
    <w:name w:val="Footer2"/>
    <w:basedOn w:val="Normal12"/>
    <w:rsid w:val="00A261D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styleId="FollowedHyperlink">
    <w:name w:val="FollowedHyperlink"/>
    <w:basedOn w:val="DefaultParagraphFont"/>
    <w:uiPriority w:val="99"/>
    <w:unhideWhenUsed/>
    <w:rsid w:val="00A261D1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E606E8"/>
  </w:style>
  <w:style w:type="paragraph" w:styleId="TOC4">
    <w:name w:val="toc 4"/>
    <w:basedOn w:val="Normal"/>
    <w:next w:val="Normal"/>
    <w:uiPriority w:val="39"/>
    <w:unhideWhenUsed/>
    <w:rsid w:val="00E606E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606E8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606E8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606E8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606E8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606E8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606E8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606E8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606E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606E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E606E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606E8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606E8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606E8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606E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606E8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606E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606E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606E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606E8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606E8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606E8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606E8"/>
    <w:pPr>
      <w:numPr>
        <w:numId w:val="12"/>
      </w:numPr>
    </w:pPr>
  </w:style>
  <w:style w:type="paragraph" w:customStyle="1" w:styleId="Tiret1">
    <w:name w:val="Tiret 1"/>
    <w:basedOn w:val="Point1"/>
    <w:rsid w:val="00E606E8"/>
    <w:pPr>
      <w:numPr>
        <w:numId w:val="13"/>
      </w:numPr>
    </w:pPr>
  </w:style>
  <w:style w:type="paragraph" w:customStyle="1" w:styleId="Tiret2">
    <w:name w:val="Tiret 2"/>
    <w:basedOn w:val="Point2"/>
    <w:rsid w:val="00E606E8"/>
    <w:pPr>
      <w:numPr>
        <w:numId w:val="14"/>
      </w:numPr>
    </w:pPr>
  </w:style>
  <w:style w:type="paragraph" w:customStyle="1" w:styleId="Tiret3">
    <w:name w:val="Tiret 3"/>
    <w:basedOn w:val="Point3"/>
    <w:rsid w:val="00E606E8"/>
    <w:pPr>
      <w:numPr>
        <w:numId w:val="15"/>
      </w:numPr>
    </w:pPr>
  </w:style>
  <w:style w:type="paragraph" w:customStyle="1" w:styleId="Tiret4">
    <w:name w:val="Tiret 4"/>
    <w:basedOn w:val="Point4"/>
    <w:rsid w:val="00E606E8"/>
    <w:pPr>
      <w:numPr>
        <w:numId w:val="16"/>
      </w:numPr>
    </w:pPr>
  </w:style>
  <w:style w:type="paragraph" w:customStyle="1" w:styleId="PointDouble0">
    <w:name w:val="PointDouble 0"/>
    <w:basedOn w:val="Normal"/>
    <w:rsid w:val="00E606E8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606E8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606E8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606E8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606E8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606E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606E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606E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606E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606E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E606E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606E8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606E8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606E8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606E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606E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606E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606E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606E8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606E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606E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606E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606E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606E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606E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606E8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E606E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606E8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606E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606E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606E8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606E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606E8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606E8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606E8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606E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606E8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606E8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606E8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606E8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606E8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606E8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606E8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606E8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606E8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606E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606E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606E8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606E8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606E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606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606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606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606E8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606E8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606E8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606E8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606E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606E8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606E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606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606E8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606E8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606E8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606E8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606E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606E8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606E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606E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606E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606E8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606E8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606E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E606E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606E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606E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606E8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606E8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606E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606E8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606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606E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606E8"/>
  </w:style>
  <w:style w:type="paragraph" w:customStyle="1" w:styleId="StatutPagedecouverture">
    <w:name w:val="Statut (Page de couverture)"/>
    <w:basedOn w:val="Statut"/>
    <w:next w:val="TypedudocumentPagedecouverture"/>
    <w:rsid w:val="00E606E8"/>
  </w:style>
  <w:style w:type="paragraph" w:customStyle="1" w:styleId="TitreobjetPagedecouverture">
    <w:name w:val="Titre objet (Page de couverture)"/>
    <w:basedOn w:val="Titreobjet"/>
    <w:next w:val="IntrtEEEPagedecouverture"/>
    <w:rsid w:val="00E606E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606E8"/>
  </w:style>
  <w:style w:type="paragraph" w:customStyle="1" w:styleId="Volume">
    <w:name w:val="Volume"/>
    <w:basedOn w:val="Normal"/>
    <w:next w:val="Confidentialit"/>
    <w:rsid w:val="00E606E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606E8"/>
    <w:pPr>
      <w:spacing w:after="240"/>
    </w:pPr>
  </w:style>
  <w:style w:type="paragraph" w:customStyle="1" w:styleId="Accompagnant">
    <w:name w:val="Accompagnant"/>
    <w:basedOn w:val="Normal"/>
    <w:next w:val="Typeacteprincipal"/>
    <w:rsid w:val="00E606E8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606E8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606E8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606E8"/>
  </w:style>
  <w:style w:type="paragraph" w:customStyle="1" w:styleId="AccompagnantPagedecouverture">
    <w:name w:val="Accompagnant (Page de couverture)"/>
    <w:basedOn w:val="Accompagnant"/>
    <w:next w:val="TypeacteprincipalPagedecouverture"/>
    <w:rsid w:val="00E606E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606E8"/>
  </w:style>
  <w:style w:type="paragraph" w:customStyle="1" w:styleId="ObjetacteprincipalPagedecouverture">
    <w:name w:val="Objet acte principal (Page de couverture)"/>
    <w:basedOn w:val="Objetacteprincipal"/>
    <w:next w:val="Rfrencecroise"/>
    <w:rsid w:val="00E606E8"/>
  </w:style>
  <w:style w:type="paragraph" w:customStyle="1" w:styleId="LanguesfaisantfoiPagedecouverture">
    <w:name w:val="Langues faisant foi (Page de couverture)"/>
    <w:basedOn w:val="Normal"/>
    <w:next w:val="Normal"/>
    <w:rsid w:val="00E606E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E606E8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606E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E606E8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E606E8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606E8"/>
    <w:pPr>
      <w:spacing w:before="120" w:after="120" w:line="360" w:lineRule="auto"/>
      <w:jc w:val="both"/>
    </w:pPr>
    <w:rPr>
      <w:rFonts w:eastAsiaTheme="minorHAnsi"/>
      <w:sz w:val="24"/>
      <w:szCs w:val="22"/>
      <w:lang w:val="mt-MT" w:eastAsia="en-US"/>
    </w:rPr>
  </w:style>
  <w:style w:type="character" w:customStyle="1" w:styleId="Sub">
    <w:name w:val="Sub"/>
    <w:uiPriority w:val="1"/>
    <w:qFormat/>
    <w:rsid w:val="00E606E8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606E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606E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606E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606E8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606E8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E606E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606E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606E8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606E8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606E8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E606E8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606E8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606E8"/>
    <w:pPr>
      <w:spacing w:before="120"/>
    </w:pPr>
  </w:style>
  <w:style w:type="paragraph" w:customStyle="1" w:styleId="TitlePar3">
    <w:name w:val="TitlePar 3"/>
    <w:basedOn w:val="TitlePar2"/>
    <w:qFormat/>
    <w:rsid w:val="00E606E8"/>
    <w:rPr>
      <w:b w:val="0"/>
      <w:i/>
    </w:rPr>
  </w:style>
  <w:style w:type="paragraph" w:customStyle="1" w:styleId="SubsectionTitle">
    <w:name w:val="SubsectionTitle"/>
    <w:basedOn w:val="SectionTitle"/>
    <w:qFormat/>
    <w:rsid w:val="00E606E8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606E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E606E8"/>
    <w:rPr>
      <w:b/>
    </w:rPr>
  </w:style>
  <w:style w:type="paragraph" w:customStyle="1" w:styleId="NumTitle">
    <w:name w:val="NumTitle"/>
    <w:basedOn w:val="Normal"/>
    <w:qFormat/>
    <w:rsid w:val="00E606E8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606E8"/>
  </w:style>
  <w:style w:type="paragraph" w:customStyle="1" w:styleId="Text5">
    <w:name w:val="Text 5"/>
    <w:basedOn w:val="Text4"/>
    <w:qFormat/>
    <w:rsid w:val="00E606E8"/>
    <w:pPr>
      <w:ind w:left="3119"/>
    </w:pPr>
  </w:style>
  <w:style w:type="paragraph" w:customStyle="1" w:styleId="Text0">
    <w:name w:val="Text 0"/>
    <w:basedOn w:val="Normal"/>
    <w:qFormat/>
    <w:rsid w:val="00E606E8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606E8"/>
    <w:pPr>
      <w:spacing w:before="360" w:after="120"/>
    </w:pPr>
  </w:style>
  <w:style w:type="paragraph" w:customStyle="1" w:styleId="PartNum">
    <w:name w:val="PartNum"/>
    <w:basedOn w:val="PartTitle"/>
    <w:qFormat/>
    <w:rsid w:val="00E606E8"/>
    <w:pPr>
      <w:spacing w:before="360" w:after="120"/>
    </w:pPr>
  </w:style>
  <w:style w:type="paragraph" w:customStyle="1" w:styleId="SectionNum">
    <w:name w:val="SectionNum"/>
    <w:basedOn w:val="SectionTitle"/>
    <w:qFormat/>
    <w:rsid w:val="00E606E8"/>
    <w:pPr>
      <w:spacing w:before="360" w:after="120"/>
    </w:pPr>
  </w:style>
  <w:style w:type="paragraph" w:customStyle="1" w:styleId="TitleHeading">
    <w:name w:val="TitleHeading"/>
    <w:basedOn w:val="NumTitle"/>
    <w:qFormat/>
    <w:rsid w:val="00E606E8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606E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E606E8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606E8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E606E8"/>
    <w:pPr>
      <w:ind w:left="3686"/>
    </w:pPr>
  </w:style>
  <w:style w:type="paragraph" w:customStyle="1" w:styleId="Point6">
    <w:name w:val="Point 6"/>
    <w:basedOn w:val="Point5"/>
    <w:qFormat/>
    <w:rsid w:val="00E606E8"/>
    <w:pPr>
      <w:ind w:left="4253"/>
    </w:pPr>
  </w:style>
  <w:style w:type="character" w:customStyle="1" w:styleId="cf01">
    <w:name w:val="cf01"/>
    <w:basedOn w:val="DefaultParagraphFont"/>
    <w:rsid w:val="00E606E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9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546F1-47E0-42F8-BF99-E73A72136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2024-05-31T10:07:00Z</dcterms:created>
  <dcterms:modified xsi:type="dcterms:W3CDTF">2024-05-31T10:07:00Z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