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52162" w:rsidRPr="00237A1B" w:rsidTr="008A6BB8">
        <w:trPr>
          <w:trHeight w:hRule="exact" w:val="1418"/>
        </w:trPr>
        <w:tc>
          <w:tcPr>
            <w:tcW w:w="6804" w:type="dxa"/>
            <w:shd w:val="clear" w:color="auto" w:fill="auto"/>
            <w:vAlign w:val="center"/>
          </w:tcPr>
          <w:p w:rsidR="00952162" w:rsidRPr="00237A1B" w:rsidRDefault="00952162" w:rsidP="008A6BB8">
            <w:pPr>
              <w:pStyle w:val="EPName"/>
            </w:pPr>
            <w:r w:rsidRPr="00237A1B">
              <w:t>Европейски парламент</w:t>
            </w:r>
          </w:p>
          <w:p w:rsidR="00952162" w:rsidRPr="00237A1B" w:rsidRDefault="00952162" w:rsidP="008A6BB8">
            <w:pPr>
              <w:pStyle w:val="EPTerm"/>
              <w:rPr>
                <w:rStyle w:val="HideTWBExt"/>
                <w:rFonts w:eastAsiaTheme="majorEastAsia"/>
                <w:vanish w:val="0"/>
              </w:rPr>
            </w:pPr>
            <w:r>
              <w:t>2019 – </w:t>
            </w:r>
            <w:r w:rsidRPr="00237A1B">
              <w:t>2024</w:t>
            </w:r>
          </w:p>
        </w:tc>
        <w:tc>
          <w:tcPr>
            <w:tcW w:w="2268" w:type="dxa"/>
            <w:shd w:val="clear" w:color="auto" w:fill="auto"/>
          </w:tcPr>
          <w:p w:rsidR="00952162" w:rsidRPr="00237A1B" w:rsidRDefault="00952162" w:rsidP="008A6BB8">
            <w:pPr>
              <w:pStyle w:val="EPLogo"/>
            </w:pPr>
            <w:r w:rsidRPr="00237A1B">
              <w:rPr>
                <w:noProof/>
                <w:lang w:val="en-GB"/>
              </w:rPr>
              <w:drawing>
                <wp:inline distT="0" distB="0" distL="0" distR="0" wp14:anchorId="5F74FC36" wp14:editId="25FC9A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52162" w:rsidRPr="00237A1B" w:rsidRDefault="00952162" w:rsidP="00952162">
      <w:pPr>
        <w:pStyle w:val="LineTop"/>
      </w:pPr>
    </w:p>
    <w:p w:rsidR="00952162" w:rsidRPr="00237A1B" w:rsidRDefault="00952162" w:rsidP="00952162">
      <w:pPr>
        <w:pStyle w:val="EPBodyTA1"/>
      </w:pPr>
      <w:r w:rsidRPr="00237A1B">
        <w:t>ПРИЕТИ ТЕКСТОВЕ</w:t>
      </w:r>
    </w:p>
    <w:p w:rsidR="00952162" w:rsidRPr="00237A1B" w:rsidRDefault="00952162" w:rsidP="00952162">
      <w:pPr>
        <w:pStyle w:val="LineBottom"/>
      </w:pPr>
    </w:p>
    <w:p w:rsidR="00952162" w:rsidRPr="00237A1B" w:rsidRDefault="00952162" w:rsidP="00952162">
      <w:pPr>
        <w:pStyle w:val="ATHeading1"/>
      </w:pPr>
      <w:bookmarkStart w:id="0" w:name="TANumber"/>
      <w:r w:rsidRPr="00237A1B">
        <w:t>P9_TA(2024)00</w:t>
      </w:r>
      <w:bookmarkEnd w:id="0"/>
      <w:r>
        <w:t>91</w:t>
      </w:r>
    </w:p>
    <w:p w:rsidR="00952162" w:rsidRPr="00237A1B" w:rsidRDefault="00952162" w:rsidP="00952162">
      <w:pPr>
        <w:pStyle w:val="ATHeading2"/>
      </w:pPr>
      <w:bookmarkStart w:id="1" w:name="title"/>
      <w:proofErr w:type="spellStart"/>
      <w:r w:rsidRPr="00237A1B">
        <w:t>Детергенти</w:t>
      </w:r>
      <w:proofErr w:type="spellEnd"/>
      <w:r w:rsidRPr="00237A1B">
        <w:t xml:space="preserve"> и </w:t>
      </w:r>
      <w:proofErr w:type="spellStart"/>
      <w:r w:rsidRPr="00237A1B">
        <w:t>повърхностноактивни</w:t>
      </w:r>
      <w:proofErr w:type="spellEnd"/>
      <w:r w:rsidRPr="00237A1B">
        <w:t xml:space="preserve"> вещества</w:t>
      </w:r>
      <w:bookmarkEnd w:id="1"/>
    </w:p>
    <w:p w:rsidR="00952162" w:rsidRPr="00B66D7F" w:rsidRDefault="00952162" w:rsidP="00952162">
      <w:pPr>
        <w:rPr>
          <w:i/>
          <w:vanish/>
          <w:lang w:val="bg-BG"/>
        </w:rPr>
      </w:pPr>
      <w:r w:rsidRPr="00237A1B">
        <w:rPr>
          <w:i/>
        </w:rPr>
        <w:fldChar w:fldCharType="begin"/>
      </w:r>
      <w:r w:rsidRPr="00B66D7F">
        <w:rPr>
          <w:i/>
          <w:lang w:val="bg-BG"/>
        </w:rPr>
        <w:instrText xml:space="preserve"> </w:instrText>
      </w:r>
      <w:r w:rsidRPr="00237A1B">
        <w:rPr>
          <w:i/>
        </w:rPr>
        <w:instrText>TC</w:instrText>
      </w:r>
      <w:r w:rsidRPr="00B66D7F">
        <w:rPr>
          <w:i/>
          <w:lang w:val="bg-BG"/>
        </w:rPr>
        <w:instrText>"(</w:instrText>
      </w:r>
      <w:bookmarkStart w:id="2" w:name="DocNumber"/>
      <w:r w:rsidRPr="00237A1B">
        <w:rPr>
          <w:i/>
        </w:rPr>
        <w:instrText>A</w:instrText>
      </w:r>
      <w:r w:rsidRPr="00B66D7F">
        <w:rPr>
          <w:i/>
          <w:lang w:val="bg-BG"/>
        </w:rPr>
        <w:instrText>9-0039/2024</w:instrText>
      </w:r>
      <w:bookmarkEnd w:id="2"/>
      <w:r w:rsidRPr="00B66D7F">
        <w:rPr>
          <w:i/>
          <w:lang w:val="bg-BG"/>
        </w:rPr>
        <w:instrText xml:space="preserve"> - Докладчик: Мануела Рипа )"\</w:instrText>
      </w:r>
      <w:r w:rsidRPr="00237A1B">
        <w:rPr>
          <w:i/>
        </w:rPr>
        <w:instrText>l</w:instrText>
      </w:r>
      <w:r w:rsidRPr="00B66D7F">
        <w:rPr>
          <w:i/>
          <w:lang w:val="bg-BG"/>
        </w:rPr>
        <w:instrText>3 \</w:instrText>
      </w:r>
      <w:r w:rsidRPr="00237A1B">
        <w:rPr>
          <w:i/>
        </w:rPr>
        <w:instrText>n</w:instrText>
      </w:r>
      <w:r w:rsidRPr="00B66D7F">
        <w:rPr>
          <w:i/>
          <w:lang w:val="bg-BG"/>
        </w:rPr>
        <w:instrText xml:space="preserve">&gt; \* </w:instrText>
      </w:r>
      <w:r w:rsidRPr="00237A1B">
        <w:rPr>
          <w:i/>
        </w:rPr>
        <w:instrText>MERGEFORMAT</w:instrText>
      </w:r>
      <w:r w:rsidRPr="00B66D7F">
        <w:rPr>
          <w:i/>
          <w:lang w:val="bg-BG"/>
        </w:rPr>
        <w:instrText xml:space="preserve"> </w:instrText>
      </w:r>
      <w:r w:rsidRPr="00237A1B">
        <w:rPr>
          <w:i/>
        </w:rPr>
        <w:fldChar w:fldCharType="end"/>
      </w:r>
    </w:p>
    <w:p w:rsidR="00952162" w:rsidRPr="00B66D7F" w:rsidRDefault="00952162" w:rsidP="00952162">
      <w:pPr>
        <w:rPr>
          <w:vanish/>
          <w:lang w:val="bg-BG"/>
        </w:rPr>
      </w:pPr>
      <w:bookmarkStart w:id="3" w:name="Commission"/>
      <w:r w:rsidRPr="00B66D7F">
        <w:rPr>
          <w:vanish/>
          <w:lang w:val="bg-BG"/>
        </w:rPr>
        <w:t>Комисия по околна среда, обществено здраве и безопасност на храните</w:t>
      </w:r>
      <w:bookmarkEnd w:id="3"/>
    </w:p>
    <w:p w:rsidR="00952162" w:rsidRPr="00B66D7F" w:rsidRDefault="00952162" w:rsidP="00952162">
      <w:pPr>
        <w:rPr>
          <w:vanish/>
          <w:lang w:val="bg-BG"/>
        </w:rPr>
      </w:pPr>
      <w:bookmarkStart w:id="4" w:name="PE"/>
      <w:r w:rsidRPr="00237A1B">
        <w:rPr>
          <w:vanish/>
        </w:rPr>
        <w:t>PE</w:t>
      </w:r>
      <w:r w:rsidRPr="00B66D7F">
        <w:rPr>
          <w:vanish/>
          <w:lang w:val="bg-BG"/>
        </w:rPr>
        <w:t>753.691</w:t>
      </w:r>
      <w:bookmarkEnd w:id="4"/>
    </w:p>
    <w:p w:rsidR="00952162" w:rsidRPr="00237A1B" w:rsidRDefault="00952162" w:rsidP="00952162">
      <w:pPr>
        <w:pStyle w:val="ATHeading3"/>
      </w:pPr>
      <w:bookmarkStart w:id="5" w:name="Sujet"/>
      <w:r w:rsidRPr="00237A1B">
        <w:t xml:space="preserve">Законодателна резолюция на Европейския парламент от </w:t>
      </w:r>
      <w:r>
        <w:t>27 февруари</w:t>
      </w:r>
      <w:r w:rsidRPr="00237A1B">
        <w:t xml:space="preserve"> 2024 г. относно предложението за регламент на Европейския парламент и на Съвета относно </w:t>
      </w:r>
      <w:proofErr w:type="spellStart"/>
      <w:r w:rsidRPr="00237A1B">
        <w:t>детергентите</w:t>
      </w:r>
      <w:proofErr w:type="spellEnd"/>
      <w:r w:rsidRPr="00237A1B">
        <w:t xml:space="preserve"> и </w:t>
      </w:r>
      <w:proofErr w:type="spellStart"/>
      <w:r w:rsidRPr="00237A1B">
        <w:t>повърхностноактивните</w:t>
      </w:r>
      <w:proofErr w:type="spellEnd"/>
      <w:r w:rsidRPr="00237A1B">
        <w:t xml:space="preserve"> вещества, за изменение на Регламент (ЕС) 2019/1020 и за отмяна на Регламент (EO) № 648/2004</w:t>
      </w:r>
      <w:bookmarkEnd w:id="5"/>
      <w:r w:rsidRPr="00237A1B">
        <w:t xml:space="preserve"> </w:t>
      </w:r>
      <w:bookmarkStart w:id="6" w:name="References"/>
      <w:r w:rsidRPr="00237A1B">
        <w:t>(COM(2023)0217 – C9-0154/2023 – 2023/0124(COD))</w:t>
      </w:r>
      <w:bookmarkEnd w:id="6"/>
    </w:p>
    <w:p w:rsidR="00952162" w:rsidRPr="00237A1B" w:rsidRDefault="00952162" w:rsidP="00952162">
      <w:pPr>
        <w:pStyle w:val="NormalBold"/>
      </w:pPr>
      <w:bookmarkStart w:id="7" w:name="TextBodyBegin"/>
      <w:bookmarkEnd w:id="7"/>
      <w:r w:rsidRPr="00237A1B">
        <w:t>(Обикновена законодателна процедура: първо четене)</w:t>
      </w:r>
    </w:p>
    <w:p w:rsidR="00952162" w:rsidRPr="00237A1B" w:rsidRDefault="00952162" w:rsidP="00952162">
      <w:pPr>
        <w:pStyle w:val="EPComma"/>
      </w:pPr>
      <w:r w:rsidRPr="00237A1B">
        <w:rPr>
          <w:i/>
          <w:iCs/>
        </w:rPr>
        <w:t>Европейският парламент,</w:t>
      </w:r>
    </w:p>
    <w:p w:rsidR="00952162" w:rsidRPr="00237A1B" w:rsidRDefault="00952162" w:rsidP="00952162">
      <w:pPr>
        <w:pStyle w:val="NormalHanging12a"/>
      </w:pPr>
      <w:r w:rsidRPr="00237A1B">
        <w:t>–</w:t>
      </w:r>
      <w:r w:rsidRPr="00237A1B">
        <w:tab/>
        <w:t>като взе предвид предложението на Комисията до Парламента и до Съвета (COM(2023)0217),</w:t>
      </w:r>
    </w:p>
    <w:p w:rsidR="00952162" w:rsidRPr="00237A1B" w:rsidRDefault="00952162" w:rsidP="00952162">
      <w:pPr>
        <w:pStyle w:val="NormalHanging12a"/>
      </w:pPr>
      <w:r w:rsidRPr="00237A1B">
        <w:t>–</w:t>
      </w:r>
      <w:r w:rsidRPr="00237A1B">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(C9-0154/2023),</w:t>
      </w:r>
    </w:p>
    <w:p w:rsidR="00952162" w:rsidRPr="00237A1B" w:rsidRDefault="00952162" w:rsidP="00952162">
      <w:pPr>
        <w:pStyle w:val="NormalHanging12a"/>
      </w:pPr>
      <w:r w:rsidRPr="00237A1B">
        <w:t>–</w:t>
      </w:r>
      <w:r w:rsidRPr="00237A1B">
        <w:tab/>
        <w:t>като взе предвид член 294, параграф 3 от Договора за функционирането на Европейския съюз,</w:t>
      </w:r>
    </w:p>
    <w:p w:rsidR="00952162" w:rsidRPr="00237A1B" w:rsidRDefault="00952162" w:rsidP="00952162">
      <w:pPr>
        <w:pStyle w:val="NormalHanging12a"/>
      </w:pPr>
      <w:r w:rsidRPr="00237A1B">
        <w:t>–</w:t>
      </w:r>
      <w:r w:rsidRPr="00237A1B">
        <w:tab/>
        <w:t>като взе предвид становището на Европейския икономически и социален комитет от 12 юли 2023 г.</w:t>
      </w:r>
      <w:r w:rsidRPr="00237A1B">
        <w:rPr>
          <w:vertAlign w:val="superscript"/>
        </w:rPr>
        <w:footnoteReference w:id="1"/>
      </w:r>
      <w:r w:rsidRPr="00237A1B">
        <w:t>,</w:t>
      </w:r>
    </w:p>
    <w:p w:rsidR="00952162" w:rsidRPr="00237A1B" w:rsidRDefault="00952162" w:rsidP="00952162">
      <w:pPr>
        <w:pStyle w:val="NormalHanging12a"/>
      </w:pPr>
      <w:r w:rsidRPr="00237A1B">
        <w:t>–</w:t>
      </w:r>
      <w:r w:rsidRPr="00237A1B">
        <w:tab/>
        <w:t>като взе предвид член 59 от своя Правилник за дейността,</w:t>
      </w:r>
    </w:p>
    <w:p w:rsidR="00952162" w:rsidRPr="00237A1B" w:rsidRDefault="00952162" w:rsidP="00952162">
      <w:pPr>
        <w:pStyle w:val="NormalHanging12a"/>
      </w:pPr>
      <w:r w:rsidRPr="00237A1B">
        <w:t>–</w:t>
      </w:r>
      <w:r w:rsidRPr="00237A1B">
        <w:tab/>
        <w:t xml:space="preserve">като взе предвид становището на комисията по вътрешния пазар и защита на потребителите, </w:t>
      </w:r>
    </w:p>
    <w:p w:rsidR="00952162" w:rsidRPr="00237A1B" w:rsidRDefault="00952162" w:rsidP="00952162">
      <w:pPr>
        <w:pStyle w:val="NormalHanging12a"/>
      </w:pPr>
      <w:r w:rsidRPr="00237A1B">
        <w:t>–</w:t>
      </w:r>
      <w:r w:rsidRPr="00237A1B">
        <w:tab/>
        <w:t>като взе предвид доклада на комисията по околна среда, обществено здраве и безопасност на храните (A9-0039/2024),</w:t>
      </w:r>
    </w:p>
    <w:p w:rsidR="00952162" w:rsidRPr="00237A1B" w:rsidRDefault="00952162" w:rsidP="00952162">
      <w:pPr>
        <w:pStyle w:val="NormalHanging12a"/>
      </w:pPr>
      <w:r w:rsidRPr="00237A1B">
        <w:t>1.</w:t>
      </w:r>
      <w:r w:rsidRPr="00237A1B">
        <w:tab/>
        <w:t>приема изложената по-долу позиция на първо четене;</w:t>
      </w:r>
    </w:p>
    <w:p w:rsidR="00952162" w:rsidRPr="00237A1B" w:rsidRDefault="00952162" w:rsidP="00952162">
      <w:pPr>
        <w:pStyle w:val="NormalHanging12a"/>
      </w:pPr>
      <w:r w:rsidRPr="00237A1B">
        <w:t>2.</w:t>
      </w:r>
      <w:r w:rsidRPr="00237A1B">
        <w:tab/>
        <w:t>приканва Комисията да се отнесе до него отново, в случай че замени своето предложение с друг текст</w:t>
      </w:r>
      <w:r>
        <w:t>,</w:t>
      </w:r>
      <w:r w:rsidRPr="00237A1B">
        <w:t xml:space="preserve"> внесе или възнамерява да внесе съществени промени в това предложение;</w:t>
      </w:r>
    </w:p>
    <w:p w:rsidR="00952162" w:rsidRDefault="00952162" w:rsidP="00952162">
      <w:pPr>
        <w:pStyle w:val="NormalHanging12a"/>
        <w:sectPr w:rsidR="00952162" w:rsidSect="00952162">
          <w:footerReference w:type="even" r:id="rId8"/>
          <w:footerReference w:type="first" r:id="rId9"/>
          <w:footnotePr>
            <w:numRestart w:val="eachSect"/>
          </w:footnotePr>
          <w:pgSz w:w="11909" w:h="16834"/>
          <w:pgMar w:top="1134" w:right="1134" w:bottom="1134" w:left="1134" w:header="567" w:footer="567" w:gutter="0"/>
          <w:cols w:space="720"/>
          <w:docGrid w:linePitch="326"/>
        </w:sectPr>
      </w:pPr>
      <w:r w:rsidRPr="00237A1B">
        <w:t>3.</w:t>
      </w:r>
      <w:r w:rsidRPr="00237A1B">
        <w:tab/>
        <w:t xml:space="preserve">възлага на своя председател да предаде позицията на Парламента съответно на Съвета </w:t>
      </w:r>
      <w:r w:rsidRPr="00237A1B">
        <w:lastRenderedPageBreak/>
        <w:t>и на Комисията, както и на националните парламенти.</w:t>
      </w:r>
    </w:p>
    <w:p w:rsidR="00B16614" w:rsidRPr="00B66D7F" w:rsidRDefault="00B16614" w:rsidP="00B16614">
      <w:pPr>
        <w:autoSpaceDE w:val="0"/>
        <w:autoSpaceDN w:val="0"/>
        <w:adjustRightInd w:val="0"/>
        <w:spacing w:after="240" w:line="260" w:lineRule="exact"/>
        <w:ind w:left="567" w:hanging="567"/>
        <w:rPr>
          <w:rFonts w:eastAsia="Calibri"/>
          <w:b/>
          <w:bCs/>
          <w:color w:val="000000"/>
          <w:lang w:val="bg-BG" w:eastAsia="en-GB"/>
        </w:rPr>
      </w:pPr>
      <w:r w:rsidRPr="00832A68">
        <w:rPr>
          <w:rFonts w:eastAsia="Calibri"/>
          <w:b/>
          <w:bCs/>
          <w:color w:val="000000"/>
          <w:lang w:eastAsia="en-GB"/>
        </w:rPr>
        <w:lastRenderedPageBreak/>
        <w:t>P</w:t>
      </w:r>
      <w:r w:rsidRPr="00B66D7F">
        <w:rPr>
          <w:rFonts w:eastAsia="Calibri"/>
          <w:b/>
          <w:bCs/>
          <w:color w:val="000000"/>
          <w:lang w:val="bg-BG" w:eastAsia="en-GB"/>
        </w:rPr>
        <w:t>9_</w:t>
      </w:r>
      <w:r w:rsidRPr="00832A68">
        <w:rPr>
          <w:rFonts w:eastAsia="Calibri"/>
          <w:b/>
          <w:bCs/>
          <w:color w:val="000000"/>
          <w:lang w:eastAsia="en-GB"/>
        </w:rPr>
        <w:t>TC</w:t>
      </w:r>
      <w:r w:rsidRPr="00B66D7F">
        <w:rPr>
          <w:rFonts w:eastAsia="Calibri"/>
          <w:b/>
          <w:bCs/>
          <w:color w:val="000000"/>
          <w:lang w:val="bg-BG" w:eastAsia="en-GB"/>
        </w:rPr>
        <w:t>1-</w:t>
      </w:r>
      <w:proofErr w:type="gramStart"/>
      <w:r w:rsidRPr="00832A68">
        <w:rPr>
          <w:rFonts w:eastAsia="Calibri"/>
          <w:b/>
          <w:bCs/>
          <w:color w:val="000000"/>
          <w:lang w:eastAsia="en-GB"/>
        </w:rPr>
        <w:t>COD</w:t>
      </w:r>
      <w:r w:rsidRPr="00B66D7F">
        <w:rPr>
          <w:rFonts w:eastAsia="Calibri"/>
          <w:b/>
          <w:bCs/>
          <w:color w:val="000000"/>
          <w:lang w:val="bg-BG" w:eastAsia="en-GB"/>
        </w:rPr>
        <w:t>(</w:t>
      </w:r>
      <w:proofErr w:type="gramEnd"/>
      <w:r w:rsidRPr="00B66D7F">
        <w:rPr>
          <w:rFonts w:eastAsia="Calibri"/>
          <w:b/>
          <w:bCs/>
          <w:color w:val="000000"/>
          <w:lang w:val="bg-BG" w:eastAsia="en-GB"/>
        </w:rPr>
        <w:t>2023)0124</w:t>
      </w:r>
    </w:p>
    <w:p w:rsidR="00952162" w:rsidRPr="00952162" w:rsidRDefault="00B16614" w:rsidP="00B16614">
      <w:pPr>
        <w:autoSpaceDE w:val="0"/>
        <w:autoSpaceDN w:val="0"/>
        <w:adjustRightInd w:val="0"/>
        <w:spacing w:after="240" w:line="260" w:lineRule="exact"/>
        <w:rPr>
          <w:rFonts w:eastAsia="Times New Roman"/>
          <w:b/>
          <w:lang w:val="bg-BG"/>
        </w:rPr>
      </w:pPr>
      <w:r w:rsidRPr="00900F1D">
        <w:rPr>
          <w:rFonts w:eastAsia="Times New Roman"/>
          <w:b/>
          <w:lang w:val="bg-BG" w:eastAsia="en-GB"/>
        </w:rPr>
        <w:t xml:space="preserve">Позиция на Европейския парламент, приета на първо четене </w:t>
      </w:r>
      <w:r w:rsidRPr="00B16614">
        <w:rPr>
          <w:rFonts w:eastAsia="Times New Roman"/>
          <w:b/>
          <w:lang w:val="bg-BG" w:eastAsia="en-GB"/>
        </w:rPr>
        <w:t xml:space="preserve">на </w:t>
      </w:r>
      <w:r w:rsidRPr="00B66D7F">
        <w:rPr>
          <w:rFonts w:eastAsia="Times New Roman"/>
          <w:b/>
          <w:lang w:val="bg-BG" w:eastAsia="en-GB"/>
        </w:rPr>
        <w:t xml:space="preserve">27 </w:t>
      </w:r>
      <w:r w:rsidRPr="00B16614">
        <w:rPr>
          <w:rFonts w:eastAsia="Times New Roman"/>
          <w:b/>
          <w:lang w:val="bg-BG" w:eastAsia="en-GB"/>
        </w:rPr>
        <w:t>февруари</w:t>
      </w:r>
      <w:r w:rsidRPr="00B66D7F">
        <w:rPr>
          <w:rFonts w:eastAsia="Times New Roman"/>
          <w:b/>
          <w:lang w:val="bg-BG" w:eastAsia="en-GB"/>
        </w:rPr>
        <w:t xml:space="preserve"> </w:t>
      </w:r>
      <w:r w:rsidRPr="00B16614">
        <w:rPr>
          <w:rFonts w:eastAsia="Times New Roman"/>
          <w:b/>
          <w:lang w:val="bg-BG" w:eastAsia="en-GB"/>
        </w:rPr>
        <w:t>2024 г. с оглед на приемането на Регламент (ЕС) 2024/... на Европе</w:t>
      </w:r>
      <w:r w:rsidRPr="00900F1D">
        <w:rPr>
          <w:rFonts w:eastAsia="Times New Roman"/>
          <w:b/>
          <w:lang w:val="bg-BG" w:eastAsia="en-GB"/>
        </w:rPr>
        <w:t xml:space="preserve">йския парламент и на Съвета </w:t>
      </w:r>
      <w:r w:rsidR="00952162" w:rsidRPr="00952162">
        <w:rPr>
          <w:rFonts w:eastAsia="Times New Roman"/>
          <w:b/>
          <w:lang w:val="bg-BG"/>
        </w:rPr>
        <w:t xml:space="preserve">относно </w:t>
      </w:r>
      <w:proofErr w:type="spellStart"/>
      <w:r w:rsidR="00952162" w:rsidRPr="00952162">
        <w:rPr>
          <w:rFonts w:eastAsia="Times New Roman"/>
          <w:b/>
          <w:lang w:val="bg-BG"/>
        </w:rPr>
        <w:t>детергентите</w:t>
      </w:r>
      <w:proofErr w:type="spellEnd"/>
      <w:r w:rsidR="00952162" w:rsidRPr="00952162">
        <w:rPr>
          <w:rFonts w:eastAsia="Times New Roman"/>
          <w:b/>
          <w:lang w:val="bg-BG"/>
        </w:rPr>
        <w:t xml:space="preserve"> и </w:t>
      </w:r>
      <w:proofErr w:type="spellStart"/>
      <w:r w:rsidR="00952162" w:rsidRPr="00952162">
        <w:rPr>
          <w:rFonts w:eastAsia="Times New Roman"/>
          <w:b/>
          <w:lang w:val="bg-BG"/>
        </w:rPr>
        <w:t>повърхностноактивните</w:t>
      </w:r>
      <w:proofErr w:type="spellEnd"/>
      <w:r w:rsidR="00952162" w:rsidRPr="00952162">
        <w:rPr>
          <w:rFonts w:eastAsia="Times New Roman"/>
          <w:b/>
          <w:lang w:val="bg-BG"/>
        </w:rPr>
        <w:t xml:space="preserve"> вещества, за изменение на Регламент (ЕС) 2019/1020 и за отмяна на Регламент (EO) № 648/2004</w:t>
      </w:r>
    </w:p>
    <w:p w:rsidR="00952162" w:rsidRPr="00952162" w:rsidRDefault="00952162" w:rsidP="00952162">
      <w:pPr>
        <w:spacing w:before="360" w:after="240" w:line="360" w:lineRule="auto"/>
        <w:jc w:val="center"/>
        <w:rPr>
          <w:rFonts w:eastAsia="Times New Roman"/>
          <w:lang w:val="bg-BG"/>
        </w:rPr>
      </w:pPr>
      <w:r w:rsidRPr="00952162">
        <w:rPr>
          <w:rFonts w:eastAsia="Times New Roman"/>
          <w:lang w:val="bg-BG"/>
        </w:rPr>
        <w:t>(текст от значение за ЕИП)</w:t>
      </w:r>
    </w:p>
    <w:p w:rsidR="00952162" w:rsidRPr="00952162" w:rsidRDefault="00952162" w:rsidP="00952162">
      <w:pPr>
        <w:keepNext/>
        <w:widowControl w:val="0"/>
        <w:spacing w:before="600" w:after="120" w:line="360" w:lineRule="auto"/>
        <w:jc w:val="left"/>
        <w:rPr>
          <w:rFonts w:eastAsia="Times New Roman"/>
          <w:lang w:val="bg-BG"/>
        </w:rPr>
      </w:pPr>
      <w:r w:rsidRPr="00952162">
        <w:rPr>
          <w:rFonts w:eastAsia="Times New Roman"/>
          <w:lang w:val="bg-BG"/>
        </w:rPr>
        <w:t>ЕВРОПЕЙСКИЯТ ПАРЛАМЕНТ И СЪВЕТЪТ НА ЕВРОПЕЙСКИЯ СЪЮЗ,</w:t>
      </w:r>
    </w:p>
    <w:p w:rsidR="00952162" w:rsidRPr="00952162" w:rsidRDefault="00952162" w:rsidP="00952162">
      <w:pPr>
        <w:widowControl w:val="0"/>
        <w:spacing w:before="120" w:after="120" w:line="360" w:lineRule="auto"/>
        <w:jc w:val="left"/>
        <w:rPr>
          <w:rFonts w:eastAsia="Times New Roman"/>
          <w:szCs w:val="20"/>
          <w:lang w:val="bg-BG"/>
        </w:rPr>
      </w:pPr>
      <w:r w:rsidRPr="00952162">
        <w:rPr>
          <w:rFonts w:eastAsia="Times New Roman"/>
          <w:szCs w:val="20"/>
          <w:lang w:val="bg-BG"/>
        </w:rPr>
        <w:t>като взеха предвид Договора за функционирането на Европейския съюз, и по-специално член 114 от него,</w:t>
      </w:r>
    </w:p>
    <w:p w:rsidR="00952162" w:rsidRPr="00952162" w:rsidRDefault="00952162" w:rsidP="00952162">
      <w:pPr>
        <w:widowControl w:val="0"/>
        <w:spacing w:before="120" w:after="120" w:line="360" w:lineRule="auto"/>
        <w:jc w:val="left"/>
        <w:rPr>
          <w:rFonts w:eastAsia="Times New Roman"/>
          <w:szCs w:val="20"/>
          <w:lang w:val="bg-BG"/>
        </w:rPr>
      </w:pPr>
      <w:r w:rsidRPr="00952162">
        <w:rPr>
          <w:rFonts w:eastAsia="Times New Roman"/>
          <w:szCs w:val="20"/>
          <w:lang w:val="bg-BG"/>
        </w:rPr>
        <w:t>като взеха предвид предложението на Европейската комисия,</w:t>
      </w:r>
    </w:p>
    <w:p w:rsidR="00952162" w:rsidRPr="00952162" w:rsidRDefault="00952162" w:rsidP="00952162">
      <w:pPr>
        <w:widowControl w:val="0"/>
        <w:spacing w:before="120" w:after="120" w:line="360" w:lineRule="auto"/>
        <w:jc w:val="left"/>
        <w:rPr>
          <w:rFonts w:eastAsia="Times New Roman"/>
          <w:szCs w:val="20"/>
          <w:lang w:val="bg-BG"/>
        </w:rPr>
      </w:pPr>
      <w:r w:rsidRPr="00952162">
        <w:rPr>
          <w:rFonts w:eastAsia="Times New Roman"/>
          <w:szCs w:val="20"/>
          <w:lang w:val="bg-BG"/>
        </w:rPr>
        <w:t>след предаване на проекта на законодателния акт на националните парламенти,</w:t>
      </w:r>
    </w:p>
    <w:p w:rsidR="00952162" w:rsidRPr="00952162" w:rsidRDefault="00952162" w:rsidP="00952162">
      <w:pPr>
        <w:widowControl w:val="0"/>
        <w:spacing w:before="120" w:after="120" w:line="360" w:lineRule="auto"/>
        <w:jc w:val="left"/>
        <w:rPr>
          <w:rFonts w:eastAsia="Times New Roman"/>
          <w:szCs w:val="20"/>
          <w:lang w:val="bg-BG"/>
        </w:rPr>
      </w:pPr>
      <w:r w:rsidRPr="00952162">
        <w:rPr>
          <w:rFonts w:eastAsia="Times New Roman"/>
          <w:szCs w:val="20"/>
          <w:lang w:val="bg-BG"/>
        </w:rPr>
        <w:t>като взеха предвид становището на Европейския икономически и социален комитет</w:t>
      </w:r>
      <w:r w:rsidRPr="00952162">
        <w:rPr>
          <w:rFonts w:eastAsia="Times New Roman"/>
          <w:szCs w:val="20"/>
          <w:vertAlign w:val="superscript"/>
          <w:lang w:val="bg-BG"/>
        </w:rPr>
        <w:footnoteReference w:id="2"/>
      </w:r>
      <w:r w:rsidRPr="00952162">
        <w:rPr>
          <w:rFonts w:eastAsia="Times New Roman"/>
          <w:szCs w:val="20"/>
          <w:lang w:val="bg-BG"/>
        </w:rPr>
        <w:t>,</w:t>
      </w:r>
    </w:p>
    <w:p w:rsidR="00952162" w:rsidRPr="00952162" w:rsidRDefault="00952162" w:rsidP="00952162">
      <w:pPr>
        <w:widowControl w:val="0"/>
        <w:spacing w:before="120" w:after="120" w:line="360" w:lineRule="auto"/>
        <w:jc w:val="left"/>
        <w:rPr>
          <w:rFonts w:eastAsia="Times New Roman"/>
          <w:szCs w:val="20"/>
          <w:lang w:val="bg-BG"/>
        </w:rPr>
      </w:pPr>
      <w:r w:rsidRPr="00952162">
        <w:rPr>
          <w:rFonts w:eastAsia="Times New Roman"/>
          <w:szCs w:val="20"/>
          <w:lang w:val="bg-BG"/>
        </w:rPr>
        <w:t>в съответствие с обикновената законодателна процедура,</w:t>
      </w:r>
    </w:p>
    <w:p w:rsidR="00B16614" w:rsidRDefault="00B16614">
      <w:pPr>
        <w:jc w:val="left"/>
        <w:rPr>
          <w:rFonts w:eastAsia="Times New Roman"/>
          <w:szCs w:val="20"/>
          <w:lang w:val="bg-BG"/>
        </w:rPr>
      </w:pPr>
      <w:r>
        <w:rPr>
          <w:rFonts w:eastAsia="Times New Roman"/>
          <w:szCs w:val="20"/>
          <w:lang w:val="bg-BG"/>
        </w:rPr>
        <w:br w:type="page"/>
      </w:r>
    </w:p>
    <w:p w:rsidR="00952162" w:rsidRPr="00952162" w:rsidRDefault="00952162" w:rsidP="00952162">
      <w:pPr>
        <w:widowControl w:val="0"/>
        <w:spacing w:before="120" w:after="120" w:line="360" w:lineRule="auto"/>
        <w:jc w:val="left"/>
        <w:rPr>
          <w:rFonts w:eastAsia="Times New Roman"/>
          <w:szCs w:val="20"/>
          <w:lang w:val="bg-BG"/>
        </w:rPr>
      </w:pPr>
      <w:r w:rsidRPr="00952162">
        <w:rPr>
          <w:rFonts w:eastAsia="Times New Roman"/>
          <w:szCs w:val="20"/>
          <w:lang w:val="bg-BG"/>
        </w:rPr>
        <w:lastRenderedPageBreak/>
        <w:t>като има предвид, че: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Условията за пускане и предоставяне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 на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предназначени да влязат в състава на </w:t>
      </w:r>
      <w:proofErr w:type="spellStart"/>
      <w:r w:rsidRPr="00952162">
        <w:rPr>
          <w:rFonts w:eastAsia="Times New Roman"/>
          <w:lang w:val="bg-BG"/>
        </w:rPr>
        <w:t>детергенти</w:t>
      </w:r>
      <w:proofErr w:type="spellEnd"/>
      <w:r w:rsidRPr="00952162">
        <w:rPr>
          <w:rFonts w:eastAsia="Times New Roman"/>
          <w:lang w:val="bg-BG"/>
        </w:rPr>
        <w:t>, са хармонизирани с Регламент (ЕО) № 648/2004 на Европейския парламент и на Съвета</w:t>
      </w:r>
      <w:r w:rsidRPr="00952162">
        <w:rPr>
          <w:rFonts w:eastAsia="Times New Roman"/>
          <w:vertAlign w:val="superscript"/>
          <w:lang w:val="bg-BG"/>
        </w:rPr>
        <w:footnoteReference w:id="3"/>
      </w:r>
      <w:r w:rsidRPr="00952162">
        <w:rPr>
          <w:rFonts w:eastAsia="Times New Roman"/>
          <w:lang w:val="bg-BG"/>
        </w:rPr>
        <w:t>.</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При извършената от Комисията оценка на Регламент (ЕО) № 648/2004</w:t>
      </w:r>
      <w:r w:rsidRPr="00952162">
        <w:rPr>
          <w:rFonts w:eastAsia="Times New Roman"/>
          <w:vertAlign w:val="superscript"/>
          <w:lang w:val="bg-BG"/>
        </w:rPr>
        <w:footnoteReference w:id="4"/>
      </w:r>
      <w:r w:rsidRPr="00952162">
        <w:rPr>
          <w:rFonts w:eastAsia="Times New Roman"/>
          <w:lang w:val="bg-BG"/>
        </w:rPr>
        <w:t xml:space="preserve"> се стигна до заключението, че като цяло този регламент до голяма степен е постигнал целите си. При оценката обаче също така бяха установени редица слабости и области за по-нататъшно подобрение. През последните години регулаторната рамка в областта на химикалите се промени радикално, което доведе до липса на съгласуваност и до дублиране на правилата, приложими за </w:t>
      </w:r>
      <w:proofErr w:type="spellStart"/>
      <w:r w:rsidRPr="00952162">
        <w:rPr>
          <w:rFonts w:eastAsia="Times New Roman"/>
          <w:lang w:val="bg-BG"/>
        </w:rPr>
        <w:t>детергентите</w:t>
      </w:r>
      <w:proofErr w:type="spellEnd"/>
      <w:r w:rsidRPr="00952162">
        <w:rPr>
          <w:rFonts w:eastAsia="Times New Roman"/>
          <w:lang w:val="bg-BG"/>
        </w:rPr>
        <w:t>, и по-специално на изискванията за предоставяне на информация във връзка с тях. Поради това е необходимо да се осигури съгласуваност и да се премахнат дублиращите се изисквания за предоставяне на информация.</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(3)</w:t>
      </w:r>
      <w:r w:rsidRPr="00952162">
        <w:rPr>
          <w:rFonts w:eastAsia="Times New Roman"/>
          <w:lang w:val="bg-BG"/>
        </w:rPr>
        <w:tab/>
        <w:t xml:space="preserve">Появиха се нови развития на пазара, по-специално разработването на </w:t>
      </w:r>
      <w:proofErr w:type="spellStart"/>
      <w:r w:rsidRPr="00952162">
        <w:rPr>
          <w:rFonts w:eastAsia="Times New Roman"/>
          <w:lang w:val="bg-BG"/>
        </w:rPr>
        <w:t>детергенти</w:t>
      </w:r>
      <w:proofErr w:type="spellEnd"/>
      <w:r w:rsidRPr="00952162">
        <w:rPr>
          <w:rFonts w:eastAsia="Times New Roman"/>
          <w:lang w:val="bg-BG"/>
        </w:rPr>
        <w:t xml:space="preserve">, съдържащи микроорганизми, и продажбата на </w:t>
      </w:r>
      <w:proofErr w:type="spellStart"/>
      <w:r w:rsidRPr="00952162">
        <w:rPr>
          <w:rFonts w:eastAsia="Times New Roman"/>
          <w:lang w:val="bg-BG"/>
        </w:rPr>
        <w:t>детергенти</w:t>
      </w:r>
      <w:proofErr w:type="spellEnd"/>
      <w:r w:rsidRPr="00952162">
        <w:rPr>
          <w:rFonts w:eastAsia="Times New Roman"/>
          <w:lang w:val="bg-BG"/>
        </w:rPr>
        <w:t xml:space="preserve"> в съдове за многократно пълнене, които изцяло или частично не са обхванати от Регламент (ЕО) № 648/2004. От друга страна цифровизирането предлага възможности за опростяване, намаляване на тежестта и по-лесно използване и разбираемост на информацията за безопасността и употребата, която в момента липсва. Поради това е необходимо да се вземат предвид </w:t>
      </w:r>
      <w:proofErr w:type="spellStart"/>
      <w:r w:rsidRPr="00952162">
        <w:rPr>
          <w:rFonts w:eastAsia="Times New Roman"/>
          <w:lang w:val="bg-BG"/>
        </w:rPr>
        <w:t>новопоявилите</w:t>
      </w:r>
      <w:proofErr w:type="spellEnd"/>
      <w:r w:rsidRPr="00952162">
        <w:rPr>
          <w:rFonts w:eastAsia="Times New Roman"/>
          <w:lang w:val="bg-BG"/>
        </w:rPr>
        <w:t xml:space="preserve"> се продукти и практики и да се увеличат усилията за цифровизиране в съответствие с основните цели на Съюза, особено по отношение на устойчивостта, екологичния и цифровия преход.</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(4)</w:t>
      </w:r>
      <w:r w:rsidRPr="00952162">
        <w:rPr>
          <w:rFonts w:eastAsia="Times New Roman"/>
          <w:lang w:val="bg-BG"/>
        </w:rPr>
        <w:tab/>
        <w:t>При проверката за пригодността на най-значимото законодателство в областта на химикалите</w:t>
      </w:r>
      <w:r w:rsidRPr="00952162">
        <w:rPr>
          <w:rFonts w:eastAsia="Times New Roman"/>
          <w:vertAlign w:val="superscript"/>
          <w:lang w:val="bg-BG"/>
        </w:rPr>
        <w:footnoteReference w:id="5"/>
      </w:r>
      <w:r w:rsidRPr="00952162">
        <w:rPr>
          <w:rFonts w:eastAsia="Times New Roman"/>
          <w:lang w:val="bg-BG"/>
        </w:rPr>
        <w:t xml:space="preserve"> (различно от Регламент (ЕО) № 1907/2006 на Европейския парламент и на Съвета</w:t>
      </w:r>
      <w:r w:rsidRPr="00952162">
        <w:rPr>
          <w:rFonts w:eastAsia="Times New Roman"/>
          <w:vertAlign w:val="superscript"/>
          <w:lang w:val="bg-BG"/>
        </w:rPr>
        <w:footnoteReference w:id="6"/>
      </w:r>
      <w:r w:rsidRPr="00952162">
        <w:rPr>
          <w:rFonts w:eastAsia="Times New Roman"/>
          <w:lang w:val="bg-BG"/>
        </w:rPr>
        <w:t>) беше подчертана сложността на регулаторната рамка на Съюза в областта на химикалите и тя бе отдадена на големия брой специфични за определени продукти и определени сектори законодателни актове, съдържащи връзки помежду си. При проверката също така беше посочено, че има възможност да се опрости предоставянето на информация за потребителите на продукта върху съдържащи твърде много данни етикети и беше установено, че в момента не се извлича полза от използването на иновативни инструменти за съобщаване на информация за продукта. Следователно е необходимо настоящите правила да бъдат опростени, за да се намали тежестта за икономическите оператори, да се подобри разбирането на потребителите и да се улесни надзорът на пазара. Следователно Регламент (ЕО) № 648/2004 следва да бъде заменен.</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w:t>
      </w:r>
      <w:r w:rsidRPr="00952162">
        <w:rPr>
          <w:rFonts w:eastAsia="Times New Roman"/>
          <w:lang w:val="bg-BG"/>
        </w:rPr>
        <w:tab/>
        <w:t>С Решение № 768/2008/ЕО на Европейския парламент и на Съвета</w:t>
      </w:r>
      <w:r w:rsidRPr="00952162">
        <w:rPr>
          <w:rFonts w:eastAsia="Times New Roman"/>
          <w:vertAlign w:val="superscript"/>
          <w:lang w:val="bg-BG"/>
        </w:rPr>
        <w:footnoteReference w:id="7"/>
      </w:r>
      <w:r w:rsidRPr="00952162">
        <w:rPr>
          <w:rFonts w:eastAsia="Times New Roman"/>
          <w:lang w:val="bg-BG"/>
        </w:rPr>
        <w:t xml:space="preserve"> се установяват общи принципи и референтни разпоредби, предназначени да се прилагат в секторното законодателство с цел да се създаде последователна основа за преразглеждането на това законодателство. Новата правна уредба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следва да бъде приведена във възможно най-голяма степен в съответствие с тези общи принципи и референтни разпоредби.</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(6)</w:t>
      </w:r>
      <w:r w:rsidRPr="00952162">
        <w:rPr>
          <w:rFonts w:eastAsia="Times New Roman"/>
          <w:lang w:val="bg-BG"/>
        </w:rPr>
        <w:tab/>
        <w:t xml:space="preserve">За да се осигурят правна сигурност и равнопоставени условия на конкуренция за икономическите оператори, определението за </w:t>
      </w:r>
      <w:proofErr w:type="spellStart"/>
      <w:r w:rsidRPr="00952162">
        <w:rPr>
          <w:rFonts w:eastAsia="Times New Roman"/>
          <w:lang w:val="bg-BG"/>
        </w:rPr>
        <w:t>детергент</w:t>
      </w:r>
      <w:proofErr w:type="spellEnd"/>
      <w:r w:rsidRPr="00952162">
        <w:rPr>
          <w:rFonts w:eastAsia="Times New Roman"/>
          <w:lang w:val="bg-BG"/>
        </w:rPr>
        <w:t xml:space="preserve"> следва да обхваща всички продукти, попадащи в обхвата на хармонизирането, в това число </w:t>
      </w:r>
      <w:proofErr w:type="spellStart"/>
      <w:r w:rsidRPr="00952162">
        <w:rPr>
          <w:rFonts w:eastAsia="Times New Roman"/>
          <w:lang w:val="bg-BG"/>
        </w:rPr>
        <w:t>новоразработените</w:t>
      </w:r>
      <w:proofErr w:type="spellEnd"/>
      <w:r w:rsidRPr="00952162">
        <w:rPr>
          <w:rFonts w:eastAsia="Times New Roman"/>
          <w:lang w:val="bg-BG"/>
        </w:rPr>
        <w:t xml:space="preserve"> </w:t>
      </w:r>
      <w:proofErr w:type="spellStart"/>
      <w:r w:rsidRPr="00952162">
        <w:rPr>
          <w:rFonts w:eastAsia="Times New Roman"/>
          <w:lang w:val="bg-BG"/>
        </w:rPr>
        <w:t>детергенти</w:t>
      </w:r>
      <w:proofErr w:type="spellEnd"/>
      <w:r w:rsidRPr="00952162">
        <w:rPr>
          <w:rFonts w:eastAsia="Times New Roman"/>
          <w:lang w:val="bg-BG"/>
        </w:rPr>
        <w:t>, съдържащи преднамерено добавени микроорганизми. В определението следва да бъдат включени и продуктите за почистване на повърхността на плодове и зеленчуци.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(7)</w:t>
      </w:r>
      <w:r w:rsidRPr="00952162">
        <w:rPr>
          <w:rFonts w:eastAsia="Times New Roman"/>
          <w:lang w:val="bg-BG"/>
        </w:rPr>
        <w:tab/>
        <w:t xml:space="preserve">Тъй като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продават предимно в сделки между предприятия, за да бъдат използвани в производството на </w:t>
      </w:r>
      <w:proofErr w:type="spellStart"/>
      <w:r w:rsidRPr="00952162">
        <w:rPr>
          <w:rFonts w:eastAsia="Times New Roman"/>
          <w:lang w:val="bg-BG"/>
        </w:rPr>
        <w:t>детергенти</w:t>
      </w:r>
      <w:proofErr w:type="spellEnd"/>
      <w:r w:rsidRPr="00952162">
        <w:rPr>
          <w:rFonts w:eastAsia="Times New Roman"/>
          <w:lang w:val="bg-BG"/>
        </w:rPr>
        <w:t xml:space="preserve">, не е необходимо по отношение на тях да се прилагат същите изисквания като 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Поради това следва да се определят минимални правила за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а именно правила относно пълната </w:t>
      </w:r>
      <w:proofErr w:type="spellStart"/>
      <w:r w:rsidRPr="00952162">
        <w:rPr>
          <w:rFonts w:eastAsia="Times New Roman"/>
          <w:lang w:val="bg-BG"/>
        </w:rPr>
        <w:t>биоразградимост</w:t>
      </w:r>
      <w:proofErr w:type="spellEnd"/>
      <w:r w:rsidRPr="00952162">
        <w:rPr>
          <w:rFonts w:eastAsia="Times New Roman"/>
          <w:lang w:val="bg-BG"/>
        </w:rPr>
        <w:t>, минимален набор от информация върху етикета и задължението на икономическите оператори да изготвят техническа документация и да създадат продуктов паспорт.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t>Настоящият регламент следва да допълва съществуващите правила, определени в други законодателни инструменти, и не следва да засяга прилагането на съществуващото законодателство на Съюза, свързано с аспекти на защитата на здравето, безопасността и околната среда, които не са обхванати от настоящия регламент. Настоящият регламент следва по-специално да се прилага, без да се засягат Регламент (ЕО) № 1907/2006, Регламент (ЕС) № 528/2012 на Европейския парламент и на Съвета</w:t>
      </w:r>
      <w:r w:rsidRPr="00952162">
        <w:rPr>
          <w:rFonts w:eastAsia="Times New Roman"/>
          <w:vertAlign w:val="superscript"/>
          <w:lang w:val="bg-BG"/>
        </w:rPr>
        <w:footnoteReference w:id="8"/>
      </w:r>
      <w:r w:rsidRPr="00952162">
        <w:rPr>
          <w:rFonts w:eastAsia="Times New Roman"/>
          <w:lang w:val="bg-BG"/>
        </w:rPr>
        <w:t xml:space="preserve"> и Регламент (ЕО) № 1272/2008 на Европейския парламент и на Съвета</w:t>
      </w:r>
      <w:r w:rsidRPr="00952162">
        <w:rPr>
          <w:rFonts w:eastAsia="Times New Roman"/>
          <w:vertAlign w:val="superscript"/>
          <w:lang w:val="bg-BG"/>
        </w:rPr>
        <w:footnoteReference w:id="9"/>
      </w:r>
      <w:r w:rsidRPr="00952162">
        <w:rPr>
          <w:rFonts w:eastAsia="Times New Roman"/>
          <w:lang w:val="bg-BG"/>
        </w:rPr>
        <w:t>.</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(9)</w:t>
      </w:r>
      <w:r w:rsidRPr="00952162">
        <w:rPr>
          <w:rFonts w:eastAsia="Times New Roman"/>
          <w:lang w:val="bg-BG"/>
        </w:rPr>
        <w:tab/>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са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агенти, които помагат за разграждането на контактната повърхност между водата и маслата или мръсотията. Те са една от основните съставки, използвани в </w:t>
      </w:r>
      <w:proofErr w:type="spellStart"/>
      <w:r w:rsidRPr="00952162">
        <w:rPr>
          <w:rFonts w:eastAsia="Times New Roman"/>
          <w:lang w:val="bg-BG"/>
        </w:rPr>
        <w:t>детергентите</w:t>
      </w:r>
      <w:proofErr w:type="spellEnd"/>
      <w:r w:rsidRPr="00952162">
        <w:rPr>
          <w:rFonts w:eastAsia="Times New Roman"/>
          <w:lang w:val="bg-BG"/>
        </w:rPr>
        <w:t xml:space="preserve">.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обаче биха могли да представляват риск за околната среда при изпускането им в канализационните системи или директно в повърхностните води. За да се предотвратят всякакви неблагоприятни въздействия, които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могат да имат върху околната среда, е необходимо да се определят изисквания, с които да се осигури, че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са напълно </w:t>
      </w:r>
      <w:proofErr w:type="spellStart"/>
      <w:r w:rsidRPr="00952162">
        <w:rPr>
          <w:rFonts w:eastAsia="Times New Roman"/>
          <w:lang w:val="bg-BG"/>
        </w:rPr>
        <w:t>биоразградими</w:t>
      </w:r>
      <w:proofErr w:type="spellEnd"/>
      <w:r w:rsidRPr="00952162">
        <w:rPr>
          <w:rFonts w:eastAsia="Times New Roman"/>
          <w:lang w:val="bg-BG"/>
        </w:rPr>
        <w:t xml:space="preserve">, когато се пускат на пазара самостоятелно и са предназначени за употреба в </w:t>
      </w:r>
      <w:proofErr w:type="spellStart"/>
      <w:r w:rsidRPr="00952162">
        <w:rPr>
          <w:rFonts w:eastAsia="Times New Roman"/>
          <w:lang w:val="bg-BG"/>
        </w:rPr>
        <w:t>детергенти</w:t>
      </w:r>
      <w:proofErr w:type="spellEnd"/>
      <w:r w:rsidRPr="00952162">
        <w:rPr>
          <w:rFonts w:eastAsia="Times New Roman"/>
          <w:lang w:val="bg-BG"/>
        </w:rPr>
        <w:t xml:space="preserve"> или когато са в състава на </w:t>
      </w:r>
      <w:proofErr w:type="spellStart"/>
      <w:r w:rsidRPr="00952162">
        <w:rPr>
          <w:rFonts w:eastAsia="Times New Roman"/>
          <w:lang w:val="bg-BG"/>
        </w:rPr>
        <w:t>детергенти</w:t>
      </w:r>
      <w:proofErr w:type="spellEnd"/>
      <w:r w:rsidRPr="00952162">
        <w:rPr>
          <w:rFonts w:eastAsia="Times New Roman"/>
          <w:lang w:val="bg-BG"/>
        </w:rPr>
        <w:t>.</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(9a)</w:t>
      </w:r>
      <w:r w:rsidRPr="00952162">
        <w:rPr>
          <w:rFonts w:eastAsia="Times New Roman"/>
          <w:lang w:val="bg-BG"/>
        </w:rPr>
        <w:tab/>
      </w:r>
      <w:r w:rsidRPr="00952162">
        <w:rPr>
          <w:rFonts w:eastAsia="Times New Roman"/>
          <w:b/>
          <w:i/>
          <w:lang w:val="bg-BG"/>
        </w:rPr>
        <w:t xml:space="preserve">Някои вещества, използвани в </w:t>
      </w:r>
      <w:proofErr w:type="spellStart"/>
      <w:r w:rsidRPr="00952162">
        <w:rPr>
          <w:rFonts w:eastAsia="Times New Roman"/>
          <w:b/>
          <w:i/>
          <w:lang w:val="bg-BG"/>
        </w:rPr>
        <w:t>детергентите</w:t>
      </w:r>
      <w:proofErr w:type="spellEnd"/>
      <w:r w:rsidRPr="00952162">
        <w:rPr>
          <w:rFonts w:eastAsia="Times New Roman"/>
          <w:b/>
          <w:i/>
          <w:lang w:val="bg-BG"/>
        </w:rPr>
        <w:t xml:space="preserve"> и различни от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може да останат в отпадъчните води след употребата и ако не бъдат отстранени от операторите на пречиствателни станции за отпадъчни води чрез скъпоструващи процеси, те се запазват и натрупват в околната среда. За да се улеснят иновациите и да се преодолеят потенциалните рискове за здравето и околната среда, е необходимо да се определи средносрочна цел, която да гарантира, че </w:t>
      </w:r>
      <w:proofErr w:type="spellStart"/>
      <w:r w:rsidRPr="00952162">
        <w:rPr>
          <w:rFonts w:eastAsia="Times New Roman"/>
          <w:b/>
          <w:i/>
          <w:lang w:val="bg-BG"/>
        </w:rPr>
        <w:t>детергентите</w:t>
      </w:r>
      <w:proofErr w:type="spellEnd"/>
      <w:r w:rsidRPr="00952162">
        <w:rPr>
          <w:rFonts w:eastAsia="Times New Roman"/>
          <w:b/>
          <w:i/>
          <w:lang w:val="bg-BG"/>
        </w:rPr>
        <w:t xml:space="preserve"> като цяло имат присъща </w:t>
      </w:r>
      <w:proofErr w:type="spellStart"/>
      <w:r w:rsidRPr="00952162">
        <w:rPr>
          <w:rFonts w:eastAsia="Times New Roman"/>
          <w:b/>
          <w:i/>
          <w:lang w:val="bg-BG"/>
        </w:rPr>
        <w:t>биоразградимост</w:t>
      </w:r>
      <w:proofErr w:type="spellEnd"/>
      <w:r w:rsidRPr="00952162">
        <w:rPr>
          <w:rFonts w:eastAsia="Times New Roman"/>
          <w:b/>
          <w:i/>
          <w:lang w:val="bg-BG"/>
        </w:rPr>
        <w:t xml:space="preserve">. За да се даде време на производителите да адаптират </w:t>
      </w:r>
      <w:proofErr w:type="spellStart"/>
      <w:r w:rsidRPr="00952162">
        <w:rPr>
          <w:rFonts w:eastAsia="Times New Roman"/>
          <w:b/>
          <w:i/>
          <w:lang w:val="bg-BG"/>
        </w:rPr>
        <w:t>формулациите</w:t>
      </w:r>
      <w:proofErr w:type="spellEnd"/>
      <w:r w:rsidRPr="00952162">
        <w:rPr>
          <w:rFonts w:eastAsia="Times New Roman"/>
          <w:b/>
          <w:i/>
          <w:lang w:val="bg-BG"/>
        </w:rPr>
        <w:t xml:space="preserve"> на продуктите, следва да се предвидят достатъчно дълги преходни периоди, а съответните критерии за изпитване следва да бъдат установени предварително.</w:t>
      </w:r>
      <w:r w:rsidR="008A6BB8">
        <w:rPr>
          <w:rFonts w:eastAsia="Times New Roman"/>
          <w:b/>
          <w:lang w:val="bg-BG"/>
        </w:rPr>
        <w:t xml:space="preserve"> [Изм. 1]</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(10)</w:t>
      </w:r>
      <w:r w:rsidRPr="00952162">
        <w:rPr>
          <w:rFonts w:eastAsia="Times New Roman"/>
          <w:lang w:val="bg-BG"/>
        </w:rPr>
        <w:tab/>
        <w:t>Фосфорът е</w:t>
      </w:r>
      <w:r w:rsidRPr="00952162">
        <w:rPr>
          <w:rFonts w:eastAsia="Times New Roman"/>
          <w:strike/>
          <w:lang w:val="bg-BG"/>
        </w:rPr>
        <w:t xml:space="preserve"> ключова</w:t>
      </w:r>
      <w:r w:rsidRPr="00952162">
        <w:rPr>
          <w:rFonts w:eastAsia="Times New Roman"/>
          <w:lang w:val="bg-BG"/>
        </w:rPr>
        <w:t xml:space="preserve"> съставка, използвана в </w:t>
      </w:r>
      <w:proofErr w:type="spellStart"/>
      <w:r w:rsidRPr="00952162">
        <w:rPr>
          <w:rFonts w:eastAsia="Times New Roman"/>
          <w:lang w:val="bg-BG"/>
        </w:rPr>
        <w:t>детергентите</w:t>
      </w:r>
      <w:proofErr w:type="spellEnd"/>
      <w:r w:rsidRPr="00952162">
        <w:rPr>
          <w:rFonts w:eastAsia="Times New Roman"/>
          <w:lang w:val="bg-BG"/>
        </w:rPr>
        <w:t xml:space="preserve">. Въпреки това фосфорът и неговите съединения </w:t>
      </w:r>
      <w:r w:rsidRPr="00952162">
        <w:rPr>
          <w:rFonts w:eastAsia="Times New Roman"/>
          <w:strike/>
          <w:lang w:val="bg-BG"/>
        </w:rPr>
        <w:t xml:space="preserve">биха могли да </w:t>
      </w:r>
      <w:proofErr w:type="spellStart"/>
      <w:r w:rsidRPr="00952162">
        <w:rPr>
          <w:rFonts w:eastAsia="Times New Roman"/>
          <w:strike/>
          <w:lang w:val="bg-BG"/>
        </w:rPr>
        <w:t>увредят</w:t>
      </w:r>
      <w:r w:rsidRPr="00952162">
        <w:rPr>
          <w:rFonts w:eastAsia="Times New Roman"/>
          <w:b/>
          <w:i/>
          <w:lang w:val="bg-BG"/>
        </w:rPr>
        <w:t>значително</w:t>
      </w:r>
      <w:proofErr w:type="spellEnd"/>
      <w:r w:rsidRPr="00952162">
        <w:rPr>
          <w:rFonts w:eastAsia="Times New Roman"/>
          <w:b/>
          <w:i/>
          <w:lang w:val="bg-BG"/>
        </w:rPr>
        <w:t xml:space="preserve"> увреждат</w:t>
      </w:r>
      <w:r w:rsidRPr="00952162">
        <w:rPr>
          <w:rFonts w:eastAsia="Times New Roman"/>
          <w:lang w:val="bg-BG"/>
        </w:rPr>
        <w:t xml:space="preserve"> екосистемите и водната среда, тъй като допринасят за </w:t>
      </w:r>
      <w:proofErr w:type="spellStart"/>
      <w:r w:rsidRPr="00952162">
        <w:rPr>
          <w:rFonts w:eastAsia="Times New Roman"/>
          <w:lang w:val="bg-BG"/>
        </w:rPr>
        <w:t>еутрофикацията</w:t>
      </w:r>
      <w:proofErr w:type="spellEnd"/>
      <w:r w:rsidRPr="00952162">
        <w:rPr>
          <w:rFonts w:eastAsia="Times New Roman"/>
          <w:lang w:val="bg-BG"/>
        </w:rPr>
        <w:t xml:space="preserve">. За да се осигури допълнително висока степен на опазване на околната среда и да се намали приносът на </w:t>
      </w:r>
      <w:proofErr w:type="spellStart"/>
      <w:r w:rsidRPr="00952162">
        <w:rPr>
          <w:rFonts w:eastAsia="Times New Roman"/>
          <w:lang w:val="bg-BG"/>
        </w:rPr>
        <w:t>детергентите</w:t>
      </w:r>
      <w:proofErr w:type="spellEnd"/>
      <w:r w:rsidRPr="00952162">
        <w:rPr>
          <w:rFonts w:eastAsia="Times New Roman"/>
          <w:lang w:val="bg-BG"/>
        </w:rPr>
        <w:t xml:space="preserve"> за това явление, е необходимо да се установят хармонизирани пределни стойности за съдържанието на фосфати и фосфорни съединения в </w:t>
      </w:r>
      <w:r w:rsidRPr="00952162">
        <w:rPr>
          <w:rFonts w:eastAsia="Times New Roman"/>
          <w:strike/>
          <w:lang w:val="bg-BG"/>
        </w:rPr>
        <w:t xml:space="preserve">потребителските перилни </w:t>
      </w:r>
      <w:proofErr w:type="spellStart"/>
      <w:r w:rsidRPr="00952162">
        <w:rPr>
          <w:rFonts w:eastAsia="Times New Roman"/>
          <w:strike/>
          <w:lang w:val="bg-BG"/>
        </w:rPr>
        <w:t>детергенти</w:t>
      </w:r>
      <w:proofErr w:type="spellEnd"/>
      <w:r w:rsidRPr="00952162">
        <w:rPr>
          <w:rFonts w:eastAsia="Times New Roman"/>
          <w:strike/>
          <w:lang w:val="bg-BG"/>
        </w:rPr>
        <w:t xml:space="preserve"> и </w:t>
      </w:r>
      <w:proofErr w:type="spellStart"/>
      <w:r w:rsidRPr="00952162">
        <w:rPr>
          <w:rFonts w:eastAsia="Times New Roman"/>
          <w:strike/>
          <w:lang w:val="bg-BG"/>
        </w:rPr>
        <w:t>потребителските</w:t>
      </w:r>
      <w:r w:rsidRPr="00952162">
        <w:rPr>
          <w:rFonts w:eastAsia="Times New Roman"/>
          <w:b/>
          <w:i/>
          <w:lang w:val="bg-BG"/>
        </w:rPr>
        <w:t>някои</w:t>
      </w:r>
      <w:proofErr w:type="spellEnd"/>
      <w:r w:rsidRPr="00952162">
        <w:rPr>
          <w:rFonts w:eastAsia="Times New Roman"/>
          <w:b/>
          <w:i/>
          <w:lang w:val="bg-BG"/>
        </w:rPr>
        <w:t xml:space="preserve"> потребителски и индустриални</w:t>
      </w:r>
      <w:r w:rsidRPr="00952162">
        <w:rPr>
          <w:rFonts w:eastAsia="Times New Roman"/>
          <w:lang w:val="bg-BG"/>
        </w:rPr>
        <w:t xml:space="preserve"> </w:t>
      </w:r>
      <w:proofErr w:type="spellStart"/>
      <w:r w:rsidRPr="00952162">
        <w:rPr>
          <w:rFonts w:eastAsia="Times New Roman"/>
          <w:lang w:val="bg-BG"/>
        </w:rPr>
        <w:t>детергенти</w:t>
      </w:r>
      <w:proofErr w:type="spellEnd"/>
      <w:r w:rsidRPr="00952162">
        <w:rPr>
          <w:rFonts w:eastAsia="Times New Roman"/>
          <w:strike/>
          <w:lang w:val="bg-BG"/>
        </w:rPr>
        <w:t xml:space="preserve"> за автоматични съдомиялни машини</w:t>
      </w:r>
      <w:r w:rsidRPr="00952162">
        <w:rPr>
          <w:rFonts w:eastAsia="Times New Roman"/>
          <w:lang w:val="bg-BG"/>
        </w:rPr>
        <w:t>.</w:t>
      </w:r>
      <w:r w:rsidRPr="00952162">
        <w:rPr>
          <w:rFonts w:eastAsia="Times New Roman"/>
          <w:strike/>
          <w:lang w:val="bg-BG"/>
        </w:rPr>
        <w:t xml:space="preserve"> Подобни ограничения не са необходими за други видове </w:t>
      </w:r>
      <w:proofErr w:type="spellStart"/>
      <w:r w:rsidRPr="00952162">
        <w:rPr>
          <w:rFonts w:eastAsia="Times New Roman"/>
          <w:strike/>
          <w:lang w:val="bg-BG"/>
        </w:rPr>
        <w:t>детергенти</w:t>
      </w:r>
      <w:proofErr w:type="spellEnd"/>
      <w:r w:rsidRPr="00952162">
        <w:rPr>
          <w:rFonts w:eastAsia="Times New Roman"/>
          <w:strike/>
          <w:lang w:val="bg-BG"/>
        </w:rPr>
        <w:t xml:space="preserve"> или защото техният принос не е значителен, или защото в момента не са налични подходящи алтернативи.</w:t>
      </w:r>
      <w:r w:rsidR="008A6BB8">
        <w:rPr>
          <w:rFonts w:eastAsia="Times New Roman"/>
          <w:strike/>
          <w:lang w:val="bg-BG"/>
        </w:rPr>
        <w:t xml:space="preserve"> </w:t>
      </w:r>
      <w:r w:rsidR="008A6BB8" w:rsidRPr="008A6BB8">
        <w:rPr>
          <w:rFonts w:eastAsia="Times New Roman"/>
          <w:b/>
          <w:lang w:val="bg-BG"/>
        </w:rPr>
        <w:t xml:space="preserve"> [Изм. </w:t>
      </w:r>
      <w:r w:rsidR="008A6BB8">
        <w:rPr>
          <w:rFonts w:eastAsia="Times New Roman"/>
          <w:b/>
          <w:lang w:val="bg-BG"/>
        </w:rPr>
        <w:t>2</w:t>
      </w:r>
      <w:r w:rsidR="008A6BB8" w:rsidRPr="008A6BB8">
        <w:rPr>
          <w:rFonts w:eastAsia="Times New Roman"/>
          <w:b/>
          <w:lang w:val="bg-BG"/>
        </w:rPr>
        <w:t>]</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(11)</w:t>
      </w:r>
      <w:r w:rsidRPr="00952162">
        <w:rPr>
          <w:rFonts w:eastAsia="Times New Roman"/>
          <w:lang w:val="bg-BG"/>
        </w:rPr>
        <w:tab/>
        <w:t xml:space="preserve">През последните години бяха разработени нови почистващи препарати, които съдържат живи микроорганизми като активни съставки. Микроорганизмите имат своя собствена биология и реакция към околната среда. Поради способността им да се размножават, съществува ясна разлика между конвенционалните и съдържащите микроорганизми </w:t>
      </w:r>
      <w:proofErr w:type="spellStart"/>
      <w:r w:rsidRPr="00952162">
        <w:rPr>
          <w:rFonts w:eastAsia="Times New Roman"/>
          <w:lang w:val="bg-BG"/>
        </w:rPr>
        <w:t>детергенти</w:t>
      </w:r>
      <w:proofErr w:type="spellEnd"/>
      <w:r w:rsidRPr="00952162">
        <w:rPr>
          <w:rFonts w:eastAsia="Times New Roman"/>
          <w:lang w:val="bg-BG"/>
        </w:rPr>
        <w:t xml:space="preserve">. Следователно присъщите опасности и възникващите рискове не са задължително от същото естество като предизвиканите от химикалите, особено по отношение на способността на микроорганизмите да продължават да съществуват и да се размножават в различни среди и да произвеждат набор от различни </w:t>
      </w:r>
      <w:proofErr w:type="spellStart"/>
      <w:r w:rsidRPr="00952162">
        <w:rPr>
          <w:rFonts w:eastAsia="Times New Roman"/>
          <w:lang w:val="bg-BG"/>
        </w:rPr>
        <w:t>метаболити</w:t>
      </w:r>
      <w:proofErr w:type="spellEnd"/>
      <w:r w:rsidRPr="00952162">
        <w:rPr>
          <w:rFonts w:eastAsia="Times New Roman"/>
          <w:lang w:val="bg-BG"/>
        </w:rPr>
        <w:t xml:space="preserve"> и токсини с потенциално токсикологично значение.</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(12)</w:t>
      </w:r>
      <w:r w:rsidRPr="00952162">
        <w:rPr>
          <w:rFonts w:eastAsia="Times New Roman"/>
          <w:lang w:val="bg-BG"/>
        </w:rPr>
        <w:tab/>
        <w:t xml:space="preserve">Тъй като микроорганизмите не подлежат на регистрация съгласно Регламент (ЕО) № 1907/2006 или което и да е друго законодателство на Съюза, което изисква от производителите да докажат, че предвидената употреба е безопасна, те следва да се считат за допустими за използване в </w:t>
      </w:r>
      <w:proofErr w:type="spellStart"/>
      <w:r w:rsidRPr="00952162">
        <w:rPr>
          <w:rFonts w:eastAsia="Times New Roman"/>
          <w:lang w:val="bg-BG"/>
        </w:rPr>
        <w:t>детергенти</w:t>
      </w:r>
      <w:proofErr w:type="spellEnd"/>
      <w:r w:rsidRPr="00952162">
        <w:rPr>
          <w:rFonts w:eastAsia="Times New Roman"/>
          <w:lang w:val="bg-BG"/>
        </w:rPr>
        <w:t xml:space="preserve"> единствено доколкото са ясно установени и подкрепени от данни, които да доказват, че използването им е безопасно, и при спазване на специфични изисквания за тяхната безопасност. Поради това следва да бъдат установени хармонизирани правила, уреждащи безопасността на микроорганизмите в </w:t>
      </w:r>
      <w:proofErr w:type="spellStart"/>
      <w:r w:rsidRPr="00952162">
        <w:rPr>
          <w:rFonts w:eastAsia="Times New Roman"/>
          <w:lang w:val="bg-BG"/>
        </w:rPr>
        <w:t>детергентите</w:t>
      </w:r>
      <w:proofErr w:type="spellEnd"/>
      <w:r w:rsidRPr="00952162">
        <w:rPr>
          <w:rFonts w:eastAsia="Times New Roman"/>
          <w:lang w:val="bg-BG"/>
        </w:rPr>
        <w:t xml:space="preserve">, както и съответните методи за изпитване, с които икономическите оператори да доказват, че тези правила са спазени. Необходими са ограничения по отношение на формата, в който </w:t>
      </w:r>
      <w:proofErr w:type="spellStart"/>
      <w:r w:rsidRPr="00952162">
        <w:rPr>
          <w:rFonts w:eastAsia="Times New Roman"/>
          <w:lang w:val="bg-BG"/>
        </w:rPr>
        <w:t>детергентите</w:t>
      </w:r>
      <w:proofErr w:type="spellEnd"/>
      <w:r w:rsidRPr="00952162">
        <w:rPr>
          <w:rFonts w:eastAsia="Times New Roman"/>
          <w:lang w:val="bg-BG"/>
        </w:rPr>
        <w:t xml:space="preserve">, съдържащи микроорганизми, се пускат на пазара, когато в състава им са включени сенсибилизиращи съставки. Следователно, за да се гарантира високо ниво на защита на здравето на човека дори за чувствителните лица, </w:t>
      </w:r>
      <w:proofErr w:type="spellStart"/>
      <w:r w:rsidRPr="00952162">
        <w:rPr>
          <w:rFonts w:eastAsia="Times New Roman"/>
          <w:lang w:val="bg-BG"/>
        </w:rPr>
        <w:t>детергентите</w:t>
      </w:r>
      <w:proofErr w:type="spellEnd"/>
      <w:r w:rsidRPr="00952162">
        <w:rPr>
          <w:rFonts w:eastAsia="Times New Roman"/>
          <w:lang w:val="bg-BG"/>
        </w:rPr>
        <w:t>, които съдържат микроорганизми и се пускат на пазара под формата на спрей, следва да се считат за безопасни за употреба в този формат.</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lastRenderedPageBreak/>
        <w:t>(12а)</w:t>
      </w:r>
      <w:r w:rsidRPr="00952162">
        <w:rPr>
          <w:rFonts w:eastAsia="Times New Roman"/>
          <w:lang w:val="bg-BG"/>
        </w:rPr>
        <w:tab/>
      </w:r>
      <w:r w:rsidRPr="00952162">
        <w:rPr>
          <w:rFonts w:eastAsia="Times New Roman"/>
          <w:b/>
          <w:i/>
          <w:lang w:val="bg-BG"/>
        </w:rPr>
        <w:t>В съответствие с Директива 2010/63/ЕС на Европейския парламент и на Съвета</w:t>
      </w:r>
      <w:r w:rsidRPr="00952162">
        <w:rPr>
          <w:rFonts w:eastAsia="Times New Roman"/>
          <w:vertAlign w:val="superscript"/>
          <w:lang w:val="bg-BG"/>
        </w:rPr>
        <w:footnoteReference w:id="10"/>
      </w:r>
      <w:r w:rsidRPr="00952162">
        <w:rPr>
          <w:rFonts w:eastAsia="Times New Roman"/>
          <w:b/>
          <w:i/>
          <w:lang w:val="bg-BG"/>
        </w:rPr>
        <w:t xml:space="preserve"> е необходимо заместване, намаляване или облекчаване на изпитванията върху животни, за да се прекрати възможно най-скоро използването на животни за изпитване. Поради това пускането на пазара на </w:t>
      </w:r>
      <w:proofErr w:type="spellStart"/>
      <w:r w:rsidRPr="00952162">
        <w:rPr>
          <w:rFonts w:eastAsia="Times New Roman"/>
          <w:b/>
          <w:i/>
          <w:lang w:val="bg-BG"/>
        </w:rPr>
        <w:t>детергенти</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които са били изследвани върху животни, за да се изпълнят изискванията на настоящия регламент, следва да бъде по принцип забранено, като същевременно се гарантира защитата на здравето на човека и се позволява използването на исторически данни. Комисията следва да одобри съответните алтернативни методи за изпитване и </w:t>
      </w:r>
      <w:proofErr w:type="spellStart"/>
      <w:r w:rsidRPr="00952162">
        <w:rPr>
          <w:rFonts w:eastAsia="Times New Roman"/>
          <w:b/>
          <w:i/>
          <w:lang w:val="bg-BG"/>
        </w:rPr>
        <w:t>дерогации</w:t>
      </w:r>
      <w:proofErr w:type="spellEnd"/>
      <w:r w:rsidRPr="00952162">
        <w:rPr>
          <w:rFonts w:eastAsia="Times New Roman"/>
          <w:b/>
          <w:i/>
          <w:lang w:val="bg-BG"/>
        </w:rPr>
        <w:t>, когато това е целесъобразно, и да насърчава обмена на информация между всички заинтересовани страни, за да подпомогне разработването на методи за изпитване, при които не се използват животни, като вземе предвид приложимото право на Съюза относно защитата на неразкрита търговска информация и относно обществения достъп до информация за околната среда.</w:t>
      </w:r>
      <w:r w:rsidR="008A6BB8">
        <w:rPr>
          <w:rFonts w:eastAsia="Times New Roman"/>
          <w:b/>
          <w:lang w:val="bg-BG"/>
        </w:rPr>
        <w:t xml:space="preserve"> [Изм. 3]</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(12б)</w:t>
      </w:r>
      <w:r w:rsidRPr="00952162">
        <w:rPr>
          <w:rFonts w:eastAsia="Times New Roman"/>
          <w:lang w:val="bg-BG"/>
        </w:rPr>
        <w:tab/>
      </w:r>
      <w:r w:rsidRPr="00952162">
        <w:rPr>
          <w:rFonts w:eastAsia="Times New Roman"/>
          <w:b/>
          <w:i/>
          <w:lang w:val="bg-BG"/>
        </w:rPr>
        <w:t>Използването на твърдението „без изпитвания върху животни“ или подобни твърдения следва да бъде разрешено само ако е доказано, че по време на производството и изпитването за съответствие не са извършвани изпитвания върху животни. По същия начин на производителите следва да бъде разрешено да твърдят, че даден продукт е „</w:t>
      </w:r>
      <w:proofErr w:type="spellStart"/>
      <w:r w:rsidRPr="00952162">
        <w:rPr>
          <w:rFonts w:eastAsia="Times New Roman"/>
          <w:b/>
          <w:i/>
          <w:lang w:val="bg-BG"/>
        </w:rPr>
        <w:t>вегански</w:t>
      </w:r>
      <w:proofErr w:type="spellEnd"/>
      <w:r w:rsidRPr="00952162">
        <w:rPr>
          <w:rFonts w:eastAsia="Times New Roman"/>
          <w:b/>
          <w:i/>
          <w:lang w:val="bg-BG"/>
        </w:rPr>
        <w:t>“, или да използват подобно твърдение, само ако в производството или при разработването на продукта не са използвани съставки от животински произход като желатин, холестерин или колаген, или странични животински продукти като мед или пчелен восък.</w:t>
      </w:r>
      <w:r w:rsidR="008A6BB8">
        <w:rPr>
          <w:rFonts w:eastAsia="Times New Roman"/>
          <w:b/>
          <w:lang w:val="bg-BG"/>
        </w:rPr>
        <w:t xml:space="preserve"> [Изм. 4]</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(13)</w:t>
      </w:r>
      <w:r w:rsidRPr="00952162">
        <w:rPr>
          <w:rFonts w:eastAsia="Times New Roman"/>
          <w:lang w:val="bg-BG"/>
        </w:rPr>
        <w:tab/>
        <w:t xml:space="preserve">За да се осигури високо ниво на защита на аспектите от обществен интерес и за да се осигури лоялна конкуренция на вътрешния пазар, икономическите оператори следва да носят отговорност за съответствието на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 настоящия регламент във връзка със съответните си роли във веригата на доставка. Когато е целесъобразно, производителите и вносителите следва да провеждат изпитвания на проби от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те са предоставили на пазара, за да се защитят здравето и безопасността на потребителите и околната среда.</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(14)</w:t>
      </w:r>
      <w:r w:rsidRPr="00952162">
        <w:rPr>
          <w:rFonts w:eastAsia="Times New Roman"/>
          <w:lang w:val="bg-BG"/>
        </w:rPr>
        <w:tab/>
        <w:t>Всички икономически оператори, които вземат участие във веригата на доставка и разпространение, следва да предприемат подходящи</w:t>
      </w:r>
      <w:r w:rsidRPr="00952162">
        <w:rPr>
          <w:rFonts w:eastAsia="Times New Roman"/>
          <w:b/>
          <w:i/>
          <w:lang w:val="bg-BG"/>
        </w:rPr>
        <w:t xml:space="preserve"> и ефективни</w:t>
      </w:r>
      <w:r w:rsidRPr="00952162">
        <w:rPr>
          <w:rFonts w:eastAsia="Times New Roman"/>
          <w:lang w:val="bg-BG"/>
        </w:rPr>
        <w:t xml:space="preserve"> мерки, за да гарантират, че предоставят на пазара на Съюза само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са в съответствие с настоящия регламент. Необходимо е да се предвиди ясно и пропорционално разпределение на задълженията, което отговаря на ролята на всеки икономически оператор във веригата на доставка и разпространение.</w:t>
      </w:r>
      <w:r w:rsidR="008A6BB8">
        <w:rPr>
          <w:rFonts w:eastAsia="Times New Roman"/>
          <w:b/>
          <w:lang w:val="bg-BG"/>
        </w:rPr>
        <w:t xml:space="preserve"> [Изм. 5]</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(15)</w:t>
      </w:r>
      <w:r w:rsidRPr="00952162">
        <w:rPr>
          <w:rFonts w:eastAsia="Times New Roman"/>
          <w:lang w:val="bg-BG"/>
        </w:rPr>
        <w:tab/>
        <w:t xml:space="preserve">За да се даде възможност на икономическите оператори да докажат, а на компетентните органи да проверят дали предоставените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отговарят на изискванията на настоящия регламент, е необходимо да се предвидят процедури за оценяване на съответствието. С Решение № 768/2008/ЕО се определят модули за процедури за оценяване на съответствието, от най-малко ограничителния до модула с най-строги изисквания, съобразно степента на риска и необходимото ниво на безопасност. За да се осигури </w:t>
      </w:r>
      <w:proofErr w:type="spellStart"/>
      <w:r w:rsidRPr="00952162">
        <w:rPr>
          <w:rFonts w:eastAsia="Times New Roman"/>
          <w:lang w:val="bg-BG"/>
        </w:rPr>
        <w:t>междусекторна</w:t>
      </w:r>
      <w:proofErr w:type="spellEnd"/>
      <w:r w:rsidRPr="00952162">
        <w:rPr>
          <w:rFonts w:eastAsia="Times New Roman"/>
          <w:lang w:val="bg-BG"/>
        </w:rPr>
        <w:t xml:space="preserve"> съгласуваност и да се избегнат </w:t>
      </w:r>
      <w:proofErr w:type="spellStart"/>
      <w:r w:rsidRPr="00952162">
        <w:rPr>
          <w:rFonts w:eastAsia="Times New Roman"/>
          <w:lang w:val="bg-BG"/>
        </w:rPr>
        <w:t>ad</w:t>
      </w:r>
      <w:proofErr w:type="spellEnd"/>
      <w:r w:rsidRPr="00952162">
        <w:rPr>
          <w:rFonts w:eastAsia="Times New Roman"/>
          <w:lang w:val="bg-BG"/>
        </w:rPr>
        <w:t xml:space="preserve"> </w:t>
      </w:r>
      <w:proofErr w:type="spellStart"/>
      <w:r w:rsidRPr="00952162">
        <w:rPr>
          <w:rFonts w:eastAsia="Times New Roman"/>
          <w:lang w:val="bg-BG"/>
        </w:rPr>
        <w:t>hoc</w:t>
      </w:r>
      <w:proofErr w:type="spellEnd"/>
      <w:r w:rsidRPr="00952162">
        <w:rPr>
          <w:rFonts w:eastAsia="Times New Roman"/>
          <w:lang w:val="bg-BG"/>
        </w:rPr>
        <w:t xml:space="preserve"> варианти, в Решение № 768/2008/ЕО е посочено, че процедурите за оценяване на съответствието следва да бъдат избирани измежду тези модули.</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(15a)</w:t>
      </w:r>
      <w:r w:rsidRPr="00952162">
        <w:rPr>
          <w:rFonts w:eastAsia="Times New Roman"/>
          <w:lang w:val="bg-BG"/>
        </w:rPr>
        <w:tab/>
      </w:r>
      <w:r w:rsidRPr="00952162">
        <w:rPr>
          <w:rFonts w:eastAsia="Times New Roman"/>
          <w:b/>
          <w:i/>
          <w:lang w:val="bg-BG"/>
        </w:rPr>
        <w:t xml:space="preserve">Производителите следва да съхраняват техническата документация, продуктовия паспорт и когато е приложимо, цифровия етикет за период от 10 години след датата, на която на пазара е пуснат последният артикул от партида или модел </w:t>
      </w:r>
      <w:proofErr w:type="spellStart"/>
      <w:r w:rsidRPr="00952162">
        <w:rPr>
          <w:rFonts w:eastAsia="Times New Roman"/>
          <w:b/>
          <w:i/>
          <w:lang w:val="bg-BG"/>
        </w:rPr>
        <w:t>детергент</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повърхностноактивно</w:t>
      </w:r>
      <w:proofErr w:type="spellEnd"/>
      <w:r w:rsidRPr="00952162">
        <w:rPr>
          <w:rFonts w:eastAsia="Times New Roman"/>
          <w:b/>
          <w:i/>
          <w:lang w:val="bg-BG"/>
        </w:rPr>
        <w:t xml:space="preserve"> вещество, обхванати от тази документация, продуктов паспорт или цифров етикет.</w:t>
      </w:r>
      <w:r w:rsidR="008A6BB8">
        <w:rPr>
          <w:rFonts w:eastAsia="Times New Roman"/>
          <w:b/>
          <w:lang w:val="bg-BG"/>
        </w:rPr>
        <w:t xml:space="preserve"> [Изм. 6]</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(16)</w:t>
      </w:r>
      <w:r w:rsidRPr="00952162">
        <w:rPr>
          <w:rFonts w:eastAsia="Times New Roman"/>
          <w:lang w:val="bg-BG"/>
        </w:rPr>
        <w:tab/>
        <w:t xml:space="preserve">Тъй като има подробни познания за процеса на проектиране и производство, производителят е в най-добра позиция да осигури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изискванията на настоящия регламент. Поради това производителите следва да носят цялата отговорност за провеждането на процедурата за оценяване на съответствието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За оценяването на съответствието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следва да бъде приложим модул А. Производителите следва също така да съставят техническо досие, с което се доказва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със съответните правила и методи за изпитване.</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(17)</w:t>
      </w:r>
      <w:r w:rsidRPr="00952162">
        <w:rPr>
          <w:rFonts w:eastAsia="Times New Roman"/>
          <w:lang w:val="bg-BG"/>
        </w:rPr>
        <w:tab/>
        <w:t>За да се улесни изпълняването на задълженията на производителите съгласно настоящия регламент, на производителите, установени в Съюза, следва да бъде разрешено да определят упълномощен представител, който да изпълнява конкретни задачи от тяхно име</w:t>
      </w:r>
      <w:r w:rsidRPr="00952162">
        <w:rPr>
          <w:rFonts w:eastAsia="Times New Roman"/>
          <w:b/>
          <w:i/>
          <w:lang w:val="bg-BG"/>
        </w:rPr>
        <w:t>. Това определяне на представител следва да бъде валидно само при писмено съгласие от страна на упълномощения представител</w:t>
      </w:r>
      <w:r w:rsidRPr="00952162">
        <w:rPr>
          <w:rFonts w:eastAsia="Times New Roman"/>
          <w:lang w:val="bg-BG"/>
        </w:rPr>
        <w:t xml:space="preserve">. Освен това, за да се осигури ясно и пропорционално разпределение на отговорностите между производителя и упълномощения представител, е необходимо да се определи списък със задачи, които производителите следва да имат право да възлагат на упълномощения представител. Освен това, за да се гарантират възможността за прилагане и ефективността на изискванията за надзор на пазара, както и че на пазара на Съюза се пускат само отговарящи на изискванията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назначаването на упълномощен представител следва да бъде задължително, когато производителят е установен извън Съюза.</w:t>
      </w:r>
      <w:r w:rsidR="008A6BB8">
        <w:rPr>
          <w:rFonts w:eastAsia="Times New Roman"/>
          <w:b/>
          <w:lang w:val="bg-BG"/>
        </w:rPr>
        <w:t xml:space="preserve"> [Изм. 7]</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(18)</w:t>
      </w:r>
      <w:r w:rsidRPr="00952162">
        <w:rPr>
          <w:rFonts w:eastAsia="Times New Roman"/>
          <w:lang w:val="bg-BG"/>
        </w:rPr>
        <w:tab/>
        <w:t xml:space="preserve">С цел да се улесни комуникацията между икономическите оператори, органите за надзор на пазара и потребителите, икономическите оператори следва да посочат като част от своите данни за контакт </w:t>
      </w:r>
      <w:r w:rsidRPr="00952162">
        <w:rPr>
          <w:rFonts w:eastAsia="Times New Roman"/>
          <w:strike/>
          <w:lang w:val="bg-BG"/>
        </w:rPr>
        <w:t xml:space="preserve">адрес на </w:t>
      </w:r>
      <w:proofErr w:type="spellStart"/>
      <w:r w:rsidRPr="00952162">
        <w:rPr>
          <w:rFonts w:eastAsia="Times New Roman"/>
          <w:strike/>
          <w:lang w:val="bg-BG"/>
        </w:rPr>
        <w:t>уебсайт</w:t>
      </w:r>
      <w:r w:rsidRPr="00952162">
        <w:rPr>
          <w:rFonts w:eastAsia="Times New Roman"/>
          <w:b/>
          <w:i/>
          <w:lang w:val="bg-BG"/>
        </w:rPr>
        <w:t>телефонен</w:t>
      </w:r>
      <w:proofErr w:type="spellEnd"/>
      <w:r w:rsidRPr="00952162">
        <w:rPr>
          <w:rFonts w:eastAsia="Times New Roman"/>
          <w:b/>
          <w:i/>
          <w:lang w:val="bg-BG"/>
        </w:rPr>
        <w:t xml:space="preserve"> номер</w:t>
      </w:r>
      <w:r w:rsidRPr="00952162">
        <w:rPr>
          <w:rFonts w:eastAsia="Times New Roman"/>
          <w:lang w:val="bg-BG"/>
        </w:rPr>
        <w:t xml:space="preserve"> в допълнение към пощенския </w:t>
      </w:r>
      <w:r w:rsidRPr="00952162">
        <w:rPr>
          <w:rFonts w:eastAsia="Times New Roman"/>
          <w:b/>
          <w:i/>
          <w:lang w:val="bg-BG"/>
        </w:rPr>
        <w:t xml:space="preserve">и електронния </w:t>
      </w:r>
      <w:r w:rsidRPr="00952162">
        <w:rPr>
          <w:rFonts w:eastAsia="Times New Roman"/>
          <w:lang w:val="bg-BG"/>
        </w:rPr>
        <w:t>адрес.</w:t>
      </w:r>
      <w:r w:rsidR="008A6BB8">
        <w:rPr>
          <w:rFonts w:eastAsia="Times New Roman"/>
          <w:b/>
          <w:lang w:val="bg-BG"/>
        </w:rPr>
        <w:t xml:space="preserve"> [Изм. 8]</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(19)</w:t>
      </w:r>
      <w:r w:rsidRPr="00952162">
        <w:rPr>
          <w:rFonts w:eastAsia="Times New Roman"/>
          <w:lang w:val="bg-BG"/>
        </w:rPr>
        <w:tab/>
        <w:t xml:space="preserve">За да се гарантират функционирането на вътрешния пазар и постигането на целта за осигуряване на високо ниво на защита на здравето и на опазване на околната среда, е необходимо да се установи, че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от трети държави, въвеждани на пазара на Съюза, също отговарят на настоящия регламент. По-специално е необходимо да се гарантира, че производителите са провели подходящи процедури за оценяване на съответствието по отношение на тези продукти. Необходимо е също така да се определят правила за вносителите, за да се гарантира, че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те пускат на пазара, отговарят на тези изисквания, както и че документацията, изготвена от производителите, </w:t>
      </w:r>
      <w:r w:rsidRPr="00952162">
        <w:rPr>
          <w:rFonts w:eastAsia="Times New Roman"/>
          <w:strike/>
          <w:lang w:val="bg-BG"/>
        </w:rPr>
        <w:t xml:space="preserve">и, когато е уместно, маркировката „CE“ </w:t>
      </w:r>
      <w:proofErr w:type="spellStart"/>
      <w:r w:rsidRPr="00952162">
        <w:rPr>
          <w:rFonts w:eastAsia="Times New Roman"/>
          <w:strike/>
          <w:lang w:val="bg-BG"/>
        </w:rPr>
        <w:t>са</w:t>
      </w:r>
      <w:r w:rsidRPr="00952162">
        <w:rPr>
          <w:rFonts w:eastAsia="Times New Roman"/>
          <w:b/>
          <w:i/>
          <w:lang w:val="bg-BG"/>
        </w:rPr>
        <w:t>е</w:t>
      </w:r>
      <w:proofErr w:type="spellEnd"/>
      <w:r w:rsidRPr="00952162">
        <w:rPr>
          <w:rFonts w:eastAsia="Times New Roman"/>
          <w:lang w:val="bg-BG"/>
        </w:rPr>
        <w:t xml:space="preserve"> на разположение за проверка от компетентните национални органи. Следва също така да се предвиди вносителите да гарантират, че за тези продукти е налице продуктов паспорт.</w:t>
      </w:r>
      <w:r w:rsidR="008A6BB8">
        <w:rPr>
          <w:rFonts w:eastAsia="Times New Roman"/>
          <w:b/>
          <w:lang w:val="bg-BG"/>
        </w:rPr>
        <w:t xml:space="preserve"> [Изм. 9]</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(20)</w:t>
      </w:r>
      <w:r w:rsidRPr="00952162">
        <w:rPr>
          <w:rFonts w:eastAsia="Times New Roman"/>
          <w:lang w:val="bg-BG"/>
        </w:rPr>
        <w:tab/>
        <w:t xml:space="preserve">Тъй като вносителите играят ключова роля за гарантирането на съответствието на внесените на пазара на Съюза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когато пускат на пазара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те следва да посочат върху продукта своето име, регистрирано търговско наименование или регистрирана търговска марка, както и своя пощенски </w:t>
      </w:r>
      <w:r w:rsidRPr="00952162">
        <w:rPr>
          <w:rFonts w:eastAsia="Times New Roman"/>
          <w:b/>
          <w:i/>
          <w:lang w:val="bg-BG"/>
        </w:rPr>
        <w:t xml:space="preserve">и електронен </w:t>
      </w:r>
      <w:r w:rsidRPr="00952162">
        <w:rPr>
          <w:rFonts w:eastAsia="Times New Roman"/>
          <w:lang w:val="bg-BG"/>
        </w:rPr>
        <w:t>адрес и</w:t>
      </w:r>
      <w:r w:rsidRPr="00952162">
        <w:rPr>
          <w:rFonts w:eastAsia="Times New Roman"/>
          <w:strike/>
          <w:lang w:val="bg-BG"/>
        </w:rPr>
        <w:t>, когато има такива, електронните средства за комуникация</w:t>
      </w:r>
      <w:r w:rsidRPr="00952162">
        <w:rPr>
          <w:rFonts w:eastAsia="Times New Roman"/>
          <w:b/>
          <w:i/>
          <w:lang w:val="bg-BG"/>
        </w:rPr>
        <w:t xml:space="preserve"> телефонен номер</w:t>
      </w:r>
      <w:r w:rsidRPr="00952162">
        <w:rPr>
          <w:rFonts w:eastAsia="Times New Roman"/>
          <w:lang w:val="bg-BG"/>
        </w:rPr>
        <w:t>, чрез които може да се осъществи връзка с тях.</w:t>
      </w:r>
      <w:r w:rsidR="008A6BB8">
        <w:rPr>
          <w:rFonts w:eastAsia="Times New Roman"/>
          <w:b/>
          <w:lang w:val="bg-BG"/>
        </w:rPr>
        <w:t xml:space="preserve"> [Изм. 10]</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(21)</w:t>
      </w:r>
      <w:r w:rsidRPr="00952162">
        <w:rPr>
          <w:rFonts w:eastAsia="Times New Roman"/>
          <w:lang w:val="bg-BG"/>
        </w:rPr>
        <w:tab/>
        <w:t xml:space="preserve">Тъй като дистрибуторът предоставя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на пазара, след като те са били пуснати там от производителя или вносителя, дистрибуторът следва да действа с дължимата грижа по отношение на приложимите изисквания. Дистрибуторът следва също така да гарантира, че боравенето му с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не се отразява неблагоприятно на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изискванията на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(22)</w:t>
      </w:r>
      <w:r w:rsidRPr="00952162">
        <w:rPr>
          <w:rFonts w:eastAsia="Times New Roman"/>
          <w:lang w:val="bg-BG"/>
        </w:rPr>
        <w:tab/>
        <w:t xml:space="preserve">Тъй като дистрибуторите и вносителите са близо до пазара и играят важна роля за гарантиране на съответствието на продуктите, те следва да бъдат включени в изпълнението на задачите по надзор на пазара, осъществявани от компетентните национални органи, и да бъдат готови да участват активно, като предоставят на тези органи цялата необходима информация, свързана със съответния </w:t>
      </w:r>
      <w:proofErr w:type="spellStart"/>
      <w:r w:rsidRPr="00952162">
        <w:rPr>
          <w:rFonts w:eastAsia="Times New Roman"/>
          <w:lang w:val="bg-BG"/>
        </w:rPr>
        <w:t>детергент</w:t>
      </w:r>
      <w:proofErr w:type="spellEnd"/>
      <w:r w:rsidRPr="00952162">
        <w:rPr>
          <w:rFonts w:eastAsia="Times New Roman"/>
          <w:lang w:val="bg-BG"/>
        </w:rPr>
        <w:t xml:space="preserve"> или съответното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(23)</w:t>
      </w:r>
      <w:r w:rsidRPr="00952162">
        <w:rPr>
          <w:rFonts w:eastAsia="Times New Roman"/>
          <w:lang w:val="bg-BG"/>
        </w:rPr>
        <w:tab/>
        <w:t xml:space="preserve">Икономически оператори, които пускат на пазара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със своето наименование или търговска марка или изменят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по начин, който може да засегне съответствието с настоящия регламент, следва да бъдат смятани за производители и следва да поемат задълженията на производителите. В други случаи икономическите оператори, които само опаковат или </w:t>
      </w:r>
      <w:proofErr w:type="spellStart"/>
      <w:r w:rsidRPr="00952162">
        <w:rPr>
          <w:rFonts w:eastAsia="Times New Roman"/>
          <w:lang w:val="bg-BG"/>
        </w:rPr>
        <w:t>преопаковат</w:t>
      </w:r>
      <w:proofErr w:type="spellEnd"/>
      <w:r w:rsidRPr="00952162">
        <w:rPr>
          <w:rFonts w:eastAsia="Times New Roman"/>
          <w:lang w:val="bg-BG"/>
        </w:rPr>
        <w:t xml:space="preserve">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които вече са пуснати на пазара от други икономически оператори, следва да могат да докажат, че спазването на изискванията на настоящия регламент не е засегнато, като посочат самоличността си на опаковката и запазят копие от оригиналната информация върху етикета.</w:t>
      </w:r>
    </w:p>
    <w:p w:rsidR="00B16614" w:rsidRDefault="00B16614">
      <w:pPr>
        <w:jc w:val="left"/>
        <w:rPr>
          <w:rFonts w:eastAsia="Times New Roman"/>
          <w:strike/>
          <w:lang w:val="bg-BG"/>
        </w:rPr>
      </w:pPr>
      <w:r>
        <w:rPr>
          <w:rFonts w:eastAsia="Times New Roman"/>
          <w:strike/>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strike/>
          <w:lang w:val="bg-BG"/>
        </w:rPr>
        <w:lastRenderedPageBreak/>
        <w:t>(24)</w:t>
      </w:r>
      <w:r w:rsidRPr="00952162">
        <w:rPr>
          <w:rFonts w:eastAsia="Times New Roman"/>
          <w:lang w:val="bg-BG"/>
        </w:rPr>
        <w:tab/>
      </w:r>
      <w:r w:rsidRPr="00952162">
        <w:rPr>
          <w:rFonts w:eastAsia="Times New Roman"/>
          <w:strike/>
          <w:lang w:val="bg-BG"/>
        </w:rPr>
        <w:t xml:space="preserve">Маркировката „CE“, указваща съответствието на </w:t>
      </w:r>
      <w:proofErr w:type="spellStart"/>
      <w:r w:rsidRPr="00952162">
        <w:rPr>
          <w:rFonts w:eastAsia="Times New Roman"/>
          <w:strike/>
          <w:lang w:val="bg-BG"/>
        </w:rPr>
        <w:t>детергента</w:t>
      </w:r>
      <w:proofErr w:type="spellEnd"/>
      <w:r w:rsidRPr="00952162">
        <w:rPr>
          <w:rFonts w:eastAsia="Times New Roman"/>
          <w:strike/>
          <w:lang w:val="bg-BG"/>
        </w:rPr>
        <w:t xml:space="preserve"> с настоящия регламент, е видимата последица от цялостен процес, включващ оценяване на съответствието в широк смисъл. В Регламент (ЕО) № 765/2008 на Европейския парламент и на Съвета</w:t>
      </w:r>
      <w:r w:rsidRPr="00952162">
        <w:rPr>
          <w:rFonts w:eastAsia="Times New Roman"/>
          <w:vertAlign w:val="superscript"/>
          <w:lang w:val="bg-BG"/>
        </w:rPr>
        <w:footnoteReference w:id="11"/>
      </w:r>
      <w:r w:rsidRPr="00952162">
        <w:rPr>
          <w:rFonts w:eastAsia="Times New Roman"/>
          <w:strike/>
          <w:lang w:val="bg-BG"/>
        </w:rPr>
        <w:t xml:space="preserve"> са установени основните принципи относно маркировката „СЕ“. Посоченият регламент следва да се прилага за </w:t>
      </w:r>
      <w:proofErr w:type="spellStart"/>
      <w:r w:rsidRPr="00952162">
        <w:rPr>
          <w:rFonts w:eastAsia="Times New Roman"/>
          <w:strike/>
          <w:lang w:val="bg-BG"/>
        </w:rPr>
        <w:t>детергентите</w:t>
      </w:r>
      <w:proofErr w:type="spellEnd"/>
      <w:r w:rsidRPr="00952162">
        <w:rPr>
          <w:rFonts w:eastAsia="Times New Roman"/>
          <w:strike/>
          <w:lang w:val="bg-BG"/>
        </w:rPr>
        <w:t>, обхванати от настоящия регламент, за да се гарантира, че продуктите, за които е осигурено свободно движение на стоки в рамките на Съюза, отговарят на изискванията, осигуряващи високо равнище на защита на обществените интереси, като например здравето и околната среда. В съответствие с Регламент (ЕО) № 765/2008 маркировката „СЕ“ следва да бъде единствената маркировка за съответствие, указваща, че продуктът е в съответствие със законодателството на Съюза за хармонизация.</w:t>
      </w:r>
      <w:r w:rsidR="008A6BB8" w:rsidRPr="008A6BB8">
        <w:rPr>
          <w:rFonts w:eastAsia="Times New Roman"/>
          <w:b/>
          <w:lang w:val="bg-BG"/>
        </w:rPr>
        <w:t xml:space="preserve"> [Изм. 11]</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(25)</w:t>
      </w:r>
      <w:r w:rsidRPr="00952162">
        <w:rPr>
          <w:rFonts w:eastAsia="Times New Roman"/>
          <w:lang w:val="bg-BG"/>
        </w:rPr>
        <w:tab/>
        <w:t>За да се гарантира високо ниво на защита на здравето</w:t>
      </w:r>
      <w:r w:rsidRPr="00952162">
        <w:rPr>
          <w:rFonts w:eastAsia="Times New Roman"/>
          <w:strike/>
          <w:lang w:val="bg-BG"/>
        </w:rPr>
        <w:t xml:space="preserve"> на човека</w:t>
      </w:r>
      <w:r w:rsidRPr="00952162">
        <w:rPr>
          <w:rFonts w:eastAsia="Times New Roman"/>
          <w:lang w:val="bg-BG"/>
        </w:rPr>
        <w:t xml:space="preserve">, от производителите следва да се изисква да предоставят информационен фиш за съставките за неопасните </w:t>
      </w:r>
      <w:proofErr w:type="spellStart"/>
      <w:r w:rsidRPr="00952162">
        <w:rPr>
          <w:rFonts w:eastAsia="Times New Roman"/>
          <w:lang w:val="bg-BG"/>
        </w:rPr>
        <w:t>детергенти</w:t>
      </w:r>
      <w:proofErr w:type="spellEnd"/>
      <w:r w:rsidRPr="00952162">
        <w:rPr>
          <w:rFonts w:eastAsia="Times New Roman"/>
          <w:lang w:val="bg-BG"/>
        </w:rPr>
        <w:t>. За да се оптимизира ефективността на съответните изисквания и с оглед на системата, свързана със спешни действия от здравен характер, която вече е създадена съгласно Регламент (ЕО) № 1272/2008, производителите следва да поддържат тази информация на разположение на токсикологичните центрове</w:t>
      </w:r>
      <w:r w:rsidRPr="00952162">
        <w:rPr>
          <w:rFonts w:eastAsia="Times New Roman"/>
          <w:strike/>
          <w:lang w:val="bg-BG"/>
        </w:rPr>
        <w:t xml:space="preserve"> при поискване</w:t>
      </w:r>
      <w:r w:rsidRPr="00952162">
        <w:rPr>
          <w:rFonts w:eastAsia="Times New Roman"/>
          <w:lang w:val="bg-BG"/>
        </w:rPr>
        <w:t>.</w:t>
      </w:r>
      <w:r w:rsidR="008A6BB8">
        <w:rPr>
          <w:rFonts w:eastAsia="Times New Roman"/>
          <w:b/>
          <w:lang w:val="bg-BG"/>
        </w:rPr>
        <w:t xml:space="preserve"> [Изм. 12]</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(26)</w:t>
      </w:r>
      <w:r w:rsidRPr="00952162">
        <w:rPr>
          <w:rFonts w:eastAsia="Times New Roman"/>
          <w:lang w:val="bg-BG"/>
        </w:rPr>
        <w:tab/>
        <w:t>На етикетите се съобщава на потребителите важна информация за употребата</w:t>
      </w:r>
      <w:r w:rsidRPr="00952162">
        <w:rPr>
          <w:rFonts w:eastAsia="Times New Roman"/>
          <w:b/>
          <w:i/>
          <w:lang w:val="bg-BG"/>
        </w:rPr>
        <w:t>, здравето</w:t>
      </w:r>
      <w:r w:rsidRPr="00952162">
        <w:rPr>
          <w:rFonts w:eastAsia="Times New Roman"/>
          <w:lang w:val="bg-BG"/>
        </w:rPr>
        <w:t xml:space="preserve"> и безопасността, като например наличието на кожни или респираторни сенсибилизатори (напр. аромати, консерванти или ензими, които могат да предизвикат алергия) в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Чрез предоставяне на информация за съдържанието на тези вещества върху етикетите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е възможно потребителите с алергии или предразположени към алергии да направят информиран избор и по този начин се намаляват потенциалните реакции, свързани с употребата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Следователно е необходимо да се установят изисквания за етикетиране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w:t>
      </w:r>
      <w:r w:rsidR="008A6BB8">
        <w:rPr>
          <w:rFonts w:eastAsia="Times New Roman"/>
          <w:b/>
          <w:lang w:val="bg-BG"/>
        </w:rPr>
        <w:t xml:space="preserve"> [Изм. 13]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(27)</w:t>
      </w:r>
      <w:r w:rsidRPr="00952162">
        <w:rPr>
          <w:rFonts w:eastAsia="Times New Roman"/>
          <w:lang w:val="bg-BG"/>
        </w:rPr>
        <w:tab/>
        <w:t xml:space="preserve">Тъй като етикетирането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може да попада в обхвата на множество законодателни актове на Съюза, информацията върху етикетите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трябва да бъде рационализирана, така че когато върху етикетите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изисква подобна информация, произтичаща от различни законодателни актове на Съюза, тази информация да се предоставя само веднъж в съответствие с по-строгите правила. Това, от една страна, ще подобри възможността за четене и разбиране на етикетите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от крайните ползватели, а от друга ще намали регулаторната тежест за производителите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(28)</w:t>
      </w:r>
      <w:r w:rsidRPr="00952162">
        <w:rPr>
          <w:rFonts w:eastAsia="Times New Roman"/>
          <w:lang w:val="bg-BG"/>
        </w:rPr>
        <w:tab/>
        <w:t xml:space="preserve">Ароматизиращите вещества са органични съединения с характерни, обикновено приятни миризми, които се използват широко в </w:t>
      </w:r>
      <w:proofErr w:type="spellStart"/>
      <w:r w:rsidRPr="00952162">
        <w:rPr>
          <w:rFonts w:eastAsia="Times New Roman"/>
          <w:lang w:val="bg-BG"/>
        </w:rPr>
        <w:t>детергентите</w:t>
      </w:r>
      <w:proofErr w:type="spellEnd"/>
      <w:r w:rsidRPr="00952162">
        <w:rPr>
          <w:rFonts w:eastAsia="Times New Roman"/>
          <w:lang w:val="bg-BG"/>
        </w:rPr>
        <w:t xml:space="preserve">, но също и в много други продукти като парфюми и други парфюмирани козметични продукти. Тези вещества могат да причинят алергична реакция при контакт, особено при чувствителни лица, дори когато се съдържат в ниски концентрации. Следователно е важно да се предостави информация за наличието в </w:t>
      </w:r>
      <w:proofErr w:type="spellStart"/>
      <w:r w:rsidRPr="00952162">
        <w:rPr>
          <w:rFonts w:eastAsia="Times New Roman"/>
          <w:lang w:val="bg-BG"/>
        </w:rPr>
        <w:t>детергентите</w:t>
      </w:r>
      <w:proofErr w:type="spellEnd"/>
      <w:r w:rsidRPr="00952162">
        <w:rPr>
          <w:rFonts w:eastAsia="Times New Roman"/>
          <w:lang w:val="bg-BG"/>
        </w:rPr>
        <w:t xml:space="preserve"> на индивидуални аромати, които могат да предизвикат алергия, така че чувствителните лица да могат да избегнат контакт с веществото, към което са алергични. Поради това е необходимо да се определят строги изисквания за етикетирането на ароматите, които могат да предизвикат алергия. Наличието на такива вещества обаче би могло също така да породи необходимост от прилагане на изисквания за етикетиране съгласно Регламент (ЕО) № 1272/2008. Поради това следва да се установят специфични изисквания за етикетиране, които да се прилагат само когато не са изпълнени праговете за етикетиране съгласно Регламент (ЕО) № 1272/2008. Това не само ще предотврати ненужната тежест за икономическите оператори, но също така ще гарантира, че крайните ползватели ще получат тази информация, представена по ясен начин, като по този начин ще се осигури високо ниво на защита на здравето на човека дори за чувствителните лица.</w:t>
      </w:r>
      <w:r w:rsidRPr="00952162">
        <w:rPr>
          <w:rFonts w:eastAsia="Times New Roman"/>
          <w:b/>
          <w:i/>
          <w:lang w:val="bg-BG"/>
        </w:rPr>
        <w:t xml:space="preserve"> По отношение на новите изисквания за етикетиране, установени с делегирани актове, следва да се прилагат подходящи преходни периоди.</w:t>
      </w:r>
      <w:r w:rsidR="008A6BB8">
        <w:rPr>
          <w:rFonts w:eastAsia="Times New Roman"/>
          <w:b/>
          <w:lang w:val="bg-BG"/>
        </w:rPr>
        <w:t xml:space="preserve"> [Изм. 14]</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(29)</w:t>
      </w:r>
      <w:r w:rsidRPr="00952162">
        <w:rPr>
          <w:rFonts w:eastAsia="Times New Roman"/>
          <w:lang w:val="bg-BG"/>
        </w:rPr>
        <w:tab/>
        <w:t xml:space="preserve">Необходими са допълнителни изисквания за етикетиране за определени вещества, като например консерванти, за да се гарантира високо ниво на защита на здравето. Поради това изискванията за етикетиране на консервантите следва да обхващат не само тези консерванти, които са преднамерено добавени от производителя в </w:t>
      </w:r>
      <w:proofErr w:type="spellStart"/>
      <w:r w:rsidRPr="00952162">
        <w:rPr>
          <w:rFonts w:eastAsia="Times New Roman"/>
          <w:lang w:val="bg-BG"/>
        </w:rPr>
        <w:t>детергента</w:t>
      </w:r>
      <w:proofErr w:type="spellEnd"/>
      <w:r w:rsidRPr="00952162">
        <w:rPr>
          <w:rFonts w:eastAsia="Times New Roman"/>
          <w:lang w:val="bg-BG"/>
        </w:rPr>
        <w:t xml:space="preserve">, но и тези, които произтичат от смесите в състава на </w:t>
      </w:r>
      <w:proofErr w:type="spellStart"/>
      <w:r w:rsidRPr="00952162">
        <w:rPr>
          <w:rFonts w:eastAsia="Times New Roman"/>
          <w:lang w:val="bg-BG"/>
        </w:rPr>
        <w:t>детергента</w:t>
      </w:r>
      <w:proofErr w:type="spellEnd"/>
      <w:r w:rsidRPr="00952162">
        <w:rPr>
          <w:rFonts w:eastAsia="Times New Roman"/>
          <w:lang w:val="bg-BG"/>
        </w:rPr>
        <w:t xml:space="preserve"> и които често се наричат „пренесени консерванти“.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(30)</w:t>
      </w:r>
      <w:r w:rsidRPr="00952162">
        <w:rPr>
          <w:rFonts w:eastAsia="Times New Roman"/>
          <w:lang w:val="bg-BG"/>
        </w:rPr>
        <w:tab/>
        <w:t xml:space="preserve">Върху етикета на потребителските перилни </w:t>
      </w:r>
      <w:proofErr w:type="spellStart"/>
      <w:r w:rsidRPr="00952162">
        <w:rPr>
          <w:rFonts w:eastAsia="Times New Roman"/>
          <w:lang w:val="bg-BG"/>
        </w:rPr>
        <w:t>детергенти</w:t>
      </w:r>
      <w:proofErr w:type="spellEnd"/>
      <w:r w:rsidRPr="00952162">
        <w:rPr>
          <w:rFonts w:eastAsia="Times New Roman"/>
          <w:lang w:val="bg-BG"/>
        </w:rPr>
        <w:t xml:space="preserve"> и потребителските </w:t>
      </w:r>
      <w:proofErr w:type="spellStart"/>
      <w:r w:rsidRPr="00952162">
        <w:rPr>
          <w:rFonts w:eastAsia="Times New Roman"/>
          <w:lang w:val="bg-BG"/>
        </w:rPr>
        <w:t>детергенти</w:t>
      </w:r>
      <w:proofErr w:type="spellEnd"/>
      <w:r w:rsidRPr="00952162">
        <w:rPr>
          <w:rFonts w:eastAsia="Times New Roman"/>
          <w:lang w:val="bg-BG"/>
        </w:rPr>
        <w:t xml:space="preserve"> за автоматични съдомиялни машини следва да бъде включена информация за правилното количество </w:t>
      </w:r>
      <w:proofErr w:type="spellStart"/>
      <w:r w:rsidRPr="00952162">
        <w:rPr>
          <w:rFonts w:eastAsia="Times New Roman"/>
          <w:lang w:val="bg-BG"/>
        </w:rPr>
        <w:t>детергент</w:t>
      </w:r>
      <w:proofErr w:type="spellEnd"/>
      <w:r w:rsidRPr="00952162">
        <w:rPr>
          <w:rFonts w:eastAsia="Times New Roman"/>
          <w:lang w:val="bg-BG"/>
        </w:rPr>
        <w:t xml:space="preserve">, което потребителите трябва да използват, когато извършват почистващи дейности, и по-специално информация за дозировката, за да се предотврати потенциалната прекомерна употреба на </w:t>
      </w:r>
      <w:proofErr w:type="spellStart"/>
      <w:r w:rsidRPr="00952162">
        <w:rPr>
          <w:rFonts w:eastAsia="Times New Roman"/>
          <w:lang w:val="bg-BG"/>
        </w:rPr>
        <w:t>детергенти</w:t>
      </w:r>
      <w:proofErr w:type="spellEnd"/>
      <w:r w:rsidRPr="00952162">
        <w:rPr>
          <w:rFonts w:eastAsia="Times New Roman"/>
          <w:lang w:val="bg-BG"/>
        </w:rPr>
        <w:t xml:space="preserve">, като по този начин се намали общото количество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постъпващо в околната среда.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(31)</w:t>
      </w:r>
      <w:r w:rsidRPr="00952162">
        <w:rPr>
          <w:rFonts w:eastAsia="Times New Roman"/>
          <w:lang w:val="bg-BG"/>
        </w:rPr>
        <w:tab/>
        <w:t xml:space="preserve">С помощта на цифровото етикетиране би могло да се усъвършенства предоставянето на информацията върху етикета както чрез избягване на включването на твърде много данни върху физическите етикети, така и чрез осигуряване на възможност за потребителите да разчитат на различни варианти за четене, достъпни само за цифровите формати, като например увеличен шрифт, автоматично търсене, прочитане на текста на глас или превод на други езици. Осигуряването на цифрово етикетиране би могло също така да доведе до по-ефективно управление на задълженията за етикетиране от страна на икономическите оператори чрез улесняване на актуализирането на информацията върху етикетите, намаляване на разходите за етикетиране и предоставяне на достъп на потребителите до по-целенасочена информация. Следователно на икономическите оператори следва да бъде разрешено да предоставят определена информация върху етикета само чрез цифровия етикет при определени условия, за да се гарантира високо ниво на защита на потребителите на </w:t>
      </w:r>
      <w:proofErr w:type="spellStart"/>
      <w:r w:rsidRPr="00952162">
        <w:rPr>
          <w:rFonts w:eastAsia="Times New Roman"/>
          <w:lang w:val="bg-BG"/>
        </w:rPr>
        <w:t>детергенти</w:t>
      </w:r>
      <w:proofErr w:type="spellEnd"/>
      <w:r w:rsidRPr="00952162">
        <w:rPr>
          <w:rFonts w:eastAsia="Times New Roman"/>
          <w:b/>
          <w:i/>
          <w:lang w:val="bg-BG"/>
        </w:rPr>
        <w:t xml:space="preserve"> и на околната среда</w:t>
      </w:r>
      <w:r w:rsidRPr="00952162">
        <w:rPr>
          <w:rFonts w:eastAsia="Times New Roman"/>
          <w:lang w:val="bg-BG"/>
        </w:rPr>
        <w:t>.</w:t>
      </w:r>
      <w:r w:rsidR="008A6BB8">
        <w:rPr>
          <w:rFonts w:eastAsia="Times New Roman"/>
          <w:b/>
          <w:lang w:val="bg-BG"/>
        </w:rPr>
        <w:t xml:space="preserve"> [Изм. 15]</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(31a)</w:t>
      </w:r>
      <w:r w:rsidRPr="00952162">
        <w:rPr>
          <w:rFonts w:eastAsia="Times New Roman"/>
          <w:lang w:val="bg-BG"/>
        </w:rPr>
        <w:tab/>
      </w:r>
      <w:r w:rsidRPr="00952162">
        <w:rPr>
          <w:rFonts w:eastAsia="Times New Roman"/>
          <w:b/>
          <w:i/>
          <w:lang w:val="bg-BG"/>
        </w:rPr>
        <w:t>Цифровото етикетиране би могло да повиши четивността, лекотата на използване и разбираемостта на етикетите от потребителите, включително уязвимите потребители и потребителите с увредено зрение.</w:t>
      </w:r>
      <w:r w:rsidR="008A6BB8">
        <w:rPr>
          <w:rFonts w:eastAsia="Times New Roman"/>
          <w:b/>
          <w:lang w:val="bg-BG"/>
        </w:rPr>
        <w:t xml:space="preserve"> [Изм. 16]</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(32)</w:t>
      </w:r>
      <w:r w:rsidRPr="00952162">
        <w:rPr>
          <w:rFonts w:eastAsia="Times New Roman"/>
          <w:lang w:val="bg-BG"/>
        </w:rPr>
        <w:tab/>
        <w:t xml:space="preserve">За да се избегне налагането на ненужна административна тежест на икономическите оператори и тъй като </w:t>
      </w:r>
      <w:r w:rsidRPr="00952162">
        <w:rPr>
          <w:rFonts w:eastAsia="Times New Roman"/>
          <w:strike/>
          <w:lang w:val="bg-BG"/>
        </w:rPr>
        <w:t xml:space="preserve">в повечето случаи </w:t>
      </w:r>
      <w:r w:rsidRPr="00952162">
        <w:rPr>
          <w:rFonts w:eastAsia="Times New Roman"/>
          <w:lang w:val="bg-BG"/>
        </w:rPr>
        <w:t>цифровият етикет</w:t>
      </w:r>
      <w:r w:rsidRPr="00952162">
        <w:rPr>
          <w:rFonts w:eastAsia="Times New Roman"/>
          <w:strike/>
          <w:lang w:val="bg-BG"/>
        </w:rPr>
        <w:t xml:space="preserve"> само</w:t>
      </w:r>
      <w:r w:rsidRPr="00952162">
        <w:rPr>
          <w:rFonts w:eastAsia="Times New Roman"/>
          <w:lang w:val="bg-BG"/>
        </w:rPr>
        <w:t xml:space="preserve"> допълва физическия, икономическите оператори следва да могат да решават дали да използват цифрови етикети или да предоставят цялата информация само върху физически етикет. Изборът дали да се предоставя цифров етикет следва да е на производителите и вносителите, които отговарят за предоставянето на точния набор от информация върху етикета.</w:t>
      </w:r>
      <w:r w:rsidR="008A6BB8">
        <w:rPr>
          <w:rFonts w:eastAsia="Times New Roman"/>
          <w:b/>
          <w:lang w:val="bg-BG"/>
        </w:rPr>
        <w:t xml:space="preserve"> [Изм. 17]</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(33)</w:t>
      </w:r>
      <w:r w:rsidRPr="00952162">
        <w:rPr>
          <w:rFonts w:eastAsia="Times New Roman"/>
          <w:lang w:val="bg-BG"/>
        </w:rPr>
        <w:tab/>
        <w:t xml:space="preserve">Цифровото етикетиране може също така да създаде предизвикателства за уязвимите групи от населението, които нямат или имат недостатъчни цифрови умения, и да доведе до задълбочаване на цифровото разделение. Поради тази причина конкретната информация, която се предоставя </w:t>
      </w:r>
      <w:r w:rsidRPr="00952162">
        <w:rPr>
          <w:rFonts w:eastAsia="Times New Roman"/>
          <w:strike/>
          <w:lang w:val="bg-BG"/>
        </w:rPr>
        <w:t xml:space="preserve">само </w:t>
      </w:r>
      <w:r w:rsidRPr="00952162">
        <w:rPr>
          <w:rFonts w:eastAsia="Times New Roman"/>
          <w:lang w:val="bg-BG"/>
        </w:rPr>
        <w:t xml:space="preserve">в цифров етикет, следва да отразява текущото състояние на цифровизацията на обществото и конкретното положение на потребителите на </w:t>
      </w:r>
      <w:proofErr w:type="spellStart"/>
      <w:r w:rsidRPr="00952162">
        <w:rPr>
          <w:rFonts w:eastAsia="Times New Roman"/>
          <w:lang w:val="bg-BG"/>
        </w:rPr>
        <w:t>детергенти</w:t>
      </w:r>
      <w:proofErr w:type="spellEnd"/>
      <w:r w:rsidRPr="00952162">
        <w:rPr>
          <w:rFonts w:eastAsia="Times New Roman"/>
          <w:b/>
          <w:i/>
          <w:lang w:val="bg-BG"/>
        </w:rPr>
        <w:t>, както и наличието на необходимата безжична и друга технологична инфраструктура, позволяваща неограничен достъп до информацията</w:t>
      </w:r>
      <w:r w:rsidRPr="00952162">
        <w:rPr>
          <w:rFonts w:eastAsia="Times New Roman"/>
          <w:lang w:val="bg-BG"/>
        </w:rPr>
        <w:t xml:space="preserve">. Освен това цялата информация върху етикета по отношение на защитата на здравето и опазването на околната среда, </w:t>
      </w:r>
      <w:r w:rsidRPr="00952162">
        <w:rPr>
          <w:rFonts w:eastAsia="Times New Roman"/>
          <w:strike/>
          <w:lang w:val="bg-BG"/>
        </w:rPr>
        <w:t xml:space="preserve">както </w:t>
      </w:r>
      <w:proofErr w:type="spellStart"/>
      <w:r w:rsidRPr="00952162">
        <w:rPr>
          <w:rFonts w:eastAsia="Times New Roman"/>
          <w:strike/>
          <w:lang w:val="bg-BG"/>
        </w:rPr>
        <w:t>и</w:t>
      </w:r>
      <w:r w:rsidRPr="00952162">
        <w:rPr>
          <w:rFonts w:eastAsia="Times New Roman"/>
          <w:b/>
          <w:i/>
          <w:lang w:val="bg-BG"/>
        </w:rPr>
        <w:t>включително</w:t>
      </w:r>
      <w:proofErr w:type="spellEnd"/>
      <w:r w:rsidRPr="00952162">
        <w:rPr>
          <w:rFonts w:eastAsia="Times New Roman"/>
          <w:lang w:val="bg-BG"/>
        </w:rPr>
        <w:t xml:space="preserve"> указанията за</w:t>
      </w:r>
      <w:r w:rsidRPr="00952162">
        <w:rPr>
          <w:rFonts w:eastAsia="Times New Roman"/>
          <w:strike/>
          <w:lang w:val="bg-BG"/>
        </w:rPr>
        <w:t xml:space="preserve"> минимална</w:t>
      </w:r>
      <w:r w:rsidRPr="00952162">
        <w:rPr>
          <w:rFonts w:eastAsia="Times New Roman"/>
          <w:lang w:val="bg-BG"/>
        </w:rPr>
        <w:t xml:space="preserve"> употреба на </w:t>
      </w:r>
      <w:proofErr w:type="spellStart"/>
      <w:r w:rsidRPr="00952162">
        <w:rPr>
          <w:rFonts w:eastAsia="Times New Roman"/>
          <w:lang w:val="bg-BG"/>
        </w:rPr>
        <w:t>детергентите</w:t>
      </w:r>
      <w:proofErr w:type="spellEnd"/>
      <w:r w:rsidRPr="00952162">
        <w:rPr>
          <w:rFonts w:eastAsia="Times New Roman"/>
          <w:lang w:val="bg-BG"/>
        </w:rPr>
        <w:t xml:space="preserve">, следва да останат върху физическия етикет, за да се даде възможност на всички крайни ползватели да направят информиран избор, преди да закупят </w:t>
      </w:r>
      <w:proofErr w:type="spellStart"/>
      <w:r w:rsidRPr="00952162">
        <w:rPr>
          <w:rFonts w:eastAsia="Times New Roman"/>
          <w:lang w:val="bg-BG"/>
        </w:rPr>
        <w:t>детергента</w:t>
      </w:r>
      <w:proofErr w:type="spellEnd"/>
      <w:r w:rsidRPr="00952162">
        <w:rPr>
          <w:rFonts w:eastAsia="Times New Roman"/>
          <w:lang w:val="bg-BG"/>
        </w:rPr>
        <w:t>, и да се гарантира безопасното боравене с него.</w:t>
      </w:r>
      <w:r w:rsidR="008A6BB8">
        <w:rPr>
          <w:rFonts w:eastAsia="Times New Roman"/>
          <w:b/>
          <w:lang w:val="bg-BG"/>
        </w:rPr>
        <w:t xml:space="preserve"> [Изм. 18]</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(34)</w:t>
      </w:r>
      <w:r w:rsidRPr="00952162">
        <w:rPr>
          <w:rFonts w:eastAsia="Times New Roman"/>
          <w:lang w:val="bg-BG"/>
        </w:rPr>
        <w:tab/>
      </w:r>
      <w:r w:rsidRPr="00952162">
        <w:rPr>
          <w:rFonts w:eastAsia="Times New Roman"/>
          <w:strike/>
          <w:lang w:val="bg-BG"/>
        </w:rPr>
        <w:t xml:space="preserve">Въпреки това следва да се направи изключение </w:t>
      </w:r>
      <w:r w:rsidRPr="00952162">
        <w:rPr>
          <w:rFonts w:eastAsia="Times New Roman"/>
          <w:lang w:val="bg-BG"/>
        </w:rPr>
        <w:t xml:space="preserve">За </w:t>
      </w:r>
      <w:proofErr w:type="spellStart"/>
      <w:r w:rsidRPr="00952162">
        <w:rPr>
          <w:rFonts w:eastAsia="Times New Roman"/>
          <w:lang w:val="bg-BG"/>
        </w:rPr>
        <w:t>детергентите</w:t>
      </w:r>
      <w:proofErr w:type="spellEnd"/>
      <w:r w:rsidRPr="00952162">
        <w:rPr>
          <w:rFonts w:eastAsia="Times New Roman"/>
          <w:lang w:val="bg-BG"/>
        </w:rPr>
        <w:t>, които се продават на крайните ползватели в съдове за многократно пълнене</w:t>
      </w:r>
      <w:r w:rsidRPr="00952162">
        <w:rPr>
          <w:rFonts w:eastAsia="Times New Roman"/>
          <w:strike/>
          <w:lang w:val="bg-BG"/>
        </w:rPr>
        <w:t>. За да се използват изцяло не само предимствата на цифровизацията, но и големите ползи за околната среда по отношение на намаляването на опаковките и свързаните с тях отпадъци от опаковки, които се предоставят от практиката на продажба на продукти в съдове за многократно пълнене</w:t>
      </w:r>
      <w:r w:rsidRPr="00952162">
        <w:rPr>
          <w:rFonts w:eastAsia="Times New Roman"/>
          <w:lang w:val="bg-BG"/>
        </w:rPr>
        <w:t xml:space="preserve">, следва да се </w:t>
      </w:r>
      <w:r w:rsidRPr="00952162">
        <w:rPr>
          <w:rFonts w:eastAsia="Times New Roman"/>
          <w:strike/>
          <w:lang w:val="bg-BG"/>
        </w:rPr>
        <w:t xml:space="preserve">разреши предоставянето в цифров вид </w:t>
      </w:r>
      <w:proofErr w:type="spellStart"/>
      <w:r w:rsidRPr="00952162">
        <w:rPr>
          <w:rFonts w:eastAsia="Times New Roman"/>
          <w:strike/>
          <w:lang w:val="bg-BG"/>
        </w:rPr>
        <w:t>на</w:t>
      </w:r>
      <w:r w:rsidRPr="00952162">
        <w:rPr>
          <w:rFonts w:eastAsia="Times New Roman"/>
          <w:b/>
          <w:i/>
          <w:lang w:val="bg-BG"/>
        </w:rPr>
        <w:t>гарантира</w:t>
      </w:r>
      <w:proofErr w:type="spellEnd"/>
      <w:r w:rsidRPr="00952162">
        <w:rPr>
          <w:rFonts w:eastAsia="Times New Roman"/>
          <w:b/>
          <w:i/>
          <w:lang w:val="bg-BG"/>
        </w:rPr>
        <w:t>, че</w:t>
      </w:r>
      <w:r w:rsidRPr="00952162">
        <w:rPr>
          <w:rFonts w:eastAsia="Times New Roman"/>
          <w:lang w:val="bg-BG"/>
        </w:rPr>
        <w:t xml:space="preserve"> цялата информация върху етикетите</w:t>
      </w:r>
      <w:r w:rsidRPr="00952162">
        <w:rPr>
          <w:rFonts w:eastAsia="Times New Roman"/>
          <w:b/>
          <w:i/>
          <w:lang w:val="bg-BG"/>
        </w:rPr>
        <w:t xml:space="preserve"> е налична в отделен етикет, който следва да бъде прикрепен към опаковката в момента на повторното пълнене. Това следва да включва</w:t>
      </w:r>
      <w:r w:rsidRPr="00952162">
        <w:rPr>
          <w:rFonts w:eastAsia="Times New Roman"/>
          <w:strike/>
          <w:lang w:val="bg-BG"/>
        </w:rPr>
        <w:t>, с изключение на</w:t>
      </w:r>
      <w:r w:rsidRPr="00952162">
        <w:rPr>
          <w:rFonts w:eastAsia="Times New Roman"/>
          <w:lang w:val="bg-BG"/>
        </w:rPr>
        <w:t xml:space="preserve"> инструкциите за дозиране на потребителските перилни препарати.</w:t>
      </w:r>
      <w:r w:rsidR="008A6BB8">
        <w:rPr>
          <w:rFonts w:eastAsia="Times New Roman"/>
          <w:b/>
          <w:lang w:val="bg-BG"/>
        </w:rPr>
        <w:t xml:space="preserve"> [Изм. 19]</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(35)</w:t>
      </w:r>
      <w:r w:rsidRPr="00952162">
        <w:rPr>
          <w:rFonts w:eastAsia="Times New Roman"/>
          <w:lang w:val="bg-BG"/>
        </w:rPr>
        <w:tab/>
        <w:t xml:space="preserve">За да се осигурят равнопоставени условия на конкуренция между икономическите оператори, предоставящи </w:t>
      </w:r>
      <w:proofErr w:type="spellStart"/>
      <w:r w:rsidRPr="00952162">
        <w:rPr>
          <w:rFonts w:eastAsia="Times New Roman"/>
          <w:lang w:val="bg-BG"/>
        </w:rPr>
        <w:t>детергенти</w:t>
      </w:r>
      <w:proofErr w:type="spellEnd"/>
      <w:r w:rsidRPr="00952162">
        <w:rPr>
          <w:rFonts w:eastAsia="Times New Roman"/>
          <w:lang w:val="bg-BG"/>
        </w:rPr>
        <w:t xml:space="preserve"> на пазара, и за да се защитят крайните ползватели, следва да се определят общи изисквания за цифровото етикетиране. Например икономическите оператори следва да осигурят безплатен и лесен достъп до цифровите етикети</w:t>
      </w:r>
      <w:r w:rsidRPr="00952162">
        <w:rPr>
          <w:rFonts w:eastAsia="Times New Roman"/>
          <w:b/>
          <w:i/>
          <w:lang w:val="bg-BG"/>
        </w:rPr>
        <w:t xml:space="preserve"> чрез най-много два бутона или щраквания</w:t>
      </w:r>
      <w:r w:rsidRPr="00952162">
        <w:rPr>
          <w:rFonts w:eastAsia="Times New Roman"/>
          <w:lang w:val="bg-BG"/>
        </w:rPr>
        <w:t>, както и отделяне на задължителната информация върху етикета, изисквана съгласно настоящия регламент, от друга информация.</w:t>
      </w:r>
      <w:r w:rsidR="008A6BB8">
        <w:rPr>
          <w:rFonts w:eastAsia="Times New Roman"/>
          <w:b/>
          <w:lang w:val="bg-BG"/>
        </w:rPr>
        <w:t xml:space="preserve"> [Изм. 20]</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(36)</w:t>
      </w:r>
      <w:r w:rsidRPr="00952162">
        <w:rPr>
          <w:rFonts w:eastAsia="Times New Roman"/>
          <w:lang w:val="bg-BG"/>
        </w:rPr>
        <w:tab/>
        <w:t>Като се има предвид настоящото развитие на цифровите умения, икономическите оператори следва също така да предоставят на крайните ползватели информацията върху етикета чрез алтернативни средства, когато ползвателите нямат достъп до цифровия етикет. Това задължение следва да бъде наложено като мярка за безопасност, за да се намалят всички потенциални рискове от липсата на информация върху етикета</w:t>
      </w:r>
      <w:r w:rsidRPr="00952162">
        <w:rPr>
          <w:rFonts w:eastAsia="Times New Roman"/>
          <w:strike/>
          <w:lang w:val="bg-BG"/>
        </w:rPr>
        <w:t xml:space="preserve">, по-специално по отношение на </w:t>
      </w:r>
      <w:proofErr w:type="spellStart"/>
      <w:r w:rsidRPr="00952162">
        <w:rPr>
          <w:rFonts w:eastAsia="Times New Roman"/>
          <w:strike/>
          <w:lang w:val="bg-BG"/>
        </w:rPr>
        <w:t>детергентите</w:t>
      </w:r>
      <w:proofErr w:type="spellEnd"/>
      <w:r w:rsidRPr="00952162">
        <w:rPr>
          <w:rFonts w:eastAsia="Times New Roman"/>
          <w:strike/>
          <w:lang w:val="bg-BG"/>
        </w:rPr>
        <w:t xml:space="preserve"> в съдове за многократно пълнене, при които цялата информация може да бъде предоставена с цифров етикет</w:t>
      </w:r>
      <w:r w:rsidRPr="00952162">
        <w:rPr>
          <w:rFonts w:eastAsia="Times New Roman"/>
          <w:lang w:val="bg-BG"/>
        </w:rPr>
        <w:t>.</w:t>
      </w:r>
      <w:r w:rsidR="008A6BB8">
        <w:rPr>
          <w:rFonts w:eastAsia="Times New Roman"/>
          <w:b/>
          <w:lang w:val="bg-BG"/>
        </w:rPr>
        <w:t xml:space="preserve"> [Изм. 21]</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(37)</w:t>
      </w:r>
      <w:r w:rsidRPr="00952162">
        <w:rPr>
          <w:rFonts w:eastAsia="Times New Roman"/>
          <w:lang w:val="bg-BG"/>
        </w:rPr>
        <w:tab/>
        <w:t xml:space="preserve">Тъй като </w:t>
      </w:r>
      <w:proofErr w:type="spellStart"/>
      <w:r w:rsidRPr="00952162">
        <w:rPr>
          <w:rFonts w:eastAsia="Times New Roman"/>
          <w:lang w:val="bg-BG"/>
        </w:rPr>
        <w:t>детергентите</w:t>
      </w:r>
      <w:proofErr w:type="spellEnd"/>
      <w:r w:rsidRPr="00952162">
        <w:rPr>
          <w:rFonts w:eastAsia="Times New Roman"/>
          <w:lang w:val="bg-BG"/>
        </w:rPr>
        <w:t xml:space="preserve"> имат една и съща употреба и създават едни и същи рискове, независимо от това в каква форма се предлагат на пазара, икономическите оператори, които предоставят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в съдове за многократно пълнене, следва да гарантират, че те отговарят на същите изисквания като предварително опакованите </w:t>
      </w:r>
      <w:proofErr w:type="spellStart"/>
      <w:r w:rsidRPr="00952162">
        <w:rPr>
          <w:rFonts w:eastAsia="Times New Roman"/>
          <w:lang w:val="bg-BG"/>
        </w:rPr>
        <w:t>детергенти</w:t>
      </w:r>
      <w:proofErr w:type="spellEnd"/>
      <w:r w:rsidRPr="00952162">
        <w:rPr>
          <w:rFonts w:eastAsia="Times New Roman"/>
          <w:lang w:val="bg-BG"/>
        </w:rPr>
        <w:t xml:space="preserve">. Освен това потребителите следва да получат необходимата информация върху етикета и когато изберат да използват </w:t>
      </w:r>
      <w:proofErr w:type="spellStart"/>
      <w:r w:rsidRPr="00952162">
        <w:rPr>
          <w:rFonts w:eastAsia="Times New Roman"/>
          <w:lang w:val="bg-BG"/>
        </w:rPr>
        <w:t>детергенти</w:t>
      </w:r>
      <w:proofErr w:type="spellEnd"/>
      <w:r w:rsidRPr="00952162">
        <w:rPr>
          <w:rFonts w:eastAsia="Times New Roman"/>
          <w:lang w:val="bg-BG"/>
        </w:rPr>
        <w:t xml:space="preserve"> в съдове за многократно пълнене. </w:t>
      </w:r>
      <w:r w:rsidRPr="00952162">
        <w:rPr>
          <w:rFonts w:eastAsia="Times New Roman"/>
          <w:b/>
          <w:i/>
          <w:lang w:val="bg-BG"/>
        </w:rPr>
        <w:t xml:space="preserve">Освен това физическият екземпляр на етикета следва винаги да е на видно място в пункта за повторно пълнене. </w:t>
      </w:r>
      <w:r w:rsidRPr="00952162">
        <w:rPr>
          <w:rFonts w:eastAsia="Times New Roman"/>
          <w:lang w:val="bg-BG"/>
        </w:rPr>
        <w:t xml:space="preserve">Поради това продажбата на </w:t>
      </w:r>
      <w:proofErr w:type="spellStart"/>
      <w:r w:rsidRPr="00952162">
        <w:rPr>
          <w:rFonts w:eastAsia="Times New Roman"/>
          <w:lang w:val="bg-BG"/>
        </w:rPr>
        <w:t>детергенти</w:t>
      </w:r>
      <w:proofErr w:type="spellEnd"/>
      <w:r w:rsidRPr="00952162">
        <w:rPr>
          <w:rFonts w:eastAsia="Times New Roman"/>
          <w:lang w:val="bg-BG"/>
        </w:rPr>
        <w:t xml:space="preserve"> в съдове за многократно пълнене следва да бъде изрично обхваната от настоящия регламент, за да се гарантират високо ниво на защита на здравето и опазване на околната среда, както и равнопоставени условия на конкуренция за икономическите оператори.</w:t>
      </w:r>
      <w:r w:rsidRPr="00952162">
        <w:rPr>
          <w:rFonts w:eastAsia="Times New Roman"/>
          <w:b/>
          <w:i/>
          <w:lang w:val="bg-BG"/>
        </w:rPr>
        <w:t xml:space="preserve"> За да се подпомогне преходът на Съюза към кръгова икономика, повторната употреба и многократното пълнене на опаковките следва да бъдат насърчавани и популяризирани. Производителите и крайните дистрибутори следва, когато е възможно, да създадат условия и да продължат да развиват възможностите за продажба на </w:t>
      </w:r>
      <w:proofErr w:type="spellStart"/>
      <w:r w:rsidRPr="00952162">
        <w:rPr>
          <w:rFonts w:eastAsia="Times New Roman"/>
          <w:b/>
          <w:i/>
          <w:lang w:val="bg-BG"/>
        </w:rPr>
        <w:t>детергенти</w:t>
      </w:r>
      <w:proofErr w:type="spellEnd"/>
      <w:r w:rsidRPr="00952162">
        <w:rPr>
          <w:rFonts w:eastAsia="Times New Roman"/>
          <w:b/>
          <w:i/>
          <w:lang w:val="bg-BG"/>
        </w:rPr>
        <w:t xml:space="preserve"> във вид за многократно пълнене в пунктовете за продажба, както и да се стремят да предоставят на потребителите </w:t>
      </w:r>
      <w:proofErr w:type="spellStart"/>
      <w:r w:rsidRPr="00952162">
        <w:rPr>
          <w:rFonts w:eastAsia="Times New Roman"/>
          <w:b/>
          <w:i/>
          <w:lang w:val="bg-BG"/>
        </w:rPr>
        <w:t>детергенти</w:t>
      </w:r>
      <w:proofErr w:type="spellEnd"/>
      <w:r w:rsidRPr="00952162">
        <w:rPr>
          <w:rFonts w:eastAsia="Times New Roman"/>
          <w:b/>
          <w:i/>
          <w:lang w:val="bg-BG"/>
        </w:rPr>
        <w:t xml:space="preserve"> в други устойчиви форми на продажба, например чрез предоставяне на </w:t>
      </w:r>
      <w:proofErr w:type="spellStart"/>
      <w:r w:rsidRPr="00952162">
        <w:rPr>
          <w:rFonts w:eastAsia="Times New Roman"/>
          <w:b/>
          <w:i/>
          <w:lang w:val="bg-BG"/>
        </w:rPr>
        <w:t>детергенти</w:t>
      </w:r>
      <w:proofErr w:type="spellEnd"/>
      <w:r w:rsidRPr="00952162">
        <w:rPr>
          <w:rFonts w:eastAsia="Times New Roman"/>
          <w:b/>
          <w:i/>
          <w:lang w:val="bg-BG"/>
        </w:rPr>
        <w:t xml:space="preserve"> в </w:t>
      </w:r>
      <w:proofErr w:type="spellStart"/>
      <w:r w:rsidRPr="00952162">
        <w:rPr>
          <w:rFonts w:eastAsia="Times New Roman"/>
          <w:b/>
          <w:i/>
          <w:lang w:val="bg-BG"/>
        </w:rPr>
        <w:t>рециклируеми</w:t>
      </w:r>
      <w:proofErr w:type="spellEnd"/>
      <w:r w:rsidRPr="00952162">
        <w:rPr>
          <w:rFonts w:eastAsia="Times New Roman"/>
          <w:b/>
          <w:i/>
          <w:lang w:val="bg-BG"/>
        </w:rPr>
        <w:t xml:space="preserve"> опаковки, които позволяват на потребителите да пълнят тези опаковка в домашни условия, когато това е възможно, като същевременно се гарантира безопасността на потребителите.</w:t>
      </w:r>
      <w:r w:rsidR="008A6BB8">
        <w:rPr>
          <w:rFonts w:eastAsia="Times New Roman"/>
          <w:b/>
          <w:lang w:val="bg-BG"/>
        </w:rPr>
        <w:t xml:space="preserve"> [Изм. 22]</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(38)</w:t>
      </w:r>
      <w:r w:rsidRPr="00952162">
        <w:rPr>
          <w:rFonts w:eastAsia="Times New Roman"/>
          <w:lang w:val="bg-BG"/>
        </w:rPr>
        <w:tab/>
        <w:t xml:space="preserve">Осигуряването на проследимост на даден </w:t>
      </w:r>
      <w:proofErr w:type="spellStart"/>
      <w:r w:rsidRPr="00952162">
        <w:rPr>
          <w:rFonts w:eastAsia="Times New Roman"/>
          <w:lang w:val="bg-BG"/>
        </w:rPr>
        <w:t>детергент</w:t>
      </w:r>
      <w:proofErr w:type="spellEnd"/>
      <w:r w:rsidRPr="00952162">
        <w:rPr>
          <w:rFonts w:eastAsia="Times New Roman"/>
          <w:lang w:val="bg-BG"/>
        </w:rPr>
        <w:t xml:space="preserve"> или на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по цялата верига на доставка спомага за по-лесния и по-ефективен надзор на пазара. Една ефикасна система за проследимост улеснява задачата на органите за надзор на пазара да проследят икономическите оператори, които са предоставили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не отговарят на изискванията.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(39)</w:t>
      </w:r>
      <w:r w:rsidRPr="00952162">
        <w:rPr>
          <w:rFonts w:eastAsia="Times New Roman"/>
          <w:lang w:val="bg-BG"/>
        </w:rPr>
        <w:tab/>
        <w:t xml:space="preserve">Производителите следва да създадат продуктов паспорт, за да предоставят информация за това дали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отговарят на изискванията на настоящия регламент, както и на изискванията на всички останали законодателни актове, на които трябва да отговарят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За да се улеснят проверките на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и да се даде възможност на участниците във веригата на доставка и на крайните ползватели да получат достъп до необходимата информация, като например съставки и указания за употреба, информацията в продуктовия паспорт следва да бъде предоставена в цифров вид и по пряко достъпен начин, чрез носител на данни, поставен върху етикета на препарата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неговата опаковка или придружаващата документация. Във връзка с това органите за надзор на пазара, икономическите оператори и крайните ползватели следва да имат незабавен достъп до информация за спазване на изискванията или до друга информация за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чрез носителя на данни.</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lastRenderedPageBreak/>
        <w:t>(39a)</w:t>
      </w:r>
      <w:r w:rsidRPr="00952162">
        <w:rPr>
          <w:rFonts w:eastAsia="Times New Roman"/>
          <w:lang w:val="bg-BG"/>
        </w:rPr>
        <w:tab/>
      </w:r>
      <w:r w:rsidRPr="00952162">
        <w:rPr>
          <w:rFonts w:eastAsia="Times New Roman"/>
          <w:b/>
          <w:i/>
          <w:lang w:val="bg-BG"/>
        </w:rPr>
        <w:t xml:space="preserve">За да се избегнат разходи за дружествата и за обществеността, които са несъразмерни с по-широките ползи, продуктовият паспорт следва по подразбиране да бъде специфичен за модела </w:t>
      </w:r>
      <w:proofErr w:type="spellStart"/>
      <w:r w:rsidRPr="00952162">
        <w:rPr>
          <w:rFonts w:eastAsia="Times New Roman"/>
          <w:b/>
          <w:i/>
          <w:lang w:val="bg-BG"/>
        </w:rPr>
        <w:t>детергент</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повърхностноактивно</w:t>
      </w:r>
      <w:proofErr w:type="spellEnd"/>
      <w:r w:rsidRPr="00952162">
        <w:rPr>
          <w:rFonts w:eastAsia="Times New Roman"/>
          <w:b/>
          <w:i/>
          <w:lang w:val="bg-BG"/>
        </w:rPr>
        <w:t xml:space="preserve"> вещество. Когато има съществени промени във формулата или когато има разлики в състава в зависимост от партидата, продуктовият паспорт следва да бъде специфичен за партидата.</w:t>
      </w:r>
      <w:r w:rsidR="008A6BB8">
        <w:rPr>
          <w:rFonts w:eastAsia="Times New Roman"/>
          <w:b/>
          <w:lang w:val="bg-BG"/>
        </w:rPr>
        <w:t xml:space="preserve"> [Изм. 23]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(40)</w:t>
      </w:r>
      <w:r w:rsidRPr="00952162">
        <w:rPr>
          <w:rFonts w:eastAsia="Times New Roman"/>
          <w:lang w:val="bg-BG"/>
        </w:rPr>
        <w:tab/>
        <w:t>За да се избегне дублиране на инвестиции в цифровизиране от всички участници, в това число производителите, органите за надзор на пазара и митническите органи, продуктовият паспорт, създаден съгласно настоящия регламент, следва да бъде напълно оперативно съвместим с продуктовия паспорт, изискван съгласно друго законодателство на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(41)</w:t>
      </w:r>
      <w:r w:rsidRPr="00952162">
        <w:rPr>
          <w:rFonts w:eastAsia="Times New Roman"/>
          <w:lang w:val="bg-BG"/>
        </w:rPr>
        <w:tab/>
        <w:t xml:space="preserve">По-специално в Регламент (ЕС) …/… [на Европейския парламент и на Съвета за създаване на рамка за определяне на изискванията за </w:t>
      </w:r>
      <w:proofErr w:type="spellStart"/>
      <w:r w:rsidRPr="00952162">
        <w:rPr>
          <w:rFonts w:eastAsia="Times New Roman"/>
          <w:lang w:val="bg-BG"/>
        </w:rPr>
        <w:t>екопроектиране</w:t>
      </w:r>
      <w:proofErr w:type="spellEnd"/>
      <w:r w:rsidRPr="00952162">
        <w:rPr>
          <w:rFonts w:eastAsia="Times New Roman"/>
          <w:lang w:val="bg-BG"/>
        </w:rPr>
        <w:t xml:space="preserve"> към устойчиви продукти и за отмяна на Директива 2009/125/ЕО] се определят също така изискванията и техническите спецификации за цифров продуктов паспорт, създаването на централен регистър на Комисията, в който да се съхранява информацията от паспорта, и </w:t>
      </w:r>
      <w:proofErr w:type="spellStart"/>
      <w:r w:rsidRPr="00952162">
        <w:rPr>
          <w:rFonts w:eastAsia="Times New Roman"/>
          <w:lang w:val="bg-BG"/>
        </w:rPr>
        <w:t>междусистемната</w:t>
      </w:r>
      <w:proofErr w:type="spellEnd"/>
      <w:r w:rsidRPr="00952162">
        <w:rPr>
          <w:rFonts w:eastAsia="Times New Roman"/>
          <w:lang w:val="bg-BG"/>
        </w:rPr>
        <w:t xml:space="preserve"> връзка на този регистър с митническите ИТ системи. В средносрочен план в обхвата на посочения регламент могат да бъдат включени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като по този начин ще се изисква цифров продуктов паспорт за тях.</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(42)</w:t>
      </w:r>
      <w:r w:rsidRPr="00952162">
        <w:rPr>
          <w:rFonts w:eastAsia="Times New Roman"/>
          <w:lang w:val="bg-BG"/>
        </w:rPr>
        <w:tab/>
        <w:t xml:space="preserve">Следователно продуктовият паспорт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създаден съгласно настоящия регламент, следва да отговаря на същите изисквания и технически елементи като определените в Регламент (ЕС) …/… относно изискванията за </w:t>
      </w:r>
      <w:proofErr w:type="spellStart"/>
      <w:r w:rsidRPr="00952162">
        <w:rPr>
          <w:rFonts w:eastAsia="Times New Roman"/>
          <w:lang w:val="bg-BG"/>
        </w:rPr>
        <w:t>екопроектиране</w:t>
      </w:r>
      <w:proofErr w:type="spellEnd"/>
      <w:r w:rsidRPr="00952162">
        <w:rPr>
          <w:rFonts w:eastAsia="Times New Roman"/>
          <w:lang w:val="bg-BG"/>
        </w:rPr>
        <w:t xml:space="preserve"> към устойчиви продукти, включително на посочените в него технически, семантични и организационни аспекти на комуникацията от край до край и предаването на данни.</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(43)</w:t>
      </w:r>
      <w:r w:rsidRPr="00952162">
        <w:rPr>
          <w:rFonts w:eastAsia="Times New Roman"/>
          <w:lang w:val="bg-BG"/>
        </w:rPr>
        <w:tab/>
        <w:t xml:space="preserve">Когато друго законодателство на Съюза, приложимо за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изисква продуктов паспорт, следва да </w:t>
      </w:r>
      <w:r w:rsidRPr="00952162">
        <w:rPr>
          <w:rFonts w:eastAsia="Times New Roman"/>
          <w:strike/>
          <w:lang w:val="bg-BG"/>
        </w:rPr>
        <w:t xml:space="preserve">бъде </w:t>
      </w:r>
      <w:proofErr w:type="spellStart"/>
      <w:r w:rsidRPr="00952162">
        <w:rPr>
          <w:rFonts w:eastAsia="Times New Roman"/>
          <w:strike/>
          <w:lang w:val="bg-BG"/>
        </w:rPr>
        <w:t>наличен</w:t>
      </w:r>
      <w:r w:rsidRPr="00952162">
        <w:rPr>
          <w:rFonts w:eastAsia="Times New Roman"/>
          <w:b/>
          <w:i/>
          <w:lang w:val="bg-BG"/>
        </w:rPr>
        <w:t>се</w:t>
      </w:r>
      <w:proofErr w:type="spellEnd"/>
      <w:r w:rsidRPr="00952162">
        <w:rPr>
          <w:rFonts w:eastAsia="Times New Roman"/>
          <w:b/>
          <w:i/>
          <w:lang w:val="bg-BG"/>
        </w:rPr>
        <w:t xml:space="preserve"> изисква</w:t>
      </w:r>
      <w:r w:rsidRPr="00952162">
        <w:rPr>
          <w:rFonts w:eastAsia="Times New Roman"/>
          <w:lang w:val="bg-BG"/>
        </w:rPr>
        <w:t xml:space="preserve"> един продуктов паспорт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съдържащ информацията, изисквана съгласно настоящия регламент и другото законодателство на Съюза.</w:t>
      </w:r>
      <w:r w:rsidRPr="00952162">
        <w:rPr>
          <w:rFonts w:eastAsia="Times New Roman"/>
          <w:b/>
          <w:i/>
          <w:lang w:val="bg-BG"/>
        </w:rPr>
        <w:t xml:space="preserve"> Освен това изискванията за техническото проектиране на продуктовия паспорт за </w:t>
      </w:r>
      <w:proofErr w:type="spellStart"/>
      <w:r w:rsidRPr="00952162">
        <w:rPr>
          <w:rFonts w:eastAsia="Times New Roman"/>
          <w:b/>
          <w:i/>
          <w:lang w:val="bg-BG"/>
        </w:rPr>
        <w:t>детергенти</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следва да бъдат съвместими с отделни критерии за техническо проектиране, предвидени в други законодателни актове на Съюза.</w:t>
      </w:r>
      <w:r w:rsidR="008A6BB8">
        <w:rPr>
          <w:rFonts w:eastAsia="Times New Roman"/>
          <w:b/>
          <w:lang w:val="bg-BG"/>
        </w:rPr>
        <w:t xml:space="preserve"> [Изм. 24]</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(44)</w:t>
      </w:r>
      <w:r w:rsidRPr="00952162">
        <w:rPr>
          <w:rFonts w:eastAsia="Times New Roman"/>
          <w:lang w:val="bg-BG"/>
        </w:rPr>
        <w:tab/>
        <w:t xml:space="preserve">От решаващо значение е както на производителите, така и на потребителите да стане ясно, че чрез създаването на продуктов паспорт за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w:t>
      </w:r>
      <w:r w:rsidRPr="00952162">
        <w:rPr>
          <w:rFonts w:eastAsia="Times New Roman"/>
          <w:strike/>
          <w:lang w:val="bg-BG"/>
        </w:rPr>
        <w:t xml:space="preserve"> и, където е уместно, чрез поставяне на маркировката „CE“</w:t>
      </w:r>
      <w:r w:rsidRPr="00952162">
        <w:rPr>
          <w:rFonts w:eastAsia="Times New Roman"/>
          <w:lang w:val="bg-BG"/>
        </w:rPr>
        <w:t xml:space="preserve"> производителят декларира, че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е в съответствие с всички приложими изисквания и че производителят поема пълна отговорност за това.</w:t>
      </w:r>
      <w:r w:rsidR="008A6BB8">
        <w:rPr>
          <w:rFonts w:eastAsia="Times New Roman"/>
          <w:b/>
          <w:lang w:val="bg-BG"/>
        </w:rPr>
        <w:t xml:space="preserve"> [Изм. 25]</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(45)</w:t>
      </w:r>
      <w:r w:rsidRPr="00952162">
        <w:rPr>
          <w:rFonts w:eastAsia="Times New Roman"/>
          <w:lang w:val="bg-BG"/>
        </w:rPr>
        <w:tab/>
        <w:t>Когато определена информация се предоставя</w:t>
      </w:r>
      <w:r w:rsidRPr="00952162">
        <w:rPr>
          <w:rFonts w:eastAsia="Times New Roman"/>
          <w:strike/>
          <w:lang w:val="bg-BG"/>
        </w:rPr>
        <w:t xml:space="preserve"> само</w:t>
      </w:r>
      <w:r w:rsidRPr="00952162">
        <w:rPr>
          <w:rFonts w:eastAsia="Times New Roman"/>
          <w:lang w:val="bg-BG"/>
        </w:rPr>
        <w:t xml:space="preserve"> в цифров вид, е необходимо да се изясни, че тази информация трябва да бъде предоставена отделно и да бъде ясно разграничена една от друга, но чрез един носител на данни. Това ще улесни работата на органите за надзор на пазара и също така ще осигури яснота на крайните ползватели по отношение на различните части от информацията, които са достъпни за тях в цифров формат.</w:t>
      </w:r>
      <w:r w:rsidR="008A6BB8">
        <w:rPr>
          <w:rFonts w:eastAsia="Times New Roman"/>
          <w:b/>
          <w:lang w:val="bg-BG"/>
        </w:rPr>
        <w:t xml:space="preserve"> [Изм. 26]</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(46)</w:t>
      </w:r>
      <w:r w:rsidRPr="00952162">
        <w:rPr>
          <w:rFonts w:eastAsia="Times New Roman"/>
          <w:lang w:val="bg-BG"/>
        </w:rPr>
        <w:tab/>
        <w:t xml:space="preserve">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прилага глава VII от Регламент (ЕС) 2019/1020 на Европейския парламент и на Съвета</w:t>
      </w:r>
      <w:r w:rsidRPr="00952162">
        <w:rPr>
          <w:rFonts w:eastAsia="Times New Roman"/>
          <w:vertAlign w:val="superscript"/>
          <w:lang w:val="bg-BG"/>
        </w:rPr>
        <w:footnoteReference w:id="12"/>
      </w:r>
      <w:r w:rsidRPr="00952162">
        <w:rPr>
          <w:rFonts w:eastAsia="Times New Roman"/>
          <w:lang w:val="bg-BG"/>
        </w:rPr>
        <w:t>, с която се установяват правилата за контрол върху продуктите, въвеждани на пазара на Съюза. Органите, отговарящи за този контрол, които в почти всички държави членки са митническите органи, трябва да го осъществяват въз основа на анализ на риска, както е посочено в членове 46 и 47 от Регламент (ЕС) № 952/2013 на Европейския парламент и на Съвета</w:t>
      </w:r>
      <w:r w:rsidRPr="00952162">
        <w:rPr>
          <w:rFonts w:eastAsia="Times New Roman"/>
          <w:vertAlign w:val="superscript"/>
          <w:lang w:val="bg-BG"/>
        </w:rPr>
        <w:footnoteReference w:id="13"/>
      </w:r>
      <w:r w:rsidRPr="00952162">
        <w:rPr>
          <w:rFonts w:eastAsia="Times New Roman"/>
          <w:lang w:val="bg-BG"/>
        </w:rPr>
        <w:t>, в законодателните актове за неговото прилагане и в съответните насоки. Следователно с настоящия регламент не следва да се променят по какъвто и да е начин глава VII от Регламент (ЕС) 2019/1020 и начинът, по който органите, отговарящи за контрола на продуктите, въвеждани на пазара на Съюза, се организират и изпълняват своите дейности.</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(47)</w:t>
      </w:r>
      <w:r w:rsidRPr="00952162">
        <w:rPr>
          <w:rFonts w:eastAsia="Times New Roman"/>
          <w:lang w:val="bg-BG"/>
        </w:rPr>
        <w:tab/>
        <w:t xml:space="preserve">В допълнение към рамката за контрол, установена с глава VII от Регламент (ЕС) 2019/1020, митническите органи следва да могат автоматично да проверяват дали съществува продуктов паспорт за внасяните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по отношение на които се прилага настоящият регламент, с цел да се засили контролът по външните граници на Съюза и да се предотврати въвеждането на пазара на Съюза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не отговарят на изискванията.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(48)</w:t>
      </w:r>
      <w:r w:rsidRPr="00952162">
        <w:rPr>
          <w:rFonts w:eastAsia="Times New Roman"/>
          <w:lang w:val="bg-BG"/>
        </w:rPr>
        <w:tab/>
        <w:t xml:space="preserve">Когато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идващи от трети държави, се представят за допускане за свободно обращение, митниците следва да гарантират, че номерът на продуктовия паспорт е предоставен на митническите органи от икономическия оператор и че този номер съответства на единен идентификационен код на продукта, който се съхранява в регистъра на продуктовите паспорти, създаден от Комисията съгласно [член 12 от Регламент (ЕС) …/… относно </w:t>
      </w:r>
      <w:proofErr w:type="spellStart"/>
      <w:r w:rsidRPr="00952162">
        <w:rPr>
          <w:rFonts w:eastAsia="Times New Roman"/>
          <w:lang w:val="bg-BG"/>
        </w:rPr>
        <w:t>екопроектирането</w:t>
      </w:r>
      <w:proofErr w:type="spellEnd"/>
      <w:r w:rsidRPr="00952162">
        <w:rPr>
          <w:rFonts w:eastAsia="Times New Roman"/>
          <w:lang w:val="bg-BG"/>
        </w:rPr>
        <w:t xml:space="preserve"> на устойчиви продукти].  </w:t>
      </w:r>
      <w:proofErr w:type="spellStart"/>
      <w:r w:rsidRPr="00952162">
        <w:rPr>
          <w:rFonts w:eastAsia="Times New Roman"/>
          <w:lang w:val="bg-BG"/>
        </w:rPr>
        <w:t>Междусистемната</w:t>
      </w:r>
      <w:proofErr w:type="spellEnd"/>
      <w:r w:rsidRPr="00952162">
        <w:rPr>
          <w:rFonts w:eastAsia="Times New Roman"/>
          <w:lang w:val="bg-BG"/>
        </w:rPr>
        <w:t xml:space="preserve"> връзка между този регистър и митническата ИТ система, предвидена в [член 13 от Регламент (ЕС) …/… относно </w:t>
      </w:r>
      <w:proofErr w:type="spellStart"/>
      <w:r w:rsidRPr="00952162">
        <w:rPr>
          <w:rFonts w:eastAsia="Times New Roman"/>
          <w:lang w:val="bg-BG"/>
        </w:rPr>
        <w:t>екопроектирането</w:t>
      </w:r>
      <w:proofErr w:type="spellEnd"/>
      <w:r w:rsidRPr="00952162">
        <w:rPr>
          <w:rFonts w:eastAsia="Times New Roman"/>
          <w:lang w:val="bg-BG"/>
        </w:rPr>
        <w:t xml:space="preserve"> на устойчиви продукти], следва да позволява автоматична проверка на продуктовия паспорт, представен на митницата за този </w:t>
      </w:r>
      <w:proofErr w:type="spellStart"/>
      <w:r w:rsidRPr="00952162">
        <w:rPr>
          <w:rFonts w:eastAsia="Times New Roman"/>
          <w:lang w:val="bg-BG"/>
        </w:rPr>
        <w:t>детергент</w:t>
      </w:r>
      <w:proofErr w:type="spellEnd"/>
      <w:r w:rsidRPr="00952162">
        <w:rPr>
          <w:rFonts w:eastAsia="Times New Roman"/>
          <w:lang w:val="bg-BG"/>
        </w:rPr>
        <w:t xml:space="preserve"> или за това повърхностно активно вещество, за да се гарантира, че за свободно обращение се допускат само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с валидно позоваване на единен идентификационен код на продукта , включен в регистъра.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(49)</w:t>
      </w:r>
      <w:r w:rsidRPr="00952162">
        <w:rPr>
          <w:rFonts w:eastAsia="Times New Roman"/>
          <w:lang w:val="bg-BG"/>
        </w:rPr>
        <w:tab/>
        <w:t xml:space="preserve">Когато в регистъра на продуктовите паспорти, създаден съгласно [член 12 от Регламент (ЕС) …/… относно </w:t>
      </w:r>
      <w:proofErr w:type="spellStart"/>
      <w:r w:rsidRPr="00952162">
        <w:rPr>
          <w:rFonts w:eastAsia="Times New Roman"/>
          <w:lang w:val="bg-BG"/>
        </w:rPr>
        <w:t>екопроектирането</w:t>
      </w:r>
      <w:proofErr w:type="spellEnd"/>
      <w:r w:rsidRPr="00952162">
        <w:rPr>
          <w:rFonts w:eastAsia="Times New Roman"/>
          <w:lang w:val="bg-BG"/>
        </w:rPr>
        <w:t xml:space="preserve"> на устойчиви продукти], се съхранява друга информация в допълнение към единния идентификационен код на продукта, Комисията следва да може да предвиди в делегиран акт, че на митническите органи е позволено да проверяват съгласуваността между тази допълнителна информация и информацията, предоставена от икономическия оператор на митниците, с цел да се подобри съответствието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поставени под митнически режим на допускане за свободно обращение с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(50)</w:t>
      </w:r>
      <w:r w:rsidRPr="00952162">
        <w:rPr>
          <w:rFonts w:eastAsia="Times New Roman"/>
          <w:lang w:val="bg-BG"/>
        </w:rPr>
        <w:tab/>
        <w:t>Чрез информацията, включена в продуктовия паспорт, може да се подобри и улесни управлението на риска от страна на митническите органи и да се осигури по-добра насоченост на контрола на външните граници на Съюза. Поради това митническите органи следва да могат да извличат и използват информацията, включена в продуктовия паспорт и свързания регистър, за изпълнение на задачите си съгласно законодателството на Съюза, включително за управление на риска в съответствие с Регламент (ЕС) № 952/2013.</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(51)</w:t>
      </w:r>
      <w:r w:rsidRPr="00952162">
        <w:rPr>
          <w:rFonts w:eastAsia="Times New Roman"/>
          <w:lang w:val="bg-BG"/>
        </w:rPr>
        <w:tab/>
        <w:t xml:space="preserve">Целесъобразно е да се предвиди публикуването на известие в </w:t>
      </w:r>
      <w:r w:rsidRPr="00B16614">
        <w:rPr>
          <w:rFonts w:eastAsia="Times New Roman"/>
          <w:i/>
          <w:lang w:val="bg-BG"/>
        </w:rPr>
        <w:t>Официален вестник на Европейския</w:t>
      </w:r>
      <w:r w:rsidRPr="00952162">
        <w:rPr>
          <w:rFonts w:eastAsia="Times New Roman"/>
          <w:lang w:val="bg-BG"/>
        </w:rPr>
        <w:t xml:space="preserve"> съюз, в което се посочва датата, на която започва да функционира </w:t>
      </w:r>
      <w:proofErr w:type="spellStart"/>
      <w:r w:rsidRPr="00952162">
        <w:rPr>
          <w:rFonts w:eastAsia="Times New Roman"/>
          <w:lang w:val="bg-BG"/>
        </w:rPr>
        <w:t>междусистемната</w:t>
      </w:r>
      <w:proofErr w:type="spellEnd"/>
      <w:r w:rsidRPr="00952162">
        <w:rPr>
          <w:rFonts w:eastAsia="Times New Roman"/>
          <w:lang w:val="bg-BG"/>
        </w:rPr>
        <w:t xml:space="preserve"> връзка между регистъра и системата на ЕС „Митническо обслужване на едно гише: обмен на сертификати“, посочена в [член 13 от Регламент (ЕС) …/… относно </w:t>
      </w:r>
      <w:proofErr w:type="spellStart"/>
      <w:r w:rsidRPr="00952162">
        <w:rPr>
          <w:rFonts w:eastAsia="Times New Roman"/>
          <w:lang w:val="bg-BG"/>
        </w:rPr>
        <w:t>екопроектирането</w:t>
      </w:r>
      <w:proofErr w:type="spellEnd"/>
      <w:r w:rsidRPr="00952162">
        <w:rPr>
          <w:rFonts w:eastAsia="Times New Roman"/>
          <w:lang w:val="bg-BG"/>
        </w:rPr>
        <w:t xml:space="preserve"> на устойчиви продукти], за да се улесни публичният достъп до тази информация.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(52)</w:t>
      </w:r>
      <w:r w:rsidRPr="00952162">
        <w:rPr>
          <w:rFonts w:eastAsia="Times New Roman"/>
          <w:lang w:val="bg-BG"/>
        </w:rPr>
        <w:tab/>
        <w:t xml:space="preserve">Автоматичната проверка от страна на митниците на номерата на продуктовите паспорти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въвеждани на пазара на Съюза, не следва да замества или променя отговорностите на органите за надзор на пазара, а само да допълва цялостната рамка за контрол на продуктите, въвеждани на пазара на Съюза. В съответствие с Регламент (ЕС) 2019/1020 органите за надзор на пазара следва да извършват проверки на информацията, съдържаща се в продуктовите паспорти, проверки на продуктите на пазара, както и — в случай на спиране на допускането за свободно обращение от органите, определени да извършват контрол по външните граници на Съюза — да определят съответствието на продуктите и сериозните рискове, произтичащи от тях, съгласно глава VII от Регламент (ЕС) 2019/1020.</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(53)</w:t>
      </w:r>
      <w:r w:rsidRPr="00952162">
        <w:rPr>
          <w:rFonts w:eastAsia="Times New Roman"/>
          <w:lang w:val="bg-BG"/>
        </w:rPr>
        <w:tab/>
        <w:t xml:space="preserve">Надзорът на пазара е основно средство, доколкото осигурява правилно и еднакво прилагане на законодателството на Съюза. В Регламент (ЕС) 2019/1020 е предвидена рамката за надзор на пазара на продуктите, по отношение на които се прилага законодателството на Съюза за хармонизация. Следователно държавите членки следва да организират и осъществяват надзор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в съответствие с посочения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(54)</w:t>
      </w:r>
      <w:r w:rsidRPr="00952162">
        <w:rPr>
          <w:rFonts w:eastAsia="Times New Roman"/>
          <w:lang w:val="bg-BG"/>
        </w:rPr>
        <w:tab/>
        <w:t xml:space="preserve">Регламент (ЕС) 2019/1020 вече се прилага 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тъй като Регламент (ЕО) № 648/2004 е включен в приложение I към него. Въпреки това, за да се осигури правна сигурност, е необходимо да се изясни, че правилата относно надзора на вътрешния пазар и контрола на продуктите, въвеждани на вътрешния пазар, предвидени в Регламент (ЕС) 2019/1020, се прилагат и 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обхванати от настоящия регламент. Настоящият регламент не следва да възпрепятства държавите членки да избират компетентните органи, които да изпълняват тези задачи. Следователно Регламент (ЕС) 2019/1020 следва да бъде изменен, за да се включи препратка към настоящия регламент.</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(55)</w:t>
      </w:r>
      <w:r w:rsidRPr="00952162">
        <w:rPr>
          <w:rFonts w:eastAsia="Times New Roman"/>
          <w:lang w:val="bg-BG"/>
        </w:rPr>
        <w:tab/>
        <w:t xml:space="preserve">В Регламент (ЕО) № 648/2004 е предвидена предпазна процедура, с която се предоставя възможност на Комисията да прецени доколко е оправдана дадена мярка, предприета от държава членка по отношение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за които е преценено, че представляват риск. С цел повишаване на прозрачността и намаляване на времето за обработка е необходимо усъвършенстване на предходната предпазна процедура, за да може тя да се прилага по-ефикасно и да се ползва експертният опит, с който разполагат държавите членки. Предишната система следва да бъде заменена с процедура, при която заинтересованите страни да бъдат информирани за необходимите мерки 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представляващи риск за здравето или околната среда. На органите за надзор на пазара следва да е позволено да предприемат действия на по-ранен етап по отношение на такива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в сътрудничество със съответните икономически оператори. Комисията следва посредством актове за изпълнение и, предвид техния специален и технически характер, без да прилага Регламент (ЕС) № 182/2011, да установява дали дадена национална мярка по отношение на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които представляват риск, е оправдана.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(56)</w:t>
      </w:r>
      <w:r w:rsidRPr="00952162">
        <w:rPr>
          <w:rFonts w:eastAsia="Times New Roman"/>
          <w:lang w:val="bg-BG"/>
        </w:rPr>
        <w:tab/>
        <w:t xml:space="preserve">Опитът с Регламент (ЕО) № 648/2004 показа, че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са в съответствие с приложимите изисквания, в определени случаи представляват риск за здравето или околната среда. Следва да се предвидят разпоредби, за да се гарантира, че органите за надзор на пазара предприемат действия по отношение на всеки </w:t>
      </w:r>
      <w:proofErr w:type="spellStart"/>
      <w:r w:rsidRPr="00952162">
        <w:rPr>
          <w:rFonts w:eastAsia="Times New Roman"/>
          <w:lang w:val="bg-BG"/>
        </w:rPr>
        <w:t>детергент</w:t>
      </w:r>
      <w:proofErr w:type="spellEnd"/>
      <w:r w:rsidRPr="00952162">
        <w:rPr>
          <w:rFonts w:eastAsia="Times New Roman"/>
          <w:lang w:val="bg-BG"/>
        </w:rPr>
        <w:t xml:space="preserve"> или всяко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представляващи риск за здравето или околната среда, дори когато те са в съответствие със законовите изисквания. Комисията следва посредством актове за изпълнение и, предвид техния специален и технически характер, без да прилага Регламент (ЕС) № 182/2011, да установи дали е оправдана дадена национална мярка по отношение на отговарящи на изискванията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за които държава членка е установила, че представляват риск за здравето и безопасността на хората или за околната среда.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(57)</w:t>
      </w:r>
      <w:r w:rsidRPr="00952162">
        <w:rPr>
          <w:rFonts w:eastAsia="Times New Roman"/>
          <w:lang w:val="bg-BG"/>
        </w:rPr>
        <w:tab/>
        <w:t xml:space="preserve">С цел да се вземат под внимание техническият и научният напредък или новите научни доказателства и степента на цифрова подготвеност, на Комисията следва да бъде делегирано правомощието да приема актове в съответствие с член 290 от Договора за функционирането на Европейския съюз във връзка с по-нататъшното допълване на общите изисквания по отношение на цифровото етикетиране; изменянето на списъка на информацията върху етикета, която може да се предоставя само в цифров формат; изменянето на пределните стойности на ароматите, които могат да предизвикат алергия, когато съгласно Регламент (ЕО) № 1223/2009 са установени индивидуални основани на риска допустими концентрации за предизвикващи алергии аромати; изменянето на съществуващите изисквания за </w:t>
      </w:r>
      <w:proofErr w:type="spellStart"/>
      <w:r w:rsidRPr="00952162">
        <w:rPr>
          <w:rFonts w:eastAsia="Times New Roman"/>
          <w:lang w:val="bg-BG"/>
        </w:rPr>
        <w:t>биоразградимост</w:t>
      </w:r>
      <w:proofErr w:type="spellEnd"/>
      <w:r w:rsidRPr="00952162">
        <w:rPr>
          <w:rFonts w:eastAsia="Times New Roman"/>
          <w:lang w:val="bg-BG"/>
        </w:rPr>
        <w:t xml:space="preserve"> с цел определяне на изисквания за </w:t>
      </w:r>
      <w:proofErr w:type="spellStart"/>
      <w:r w:rsidRPr="00952162">
        <w:rPr>
          <w:rFonts w:eastAsia="Times New Roman"/>
          <w:lang w:val="bg-BG"/>
        </w:rPr>
        <w:t>биоразградимост</w:t>
      </w:r>
      <w:proofErr w:type="spellEnd"/>
      <w:r w:rsidRPr="00952162">
        <w:rPr>
          <w:rFonts w:eastAsia="Times New Roman"/>
          <w:lang w:val="bg-BG"/>
        </w:rPr>
        <w:t xml:space="preserve"> на веществата и смесите, различни от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в </w:t>
      </w:r>
      <w:proofErr w:type="spellStart"/>
      <w:r w:rsidRPr="00952162">
        <w:rPr>
          <w:rFonts w:eastAsia="Times New Roman"/>
          <w:lang w:val="bg-BG"/>
        </w:rPr>
        <w:t>детергенти</w:t>
      </w:r>
      <w:proofErr w:type="spellEnd"/>
      <w:r w:rsidRPr="00952162">
        <w:rPr>
          <w:rFonts w:eastAsia="Times New Roman"/>
          <w:lang w:val="bg-BG"/>
        </w:rPr>
        <w:t xml:space="preserve"> (включително капсули с </w:t>
      </w:r>
      <w:proofErr w:type="spellStart"/>
      <w:r w:rsidRPr="00952162">
        <w:rPr>
          <w:rFonts w:eastAsia="Times New Roman"/>
          <w:lang w:val="bg-BG"/>
        </w:rPr>
        <w:t>детергенти</w:t>
      </w:r>
      <w:proofErr w:type="spellEnd"/>
      <w:r w:rsidRPr="00952162">
        <w:rPr>
          <w:rFonts w:eastAsia="Times New Roman"/>
          <w:lang w:val="bg-BG"/>
        </w:rPr>
        <w:t xml:space="preserve">), когато нови научни доказателства налагат това; и изменянето на приложения I—VII. На Комисията следва също така да се предостави правомощието да изменя конкретната информация, която следва да бъде включена в продуктовия паспорт, както и информацията, която трябва да бъде включена в регистъра на Комисията. Освен това на Комисията следва да се предостави правомощието да допълва настоящия регламент, като определя допълнителната информация, съхранявана в регистъра, която да бъде контролирана от митническите органи. Освен това, за да се улесни работата на митническите органи 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и на изискванията, определени в настоящия регламент, на Комисията следва да се предостави правомощието да приема делегирани актове за изменение на настоящия регламент, като предвижда приложение, съдържащо списък на кодовете по Комбинираната номенклатура, посочени в приложение I към Регламент (ЕИО) № 2658/87, и продуктови описания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както и като актуализира посоченото приложение.</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(58)</w:t>
      </w:r>
      <w:r w:rsidRPr="00952162">
        <w:rPr>
          <w:rFonts w:eastAsia="Times New Roman"/>
          <w:lang w:val="bg-BG"/>
        </w:rPr>
        <w:tab/>
        <w:t>Когато приема делегирани актове съгласно настоящия регламент, от особено значение е Комисията да проведе подходящи консултации по време на подготвителната си работа, включително на експертно равнище, и тези консултации да се провеждат в съответствие с принципите, залегнали в Междуинституционалното споразумение от 13 април 2016 г. за по-добро законотворчество</w:t>
      </w:r>
      <w:r w:rsidRPr="00952162">
        <w:rPr>
          <w:rFonts w:eastAsia="Times New Roman"/>
          <w:vertAlign w:val="superscript"/>
          <w:lang w:val="bg-BG"/>
        </w:rPr>
        <w:footnoteReference w:id="14"/>
      </w:r>
      <w:r w:rsidRPr="00952162">
        <w:rPr>
          <w:rFonts w:eastAsia="Times New Roman"/>
          <w:lang w:val="bg-BG"/>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(59)</w:t>
      </w:r>
      <w:r w:rsidRPr="00952162">
        <w:rPr>
          <w:rFonts w:eastAsia="Times New Roman"/>
          <w:lang w:val="bg-BG"/>
        </w:rPr>
        <w:tab/>
        <w:t xml:space="preserve">За да се осигурят еднакви условия за прилагане на настоящия регламент, на Комисията следва да бъдат предоставени изпълнителни правомощия да установява подробни технически изисквания към продуктовия паспорт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Тези правомощия следва да бъдат упражнявани в съответствие с Регламент (ЕС) №182 /2011 на Европейския парламент и на Съвета</w:t>
      </w:r>
      <w:r w:rsidRPr="00952162">
        <w:rPr>
          <w:rFonts w:eastAsia="Times New Roman"/>
          <w:vertAlign w:val="superscript"/>
          <w:lang w:val="bg-BG"/>
        </w:rPr>
        <w:footnoteReference w:id="15"/>
      </w:r>
      <w:r w:rsidRPr="00952162">
        <w:rPr>
          <w:rFonts w:eastAsia="Times New Roman"/>
          <w:lang w:val="bg-BG"/>
        </w:rPr>
        <w:t>.</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(60)</w:t>
      </w:r>
      <w:r w:rsidRPr="00952162">
        <w:rPr>
          <w:rFonts w:eastAsia="Times New Roman"/>
          <w:lang w:val="bg-BG"/>
        </w:rPr>
        <w:tab/>
        <w:t>С оглед на необходимостта да се гарантира високо ниво на защита на здравето</w:t>
      </w:r>
      <w:r w:rsidRPr="00952162">
        <w:rPr>
          <w:rFonts w:eastAsia="Times New Roman"/>
          <w:strike/>
          <w:lang w:val="bg-BG"/>
        </w:rPr>
        <w:t xml:space="preserve"> на човека</w:t>
      </w:r>
      <w:r w:rsidRPr="00952162">
        <w:rPr>
          <w:rFonts w:eastAsia="Times New Roman"/>
          <w:lang w:val="bg-BG"/>
        </w:rPr>
        <w:t xml:space="preserve"> и на опазване на околната среда и необходимостта да се вземат предвид новите развития, основаващи се на научни факти, Комисията следва да представи на Европейския парламент и на Съвета доклад относно прилагането на настоящия регламент. В своя доклад Комисията следва да оцени </w:t>
      </w:r>
      <w:proofErr w:type="spellStart"/>
      <w:r w:rsidRPr="00952162">
        <w:rPr>
          <w:rFonts w:eastAsia="Times New Roman"/>
          <w:lang w:val="bg-BG"/>
        </w:rPr>
        <w:t>inter</w:t>
      </w:r>
      <w:proofErr w:type="spellEnd"/>
      <w:r w:rsidRPr="00952162">
        <w:rPr>
          <w:rFonts w:eastAsia="Times New Roman"/>
          <w:lang w:val="bg-BG"/>
        </w:rPr>
        <w:t xml:space="preserve"> </w:t>
      </w:r>
      <w:proofErr w:type="spellStart"/>
      <w:r w:rsidRPr="00952162">
        <w:rPr>
          <w:rFonts w:eastAsia="Times New Roman"/>
          <w:lang w:val="bg-BG"/>
        </w:rPr>
        <w:t>alia</w:t>
      </w:r>
      <w:proofErr w:type="spellEnd"/>
      <w:r w:rsidRPr="00952162">
        <w:rPr>
          <w:rFonts w:eastAsia="Times New Roman"/>
          <w:lang w:val="bg-BG"/>
        </w:rPr>
        <w:t xml:space="preserve"> дали настоящият регламент постига целите си, като вземе предвид въздействието върху малките и средните предприятия.</w:t>
      </w:r>
      <w:r w:rsidR="008A6BB8">
        <w:rPr>
          <w:rFonts w:eastAsia="Times New Roman"/>
          <w:b/>
          <w:lang w:val="bg-BG"/>
        </w:rPr>
        <w:t xml:space="preserve"> [Изм. 27]</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(61)</w:t>
      </w:r>
      <w:r w:rsidRPr="00952162">
        <w:rPr>
          <w:rFonts w:eastAsia="Times New Roman"/>
          <w:lang w:val="bg-BG"/>
        </w:rPr>
        <w:tab/>
        <w:t xml:space="preserve">За да се осигури високо ниво на защита на здравето и на опазване на околната среда, да се насърчат иновациите и да се повиши конкурентоспособността, Комисията следва да направи оценка на изискванията за безопасност на </w:t>
      </w:r>
      <w:proofErr w:type="spellStart"/>
      <w:r w:rsidRPr="00952162">
        <w:rPr>
          <w:rFonts w:eastAsia="Times New Roman"/>
          <w:lang w:val="bg-BG"/>
        </w:rPr>
        <w:t>детергентите</w:t>
      </w:r>
      <w:proofErr w:type="spellEnd"/>
      <w:r w:rsidRPr="00952162">
        <w:rPr>
          <w:rFonts w:eastAsia="Times New Roman"/>
          <w:lang w:val="bg-BG"/>
        </w:rPr>
        <w:t xml:space="preserve">, съдържащи микроорганизми, и на възможността да се разреши използването на нови микроорганизми или щамове на микроорганизми в </w:t>
      </w:r>
      <w:proofErr w:type="spellStart"/>
      <w:r w:rsidRPr="00952162">
        <w:rPr>
          <w:rFonts w:eastAsia="Times New Roman"/>
          <w:lang w:val="bg-BG"/>
        </w:rPr>
        <w:t>детергентите</w:t>
      </w:r>
      <w:proofErr w:type="spellEnd"/>
      <w:r w:rsidRPr="00952162">
        <w:rPr>
          <w:rFonts w:eastAsia="Times New Roman"/>
          <w:b/>
          <w:i/>
          <w:lang w:val="bg-BG"/>
        </w:rPr>
        <w:t xml:space="preserve"> или да се ограничи присъствието им, когато е необходимо</w:t>
      </w:r>
      <w:r w:rsidRPr="00952162">
        <w:rPr>
          <w:rFonts w:eastAsia="Times New Roman"/>
          <w:lang w:val="bg-BG"/>
        </w:rPr>
        <w:t>.</w:t>
      </w:r>
      <w:r w:rsidR="008A6BB8">
        <w:rPr>
          <w:rFonts w:eastAsia="Times New Roman"/>
          <w:b/>
          <w:lang w:val="bg-BG"/>
        </w:rPr>
        <w:t xml:space="preserve"> [Изм. 28]</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(61a)</w:t>
      </w:r>
      <w:r w:rsidRPr="00952162">
        <w:rPr>
          <w:rFonts w:eastAsia="Times New Roman"/>
          <w:lang w:val="bg-BG"/>
        </w:rPr>
        <w:tab/>
      </w:r>
      <w:r w:rsidRPr="00952162">
        <w:rPr>
          <w:rFonts w:eastAsia="Times New Roman"/>
          <w:b/>
          <w:i/>
          <w:lang w:val="bg-BG"/>
        </w:rPr>
        <w:t xml:space="preserve">За да се улесни преходът към изцяло кръгова икономика, Комисията следва да направи оценка на въвеждането на цели за устойчиви възобновяеми суровини и рециклирано съдържание за </w:t>
      </w:r>
      <w:proofErr w:type="spellStart"/>
      <w:r w:rsidRPr="00952162">
        <w:rPr>
          <w:rFonts w:eastAsia="Times New Roman"/>
          <w:b/>
          <w:i/>
          <w:lang w:val="bg-BG"/>
        </w:rPr>
        <w:t>детергентите</w:t>
      </w:r>
      <w:proofErr w:type="spellEnd"/>
      <w:r w:rsidRPr="00952162">
        <w:rPr>
          <w:rFonts w:eastAsia="Times New Roman"/>
          <w:b/>
          <w:i/>
          <w:lang w:val="bg-BG"/>
        </w:rPr>
        <w:t>.</w:t>
      </w:r>
      <w:r w:rsidR="008A6BB8">
        <w:rPr>
          <w:rFonts w:eastAsia="Times New Roman"/>
          <w:b/>
          <w:lang w:val="bg-BG"/>
        </w:rPr>
        <w:t xml:space="preserve"> [Изм. 29]</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(62)</w:t>
      </w:r>
      <w:r w:rsidRPr="00952162">
        <w:rPr>
          <w:rFonts w:eastAsia="Times New Roman"/>
          <w:lang w:val="bg-BG"/>
        </w:rPr>
        <w:tab/>
        <w:t xml:space="preserve">С настоящия регламент се въвежда възможността за предоставяне на всички или на част от задължителните изисквания за етикетиране само в цифрови етикети в определени ситуации и се изисква създаването на цифров продуктов паспорт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Следователно е необходимо да се предвиди достатъчно време, за да могат икономическите оператори да изпълнят задълженията си по настоящия регламент, държавите членки да създадат административната инфраструктура, необходима за прилагането му, и Комисията да подготви прилагането на техническите изисквания за продуктовия паспорт. Поради това началото на прилагането на настоящия регламент следва да се отложи до дата, на която е разумно да се очаква, че тези подготвителни дейности ще бъдат приключени.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(63)</w:t>
      </w:r>
      <w:r w:rsidRPr="00952162">
        <w:rPr>
          <w:rFonts w:eastAsia="Times New Roman"/>
          <w:lang w:val="bg-BG"/>
        </w:rPr>
        <w:tab/>
        <w:t xml:space="preserve">За да се осигури правна сигурност и да се предотврати разхищаването, икономическите оператори трябва да могат да продават запасите, които са или във веригата на разпространение, или на склад към началната дата на прилагане на настоящия регламент. Следователно е необходимо да се предвидят преходни разпоредби, с които се позволява предоставянето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са били пуснати на пазара в съответствие с Регламент (ЕО) № 648/2004 преди началната дата на прилагане на настоящия регламент, без да трябва тези продукти да отговарят на изискванията за продуктите, определени в настоящия регламент.  Следователно дистрибуторите следва да могат да доставят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са били пуснати на пазара, а именно запаси, които вече са налични във веригата на разпространение преди началната дата на прилагане на настоящия регламент.</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(64)</w:t>
      </w:r>
      <w:r w:rsidRPr="00952162">
        <w:rPr>
          <w:rFonts w:eastAsia="Times New Roman"/>
          <w:lang w:val="bg-BG"/>
        </w:rPr>
        <w:tab/>
        <w:t xml:space="preserve">Следва също така да се въведат преходни разпоредби, с които се позволява пускането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към началната дата на прилагане на настоящия регламент все още не са във веригата на разпространение, без да трябва тези продукти да отговарят на изискванията, определени в настоящия регламент, при условие че към момента на пускането им на пазара те все още са в съответствие с Регламент (ЕО) № 648/2004. Следователно дистрибуторите следва да могат да пускат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а именно запаси, които все още не са във веригата на разпространение след началната дата на прилагане на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(65)</w:t>
      </w:r>
      <w:r w:rsidRPr="00952162">
        <w:rPr>
          <w:rFonts w:eastAsia="Times New Roman"/>
          <w:lang w:val="bg-BG"/>
        </w:rPr>
        <w:tab/>
        <w:t xml:space="preserve">Доколкото целта на настоящия регламент, а именно да се гарантира функционирането на вътрешния пазар, като същевременно се създадат условия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са пуснати на пазара, да отговарят на изискванията, предвиждащи високо равнище на защита на здравето и на опазване на околната среда, не може да бъде постигната в достатъчна степен от държавите членки, а поради мащаба и последиците си може да бъде по-добре постигната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тази цел,</w:t>
      </w:r>
    </w:p>
    <w:p w:rsidR="00952162" w:rsidRPr="00952162" w:rsidRDefault="00952162" w:rsidP="00952162">
      <w:pPr>
        <w:keepNext/>
        <w:spacing w:before="120" w:after="120" w:line="360" w:lineRule="auto"/>
        <w:jc w:val="left"/>
        <w:rPr>
          <w:rFonts w:eastAsia="Times New Roman"/>
          <w:lang w:val="bg-BG"/>
        </w:rPr>
      </w:pPr>
      <w:r w:rsidRPr="00952162">
        <w:rPr>
          <w:rFonts w:eastAsia="Times New Roman"/>
          <w:lang w:val="bg-BG"/>
        </w:rPr>
        <w:t>ПРИЕХА НАСТОЯЩИЯ РЕГЛАМЕНТ:</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 xml:space="preserve">ГЛАВА I </w:t>
      </w:r>
      <w:r w:rsidRPr="00952162">
        <w:rPr>
          <w:rFonts w:eastAsia="Times New Roman"/>
          <w:lang w:val="bg-BG"/>
        </w:rPr>
        <w:br/>
        <w:t>ОБЩИ РАЗПОРЕДБИ</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1</w:t>
      </w:r>
      <w:r w:rsidRPr="00952162">
        <w:rPr>
          <w:rFonts w:eastAsia="Times New Roman"/>
          <w:lang w:val="bg-BG"/>
        </w:rPr>
        <w:br/>
        <w:t>Предмет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Настоящият регламент определя правилата за свободното движение в рамките на вътрешния пазар на </w:t>
      </w:r>
      <w:proofErr w:type="spellStart"/>
      <w:r w:rsidRPr="00952162">
        <w:rPr>
          <w:rFonts w:eastAsia="Times New Roman"/>
          <w:lang w:val="bg-BG"/>
        </w:rPr>
        <w:t>детергенти</w:t>
      </w:r>
      <w:proofErr w:type="spellEnd"/>
      <w:r w:rsidRPr="00952162">
        <w:rPr>
          <w:rFonts w:eastAsia="Times New Roman"/>
          <w:lang w:val="bg-BG"/>
        </w:rPr>
        <w:t xml:space="preserve"> и на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като същевременно осигурява висока степен на защита на здравето и на опазване на околната среда.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Настоящият регламент не засяга прилагането на следните правни актове: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Регламент (ЕО) № 1907/2006 на Европейския парламент и на Съвета</w:t>
      </w:r>
      <w:r w:rsidRPr="00952162">
        <w:rPr>
          <w:rFonts w:eastAsia="Times New Roman"/>
          <w:vertAlign w:val="superscript"/>
          <w:lang w:val="bg-BG"/>
        </w:rPr>
        <w:footnoteReference w:id="16"/>
      </w:r>
      <w:r w:rsidRPr="00952162">
        <w:rPr>
          <w:rFonts w:eastAsia="Times New Roman"/>
          <w:lang w:val="bg-BG"/>
        </w:rPr>
        <w:t>;</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Регламент (ЕО) № 1272/2008 на Европейския парламент и на Съвета</w:t>
      </w:r>
      <w:r w:rsidRPr="00952162">
        <w:rPr>
          <w:rFonts w:eastAsia="Times New Roman"/>
          <w:vertAlign w:val="superscript"/>
          <w:lang w:val="bg-BG"/>
        </w:rPr>
        <w:footnoteReference w:id="17"/>
      </w:r>
      <w:r w:rsidRPr="00952162">
        <w:rPr>
          <w:rFonts w:eastAsia="Times New Roman"/>
          <w:lang w:val="bg-BG"/>
        </w:rPr>
        <w:t>;</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Регламент (ЕС) № 528/2012 на Европейския парламент и на Съвета</w:t>
      </w:r>
      <w:r w:rsidRPr="00952162">
        <w:rPr>
          <w:rFonts w:eastAsia="Times New Roman"/>
          <w:vertAlign w:val="superscript"/>
          <w:lang w:val="bg-BG"/>
        </w:rPr>
        <w:footnoteReference w:id="18"/>
      </w:r>
      <w:r w:rsidRPr="00952162">
        <w:rPr>
          <w:rFonts w:eastAsia="Times New Roman"/>
          <w:lang w:val="bg-BG"/>
        </w:rPr>
        <w:t>.</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2</w:t>
      </w:r>
      <w:r w:rsidRPr="00952162">
        <w:rPr>
          <w:rFonts w:eastAsia="Times New Roman"/>
          <w:lang w:val="bg-BG"/>
        </w:rPr>
        <w:br/>
        <w:t>Определения</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За целите на настоящия регламент се прилагат следните определения: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w:t>
      </w:r>
      <w:proofErr w:type="spellStart"/>
      <w:r w:rsidRPr="00952162">
        <w:rPr>
          <w:rFonts w:eastAsia="Times New Roman"/>
          <w:lang w:val="bg-BG"/>
        </w:rPr>
        <w:t>детергент</w:t>
      </w:r>
      <w:proofErr w:type="spellEnd"/>
      <w:r w:rsidRPr="00952162">
        <w:rPr>
          <w:rFonts w:eastAsia="Times New Roman"/>
          <w:lang w:val="bg-BG"/>
        </w:rPr>
        <w:t>“ означава всяко от следните: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вещество, смес или микроорганизъм, или два или повече такива материала в комбинация, предназначени за почистване на тъкани, домакински съдове или повърхности;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смес, предназначена за накисване (</w:t>
      </w:r>
      <w:proofErr w:type="spellStart"/>
      <w:r w:rsidRPr="00952162">
        <w:rPr>
          <w:rFonts w:eastAsia="Times New Roman"/>
          <w:lang w:val="bg-BG"/>
        </w:rPr>
        <w:t>предпране</w:t>
      </w:r>
      <w:proofErr w:type="spellEnd"/>
      <w:r w:rsidRPr="00952162">
        <w:rPr>
          <w:rFonts w:eastAsia="Times New Roman"/>
          <w:lang w:val="bg-BG"/>
        </w:rPr>
        <w:t>), за изплакване или за избелване на тъкани или домакински съдове;</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w:t>
      </w:r>
      <w:r w:rsidRPr="00952162">
        <w:rPr>
          <w:rFonts w:eastAsia="Times New Roman"/>
          <w:lang w:val="bg-BG"/>
        </w:rPr>
        <w:tab/>
        <w:t>смес, предназначена да променя усещането при допир</w:t>
      </w:r>
      <w:r w:rsidRPr="00952162">
        <w:rPr>
          <w:rFonts w:eastAsia="Times New Roman"/>
          <w:b/>
          <w:i/>
          <w:lang w:val="bg-BG"/>
        </w:rPr>
        <w:t xml:space="preserve"> или миризмата</w:t>
      </w:r>
      <w:r w:rsidRPr="00952162">
        <w:rPr>
          <w:rFonts w:eastAsia="Times New Roman"/>
          <w:lang w:val="bg-BG"/>
        </w:rPr>
        <w:t xml:space="preserve"> на тъканите при процесите, които допълват прането на тъкани;</w:t>
      </w:r>
      <w:r w:rsidR="008A6BB8">
        <w:rPr>
          <w:rFonts w:eastAsia="Times New Roman"/>
          <w:b/>
          <w:lang w:val="bg-BG"/>
        </w:rPr>
        <w:t xml:space="preserve"> [Изм. 30]</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„потребителски перилен </w:t>
      </w:r>
      <w:proofErr w:type="spellStart"/>
      <w:r w:rsidRPr="00952162">
        <w:rPr>
          <w:rFonts w:eastAsia="Times New Roman"/>
          <w:lang w:val="bg-BG"/>
        </w:rPr>
        <w:t>детергент</w:t>
      </w:r>
      <w:proofErr w:type="spellEnd"/>
      <w:r w:rsidRPr="00952162">
        <w:rPr>
          <w:rFonts w:eastAsia="Times New Roman"/>
          <w:lang w:val="bg-BG"/>
        </w:rPr>
        <w:t xml:space="preserve">“ означава </w:t>
      </w:r>
      <w:proofErr w:type="spellStart"/>
      <w:r w:rsidRPr="00952162">
        <w:rPr>
          <w:rFonts w:eastAsia="Times New Roman"/>
          <w:lang w:val="bg-BG"/>
        </w:rPr>
        <w:t>детергент</w:t>
      </w:r>
      <w:proofErr w:type="spellEnd"/>
      <w:r w:rsidRPr="00952162">
        <w:rPr>
          <w:rFonts w:eastAsia="Times New Roman"/>
          <w:lang w:val="bg-BG"/>
        </w:rPr>
        <w:t>, предназначен за пране, пуснат на пазара за употреба от непрофесионалисти, включително в обществени перални;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 xml:space="preserve">„потребителски </w:t>
      </w:r>
      <w:proofErr w:type="spellStart"/>
      <w:r w:rsidRPr="00952162">
        <w:rPr>
          <w:rFonts w:eastAsia="Times New Roman"/>
          <w:lang w:val="bg-BG"/>
        </w:rPr>
        <w:t>детергент</w:t>
      </w:r>
      <w:proofErr w:type="spellEnd"/>
      <w:r w:rsidRPr="00952162">
        <w:rPr>
          <w:rFonts w:eastAsia="Times New Roman"/>
          <w:lang w:val="bg-BG"/>
        </w:rPr>
        <w:t xml:space="preserve"> за автоматични съдомиялни машини“ означава </w:t>
      </w:r>
      <w:proofErr w:type="spellStart"/>
      <w:r w:rsidRPr="00952162">
        <w:rPr>
          <w:rFonts w:eastAsia="Times New Roman"/>
          <w:lang w:val="bg-BG"/>
        </w:rPr>
        <w:t>детергент</w:t>
      </w:r>
      <w:proofErr w:type="spellEnd"/>
      <w:r w:rsidRPr="00952162">
        <w:rPr>
          <w:rFonts w:eastAsia="Times New Roman"/>
          <w:lang w:val="bg-BG"/>
        </w:rPr>
        <w:t>, пуснат на пазара за употреба в автоматични съдомиялни машини от непрофесионалисти;</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lastRenderedPageBreak/>
        <w:t>3а)</w:t>
      </w:r>
      <w:r w:rsidRPr="00952162">
        <w:rPr>
          <w:rFonts w:eastAsia="Times New Roman"/>
          <w:lang w:val="bg-BG"/>
        </w:rPr>
        <w:tab/>
      </w:r>
      <w:r w:rsidRPr="00952162">
        <w:rPr>
          <w:rFonts w:eastAsia="Times New Roman"/>
          <w:b/>
          <w:i/>
          <w:lang w:val="bg-BG"/>
        </w:rPr>
        <w:t>„продукт за почистване на твърди повърхности“ означава всеки универсален почистващ препарат, препарат за почистване на кухни, препарат за почистване на прозорци или санитарен препарат;</w:t>
      </w:r>
      <w:r w:rsidR="008A6BB8">
        <w:rPr>
          <w:rFonts w:eastAsia="Times New Roman"/>
          <w:b/>
          <w:lang w:val="bg-BG"/>
        </w:rPr>
        <w:t xml:space="preserve"> [Изм. 31]</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3б)</w:t>
      </w:r>
      <w:r w:rsidRPr="00952162">
        <w:rPr>
          <w:rFonts w:eastAsia="Times New Roman"/>
          <w:lang w:val="bg-BG"/>
        </w:rPr>
        <w:tab/>
      </w:r>
      <w:r w:rsidRPr="00952162">
        <w:rPr>
          <w:rFonts w:eastAsia="Times New Roman"/>
          <w:b/>
          <w:i/>
          <w:lang w:val="bg-BG"/>
        </w:rPr>
        <w:t xml:space="preserve">„потребителски </w:t>
      </w:r>
      <w:proofErr w:type="spellStart"/>
      <w:r w:rsidRPr="00952162">
        <w:rPr>
          <w:rFonts w:eastAsia="Times New Roman"/>
          <w:b/>
          <w:i/>
          <w:lang w:val="bg-BG"/>
        </w:rPr>
        <w:t>детергент</w:t>
      </w:r>
      <w:proofErr w:type="spellEnd"/>
      <w:r w:rsidRPr="00952162">
        <w:rPr>
          <w:rFonts w:eastAsia="Times New Roman"/>
          <w:b/>
          <w:i/>
          <w:lang w:val="bg-BG"/>
        </w:rPr>
        <w:t xml:space="preserve"> за ръчно миене на съдове“ означава </w:t>
      </w:r>
      <w:proofErr w:type="spellStart"/>
      <w:r w:rsidRPr="00952162">
        <w:rPr>
          <w:rFonts w:eastAsia="Times New Roman"/>
          <w:b/>
          <w:i/>
          <w:lang w:val="bg-BG"/>
        </w:rPr>
        <w:t>детергент</w:t>
      </w:r>
      <w:proofErr w:type="spellEnd"/>
      <w:r w:rsidRPr="00952162">
        <w:rPr>
          <w:rFonts w:eastAsia="Times New Roman"/>
          <w:b/>
          <w:i/>
          <w:lang w:val="bg-BG"/>
        </w:rPr>
        <w:t>, използван за ръчно миене на съдове, прибори за хранене и други кухненски прибори, който е пуснат на пазара за употреба от непрофесионални потребители;</w:t>
      </w:r>
      <w:r w:rsidR="008A6BB8">
        <w:rPr>
          <w:rFonts w:eastAsia="Times New Roman"/>
          <w:b/>
          <w:lang w:val="bg-BG"/>
        </w:rPr>
        <w:t xml:space="preserve"> [Изм. 32]</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3в)</w:t>
      </w:r>
      <w:r w:rsidRPr="00952162">
        <w:rPr>
          <w:rFonts w:eastAsia="Times New Roman"/>
          <w:lang w:val="bg-BG"/>
        </w:rPr>
        <w:tab/>
      </w:r>
      <w:r w:rsidRPr="00952162">
        <w:rPr>
          <w:rFonts w:eastAsia="Times New Roman"/>
          <w:b/>
          <w:i/>
          <w:lang w:val="bg-BG"/>
        </w:rPr>
        <w:t xml:space="preserve">„перилен </w:t>
      </w:r>
      <w:proofErr w:type="spellStart"/>
      <w:r w:rsidRPr="00952162">
        <w:rPr>
          <w:rFonts w:eastAsia="Times New Roman"/>
          <w:b/>
          <w:i/>
          <w:lang w:val="bg-BG"/>
        </w:rPr>
        <w:t>детергент</w:t>
      </w:r>
      <w:proofErr w:type="spellEnd"/>
      <w:r w:rsidRPr="00952162">
        <w:rPr>
          <w:rFonts w:eastAsia="Times New Roman"/>
          <w:b/>
          <w:i/>
          <w:lang w:val="bg-BG"/>
        </w:rPr>
        <w:t xml:space="preserve"> за промишлени и учрежденски цели“ означава </w:t>
      </w:r>
      <w:proofErr w:type="spellStart"/>
      <w:r w:rsidRPr="00952162">
        <w:rPr>
          <w:rFonts w:eastAsia="Times New Roman"/>
          <w:b/>
          <w:i/>
          <w:lang w:val="bg-BG"/>
        </w:rPr>
        <w:t>детергент</w:t>
      </w:r>
      <w:proofErr w:type="spellEnd"/>
      <w:r w:rsidRPr="00952162">
        <w:rPr>
          <w:rFonts w:eastAsia="Times New Roman"/>
          <w:b/>
          <w:i/>
          <w:lang w:val="bg-BG"/>
        </w:rPr>
        <w:t xml:space="preserve"> за пране, пуснат на пазара за употреба от специализиран персонал извън домакинството;</w:t>
      </w:r>
      <w:r w:rsidR="008A6BB8">
        <w:rPr>
          <w:rFonts w:eastAsia="Times New Roman"/>
          <w:b/>
          <w:lang w:val="bg-BG"/>
        </w:rPr>
        <w:t xml:space="preserve"> [Изм. 33]</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3г)</w:t>
      </w:r>
      <w:r w:rsidRPr="00952162">
        <w:rPr>
          <w:rFonts w:eastAsia="Times New Roman"/>
          <w:lang w:val="bg-BG"/>
        </w:rPr>
        <w:tab/>
      </w:r>
      <w:r w:rsidRPr="00952162">
        <w:rPr>
          <w:rFonts w:eastAsia="Times New Roman"/>
          <w:b/>
          <w:i/>
          <w:lang w:val="bg-BG"/>
        </w:rPr>
        <w:t>„</w:t>
      </w:r>
      <w:proofErr w:type="spellStart"/>
      <w:r w:rsidRPr="00952162">
        <w:rPr>
          <w:rFonts w:eastAsia="Times New Roman"/>
          <w:b/>
          <w:i/>
          <w:lang w:val="bg-BG"/>
        </w:rPr>
        <w:t>детергент</w:t>
      </w:r>
      <w:proofErr w:type="spellEnd"/>
      <w:r w:rsidRPr="00952162">
        <w:rPr>
          <w:rFonts w:eastAsia="Times New Roman"/>
          <w:b/>
          <w:i/>
          <w:lang w:val="bg-BG"/>
        </w:rPr>
        <w:t xml:space="preserve"> за автоматични съдомиялни машини за промишлени и учрежденски цели“ означава </w:t>
      </w:r>
      <w:proofErr w:type="spellStart"/>
      <w:r w:rsidRPr="00952162">
        <w:rPr>
          <w:rFonts w:eastAsia="Times New Roman"/>
          <w:b/>
          <w:i/>
          <w:lang w:val="bg-BG"/>
        </w:rPr>
        <w:t>детергент</w:t>
      </w:r>
      <w:proofErr w:type="spellEnd"/>
      <w:r w:rsidRPr="00952162">
        <w:rPr>
          <w:rFonts w:eastAsia="Times New Roman"/>
          <w:b/>
          <w:i/>
          <w:lang w:val="bg-BG"/>
        </w:rPr>
        <w:t>, пуснат на пазара за употреба от специализиран персонал в автоматични съдомиялни машини извън домакинството;</w:t>
      </w:r>
      <w:r w:rsidR="008A6BB8">
        <w:rPr>
          <w:rFonts w:eastAsia="Times New Roman"/>
          <w:b/>
          <w:lang w:val="bg-BG"/>
        </w:rPr>
        <w:t xml:space="preserve"> [Изм. 34]</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w:t>
      </w:r>
      <w:proofErr w:type="spellStart"/>
      <w:r w:rsidRPr="00952162">
        <w:rPr>
          <w:rFonts w:eastAsia="Times New Roman"/>
          <w:lang w:val="bg-BG"/>
        </w:rPr>
        <w:t>детергент</w:t>
      </w:r>
      <w:proofErr w:type="spellEnd"/>
      <w:r w:rsidRPr="00952162">
        <w:rPr>
          <w:rFonts w:eastAsia="Times New Roman"/>
          <w:lang w:val="bg-BG"/>
        </w:rPr>
        <w:t xml:space="preserve">, съдържащ микроорганизми“ означава </w:t>
      </w:r>
      <w:proofErr w:type="spellStart"/>
      <w:r w:rsidRPr="00952162">
        <w:rPr>
          <w:rFonts w:eastAsia="Times New Roman"/>
          <w:lang w:val="bg-BG"/>
        </w:rPr>
        <w:t>детергент</w:t>
      </w:r>
      <w:proofErr w:type="spellEnd"/>
      <w:r w:rsidRPr="00952162">
        <w:rPr>
          <w:rFonts w:eastAsia="Times New Roman"/>
          <w:lang w:val="bg-BG"/>
        </w:rPr>
        <w:t xml:space="preserve">, в който преднамерено са добавени един или повече микроорганизми, или самостоятелно, или чрез един от компонентите на </w:t>
      </w:r>
      <w:proofErr w:type="spellStart"/>
      <w:r w:rsidRPr="00952162">
        <w:rPr>
          <w:rFonts w:eastAsia="Times New Roman"/>
          <w:lang w:val="bg-BG"/>
        </w:rPr>
        <w:t>детергента</w:t>
      </w:r>
      <w:proofErr w:type="spellEnd"/>
      <w:r w:rsidRPr="00952162">
        <w:rPr>
          <w:rFonts w:eastAsia="Times New Roman"/>
          <w:lang w:val="bg-BG"/>
        </w:rPr>
        <w:t>;</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w:t>
      </w:r>
      <w:r w:rsidRPr="00952162">
        <w:rPr>
          <w:rFonts w:eastAsia="Times New Roman"/>
          <w:lang w:val="bg-BG"/>
        </w:rPr>
        <w:tab/>
        <w:t xml:space="preserve">„професионален </w:t>
      </w:r>
      <w:proofErr w:type="spellStart"/>
      <w:r w:rsidRPr="00952162">
        <w:rPr>
          <w:rFonts w:eastAsia="Times New Roman"/>
          <w:lang w:val="bg-BG"/>
        </w:rPr>
        <w:t>детергент</w:t>
      </w:r>
      <w:proofErr w:type="spellEnd"/>
      <w:r w:rsidRPr="00952162">
        <w:rPr>
          <w:rFonts w:eastAsia="Times New Roman"/>
          <w:lang w:val="bg-BG"/>
        </w:rPr>
        <w:t xml:space="preserve">“ означава </w:t>
      </w:r>
      <w:proofErr w:type="spellStart"/>
      <w:r w:rsidRPr="00952162">
        <w:rPr>
          <w:rFonts w:eastAsia="Times New Roman"/>
          <w:lang w:val="bg-BG"/>
        </w:rPr>
        <w:t>детергент</w:t>
      </w:r>
      <w:proofErr w:type="spellEnd"/>
      <w:r w:rsidRPr="00952162">
        <w:rPr>
          <w:rFonts w:eastAsia="Times New Roman"/>
          <w:lang w:val="bg-BG"/>
        </w:rPr>
        <w:t xml:space="preserve"> за миене и почистване, употребяван извън домакинството от специализиран персонал, използващ специфични продукти;</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6)</w:t>
      </w:r>
      <w:r w:rsidRPr="00952162">
        <w:rPr>
          <w:rFonts w:eastAsia="Times New Roman"/>
          <w:lang w:val="bg-BG"/>
        </w:rPr>
        <w:tab/>
        <w:t xml:space="preserve">„почистване“ означава процесът, чрез който нежелано отлагане се отделя от субстрат или в рамките на субстрат и се привежда в разтворено или </w:t>
      </w:r>
      <w:proofErr w:type="spellStart"/>
      <w:r w:rsidRPr="00952162">
        <w:rPr>
          <w:rFonts w:eastAsia="Times New Roman"/>
          <w:lang w:val="bg-BG"/>
        </w:rPr>
        <w:t>диспергирано</w:t>
      </w:r>
      <w:proofErr w:type="spellEnd"/>
      <w:r w:rsidRPr="00952162">
        <w:rPr>
          <w:rFonts w:eastAsia="Times New Roman"/>
          <w:lang w:val="bg-BG"/>
        </w:rPr>
        <w:t xml:space="preserve"> състояние</w:t>
      </w:r>
      <w:r w:rsidRPr="00952162">
        <w:rPr>
          <w:rFonts w:eastAsia="Times New Roman"/>
          <w:b/>
          <w:i/>
          <w:lang w:val="bg-BG"/>
        </w:rPr>
        <w:t>, включително чрез използването на микроорганизми</w:t>
      </w:r>
      <w:r w:rsidRPr="00952162">
        <w:rPr>
          <w:rFonts w:eastAsia="Times New Roman"/>
          <w:lang w:val="bg-BG"/>
        </w:rPr>
        <w:t>;</w:t>
      </w:r>
      <w:r w:rsidR="008A6BB8">
        <w:rPr>
          <w:rFonts w:eastAsia="Times New Roman"/>
          <w:b/>
          <w:lang w:val="bg-BG"/>
        </w:rPr>
        <w:t xml:space="preserve"> [Изм. 35]</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7)</w:t>
      </w:r>
      <w:r w:rsidRPr="00952162">
        <w:rPr>
          <w:rFonts w:eastAsia="Times New Roman"/>
          <w:lang w:val="bg-BG"/>
        </w:rPr>
        <w:tab/>
        <w:t>„вещество“ означава вещество съгласно определението в член 3, точка 1 от Регламент (ЕО) № 1907/2006;</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t>„смес“ означава смес съгласно определението в член 3, точка 2 от Регламент (ЕО) № 1907/2006;</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9)</w:t>
      </w:r>
      <w:r w:rsidRPr="00952162">
        <w:rPr>
          <w:rFonts w:eastAsia="Times New Roman"/>
          <w:lang w:val="bg-BG"/>
        </w:rPr>
        <w:tab/>
        <w:t>„микроорганизъм“ означава микроорганизъм съгласно определението в член 3, параграф 1, буква б) от Регламент (ЕС) № 528/2012;</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10)</w:t>
      </w:r>
      <w:r w:rsidRPr="00952162">
        <w:rPr>
          <w:rFonts w:eastAsia="Times New Roman"/>
          <w:lang w:val="bg-BG"/>
        </w:rPr>
        <w:tab/>
        <w:t>„генетично модифицирани микроорганизми“ означава микроорганизми, в които генетичният материал е бил променен с помощта на генна или клетъчна технология или по друг начин, който не се среща естествено чрез чифтосване или естествена рекомбинация;</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11)</w:t>
      </w:r>
      <w:r w:rsidRPr="00952162">
        <w:rPr>
          <w:rFonts w:eastAsia="Times New Roman"/>
          <w:lang w:val="bg-BG"/>
        </w:rPr>
        <w:tab/>
        <w:t>„</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означава всяко органично вещество или смес, което (която) притежава </w:t>
      </w:r>
      <w:proofErr w:type="spellStart"/>
      <w:r w:rsidRPr="00952162">
        <w:rPr>
          <w:rFonts w:eastAsia="Times New Roman"/>
          <w:lang w:val="bg-BG"/>
        </w:rPr>
        <w:t>повърхностноактивни</w:t>
      </w:r>
      <w:proofErr w:type="spellEnd"/>
      <w:r w:rsidRPr="00952162">
        <w:rPr>
          <w:rFonts w:eastAsia="Times New Roman"/>
          <w:lang w:val="bg-BG"/>
        </w:rPr>
        <w:t xml:space="preserve"> свойства и се състои от една или няколко хидрофилни групи и от една или няколко хидрофобни групи от такова естество и с такъв размер, че е в състояние да извършва всички изброени по-долу действия: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 xml:space="preserve">да намали повърхностното налягане на водата под 45 </w:t>
      </w:r>
      <w:proofErr w:type="spellStart"/>
      <w:r w:rsidRPr="00952162">
        <w:rPr>
          <w:rFonts w:eastAsia="Times New Roman"/>
          <w:lang w:val="bg-BG"/>
        </w:rPr>
        <w:t>mN</w:t>
      </w:r>
      <w:proofErr w:type="spellEnd"/>
      <w:r w:rsidRPr="00952162">
        <w:rPr>
          <w:rFonts w:eastAsia="Times New Roman"/>
          <w:lang w:val="bg-BG"/>
        </w:rPr>
        <w:t>/m;</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 xml:space="preserve">да образува </w:t>
      </w:r>
      <w:proofErr w:type="spellStart"/>
      <w:r w:rsidRPr="00952162">
        <w:rPr>
          <w:rFonts w:eastAsia="Times New Roman"/>
          <w:lang w:val="bg-BG"/>
        </w:rPr>
        <w:t>мономолекулни</w:t>
      </w:r>
      <w:proofErr w:type="spellEnd"/>
      <w:r w:rsidRPr="00952162">
        <w:rPr>
          <w:rFonts w:eastAsia="Times New Roman"/>
          <w:lang w:val="bg-BG"/>
        </w:rPr>
        <w:t xml:space="preserve"> слоеве с покривен или адсорбиращ ефект на контактната повърхност между водата и въздуха;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 xml:space="preserve">да образува емулсии и/или </w:t>
      </w:r>
      <w:proofErr w:type="spellStart"/>
      <w:r w:rsidRPr="00952162">
        <w:rPr>
          <w:rFonts w:eastAsia="Times New Roman"/>
          <w:lang w:val="bg-BG"/>
        </w:rPr>
        <w:t>микроемулсии</w:t>
      </w:r>
      <w:proofErr w:type="spellEnd"/>
      <w:r w:rsidRPr="00952162">
        <w:rPr>
          <w:rFonts w:eastAsia="Times New Roman"/>
          <w:lang w:val="bg-BG"/>
        </w:rPr>
        <w:t>, и/или мицели;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да позволява адсорбцията на контактната повърхност между водата и твърдите тела;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12)</w:t>
      </w:r>
      <w:r w:rsidRPr="00952162">
        <w:rPr>
          <w:rFonts w:eastAsia="Times New Roman"/>
          <w:lang w:val="bg-BG"/>
        </w:rPr>
        <w:tab/>
        <w:t xml:space="preserve">„крайно </w:t>
      </w:r>
      <w:proofErr w:type="spellStart"/>
      <w:r w:rsidRPr="00952162">
        <w:rPr>
          <w:rFonts w:eastAsia="Times New Roman"/>
          <w:lang w:val="bg-BG"/>
        </w:rPr>
        <w:t>биоразграждане</w:t>
      </w:r>
      <w:proofErr w:type="spellEnd"/>
      <w:r w:rsidRPr="00952162">
        <w:rPr>
          <w:rFonts w:eastAsia="Times New Roman"/>
          <w:lang w:val="bg-BG"/>
        </w:rPr>
        <w:t xml:space="preserve"> в аеробни условия“ означава степента на биохимично разграждане, получена когато вещество или смес е напълно разградено(а) чрез микроорганизми при наличие на кислород, в резултат на което то (тя) се разлага на въглероден диоксид, вода и минерални соли на всеки от другите налични елементи, която се измерва по методите за изпитване, изброени в приложение I, и на нови клетъчни микробни компоненти;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13)</w:t>
      </w:r>
      <w:r w:rsidRPr="00952162">
        <w:rPr>
          <w:rFonts w:eastAsia="Times New Roman"/>
          <w:lang w:val="bg-BG"/>
        </w:rPr>
        <w:tab/>
        <w:t>„предоставяне на пазара“ означава всяка доставка за разпространение, потребление или употреба на пазара на Съюза в процеса на търговска дейност, срещу заплащане или безплатно;</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14)</w:t>
      </w:r>
      <w:r w:rsidRPr="00952162">
        <w:rPr>
          <w:rFonts w:eastAsia="Times New Roman"/>
          <w:lang w:val="bg-BG"/>
        </w:rPr>
        <w:tab/>
        <w:t>„пускане на пазара“ означава предоставяне за пръв път на пазара на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15)</w:t>
      </w:r>
      <w:r w:rsidRPr="00952162">
        <w:rPr>
          <w:rFonts w:eastAsia="Times New Roman"/>
          <w:lang w:val="bg-BG"/>
        </w:rPr>
        <w:tab/>
        <w:t xml:space="preserve">„производител“ означава всяко физическо или юридическото лице, което произвежда или възлага проектирането или производството на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и пуска този </w:t>
      </w:r>
      <w:proofErr w:type="spellStart"/>
      <w:r w:rsidRPr="00952162">
        <w:rPr>
          <w:rFonts w:eastAsia="Times New Roman"/>
          <w:lang w:val="bg-BG"/>
        </w:rPr>
        <w:t>детергент</w:t>
      </w:r>
      <w:proofErr w:type="spellEnd"/>
      <w:r w:rsidRPr="00952162">
        <w:rPr>
          <w:rFonts w:eastAsia="Times New Roman"/>
          <w:lang w:val="bg-BG"/>
        </w:rPr>
        <w:t xml:space="preserve"> или това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на пазара под своето наименование или търговска марка;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16)</w:t>
      </w:r>
      <w:r w:rsidRPr="00952162">
        <w:rPr>
          <w:rFonts w:eastAsia="Times New Roman"/>
          <w:lang w:val="bg-BG"/>
        </w:rPr>
        <w:tab/>
        <w:t>„упълномощен представител“ означава всяко физическо или юридическо лице, установено в Съюза, което е упълномощено писмено от производител да действа от негово име във връзка с определени задачи;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17)</w:t>
      </w:r>
      <w:r w:rsidRPr="00952162">
        <w:rPr>
          <w:rFonts w:eastAsia="Times New Roman"/>
          <w:lang w:val="bg-BG"/>
        </w:rPr>
        <w:tab/>
        <w:t xml:space="preserve">„вносител“ означава всяко физическо или юридическо лице, установено в Съюза, което пуска на пазара на Съюза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от трета държава;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18)</w:t>
      </w:r>
      <w:r w:rsidRPr="00952162">
        <w:rPr>
          <w:rFonts w:eastAsia="Times New Roman"/>
          <w:lang w:val="bg-BG"/>
        </w:rPr>
        <w:tab/>
        <w:t xml:space="preserve">„дистрибутор“ означава всяко физическо или юридическо лице във веригата на доставка, различно от производителя или вносителя, което предоставя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на пазара;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19)</w:t>
      </w:r>
      <w:r w:rsidRPr="00952162">
        <w:rPr>
          <w:rFonts w:eastAsia="Times New Roman"/>
          <w:lang w:val="bg-BG"/>
        </w:rPr>
        <w:tab/>
        <w:t>„икономически оператор“ означава производителят, упълномощеният представител, вносителят или дистрибуторът;</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20)</w:t>
      </w:r>
      <w:r w:rsidRPr="00952162">
        <w:rPr>
          <w:rFonts w:eastAsia="Times New Roman"/>
          <w:lang w:val="bg-BG"/>
        </w:rPr>
        <w:tab/>
        <w:t>„надзор на пазара“ означава извършените дейности и предприетите мерки от органите за надзор на пазара с цел да се гарантира, че продуктите съответстват на изискванията, определени в настоящия регламент</w:t>
      </w:r>
      <w:r w:rsidRPr="00952162">
        <w:rPr>
          <w:rFonts w:eastAsia="Times New Roman"/>
          <w:b/>
          <w:i/>
          <w:lang w:val="bg-BG"/>
        </w:rPr>
        <w:t xml:space="preserve"> и в друго приложимо законодателство на Съюза за хармонизация, и да се осигури защитата на обществения интерес, обхванат от това законодателство</w:t>
      </w:r>
      <w:r w:rsidRPr="00952162">
        <w:rPr>
          <w:rFonts w:eastAsia="Times New Roman"/>
          <w:lang w:val="bg-BG"/>
        </w:rPr>
        <w:t>;</w:t>
      </w:r>
      <w:r w:rsidR="008A6BB8">
        <w:rPr>
          <w:rFonts w:eastAsia="Times New Roman"/>
          <w:b/>
          <w:lang w:val="bg-BG"/>
        </w:rPr>
        <w:t xml:space="preserve"> [Изм. 36]</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21)</w:t>
      </w:r>
      <w:r w:rsidRPr="00952162">
        <w:rPr>
          <w:rFonts w:eastAsia="Times New Roman"/>
          <w:lang w:val="bg-BG"/>
        </w:rPr>
        <w:tab/>
        <w:t>„орган за надзор на пазара“ означава орган за надзор на пазара съгласно определението в член 3, точка 4 от Регламент (ЕС) 2019/1020</w:t>
      </w:r>
      <w:r w:rsidRPr="00952162">
        <w:rPr>
          <w:rFonts w:eastAsia="Times New Roman"/>
          <w:b/>
          <w:i/>
          <w:lang w:val="bg-BG"/>
        </w:rPr>
        <w:t>, който отговаря за организирането и извършването на надзор на пазара на територията на тази държава членка</w:t>
      </w:r>
      <w:r w:rsidRPr="00952162">
        <w:rPr>
          <w:rFonts w:eastAsia="Times New Roman"/>
          <w:lang w:val="bg-BG"/>
        </w:rPr>
        <w:t>;</w:t>
      </w:r>
      <w:r w:rsidR="008A6BB8">
        <w:rPr>
          <w:rFonts w:eastAsia="Times New Roman"/>
          <w:b/>
          <w:lang w:val="bg-BG"/>
        </w:rPr>
        <w:t xml:space="preserve"> [Изм. 37]</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22)</w:t>
      </w:r>
      <w:r w:rsidRPr="00952162">
        <w:rPr>
          <w:rFonts w:eastAsia="Times New Roman"/>
          <w:lang w:val="bg-BG"/>
        </w:rPr>
        <w:tab/>
        <w:t>„изземване“ означава изземване съгласно определението в член 3, точка 22 от Регламент (ЕС) 2019/1020;</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23)</w:t>
      </w:r>
      <w:r w:rsidRPr="00952162">
        <w:rPr>
          <w:rFonts w:eastAsia="Times New Roman"/>
          <w:lang w:val="bg-BG"/>
        </w:rPr>
        <w:tab/>
        <w:t>„изтегляне“ означава изтегляне съгласно определението в член 3, точка 23 от Регламент (ЕС) 2019/1020;</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strike/>
          <w:lang w:val="bg-BG"/>
        </w:rPr>
        <w:t>24)</w:t>
      </w:r>
      <w:r w:rsidRPr="00952162">
        <w:rPr>
          <w:rFonts w:eastAsia="Times New Roman"/>
          <w:lang w:val="bg-BG"/>
        </w:rPr>
        <w:tab/>
      </w:r>
      <w:r w:rsidRPr="00952162">
        <w:rPr>
          <w:rFonts w:eastAsia="Times New Roman"/>
          <w:strike/>
          <w:lang w:val="bg-BG"/>
        </w:rPr>
        <w:t xml:space="preserve">маркировка „СЕ“ означава маркировка, чрез която производителят указва, че </w:t>
      </w:r>
      <w:proofErr w:type="spellStart"/>
      <w:r w:rsidRPr="00952162">
        <w:rPr>
          <w:rFonts w:eastAsia="Times New Roman"/>
          <w:strike/>
          <w:lang w:val="bg-BG"/>
        </w:rPr>
        <w:t>детергентът</w:t>
      </w:r>
      <w:proofErr w:type="spellEnd"/>
      <w:r w:rsidRPr="00952162">
        <w:rPr>
          <w:rFonts w:eastAsia="Times New Roman"/>
          <w:strike/>
          <w:lang w:val="bg-BG"/>
        </w:rPr>
        <w:t xml:space="preserve"> е в съответствие с приложимите изисквания, установени в законодателството на Съюза за хармонизация, предвиждащо нейното нанасяне;</w:t>
      </w:r>
      <w:r w:rsidR="008A6BB8" w:rsidRPr="008A6BB8">
        <w:rPr>
          <w:rFonts w:eastAsia="Times New Roman"/>
          <w:b/>
          <w:lang w:val="bg-BG"/>
        </w:rPr>
        <w:t xml:space="preserve"> [Изм. 38]</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25)</w:t>
      </w:r>
      <w:r w:rsidRPr="00952162">
        <w:rPr>
          <w:rFonts w:eastAsia="Times New Roman"/>
          <w:lang w:val="bg-BG"/>
        </w:rPr>
        <w:tab/>
        <w:t>„</w:t>
      </w:r>
      <w:r w:rsidRPr="00952162">
        <w:rPr>
          <w:rFonts w:eastAsia="Times New Roman"/>
          <w:strike/>
          <w:lang w:val="bg-BG"/>
        </w:rPr>
        <w:t xml:space="preserve">коригиращи </w:t>
      </w:r>
      <w:proofErr w:type="spellStart"/>
      <w:r w:rsidRPr="00952162">
        <w:rPr>
          <w:rFonts w:eastAsia="Times New Roman"/>
          <w:strike/>
          <w:lang w:val="bg-BG"/>
        </w:rPr>
        <w:t>мерки</w:t>
      </w:r>
      <w:r w:rsidRPr="00952162">
        <w:rPr>
          <w:rFonts w:eastAsia="Times New Roman"/>
          <w:b/>
          <w:i/>
          <w:lang w:val="bg-BG"/>
        </w:rPr>
        <w:t>коригиращо</w:t>
      </w:r>
      <w:proofErr w:type="spellEnd"/>
      <w:r w:rsidRPr="00952162">
        <w:rPr>
          <w:rFonts w:eastAsia="Times New Roman"/>
          <w:b/>
          <w:i/>
          <w:lang w:val="bg-BG"/>
        </w:rPr>
        <w:t xml:space="preserve"> действие</w:t>
      </w:r>
      <w:r w:rsidRPr="00952162">
        <w:rPr>
          <w:rFonts w:eastAsia="Times New Roman"/>
          <w:lang w:val="bg-BG"/>
        </w:rPr>
        <w:t xml:space="preserve">“ означава </w:t>
      </w:r>
      <w:proofErr w:type="spellStart"/>
      <w:r w:rsidRPr="00952162">
        <w:rPr>
          <w:rFonts w:eastAsia="Times New Roman"/>
          <w:strike/>
          <w:lang w:val="bg-BG"/>
        </w:rPr>
        <w:t>действия</w:t>
      </w:r>
      <w:r w:rsidRPr="00952162">
        <w:rPr>
          <w:rFonts w:eastAsia="Times New Roman"/>
          <w:b/>
          <w:i/>
          <w:lang w:val="bg-BG"/>
        </w:rPr>
        <w:t>действие</w:t>
      </w:r>
      <w:proofErr w:type="spellEnd"/>
      <w:r w:rsidRPr="00952162">
        <w:rPr>
          <w:rFonts w:eastAsia="Times New Roman"/>
          <w:lang w:val="bg-BG"/>
        </w:rPr>
        <w:t xml:space="preserve"> съгласно определението в член 3, точка 16 от Регламент (ЕС) № 2019/1020</w:t>
      </w:r>
      <w:r w:rsidRPr="00952162">
        <w:rPr>
          <w:rFonts w:eastAsia="Times New Roman"/>
          <w:vertAlign w:val="superscript"/>
          <w:lang w:val="bg-BG"/>
        </w:rPr>
        <w:footnoteReference w:id="19"/>
      </w:r>
      <w:r w:rsidRPr="00952162">
        <w:rPr>
          <w:rFonts w:eastAsia="Times New Roman"/>
          <w:lang w:val="bg-BG"/>
        </w:rPr>
        <w:t>;</w:t>
      </w:r>
      <w:r w:rsidR="008A6BB8">
        <w:rPr>
          <w:rFonts w:eastAsia="Times New Roman"/>
          <w:b/>
          <w:lang w:val="bg-BG"/>
        </w:rPr>
        <w:t xml:space="preserve"> [Изм. 39]</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26)</w:t>
      </w:r>
      <w:r w:rsidRPr="00952162">
        <w:rPr>
          <w:rFonts w:eastAsia="Times New Roman"/>
          <w:lang w:val="bg-BG"/>
        </w:rPr>
        <w:tab/>
        <w:t>„допускане за свободно обращение“ означава процедурата, определена в член 201 от Регламент (ЕС) № 952/2013;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27)</w:t>
      </w:r>
      <w:r w:rsidRPr="00952162">
        <w:rPr>
          <w:rFonts w:eastAsia="Times New Roman"/>
          <w:lang w:val="bg-BG"/>
        </w:rPr>
        <w:tab/>
        <w:t>„носител на данни“ означава символ на линеен баркод, двуизмерен символ или друг носител за автоматично събиране на данни за идентифициране, който може да бъде прочетен от устройство;</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28)</w:t>
      </w:r>
      <w:r w:rsidRPr="00952162">
        <w:rPr>
          <w:rFonts w:eastAsia="Times New Roman"/>
          <w:lang w:val="bg-BG"/>
        </w:rPr>
        <w:tab/>
        <w:t>„единен идентификационен код на продукта“ означава уникален низ от знаци</w:t>
      </w:r>
      <w:r w:rsidRPr="00952162">
        <w:rPr>
          <w:rFonts w:eastAsia="Times New Roman"/>
          <w:strike/>
          <w:lang w:val="bg-BG"/>
        </w:rPr>
        <w:t>, който позволява</w:t>
      </w:r>
      <w:r w:rsidRPr="00952162">
        <w:rPr>
          <w:rFonts w:eastAsia="Times New Roman"/>
          <w:b/>
          <w:i/>
          <w:lang w:val="bg-BG"/>
        </w:rPr>
        <w:t xml:space="preserve"> за</w:t>
      </w:r>
      <w:r w:rsidRPr="00952162">
        <w:rPr>
          <w:rFonts w:eastAsia="Times New Roman"/>
          <w:lang w:val="bg-BG"/>
        </w:rPr>
        <w:t xml:space="preserve"> идентифициране на даден продукт</w:t>
      </w:r>
      <w:r w:rsidRPr="00952162">
        <w:rPr>
          <w:rFonts w:eastAsia="Times New Roman"/>
          <w:b/>
          <w:i/>
          <w:lang w:val="bg-BG"/>
        </w:rPr>
        <w:t>, като той дава също</w:t>
      </w:r>
      <w:r w:rsidRPr="00952162">
        <w:rPr>
          <w:rFonts w:eastAsia="Times New Roman"/>
          <w:strike/>
          <w:lang w:val="bg-BG"/>
        </w:rPr>
        <w:t xml:space="preserve"> и дава</w:t>
      </w:r>
      <w:r w:rsidRPr="00952162">
        <w:rPr>
          <w:rFonts w:eastAsia="Times New Roman"/>
          <w:lang w:val="bg-BG"/>
        </w:rPr>
        <w:t xml:space="preserve"> възможност за </w:t>
      </w:r>
      <w:r w:rsidRPr="00952162">
        <w:rPr>
          <w:rFonts w:eastAsia="Times New Roman"/>
          <w:strike/>
          <w:lang w:val="bg-BG"/>
        </w:rPr>
        <w:t xml:space="preserve">интернет </w:t>
      </w:r>
      <w:proofErr w:type="spellStart"/>
      <w:r w:rsidRPr="00952162">
        <w:rPr>
          <w:rFonts w:eastAsia="Times New Roman"/>
          <w:strike/>
          <w:lang w:val="bg-BG"/>
        </w:rPr>
        <w:t>връзка</w:t>
      </w:r>
      <w:r w:rsidRPr="00952162">
        <w:rPr>
          <w:rFonts w:eastAsia="Times New Roman"/>
          <w:b/>
          <w:i/>
          <w:lang w:val="bg-BG"/>
        </w:rPr>
        <w:t>електронна</w:t>
      </w:r>
      <w:proofErr w:type="spellEnd"/>
      <w:r w:rsidRPr="00952162">
        <w:rPr>
          <w:rFonts w:eastAsia="Times New Roman"/>
          <w:b/>
          <w:i/>
          <w:lang w:val="bg-BG"/>
        </w:rPr>
        <w:t xml:space="preserve"> препратка</w:t>
      </w:r>
      <w:r w:rsidRPr="00952162">
        <w:rPr>
          <w:rFonts w:eastAsia="Times New Roman"/>
          <w:lang w:val="bg-BG"/>
        </w:rPr>
        <w:t xml:space="preserve"> към продуктовия паспорт;</w:t>
      </w:r>
      <w:r w:rsidR="008A6BB8">
        <w:rPr>
          <w:rFonts w:eastAsia="Times New Roman"/>
          <w:b/>
          <w:lang w:val="bg-BG"/>
        </w:rPr>
        <w:t xml:space="preserve"> [Изм. 40]</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29)</w:t>
      </w:r>
      <w:r w:rsidRPr="00952162">
        <w:rPr>
          <w:rFonts w:eastAsia="Times New Roman"/>
          <w:lang w:val="bg-BG"/>
        </w:rPr>
        <w:tab/>
        <w:t xml:space="preserve">„единен идентификационен код на оператора“ означава уникален низ от знаци за идентифициране на </w:t>
      </w:r>
      <w:r w:rsidRPr="00952162">
        <w:rPr>
          <w:rFonts w:eastAsia="Times New Roman"/>
          <w:strike/>
          <w:lang w:val="bg-BG"/>
        </w:rPr>
        <w:t xml:space="preserve">икономическите оператори, </w:t>
      </w:r>
      <w:proofErr w:type="spellStart"/>
      <w:r w:rsidRPr="00952162">
        <w:rPr>
          <w:rFonts w:eastAsia="Times New Roman"/>
          <w:strike/>
          <w:lang w:val="bg-BG"/>
        </w:rPr>
        <w:t>участващи</w:t>
      </w:r>
      <w:r w:rsidRPr="00952162">
        <w:rPr>
          <w:rFonts w:eastAsia="Times New Roman"/>
          <w:b/>
          <w:i/>
          <w:lang w:val="bg-BG"/>
        </w:rPr>
        <w:t>участниците</w:t>
      </w:r>
      <w:proofErr w:type="spellEnd"/>
      <w:r w:rsidRPr="00952162">
        <w:rPr>
          <w:rFonts w:eastAsia="Times New Roman"/>
          <w:lang w:val="bg-BG"/>
        </w:rPr>
        <w:t xml:space="preserve"> във веригата на стойността на продуктите;</w:t>
      </w:r>
      <w:r w:rsidR="008A6BB8">
        <w:rPr>
          <w:rFonts w:eastAsia="Times New Roman"/>
          <w:b/>
          <w:lang w:val="bg-BG"/>
        </w:rPr>
        <w:t xml:space="preserve"> [Изм. 41]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30)</w:t>
      </w:r>
      <w:r w:rsidRPr="00952162">
        <w:rPr>
          <w:rFonts w:eastAsia="Times New Roman"/>
          <w:lang w:val="bg-BG"/>
        </w:rPr>
        <w:tab/>
        <w:t>„митнически органи“ означава митнически органи съгласно определението в член 5, точка 1 от Регламент (ЕС) № 952/2013;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31)</w:t>
      </w:r>
      <w:r w:rsidRPr="00952162">
        <w:rPr>
          <w:rFonts w:eastAsia="Times New Roman"/>
          <w:lang w:val="bg-BG"/>
        </w:rPr>
        <w:tab/>
        <w:t>„електронна система на Европейския съюз за митническо обслужване на едно гише: обмен на сертификати“ означава системата, посочена в член 4 от Регламент (ЕС) 2022/2399 на Европейския парламент и на Съвета</w:t>
      </w:r>
      <w:r w:rsidRPr="00952162">
        <w:rPr>
          <w:rFonts w:eastAsia="Times New Roman"/>
          <w:vertAlign w:val="superscript"/>
          <w:lang w:val="bg-BG"/>
        </w:rPr>
        <w:footnoteReference w:id="20"/>
      </w:r>
      <w:r w:rsidRPr="00952162">
        <w:rPr>
          <w:rFonts w:eastAsia="Times New Roman"/>
          <w:lang w:val="bg-BG"/>
        </w:rPr>
        <w:t>;</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32)</w:t>
      </w:r>
      <w:r w:rsidRPr="00952162">
        <w:rPr>
          <w:rFonts w:eastAsia="Times New Roman"/>
          <w:lang w:val="bg-BG"/>
        </w:rPr>
        <w:tab/>
        <w:t xml:space="preserve">„индивидуална опаковка“ означава опаковка, в която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се предлага на пазара и която е предназначена да придружава съдържанието до мястото на употреба;</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33)</w:t>
      </w:r>
      <w:r w:rsidRPr="00952162">
        <w:rPr>
          <w:rFonts w:eastAsia="Times New Roman"/>
          <w:lang w:val="bg-BG"/>
        </w:rPr>
        <w:tab/>
        <w:t xml:space="preserve">„повторно пълнене“ означава операцията, при която </w:t>
      </w:r>
      <w:proofErr w:type="spellStart"/>
      <w:r w:rsidRPr="00952162">
        <w:rPr>
          <w:rFonts w:eastAsia="Times New Roman"/>
          <w:strike/>
          <w:lang w:val="bg-BG"/>
        </w:rPr>
        <w:t>детергентът</w:t>
      </w:r>
      <w:proofErr w:type="spellEnd"/>
      <w:r w:rsidRPr="00952162">
        <w:rPr>
          <w:rFonts w:eastAsia="Times New Roman"/>
          <w:strike/>
          <w:lang w:val="bg-BG"/>
        </w:rPr>
        <w:t xml:space="preserve"> </w:t>
      </w:r>
      <w:proofErr w:type="spellStart"/>
      <w:r w:rsidRPr="00952162">
        <w:rPr>
          <w:rFonts w:eastAsia="Times New Roman"/>
          <w:strike/>
          <w:lang w:val="bg-BG"/>
        </w:rPr>
        <w:t>се</w:t>
      </w:r>
      <w:r w:rsidRPr="00952162">
        <w:rPr>
          <w:rFonts w:eastAsia="Times New Roman"/>
          <w:b/>
          <w:i/>
          <w:lang w:val="bg-BG"/>
        </w:rPr>
        <w:t>потребител</w:t>
      </w:r>
      <w:proofErr w:type="spellEnd"/>
      <w:r w:rsidRPr="00952162">
        <w:rPr>
          <w:rFonts w:eastAsia="Times New Roman"/>
          <w:b/>
          <w:i/>
          <w:lang w:val="bg-BG"/>
        </w:rPr>
        <w:t xml:space="preserve"> или професионален потребител</w:t>
      </w:r>
      <w:r w:rsidRPr="00952162">
        <w:rPr>
          <w:rFonts w:eastAsia="Times New Roman"/>
          <w:lang w:val="bg-BG"/>
        </w:rPr>
        <w:t xml:space="preserve"> пълни</w:t>
      </w:r>
      <w:r w:rsidRPr="00952162">
        <w:rPr>
          <w:rFonts w:eastAsia="Times New Roman"/>
          <w:strike/>
          <w:lang w:val="bg-BG"/>
        </w:rPr>
        <w:t xml:space="preserve"> в магазина от голям контейнер в собствената</w:t>
      </w:r>
      <w:r w:rsidRPr="00952162">
        <w:rPr>
          <w:rFonts w:eastAsia="Times New Roman"/>
          <w:lang w:val="bg-BG"/>
        </w:rPr>
        <w:t xml:space="preserve"> опаковка </w:t>
      </w:r>
      <w:r w:rsidRPr="00952162">
        <w:rPr>
          <w:rFonts w:eastAsia="Times New Roman"/>
          <w:b/>
          <w:i/>
          <w:lang w:val="bg-BG"/>
        </w:rPr>
        <w:t xml:space="preserve">с </w:t>
      </w:r>
      <w:proofErr w:type="spellStart"/>
      <w:r w:rsidRPr="00952162">
        <w:rPr>
          <w:rFonts w:eastAsia="Times New Roman"/>
          <w:b/>
          <w:i/>
          <w:lang w:val="bg-BG"/>
        </w:rPr>
        <w:t>детергент</w:t>
      </w:r>
      <w:proofErr w:type="spellEnd"/>
      <w:r w:rsidRPr="00952162">
        <w:rPr>
          <w:rFonts w:eastAsia="Times New Roman"/>
          <w:b/>
          <w:i/>
          <w:lang w:val="bg-BG"/>
        </w:rPr>
        <w:t xml:space="preserve">, предлаган от доставчик в хода на търговска дейност, срещу заплащане или </w:t>
      </w:r>
      <w:proofErr w:type="spellStart"/>
      <w:r w:rsidRPr="00952162">
        <w:rPr>
          <w:rFonts w:eastAsia="Times New Roman"/>
          <w:b/>
          <w:i/>
          <w:lang w:val="bg-BG"/>
        </w:rPr>
        <w:t>безплатно</w:t>
      </w:r>
      <w:r w:rsidRPr="00952162">
        <w:rPr>
          <w:rFonts w:eastAsia="Times New Roman"/>
          <w:strike/>
          <w:lang w:val="bg-BG"/>
        </w:rPr>
        <w:t>на</w:t>
      </w:r>
      <w:proofErr w:type="spellEnd"/>
      <w:r w:rsidRPr="00952162">
        <w:rPr>
          <w:rFonts w:eastAsia="Times New Roman"/>
          <w:strike/>
          <w:lang w:val="bg-BG"/>
        </w:rPr>
        <w:t xml:space="preserve"> крайния ползвател ръчно или чрез автоматично или полуавтоматично оборудване</w:t>
      </w:r>
      <w:r w:rsidRPr="00952162">
        <w:rPr>
          <w:rFonts w:eastAsia="Times New Roman"/>
          <w:lang w:val="bg-BG"/>
        </w:rPr>
        <w:t>;</w:t>
      </w:r>
      <w:r w:rsidR="008A6BB8">
        <w:rPr>
          <w:rFonts w:eastAsia="Times New Roman"/>
          <w:b/>
          <w:lang w:val="bg-BG"/>
        </w:rPr>
        <w:t xml:space="preserve"> [Изм. 42]</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34)</w:t>
      </w:r>
      <w:r w:rsidRPr="00952162">
        <w:rPr>
          <w:rFonts w:eastAsia="Times New Roman"/>
          <w:lang w:val="bg-BG"/>
        </w:rPr>
        <w:tab/>
        <w:t>„партида“ означава определено количество готови продукти, което отговаря на следните условия: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произвежда се в един производствен процес или в серия от процеси по време на един и същ производствен цикъл;</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предназначено е да има еднакъв състав, когато се изпитва в съответствие с едни и същи методи за изпитване; 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w:t>
      </w:r>
      <w:r w:rsidRPr="00952162">
        <w:rPr>
          <w:rFonts w:eastAsia="Times New Roman"/>
          <w:lang w:val="bg-BG"/>
        </w:rPr>
        <w:tab/>
        <w:t>е ясно обозначено с номер на типа, номер на партидата или друг елемент, позволяващ неговото идентифициране;</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lastRenderedPageBreak/>
        <w:t>34a)</w:t>
      </w:r>
      <w:r w:rsidRPr="00952162">
        <w:rPr>
          <w:rFonts w:eastAsia="Times New Roman"/>
          <w:lang w:val="bg-BG"/>
        </w:rPr>
        <w:tab/>
      </w:r>
      <w:r w:rsidRPr="00952162">
        <w:rPr>
          <w:rFonts w:eastAsia="Times New Roman"/>
          <w:b/>
          <w:i/>
          <w:lang w:val="bg-BG"/>
        </w:rPr>
        <w:t xml:space="preserve">„модел“ означава група </w:t>
      </w:r>
      <w:proofErr w:type="spellStart"/>
      <w:r w:rsidRPr="00952162">
        <w:rPr>
          <w:rFonts w:eastAsia="Times New Roman"/>
          <w:b/>
          <w:i/>
          <w:lang w:val="bg-BG"/>
        </w:rPr>
        <w:t>детергенти</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които отговарят на следните условия:</w:t>
      </w:r>
    </w:p>
    <w:p w:rsidR="00952162" w:rsidRPr="00952162" w:rsidRDefault="00D46023" w:rsidP="00952162">
      <w:pPr>
        <w:widowControl w:val="0"/>
        <w:spacing w:before="120" w:after="120" w:line="360" w:lineRule="auto"/>
        <w:ind w:left="1416" w:hanging="566"/>
        <w:jc w:val="left"/>
        <w:rPr>
          <w:rFonts w:eastAsia="Times New Roman"/>
          <w:lang w:val="bg-BG"/>
        </w:rPr>
      </w:pPr>
      <w:r>
        <w:rPr>
          <w:rFonts w:eastAsia="Times New Roman"/>
          <w:lang w:val="sk-SK"/>
        </w:rPr>
        <w:t>-</w:t>
      </w:r>
      <w:r w:rsidR="00952162" w:rsidRPr="00952162">
        <w:rPr>
          <w:rFonts w:eastAsia="Times New Roman"/>
          <w:lang w:val="bg-BG"/>
        </w:rPr>
        <w:tab/>
      </w:r>
      <w:r w:rsidR="00952162" w:rsidRPr="00952162">
        <w:rPr>
          <w:rFonts w:eastAsia="Times New Roman"/>
          <w:b/>
          <w:i/>
          <w:lang w:val="bg-BG"/>
        </w:rPr>
        <w:t>за тях отговаря един и същ производител;</w:t>
      </w:r>
    </w:p>
    <w:p w:rsidR="00952162" w:rsidRPr="00952162" w:rsidRDefault="00D46023" w:rsidP="00952162">
      <w:pPr>
        <w:widowControl w:val="0"/>
        <w:spacing w:before="120" w:after="120" w:line="360" w:lineRule="auto"/>
        <w:ind w:left="1416" w:hanging="566"/>
        <w:jc w:val="left"/>
        <w:rPr>
          <w:rFonts w:eastAsia="Times New Roman"/>
          <w:lang w:val="bg-BG"/>
        </w:rPr>
      </w:pPr>
      <w:r>
        <w:rPr>
          <w:rFonts w:eastAsia="Times New Roman"/>
          <w:lang w:val="sk-SK"/>
        </w:rPr>
        <w:t>-</w:t>
      </w:r>
      <w:r w:rsidR="00952162" w:rsidRPr="00952162">
        <w:rPr>
          <w:rFonts w:eastAsia="Times New Roman"/>
          <w:lang w:val="bg-BG"/>
        </w:rPr>
        <w:tab/>
      </w:r>
      <w:r w:rsidR="00952162" w:rsidRPr="00952162">
        <w:rPr>
          <w:rFonts w:eastAsia="Times New Roman"/>
          <w:b/>
          <w:i/>
          <w:lang w:val="bg-BG"/>
        </w:rPr>
        <w:t>те имат едно и също съдържание в съответствие с част А от приложение V и са произведени чрез едни и същи производствени процеси;</w:t>
      </w:r>
    </w:p>
    <w:p w:rsidR="00952162" w:rsidRPr="00952162" w:rsidRDefault="00D46023" w:rsidP="00952162">
      <w:pPr>
        <w:widowControl w:val="0"/>
        <w:spacing w:before="120" w:after="120" w:line="360" w:lineRule="auto"/>
        <w:ind w:left="1416" w:hanging="566"/>
        <w:jc w:val="left"/>
        <w:rPr>
          <w:rFonts w:eastAsia="Times New Roman"/>
          <w:lang w:val="bg-BG"/>
        </w:rPr>
      </w:pPr>
      <w:r>
        <w:rPr>
          <w:rFonts w:eastAsia="Times New Roman"/>
          <w:lang w:val="sk-SK"/>
        </w:rPr>
        <w:t>-</w:t>
      </w:r>
      <w:r w:rsidR="00952162" w:rsidRPr="00952162">
        <w:rPr>
          <w:rFonts w:eastAsia="Times New Roman"/>
          <w:lang w:val="bg-BG"/>
        </w:rPr>
        <w:tab/>
      </w:r>
      <w:r w:rsidR="00952162" w:rsidRPr="00952162">
        <w:rPr>
          <w:rFonts w:eastAsia="Times New Roman"/>
          <w:b/>
          <w:i/>
          <w:lang w:val="bg-BG"/>
        </w:rPr>
        <w:t>те трябва да имат еднакъв състав, ако се изпитват чрез едни и същи методи за изпитване; както и</w:t>
      </w:r>
    </w:p>
    <w:p w:rsidR="00952162" w:rsidRPr="00952162" w:rsidRDefault="00D46023" w:rsidP="00952162">
      <w:pPr>
        <w:widowControl w:val="0"/>
        <w:spacing w:before="120" w:after="120" w:line="360" w:lineRule="auto"/>
        <w:ind w:left="1416" w:hanging="566"/>
        <w:jc w:val="left"/>
        <w:rPr>
          <w:rFonts w:eastAsia="Times New Roman"/>
          <w:b/>
          <w:lang w:val="bg-BG"/>
        </w:rPr>
      </w:pPr>
      <w:r>
        <w:rPr>
          <w:rFonts w:eastAsia="Times New Roman"/>
          <w:lang w:val="sk-SK"/>
        </w:rPr>
        <w:t>-</w:t>
      </w:r>
      <w:bookmarkStart w:id="8" w:name="_GoBack"/>
      <w:bookmarkEnd w:id="8"/>
      <w:r w:rsidR="00952162" w:rsidRPr="00952162">
        <w:rPr>
          <w:rFonts w:eastAsia="Times New Roman"/>
          <w:lang w:val="bg-BG"/>
        </w:rPr>
        <w:tab/>
      </w:r>
      <w:r w:rsidR="00952162" w:rsidRPr="00952162">
        <w:rPr>
          <w:rFonts w:eastAsia="Times New Roman"/>
          <w:b/>
          <w:i/>
          <w:lang w:val="bg-BG"/>
        </w:rPr>
        <w:t>те са ясно обозначени с номер на типа или друг елемент, който позволява тяхното идентифициране;</w:t>
      </w:r>
      <w:r w:rsidR="008A6BB8">
        <w:rPr>
          <w:rFonts w:eastAsia="Times New Roman"/>
          <w:b/>
          <w:lang w:val="bg-BG"/>
        </w:rPr>
        <w:t xml:space="preserve"> [Изм. 43]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35)</w:t>
      </w:r>
      <w:r w:rsidRPr="00952162">
        <w:rPr>
          <w:rFonts w:eastAsia="Times New Roman"/>
          <w:lang w:val="bg-BG"/>
        </w:rPr>
        <w:tab/>
        <w:t xml:space="preserve">„краен ползвател“ означава всяко физическо или юридическо лице, пребиваващо или установено в Съюза, на което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е бил(о) предоставен(о) било то като на потребител, извън всякаква търговска или стопанска дейност, занаят или професия, или като на професионален краен ползвател в процеса на неговите промишлени или професионални дейности.</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ГЛАВА II</w:t>
      </w:r>
      <w:r w:rsidRPr="00952162">
        <w:rPr>
          <w:rFonts w:eastAsia="Times New Roman"/>
          <w:lang w:val="bg-BG"/>
        </w:rPr>
        <w:br/>
        <w:t>ИЗИСКВАНИЯ КЪМ ПРОДУКТИТЕ</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3</w:t>
      </w:r>
      <w:r w:rsidRPr="00952162">
        <w:rPr>
          <w:rFonts w:eastAsia="Times New Roman"/>
          <w:lang w:val="bg-BG"/>
        </w:rPr>
        <w:br/>
        <w:t>Свободно движение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могат да се пускат на пазара само ако са в съответствие с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Държавите-членки не забраняват, ограничават или възпрепятстват пускането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са в съответствие с настоящия регламент.</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4</w:t>
      </w:r>
      <w:r w:rsidRPr="00952162">
        <w:rPr>
          <w:rFonts w:eastAsia="Times New Roman"/>
          <w:lang w:val="bg-BG"/>
        </w:rPr>
        <w:br/>
      </w:r>
      <w:proofErr w:type="spellStart"/>
      <w:r w:rsidRPr="00952162">
        <w:rPr>
          <w:rFonts w:eastAsia="Times New Roman"/>
          <w:lang w:val="bg-BG"/>
        </w:rPr>
        <w:t>Биоразградимост</w:t>
      </w:r>
      <w:proofErr w:type="spellEnd"/>
      <w:r w:rsidRPr="00952162">
        <w:rPr>
          <w:rFonts w:eastAsia="Times New Roman"/>
          <w:lang w:val="bg-BG"/>
        </w:rPr>
        <w:t xml:space="preserve"> </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трябва да отговарят на изискванията за </w:t>
      </w:r>
      <w:proofErr w:type="spellStart"/>
      <w:r w:rsidRPr="00952162">
        <w:rPr>
          <w:rFonts w:eastAsia="Times New Roman"/>
          <w:lang w:val="bg-BG"/>
        </w:rPr>
        <w:t>биоразградимост</w:t>
      </w:r>
      <w:proofErr w:type="spellEnd"/>
      <w:r w:rsidRPr="00952162">
        <w:rPr>
          <w:rFonts w:eastAsia="Times New Roman"/>
          <w:lang w:val="bg-BG"/>
        </w:rPr>
        <w:t>, посочени в приложение I.</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w:t>
      </w:r>
      <w:r w:rsidRPr="00952162">
        <w:rPr>
          <w:rFonts w:eastAsia="Times New Roman"/>
          <w:lang w:val="bg-BG"/>
        </w:rPr>
        <w:tab/>
        <w:t>Параграф 1 не се прилага по отношение на</w:t>
      </w:r>
      <w:r w:rsidRPr="00952162">
        <w:rPr>
          <w:rFonts w:eastAsia="Times New Roman"/>
          <w:b/>
          <w:i/>
          <w:lang w:val="bg-BG"/>
        </w:rPr>
        <w:t xml:space="preserve">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които са активни вещества според определението в член 3, параграф 1, буква в) от Регламент (ЕС) № 528/2012 и които се използват като дезинфектанти, когато отговарят на някое от следните условия</w:t>
      </w:r>
      <w:r w:rsidRPr="00952162">
        <w:rPr>
          <w:rFonts w:eastAsia="Times New Roman"/>
          <w:lang w:val="bg-BG"/>
        </w:rPr>
        <w:t>:</w:t>
      </w:r>
      <w:r w:rsidR="008A6BB8">
        <w:rPr>
          <w:rFonts w:eastAsia="Times New Roman"/>
          <w:b/>
          <w:lang w:val="bg-BG"/>
        </w:rPr>
        <w:t xml:space="preserve"> [Изм. 44]</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lastRenderedPageBreak/>
        <w:t>а)</w:t>
      </w:r>
      <w:r w:rsidRPr="00952162">
        <w:rPr>
          <w:rFonts w:eastAsia="Times New Roman"/>
          <w:lang w:val="bg-BG"/>
        </w:rPr>
        <w:tab/>
      </w:r>
      <w:proofErr w:type="spellStart"/>
      <w:r w:rsidRPr="00952162">
        <w:rPr>
          <w:rFonts w:eastAsia="Times New Roman"/>
          <w:strike/>
          <w:lang w:val="bg-BG"/>
        </w:rPr>
        <w:t>повърхностноактивните</w:t>
      </w:r>
      <w:proofErr w:type="spellEnd"/>
      <w:r w:rsidRPr="00952162">
        <w:rPr>
          <w:rFonts w:eastAsia="Times New Roman"/>
          <w:strike/>
          <w:lang w:val="bg-BG"/>
        </w:rPr>
        <w:t xml:space="preserve"> вещества, които </w:t>
      </w:r>
      <w:proofErr w:type="spellStart"/>
      <w:r w:rsidRPr="00952162">
        <w:rPr>
          <w:rFonts w:eastAsia="Times New Roman"/>
          <w:strike/>
          <w:lang w:val="bg-BG"/>
        </w:rPr>
        <w:t>са</w:t>
      </w:r>
      <w:r w:rsidRPr="00952162">
        <w:rPr>
          <w:rFonts w:eastAsia="Times New Roman"/>
          <w:b/>
          <w:i/>
          <w:lang w:val="bg-BG"/>
        </w:rPr>
        <w:t>те</w:t>
      </w:r>
      <w:proofErr w:type="spellEnd"/>
      <w:r w:rsidRPr="00952162">
        <w:rPr>
          <w:rFonts w:eastAsia="Times New Roman"/>
          <w:b/>
          <w:i/>
          <w:lang w:val="bg-BG"/>
        </w:rPr>
        <w:t xml:space="preserve"> са включени в списъка на Съюза на одобрените</w:t>
      </w:r>
      <w:r w:rsidRPr="00952162">
        <w:rPr>
          <w:rFonts w:eastAsia="Times New Roman"/>
          <w:lang w:val="bg-BG"/>
        </w:rPr>
        <w:t xml:space="preserve"> активни вещества</w:t>
      </w:r>
      <w:r w:rsidRPr="00952162">
        <w:rPr>
          <w:rFonts w:eastAsia="Times New Roman"/>
          <w:strike/>
          <w:lang w:val="bg-BG"/>
        </w:rPr>
        <w:t xml:space="preserve"> по смисъла на член 3</w:t>
      </w:r>
      <w:r w:rsidRPr="00952162">
        <w:rPr>
          <w:rFonts w:eastAsia="Times New Roman"/>
          <w:b/>
          <w:i/>
          <w:lang w:val="bg-BG"/>
        </w:rPr>
        <w:t>, посочен в член 9</w:t>
      </w:r>
      <w:r w:rsidRPr="00952162">
        <w:rPr>
          <w:rFonts w:eastAsia="Times New Roman"/>
          <w:lang w:val="bg-BG"/>
        </w:rPr>
        <w:t xml:space="preserve">, параграф </w:t>
      </w:r>
      <w:r w:rsidRPr="00952162">
        <w:rPr>
          <w:rFonts w:eastAsia="Times New Roman"/>
          <w:strike/>
          <w:lang w:val="bg-BG"/>
        </w:rPr>
        <w:t>1, буква в)</w:t>
      </w:r>
      <w:r w:rsidRPr="00952162">
        <w:rPr>
          <w:rFonts w:eastAsia="Times New Roman"/>
          <w:b/>
          <w:i/>
          <w:lang w:val="bg-BG"/>
        </w:rPr>
        <w:t>2</w:t>
      </w:r>
      <w:r w:rsidRPr="00952162">
        <w:rPr>
          <w:rFonts w:eastAsia="Times New Roman"/>
          <w:lang w:val="bg-BG"/>
        </w:rPr>
        <w:t xml:space="preserve"> от Регламент (ЕС) № 528/2012</w:t>
      </w:r>
      <w:r w:rsidRPr="00952162">
        <w:rPr>
          <w:rFonts w:eastAsia="Times New Roman"/>
          <w:strike/>
          <w:lang w:val="bg-BG"/>
        </w:rPr>
        <w:t xml:space="preserve"> и които се използват като дезинфектанти, когато отговарят на някое от следните условия:</w:t>
      </w:r>
      <w:r w:rsidRPr="00952162">
        <w:rPr>
          <w:rFonts w:eastAsia="Times New Roman"/>
          <w:b/>
          <w:i/>
          <w:lang w:val="bg-BG"/>
        </w:rPr>
        <w:t>;</w:t>
      </w:r>
      <w:r w:rsidR="008A6BB8">
        <w:rPr>
          <w:rFonts w:eastAsia="Times New Roman"/>
          <w:b/>
          <w:lang w:val="bg-BG"/>
        </w:rPr>
        <w:t xml:space="preserve"> [Изм. 45]</w:t>
      </w:r>
    </w:p>
    <w:p w:rsidR="00952162" w:rsidRPr="00952162" w:rsidRDefault="00952162" w:rsidP="00952162">
      <w:pPr>
        <w:widowControl w:val="0"/>
        <w:spacing w:before="120" w:after="120" w:line="360" w:lineRule="auto"/>
        <w:ind w:left="1982" w:hanging="566"/>
        <w:jc w:val="left"/>
        <w:rPr>
          <w:rFonts w:eastAsia="Times New Roman"/>
          <w:b/>
          <w:lang w:val="bg-BG"/>
        </w:rPr>
      </w:pPr>
      <w:r w:rsidRPr="00952162">
        <w:rPr>
          <w:rFonts w:eastAsia="Times New Roman"/>
          <w:strike/>
          <w:lang w:val="bg-BG"/>
        </w:rPr>
        <w:t>i)</w:t>
      </w:r>
      <w:r w:rsidRPr="00952162">
        <w:rPr>
          <w:rFonts w:eastAsia="Times New Roman"/>
          <w:lang w:val="bg-BG"/>
        </w:rPr>
        <w:tab/>
      </w:r>
      <w:proofErr w:type="spellStart"/>
      <w:r w:rsidRPr="00952162">
        <w:rPr>
          <w:rFonts w:eastAsia="Times New Roman"/>
          <w:strike/>
          <w:lang w:val="bg-BG"/>
        </w:rPr>
        <w:t>повърхностноактивното</w:t>
      </w:r>
      <w:proofErr w:type="spellEnd"/>
      <w:r w:rsidRPr="00952162">
        <w:rPr>
          <w:rFonts w:eastAsia="Times New Roman"/>
          <w:strike/>
          <w:lang w:val="bg-BG"/>
        </w:rPr>
        <w:t xml:space="preserve"> вещество е включено в списък на Съюза на одобрените активни вещества, посочен в член 9, параграф 2 от Регламент (ЕС) № 528/2012;</w:t>
      </w:r>
      <w:r w:rsidR="008A6BB8" w:rsidRPr="008A6BB8">
        <w:rPr>
          <w:rFonts w:eastAsia="Times New Roman"/>
          <w:b/>
          <w:lang w:val="bg-BG"/>
        </w:rPr>
        <w:t xml:space="preserve"> [Изм. 46]</w:t>
      </w:r>
    </w:p>
    <w:p w:rsidR="00952162" w:rsidRPr="00952162" w:rsidRDefault="00952162" w:rsidP="00952162">
      <w:pPr>
        <w:widowControl w:val="0"/>
        <w:spacing w:before="120" w:after="120" w:line="360" w:lineRule="auto"/>
        <w:ind w:left="1982" w:hanging="566"/>
        <w:jc w:val="left"/>
        <w:rPr>
          <w:rFonts w:eastAsia="Times New Roman"/>
          <w:b/>
          <w:lang w:val="bg-BG"/>
        </w:rPr>
      </w:pPr>
      <w:r w:rsidRPr="00952162">
        <w:rPr>
          <w:rFonts w:eastAsia="Times New Roman"/>
          <w:strike/>
          <w:lang w:val="bg-BG"/>
        </w:rPr>
        <w:t>ii)</w:t>
      </w:r>
      <w:r w:rsidRPr="00952162">
        <w:rPr>
          <w:rFonts w:eastAsia="Times New Roman"/>
          <w:lang w:val="bg-BG"/>
        </w:rPr>
        <w:tab/>
      </w:r>
      <w:proofErr w:type="spellStart"/>
      <w:r w:rsidRPr="00952162">
        <w:rPr>
          <w:rFonts w:eastAsia="Times New Roman"/>
          <w:strike/>
          <w:lang w:val="bg-BG"/>
        </w:rPr>
        <w:t>повърхностноактивното</w:t>
      </w:r>
      <w:proofErr w:type="spellEnd"/>
      <w:r w:rsidRPr="00952162">
        <w:rPr>
          <w:rFonts w:eastAsia="Times New Roman"/>
          <w:strike/>
          <w:lang w:val="bg-BG"/>
        </w:rPr>
        <w:t xml:space="preserve"> вещество е включено в програмата за преглед съгласно Делегиран регламент (ЕС) № 1062/2014 на Комисията</w:t>
      </w:r>
      <w:r w:rsidRPr="00952162">
        <w:rPr>
          <w:rFonts w:eastAsia="Times New Roman"/>
          <w:vertAlign w:val="superscript"/>
          <w:lang w:val="bg-BG"/>
        </w:rPr>
        <w:footnoteReference w:id="21"/>
      </w:r>
      <w:r w:rsidRPr="00952162">
        <w:rPr>
          <w:rFonts w:eastAsia="Times New Roman"/>
          <w:strike/>
          <w:lang w:val="bg-BG"/>
        </w:rPr>
        <w:t>;</w:t>
      </w:r>
      <w:r w:rsidR="008A6BB8" w:rsidRPr="008A6BB8">
        <w:rPr>
          <w:rFonts w:eastAsia="Times New Roman"/>
          <w:b/>
          <w:lang w:val="bg-BG"/>
        </w:rPr>
        <w:t xml:space="preserve"> [Изм. 47]</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б)</w:t>
      </w:r>
      <w:r w:rsidRPr="00952162">
        <w:rPr>
          <w:rFonts w:eastAsia="Times New Roman"/>
          <w:lang w:val="bg-BG"/>
        </w:rPr>
        <w:tab/>
      </w:r>
      <w:proofErr w:type="spellStart"/>
      <w:r w:rsidRPr="00952162">
        <w:rPr>
          <w:rFonts w:eastAsia="Times New Roman"/>
          <w:strike/>
          <w:lang w:val="bg-BG"/>
        </w:rPr>
        <w:t>повърхностноактивните</w:t>
      </w:r>
      <w:proofErr w:type="spellEnd"/>
      <w:r w:rsidRPr="00952162">
        <w:rPr>
          <w:rFonts w:eastAsia="Times New Roman"/>
          <w:strike/>
          <w:lang w:val="bg-BG"/>
        </w:rPr>
        <w:t xml:space="preserve"> вещества, които са съставки на </w:t>
      </w:r>
      <w:proofErr w:type="spellStart"/>
      <w:r w:rsidRPr="00952162">
        <w:rPr>
          <w:rFonts w:eastAsia="Times New Roman"/>
          <w:strike/>
          <w:lang w:val="bg-BG"/>
        </w:rPr>
        <w:t>биоциди</w:t>
      </w:r>
      <w:proofErr w:type="spellEnd"/>
      <w:r w:rsidRPr="00952162">
        <w:rPr>
          <w:rFonts w:eastAsia="Times New Roman"/>
          <w:strike/>
          <w:lang w:val="bg-BG"/>
        </w:rPr>
        <w:t>, одобрени в съответствие с</w:t>
      </w:r>
      <w:r w:rsidRPr="00952162">
        <w:rPr>
          <w:rFonts w:eastAsia="Times New Roman"/>
          <w:b/>
          <w:i/>
          <w:lang w:val="bg-BG"/>
        </w:rPr>
        <w:t>те са включени в програмата за преглед съгласно Делегиран</w:t>
      </w:r>
      <w:r w:rsidRPr="00952162">
        <w:rPr>
          <w:rFonts w:eastAsia="Times New Roman"/>
          <w:lang w:val="bg-BG"/>
        </w:rPr>
        <w:t xml:space="preserve"> регламент (ЕС) № </w:t>
      </w:r>
      <w:r w:rsidRPr="00952162">
        <w:rPr>
          <w:rFonts w:eastAsia="Times New Roman"/>
          <w:strike/>
          <w:lang w:val="bg-BG"/>
        </w:rPr>
        <w:t>528/2012</w:t>
      </w:r>
      <w:r w:rsidRPr="00952162">
        <w:rPr>
          <w:rFonts w:eastAsia="Times New Roman"/>
          <w:b/>
          <w:i/>
          <w:lang w:val="bg-BG"/>
        </w:rPr>
        <w:t>1062/2014 на Комисията</w:t>
      </w:r>
      <w:r w:rsidRPr="00952162">
        <w:rPr>
          <w:rFonts w:eastAsia="Times New Roman"/>
          <w:vertAlign w:val="superscript"/>
          <w:lang w:val="bg-BG"/>
        </w:rPr>
        <w:footnoteReference w:id="22"/>
      </w:r>
      <w:r w:rsidRPr="00952162">
        <w:rPr>
          <w:rFonts w:eastAsia="Times New Roman"/>
          <w:lang w:val="bg-BG"/>
        </w:rPr>
        <w:t>;</w:t>
      </w:r>
      <w:r w:rsidR="008A6BB8">
        <w:rPr>
          <w:rFonts w:eastAsia="Times New Roman"/>
          <w:b/>
          <w:lang w:val="bg-BG"/>
        </w:rPr>
        <w:t xml:space="preserve"> [Изм. 48]</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в)</w:t>
      </w:r>
      <w:r w:rsidRPr="00952162">
        <w:rPr>
          <w:rFonts w:eastAsia="Times New Roman"/>
          <w:lang w:val="bg-BG"/>
        </w:rPr>
        <w:tab/>
      </w:r>
      <w:proofErr w:type="spellStart"/>
      <w:r w:rsidRPr="00952162">
        <w:rPr>
          <w:rFonts w:eastAsia="Times New Roman"/>
          <w:strike/>
          <w:lang w:val="bg-BG"/>
        </w:rPr>
        <w:t>повърхностноактивните</w:t>
      </w:r>
      <w:proofErr w:type="spellEnd"/>
      <w:r w:rsidRPr="00952162">
        <w:rPr>
          <w:rFonts w:eastAsia="Times New Roman"/>
          <w:strike/>
          <w:lang w:val="bg-BG"/>
        </w:rPr>
        <w:t xml:space="preserve"> вещества, </w:t>
      </w:r>
      <w:proofErr w:type="spellStart"/>
      <w:r w:rsidRPr="00952162">
        <w:rPr>
          <w:rFonts w:eastAsia="Times New Roman"/>
          <w:strike/>
          <w:lang w:val="bg-BG"/>
        </w:rPr>
        <w:t>които</w:t>
      </w:r>
      <w:r w:rsidRPr="00952162">
        <w:rPr>
          <w:rFonts w:eastAsia="Times New Roman"/>
          <w:b/>
          <w:i/>
          <w:lang w:val="bg-BG"/>
        </w:rPr>
        <w:t>те</w:t>
      </w:r>
      <w:proofErr w:type="spellEnd"/>
      <w:r w:rsidRPr="00952162">
        <w:rPr>
          <w:rFonts w:eastAsia="Times New Roman"/>
          <w:lang w:val="bg-BG"/>
        </w:rPr>
        <w:t xml:space="preserve"> са съставки на </w:t>
      </w:r>
      <w:proofErr w:type="spellStart"/>
      <w:r w:rsidRPr="00952162">
        <w:rPr>
          <w:rFonts w:eastAsia="Times New Roman"/>
          <w:lang w:val="bg-BG"/>
        </w:rPr>
        <w:t>биоциди</w:t>
      </w:r>
      <w:proofErr w:type="spellEnd"/>
      <w:r w:rsidRPr="00952162">
        <w:rPr>
          <w:rFonts w:eastAsia="Times New Roman"/>
          <w:lang w:val="bg-BG"/>
        </w:rPr>
        <w:t xml:space="preserve"> и</w:t>
      </w:r>
      <w:r w:rsidRPr="00952162">
        <w:rPr>
          <w:rFonts w:eastAsia="Times New Roman"/>
          <w:strike/>
          <w:lang w:val="bg-BG"/>
        </w:rPr>
        <w:t xml:space="preserve"> които</w:t>
      </w:r>
      <w:r w:rsidRPr="00952162">
        <w:rPr>
          <w:rFonts w:eastAsia="Times New Roman"/>
          <w:lang w:val="bg-BG"/>
        </w:rPr>
        <w:t xml:space="preserve"> могат да бъдат предоставяни на пазара в съответствие с член </w:t>
      </w:r>
      <w:r w:rsidRPr="00952162">
        <w:rPr>
          <w:rFonts w:eastAsia="Times New Roman"/>
          <w:strike/>
          <w:lang w:val="bg-BG"/>
        </w:rPr>
        <w:t>89, параграф 2</w:t>
      </w:r>
      <w:r w:rsidRPr="00952162">
        <w:rPr>
          <w:rFonts w:eastAsia="Times New Roman"/>
          <w:b/>
          <w:i/>
          <w:lang w:val="bg-BG"/>
        </w:rPr>
        <w:t>55</w:t>
      </w:r>
      <w:r w:rsidRPr="00952162">
        <w:rPr>
          <w:rFonts w:eastAsia="Times New Roman"/>
          <w:lang w:val="bg-BG"/>
        </w:rPr>
        <w:t xml:space="preserve"> от Регламент (ЕС) № 528/2012.</w:t>
      </w:r>
      <w:r w:rsidR="008A6BB8">
        <w:rPr>
          <w:rFonts w:eastAsia="Times New Roman"/>
          <w:b/>
          <w:lang w:val="bg-BG"/>
        </w:rPr>
        <w:t xml:space="preserve"> [Изм. 49]</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lastRenderedPageBreak/>
        <w:t>2а.</w:t>
      </w:r>
      <w:r w:rsidRPr="00952162">
        <w:rPr>
          <w:rFonts w:eastAsia="Times New Roman"/>
          <w:lang w:val="bg-BG"/>
        </w:rPr>
        <w:tab/>
      </w:r>
      <w:r w:rsidRPr="00952162">
        <w:rPr>
          <w:rFonts w:eastAsia="Times New Roman"/>
          <w:b/>
          <w:i/>
          <w:lang w:val="bg-BG"/>
        </w:rPr>
        <w:t xml:space="preserve">В срок до... [4 години от влизането в сила на делегирания акт, приет в съответствие с втора алинея] органичните съставки на </w:t>
      </w:r>
      <w:proofErr w:type="spellStart"/>
      <w:r w:rsidRPr="00952162">
        <w:rPr>
          <w:rFonts w:eastAsia="Times New Roman"/>
          <w:b/>
          <w:i/>
          <w:lang w:val="bg-BG"/>
        </w:rPr>
        <w:t>детергентите</w:t>
      </w:r>
      <w:proofErr w:type="spellEnd"/>
      <w:r w:rsidRPr="00952162">
        <w:rPr>
          <w:rFonts w:eastAsia="Times New Roman"/>
          <w:b/>
          <w:i/>
          <w:lang w:val="bg-BG"/>
        </w:rPr>
        <w:t xml:space="preserve">, различни от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следва да имат присъща </w:t>
      </w:r>
      <w:proofErr w:type="spellStart"/>
      <w:r w:rsidRPr="00952162">
        <w:rPr>
          <w:rFonts w:eastAsia="Times New Roman"/>
          <w:b/>
          <w:i/>
          <w:lang w:val="bg-BG"/>
        </w:rPr>
        <w:t>биоразградимост</w:t>
      </w:r>
      <w:proofErr w:type="spellEnd"/>
      <w:r w:rsidRPr="00952162">
        <w:rPr>
          <w:rFonts w:eastAsia="Times New Roman"/>
          <w:b/>
          <w:i/>
          <w:lang w:val="bg-BG"/>
        </w:rPr>
        <w:t>.</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b/>
          <w:i/>
          <w:lang w:val="bg-BG"/>
        </w:rPr>
        <w:t xml:space="preserve">В срок до ... [2 години от датата на влизане в сила на настоящия регламент] Комисията приема делегирани актове в съответствие с член 27 за допълване на приложение I с критерии за присъща </w:t>
      </w:r>
      <w:proofErr w:type="spellStart"/>
      <w:r w:rsidRPr="00952162">
        <w:rPr>
          <w:rFonts w:eastAsia="Times New Roman"/>
          <w:b/>
          <w:i/>
          <w:lang w:val="bg-BG"/>
        </w:rPr>
        <w:t>биоразградимост</w:t>
      </w:r>
      <w:proofErr w:type="spellEnd"/>
      <w:r w:rsidRPr="00952162">
        <w:rPr>
          <w:rFonts w:eastAsia="Times New Roman"/>
          <w:b/>
          <w:i/>
          <w:lang w:val="bg-BG"/>
        </w:rPr>
        <w:t xml:space="preserve"> и методи за изпитване за съставки, различни от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b/>
          <w:i/>
          <w:lang w:val="bg-BG"/>
        </w:rPr>
        <w:t xml:space="preserve">Когато е необходимо, на Комисията се предоставя правомощието да приема делегирани актове в съответствие с член 27, за да разреши употребата на вещества в </w:t>
      </w:r>
      <w:proofErr w:type="spellStart"/>
      <w:r w:rsidRPr="00952162">
        <w:rPr>
          <w:rFonts w:eastAsia="Times New Roman"/>
          <w:b/>
          <w:i/>
          <w:lang w:val="bg-BG"/>
        </w:rPr>
        <w:t>детергентите</w:t>
      </w:r>
      <w:proofErr w:type="spellEnd"/>
      <w:r w:rsidRPr="00952162">
        <w:rPr>
          <w:rFonts w:eastAsia="Times New Roman"/>
          <w:b/>
          <w:i/>
          <w:lang w:val="bg-BG"/>
        </w:rPr>
        <w:t xml:space="preserve">, които не отговарят на критериите за </w:t>
      </w:r>
      <w:proofErr w:type="spellStart"/>
      <w:r w:rsidRPr="00952162">
        <w:rPr>
          <w:rFonts w:eastAsia="Times New Roman"/>
          <w:b/>
          <w:i/>
          <w:lang w:val="bg-BG"/>
        </w:rPr>
        <w:t>биоразградимост</w:t>
      </w:r>
      <w:proofErr w:type="spellEnd"/>
      <w:r w:rsidRPr="00952162">
        <w:rPr>
          <w:rFonts w:eastAsia="Times New Roman"/>
          <w:b/>
          <w:i/>
          <w:lang w:val="bg-BG"/>
        </w:rPr>
        <w:t>, установени в съответствие с приложение I.</w:t>
      </w:r>
    </w:p>
    <w:p w:rsidR="00952162" w:rsidRPr="00952162" w:rsidRDefault="00952162" w:rsidP="00952162">
      <w:pPr>
        <w:widowControl w:val="0"/>
        <w:spacing w:before="120" w:after="120" w:line="360" w:lineRule="auto"/>
        <w:ind w:left="850"/>
        <w:jc w:val="left"/>
        <w:rPr>
          <w:rFonts w:eastAsia="Times New Roman"/>
          <w:b/>
          <w:lang w:val="bg-BG"/>
        </w:rPr>
      </w:pPr>
      <w:r w:rsidRPr="00952162">
        <w:rPr>
          <w:rFonts w:eastAsia="Times New Roman"/>
          <w:b/>
          <w:i/>
          <w:lang w:val="bg-BG"/>
        </w:rPr>
        <w:t>Когато приема делегираните актове в съответствие с втора и трета алинея, Комисията взема предвид производствените практики, наличието на технически и икономически осъществими алтернативи, въздействието върху малките и средните предприятия и въздействието върху здравето и околната среда.</w:t>
      </w:r>
      <w:r w:rsidR="008A6BB8">
        <w:rPr>
          <w:rFonts w:eastAsia="Times New Roman"/>
          <w:b/>
          <w:lang w:val="bg-BG"/>
        </w:rPr>
        <w:t xml:space="preserve"> [Изм. 50]</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lastRenderedPageBreak/>
        <w:t>2б.</w:t>
      </w:r>
      <w:r w:rsidRPr="00952162">
        <w:rPr>
          <w:rFonts w:eastAsia="Times New Roman"/>
          <w:lang w:val="bg-BG"/>
        </w:rPr>
        <w:tab/>
      </w:r>
      <w:r w:rsidRPr="00952162">
        <w:rPr>
          <w:rFonts w:eastAsia="Times New Roman"/>
          <w:b/>
          <w:i/>
          <w:lang w:val="bg-BG"/>
        </w:rPr>
        <w:t xml:space="preserve">В срок до... [2 години от влизането в сила на делегирания акт, приет в съответствие с втора алинея] </w:t>
      </w:r>
      <w:proofErr w:type="spellStart"/>
      <w:r w:rsidRPr="00952162">
        <w:rPr>
          <w:rFonts w:eastAsia="Times New Roman"/>
          <w:b/>
          <w:i/>
          <w:lang w:val="bg-BG"/>
        </w:rPr>
        <w:t>водоразтворимият</w:t>
      </w:r>
      <w:proofErr w:type="spellEnd"/>
      <w:r w:rsidRPr="00952162">
        <w:rPr>
          <w:rFonts w:eastAsia="Times New Roman"/>
          <w:b/>
          <w:i/>
          <w:lang w:val="bg-BG"/>
        </w:rPr>
        <w:t xml:space="preserve"> слой около </w:t>
      </w:r>
      <w:proofErr w:type="spellStart"/>
      <w:r w:rsidRPr="00952162">
        <w:rPr>
          <w:rFonts w:eastAsia="Times New Roman"/>
          <w:b/>
          <w:i/>
          <w:lang w:val="bg-BG"/>
        </w:rPr>
        <w:t>детергентите</w:t>
      </w:r>
      <w:proofErr w:type="spellEnd"/>
      <w:r w:rsidRPr="00952162">
        <w:rPr>
          <w:rFonts w:eastAsia="Times New Roman"/>
          <w:b/>
          <w:i/>
          <w:lang w:val="bg-BG"/>
        </w:rPr>
        <w:t xml:space="preserve"> следва да бъде разградим.</w:t>
      </w:r>
    </w:p>
    <w:p w:rsidR="00952162" w:rsidRPr="00952162" w:rsidRDefault="00952162" w:rsidP="00952162">
      <w:pPr>
        <w:widowControl w:val="0"/>
        <w:spacing w:before="120" w:after="120" w:line="360" w:lineRule="auto"/>
        <w:ind w:left="850"/>
        <w:jc w:val="left"/>
        <w:rPr>
          <w:rFonts w:eastAsia="Times New Roman"/>
          <w:b/>
          <w:lang w:val="bg-BG"/>
        </w:rPr>
      </w:pPr>
      <w:r w:rsidRPr="00952162">
        <w:rPr>
          <w:rFonts w:eastAsia="Times New Roman"/>
          <w:b/>
          <w:i/>
          <w:lang w:val="bg-BG"/>
        </w:rPr>
        <w:t xml:space="preserve">В срок до... [18 месеца от датата на влизане в сила на настоящия регламент] Комисията приема делегирани актове в съответствие с член 27, допълващи приложение I с критерии и методи за изпитване за </w:t>
      </w:r>
      <w:proofErr w:type="spellStart"/>
      <w:r w:rsidRPr="00952162">
        <w:rPr>
          <w:rFonts w:eastAsia="Times New Roman"/>
          <w:b/>
          <w:i/>
          <w:lang w:val="bg-BG"/>
        </w:rPr>
        <w:t>биоразградимост</w:t>
      </w:r>
      <w:proofErr w:type="spellEnd"/>
      <w:r w:rsidRPr="00952162">
        <w:rPr>
          <w:rFonts w:eastAsia="Times New Roman"/>
          <w:b/>
          <w:i/>
          <w:lang w:val="bg-BG"/>
        </w:rPr>
        <w:t xml:space="preserve"> на </w:t>
      </w:r>
      <w:proofErr w:type="spellStart"/>
      <w:r w:rsidRPr="00952162">
        <w:rPr>
          <w:rFonts w:eastAsia="Times New Roman"/>
          <w:b/>
          <w:i/>
          <w:lang w:val="bg-BG"/>
        </w:rPr>
        <w:t>водоразтворимия</w:t>
      </w:r>
      <w:proofErr w:type="spellEnd"/>
      <w:r w:rsidRPr="00952162">
        <w:rPr>
          <w:rFonts w:eastAsia="Times New Roman"/>
          <w:b/>
          <w:i/>
          <w:lang w:val="bg-BG"/>
        </w:rPr>
        <w:t xml:space="preserve"> слой около </w:t>
      </w:r>
      <w:proofErr w:type="spellStart"/>
      <w:r w:rsidRPr="00952162">
        <w:rPr>
          <w:rFonts w:eastAsia="Times New Roman"/>
          <w:b/>
          <w:i/>
          <w:lang w:val="bg-BG"/>
        </w:rPr>
        <w:t>детергентите</w:t>
      </w:r>
      <w:proofErr w:type="spellEnd"/>
      <w:r w:rsidRPr="00952162">
        <w:rPr>
          <w:rFonts w:eastAsia="Times New Roman"/>
          <w:b/>
          <w:i/>
          <w:lang w:val="bg-BG"/>
        </w:rPr>
        <w:t>.</w:t>
      </w:r>
      <w:r w:rsidR="008A6BB8">
        <w:rPr>
          <w:rFonts w:eastAsia="Times New Roman"/>
          <w:b/>
          <w:lang w:val="bg-BG"/>
        </w:rPr>
        <w:t xml:space="preserve"> [Изм. 51]</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5</w:t>
      </w:r>
      <w:r w:rsidRPr="00952162">
        <w:rPr>
          <w:rFonts w:eastAsia="Times New Roman"/>
          <w:lang w:val="bg-BG"/>
        </w:rPr>
        <w:br/>
      </w:r>
      <w:proofErr w:type="spellStart"/>
      <w:r w:rsidRPr="00952162">
        <w:rPr>
          <w:rFonts w:eastAsia="Times New Roman"/>
          <w:lang w:val="bg-BG"/>
        </w:rPr>
        <w:t>Детергенти</w:t>
      </w:r>
      <w:proofErr w:type="spellEnd"/>
      <w:r w:rsidRPr="00952162">
        <w:rPr>
          <w:rFonts w:eastAsia="Times New Roman"/>
          <w:lang w:val="bg-BG"/>
        </w:rPr>
        <w:t>, съдържащи микроорганизми</w:t>
      </w:r>
    </w:p>
    <w:p w:rsidR="00952162" w:rsidRPr="00952162" w:rsidRDefault="00952162" w:rsidP="00952162">
      <w:pPr>
        <w:widowControl w:val="0"/>
        <w:spacing w:before="120" w:after="120" w:line="360" w:lineRule="auto"/>
        <w:jc w:val="left"/>
        <w:rPr>
          <w:rFonts w:eastAsia="Times New Roman"/>
          <w:lang w:val="bg-BG"/>
        </w:rPr>
      </w:pPr>
      <w:proofErr w:type="spellStart"/>
      <w:r w:rsidRPr="00952162">
        <w:rPr>
          <w:rFonts w:eastAsia="Times New Roman"/>
          <w:lang w:val="bg-BG"/>
        </w:rPr>
        <w:t>Детергентите</w:t>
      </w:r>
      <w:proofErr w:type="spellEnd"/>
      <w:r w:rsidRPr="00952162">
        <w:rPr>
          <w:rFonts w:eastAsia="Times New Roman"/>
          <w:lang w:val="bg-BG"/>
        </w:rPr>
        <w:t>, съдържащи микроорганизми, трябва да отговарят на изискванията, посочени в приложение II.</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6</w:t>
      </w:r>
      <w:r w:rsidRPr="00952162">
        <w:rPr>
          <w:rFonts w:eastAsia="Times New Roman"/>
          <w:lang w:val="bg-BG"/>
        </w:rPr>
        <w:br/>
        <w:t xml:space="preserve">Ограничения по отношение на съдържанието на фосфати и други фосфорни съединения </w:t>
      </w:r>
    </w:p>
    <w:p w:rsidR="00952162" w:rsidRPr="00952162" w:rsidRDefault="00952162" w:rsidP="00952162">
      <w:pPr>
        <w:widowControl w:val="0"/>
        <w:spacing w:before="120" w:after="120" w:line="360" w:lineRule="auto"/>
        <w:jc w:val="left"/>
        <w:rPr>
          <w:rFonts w:eastAsia="Times New Roman"/>
          <w:lang w:val="bg-BG"/>
        </w:rPr>
      </w:pPr>
      <w:proofErr w:type="spellStart"/>
      <w:r w:rsidRPr="00952162">
        <w:rPr>
          <w:rFonts w:eastAsia="Times New Roman"/>
          <w:lang w:val="bg-BG"/>
        </w:rPr>
        <w:t>Детергентите</w:t>
      </w:r>
      <w:proofErr w:type="spellEnd"/>
      <w:r w:rsidRPr="00952162">
        <w:rPr>
          <w:rFonts w:eastAsia="Times New Roman"/>
          <w:lang w:val="bg-BG"/>
        </w:rPr>
        <w:t>, включени в списъка в приложение III, трябва да отговарят на ограниченията по отношение на съдържанието на фосфати и други фосфорни съединения, определени в това приложение.</w:t>
      </w:r>
    </w:p>
    <w:p w:rsidR="00952162" w:rsidRPr="00952162"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 xml:space="preserve">Първият параграф не се прилага за </w:t>
      </w:r>
      <w:proofErr w:type="spellStart"/>
      <w:r w:rsidRPr="00952162">
        <w:rPr>
          <w:rFonts w:eastAsia="Times New Roman"/>
          <w:b/>
          <w:i/>
          <w:lang w:val="bg-BG"/>
        </w:rPr>
        <w:t>детергенти</w:t>
      </w:r>
      <w:proofErr w:type="spellEnd"/>
      <w:r w:rsidRPr="00952162">
        <w:rPr>
          <w:rFonts w:eastAsia="Times New Roman"/>
          <w:b/>
          <w:i/>
          <w:lang w:val="bg-BG"/>
        </w:rPr>
        <w:t xml:space="preserve">, които са промишлени </w:t>
      </w:r>
      <w:proofErr w:type="spellStart"/>
      <w:r w:rsidRPr="00952162">
        <w:rPr>
          <w:rFonts w:eastAsia="Times New Roman"/>
          <w:b/>
          <w:i/>
          <w:lang w:val="bg-BG"/>
        </w:rPr>
        <w:t>биоциди</w:t>
      </w:r>
      <w:proofErr w:type="spellEnd"/>
      <w:r w:rsidRPr="00952162">
        <w:rPr>
          <w:rFonts w:eastAsia="Times New Roman"/>
          <w:b/>
          <w:i/>
          <w:lang w:val="bg-BG"/>
        </w:rPr>
        <w:t xml:space="preserve"> по смисъла на Регламент (ЕС) № 528/2012 или медицински изделия по смисъла на Регламент (ЕС) № 2017/745</w:t>
      </w:r>
      <w:r w:rsidRPr="00952162">
        <w:rPr>
          <w:rFonts w:eastAsia="Times New Roman"/>
          <w:vertAlign w:val="superscript"/>
          <w:lang w:val="bg-BG"/>
        </w:rPr>
        <w:footnoteReference w:id="23"/>
      </w:r>
      <w:r w:rsidRPr="00952162">
        <w:rPr>
          <w:rFonts w:eastAsia="Times New Roman"/>
          <w:b/>
          <w:i/>
          <w:lang w:val="bg-BG"/>
        </w:rPr>
        <w:t>.</w:t>
      </w:r>
      <w:r w:rsidR="008A6BB8">
        <w:rPr>
          <w:rFonts w:eastAsia="Times New Roman"/>
          <w:b/>
          <w:lang w:val="bg-BG"/>
        </w:rPr>
        <w:t xml:space="preserve"> [Изм. 52]</w:t>
      </w:r>
    </w:p>
    <w:p w:rsidR="00952162" w:rsidRPr="00952162"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 xml:space="preserve">Непреднамереното наличие на фосфати и други фосфорни съединения в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и </w:t>
      </w:r>
      <w:proofErr w:type="spellStart"/>
      <w:r w:rsidRPr="00952162">
        <w:rPr>
          <w:rFonts w:eastAsia="Times New Roman"/>
          <w:b/>
          <w:i/>
          <w:lang w:val="bg-BG"/>
        </w:rPr>
        <w:t>детергентите</w:t>
      </w:r>
      <w:proofErr w:type="spellEnd"/>
      <w:r w:rsidRPr="00952162">
        <w:rPr>
          <w:rFonts w:eastAsia="Times New Roman"/>
          <w:b/>
          <w:i/>
          <w:lang w:val="bg-BG"/>
        </w:rPr>
        <w:t xml:space="preserve">, което се дължи на примеси в съставките, на производствения процес или съхранението, или на прехвърлянето от опаковката, се допуска, ако е технически неизбежно при добрата производствена практика и ако тези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и </w:t>
      </w:r>
      <w:proofErr w:type="spellStart"/>
      <w:r w:rsidRPr="00952162">
        <w:rPr>
          <w:rFonts w:eastAsia="Times New Roman"/>
          <w:b/>
          <w:i/>
          <w:lang w:val="bg-BG"/>
        </w:rPr>
        <w:t>детергенти</w:t>
      </w:r>
      <w:proofErr w:type="spellEnd"/>
      <w:r w:rsidRPr="00952162">
        <w:rPr>
          <w:rFonts w:eastAsia="Times New Roman"/>
          <w:b/>
          <w:i/>
          <w:lang w:val="bg-BG"/>
        </w:rPr>
        <w:t xml:space="preserve"> са безопасни въпреки това наличие.</w:t>
      </w:r>
      <w:r w:rsidR="008A6BB8">
        <w:rPr>
          <w:rFonts w:eastAsia="Times New Roman"/>
          <w:b/>
          <w:lang w:val="bg-BG"/>
        </w:rPr>
        <w:t xml:space="preserve"> [Изм. 53]</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b/>
          <w:i/>
          <w:lang w:val="bg-BG"/>
        </w:rPr>
        <w:lastRenderedPageBreak/>
        <w:t>Член 6a</w:t>
      </w:r>
      <w:r w:rsidRPr="00952162">
        <w:rPr>
          <w:rFonts w:eastAsia="Times New Roman"/>
          <w:lang w:val="bg-BG"/>
        </w:rPr>
        <w:br/>
      </w:r>
      <w:r w:rsidRPr="00952162">
        <w:rPr>
          <w:rFonts w:eastAsia="Times New Roman"/>
          <w:b/>
          <w:i/>
          <w:lang w:val="bg-BG"/>
        </w:rPr>
        <w:t>Изпитвания върху животни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1.</w:t>
      </w:r>
      <w:r w:rsidRPr="00952162">
        <w:rPr>
          <w:rFonts w:eastAsia="Times New Roman"/>
          <w:lang w:val="bg-BG"/>
        </w:rPr>
        <w:tab/>
      </w:r>
      <w:r w:rsidRPr="00952162">
        <w:rPr>
          <w:rFonts w:eastAsia="Times New Roman"/>
          <w:b/>
          <w:i/>
          <w:lang w:val="bg-BG"/>
        </w:rPr>
        <w:t xml:space="preserve">Безопасността на </w:t>
      </w:r>
      <w:proofErr w:type="spellStart"/>
      <w:r w:rsidRPr="00952162">
        <w:rPr>
          <w:rFonts w:eastAsia="Times New Roman"/>
          <w:b/>
          <w:i/>
          <w:lang w:val="bg-BG"/>
        </w:rPr>
        <w:t>детергентите</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и съответствието с настоящия регламент се установяват чрез прилагането на нови методи, одобрени и приети на равнището на Съюза, при които не се използват животни.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2.</w:t>
      </w:r>
      <w:r w:rsidRPr="00952162">
        <w:rPr>
          <w:rFonts w:eastAsia="Times New Roman"/>
          <w:lang w:val="bg-BG"/>
        </w:rPr>
        <w:tab/>
      </w:r>
      <w:r w:rsidRPr="00952162">
        <w:rPr>
          <w:rFonts w:eastAsia="Times New Roman"/>
          <w:b/>
          <w:i/>
          <w:lang w:val="bg-BG"/>
        </w:rPr>
        <w:t>Без да се засягат общите задължения съгласно член 1, параграф 1, забранява се следното:</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b/>
          <w:i/>
          <w:lang w:val="bg-BG"/>
        </w:rPr>
        <w:t>а)</w:t>
      </w:r>
      <w:r w:rsidRPr="00952162">
        <w:rPr>
          <w:rFonts w:eastAsia="Times New Roman"/>
          <w:lang w:val="bg-BG"/>
        </w:rPr>
        <w:tab/>
      </w:r>
      <w:r w:rsidRPr="00952162">
        <w:rPr>
          <w:rFonts w:eastAsia="Times New Roman"/>
          <w:b/>
          <w:i/>
          <w:lang w:val="bg-BG"/>
        </w:rPr>
        <w:t xml:space="preserve">пускането на пазара на </w:t>
      </w:r>
      <w:proofErr w:type="spellStart"/>
      <w:r w:rsidRPr="00952162">
        <w:rPr>
          <w:rFonts w:eastAsia="Times New Roman"/>
          <w:b/>
          <w:i/>
          <w:lang w:val="bg-BG"/>
        </w:rPr>
        <w:t>детергенти</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когато крайната </w:t>
      </w:r>
      <w:proofErr w:type="spellStart"/>
      <w:r w:rsidRPr="00952162">
        <w:rPr>
          <w:rFonts w:eastAsia="Times New Roman"/>
          <w:b/>
          <w:i/>
          <w:lang w:val="bg-BG"/>
        </w:rPr>
        <w:t>формулация</w:t>
      </w:r>
      <w:proofErr w:type="spellEnd"/>
      <w:r w:rsidRPr="00952162">
        <w:rPr>
          <w:rFonts w:eastAsia="Times New Roman"/>
          <w:b/>
          <w:i/>
          <w:lang w:val="bg-BG"/>
        </w:rPr>
        <w:t>, съставките или комбинациите от съставки са били изследвани върху животни, за да се изпълнят изискванията на настоящия регламент;</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b/>
          <w:i/>
          <w:lang w:val="bg-BG"/>
        </w:rPr>
        <w:t>б)</w:t>
      </w:r>
      <w:r w:rsidRPr="00952162">
        <w:rPr>
          <w:rFonts w:eastAsia="Times New Roman"/>
          <w:lang w:val="bg-BG"/>
        </w:rPr>
        <w:tab/>
      </w:r>
      <w:r w:rsidRPr="00952162">
        <w:rPr>
          <w:rFonts w:eastAsia="Times New Roman"/>
          <w:b/>
          <w:i/>
          <w:lang w:val="bg-BG"/>
        </w:rPr>
        <w:t xml:space="preserve">извършването в рамките на Съюза на изпитване върху животни на готови </w:t>
      </w:r>
      <w:proofErr w:type="spellStart"/>
      <w:r w:rsidRPr="00952162">
        <w:rPr>
          <w:rFonts w:eastAsia="Times New Roman"/>
          <w:b/>
          <w:i/>
          <w:lang w:val="bg-BG"/>
        </w:rPr>
        <w:t>детергенти</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съставки или комбинации от съставки, за да се изпълнят изискванията на настоящия регламент.</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lastRenderedPageBreak/>
        <w:t>3.</w:t>
      </w:r>
      <w:r w:rsidRPr="00952162">
        <w:rPr>
          <w:rFonts w:eastAsia="Times New Roman"/>
          <w:lang w:val="bg-BG"/>
        </w:rPr>
        <w:tab/>
      </w:r>
      <w:r w:rsidRPr="00952162">
        <w:rPr>
          <w:rFonts w:eastAsia="Times New Roman"/>
          <w:b/>
          <w:i/>
          <w:lang w:val="bg-BG"/>
        </w:rPr>
        <w:t>Параграфи 1 и 2 се прилагат, без да се засяга съответното законодателство на Съюза, и не ограничават използването на данни, получени преди ... [датата на влизане в сила на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4.</w:t>
      </w:r>
      <w:r w:rsidRPr="00952162">
        <w:rPr>
          <w:rFonts w:eastAsia="Times New Roman"/>
          <w:lang w:val="bg-BG"/>
        </w:rPr>
        <w:tab/>
      </w:r>
      <w:r w:rsidRPr="00952162">
        <w:rPr>
          <w:rFonts w:eastAsia="Times New Roman"/>
          <w:b/>
          <w:i/>
          <w:lang w:val="bg-BG"/>
        </w:rPr>
        <w:t xml:space="preserve">При изключителни обстоятелства, когато възникнат опасения относно безопасността на дадена съставка на </w:t>
      </w:r>
      <w:proofErr w:type="spellStart"/>
      <w:r w:rsidRPr="00952162">
        <w:rPr>
          <w:rFonts w:eastAsia="Times New Roman"/>
          <w:b/>
          <w:i/>
          <w:lang w:val="bg-BG"/>
        </w:rPr>
        <w:t>детергент</w:t>
      </w:r>
      <w:proofErr w:type="spellEnd"/>
      <w:r w:rsidRPr="00952162">
        <w:rPr>
          <w:rFonts w:eastAsia="Times New Roman"/>
          <w:b/>
          <w:i/>
          <w:lang w:val="bg-BG"/>
        </w:rPr>
        <w:t xml:space="preserve">, Комисията може да приеме решение, с което да предостави </w:t>
      </w:r>
      <w:proofErr w:type="spellStart"/>
      <w:r w:rsidRPr="00952162">
        <w:rPr>
          <w:rFonts w:eastAsia="Times New Roman"/>
          <w:b/>
          <w:i/>
          <w:lang w:val="bg-BG"/>
        </w:rPr>
        <w:t>дерогация</w:t>
      </w:r>
      <w:proofErr w:type="spellEnd"/>
      <w:r w:rsidRPr="00952162">
        <w:rPr>
          <w:rFonts w:eastAsia="Times New Roman"/>
          <w:b/>
          <w:i/>
          <w:lang w:val="bg-BG"/>
        </w:rPr>
        <w:t xml:space="preserve"> от параграфи 1 и 2. Комисията може да действа по собствена инициатива или въз основа на мотивирано искане от икономически оператор или държава членка.</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b/>
          <w:i/>
          <w:lang w:val="bg-BG"/>
        </w:rPr>
        <w:t xml:space="preserve">Когато Комисията действа въз основа на мотивирано искане от икономически оператор или държава членка, в искането се съдържа оценка на ситуацията и се посочват необходимите мерки. Въз основа на това Комисията може, след консултация със съответния научен комитет, агенция или орган, да приеме решение за разрешаване на </w:t>
      </w:r>
      <w:proofErr w:type="spellStart"/>
      <w:r w:rsidRPr="00952162">
        <w:rPr>
          <w:rFonts w:eastAsia="Times New Roman"/>
          <w:b/>
          <w:i/>
          <w:lang w:val="bg-BG"/>
        </w:rPr>
        <w:t>дерогацията</w:t>
      </w:r>
      <w:proofErr w:type="spellEnd"/>
      <w:r w:rsidRPr="00952162">
        <w:rPr>
          <w:rFonts w:eastAsia="Times New Roman"/>
          <w:b/>
          <w:i/>
          <w:lang w:val="bg-BG"/>
        </w:rPr>
        <w:t>.</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b/>
          <w:i/>
          <w:lang w:val="bg-BG"/>
        </w:rPr>
        <w:t xml:space="preserve">В това решение се определят условията, свързани с тази </w:t>
      </w:r>
      <w:proofErr w:type="spellStart"/>
      <w:r w:rsidRPr="00952162">
        <w:rPr>
          <w:rFonts w:eastAsia="Times New Roman"/>
          <w:b/>
          <w:i/>
          <w:lang w:val="bg-BG"/>
        </w:rPr>
        <w:t>дерогация</w:t>
      </w:r>
      <w:proofErr w:type="spellEnd"/>
      <w:r w:rsidRPr="00952162">
        <w:rPr>
          <w:rFonts w:eastAsia="Times New Roman"/>
          <w:b/>
          <w:i/>
          <w:lang w:val="bg-BG"/>
        </w:rPr>
        <w:t xml:space="preserve">, по отношение на конкретните цели, продължителността и отчитането на резултатите. </w:t>
      </w:r>
      <w:proofErr w:type="spellStart"/>
      <w:r w:rsidRPr="00952162">
        <w:rPr>
          <w:rFonts w:eastAsia="Times New Roman"/>
          <w:b/>
          <w:i/>
          <w:lang w:val="bg-BG"/>
        </w:rPr>
        <w:t>Дерогация</w:t>
      </w:r>
      <w:proofErr w:type="spellEnd"/>
      <w:r w:rsidRPr="00952162">
        <w:rPr>
          <w:rFonts w:eastAsia="Times New Roman"/>
          <w:b/>
          <w:i/>
          <w:lang w:val="bg-BG"/>
        </w:rPr>
        <w:t xml:space="preserve"> се предоставя само когато:</w:t>
      </w:r>
    </w:p>
    <w:p w:rsidR="00B16614" w:rsidRDefault="00B16614">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b/>
          <w:i/>
          <w:lang w:val="bg-BG"/>
        </w:rPr>
        <w:lastRenderedPageBreak/>
        <w:t>а)</w:t>
      </w:r>
      <w:r w:rsidRPr="00952162">
        <w:rPr>
          <w:rFonts w:eastAsia="Times New Roman"/>
          <w:lang w:val="bg-BG"/>
        </w:rPr>
        <w:tab/>
      </w:r>
      <w:r w:rsidRPr="00952162">
        <w:rPr>
          <w:rFonts w:eastAsia="Times New Roman"/>
          <w:b/>
          <w:i/>
          <w:lang w:val="bg-BG"/>
        </w:rPr>
        <w:t>съставката е в широка употреба и не може да бъде заменена с друга съставка, годна за осъществяване на същата функция;</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b/>
          <w:i/>
          <w:lang w:val="bg-BG"/>
        </w:rPr>
        <w:t>б)</w:t>
      </w:r>
      <w:r w:rsidRPr="00952162">
        <w:rPr>
          <w:rFonts w:eastAsia="Times New Roman"/>
          <w:lang w:val="bg-BG"/>
        </w:rPr>
        <w:tab/>
      </w:r>
      <w:r w:rsidRPr="00952162">
        <w:rPr>
          <w:rFonts w:eastAsia="Times New Roman"/>
          <w:b/>
          <w:i/>
          <w:lang w:val="bg-BG"/>
        </w:rPr>
        <w:t>проблемът, свързан със здравето на човека, е подкрепен с доказателства, а необходимостта да се проведат изпитвания върху животни е обоснована и придружена от подробен изследователски протокол като основа за оценката.</w:t>
      </w:r>
      <w:r w:rsidR="008A6BB8">
        <w:rPr>
          <w:rFonts w:eastAsia="Times New Roman"/>
          <w:b/>
          <w:lang w:val="bg-BG"/>
        </w:rPr>
        <w:t xml:space="preserve"> [Изм. 54]</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ГЛАВА III</w:t>
      </w:r>
      <w:r w:rsidRPr="00952162">
        <w:rPr>
          <w:rFonts w:eastAsia="Times New Roman"/>
          <w:lang w:val="bg-BG"/>
        </w:rPr>
        <w:br/>
        <w:t>ЗАДЪЛЖЕНИЯ НА ИКОНОМИЧЕСКИТЕ ОПЕРАТОРИ</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7</w:t>
      </w:r>
      <w:r w:rsidRPr="00952162">
        <w:rPr>
          <w:rFonts w:eastAsia="Times New Roman"/>
          <w:lang w:val="bg-BG"/>
        </w:rPr>
        <w:br/>
        <w:t>Задължения на производителите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Когато пускат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производителите гарантират, че тези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са проектирани и произведени в съответствие с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Производителите изготвят техническата документация, посочена в приложение IV, и прилагат процедурата за оценяване на съответствието, посочена в това приложение.</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 xml:space="preserve">Когато съответствието на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с приложимите изисквания е доказано посредством процедурата, посочена в първа алинея, производителите: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създават продуктов паспорт в съответствие с член 18,</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 xml:space="preserve">осигуряват отпечатването или поставянето по друг начин на носителя на данни върху етикета или върху опаковката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по видим и четлив начин в съответствие с член 18, параграф 3,</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в)</w:t>
      </w:r>
      <w:r w:rsidRPr="00952162">
        <w:rPr>
          <w:rFonts w:eastAsia="Times New Roman"/>
          <w:lang w:val="bg-BG"/>
        </w:rPr>
        <w:tab/>
      </w:r>
      <w:r w:rsidRPr="00952162">
        <w:rPr>
          <w:rFonts w:eastAsia="Times New Roman"/>
          <w:strike/>
          <w:lang w:val="bg-BG"/>
        </w:rPr>
        <w:t>когато е подходящо, нанасят маркировката „СЕ“ в съответствие с член 14;</w:t>
      </w:r>
      <w:r w:rsidR="008A6BB8" w:rsidRPr="008A6BB8">
        <w:rPr>
          <w:rFonts w:eastAsia="Times New Roman"/>
          <w:b/>
          <w:lang w:val="bg-BG"/>
        </w:rPr>
        <w:t xml:space="preserve"> [Изм. 55]</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 xml:space="preserve">преди да пуснат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производителите включват номера на продуктовия паспорт в регистъра, посочен в член 20, параграф 1.</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w:t>
      </w:r>
      <w:r w:rsidRPr="00952162">
        <w:rPr>
          <w:rFonts w:eastAsia="Times New Roman"/>
          <w:lang w:val="bg-BG"/>
        </w:rPr>
        <w:tab/>
        <w:t>Производителите съхраняват</w:t>
      </w:r>
      <w:r w:rsidRPr="00952162">
        <w:rPr>
          <w:rFonts w:eastAsia="Times New Roman"/>
          <w:b/>
          <w:i/>
          <w:lang w:val="bg-BG"/>
        </w:rPr>
        <w:t xml:space="preserve"> и когато е необходимо, актуализират</w:t>
      </w:r>
      <w:r w:rsidRPr="00952162">
        <w:rPr>
          <w:rFonts w:eastAsia="Times New Roman"/>
          <w:lang w:val="bg-BG"/>
        </w:rPr>
        <w:t xml:space="preserve"> техническата документация и паспорта на продукта в продължение на 10 години след пускането на пазара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обхванати от посочената документация или от посочения паспорт на продукта.</w:t>
      </w:r>
      <w:r w:rsidR="008A6BB8">
        <w:rPr>
          <w:rFonts w:eastAsia="Times New Roman"/>
          <w:b/>
          <w:lang w:val="bg-BG"/>
        </w:rPr>
        <w:t xml:space="preserve"> [Изм. 56]</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4.</w:t>
      </w:r>
      <w:r w:rsidRPr="00952162">
        <w:rPr>
          <w:rFonts w:eastAsia="Times New Roman"/>
          <w:lang w:val="bg-BG"/>
        </w:rPr>
        <w:tab/>
        <w:t>Производителите гарантират, че са налице процедури, чрез които се осигурява съответствие на серийното производство. Промените в проекта или характеристиките на продукта и промените в методите за изпитване, чрез позоваване на които е декларирано съответствие на продукта, трябва да бъдат взети предвид по подходящ начин.</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Когато се счита за целесъобразно предвид въздействието на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или предвид рисковете, свързани с него, производителите провеждат изпитвания на тези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провеждат разследвания и, ако е необходимо, поддържат регистър за оплаквания, за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не отговарят на изискванията, и за изземванията на такива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и също така информират дистрибуторите за такъв мониторинг.</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w:t>
      </w:r>
      <w:r w:rsidRPr="00952162">
        <w:rPr>
          <w:rFonts w:eastAsia="Times New Roman"/>
          <w:lang w:val="bg-BG"/>
        </w:rPr>
        <w:tab/>
        <w:t xml:space="preserve">Производителите, които пускат на пазара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осигуряват тяхното съответствие с изискванията за етикетиране, определени в членове 15, 16 и 17.</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Производителите, които пускат на пазара </w:t>
      </w:r>
      <w:proofErr w:type="spellStart"/>
      <w:r w:rsidRPr="00952162">
        <w:rPr>
          <w:rFonts w:eastAsia="Times New Roman"/>
          <w:lang w:val="bg-BG"/>
        </w:rPr>
        <w:t>детергенти</w:t>
      </w:r>
      <w:proofErr w:type="spellEnd"/>
      <w:r w:rsidRPr="00952162">
        <w:rPr>
          <w:rFonts w:eastAsia="Times New Roman"/>
          <w:lang w:val="bg-BG"/>
        </w:rPr>
        <w:t>, които не отговарят на критериите за класифициране като опасни по смисъла на Регламент (ЕО) № 1272/2008, предоставят на определените от държавите членки органи, посочени в член 45 от същия регламент, информационния фиш за съставките, посочен в точка 2.2, буква д) от приложение IV.</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Производителите предоставят информационния фиш за съставките на определените от държавите членки органи, посочени в първа алинея, в следните случаи:</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a)</w:t>
      </w:r>
      <w:r w:rsidRPr="00952162">
        <w:rPr>
          <w:rFonts w:eastAsia="Times New Roman"/>
          <w:lang w:val="bg-BG"/>
        </w:rPr>
        <w:tab/>
      </w:r>
      <w:r w:rsidRPr="00952162">
        <w:rPr>
          <w:rFonts w:eastAsia="Times New Roman"/>
          <w:strike/>
          <w:lang w:val="bg-BG"/>
        </w:rPr>
        <w:t xml:space="preserve">при поискване от определените от държавите членки </w:t>
      </w:r>
      <w:proofErr w:type="spellStart"/>
      <w:r w:rsidRPr="00952162">
        <w:rPr>
          <w:rFonts w:eastAsia="Times New Roman"/>
          <w:strike/>
          <w:lang w:val="bg-BG"/>
        </w:rPr>
        <w:t>органи</w:t>
      </w:r>
      <w:r w:rsidRPr="00952162">
        <w:rPr>
          <w:rFonts w:eastAsia="Times New Roman"/>
          <w:b/>
          <w:i/>
          <w:lang w:val="bg-BG"/>
        </w:rPr>
        <w:t>по</w:t>
      </w:r>
      <w:proofErr w:type="spellEnd"/>
      <w:r w:rsidRPr="00952162">
        <w:rPr>
          <w:rFonts w:eastAsia="Times New Roman"/>
          <w:b/>
          <w:i/>
          <w:lang w:val="bg-BG"/>
        </w:rPr>
        <w:t xml:space="preserve"> време на пускането на </w:t>
      </w:r>
      <w:proofErr w:type="spellStart"/>
      <w:r w:rsidRPr="00952162">
        <w:rPr>
          <w:rFonts w:eastAsia="Times New Roman"/>
          <w:b/>
          <w:i/>
          <w:lang w:val="bg-BG"/>
        </w:rPr>
        <w:t>детергент</w:t>
      </w:r>
      <w:proofErr w:type="spellEnd"/>
      <w:r w:rsidRPr="00952162">
        <w:rPr>
          <w:rFonts w:eastAsia="Times New Roman"/>
          <w:b/>
          <w:i/>
          <w:lang w:val="bg-BG"/>
        </w:rPr>
        <w:t xml:space="preserve"> на пазара</w:t>
      </w:r>
      <w:r w:rsidRPr="00952162">
        <w:rPr>
          <w:rFonts w:eastAsia="Times New Roman"/>
          <w:lang w:val="bg-BG"/>
        </w:rPr>
        <w:t>;</w:t>
      </w:r>
      <w:r w:rsidR="008A6BB8">
        <w:rPr>
          <w:rFonts w:eastAsia="Times New Roman"/>
          <w:b/>
          <w:lang w:val="bg-BG"/>
        </w:rPr>
        <w:t xml:space="preserve"> [Изм. 57]</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б)</w:t>
      </w:r>
      <w:r w:rsidRPr="00952162">
        <w:rPr>
          <w:rFonts w:eastAsia="Times New Roman"/>
          <w:lang w:val="bg-BG"/>
        </w:rPr>
        <w:tab/>
        <w:t xml:space="preserve">когато </w:t>
      </w:r>
      <w:proofErr w:type="spellStart"/>
      <w:r w:rsidRPr="00952162">
        <w:rPr>
          <w:rFonts w:eastAsia="Times New Roman"/>
          <w:lang w:val="bg-BG"/>
        </w:rPr>
        <w:t>детергентът</w:t>
      </w:r>
      <w:proofErr w:type="spellEnd"/>
      <w:r w:rsidRPr="00952162">
        <w:rPr>
          <w:rFonts w:eastAsia="Times New Roman"/>
          <w:lang w:val="bg-BG"/>
        </w:rPr>
        <w:t xml:space="preserve">, за който вече е </w:t>
      </w:r>
      <w:proofErr w:type="spellStart"/>
      <w:r w:rsidRPr="00952162">
        <w:rPr>
          <w:rFonts w:eastAsia="Times New Roman"/>
          <w:strike/>
          <w:lang w:val="bg-BG"/>
        </w:rPr>
        <w:t>поискан</w:t>
      </w:r>
      <w:r w:rsidRPr="00952162">
        <w:rPr>
          <w:rFonts w:eastAsia="Times New Roman"/>
          <w:b/>
          <w:i/>
          <w:lang w:val="bg-BG"/>
        </w:rPr>
        <w:t>предоставен</w:t>
      </w:r>
      <w:proofErr w:type="spellEnd"/>
      <w:r w:rsidRPr="00952162">
        <w:rPr>
          <w:rFonts w:eastAsia="Times New Roman"/>
          <w:lang w:val="bg-BG"/>
        </w:rPr>
        <w:t xml:space="preserve"> информационен фиш, вече не отговаря на информацията, включена в този информационен фиш.</w:t>
      </w:r>
      <w:r w:rsidR="008A6BB8">
        <w:rPr>
          <w:rFonts w:eastAsia="Times New Roman"/>
          <w:b/>
          <w:lang w:val="bg-BG"/>
        </w:rPr>
        <w:t xml:space="preserve"> [Изм. 58]</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Определеният орган, посочен в първа алинея, и медицинският персонал, на който е предоставена информацията, съдържаща се в информационния фиш, я пазят поверителна и я използват само за медицински цели.</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7.</w:t>
      </w:r>
      <w:r w:rsidRPr="00952162">
        <w:rPr>
          <w:rFonts w:eastAsia="Times New Roman"/>
          <w:lang w:val="bg-BG"/>
        </w:rPr>
        <w:tab/>
        <w:t xml:space="preserve">Производителите, които считат или имат основание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са пуснали на пазара, не съответства на настоящия регламент, незабавно предприемат необходимите коригиращи </w:t>
      </w:r>
      <w:proofErr w:type="spellStart"/>
      <w:r w:rsidRPr="00952162">
        <w:rPr>
          <w:rFonts w:eastAsia="Times New Roman"/>
          <w:strike/>
          <w:lang w:val="bg-BG"/>
        </w:rPr>
        <w:t>мерки</w:t>
      </w:r>
      <w:r w:rsidRPr="00952162">
        <w:rPr>
          <w:rFonts w:eastAsia="Times New Roman"/>
          <w:b/>
          <w:i/>
          <w:lang w:val="bg-BG"/>
        </w:rPr>
        <w:t>действия</w:t>
      </w:r>
      <w:proofErr w:type="spellEnd"/>
      <w:r w:rsidRPr="00952162">
        <w:rPr>
          <w:rFonts w:eastAsia="Times New Roman"/>
          <w:lang w:val="bg-BG"/>
        </w:rPr>
        <w:t xml:space="preserve">, за да приведат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в съответствие, да го изтеглят или да го изземат, по целесъобразност. Освен това, когато производителите считат или имат основание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са пуснали на пазара, представлява риск за здравето на човека или за околната среда, те незабавно информират за това компетентните национални органи на държавите членки, в които са предоставили на пазара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като предоставят подробни данни, по-специално за всякакво неспазване на изискванията и за предприетите коригиращи </w:t>
      </w:r>
      <w:proofErr w:type="spellStart"/>
      <w:r w:rsidRPr="00952162">
        <w:rPr>
          <w:rFonts w:eastAsia="Times New Roman"/>
          <w:strike/>
          <w:lang w:val="bg-BG"/>
        </w:rPr>
        <w:t>мерки</w:t>
      </w:r>
      <w:r w:rsidRPr="00952162">
        <w:rPr>
          <w:rFonts w:eastAsia="Times New Roman"/>
          <w:b/>
          <w:i/>
          <w:lang w:val="bg-BG"/>
        </w:rPr>
        <w:t>действия</w:t>
      </w:r>
      <w:proofErr w:type="spellEnd"/>
      <w:r w:rsidRPr="00952162">
        <w:rPr>
          <w:rFonts w:eastAsia="Times New Roman"/>
          <w:lang w:val="bg-BG"/>
        </w:rPr>
        <w:t>.</w:t>
      </w:r>
      <w:r w:rsidR="008A6BB8">
        <w:rPr>
          <w:rFonts w:eastAsia="Times New Roman"/>
          <w:b/>
          <w:lang w:val="bg-BG"/>
        </w:rPr>
        <w:t xml:space="preserve"> [Изм. 59]</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7a.</w:t>
      </w:r>
      <w:r w:rsidRPr="00952162">
        <w:rPr>
          <w:rFonts w:eastAsia="Times New Roman"/>
          <w:lang w:val="bg-BG"/>
        </w:rPr>
        <w:tab/>
      </w:r>
      <w:r w:rsidRPr="00952162">
        <w:rPr>
          <w:rFonts w:eastAsia="Times New Roman"/>
          <w:b/>
          <w:i/>
          <w:lang w:val="bg-BG"/>
        </w:rPr>
        <w:t>При поискване производителите обменят своевременно съответната информация със съответните икономически оператори, включително дистрибутори, вносители и упълномощени представители в съответната верига на доставки, относно всеки проблем, свързан със съответствието, или риск за здравето или околната среда, който са установили във връзка със своя продукт, както и за всяко последващо коригиращо действие, изземване или изтегляне.</w:t>
      </w:r>
      <w:r w:rsidR="008A6BB8">
        <w:rPr>
          <w:rFonts w:eastAsia="Times New Roman"/>
          <w:b/>
          <w:lang w:val="bg-BG"/>
        </w:rPr>
        <w:t xml:space="preserve"> [Изм. 60]</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8.</w:t>
      </w:r>
      <w:r w:rsidRPr="00952162">
        <w:rPr>
          <w:rFonts w:eastAsia="Times New Roman"/>
          <w:lang w:val="bg-BG"/>
        </w:rPr>
        <w:tab/>
        <w:t xml:space="preserve">При обосновано искане от компетентен национален орган производителите му предоставят на </w:t>
      </w:r>
      <w:r w:rsidRPr="00952162">
        <w:rPr>
          <w:rFonts w:eastAsia="Times New Roman"/>
          <w:strike/>
          <w:lang w:val="bg-BG"/>
        </w:rPr>
        <w:t xml:space="preserve">хартиен или на </w:t>
      </w:r>
      <w:r w:rsidRPr="00952162">
        <w:rPr>
          <w:rFonts w:eastAsia="Times New Roman"/>
          <w:lang w:val="bg-BG"/>
        </w:rPr>
        <w:t>електронен носител</w:t>
      </w:r>
      <w:r w:rsidRPr="00952162">
        <w:rPr>
          <w:rFonts w:eastAsia="Times New Roman"/>
          <w:b/>
          <w:i/>
          <w:lang w:val="bg-BG"/>
        </w:rPr>
        <w:t>, а при поискване и на хартиен носител,</w:t>
      </w:r>
      <w:r w:rsidRPr="00952162">
        <w:rPr>
          <w:rFonts w:eastAsia="Times New Roman"/>
          <w:lang w:val="bg-BG"/>
        </w:rPr>
        <w:t xml:space="preserve"> цялата информация и документация, необходима за доказване на съответствието на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с настоящия регламент, на език, лесно разбираем за този орган</w:t>
      </w:r>
      <w:r w:rsidRPr="00952162">
        <w:rPr>
          <w:rFonts w:eastAsia="Times New Roman"/>
          <w:b/>
          <w:i/>
          <w:lang w:val="bg-BG"/>
        </w:rPr>
        <w:t>. Съответната информация и документация се предоставят в срок от 20 работни дни от получаване на искането</w:t>
      </w:r>
      <w:r w:rsidRPr="00952162">
        <w:rPr>
          <w:rFonts w:eastAsia="Times New Roman"/>
          <w:lang w:val="bg-BG"/>
        </w:rPr>
        <w:t xml:space="preserve">. Те си сътрудничат с този орган, по негово искане, при всяко действие, предприето за отстраняване на рисковете, свързани с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те са пуснали на пазара.</w:t>
      </w:r>
      <w:r w:rsidR="008A6BB8">
        <w:rPr>
          <w:rFonts w:eastAsia="Times New Roman"/>
          <w:b/>
          <w:lang w:val="bg-BG"/>
        </w:rPr>
        <w:t xml:space="preserve"> [Изм. 61]</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8a.</w:t>
      </w:r>
      <w:r w:rsidRPr="00952162">
        <w:rPr>
          <w:rFonts w:eastAsia="Times New Roman"/>
          <w:lang w:val="bg-BG"/>
        </w:rPr>
        <w:tab/>
      </w:r>
      <w:r w:rsidRPr="00952162">
        <w:rPr>
          <w:rFonts w:eastAsia="Times New Roman"/>
          <w:b/>
          <w:i/>
          <w:lang w:val="bg-BG"/>
        </w:rPr>
        <w:t>Производителите оповестяват публично на своя уебсайт своите канали за комуникация, като например телефонен номер, електронен адрес или специален раздел на своя уебсайт, като вземат предвид нуждите за достъпност на хората с увреждания и дават възможност на крайните ползватели да подават жалби или да изразяват безпокойство относно евентуално несъответствие на продуктите или въпроси, свързани с безопасността.</w:t>
      </w:r>
      <w:r w:rsidR="008A6BB8">
        <w:rPr>
          <w:rFonts w:eastAsia="Times New Roman"/>
          <w:b/>
          <w:lang w:val="bg-BG"/>
        </w:rPr>
        <w:t xml:space="preserve"> [Изм. 62]</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8</w:t>
      </w:r>
      <w:r w:rsidRPr="00952162">
        <w:rPr>
          <w:rFonts w:eastAsia="Times New Roman"/>
          <w:lang w:val="bg-BG"/>
        </w:rPr>
        <w:br/>
        <w:t>Упълномощен представител</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w:t>
      </w:r>
      <w:r w:rsidRPr="00952162">
        <w:rPr>
          <w:rFonts w:eastAsia="Times New Roman"/>
          <w:lang w:val="bg-BG"/>
        </w:rPr>
        <w:tab/>
        <w:t>Производителите могат да упълномощят писмено упълномощен представител.</w:t>
      </w:r>
      <w:r w:rsidRPr="00952162">
        <w:rPr>
          <w:rFonts w:eastAsia="Times New Roman"/>
          <w:b/>
          <w:i/>
          <w:lang w:val="bg-BG"/>
        </w:rPr>
        <w:t xml:space="preserve"> Пълномощието на упълномощения представител е валидно само при писмено съгласие от страна на упълномощения представител.</w:t>
      </w:r>
      <w:r w:rsidR="008A6BB8">
        <w:rPr>
          <w:rFonts w:eastAsia="Times New Roman"/>
          <w:b/>
          <w:lang w:val="bg-BG"/>
        </w:rPr>
        <w:t xml:space="preserve"> [Изм. 63]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Когато производителят не е установен в държава членка,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може да бъде пуснат(о) на пазара на Съюза само ако производителят определи с писмено пълномощно упълномощен представител.</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2a.</w:t>
      </w:r>
      <w:r w:rsidRPr="00952162">
        <w:rPr>
          <w:rFonts w:eastAsia="Times New Roman"/>
          <w:lang w:val="bg-BG"/>
        </w:rPr>
        <w:tab/>
      </w:r>
      <w:r w:rsidRPr="00952162">
        <w:rPr>
          <w:rFonts w:eastAsia="Times New Roman"/>
          <w:b/>
          <w:i/>
          <w:lang w:val="bg-BG"/>
        </w:rPr>
        <w:t>Производителите, които не са установени в Съюза, информират националните компетентни органи за пощенския и електронния адрес на своя упълномощен представител.</w:t>
      </w:r>
      <w:r w:rsidR="008A6BB8">
        <w:rPr>
          <w:rFonts w:eastAsia="Times New Roman"/>
          <w:b/>
          <w:lang w:val="bg-BG"/>
        </w:rPr>
        <w:t xml:space="preserve"> [Изм. 64]</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w:t>
      </w:r>
      <w:r w:rsidRPr="00952162">
        <w:rPr>
          <w:rFonts w:eastAsia="Times New Roman"/>
          <w:lang w:val="bg-BG"/>
        </w:rPr>
        <w:tab/>
        <w:t xml:space="preserve">Упълномощеният представител изпълнява задачите, определени в полученото от производителя пълномощно. </w:t>
      </w:r>
      <w:r w:rsidRPr="00952162">
        <w:rPr>
          <w:rFonts w:eastAsia="Times New Roman"/>
          <w:b/>
          <w:i/>
          <w:lang w:val="bg-BG"/>
        </w:rPr>
        <w:t xml:space="preserve">Упълномощеният представител разполага с подходящи средства за изпълнение на задачите, посочени в пълномощието. </w:t>
      </w:r>
      <w:r w:rsidRPr="00952162">
        <w:rPr>
          <w:rFonts w:eastAsia="Times New Roman"/>
          <w:lang w:val="bg-BG"/>
        </w:rPr>
        <w:t>При поискване упълномощеният представител предоставя копие от пълномощното на компетентния орган.</w:t>
      </w:r>
      <w:r w:rsidR="008A6BB8">
        <w:rPr>
          <w:rFonts w:eastAsia="Times New Roman"/>
          <w:b/>
          <w:lang w:val="bg-BG"/>
        </w:rPr>
        <w:t xml:space="preserve"> [Изм. 65]</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Пълномощното позволява на упълномощения представител да извършва най-малко следното:</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да проверява дали продуктовият паспорт е създаден в съответствие с член 7, параграф 2, буква а), дали техническата документация е изготвена и процедурата за оценяване на съответствието е проведена от производителя в съответствие с член 7, параграф 2;</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 xml:space="preserve">да съхранява продуктовия паспорт и техническата документация на разположение на националните органи за надзор на пазара в продължение на 10 години след пускането на пазара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попадащ(о) в обхвата на тези документи;</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в)</w:t>
      </w:r>
      <w:r w:rsidRPr="00952162">
        <w:rPr>
          <w:rFonts w:eastAsia="Times New Roman"/>
          <w:lang w:val="bg-BG"/>
        </w:rPr>
        <w:tab/>
        <w:t xml:space="preserve">при обосновано искане от компетентен национален орган да предостави на този орган цялата информация и документация, необходима за доказване на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изискванията, определени в настоящия регламент</w:t>
      </w:r>
      <w:r w:rsidRPr="00952162">
        <w:rPr>
          <w:rFonts w:eastAsia="Times New Roman"/>
          <w:b/>
          <w:i/>
          <w:lang w:val="bg-BG"/>
        </w:rPr>
        <w:t>, в срок от 20 работни дни от получаването на искането и на език, който е лесно разбираем за този орган</w:t>
      </w:r>
      <w:r w:rsidRPr="00952162">
        <w:rPr>
          <w:rFonts w:eastAsia="Times New Roman"/>
          <w:lang w:val="bg-BG"/>
        </w:rPr>
        <w:t>;</w:t>
      </w:r>
      <w:r w:rsidR="008A6BB8">
        <w:rPr>
          <w:rFonts w:eastAsia="Times New Roman"/>
          <w:b/>
          <w:lang w:val="bg-BG"/>
        </w:rPr>
        <w:t xml:space="preserve"> [Изм. 66]</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 xml:space="preserve">да сътрудничи на компетентните национални органи, по тяхно искане, при всяко действие, предприето за отстраняване на рисковете, свързани с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обхванат(о) от пълномощното на упълномощения представител;</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lastRenderedPageBreak/>
        <w:t>д)</w:t>
      </w:r>
      <w:r w:rsidRPr="00952162">
        <w:rPr>
          <w:rFonts w:eastAsia="Times New Roman"/>
          <w:lang w:val="bg-BG"/>
        </w:rPr>
        <w:tab/>
        <w:t>да прекрати пълномощието, ако производителят не спазва задълженията си съгласно настоящия регламент</w:t>
      </w:r>
      <w:r w:rsidRPr="00952162">
        <w:rPr>
          <w:rFonts w:eastAsia="Times New Roman"/>
          <w:strike/>
          <w:lang w:val="bg-BG"/>
        </w:rPr>
        <w:t>.</w:t>
      </w:r>
      <w:r w:rsidRPr="00952162">
        <w:rPr>
          <w:rFonts w:eastAsia="Times New Roman"/>
          <w:b/>
          <w:i/>
          <w:lang w:val="bg-BG"/>
        </w:rPr>
        <w:t xml:space="preserve"> и да информира в срок от 20 работни дни органа за надзор на пазара на държавата членка, в която е установен производителят, за прекратяването на пълномощието;</w:t>
      </w:r>
      <w:r w:rsidR="008A6BB8">
        <w:rPr>
          <w:rFonts w:eastAsia="Times New Roman"/>
          <w:b/>
          <w:lang w:val="bg-BG"/>
        </w:rPr>
        <w:t xml:space="preserve"> [Изм. 67]</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b/>
          <w:i/>
          <w:lang w:val="bg-BG"/>
        </w:rPr>
        <w:t>д</w:t>
      </w:r>
      <w:r w:rsidR="008A6BB8">
        <w:rPr>
          <w:rFonts w:eastAsia="Times New Roman"/>
          <w:b/>
          <w:i/>
          <w:lang w:val="bg-BG"/>
        </w:rPr>
        <w:t>а</w:t>
      </w:r>
      <w:r w:rsidRPr="00952162">
        <w:rPr>
          <w:rFonts w:eastAsia="Times New Roman"/>
          <w:b/>
          <w:i/>
          <w:lang w:val="bg-BG"/>
        </w:rPr>
        <w:t>)</w:t>
      </w:r>
      <w:r w:rsidRPr="00952162">
        <w:rPr>
          <w:rFonts w:eastAsia="Times New Roman"/>
          <w:lang w:val="bg-BG"/>
        </w:rPr>
        <w:tab/>
      </w:r>
      <w:r w:rsidRPr="00952162">
        <w:rPr>
          <w:rFonts w:eastAsia="Times New Roman"/>
          <w:b/>
          <w:i/>
          <w:lang w:val="bg-BG"/>
        </w:rPr>
        <w:t xml:space="preserve">когато упълномощеният представител счита или има основание да счита, че даден </w:t>
      </w:r>
      <w:proofErr w:type="spellStart"/>
      <w:r w:rsidRPr="00952162">
        <w:rPr>
          <w:rFonts w:eastAsia="Times New Roman"/>
          <w:b/>
          <w:i/>
          <w:lang w:val="bg-BG"/>
        </w:rPr>
        <w:t>детергент</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повърхностноактивно</w:t>
      </w:r>
      <w:proofErr w:type="spellEnd"/>
      <w:r w:rsidRPr="00952162">
        <w:rPr>
          <w:rFonts w:eastAsia="Times New Roman"/>
          <w:b/>
          <w:i/>
          <w:lang w:val="bg-BG"/>
        </w:rPr>
        <w:t xml:space="preserve"> вещество представлява риск за здравето или за околната среда, да информира производителя за това</w:t>
      </w:r>
      <w:r w:rsidR="00B16614">
        <w:rPr>
          <w:rFonts w:eastAsia="Times New Roman"/>
          <w:b/>
          <w:i/>
          <w:lang w:val="bg-BG"/>
        </w:rPr>
        <w:t>.</w:t>
      </w:r>
      <w:r w:rsidR="008A6BB8">
        <w:rPr>
          <w:rFonts w:eastAsia="Times New Roman"/>
          <w:b/>
          <w:lang w:val="bg-BG"/>
        </w:rPr>
        <w:t xml:space="preserve"> [Изм. 68]</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3a.</w:t>
      </w:r>
      <w:r w:rsidRPr="00952162">
        <w:rPr>
          <w:rFonts w:eastAsia="Times New Roman"/>
          <w:lang w:val="bg-BG"/>
        </w:rPr>
        <w:tab/>
      </w:r>
      <w:r w:rsidRPr="00952162">
        <w:rPr>
          <w:rFonts w:eastAsia="Times New Roman"/>
          <w:b/>
          <w:i/>
          <w:lang w:val="bg-BG"/>
        </w:rPr>
        <w:t>Когато упълномощеният представител се промени, подробните правила, свързани с тази промяна, се определят в пълномощно в съответствие с параграфи 1, 2 и 3.</w:t>
      </w:r>
      <w:r w:rsidR="008A6BB8">
        <w:rPr>
          <w:rFonts w:eastAsia="Times New Roman"/>
          <w:b/>
          <w:lang w:val="bg-BG"/>
        </w:rPr>
        <w:t xml:space="preserve"> [Изм. 69]</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Задълженията, предвидени в член 7, параграф 1, и задължението за изготвяне на техническа документация, посочено в член 7, параграф 2, не са част от пълномощното на упълномощения представител.</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9</w:t>
      </w:r>
      <w:r w:rsidRPr="00952162">
        <w:rPr>
          <w:rFonts w:eastAsia="Times New Roman"/>
          <w:lang w:val="bg-BG"/>
        </w:rPr>
        <w:br/>
        <w:t>Задължения на вносителите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Вносителите пускат на пазара само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съответстващи на изискванията.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Преди да пуснат на пазара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вносителите гарантират, че: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производителят е приложил процедурата за оценяване на съответствието и е изготвил техническата документация, посочена в член 7, параграф 2;</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б)</w:t>
      </w:r>
      <w:r w:rsidRPr="00952162">
        <w:rPr>
          <w:rFonts w:eastAsia="Times New Roman"/>
          <w:lang w:val="bg-BG"/>
        </w:rPr>
        <w:tab/>
      </w:r>
      <w:r w:rsidRPr="00952162">
        <w:rPr>
          <w:rFonts w:eastAsia="Times New Roman"/>
          <w:strike/>
          <w:lang w:val="bg-BG"/>
        </w:rPr>
        <w:t xml:space="preserve">върху </w:t>
      </w:r>
      <w:proofErr w:type="spellStart"/>
      <w:r w:rsidRPr="00952162">
        <w:rPr>
          <w:rFonts w:eastAsia="Times New Roman"/>
          <w:strike/>
          <w:lang w:val="bg-BG"/>
        </w:rPr>
        <w:t>детергента</w:t>
      </w:r>
      <w:proofErr w:type="spellEnd"/>
      <w:r w:rsidRPr="00952162">
        <w:rPr>
          <w:rFonts w:eastAsia="Times New Roman"/>
          <w:strike/>
          <w:lang w:val="bg-BG"/>
        </w:rPr>
        <w:t xml:space="preserve"> е поставена маркировката „СЕ“, посочена в член 14;</w:t>
      </w:r>
      <w:r w:rsidR="008A6BB8" w:rsidRPr="008A6BB8">
        <w:rPr>
          <w:rFonts w:eastAsia="Times New Roman"/>
          <w:b/>
          <w:lang w:val="bg-BG"/>
        </w:rPr>
        <w:t xml:space="preserve"> [Изм. 70]</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производителят е създал продуктовия паспорт, посочен в член 7, параграф 2;</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r>
      <w:proofErr w:type="spellStart"/>
      <w:r w:rsidRPr="00952162">
        <w:rPr>
          <w:rFonts w:eastAsia="Times New Roman"/>
          <w:lang w:val="bg-BG"/>
        </w:rPr>
        <w:t>относимата</w:t>
      </w:r>
      <w:proofErr w:type="spellEnd"/>
      <w:r w:rsidRPr="00952162">
        <w:rPr>
          <w:rFonts w:eastAsia="Times New Roman"/>
          <w:lang w:val="bg-BG"/>
        </w:rPr>
        <w:t xml:space="preserve"> информация за продуктовия паспорт е включена в регистъра, посочен в член 20, параграф 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 xml:space="preserve">Когато вносител счита или има основание да счита,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не е в съответствие с настоящия регламент, вносителят не пуска на пазара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докато той (то) не бъде приведен(о) в съответствие. Освен това, когато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представлява риск за здравето или за околната среда, вносителят информира за това производителя и органите за надзор на пазара.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4.</w:t>
      </w:r>
      <w:r w:rsidRPr="00952162">
        <w:rPr>
          <w:rFonts w:eastAsia="Times New Roman"/>
          <w:lang w:val="bg-BG"/>
        </w:rPr>
        <w:tab/>
        <w:t xml:space="preserve">Вносителите посочват върху етикета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своето име, регистрирано търговско наименование или регистрирана търговска марка и пощенския адрес и адреса на електронната поща, </w:t>
      </w:r>
      <w:r w:rsidRPr="00952162">
        <w:rPr>
          <w:rFonts w:eastAsia="Times New Roman"/>
          <w:b/>
          <w:i/>
          <w:lang w:val="bg-BG"/>
        </w:rPr>
        <w:t xml:space="preserve">както и телефонният номер, </w:t>
      </w:r>
      <w:r w:rsidRPr="00952162">
        <w:rPr>
          <w:rFonts w:eastAsia="Times New Roman"/>
          <w:lang w:val="bg-BG"/>
        </w:rPr>
        <w:t xml:space="preserve">на които може да се осъществява връзка с тях. Данните за връзка са на език, </w:t>
      </w:r>
      <w:r w:rsidRPr="00952162">
        <w:rPr>
          <w:rFonts w:eastAsia="Times New Roman"/>
          <w:b/>
          <w:i/>
          <w:lang w:val="bg-BG"/>
        </w:rPr>
        <w:t xml:space="preserve">който е </w:t>
      </w:r>
      <w:r w:rsidRPr="00952162">
        <w:rPr>
          <w:rFonts w:eastAsia="Times New Roman"/>
          <w:lang w:val="bg-BG"/>
        </w:rPr>
        <w:t>лесноразбираем за крайните ползватели и органите за надзор на пазара</w:t>
      </w:r>
      <w:r w:rsidRPr="00952162">
        <w:rPr>
          <w:rFonts w:eastAsia="Times New Roman"/>
          <w:b/>
          <w:i/>
          <w:lang w:val="bg-BG"/>
        </w:rPr>
        <w:t>, и е ясен, разбираем и четлив</w:t>
      </w:r>
      <w:r w:rsidRPr="00952162">
        <w:rPr>
          <w:rFonts w:eastAsia="Times New Roman"/>
          <w:lang w:val="bg-BG"/>
        </w:rPr>
        <w:t>.</w:t>
      </w:r>
      <w:r w:rsidR="008A6BB8">
        <w:rPr>
          <w:rFonts w:eastAsia="Times New Roman"/>
          <w:b/>
          <w:lang w:val="bg-BG"/>
        </w:rPr>
        <w:t xml:space="preserve"> [Изм. 71]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w:t>
      </w:r>
      <w:r w:rsidRPr="00952162">
        <w:rPr>
          <w:rFonts w:eastAsia="Times New Roman"/>
          <w:lang w:val="bg-BG"/>
        </w:rPr>
        <w:tab/>
        <w:t xml:space="preserve">Вносителите осигуряват съответствието на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пуснати от тях на пазара, с изискванията за етикетиране, определени в членове 15, 16 и 17.</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Вносителите гарантират, че докато отговарят за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условията на неговото съхранение или транспортиране не застрашават неговото съответствие с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7.</w:t>
      </w:r>
      <w:r w:rsidRPr="00952162">
        <w:rPr>
          <w:rFonts w:eastAsia="Times New Roman"/>
          <w:lang w:val="bg-BG"/>
        </w:rPr>
        <w:tab/>
        <w:t xml:space="preserve">Когато се счита за целесъобразно предвид въздействието на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или предвид рисковете, свързани с него, вносителите провеждат изпитвания на тези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провеждат разследвания и, ако е необходимо, поддържат регистър за оплаквания,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не отговарят на изискванията, и за изземванията на такива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и също така информират дистрибуторите за такъв мониторинг.</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8.</w:t>
      </w:r>
      <w:r w:rsidRPr="00952162">
        <w:rPr>
          <w:rFonts w:eastAsia="Times New Roman"/>
          <w:lang w:val="bg-BG"/>
        </w:rPr>
        <w:tab/>
        <w:t xml:space="preserve">Вносителите, които считат или имат основание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са пуснали на пазара, не съответства на настоящия регламент, незабавно </w:t>
      </w:r>
      <w:r w:rsidRPr="00952162">
        <w:rPr>
          <w:rFonts w:eastAsia="Times New Roman"/>
          <w:b/>
          <w:i/>
          <w:lang w:val="bg-BG"/>
        </w:rPr>
        <w:t xml:space="preserve">информират производителя и компетентните орган и си сътрудничат с тях и незабавно </w:t>
      </w:r>
      <w:r w:rsidRPr="00952162">
        <w:rPr>
          <w:rFonts w:eastAsia="Times New Roman"/>
          <w:lang w:val="bg-BG"/>
        </w:rPr>
        <w:t xml:space="preserve">предприемат необходимите коригиращи </w:t>
      </w:r>
      <w:proofErr w:type="spellStart"/>
      <w:r w:rsidRPr="00952162">
        <w:rPr>
          <w:rFonts w:eastAsia="Times New Roman"/>
          <w:strike/>
          <w:lang w:val="bg-BG"/>
        </w:rPr>
        <w:t>мерки</w:t>
      </w:r>
      <w:r w:rsidRPr="00952162">
        <w:rPr>
          <w:rFonts w:eastAsia="Times New Roman"/>
          <w:b/>
          <w:i/>
          <w:lang w:val="bg-BG"/>
        </w:rPr>
        <w:t>действия</w:t>
      </w:r>
      <w:proofErr w:type="spellEnd"/>
      <w:r w:rsidRPr="00952162">
        <w:rPr>
          <w:rFonts w:eastAsia="Times New Roman"/>
          <w:lang w:val="bg-BG"/>
        </w:rPr>
        <w:t xml:space="preserve">, за да приведат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в съответствие, да го изтеглят или да го изземат, по целесъобразност. Освен това, когато вносителите считат или имат основание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са пуснали на пазара, представлява риск за здравето на човека или за околната среда, те незабавно информират за това </w:t>
      </w:r>
      <w:r w:rsidRPr="00952162">
        <w:rPr>
          <w:rFonts w:eastAsia="Times New Roman"/>
          <w:b/>
          <w:i/>
          <w:lang w:val="bg-BG"/>
        </w:rPr>
        <w:t xml:space="preserve">производителя и </w:t>
      </w:r>
      <w:r w:rsidRPr="00952162">
        <w:rPr>
          <w:rFonts w:eastAsia="Times New Roman"/>
          <w:lang w:val="bg-BG"/>
        </w:rPr>
        <w:t xml:space="preserve">компетентните национални органи на държавите членки, в които са предоставили на пазара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като предоставят подробни данни, по-специално за всякакво неспазване на изискванията и за предприетите коригиращи </w:t>
      </w:r>
      <w:proofErr w:type="spellStart"/>
      <w:r w:rsidRPr="00952162">
        <w:rPr>
          <w:rFonts w:eastAsia="Times New Roman"/>
          <w:strike/>
          <w:lang w:val="bg-BG"/>
        </w:rPr>
        <w:t>мерки</w:t>
      </w:r>
      <w:r w:rsidRPr="00952162">
        <w:rPr>
          <w:rFonts w:eastAsia="Times New Roman"/>
          <w:b/>
          <w:i/>
          <w:lang w:val="bg-BG"/>
        </w:rPr>
        <w:t>действия</w:t>
      </w:r>
      <w:proofErr w:type="spellEnd"/>
      <w:r w:rsidRPr="00952162">
        <w:rPr>
          <w:rFonts w:eastAsia="Times New Roman"/>
          <w:lang w:val="bg-BG"/>
        </w:rPr>
        <w:t>.</w:t>
      </w:r>
      <w:r w:rsidR="008A6BB8">
        <w:rPr>
          <w:rFonts w:eastAsia="Times New Roman"/>
          <w:b/>
          <w:lang w:val="bg-BG"/>
        </w:rPr>
        <w:t xml:space="preserve"> [Изм. 72]</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8a.</w:t>
      </w:r>
      <w:r w:rsidRPr="00952162">
        <w:rPr>
          <w:rFonts w:eastAsia="Times New Roman"/>
          <w:lang w:val="bg-BG"/>
        </w:rPr>
        <w:tab/>
      </w:r>
      <w:r w:rsidRPr="00952162">
        <w:rPr>
          <w:rFonts w:eastAsia="Times New Roman"/>
          <w:b/>
          <w:i/>
          <w:lang w:val="bg-BG"/>
        </w:rPr>
        <w:t xml:space="preserve">При поискване от органите за надзор на пазара вносителите споделят своевременно </w:t>
      </w:r>
      <w:proofErr w:type="spellStart"/>
      <w:r w:rsidRPr="00952162">
        <w:rPr>
          <w:rFonts w:eastAsia="Times New Roman"/>
          <w:b/>
          <w:i/>
          <w:lang w:val="bg-BG"/>
        </w:rPr>
        <w:t>относима</w:t>
      </w:r>
      <w:proofErr w:type="spellEnd"/>
      <w:r w:rsidRPr="00952162">
        <w:rPr>
          <w:rFonts w:eastAsia="Times New Roman"/>
          <w:b/>
          <w:i/>
          <w:lang w:val="bg-BG"/>
        </w:rPr>
        <w:t xml:space="preserve"> информация със съответните икономически оператори, включително дистрибутори и упълномощени представители в рамките на съответната верига на доставки, във връзка с всеки проблем, свързан със съответствието, или риск за здравето или околната среда, който са установили във връзка със своя продукт, както и за всяко последващо коригиращо действие, изземване или изтегляне.</w:t>
      </w:r>
      <w:r w:rsidR="008A6BB8">
        <w:rPr>
          <w:rFonts w:eastAsia="Times New Roman"/>
          <w:b/>
          <w:lang w:val="bg-BG"/>
        </w:rPr>
        <w:t xml:space="preserve"> [Изм. 73]</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9.</w:t>
      </w:r>
      <w:r w:rsidRPr="00952162">
        <w:rPr>
          <w:rFonts w:eastAsia="Times New Roman"/>
          <w:lang w:val="bg-BG"/>
        </w:rPr>
        <w:tab/>
        <w:t xml:space="preserve">Вносителите съхраняват номера на единния идентификационен код на продукта на разположение на органите за надзор на пазара в продължение на 10 години след пускането на пазара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и гарантират, че при поискване техническата документация може да бъде предоставена на тези органи.</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10.</w:t>
      </w:r>
      <w:r w:rsidRPr="00952162">
        <w:rPr>
          <w:rFonts w:eastAsia="Times New Roman"/>
          <w:lang w:val="bg-BG"/>
        </w:rPr>
        <w:tab/>
        <w:t xml:space="preserve">При обосновано искане от компетентен национален орган вносителите му предоставят на </w:t>
      </w:r>
      <w:r w:rsidRPr="00952162">
        <w:rPr>
          <w:rFonts w:eastAsia="Times New Roman"/>
          <w:strike/>
          <w:lang w:val="bg-BG"/>
        </w:rPr>
        <w:t xml:space="preserve">хартиен или на </w:t>
      </w:r>
      <w:r w:rsidRPr="00952162">
        <w:rPr>
          <w:rFonts w:eastAsia="Times New Roman"/>
          <w:lang w:val="bg-BG"/>
        </w:rPr>
        <w:t>електронен носител</w:t>
      </w:r>
      <w:r w:rsidRPr="00952162">
        <w:rPr>
          <w:rFonts w:eastAsia="Times New Roman"/>
          <w:b/>
          <w:i/>
          <w:lang w:val="bg-BG"/>
        </w:rPr>
        <w:t>, а при поискване и на хартиен носител,</w:t>
      </w:r>
      <w:r w:rsidRPr="00952162">
        <w:rPr>
          <w:rFonts w:eastAsia="Times New Roman"/>
          <w:lang w:val="bg-BG"/>
        </w:rPr>
        <w:t xml:space="preserve"> цялата информация и документация, необходима за доказване на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настоящия регламент, на език, лесно разбираем за този орган</w:t>
      </w:r>
      <w:r w:rsidRPr="00952162">
        <w:rPr>
          <w:rFonts w:eastAsia="Times New Roman"/>
          <w:b/>
          <w:i/>
          <w:lang w:val="bg-BG"/>
        </w:rPr>
        <w:t>. Съответната информация и документация се предоставят в срок от 20 работни дни от получаване на искането</w:t>
      </w:r>
      <w:r w:rsidRPr="00952162">
        <w:rPr>
          <w:rFonts w:eastAsia="Times New Roman"/>
          <w:lang w:val="bg-BG"/>
        </w:rPr>
        <w:t xml:space="preserve">. Те си сътрудничат с този орган, по негово искане, при всяко действие, предприето за отстраняване на рисковете, свързани с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те са пуснали на пазара.</w:t>
      </w:r>
      <w:r w:rsidR="008A6BB8">
        <w:rPr>
          <w:rFonts w:eastAsia="Times New Roman"/>
          <w:b/>
          <w:lang w:val="bg-BG"/>
        </w:rPr>
        <w:t xml:space="preserve"> [Изм. 74]</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10a.</w:t>
      </w:r>
      <w:r w:rsidRPr="00952162">
        <w:rPr>
          <w:rFonts w:eastAsia="Times New Roman"/>
          <w:lang w:val="bg-BG"/>
        </w:rPr>
        <w:tab/>
      </w:r>
      <w:r w:rsidRPr="00952162">
        <w:rPr>
          <w:rFonts w:eastAsia="Times New Roman"/>
          <w:b/>
          <w:i/>
          <w:lang w:val="bg-BG"/>
        </w:rPr>
        <w:t>Вносителите проверяват дали каналите за комуникация, посочени в член 7, параграф 8а, са публично достъпни за потребителите като така дават възможност на потребителите да подават жалби или да изразяват опасения за потенциално несъответствие на продуктите. Където такива канали не са налични вносителите ги осигуряват, като вземат предвид нуждите във връзка с достъпността на хората с увреждания.</w:t>
      </w:r>
      <w:r w:rsidR="008A6BB8">
        <w:rPr>
          <w:rFonts w:eastAsia="Times New Roman"/>
          <w:b/>
          <w:lang w:val="bg-BG"/>
        </w:rPr>
        <w:t xml:space="preserve"> [Изм. 75]</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10</w:t>
      </w:r>
      <w:r w:rsidRPr="00952162">
        <w:rPr>
          <w:rFonts w:eastAsia="Times New Roman"/>
          <w:lang w:val="bg-BG"/>
        </w:rPr>
        <w:br/>
        <w:t>Задължения на дистрибуторите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Когато предоставят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на пазара, дистрибуторите действат с дължимата грижа по отношение на изискванията на настоящия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Преди да предоставят на пазара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дистрибуторите проверяват дали са изпълнени следните условия: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е придружен(о) от необходимите документи и от етикет, който отговаря на изискванията, посочени в членове 15, 16 и 17;</w:t>
      </w:r>
    </w:p>
    <w:p w:rsidR="00952162" w:rsidRPr="00952162"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б)</w:t>
      </w:r>
      <w:r w:rsidRPr="00952162">
        <w:rPr>
          <w:rFonts w:eastAsia="Times New Roman"/>
          <w:lang w:val="bg-BG"/>
        </w:rPr>
        <w:tab/>
      </w:r>
      <w:r w:rsidRPr="00952162">
        <w:rPr>
          <w:rFonts w:eastAsia="Times New Roman"/>
          <w:strike/>
          <w:lang w:val="bg-BG"/>
        </w:rPr>
        <w:t xml:space="preserve">върху </w:t>
      </w:r>
      <w:proofErr w:type="spellStart"/>
      <w:r w:rsidRPr="00952162">
        <w:rPr>
          <w:rFonts w:eastAsia="Times New Roman"/>
          <w:strike/>
          <w:lang w:val="bg-BG"/>
        </w:rPr>
        <w:t>детергента</w:t>
      </w:r>
      <w:proofErr w:type="spellEnd"/>
      <w:r w:rsidRPr="00952162">
        <w:rPr>
          <w:rFonts w:eastAsia="Times New Roman"/>
          <w:strike/>
          <w:lang w:val="bg-BG"/>
        </w:rPr>
        <w:t xml:space="preserve"> е поставена маркировката „СЕ“, посочена в член 14;</w:t>
      </w:r>
      <w:r w:rsidR="008A6BB8" w:rsidRPr="008A6BB8">
        <w:rPr>
          <w:rFonts w:eastAsia="Times New Roman"/>
          <w:b/>
          <w:lang w:val="bg-BG"/>
        </w:rPr>
        <w:t xml:space="preserve"> [Изм. 76]</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производителят е спазил изискванията, установени в член 7, параграфи 2 и 3, или, според случая, вносителят е спазил изискванията, установени в член 9, параграф 2.</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3.</w:t>
      </w:r>
      <w:r w:rsidRPr="00952162">
        <w:rPr>
          <w:rFonts w:eastAsia="Times New Roman"/>
          <w:lang w:val="bg-BG"/>
        </w:rPr>
        <w:tab/>
        <w:t xml:space="preserve">Когато някой дистрибутор счита или има основание да счита,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не е в съответствие с настоящия регламент, дистрибуторът не предоставя на пазара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докато той (то) не бъде приведен(о) в съответствие. Освен това, когато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представлява риск за здравето или за околната среда, дистрибуторът информира за това производителя и, когато е уместно, упълномощения представител на вносителя, както и органите за надзор на пазара.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 xml:space="preserve">Дистрибуторите гарантират, че докато отговарят за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условията на неговото съхранение или транспортиране не застрашават неговото съответствие с настоящия регламент.</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5.</w:t>
      </w:r>
      <w:r w:rsidRPr="00952162">
        <w:rPr>
          <w:rFonts w:eastAsia="Times New Roman"/>
          <w:lang w:val="bg-BG"/>
        </w:rPr>
        <w:tab/>
        <w:t xml:space="preserve">Дистрибуторите, които считат или имат основание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са предоставили на пазара, не съответства на настоящия регламент, </w:t>
      </w:r>
      <w:r w:rsidRPr="00952162">
        <w:rPr>
          <w:rFonts w:eastAsia="Times New Roman"/>
          <w:strike/>
          <w:lang w:val="bg-BG"/>
        </w:rPr>
        <w:t xml:space="preserve">се </w:t>
      </w:r>
      <w:proofErr w:type="spellStart"/>
      <w:r w:rsidRPr="00952162">
        <w:rPr>
          <w:rFonts w:eastAsia="Times New Roman"/>
          <w:strike/>
          <w:lang w:val="bg-BG"/>
        </w:rPr>
        <w:t>уверяват</w:t>
      </w:r>
      <w:r w:rsidRPr="00952162">
        <w:rPr>
          <w:rFonts w:eastAsia="Times New Roman"/>
          <w:b/>
          <w:i/>
          <w:lang w:val="bg-BG"/>
        </w:rPr>
        <w:t>незабавно</w:t>
      </w:r>
      <w:proofErr w:type="spellEnd"/>
      <w:r w:rsidRPr="00952162">
        <w:rPr>
          <w:rFonts w:eastAsia="Times New Roman"/>
          <w:b/>
          <w:i/>
          <w:lang w:val="bg-BG"/>
        </w:rPr>
        <w:t xml:space="preserve"> информират производителя или вносителя, според случая, и компетентните органи и си сътрудничат с тях и гарантират</w:t>
      </w:r>
      <w:r w:rsidRPr="00952162">
        <w:rPr>
          <w:rFonts w:eastAsia="Times New Roman"/>
          <w:lang w:val="bg-BG"/>
        </w:rPr>
        <w:t xml:space="preserve">, че са предприети необходимите коригиращи мерки, за да се приведе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в съответствие, да се изтегли или да се изземе, по целесъобразност. Освен това, когато дистрибуторите считат или имат основание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който (което) са предоставили на пазара, представлява риск за здравето на човека или за околната среда, те незабавно информират за това компетентните национални органи на държавите членки, в които са предоставили на пазара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като предоставят подробни данни, по-специално за всякакво неспазване на изискванията и за предприетите коригиращи </w:t>
      </w:r>
      <w:proofErr w:type="spellStart"/>
      <w:r w:rsidRPr="00952162">
        <w:rPr>
          <w:rFonts w:eastAsia="Times New Roman"/>
          <w:strike/>
          <w:lang w:val="bg-BG"/>
        </w:rPr>
        <w:t>мерки</w:t>
      </w:r>
      <w:r w:rsidRPr="00952162">
        <w:rPr>
          <w:rFonts w:eastAsia="Times New Roman"/>
          <w:b/>
          <w:i/>
          <w:lang w:val="bg-BG"/>
        </w:rPr>
        <w:t>действия</w:t>
      </w:r>
      <w:proofErr w:type="spellEnd"/>
      <w:r w:rsidRPr="00952162">
        <w:rPr>
          <w:rFonts w:eastAsia="Times New Roman"/>
          <w:lang w:val="bg-BG"/>
        </w:rPr>
        <w:t>.</w:t>
      </w:r>
      <w:r w:rsidR="008A6BB8">
        <w:rPr>
          <w:rFonts w:eastAsia="Times New Roman"/>
          <w:b/>
          <w:lang w:val="bg-BG"/>
        </w:rPr>
        <w:t xml:space="preserve"> [Изм. 77]</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6.</w:t>
      </w:r>
      <w:r w:rsidRPr="00952162">
        <w:rPr>
          <w:rFonts w:eastAsia="Times New Roman"/>
          <w:lang w:val="bg-BG"/>
        </w:rPr>
        <w:tab/>
        <w:t xml:space="preserve">При обосновано искане от компетентен национален орган дистрибуторите му предоставят на </w:t>
      </w:r>
      <w:r w:rsidRPr="00952162">
        <w:rPr>
          <w:rFonts w:eastAsia="Times New Roman"/>
          <w:strike/>
          <w:lang w:val="bg-BG"/>
        </w:rPr>
        <w:t xml:space="preserve">хартиен или на </w:t>
      </w:r>
      <w:r w:rsidRPr="00952162">
        <w:rPr>
          <w:rFonts w:eastAsia="Times New Roman"/>
          <w:lang w:val="bg-BG"/>
        </w:rPr>
        <w:t>електронен носител</w:t>
      </w:r>
      <w:r w:rsidRPr="00952162">
        <w:rPr>
          <w:rFonts w:eastAsia="Times New Roman"/>
          <w:b/>
          <w:i/>
          <w:lang w:val="bg-BG"/>
        </w:rPr>
        <w:t>, а при поискване и на хартиен носител,</w:t>
      </w:r>
      <w:r w:rsidRPr="00952162">
        <w:rPr>
          <w:rFonts w:eastAsia="Times New Roman"/>
          <w:lang w:val="bg-BG"/>
        </w:rPr>
        <w:t xml:space="preserve"> цялата информация и документация, необходима за доказване на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настоящия регламент</w:t>
      </w:r>
      <w:r w:rsidRPr="00952162">
        <w:rPr>
          <w:rFonts w:eastAsia="Times New Roman"/>
          <w:b/>
          <w:i/>
          <w:lang w:val="bg-BG"/>
        </w:rPr>
        <w:t>. Съответната информация и документация се предоставят в срок от 20 работни дни от получаване на искането</w:t>
      </w:r>
      <w:r w:rsidRPr="00952162">
        <w:rPr>
          <w:rFonts w:eastAsia="Times New Roman"/>
          <w:lang w:val="bg-BG"/>
        </w:rPr>
        <w:t xml:space="preserve">. Те си сътрудничат с този орган, по негово искане, при всяко действие, предприето за отстраняване на рисковете, свързани с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са предоставили на пазара.</w:t>
      </w:r>
      <w:r w:rsidR="008A6BB8">
        <w:rPr>
          <w:rFonts w:eastAsia="Times New Roman"/>
          <w:b/>
          <w:lang w:val="bg-BG"/>
        </w:rPr>
        <w:t xml:space="preserve"> [Изм. 78]</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11</w:t>
      </w:r>
      <w:r w:rsidRPr="00952162">
        <w:rPr>
          <w:rFonts w:eastAsia="Times New Roman"/>
          <w:lang w:val="bg-BG"/>
        </w:rPr>
        <w:br/>
        <w:t>Случаи, в които задълженията на производителите се прилагат и към вносителите и дистрибуторите</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Вносител или дистрибутор се счита за производител за целите на настоящия регламент и е носител на задълженията на производителя по член 7, когато този вносител или дистрибутор пуска на пазара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със своето име или търговска марка или изменя вече пуснат на пазара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по такъв начин, че съответствието с настоящия регламент може да бъде засегнато.</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12</w:t>
      </w:r>
      <w:r w:rsidRPr="00952162">
        <w:rPr>
          <w:rFonts w:eastAsia="Times New Roman"/>
          <w:lang w:val="bg-BG"/>
        </w:rPr>
        <w:br/>
        <w:t xml:space="preserve">Опаковане и </w:t>
      </w:r>
      <w:proofErr w:type="spellStart"/>
      <w:r w:rsidRPr="00952162">
        <w:rPr>
          <w:rFonts w:eastAsia="Times New Roman"/>
          <w:lang w:val="bg-BG"/>
        </w:rPr>
        <w:t>преопаковане</w:t>
      </w:r>
      <w:proofErr w:type="spellEnd"/>
      <w:r w:rsidRPr="00952162">
        <w:rPr>
          <w:rFonts w:eastAsia="Times New Roman"/>
          <w:lang w:val="bg-BG"/>
        </w:rPr>
        <w:t xml:space="preserve"> от вносители и дистрибутори</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Когато вносител или дистрибутор, по отношение на който не се прилагат задълженията на производителя съгласно член 11, опакова или </w:t>
      </w:r>
      <w:proofErr w:type="spellStart"/>
      <w:r w:rsidRPr="00952162">
        <w:rPr>
          <w:rFonts w:eastAsia="Times New Roman"/>
          <w:lang w:val="bg-BG"/>
        </w:rPr>
        <w:t>преопакова</w:t>
      </w:r>
      <w:proofErr w:type="spellEnd"/>
      <w:r w:rsidRPr="00952162">
        <w:rPr>
          <w:rFonts w:eastAsia="Times New Roman"/>
          <w:lang w:val="bg-BG"/>
        </w:rPr>
        <w:t xml:space="preserve">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този вносител или дистрибутор, според случая, има следните задължения:</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а)</w:t>
      </w:r>
      <w:r w:rsidRPr="00952162">
        <w:rPr>
          <w:rFonts w:eastAsia="Times New Roman"/>
          <w:lang w:val="bg-BG"/>
        </w:rPr>
        <w:tab/>
        <w:t>да гарантира, че върху опаковката са нанесени неговото име, регистрирано търговско наименование или регистрирана търговска марка</w:t>
      </w:r>
      <w:r w:rsidRPr="00952162">
        <w:rPr>
          <w:rFonts w:eastAsia="Times New Roman"/>
          <w:b/>
          <w:i/>
          <w:lang w:val="bg-BG"/>
        </w:rPr>
        <w:t>, пощенският и електронният</w:t>
      </w:r>
      <w:r w:rsidRPr="00952162">
        <w:rPr>
          <w:rFonts w:eastAsia="Times New Roman"/>
          <w:strike/>
          <w:lang w:val="bg-BG"/>
        </w:rPr>
        <w:t xml:space="preserve"> и пощенски</w:t>
      </w:r>
      <w:r w:rsidRPr="00952162">
        <w:rPr>
          <w:rFonts w:eastAsia="Times New Roman"/>
          <w:lang w:val="bg-BG"/>
        </w:rPr>
        <w:t xml:space="preserve"> адрес</w:t>
      </w:r>
      <w:r w:rsidRPr="00952162">
        <w:rPr>
          <w:rFonts w:eastAsia="Times New Roman"/>
          <w:b/>
          <w:i/>
          <w:lang w:val="bg-BG"/>
        </w:rPr>
        <w:t xml:space="preserve"> и телефонен номер, на който може да се осъществи връзка с него</w:t>
      </w:r>
      <w:r w:rsidRPr="00952162">
        <w:rPr>
          <w:rFonts w:eastAsia="Times New Roman"/>
          <w:lang w:val="bg-BG"/>
        </w:rPr>
        <w:t>, предшествани от думите „опаковано от“ или „</w:t>
      </w:r>
      <w:proofErr w:type="spellStart"/>
      <w:r w:rsidRPr="00952162">
        <w:rPr>
          <w:rFonts w:eastAsia="Times New Roman"/>
          <w:lang w:val="bg-BG"/>
        </w:rPr>
        <w:t>преопаковано</w:t>
      </w:r>
      <w:proofErr w:type="spellEnd"/>
      <w:r w:rsidRPr="00952162">
        <w:rPr>
          <w:rFonts w:eastAsia="Times New Roman"/>
          <w:lang w:val="bg-BG"/>
        </w:rPr>
        <w:t xml:space="preserve"> от“;</w:t>
      </w:r>
      <w:r w:rsidR="008A6BB8">
        <w:rPr>
          <w:rFonts w:eastAsia="Times New Roman"/>
          <w:b/>
          <w:lang w:val="bg-BG"/>
        </w:rPr>
        <w:t xml:space="preserve"> [Изм. 79]</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б)</w:t>
      </w:r>
      <w:r w:rsidRPr="00952162">
        <w:rPr>
          <w:rFonts w:eastAsia="Times New Roman"/>
          <w:lang w:val="bg-BG"/>
        </w:rPr>
        <w:tab/>
        <w:t>да осигури съответствие с членове 14—17;</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в)</w:t>
      </w:r>
      <w:r w:rsidRPr="00952162">
        <w:rPr>
          <w:rFonts w:eastAsia="Times New Roman"/>
          <w:lang w:val="bg-BG"/>
        </w:rPr>
        <w:tab/>
        <w:t xml:space="preserve">да съхранява номера на единния идентификационен код на продукта на разположение на органите за надзор на пазара в продължение на 10 години след предоставянето на пазара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13</w:t>
      </w:r>
      <w:r w:rsidRPr="00952162">
        <w:rPr>
          <w:rFonts w:eastAsia="Times New Roman"/>
          <w:lang w:val="bg-BG"/>
        </w:rPr>
        <w:br/>
        <w:t>Идентифициране на икономическите оператори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По искане на органите за надзор на пазара икономическите оператори посочват:</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всеки икономически оператор, който им е доставил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 xml:space="preserve">всеки икономически оператор, на когото са доставили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Икономическите оператори трябва да могат да предоставят информацията, посочена в параграф 1, в продължение на 10 години, след като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са им били доставени, и в продължение на 10 години, след като те са доставили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ГЛАВА IV</w:t>
      </w:r>
      <w:r w:rsidRPr="00952162">
        <w:rPr>
          <w:rFonts w:eastAsia="Times New Roman"/>
          <w:lang w:val="bg-BG"/>
        </w:rPr>
        <w:br/>
        <w:t xml:space="preserve">МАРКИРОВКА „СЕ“ И ЕТИКЕТИРАНЕ </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strike/>
          <w:lang w:val="bg-BG"/>
        </w:rPr>
        <w:t>Член 14</w:t>
      </w:r>
      <w:r w:rsidRPr="00952162">
        <w:rPr>
          <w:rFonts w:eastAsia="Times New Roman"/>
          <w:lang w:val="bg-BG"/>
        </w:rPr>
        <w:br/>
      </w:r>
      <w:r w:rsidRPr="00952162">
        <w:rPr>
          <w:rFonts w:eastAsia="Times New Roman"/>
          <w:strike/>
          <w:lang w:val="bg-BG"/>
        </w:rPr>
        <w:t>Правила и условия за нанасянето на маркировката „СЕ“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1.</w:t>
      </w:r>
      <w:r w:rsidRPr="00952162">
        <w:rPr>
          <w:rFonts w:eastAsia="Times New Roman"/>
          <w:lang w:val="bg-BG"/>
        </w:rPr>
        <w:tab/>
      </w:r>
      <w:r w:rsidRPr="00952162">
        <w:rPr>
          <w:rFonts w:eastAsia="Times New Roman"/>
          <w:strike/>
          <w:lang w:val="bg-BG"/>
        </w:rPr>
        <w:t>За маркировката „СЕ“ се прилагат общите принципи, определени в член 30 от Регламент (ЕО) № 765/2008.</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2.</w:t>
      </w:r>
      <w:r w:rsidRPr="00952162">
        <w:rPr>
          <w:rFonts w:eastAsia="Times New Roman"/>
          <w:lang w:val="bg-BG"/>
        </w:rPr>
        <w:tab/>
      </w:r>
      <w:r w:rsidRPr="00952162">
        <w:rPr>
          <w:rFonts w:eastAsia="Times New Roman"/>
          <w:strike/>
          <w:lang w:val="bg-BG"/>
        </w:rPr>
        <w:t xml:space="preserve">Маркировката „CE“ се нанася така, че да бъде видима, четлива и незаличима, преди </w:t>
      </w:r>
      <w:proofErr w:type="spellStart"/>
      <w:r w:rsidRPr="00952162">
        <w:rPr>
          <w:rFonts w:eastAsia="Times New Roman"/>
          <w:strike/>
          <w:lang w:val="bg-BG"/>
        </w:rPr>
        <w:t>детергентът</w:t>
      </w:r>
      <w:proofErr w:type="spellEnd"/>
      <w:r w:rsidRPr="00952162">
        <w:rPr>
          <w:rFonts w:eastAsia="Times New Roman"/>
          <w:strike/>
          <w:lang w:val="bg-BG"/>
        </w:rPr>
        <w:t xml:space="preserve"> да бъде пуснат на пазара.</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strike/>
          <w:lang w:val="bg-BG"/>
        </w:rPr>
        <w:t xml:space="preserve">Маркировката „CE“ се нанася или върху етикета, или върху опаковката на </w:t>
      </w:r>
      <w:proofErr w:type="spellStart"/>
      <w:r w:rsidRPr="00952162">
        <w:rPr>
          <w:rFonts w:eastAsia="Times New Roman"/>
          <w:strike/>
          <w:lang w:val="bg-BG"/>
        </w:rPr>
        <w:t>детергента</w:t>
      </w:r>
      <w:proofErr w:type="spellEnd"/>
      <w:r w:rsidRPr="00952162">
        <w:rPr>
          <w:rFonts w:eastAsia="Times New Roman"/>
          <w:strike/>
          <w:lang w:val="bg-BG"/>
        </w:rPr>
        <w:t xml:space="preserve">, или, когато </w:t>
      </w:r>
      <w:proofErr w:type="spellStart"/>
      <w:r w:rsidRPr="00952162">
        <w:rPr>
          <w:rFonts w:eastAsia="Times New Roman"/>
          <w:strike/>
          <w:lang w:val="bg-BG"/>
        </w:rPr>
        <w:t>детергентът</w:t>
      </w:r>
      <w:proofErr w:type="spellEnd"/>
      <w:r w:rsidRPr="00952162">
        <w:rPr>
          <w:rFonts w:eastAsia="Times New Roman"/>
          <w:strike/>
          <w:lang w:val="bg-BG"/>
        </w:rPr>
        <w:t xml:space="preserve"> се доставя в насипно състояние, върху документ, придружаващ </w:t>
      </w:r>
      <w:proofErr w:type="spellStart"/>
      <w:r w:rsidRPr="00952162">
        <w:rPr>
          <w:rFonts w:eastAsia="Times New Roman"/>
          <w:strike/>
          <w:lang w:val="bg-BG"/>
        </w:rPr>
        <w:t>детергента</w:t>
      </w:r>
      <w:proofErr w:type="spellEnd"/>
      <w:r w:rsidRPr="00952162">
        <w:rPr>
          <w:rFonts w:eastAsia="Times New Roman"/>
          <w:strike/>
          <w:lang w:val="bg-BG"/>
        </w:rPr>
        <w:t>.</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strike/>
          <w:lang w:val="bg-BG"/>
        </w:rPr>
        <w:t>Когато в съответствие с член 16, параграф 2 икономическите оператори могат да предоставят само цифров етикет, маркировката „CE“ се поставя върху цифровия етикет.</w:t>
      </w:r>
    </w:p>
    <w:p w:rsidR="00952162" w:rsidRPr="00952162"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strike/>
          <w:lang w:val="bg-BG"/>
        </w:rPr>
        <w:t>3.</w:t>
      </w:r>
      <w:r w:rsidRPr="00952162">
        <w:rPr>
          <w:rFonts w:eastAsia="Times New Roman"/>
          <w:lang w:val="bg-BG"/>
        </w:rPr>
        <w:tab/>
      </w:r>
      <w:r w:rsidRPr="00952162">
        <w:rPr>
          <w:rFonts w:eastAsia="Times New Roman"/>
          <w:strike/>
          <w:lang w:val="bg-BG"/>
        </w:rPr>
        <w:t>Държавите членки доразвиват съществуващите механизми, за да гарантират правилното прилагане на режима, уреждащ маркировката „СЕ“, и предприемат подходящи действия в случай на неправилна употреба на тази маркировка.</w:t>
      </w:r>
      <w:r w:rsidR="008A6BB8" w:rsidRPr="008A6BB8">
        <w:rPr>
          <w:rFonts w:eastAsia="Times New Roman"/>
          <w:b/>
          <w:lang w:val="bg-BG"/>
        </w:rPr>
        <w:t xml:space="preserve"> [Изм. 80]</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15</w:t>
      </w:r>
      <w:r w:rsidRPr="00952162">
        <w:rPr>
          <w:rFonts w:eastAsia="Times New Roman"/>
          <w:lang w:val="bg-BG"/>
        </w:rPr>
        <w:br/>
        <w:t>Общи изисквания за етикетиране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се предоставят на пазара в индивидуални опаковки или в съдове за многократно пълнене, се придружават от етикет.</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w:t>
      </w:r>
      <w:r w:rsidRPr="00952162">
        <w:rPr>
          <w:rFonts w:eastAsia="Times New Roman"/>
          <w:lang w:val="bg-BG"/>
        </w:rPr>
        <w:tab/>
        <w:t xml:space="preserve">Икономически оператор, който предоставя </w:t>
      </w:r>
      <w:proofErr w:type="spellStart"/>
      <w:r w:rsidRPr="00952162">
        <w:rPr>
          <w:rFonts w:eastAsia="Times New Roman"/>
          <w:lang w:val="bg-BG"/>
        </w:rPr>
        <w:t>детергент</w:t>
      </w:r>
      <w:proofErr w:type="spellEnd"/>
      <w:r w:rsidRPr="00952162">
        <w:rPr>
          <w:rFonts w:eastAsia="Times New Roman"/>
          <w:lang w:val="bg-BG"/>
        </w:rPr>
        <w:t xml:space="preserve"> на пазара директно на краен ползвател в съдове за многократно пълнене, предоставя физическия етикет </w:t>
      </w:r>
      <w:proofErr w:type="spellStart"/>
      <w:r w:rsidRPr="00952162">
        <w:rPr>
          <w:rFonts w:eastAsia="Times New Roman"/>
          <w:strike/>
          <w:lang w:val="bg-BG"/>
        </w:rPr>
        <w:t>или</w:t>
      </w:r>
      <w:r w:rsidRPr="00952162">
        <w:rPr>
          <w:rFonts w:eastAsia="Times New Roman"/>
          <w:b/>
          <w:i/>
          <w:lang w:val="bg-BG"/>
        </w:rPr>
        <w:t>и</w:t>
      </w:r>
      <w:proofErr w:type="spellEnd"/>
      <w:r w:rsidRPr="00952162">
        <w:rPr>
          <w:rFonts w:eastAsia="Times New Roman"/>
          <w:lang w:val="bg-BG"/>
        </w:rPr>
        <w:t xml:space="preserve"> носителя на данни, чрез който цифровият етикет е достъпен за крайния ползвател.</w:t>
      </w:r>
      <w:r w:rsidR="00EA54B9">
        <w:rPr>
          <w:rFonts w:eastAsia="Times New Roman"/>
          <w:b/>
          <w:lang w:val="bg-BG"/>
        </w:rPr>
        <w:t xml:space="preserve"> [Изм. 81]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 xml:space="preserve">Етикетът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съдържа следната информация:</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а)</w:t>
      </w:r>
      <w:r w:rsidRPr="00952162">
        <w:rPr>
          <w:rFonts w:eastAsia="Times New Roman"/>
          <w:lang w:val="bg-BG"/>
        </w:rPr>
        <w:tab/>
        <w:t>номер на типа</w:t>
      </w:r>
      <w:r w:rsidRPr="00952162">
        <w:rPr>
          <w:rFonts w:eastAsia="Times New Roman"/>
          <w:b/>
          <w:i/>
          <w:lang w:val="bg-BG"/>
        </w:rPr>
        <w:t>, номер на модела</w:t>
      </w:r>
      <w:r w:rsidRPr="00952162">
        <w:rPr>
          <w:rFonts w:eastAsia="Times New Roman"/>
          <w:lang w:val="bg-BG"/>
        </w:rPr>
        <w:t>, номер на партидата или друг елемент, позволяващ тяхното идентифициране;</w:t>
      </w:r>
      <w:r w:rsidR="00EA54B9">
        <w:rPr>
          <w:rFonts w:eastAsia="Times New Roman"/>
          <w:b/>
          <w:lang w:val="bg-BG"/>
        </w:rPr>
        <w:t xml:space="preserve"> [Изм. 82]</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б)</w:t>
      </w:r>
      <w:r w:rsidRPr="00952162">
        <w:rPr>
          <w:rFonts w:eastAsia="Times New Roman"/>
          <w:lang w:val="bg-BG"/>
        </w:rPr>
        <w:tab/>
        <w:t>името, регистрираното търговско наименование или регистрираната търговска марка на производителя</w:t>
      </w:r>
      <w:r w:rsidRPr="00952162">
        <w:rPr>
          <w:rFonts w:eastAsia="Times New Roman"/>
          <w:b/>
          <w:i/>
          <w:lang w:val="bg-BG"/>
        </w:rPr>
        <w:t>, а когато е приложимо, на упълномощения представител на производителя,</w:t>
      </w:r>
      <w:r w:rsidRPr="00952162">
        <w:rPr>
          <w:rFonts w:eastAsia="Times New Roman"/>
          <w:lang w:val="bg-BG"/>
        </w:rPr>
        <w:t xml:space="preserve"> и пощенския адрес и адреса на електронната поща</w:t>
      </w:r>
      <w:r w:rsidRPr="00952162">
        <w:rPr>
          <w:rFonts w:eastAsia="Times New Roman"/>
          <w:b/>
          <w:i/>
          <w:lang w:val="bg-BG"/>
        </w:rPr>
        <w:t xml:space="preserve"> и телефонния номер</w:t>
      </w:r>
      <w:r w:rsidRPr="00952162">
        <w:rPr>
          <w:rFonts w:eastAsia="Times New Roman"/>
          <w:lang w:val="bg-BG"/>
        </w:rPr>
        <w:t xml:space="preserve">, на които може да се осъществява връзка с </w:t>
      </w:r>
      <w:proofErr w:type="spellStart"/>
      <w:r w:rsidRPr="00952162">
        <w:rPr>
          <w:rFonts w:eastAsia="Times New Roman"/>
          <w:strike/>
          <w:lang w:val="bg-BG"/>
        </w:rPr>
        <w:t>него</w:t>
      </w:r>
      <w:r w:rsidRPr="00952162">
        <w:rPr>
          <w:rFonts w:eastAsia="Times New Roman"/>
          <w:b/>
          <w:i/>
          <w:lang w:val="bg-BG"/>
        </w:rPr>
        <w:t>тях</w:t>
      </w:r>
      <w:proofErr w:type="spellEnd"/>
      <w:r w:rsidRPr="00952162">
        <w:rPr>
          <w:rFonts w:eastAsia="Times New Roman"/>
          <w:lang w:val="bg-BG"/>
        </w:rPr>
        <w:t>. В пощенския адрес се посочва едно-единствено място за връзка с производителя;</w:t>
      </w:r>
      <w:r w:rsidR="00EA54B9">
        <w:rPr>
          <w:rFonts w:eastAsia="Times New Roman"/>
          <w:b/>
          <w:lang w:val="bg-BG"/>
        </w:rPr>
        <w:t xml:space="preserve"> [Изм. 83]</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в)</w:t>
      </w:r>
      <w:r w:rsidRPr="00952162">
        <w:rPr>
          <w:rFonts w:eastAsia="Times New Roman"/>
          <w:lang w:val="bg-BG"/>
        </w:rPr>
        <w:tab/>
        <w:t>наименованието и търговското наименование на продукта;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 xml:space="preserve">съдържанието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в съответствие с част А от приложение V;</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д)</w:t>
      </w:r>
      <w:r w:rsidRPr="00952162">
        <w:rPr>
          <w:rFonts w:eastAsia="Times New Roman"/>
          <w:lang w:val="bg-BG"/>
        </w:rPr>
        <w:tab/>
        <w:t>указанията за употреба и специалните предпазни мерки, когато е необходимо и приложимо.</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Информацията, посочена в първа алинея, букви а), б) и в), се включва във всички документи, придружаващи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транспортирани в насипно състояние.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 xml:space="preserve">В допълнение към информацията, посочена в параграф 3, етикетът на потребителските перилни </w:t>
      </w:r>
      <w:proofErr w:type="spellStart"/>
      <w:r w:rsidRPr="00952162">
        <w:rPr>
          <w:rFonts w:eastAsia="Times New Roman"/>
          <w:lang w:val="bg-BG"/>
        </w:rPr>
        <w:t>детергенти</w:t>
      </w:r>
      <w:proofErr w:type="spellEnd"/>
      <w:r w:rsidRPr="00952162">
        <w:rPr>
          <w:rFonts w:eastAsia="Times New Roman"/>
          <w:lang w:val="bg-BG"/>
        </w:rPr>
        <w:t xml:space="preserve"> и потребителските </w:t>
      </w:r>
      <w:proofErr w:type="spellStart"/>
      <w:r w:rsidRPr="00952162">
        <w:rPr>
          <w:rFonts w:eastAsia="Times New Roman"/>
          <w:lang w:val="bg-BG"/>
        </w:rPr>
        <w:t>детергенти</w:t>
      </w:r>
      <w:proofErr w:type="spellEnd"/>
      <w:r w:rsidRPr="00952162">
        <w:rPr>
          <w:rFonts w:eastAsia="Times New Roman"/>
          <w:lang w:val="bg-BG"/>
        </w:rPr>
        <w:t xml:space="preserve"> за автоматични съдомиялни машини съдържа информация за дозировката в съответствие с част Б от приложение V.</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5.</w:t>
      </w:r>
      <w:r w:rsidRPr="00952162">
        <w:rPr>
          <w:rFonts w:eastAsia="Times New Roman"/>
          <w:lang w:val="bg-BG"/>
        </w:rPr>
        <w:tab/>
        <w:t>Информацията, посочена в параграфи 3 и 4, трябва да е на език, лесно разбираем за крайните ползватели, както е определен от съответната държава членка, и трябва да е ясна и разбираема</w:t>
      </w:r>
      <w:r w:rsidRPr="00952162">
        <w:rPr>
          <w:rFonts w:eastAsia="Times New Roman"/>
          <w:b/>
          <w:i/>
          <w:lang w:val="bg-BG"/>
        </w:rPr>
        <w:t xml:space="preserve"> и в съответствие с изискванията, посочени в раздели 1.2.1.4 и 1.2.1.5 от част 1 на приложение I към Регламент (ЕО) № 1272/2008</w:t>
      </w:r>
      <w:r w:rsidRPr="00952162">
        <w:rPr>
          <w:rFonts w:eastAsia="Times New Roman"/>
          <w:lang w:val="bg-BG"/>
        </w:rPr>
        <w:t xml:space="preserve">. Етикетът трябва да е достъпен за проверка, когато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се предоставя на пазара.</w:t>
      </w:r>
      <w:r w:rsidR="00EA54B9">
        <w:rPr>
          <w:rFonts w:eastAsia="Times New Roman"/>
          <w:b/>
          <w:lang w:val="bg-BG"/>
        </w:rPr>
        <w:t xml:space="preserve"> [Изм. 84]</w:t>
      </w:r>
    </w:p>
    <w:p w:rsidR="00B16614" w:rsidRDefault="00B16614">
      <w:pPr>
        <w:jc w:val="left"/>
        <w:rPr>
          <w:rFonts w:eastAsia="Times New Roman"/>
          <w:b/>
          <w:i/>
          <w:lang w:val="bg-BG"/>
        </w:rPr>
      </w:pPr>
      <w:r>
        <w:rPr>
          <w:rFonts w:eastAsia="Times New Roman"/>
          <w:b/>
          <w:i/>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lastRenderedPageBreak/>
        <w:t>5a.</w:t>
      </w:r>
      <w:r w:rsidRPr="00952162">
        <w:rPr>
          <w:rFonts w:eastAsia="Times New Roman"/>
          <w:lang w:val="bg-BG"/>
        </w:rPr>
        <w:tab/>
      </w:r>
      <w:r w:rsidRPr="00952162">
        <w:rPr>
          <w:rFonts w:eastAsia="Times New Roman"/>
          <w:b/>
          <w:i/>
          <w:lang w:val="bg-BG"/>
        </w:rPr>
        <w:t xml:space="preserve">Без да се засягат разпоредбите на Директива .../… [Директива на Европейския парламент и на Съвета относно обосноваването и съобщаването на изрични твърдения за </w:t>
      </w:r>
      <w:proofErr w:type="spellStart"/>
      <w:r w:rsidRPr="00952162">
        <w:rPr>
          <w:rFonts w:eastAsia="Times New Roman"/>
          <w:b/>
          <w:i/>
          <w:lang w:val="bg-BG"/>
        </w:rPr>
        <w:t>екологосъобразност</w:t>
      </w:r>
      <w:proofErr w:type="spellEnd"/>
      <w:r w:rsidRPr="00952162">
        <w:rPr>
          <w:rFonts w:eastAsia="Times New Roman"/>
          <w:b/>
          <w:i/>
          <w:lang w:val="bg-BG"/>
        </w:rPr>
        <w:t xml:space="preserve"> (Директива относно твърденията за </w:t>
      </w:r>
      <w:proofErr w:type="spellStart"/>
      <w:r w:rsidRPr="00952162">
        <w:rPr>
          <w:rFonts w:eastAsia="Times New Roman"/>
          <w:b/>
          <w:i/>
          <w:lang w:val="bg-BG"/>
        </w:rPr>
        <w:t>екологосъобразност</w:t>
      </w:r>
      <w:proofErr w:type="spellEnd"/>
      <w:r w:rsidRPr="00952162">
        <w:rPr>
          <w:rFonts w:eastAsia="Times New Roman"/>
          <w:b/>
          <w:i/>
          <w:lang w:val="bg-BG"/>
        </w:rPr>
        <w:t xml:space="preserve">) COM/2023/166 </w:t>
      </w:r>
      <w:proofErr w:type="spellStart"/>
      <w:r w:rsidRPr="00952162">
        <w:rPr>
          <w:rFonts w:eastAsia="Times New Roman"/>
          <w:b/>
          <w:i/>
          <w:lang w:val="bg-BG"/>
        </w:rPr>
        <w:t>final</w:t>
      </w:r>
      <w:proofErr w:type="spellEnd"/>
      <w:r w:rsidRPr="00952162">
        <w:rPr>
          <w:rFonts w:eastAsia="Times New Roman"/>
          <w:b/>
          <w:i/>
          <w:lang w:val="bg-BG"/>
        </w:rPr>
        <w:t xml:space="preserve">], етикетът на </w:t>
      </w:r>
      <w:proofErr w:type="spellStart"/>
      <w:r w:rsidRPr="00952162">
        <w:rPr>
          <w:rFonts w:eastAsia="Times New Roman"/>
          <w:b/>
          <w:i/>
          <w:lang w:val="bg-BG"/>
        </w:rPr>
        <w:t>детергентите</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може да докладва факта, че не са провеждани изпитвания върху животни само ако производителят и неговите доставчици, когато тази информация може да бъде идентифицирана от производителя с всички разумни усилия, не са провеждали и не са възлагали провеждането на каквито и да било изпитвания върху животни на готовия </w:t>
      </w:r>
      <w:proofErr w:type="spellStart"/>
      <w:r w:rsidRPr="00952162">
        <w:rPr>
          <w:rFonts w:eastAsia="Times New Roman"/>
          <w:b/>
          <w:i/>
          <w:lang w:val="bg-BG"/>
        </w:rPr>
        <w:t>детергент</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повърхностноактивно</w:t>
      </w:r>
      <w:proofErr w:type="spellEnd"/>
      <w:r w:rsidRPr="00952162">
        <w:rPr>
          <w:rFonts w:eastAsia="Times New Roman"/>
          <w:b/>
          <w:i/>
          <w:lang w:val="bg-BG"/>
        </w:rPr>
        <w:t xml:space="preserve"> вещество, или на техен прототип, или на която и да е от техните съставки, и не са използвали каквито и да било съставки, които са били изпитвани върху животни от друго лице с цел разработването на нови </w:t>
      </w:r>
      <w:proofErr w:type="spellStart"/>
      <w:r w:rsidRPr="00952162">
        <w:rPr>
          <w:rFonts w:eastAsia="Times New Roman"/>
          <w:b/>
          <w:i/>
          <w:lang w:val="bg-BG"/>
        </w:rPr>
        <w:t>детергенти</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Етикетът може единствено да докладва факта, че </w:t>
      </w:r>
      <w:proofErr w:type="spellStart"/>
      <w:r w:rsidRPr="00952162">
        <w:rPr>
          <w:rFonts w:eastAsia="Times New Roman"/>
          <w:b/>
          <w:i/>
          <w:lang w:val="bg-BG"/>
        </w:rPr>
        <w:t>детергентът</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повърхностноактивното</w:t>
      </w:r>
      <w:proofErr w:type="spellEnd"/>
      <w:r w:rsidRPr="00952162">
        <w:rPr>
          <w:rFonts w:eastAsia="Times New Roman"/>
          <w:b/>
          <w:i/>
          <w:lang w:val="bg-BG"/>
        </w:rPr>
        <w:t xml:space="preserve"> вещество е „</w:t>
      </w:r>
      <w:proofErr w:type="spellStart"/>
      <w:r w:rsidRPr="00952162">
        <w:rPr>
          <w:rFonts w:eastAsia="Times New Roman"/>
          <w:b/>
          <w:i/>
          <w:lang w:val="bg-BG"/>
        </w:rPr>
        <w:t>вегански</w:t>
      </w:r>
      <w:proofErr w:type="spellEnd"/>
      <w:r w:rsidRPr="00952162">
        <w:rPr>
          <w:rFonts w:eastAsia="Times New Roman"/>
          <w:b/>
          <w:i/>
          <w:lang w:val="bg-BG"/>
        </w:rPr>
        <w:t>/-</w:t>
      </w:r>
      <w:proofErr w:type="spellStart"/>
      <w:r w:rsidRPr="00952162">
        <w:rPr>
          <w:rFonts w:eastAsia="Times New Roman"/>
          <w:b/>
          <w:i/>
          <w:lang w:val="bg-BG"/>
        </w:rPr>
        <w:t>ско</w:t>
      </w:r>
      <w:proofErr w:type="spellEnd"/>
      <w:r w:rsidRPr="00952162">
        <w:rPr>
          <w:rFonts w:eastAsia="Times New Roman"/>
          <w:b/>
          <w:i/>
          <w:lang w:val="bg-BG"/>
        </w:rPr>
        <w:t xml:space="preserve">“ или „ без използване на животни“, само ако в производството и разработването на </w:t>
      </w:r>
      <w:proofErr w:type="spellStart"/>
      <w:r w:rsidRPr="00952162">
        <w:rPr>
          <w:rFonts w:eastAsia="Times New Roman"/>
          <w:b/>
          <w:i/>
          <w:lang w:val="bg-BG"/>
        </w:rPr>
        <w:t>детергента</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повърхностноактивното</w:t>
      </w:r>
      <w:proofErr w:type="spellEnd"/>
      <w:r w:rsidRPr="00952162">
        <w:rPr>
          <w:rFonts w:eastAsia="Times New Roman"/>
          <w:b/>
          <w:i/>
          <w:lang w:val="bg-BG"/>
        </w:rPr>
        <w:t xml:space="preserve"> вещество не са били използвани съставки от животински произход или странични животински продукти.</w:t>
      </w:r>
      <w:r w:rsidR="00EA54B9">
        <w:rPr>
          <w:rFonts w:eastAsia="Times New Roman"/>
          <w:b/>
          <w:lang w:val="bg-BG"/>
        </w:rPr>
        <w:t xml:space="preserve"> [Изм. 85]</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16</w:t>
      </w:r>
      <w:r w:rsidRPr="00952162">
        <w:rPr>
          <w:rFonts w:eastAsia="Times New Roman"/>
          <w:lang w:val="bg-BG"/>
        </w:rPr>
        <w:br/>
        <w:t>Форми на етикетиране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Когато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предоставят на пазара, те се придружават от елементите на етикета, посочени в член 15, параграф 3 и, когато е приложимо, в член 15, параграф 4, в следната форма:</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а)</w:t>
      </w:r>
      <w:r w:rsidRPr="00952162">
        <w:rPr>
          <w:rFonts w:eastAsia="Times New Roman"/>
          <w:lang w:val="bg-BG"/>
        </w:rPr>
        <w:tab/>
        <w:t>върху физически етикет</w:t>
      </w:r>
      <w:r w:rsidRPr="00952162">
        <w:rPr>
          <w:rFonts w:eastAsia="Times New Roman"/>
          <w:b/>
          <w:i/>
          <w:lang w:val="bg-BG"/>
        </w:rPr>
        <w:t xml:space="preserve"> или</w:t>
      </w:r>
      <w:r w:rsidRPr="00952162">
        <w:rPr>
          <w:rFonts w:eastAsia="Times New Roman"/>
          <w:lang w:val="bg-BG"/>
        </w:rPr>
        <w:t>;</w:t>
      </w:r>
      <w:r w:rsidR="00EA54B9">
        <w:rPr>
          <w:rFonts w:eastAsia="Times New Roman"/>
          <w:b/>
          <w:lang w:val="bg-BG"/>
        </w:rPr>
        <w:t xml:space="preserve"> [Изм. 86]</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като цифров етикет и се дублират върху физически етикет.</w:t>
      </w:r>
    </w:p>
    <w:p w:rsidR="00952162" w:rsidRPr="00EA54B9" w:rsidRDefault="00952162" w:rsidP="00952162">
      <w:pPr>
        <w:widowControl w:val="0"/>
        <w:spacing w:before="120" w:after="120" w:line="360" w:lineRule="auto"/>
        <w:ind w:left="850"/>
        <w:jc w:val="left"/>
        <w:rPr>
          <w:rFonts w:eastAsia="Times New Roman"/>
          <w:b/>
          <w:lang w:val="bg-BG"/>
        </w:rPr>
      </w:pPr>
      <w:r w:rsidRPr="00952162">
        <w:rPr>
          <w:rFonts w:eastAsia="Times New Roman"/>
          <w:strike/>
          <w:lang w:val="bg-BG"/>
        </w:rPr>
        <w:t xml:space="preserve">Чрез </w:t>
      </w:r>
      <w:proofErr w:type="spellStart"/>
      <w:r w:rsidRPr="00952162">
        <w:rPr>
          <w:rFonts w:eastAsia="Times New Roman"/>
          <w:strike/>
          <w:lang w:val="bg-BG"/>
        </w:rPr>
        <w:t>дерогация</w:t>
      </w:r>
      <w:proofErr w:type="spellEnd"/>
      <w:r w:rsidRPr="00952162">
        <w:rPr>
          <w:rFonts w:eastAsia="Times New Roman"/>
          <w:strike/>
          <w:lang w:val="bg-BG"/>
        </w:rPr>
        <w:t xml:space="preserve"> от първа алинея, буква б) елементите за етикетиране, установени в част В от приложение V, не трябва да се дублират върху физическия етикет. Освен това, </w:t>
      </w:r>
      <w:r w:rsidRPr="00952162">
        <w:rPr>
          <w:rFonts w:eastAsia="Times New Roman"/>
          <w:lang w:val="bg-BG"/>
        </w:rPr>
        <w:t xml:space="preserve">Когато информацията за дозировката за потребителски перилни </w:t>
      </w:r>
      <w:proofErr w:type="spellStart"/>
      <w:r w:rsidRPr="00952162">
        <w:rPr>
          <w:rFonts w:eastAsia="Times New Roman"/>
          <w:lang w:val="bg-BG"/>
        </w:rPr>
        <w:t>детергенти</w:t>
      </w:r>
      <w:proofErr w:type="spellEnd"/>
      <w:r w:rsidRPr="00952162">
        <w:rPr>
          <w:rFonts w:eastAsia="Times New Roman"/>
          <w:lang w:val="bg-BG"/>
        </w:rPr>
        <w:t xml:space="preserve"> в съответствие с точки 1 и 2 от част Б от приложение V е предоставена на цифровия етикет, върху физическия етикет може да бъде предоставена опростена таблица за дозиране, както е посочено в част Г от приложение V.</w:t>
      </w:r>
      <w:r w:rsidR="00EA54B9">
        <w:rPr>
          <w:rFonts w:eastAsia="Times New Roman"/>
          <w:b/>
          <w:lang w:val="bg-BG"/>
        </w:rPr>
        <w:t xml:space="preserve"> [Изм. 87]</w:t>
      </w:r>
    </w:p>
    <w:p w:rsidR="00B16614" w:rsidRDefault="00B16614">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2.</w:t>
      </w:r>
      <w:r w:rsidRPr="00952162">
        <w:rPr>
          <w:rFonts w:eastAsia="Times New Roman"/>
          <w:lang w:val="bg-BG"/>
        </w:rPr>
        <w:tab/>
      </w:r>
      <w:r w:rsidRPr="00952162">
        <w:rPr>
          <w:rFonts w:eastAsia="Times New Roman"/>
          <w:strike/>
          <w:lang w:val="bg-BG"/>
        </w:rPr>
        <w:t xml:space="preserve">Чрез </w:t>
      </w:r>
      <w:proofErr w:type="spellStart"/>
      <w:r w:rsidRPr="00952162">
        <w:rPr>
          <w:rFonts w:eastAsia="Times New Roman"/>
          <w:strike/>
          <w:lang w:val="bg-BG"/>
        </w:rPr>
        <w:t>дерогация</w:t>
      </w:r>
      <w:proofErr w:type="spellEnd"/>
      <w:r w:rsidRPr="00952162">
        <w:rPr>
          <w:rFonts w:eastAsia="Times New Roman"/>
          <w:strike/>
          <w:lang w:val="bg-BG"/>
        </w:rPr>
        <w:t xml:space="preserve"> от параграф 1, </w:t>
      </w:r>
      <w:r w:rsidRPr="00952162">
        <w:rPr>
          <w:rFonts w:eastAsia="Times New Roman"/>
          <w:lang w:val="bg-BG"/>
        </w:rPr>
        <w:t xml:space="preserve">Когато </w:t>
      </w:r>
      <w:proofErr w:type="spellStart"/>
      <w:r w:rsidRPr="00952162">
        <w:rPr>
          <w:rFonts w:eastAsia="Times New Roman"/>
          <w:lang w:val="bg-BG"/>
        </w:rPr>
        <w:t>детергентите</w:t>
      </w:r>
      <w:proofErr w:type="spellEnd"/>
      <w:r w:rsidRPr="00952162">
        <w:rPr>
          <w:rFonts w:eastAsia="Times New Roman"/>
          <w:lang w:val="bg-BG"/>
        </w:rPr>
        <w:t xml:space="preserve"> се предоставят на пазара директно на краен ползвател в съдове за многократно пълнене, </w:t>
      </w:r>
      <w:r w:rsidRPr="00952162">
        <w:rPr>
          <w:rFonts w:eastAsia="Times New Roman"/>
          <w:b/>
          <w:i/>
          <w:lang w:val="bg-BG"/>
        </w:rPr>
        <w:t xml:space="preserve">операторът гарантира, че </w:t>
      </w:r>
      <w:r w:rsidRPr="00952162">
        <w:rPr>
          <w:rFonts w:eastAsia="Times New Roman"/>
          <w:lang w:val="bg-BG"/>
        </w:rPr>
        <w:t xml:space="preserve">елементите на етикета, посочени в член 15, параграфи </w:t>
      </w:r>
      <w:r w:rsidRPr="00952162">
        <w:rPr>
          <w:rFonts w:eastAsia="Times New Roman"/>
          <w:b/>
          <w:i/>
          <w:lang w:val="bg-BG"/>
        </w:rPr>
        <w:t xml:space="preserve">2, </w:t>
      </w:r>
      <w:r w:rsidRPr="00952162">
        <w:rPr>
          <w:rFonts w:eastAsia="Times New Roman"/>
          <w:lang w:val="bg-BG"/>
        </w:rPr>
        <w:t>3 и 4</w:t>
      </w:r>
      <w:r w:rsidRPr="00952162">
        <w:rPr>
          <w:rFonts w:eastAsia="Times New Roman"/>
          <w:strike/>
          <w:lang w:val="bg-BG"/>
        </w:rPr>
        <w:t xml:space="preserve">, могат да бъдат предоставени само като цифров етикет, с изключение на информацията за дозировката за потребителските перилни </w:t>
      </w:r>
      <w:proofErr w:type="spellStart"/>
      <w:r w:rsidRPr="00952162">
        <w:rPr>
          <w:rFonts w:eastAsia="Times New Roman"/>
          <w:strike/>
          <w:lang w:val="bg-BG"/>
        </w:rPr>
        <w:t>детергенти</w:t>
      </w:r>
      <w:proofErr w:type="spellEnd"/>
      <w:r w:rsidRPr="00952162">
        <w:rPr>
          <w:rFonts w:eastAsia="Times New Roman"/>
          <w:strike/>
          <w:lang w:val="bg-BG"/>
        </w:rPr>
        <w:t>, посочена в точки 1 и 2 от част Б от приложение V, която трябва да бъде предоставена и върху физически етикет</w:t>
      </w:r>
      <w:r w:rsidRPr="00952162">
        <w:rPr>
          <w:rFonts w:eastAsia="Times New Roman"/>
          <w:b/>
          <w:i/>
          <w:lang w:val="bg-BG"/>
        </w:rPr>
        <w:t xml:space="preserve"> са прикрепени към опаковката</w:t>
      </w:r>
      <w:r w:rsidRPr="00952162">
        <w:rPr>
          <w:rFonts w:eastAsia="Times New Roman"/>
          <w:lang w:val="bg-BG"/>
        </w:rPr>
        <w:t>.</w:t>
      </w:r>
      <w:r w:rsidR="00EA54B9">
        <w:rPr>
          <w:rFonts w:eastAsia="Times New Roman"/>
          <w:b/>
          <w:lang w:val="bg-BG"/>
        </w:rPr>
        <w:t xml:space="preserve"> [Изм. 88]</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17</w:t>
      </w:r>
      <w:r w:rsidRPr="00952162">
        <w:rPr>
          <w:rFonts w:eastAsia="Times New Roman"/>
          <w:lang w:val="bg-BG"/>
        </w:rPr>
        <w:br/>
        <w:t>Изисквания за цифрово етикетиране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Когато върху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е поставен цифров етикет в съответствие с член 16, за този етикет се прилагат следните правила: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всички елементи на етикета, посочени в член 15, параграф 3, и, когато е уместно, в член 15, параграф 4, се предоставят на едно място и се отделят от друга информация;</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б)</w:t>
      </w:r>
      <w:r w:rsidRPr="00952162">
        <w:rPr>
          <w:rFonts w:eastAsia="Times New Roman"/>
          <w:lang w:val="bg-BG"/>
        </w:rPr>
        <w:tab/>
        <w:t xml:space="preserve">информацията върху цифровия етикет позволява </w:t>
      </w:r>
      <w:r w:rsidRPr="00952162">
        <w:rPr>
          <w:rFonts w:eastAsia="Times New Roman"/>
          <w:b/>
          <w:i/>
          <w:lang w:val="bg-BG"/>
        </w:rPr>
        <w:t xml:space="preserve">лесно </w:t>
      </w:r>
      <w:r w:rsidRPr="00952162">
        <w:rPr>
          <w:rFonts w:eastAsia="Times New Roman"/>
          <w:lang w:val="bg-BG"/>
        </w:rPr>
        <w:t>търсене;</w:t>
      </w:r>
      <w:r w:rsidR="00EA54B9">
        <w:rPr>
          <w:rFonts w:eastAsia="Times New Roman"/>
          <w:b/>
          <w:lang w:val="bg-BG"/>
        </w:rPr>
        <w:t xml:space="preserve"> [Изм. 89]</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информацията върху цифровия етикет е достъпна за всички потребители в Съюза;</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г)</w:t>
      </w:r>
      <w:r w:rsidRPr="00952162">
        <w:rPr>
          <w:rFonts w:eastAsia="Times New Roman"/>
          <w:lang w:val="bg-BG"/>
        </w:rPr>
        <w:tab/>
        <w:t>цифровият етикет е достъпен безплатно, без да е необходимо предварително регистриране, изтегляне или инсталиране на приложения или предоставяне на парола;</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д)</w:t>
      </w:r>
      <w:r w:rsidRPr="00952162">
        <w:rPr>
          <w:rFonts w:eastAsia="Times New Roman"/>
          <w:lang w:val="bg-BG"/>
        </w:rPr>
        <w:tab/>
        <w:t xml:space="preserve">информацията върху цифровия етикет се представя </w:t>
      </w:r>
      <w:r w:rsidRPr="00952162">
        <w:rPr>
          <w:rFonts w:eastAsia="Times New Roman"/>
          <w:strike/>
          <w:lang w:val="bg-BG"/>
        </w:rPr>
        <w:t xml:space="preserve">по </w:t>
      </w:r>
      <w:proofErr w:type="spellStart"/>
      <w:r w:rsidRPr="00952162">
        <w:rPr>
          <w:rFonts w:eastAsia="Times New Roman"/>
          <w:strike/>
          <w:lang w:val="bg-BG"/>
        </w:rPr>
        <w:t>начин</w:t>
      </w:r>
      <w:r w:rsidRPr="00952162">
        <w:rPr>
          <w:rFonts w:eastAsia="Times New Roman"/>
          <w:b/>
          <w:i/>
          <w:lang w:val="bg-BG"/>
        </w:rPr>
        <w:t>във</w:t>
      </w:r>
      <w:proofErr w:type="spellEnd"/>
      <w:r w:rsidRPr="00952162">
        <w:rPr>
          <w:rFonts w:eastAsia="Times New Roman"/>
          <w:b/>
          <w:i/>
          <w:lang w:val="bg-BG"/>
        </w:rPr>
        <w:t xml:space="preserve"> формат</w:t>
      </w:r>
      <w:r w:rsidRPr="00952162">
        <w:rPr>
          <w:rFonts w:eastAsia="Times New Roman"/>
          <w:lang w:val="bg-BG"/>
        </w:rPr>
        <w:t>, който отговаря на потребностите на уязвимите групи</w:t>
      </w:r>
      <w:r w:rsidRPr="00952162">
        <w:rPr>
          <w:rFonts w:eastAsia="Times New Roman"/>
          <w:b/>
          <w:i/>
          <w:lang w:val="bg-BG"/>
        </w:rPr>
        <w:t>, включително на хората с увреждания,</w:t>
      </w:r>
      <w:r w:rsidRPr="00952162">
        <w:rPr>
          <w:rFonts w:eastAsia="Times New Roman"/>
          <w:lang w:val="bg-BG"/>
        </w:rPr>
        <w:t xml:space="preserve"> и поддържа, според случая, необходимите адаптации за улесняване на достъпа до информацията на тези групи;</w:t>
      </w:r>
      <w:r w:rsidR="00EA54B9">
        <w:rPr>
          <w:rFonts w:eastAsia="Times New Roman"/>
          <w:b/>
          <w:lang w:val="bg-BG"/>
        </w:rPr>
        <w:t xml:space="preserve"> [Изм. 90]</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е)</w:t>
      </w:r>
      <w:r w:rsidRPr="00952162">
        <w:rPr>
          <w:rFonts w:eastAsia="Times New Roman"/>
          <w:lang w:val="bg-BG"/>
        </w:rPr>
        <w:tab/>
        <w:t>цифровият етикет е достъпен чрез широко използвани цифрови технологии и е съвместим с всички основни операционни системи и уеб браузъри;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ж)</w:t>
      </w:r>
      <w:r w:rsidRPr="00952162">
        <w:rPr>
          <w:rFonts w:eastAsia="Times New Roman"/>
          <w:lang w:val="bg-BG"/>
        </w:rPr>
        <w:tab/>
        <w:t>когато цифровият етикет е наличен на повече от един език, изборът на език не се обуславя от географското местоположение на крайния ползвател;</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з)</w:t>
      </w:r>
      <w:r w:rsidRPr="00952162">
        <w:rPr>
          <w:rFonts w:eastAsia="Times New Roman"/>
          <w:lang w:val="bg-BG"/>
        </w:rPr>
        <w:tab/>
        <w:t xml:space="preserve">цифровият етикет остава на разположение за период от 10 години от момента на пускането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на пазара, включително след обявяване в несъстоятелност, ликвидация или прекратяване на дейността в Съюза на икономическия оператор, който го е създал, или за такъв по-дълъг период, какъвто се изисква съгласно друго законодателство на Съюза, обхващащо съдържащата се в него информация;</w:t>
      </w:r>
    </w:p>
    <w:p w:rsidR="00B16614" w:rsidRDefault="00B16614">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lastRenderedPageBreak/>
        <w:t>и)</w:t>
      </w:r>
      <w:r w:rsidRPr="00952162">
        <w:rPr>
          <w:rFonts w:eastAsia="Times New Roman"/>
          <w:lang w:val="bg-BG"/>
        </w:rPr>
        <w:tab/>
        <w:t>информацията върху цифровия етикет е</w:t>
      </w:r>
      <w:r w:rsidRPr="00952162">
        <w:rPr>
          <w:rFonts w:eastAsia="Times New Roman"/>
          <w:b/>
          <w:i/>
          <w:lang w:val="bg-BG"/>
        </w:rPr>
        <w:t xml:space="preserve"> лесно</w:t>
      </w:r>
      <w:r w:rsidRPr="00952162">
        <w:rPr>
          <w:rFonts w:eastAsia="Times New Roman"/>
          <w:lang w:val="bg-BG"/>
        </w:rPr>
        <w:t xml:space="preserve"> достъпна посредством носителя на данни.</w:t>
      </w:r>
      <w:r w:rsidR="00EA54B9">
        <w:rPr>
          <w:rFonts w:eastAsia="Times New Roman"/>
          <w:b/>
          <w:lang w:val="bg-BG"/>
        </w:rPr>
        <w:t xml:space="preserve"> [Изм. 91]</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2.</w:t>
      </w:r>
      <w:r w:rsidRPr="00952162">
        <w:rPr>
          <w:rFonts w:eastAsia="Times New Roman"/>
          <w:lang w:val="bg-BG"/>
        </w:rPr>
        <w:tab/>
        <w:t>Носителят на данни има физическо</w:t>
      </w:r>
      <w:r w:rsidRPr="00952162">
        <w:rPr>
          <w:rFonts w:eastAsia="Times New Roman"/>
          <w:b/>
          <w:i/>
          <w:lang w:val="bg-BG"/>
        </w:rPr>
        <w:t xml:space="preserve">, </w:t>
      </w:r>
      <w:proofErr w:type="spellStart"/>
      <w:r w:rsidRPr="00952162">
        <w:rPr>
          <w:rFonts w:eastAsia="Times New Roman"/>
          <w:b/>
          <w:i/>
          <w:lang w:val="bg-BG"/>
        </w:rPr>
        <w:t>неизтриваемо</w:t>
      </w:r>
      <w:proofErr w:type="spellEnd"/>
      <w:r w:rsidRPr="00952162">
        <w:rPr>
          <w:rFonts w:eastAsia="Times New Roman"/>
          <w:b/>
          <w:i/>
          <w:lang w:val="bg-BG"/>
        </w:rPr>
        <w:t>, видимо и четливо</w:t>
      </w:r>
      <w:r w:rsidRPr="00952162">
        <w:rPr>
          <w:rFonts w:eastAsia="Times New Roman"/>
          <w:lang w:val="bg-BG"/>
        </w:rPr>
        <w:t xml:space="preserve"> присъствие върху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тяхната опаковка или документацията, която ги придружава</w:t>
      </w:r>
      <w:r w:rsidRPr="00952162">
        <w:rPr>
          <w:rFonts w:eastAsia="Times New Roman"/>
          <w:b/>
          <w:i/>
          <w:lang w:val="bg-BG"/>
        </w:rPr>
        <w:t>, по начин, който позволява автоматичната му обработка от цифрови устройства</w:t>
      </w:r>
      <w:r w:rsidRPr="00952162">
        <w:rPr>
          <w:rFonts w:eastAsia="Times New Roman"/>
          <w:lang w:val="bg-BG"/>
        </w:rPr>
        <w:t>.</w:t>
      </w:r>
      <w:r w:rsidR="00EA54B9">
        <w:rPr>
          <w:rFonts w:eastAsia="Times New Roman"/>
          <w:b/>
          <w:lang w:val="bg-BG"/>
        </w:rPr>
        <w:t xml:space="preserve"> [Изм. 92]</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В допълнение към изискването в първа алинея, когато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предоставят на пазара в съдове за многократно пълнене, носителят на данни е налице в пункта за повторно пълнене.</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Носителят на данни е ясно видим за крайния ползвател преди всяка покупка и за органите за надзор на пазара, в това число, когато е приложимо, в случаите, когато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се предоставят чрез продажби от разстояние.</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w:t>
      </w:r>
      <w:r w:rsidRPr="00952162">
        <w:rPr>
          <w:rFonts w:eastAsia="Times New Roman"/>
          <w:lang w:val="bg-BG"/>
        </w:rPr>
        <w:tab/>
        <w:t>Когато икономическите оператори предоставят цифров етикет, носителят на данни се придружава от указанието „</w:t>
      </w:r>
      <w:r w:rsidRPr="00952162">
        <w:rPr>
          <w:rFonts w:eastAsia="Times New Roman"/>
          <w:b/>
          <w:i/>
          <w:lang w:val="bg-BG"/>
        </w:rPr>
        <w:t xml:space="preserve">Моля, сканирайте за </w:t>
      </w:r>
      <w:r w:rsidRPr="00952162">
        <w:rPr>
          <w:rFonts w:eastAsia="Times New Roman"/>
          <w:lang w:val="bg-BG"/>
        </w:rPr>
        <w:t>по-подробна информация за продукта</w:t>
      </w:r>
      <w:r w:rsidRPr="00952162">
        <w:rPr>
          <w:rFonts w:eastAsia="Times New Roman"/>
          <w:strike/>
          <w:lang w:val="bg-BG"/>
        </w:rPr>
        <w:t xml:space="preserve"> е налична онлайн</w:t>
      </w:r>
      <w:r w:rsidRPr="00952162">
        <w:rPr>
          <w:rFonts w:eastAsia="Times New Roman"/>
          <w:lang w:val="bg-BG"/>
        </w:rPr>
        <w:t>“ или от аналогично указание.</w:t>
      </w:r>
      <w:r w:rsidR="00EA54B9">
        <w:rPr>
          <w:rFonts w:eastAsia="Times New Roman"/>
          <w:b/>
          <w:lang w:val="bg-BG"/>
        </w:rPr>
        <w:t xml:space="preserve"> [Изм. 93]</w:t>
      </w:r>
    </w:p>
    <w:p w:rsidR="00B16614" w:rsidRDefault="00B16614">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4.</w:t>
      </w:r>
      <w:r w:rsidRPr="00952162">
        <w:rPr>
          <w:rFonts w:eastAsia="Times New Roman"/>
          <w:lang w:val="bg-BG"/>
        </w:rPr>
        <w:tab/>
        <w:t>Икономическите оператори</w:t>
      </w:r>
      <w:r w:rsidRPr="00952162">
        <w:rPr>
          <w:rFonts w:eastAsia="Times New Roman"/>
          <w:strike/>
          <w:lang w:val="bg-BG"/>
        </w:rPr>
        <w:t>, предоставящи цифров етикет,</w:t>
      </w:r>
      <w:r w:rsidRPr="00952162">
        <w:rPr>
          <w:rFonts w:eastAsia="Times New Roman"/>
          <w:lang w:val="bg-BG"/>
        </w:rPr>
        <w:t xml:space="preserve"> не трябва да проследяват, анализират или използват каквато и да било информация за ползването на цифровия етикет за цели, различни от абсолютно необходимите за предоставянето на информацията върху цифровия етикет онлайн.</w:t>
      </w:r>
      <w:r w:rsidR="00EA54B9">
        <w:rPr>
          <w:rFonts w:eastAsia="Times New Roman"/>
          <w:b/>
          <w:lang w:val="bg-BG"/>
        </w:rPr>
        <w:t xml:space="preserve"> [Изм. 94]</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5.</w:t>
      </w:r>
      <w:r w:rsidRPr="00952162">
        <w:rPr>
          <w:rFonts w:eastAsia="Times New Roman"/>
          <w:lang w:val="bg-BG"/>
        </w:rPr>
        <w:tab/>
        <w:t>Икономическите оператори</w:t>
      </w:r>
      <w:r w:rsidRPr="00952162">
        <w:rPr>
          <w:rFonts w:eastAsia="Times New Roman"/>
          <w:strike/>
          <w:lang w:val="bg-BG"/>
        </w:rPr>
        <w:t>, които предоставят цифров етикет,</w:t>
      </w:r>
      <w:r w:rsidRPr="00952162">
        <w:rPr>
          <w:rFonts w:eastAsia="Times New Roman"/>
          <w:lang w:val="bg-BG"/>
        </w:rPr>
        <w:t xml:space="preserve"> предоставят информацията, съдържаща се в цифровия етикет, чрез други средства </w:t>
      </w:r>
      <w:r w:rsidRPr="00952162">
        <w:rPr>
          <w:rFonts w:eastAsia="Times New Roman"/>
          <w:b/>
          <w:i/>
          <w:lang w:val="bg-BG"/>
        </w:rPr>
        <w:t xml:space="preserve">и безплатно </w:t>
      </w:r>
      <w:r w:rsidRPr="00952162">
        <w:rPr>
          <w:rFonts w:eastAsia="Times New Roman"/>
          <w:lang w:val="bg-BG"/>
        </w:rPr>
        <w:t>във всеки от следните случаи:</w:t>
      </w:r>
      <w:r w:rsidR="00EA54B9">
        <w:rPr>
          <w:rFonts w:eastAsia="Times New Roman"/>
          <w:b/>
          <w:lang w:val="bg-BG"/>
        </w:rPr>
        <w:t xml:space="preserve"> [Изм. 95]</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по устно или писмено искане от страна на крайния ползвател;</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когато цифровият етикет е временно недостъпен, включително в момента на покупката.</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Икономическите оператори предоставят информацията, посочена в първа алинея, независимо от покупката на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и безплатно.</w:t>
      </w:r>
    </w:p>
    <w:p w:rsidR="00B16614" w:rsidRDefault="00B16614">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ГЛАВА V</w:t>
      </w:r>
      <w:r w:rsidRPr="00952162">
        <w:rPr>
          <w:rFonts w:eastAsia="Times New Roman"/>
          <w:lang w:val="bg-BG"/>
        </w:rPr>
        <w:br/>
        <w:t>ПРОДУКТОВ ПАСПОРТ</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18</w:t>
      </w:r>
      <w:r w:rsidRPr="00952162">
        <w:rPr>
          <w:rFonts w:eastAsia="Times New Roman"/>
          <w:lang w:val="bg-BG"/>
        </w:rPr>
        <w:br/>
        <w:t xml:space="preserve">Продуктов паспорт </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Преди да пуснат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на пазара, производителите създават продуктов паспорт за тези продукти. Продуктовият паспорт отговаря на изискванията, определени в настоящия член и в член 19.</w:t>
      </w:r>
    </w:p>
    <w:p w:rsidR="00952162" w:rsidRPr="00EA54B9" w:rsidRDefault="00952162" w:rsidP="00952162">
      <w:pPr>
        <w:widowControl w:val="0"/>
        <w:spacing w:before="120" w:after="120" w:line="360" w:lineRule="auto"/>
        <w:ind w:left="850"/>
        <w:jc w:val="left"/>
        <w:rPr>
          <w:rFonts w:eastAsia="Times New Roman"/>
          <w:b/>
          <w:lang w:val="bg-BG"/>
        </w:rPr>
      </w:pPr>
      <w:r w:rsidRPr="00952162">
        <w:rPr>
          <w:rFonts w:eastAsia="Times New Roman"/>
          <w:b/>
          <w:i/>
          <w:lang w:val="bg-BG"/>
        </w:rPr>
        <w:t>Това задължение се прилага 18 месеца след влизането в сила на акта за изпълнение, приет в съответствие с параграф 9.</w:t>
      </w:r>
      <w:r w:rsidR="00EA54B9">
        <w:rPr>
          <w:rFonts w:eastAsia="Times New Roman"/>
          <w:b/>
          <w:lang w:val="bg-BG"/>
        </w:rPr>
        <w:t xml:space="preserve"> [Изм. 96]</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Продуктовият паспорт отговаря на следните изисквания:</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а)</w:t>
      </w:r>
      <w:r w:rsidRPr="00952162">
        <w:rPr>
          <w:rFonts w:eastAsia="Times New Roman"/>
          <w:lang w:val="bg-BG"/>
        </w:rPr>
        <w:tab/>
        <w:t>съответства на</w:t>
      </w:r>
      <w:r w:rsidRPr="00952162">
        <w:rPr>
          <w:rFonts w:eastAsia="Times New Roman"/>
          <w:b/>
          <w:i/>
          <w:lang w:val="bg-BG"/>
        </w:rPr>
        <w:t xml:space="preserve"> конкретен модел, който се актуализира, когато се правят промени в списъка на съставките или, когато е целесъобразно, в</w:t>
      </w:r>
      <w:r w:rsidRPr="00952162">
        <w:rPr>
          <w:rFonts w:eastAsia="Times New Roman"/>
          <w:lang w:val="bg-BG"/>
        </w:rPr>
        <w:t xml:space="preserve"> конкретна партида от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r w:rsidR="00EA54B9">
        <w:rPr>
          <w:rFonts w:eastAsia="Times New Roman"/>
          <w:b/>
          <w:lang w:val="bg-BG"/>
        </w:rPr>
        <w:t xml:space="preserve"> [Изм. 97]</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б)</w:t>
      </w:r>
      <w:r w:rsidRPr="00952162">
        <w:rPr>
          <w:rFonts w:eastAsia="Times New Roman"/>
          <w:lang w:val="bg-BG"/>
        </w:rPr>
        <w:tab/>
        <w:t xml:space="preserve">в него е посочено, че е доказано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изискванията, установени в настоящия регламент, и, когато е приложимо, са посочени използваните методи за изпитване;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съдържа най-малко информацията, включена в приложение VI;</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г)</w:t>
      </w:r>
      <w:r w:rsidRPr="00952162">
        <w:rPr>
          <w:rFonts w:eastAsia="Times New Roman"/>
          <w:lang w:val="bg-BG"/>
        </w:rPr>
        <w:tab/>
      </w:r>
      <w:r w:rsidRPr="00952162">
        <w:rPr>
          <w:rFonts w:eastAsia="Times New Roman"/>
          <w:b/>
          <w:i/>
          <w:lang w:val="bg-BG"/>
        </w:rPr>
        <w:t xml:space="preserve">е </w:t>
      </w:r>
      <w:r w:rsidRPr="00952162">
        <w:rPr>
          <w:rFonts w:eastAsia="Times New Roman"/>
          <w:lang w:val="bg-BG"/>
        </w:rPr>
        <w:t>актуален</w:t>
      </w:r>
      <w:r w:rsidRPr="00952162">
        <w:rPr>
          <w:rFonts w:eastAsia="Times New Roman"/>
          <w:b/>
          <w:i/>
          <w:lang w:val="bg-BG"/>
        </w:rPr>
        <w:t>, точен и пълен</w:t>
      </w:r>
      <w:r w:rsidRPr="00952162">
        <w:rPr>
          <w:rFonts w:eastAsia="Times New Roman"/>
          <w:strike/>
          <w:lang w:val="bg-BG"/>
        </w:rPr>
        <w:t xml:space="preserve"> е</w:t>
      </w:r>
      <w:r w:rsidRPr="00952162">
        <w:rPr>
          <w:rFonts w:eastAsia="Times New Roman"/>
          <w:lang w:val="bg-BG"/>
        </w:rPr>
        <w:t>;</w:t>
      </w:r>
      <w:r w:rsidR="00EA54B9">
        <w:rPr>
          <w:rFonts w:eastAsia="Times New Roman"/>
          <w:b/>
          <w:lang w:val="bg-BG"/>
        </w:rPr>
        <w:t xml:space="preserve"> [Изм. 98]</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д)</w:t>
      </w:r>
      <w:r w:rsidRPr="00952162">
        <w:rPr>
          <w:rFonts w:eastAsia="Times New Roman"/>
          <w:lang w:val="bg-BG"/>
        </w:rPr>
        <w:tab/>
        <w:t xml:space="preserve">на разположение е на езика или езиците, изисквани от държавата членка, в която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се пуска или предоставя на пазара;</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е)</w:t>
      </w:r>
      <w:r w:rsidRPr="00952162">
        <w:rPr>
          <w:rFonts w:eastAsia="Times New Roman"/>
          <w:lang w:val="bg-BG"/>
        </w:rPr>
        <w:tab/>
      </w:r>
      <w:r w:rsidRPr="00952162">
        <w:rPr>
          <w:rFonts w:eastAsia="Times New Roman"/>
          <w:b/>
          <w:i/>
          <w:lang w:val="bg-BG"/>
        </w:rPr>
        <w:t xml:space="preserve">лесно </w:t>
      </w:r>
      <w:r w:rsidRPr="00952162">
        <w:rPr>
          <w:rFonts w:eastAsia="Times New Roman"/>
          <w:lang w:val="bg-BG"/>
        </w:rPr>
        <w:t>достъпен е за</w:t>
      </w:r>
      <w:r w:rsidRPr="00952162">
        <w:rPr>
          <w:rFonts w:eastAsia="Times New Roman"/>
          <w:b/>
          <w:i/>
          <w:lang w:val="bg-BG"/>
        </w:rPr>
        <w:t xml:space="preserve"> потребителите,</w:t>
      </w:r>
      <w:r w:rsidRPr="00952162">
        <w:rPr>
          <w:rFonts w:eastAsia="Times New Roman"/>
          <w:lang w:val="bg-BG"/>
        </w:rPr>
        <w:t xml:space="preserve"> крайните ползватели</w:t>
      </w:r>
      <w:r w:rsidRPr="00952162">
        <w:rPr>
          <w:rFonts w:eastAsia="Times New Roman"/>
          <w:b/>
          <w:i/>
          <w:lang w:val="bg-BG"/>
        </w:rPr>
        <w:t>, производителите, вносителите, дистрибуторите, компетентните национални органи</w:t>
      </w:r>
      <w:r w:rsidRPr="00952162">
        <w:rPr>
          <w:rFonts w:eastAsia="Times New Roman"/>
          <w:lang w:val="bg-BG"/>
        </w:rPr>
        <w:t>, органите за надзор на пазара, митническите органи, Комисията</w:t>
      </w:r>
      <w:r w:rsidRPr="00952162">
        <w:rPr>
          <w:rFonts w:eastAsia="Times New Roman"/>
          <w:strike/>
          <w:lang w:val="bg-BG"/>
        </w:rPr>
        <w:t xml:space="preserve"> и</w:t>
      </w:r>
      <w:r w:rsidRPr="00952162">
        <w:rPr>
          <w:rFonts w:eastAsia="Times New Roman"/>
          <w:b/>
          <w:i/>
          <w:lang w:val="bg-BG"/>
        </w:rPr>
        <w:t>,</w:t>
      </w:r>
      <w:r w:rsidRPr="00952162">
        <w:rPr>
          <w:rFonts w:eastAsia="Times New Roman"/>
          <w:lang w:val="bg-BG"/>
        </w:rPr>
        <w:t xml:space="preserve"> другите икономически оператори</w:t>
      </w:r>
      <w:r w:rsidRPr="00952162">
        <w:rPr>
          <w:rFonts w:eastAsia="Times New Roman"/>
          <w:b/>
          <w:i/>
          <w:lang w:val="bg-BG"/>
        </w:rPr>
        <w:t xml:space="preserve"> и други съответни заинтересовани страни като например организациите на гражданското общество и изследователите</w:t>
      </w:r>
      <w:r w:rsidRPr="00952162">
        <w:rPr>
          <w:rFonts w:eastAsia="Times New Roman"/>
          <w:lang w:val="bg-BG"/>
        </w:rPr>
        <w:t>;</w:t>
      </w:r>
      <w:r w:rsidR="00EA54B9">
        <w:rPr>
          <w:rFonts w:eastAsia="Times New Roman"/>
          <w:b/>
          <w:lang w:val="bg-BG"/>
        </w:rPr>
        <w:t xml:space="preserve"> [Изм. 99]</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ж)</w:t>
      </w:r>
      <w:r w:rsidRPr="00952162">
        <w:rPr>
          <w:rFonts w:eastAsia="Times New Roman"/>
          <w:lang w:val="bg-BG"/>
        </w:rPr>
        <w:tab/>
        <w:t xml:space="preserve">наличен е за срок от 10 години след пускането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на пазара, също и в случай на несъстоятелност, ликвидация или прекратяване на дейността на територията на Съюза на икономическия оператор, който е създал продуктовия паспорт;</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з)</w:t>
      </w:r>
      <w:r w:rsidRPr="00952162">
        <w:rPr>
          <w:rFonts w:eastAsia="Times New Roman"/>
          <w:lang w:val="bg-BG"/>
        </w:rPr>
        <w:tab/>
        <w:t>достъпен е посредством носител на данни;</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и)</w:t>
      </w:r>
      <w:r w:rsidRPr="00952162">
        <w:rPr>
          <w:rFonts w:eastAsia="Times New Roman"/>
          <w:lang w:val="bg-BG"/>
        </w:rPr>
        <w:tab/>
        <w:t xml:space="preserve">изпълнява специфичните и техническите изисквания, определени по смисъла на параграф </w:t>
      </w:r>
      <w:r w:rsidRPr="00952162">
        <w:rPr>
          <w:rFonts w:eastAsia="Times New Roman"/>
          <w:strike/>
          <w:lang w:val="bg-BG"/>
        </w:rPr>
        <w:t>8</w:t>
      </w:r>
      <w:r w:rsidRPr="00952162">
        <w:rPr>
          <w:rFonts w:eastAsia="Times New Roman"/>
          <w:b/>
          <w:i/>
          <w:lang w:val="bg-BG"/>
        </w:rPr>
        <w:t>9</w:t>
      </w:r>
      <w:r w:rsidRPr="00952162">
        <w:rPr>
          <w:rFonts w:eastAsia="Times New Roman"/>
          <w:lang w:val="bg-BG"/>
        </w:rPr>
        <w:t>.</w:t>
      </w:r>
      <w:r w:rsidR="00EA54B9">
        <w:rPr>
          <w:rFonts w:eastAsia="Times New Roman"/>
          <w:b/>
          <w:lang w:val="bg-BG"/>
        </w:rPr>
        <w:t xml:space="preserve"> [Изм. 100]</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w:t>
      </w:r>
      <w:r w:rsidRPr="00952162">
        <w:rPr>
          <w:rFonts w:eastAsia="Times New Roman"/>
          <w:lang w:val="bg-BG"/>
        </w:rPr>
        <w:tab/>
        <w:t xml:space="preserve">Носителят на данни има физическо присъствие върху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тяхната опаковка или документацията, която ги придружава, в съответствие с акта за изпълнение, посочен в параграф </w:t>
      </w:r>
      <w:r w:rsidRPr="00952162">
        <w:rPr>
          <w:rFonts w:eastAsia="Times New Roman"/>
          <w:strike/>
          <w:lang w:val="bg-BG"/>
        </w:rPr>
        <w:t>8</w:t>
      </w:r>
      <w:r w:rsidRPr="00952162">
        <w:rPr>
          <w:rFonts w:eastAsia="Times New Roman"/>
          <w:b/>
          <w:i/>
          <w:lang w:val="bg-BG"/>
        </w:rPr>
        <w:t>9</w:t>
      </w:r>
      <w:r w:rsidRPr="00952162">
        <w:rPr>
          <w:rFonts w:eastAsia="Times New Roman"/>
          <w:lang w:val="bg-BG"/>
        </w:rPr>
        <w:t>.</w:t>
      </w:r>
      <w:r w:rsidR="00EA54B9">
        <w:rPr>
          <w:rFonts w:eastAsia="Times New Roman"/>
          <w:b/>
          <w:lang w:val="bg-BG"/>
        </w:rPr>
        <w:t xml:space="preserve"> [Изм. 101]</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В допълнение към изискването в първа алинея, когато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предоставят на пазара в съдове за многократно пълнене, носителят на данни е налице в пункта за повторно пълнене.</w:t>
      </w:r>
    </w:p>
    <w:p w:rsidR="00952162" w:rsidRPr="00EA54B9" w:rsidRDefault="00952162" w:rsidP="00952162">
      <w:pPr>
        <w:widowControl w:val="0"/>
        <w:spacing w:before="120" w:after="120" w:line="360" w:lineRule="auto"/>
        <w:ind w:left="850"/>
        <w:jc w:val="left"/>
        <w:rPr>
          <w:rFonts w:eastAsia="Times New Roman"/>
          <w:b/>
          <w:lang w:val="bg-BG"/>
        </w:rPr>
      </w:pPr>
      <w:r w:rsidRPr="00952162">
        <w:rPr>
          <w:rFonts w:eastAsia="Times New Roman"/>
          <w:lang w:val="bg-BG"/>
        </w:rPr>
        <w:t xml:space="preserve">Носителят на данни е ясно видим за крайния ползвател преди всяка покупка и за органите за надзор на пазара, в това число, когато е приложимо, в случаите, когато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се предоставят чрез продажби от разстояние</w:t>
      </w:r>
      <w:r w:rsidRPr="00952162">
        <w:rPr>
          <w:rFonts w:eastAsia="Times New Roman"/>
          <w:b/>
          <w:i/>
          <w:lang w:val="bg-BG"/>
        </w:rPr>
        <w:t>, на главната страница на онлайн страницата на продукта</w:t>
      </w:r>
      <w:r w:rsidRPr="00952162">
        <w:rPr>
          <w:rFonts w:eastAsia="Times New Roman"/>
          <w:lang w:val="bg-BG"/>
        </w:rPr>
        <w:t>.</w:t>
      </w:r>
      <w:r w:rsidR="00EA54B9">
        <w:rPr>
          <w:rFonts w:eastAsia="Times New Roman"/>
          <w:b/>
          <w:lang w:val="bg-BG"/>
        </w:rPr>
        <w:t xml:space="preserve"> [Изм. 102]</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Когато икономическите оператори предоставят цифров етикет, за достъп до продуктовия паспорт и до цифровия етикет се използва един носител на данни.</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w:t>
      </w:r>
      <w:r w:rsidRPr="00952162">
        <w:rPr>
          <w:rFonts w:eastAsia="Times New Roman"/>
          <w:lang w:val="bg-BG"/>
        </w:rPr>
        <w:tab/>
        <w:t xml:space="preserve">Когато съгласно друго законодателство на Съюза се изисква информацията за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да бъде достъпна чрез носител на данни, за предоставянето на информацията, изисквана съгласно настоящия регламент и другото законодателство на Съюза, се използва един носител на данни.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Когато съгласно друго законодателство на Съюза, приложимо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изисква продуктов паспорт, се създава един продуктов паспорт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съдържащ информацията, посочена в параграф 2, както и всякаква друга информация, изисквана по отношение на продуктовия паспорт съгласно това друго законодателство на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7.</w:t>
      </w:r>
      <w:r w:rsidRPr="00952162">
        <w:rPr>
          <w:rFonts w:eastAsia="Times New Roman"/>
          <w:lang w:val="bg-BG"/>
        </w:rPr>
        <w:tab/>
        <w:t>В допълнение към информацията, посочена в параграфи 5 и 6, икономическите оператори могат да предоставят достъп до друга информация чрез носителя на данни, посочен в параграф 6. В такива случаи тази информация се отделя ясно от информацията, изисквана съгласно настоящия регламент и, когато е приложимо, съгласно друго законодателство на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t xml:space="preserve">Чрез създаването на продуктовия паспорт производителят поема отговорността за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настоящия регламент.</w:t>
      </w:r>
    </w:p>
    <w:p w:rsidR="00960D75" w:rsidRDefault="00960D75">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9.</w:t>
      </w:r>
      <w:r w:rsidRPr="00952162">
        <w:rPr>
          <w:rFonts w:eastAsia="Times New Roman"/>
          <w:lang w:val="bg-BG"/>
        </w:rPr>
        <w:tab/>
      </w:r>
      <w:r w:rsidRPr="00952162">
        <w:rPr>
          <w:rFonts w:eastAsia="Times New Roman"/>
          <w:b/>
          <w:i/>
          <w:lang w:val="bg-BG"/>
        </w:rPr>
        <w:t xml:space="preserve">В срок до ... [12 месеца след влизането в сила на настоящия регламент] </w:t>
      </w:r>
      <w:r w:rsidRPr="00952162">
        <w:rPr>
          <w:rFonts w:eastAsia="Times New Roman"/>
          <w:lang w:val="bg-BG"/>
        </w:rPr>
        <w:t xml:space="preserve">Комисията приема акт за изпълнение, в който се определят специфичните и техническите изисквания, свързани с продуктовия паспорт за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Тези изисквания определят най-малко следното:</w:t>
      </w:r>
      <w:r w:rsidR="00EA54B9">
        <w:rPr>
          <w:rFonts w:eastAsia="Times New Roman"/>
          <w:b/>
          <w:lang w:val="bg-BG"/>
        </w:rPr>
        <w:t xml:space="preserve"> [Изм. 103]</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видовете носители на данни, които ще се използват;</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оформлението на носителя на данни и неговото местоположение;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техническите елементи на паспорта, за които се използват определени европейски или международни стандарти;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участниците, които могат да въвеждат или актуализират информацията в продуктовия паспорт, включително, когато е необходимо, да създават нов продуктов паспорт, в това число производителите, компетентните национални органи и Комисията или всяка организация, действаща от тяхно име, и видовете информация, които те може да въвеждат или актуализират.</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Тези актове за изпълнение се приемат в съответствие с процедурата по разглеждане, посочена в член 28, параграф 2.</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19</w:t>
      </w:r>
      <w:r w:rsidRPr="00952162">
        <w:rPr>
          <w:rFonts w:eastAsia="Times New Roman"/>
          <w:lang w:val="bg-BG"/>
        </w:rPr>
        <w:br/>
        <w:t>Техническо проектиране и функциониране на продуктовия паспорт</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Техническото проектиране и функционирането на продуктовия паспорт трябва да отговарят на следните изисквания: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а)</w:t>
      </w:r>
      <w:r w:rsidRPr="00952162">
        <w:rPr>
          <w:rFonts w:eastAsia="Times New Roman"/>
          <w:lang w:val="bg-BG"/>
        </w:rPr>
        <w:tab/>
        <w:t>продуктовите паспорти, създадени съгласно настоящия регламент, са напълно оперативно съвместими с продуктовите паспорти, изисквани съгласно друго законодателство на Съюза, във връзка с техническите, семантичните и организационните аспекти на комуникацията от край до край и предаването на данни;</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б)</w:t>
      </w:r>
      <w:r w:rsidRPr="00952162">
        <w:rPr>
          <w:rFonts w:eastAsia="Times New Roman"/>
          <w:lang w:val="bg-BG"/>
        </w:rPr>
        <w:tab/>
        <w:t xml:space="preserve">цялата информация, включена в продуктовия паспорт, се основава на отворени стандарти, разработени </w:t>
      </w:r>
      <w:r w:rsidRPr="00952162">
        <w:rPr>
          <w:rFonts w:eastAsia="Times New Roman"/>
          <w:strike/>
          <w:lang w:val="bg-BG"/>
        </w:rPr>
        <w:t>с</w:t>
      </w:r>
      <w:r w:rsidRPr="00952162">
        <w:rPr>
          <w:rFonts w:eastAsia="Times New Roman"/>
          <w:b/>
          <w:i/>
          <w:lang w:val="bg-BG"/>
        </w:rPr>
        <w:t>в</w:t>
      </w:r>
      <w:r w:rsidRPr="00952162">
        <w:rPr>
          <w:rFonts w:eastAsia="Times New Roman"/>
          <w:lang w:val="bg-BG"/>
        </w:rPr>
        <w:t xml:space="preserve"> оперативно съвместим формат, и </w:t>
      </w:r>
      <w:r w:rsidRPr="00952162">
        <w:rPr>
          <w:rFonts w:eastAsia="Times New Roman"/>
          <w:b/>
          <w:i/>
          <w:lang w:val="bg-BG"/>
        </w:rPr>
        <w:t xml:space="preserve">когато е уместно, е </w:t>
      </w:r>
      <w:proofErr w:type="spellStart"/>
      <w:r w:rsidRPr="00952162">
        <w:rPr>
          <w:rFonts w:eastAsia="Times New Roman"/>
          <w:b/>
          <w:i/>
          <w:lang w:val="bg-BG"/>
        </w:rPr>
        <w:t>машинночетима</w:t>
      </w:r>
      <w:r w:rsidRPr="00952162">
        <w:rPr>
          <w:rFonts w:eastAsia="Times New Roman"/>
          <w:strike/>
          <w:lang w:val="bg-BG"/>
        </w:rPr>
        <w:t>е</w:t>
      </w:r>
      <w:proofErr w:type="spellEnd"/>
      <w:r w:rsidRPr="00952162">
        <w:rPr>
          <w:rFonts w:eastAsia="Times New Roman"/>
          <w:strike/>
          <w:lang w:val="bg-BG"/>
        </w:rPr>
        <w:t xml:space="preserve"> машинно четима</w:t>
      </w:r>
      <w:r w:rsidRPr="00952162">
        <w:rPr>
          <w:rFonts w:eastAsia="Times New Roman"/>
          <w:lang w:val="bg-BG"/>
        </w:rPr>
        <w:t>, структурирана</w:t>
      </w:r>
      <w:r w:rsidRPr="00952162">
        <w:rPr>
          <w:rFonts w:eastAsia="Times New Roman"/>
          <w:strike/>
          <w:lang w:val="bg-BG"/>
        </w:rPr>
        <w:t xml:space="preserve"> и позволява</w:t>
      </w:r>
      <w:r w:rsidRPr="00952162">
        <w:rPr>
          <w:rFonts w:eastAsia="Times New Roman"/>
          <w:b/>
          <w:i/>
          <w:lang w:val="bg-BG"/>
        </w:rPr>
        <w:t>, дава възможност за</w:t>
      </w:r>
      <w:r w:rsidRPr="00952162">
        <w:rPr>
          <w:rFonts w:eastAsia="Times New Roman"/>
          <w:lang w:val="bg-BG"/>
        </w:rPr>
        <w:t xml:space="preserve"> търсене</w:t>
      </w:r>
      <w:r w:rsidRPr="00952162">
        <w:rPr>
          <w:rFonts w:eastAsia="Times New Roman"/>
          <w:b/>
          <w:i/>
          <w:lang w:val="bg-BG"/>
        </w:rPr>
        <w:t xml:space="preserve"> и е прехвърляема чрез отворена оперативно съвместима мрежа за обмен на данни без зависимост от определен доставчик</w:t>
      </w:r>
      <w:r w:rsidRPr="00952162">
        <w:rPr>
          <w:rFonts w:eastAsia="Times New Roman"/>
          <w:lang w:val="bg-BG"/>
        </w:rPr>
        <w:t>;</w:t>
      </w:r>
      <w:r w:rsidR="00EA54B9">
        <w:rPr>
          <w:rFonts w:eastAsia="Times New Roman"/>
          <w:b/>
          <w:lang w:val="bg-BG"/>
        </w:rPr>
        <w:t xml:space="preserve"> [Изм. 104]</w:t>
      </w:r>
    </w:p>
    <w:p w:rsidR="00952162" w:rsidRPr="00EA54B9" w:rsidRDefault="00EA54B9" w:rsidP="00952162">
      <w:pPr>
        <w:widowControl w:val="0"/>
        <w:spacing w:before="120" w:after="120" w:line="360" w:lineRule="auto"/>
        <w:ind w:left="850" w:hanging="850"/>
        <w:jc w:val="left"/>
        <w:rPr>
          <w:rFonts w:eastAsia="Times New Roman"/>
          <w:b/>
          <w:lang w:val="bg-BG"/>
        </w:rPr>
      </w:pPr>
      <w:r>
        <w:rPr>
          <w:rFonts w:eastAsia="Times New Roman"/>
          <w:b/>
          <w:i/>
          <w:lang w:val="bg-BG"/>
        </w:rPr>
        <w:t>ба</w:t>
      </w:r>
      <w:r w:rsidR="00952162" w:rsidRPr="00952162">
        <w:rPr>
          <w:rFonts w:eastAsia="Times New Roman"/>
          <w:b/>
          <w:i/>
          <w:lang w:val="bg-BG"/>
        </w:rPr>
        <w:t>)</w:t>
      </w:r>
      <w:r w:rsidR="00952162" w:rsidRPr="00952162">
        <w:rPr>
          <w:rFonts w:eastAsia="Times New Roman"/>
          <w:lang w:val="bg-BG"/>
        </w:rPr>
        <w:tab/>
      </w:r>
      <w:r w:rsidR="00952162" w:rsidRPr="00952162">
        <w:rPr>
          <w:rFonts w:eastAsia="Times New Roman"/>
          <w:b/>
          <w:i/>
          <w:lang w:val="bg-BG"/>
        </w:rPr>
        <w:t>продуктовите паспорти се проектират и функционират по лесен за ползване начин;</w:t>
      </w:r>
      <w:r>
        <w:rPr>
          <w:rFonts w:eastAsia="Times New Roman"/>
          <w:b/>
          <w:lang w:val="bg-BG"/>
        </w:rPr>
        <w:t xml:space="preserve"> [Изм. 105]</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в)</w:t>
      </w:r>
      <w:r w:rsidRPr="00952162">
        <w:rPr>
          <w:rFonts w:eastAsia="Times New Roman"/>
          <w:lang w:val="bg-BG"/>
        </w:rPr>
        <w:tab/>
        <w:t xml:space="preserve">крайните ползватели, икономическите оператори и другите съответни участници имат </w:t>
      </w:r>
      <w:r w:rsidRPr="00952162">
        <w:rPr>
          <w:rFonts w:eastAsia="Times New Roman"/>
          <w:b/>
          <w:i/>
          <w:lang w:val="bg-BG"/>
        </w:rPr>
        <w:t xml:space="preserve">лесен и </w:t>
      </w:r>
      <w:r w:rsidRPr="00952162">
        <w:rPr>
          <w:rFonts w:eastAsia="Times New Roman"/>
          <w:lang w:val="bg-BG"/>
        </w:rPr>
        <w:t>безплатен достъп до продуктовия паспорт</w:t>
      </w:r>
      <w:r w:rsidRPr="00952162">
        <w:rPr>
          <w:rFonts w:eastAsia="Times New Roman"/>
          <w:b/>
          <w:i/>
          <w:lang w:val="bg-BG"/>
        </w:rPr>
        <w:t>, без да се ограничава достъпът на съществуващите ползватели</w:t>
      </w:r>
      <w:r w:rsidRPr="00952162">
        <w:rPr>
          <w:rFonts w:eastAsia="Times New Roman"/>
          <w:lang w:val="bg-BG"/>
        </w:rPr>
        <w:t>;</w:t>
      </w:r>
      <w:r w:rsidR="00EA54B9">
        <w:rPr>
          <w:rFonts w:eastAsia="Times New Roman"/>
          <w:b/>
          <w:lang w:val="bg-BG"/>
        </w:rPr>
        <w:t xml:space="preserve"> [Изм. 106]</w:t>
      </w:r>
    </w:p>
    <w:p w:rsidR="00960D75" w:rsidRDefault="00960D75">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г)</w:t>
      </w:r>
      <w:r w:rsidRPr="00952162">
        <w:rPr>
          <w:rFonts w:eastAsia="Times New Roman"/>
          <w:lang w:val="bg-BG"/>
        </w:rPr>
        <w:tab/>
        <w:t>данните, включени в продуктовия паспорт, се съхраняват</w:t>
      </w:r>
      <w:r w:rsidRPr="00952162">
        <w:rPr>
          <w:rFonts w:eastAsia="Times New Roman"/>
          <w:b/>
          <w:i/>
          <w:lang w:val="bg-BG"/>
        </w:rPr>
        <w:t xml:space="preserve"> и осъвременяват</w:t>
      </w:r>
      <w:r w:rsidRPr="00952162">
        <w:rPr>
          <w:rFonts w:eastAsia="Times New Roman"/>
          <w:lang w:val="bg-BG"/>
        </w:rPr>
        <w:t xml:space="preserve"> от икономическия оператор, отговорен за създаването му, или от оператори, упълномощени да действат от негово име;</w:t>
      </w:r>
      <w:r w:rsidR="00EA54B9">
        <w:rPr>
          <w:rFonts w:eastAsia="Times New Roman"/>
          <w:b/>
          <w:lang w:val="bg-BG"/>
        </w:rPr>
        <w:t xml:space="preserve"> [Изм. 107]</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д)</w:t>
      </w:r>
      <w:r w:rsidRPr="00952162">
        <w:rPr>
          <w:rFonts w:eastAsia="Times New Roman"/>
          <w:lang w:val="bg-BG"/>
        </w:rPr>
        <w:tab/>
        <w:t xml:space="preserve">ако данните, включени в продуктовия паспорт, се съхраняват или обработват по друг начин от оператори, упълномощени да действат от името на икономическите оператори, пускащи на пазара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на тези оператори не се разрешава да продават, използват повторно или обработват такива данни, изцяло или частично, извън необходимото за предоставяне на съответните услуги за съхранение или обработване;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е)</w:t>
      </w:r>
      <w:r w:rsidRPr="00952162">
        <w:rPr>
          <w:rFonts w:eastAsia="Times New Roman"/>
          <w:lang w:val="bg-BG"/>
        </w:rPr>
        <w:tab/>
        <w:t>икономическите оператори не могат да проследяват, анализират или използват каквато и да било информация за ползването на продуктовия паспорт за цели, различни от абсолютно необходимите за предоставянето на информацията в продуктовия паспорт онлайн.</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20</w:t>
      </w:r>
      <w:r w:rsidRPr="00952162">
        <w:rPr>
          <w:rFonts w:eastAsia="Times New Roman"/>
          <w:lang w:val="bg-BG"/>
        </w:rPr>
        <w:br/>
        <w:t>Регистър на продуктовите паспорти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Преди да пуснат </w:t>
      </w:r>
      <w:proofErr w:type="spellStart"/>
      <w:r w:rsidRPr="00952162">
        <w:rPr>
          <w:rFonts w:eastAsia="Times New Roman"/>
          <w:lang w:val="bg-BG"/>
        </w:rPr>
        <w:t>детергент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на пазара, икономическите оператори качват в регистъра, създаден съгласно член 12, параграф 1 от Регламент (ЕС) …/… относно </w:t>
      </w:r>
      <w:proofErr w:type="spellStart"/>
      <w:r w:rsidRPr="00952162">
        <w:rPr>
          <w:rFonts w:eastAsia="Times New Roman"/>
          <w:lang w:val="bg-BG"/>
        </w:rPr>
        <w:t>екодизайна</w:t>
      </w:r>
      <w:proofErr w:type="spellEnd"/>
      <w:r w:rsidRPr="00952162">
        <w:rPr>
          <w:rFonts w:eastAsia="Times New Roman"/>
          <w:lang w:val="bg-BG"/>
        </w:rPr>
        <w:t xml:space="preserve"> за устойчиви продукти, единния идентификационен код на продукта и единния идентификационен код на оператора за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Комисията, органите за надзор на пазара и митническите органи имат достъп до регистъра, посочен в параграф 1, за изпълнение на задълженията си съгласно настоящия регламент.</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21</w:t>
      </w:r>
      <w:r w:rsidRPr="00952162">
        <w:rPr>
          <w:rFonts w:eastAsia="Times New Roman"/>
          <w:lang w:val="bg-BG"/>
        </w:rPr>
        <w:br/>
        <w:t>Митнически контрол, свързан с продуктовия паспорт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По отношение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въвеждани на пазара на Съюза, се прилагат проверките и другите мерки, предвидени в настоящия член.</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Деклараторите по смисъла на член 5, точка 15 от Регламент (ЕС) № 952/2013 включват единния идентификационен код на продукта в митническата декларация за допускане за свободно обращение на всеки </w:t>
      </w:r>
      <w:proofErr w:type="spellStart"/>
      <w:r w:rsidRPr="00952162">
        <w:rPr>
          <w:rFonts w:eastAsia="Times New Roman"/>
          <w:lang w:val="bg-BG"/>
        </w:rPr>
        <w:t>детергент</w:t>
      </w:r>
      <w:proofErr w:type="spellEnd"/>
      <w:r w:rsidRPr="00952162">
        <w:rPr>
          <w:rFonts w:eastAsia="Times New Roman"/>
          <w:lang w:val="bg-BG"/>
        </w:rPr>
        <w:t xml:space="preserve"> или всяко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3.</w:t>
      </w:r>
      <w:r w:rsidRPr="00952162">
        <w:rPr>
          <w:rFonts w:eastAsia="Times New Roman"/>
          <w:lang w:val="bg-BG"/>
        </w:rPr>
        <w:tab/>
        <w:t>Митническите органи проверяват дали единният идентификационен код на продукта, посочен от декларатора в съответствие с параграф 2 от настоящия член, съответства на единния идентификационен код на продукта, включен в регистъра в съответствие с член 20, параграф 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В допълнение към проверката, посочена в параграф 3, митническите органи проверяват съответствието между информацията, предоставена на митниците от декларатора, и другата информация, съхранявана в регистъра по член 20, параграф 1 и изброена в делегирания акт по член 26, параграф 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w:t>
      </w:r>
      <w:r w:rsidRPr="00952162">
        <w:rPr>
          <w:rFonts w:eastAsia="Times New Roman"/>
          <w:lang w:val="bg-BG"/>
        </w:rPr>
        <w:tab/>
        <w:t>Проверката, посочена в параграфи 3 и 4, се извършва по електронен път и автоматично преди допускането за свободно обращение.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За целите на параграфи 3—5 се използва </w:t>
      </w:r>
      <w:proofErr w:type="spellStart"/>
      <w:r w:rsidRPr="00952162">
        <w:rPr>
          <w:rFonts w:eastAsia="Times New Roman"/>
          <w:lang w:val="bg-BG"/>
        </w:rPr>
        <w:t>междусистемната</w:t>
      </w:r>
      <w:proofErr w:type="spellEnd"/>
      <w:r w:rsidRPr="00952162">
        <w:rPr>
          <w:rFonts w:eastAsia="Times New Roman"/>
          <w:lang w:val="bg-BG"/>
        </w:rPr>
        <w:t xml:space="preserve"> връзка между регистъра по член 20, параграф 1, и системата на ЕС „Митническо обслужване на едно гише: обмен на сертификати“, посочена в [член 13 от Регламент (ЕС) …/… относно </w:t>
      </w:r>
      <w:proofErr w:type="spellStart"/>
      <w:r w:rsidRPr="00952162">
        <w:rPr>
          <w:rFonts w:eastAsia="Times New Roman"/>
          <w:lang w:val="bg-BG"/>
        </w:rPr>
        <w:t>екопроектирането</w:t>
      </w:r>
      <w:proofErr w:type="spellEnd"/>
      <w:r w:rsidRPr="00952162">
        <w:rPr>
          <w:rFonts w:eastAsia="Times New Roman"/>
          <w:lang w:val="bg-BG"/>
        </w:rPr>
        <w:t xml:space="preserve"> на устойчиви продукти].</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7.</w:t>
      </w:r>
      <w:r w:rsidRPr="00952162">
        <w:rPr>
          <w:rFonts w:eastAsia="Times New Roman"/>
          <w:lang w:val="bg-BG"/>
        </w:rPr>
        <w:tab/>
        <w:t xml:space="preserve">Параграфи 3, 4 и 5 се прилагат от деня, в който започне да функционира </w:t>
      </w:r>
      <w:proofErr w:type="spellStart"/>
      <w:r w:rsidRPr="00952162">
        <w:rPr>
          <w:rFonts w:eastAsia="Times New Roman"/>
          <w:lang w:val="bg-BG"/>
        </w:rPr>
        <w:t>междусистемната</w:t>
      </w:r>
      <w:proofErr w:type="spellEnd"/>
      <w:r w:rsidRPr="00952162">
        <w:rPr>
          <w:rFonts w:eastAsia="Times New Roman"/>
          <w:lang w:val="bg-BG"/>
        </w:rPr>
        <w:t xml:space="preserve"> връзка между регистъра и системата на ЕС „Митническо обслужване на едно гише: обмен на сертификати“, посочена в [член 13 от Регламент (ЕС) …/… относно </w:t>
      </w:r>
      <w:proofErr w:type="spellStart"/>
      <w:r w:rsidRPr="00952162">
        <w:rPr>
          <w:rFonts w:eastAsia="Times New Roman"/>
          <w:lang w:val="bg-BG"/>
        </w:rPr>
        <w:t>екопроектирането</w:t>
      </w:r>
      <w:proofErr w:type="spellEnd"/>
      <w:r w:rsidRPr="00952162">
        <w:rPr>
          <w:rFonts w:eastAsia="Times New Roman"/>
          <w:lang w:val="bg-BG"/>
        </w:rPr>
        <w:t xml:space="preserve"> на устойчиви продукти].</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Комисията публикува в </w:t>
      </w:r>
      <w:r w:rsidRPr="00960D75">
        <w:rPr>
          <w:rFonts w:eastAsia="Times New Roman"/>
          <w:i/>
          <w:lang w:val="bg-BG"/>
        </w:rPr>
        <w:t>Официален вестник на Европейския съюз</w:t>
      </w:r>
      <w:r w:rsidRPr="00952162">
        <w:rPr>
          <w:rFonts w:eastAsia="Times New Roman"/>
          <w:lang w:val="bg-BG"/>
        </w:rPr>
        <w:t xml:space="preserve"> известие за това, като посочва датата, на която започва да функционира </w:t>
      </w:r>
      <w:proofErr w:type="spellStart"/>
      <w:r w:rsidRPr="00952162">
        <w:rPr>
          <w:rFonts w:eastAsia="Times New Roman"/>
          <w:lang w:val="bg-BG"/>
        </w:rPr>
        <w:t>междусистемната</w:t>
      </w:r>
      <w:proofErr w:type="spellEnd"/>
      <w:r w:rsidRPr="00952162">
        <w:rPr>
          <w:rFonts w:eastAsia="Times New Roman"/>
          <w:lang w:val="bg-BG"/>
        </w:rPr>
        <w:t xml:space="preserve"> връзка.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t>Митническите органи могат да извличат и използват информацията, включена в продуктовия паспорт и в регистъра, посочен в член 20, параграф 1, за изпълнение на задълженията си съгласно законодателството на Съюза, включително за управление на риска в съответствие с членове 46 и 47 от Регламент (ЕС) № 952/2013.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9.</w:t>
      </w:r>
      <w:r w:rsidRPr="00952162">
        <w:rPr>
          <w:rFonts w:eastAsia="Times New Roman"/>
          <w:lang w:val="bg-BG"/>
        </w:rPr>
        <w:tab/>
        <w:t xml:space="preserve">Проверките и другите мерки, предвидени в настоящия член, се извършват въз основа на списък с кодове по Комбинираната номенклатура съгласно приложение I към Регламент (ЕИО) № 2658/87, в който са класифицирани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както и въз основа продуктовите описания на тези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10.</w:t>
      </w:r>
      <w:r w:rsidRPr="00952162">
        <w:rPr>
          <w:rFonts w:eastAsia="Times New Roman"/>
          <w:lang w:val="bg-BG"/>
        </w:rPr>
        <w:tab/>
        <w:t>Проверките и мерките, предвидени в настоящия член, не засягат прилагането на други правни актове на Съюза, уреждащи допускането за свободно обращение на продукти, включително членове 46, 47 и 134 от Регламент (ЕС) № 952/2013, както и проверките, посочени в глава VII от Регламент (ЕС) 2019/1020.</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ГЛАВА VI</w:t>
      </w:r>
      <w:r w:rsidRPr="00952162">
        <w:rPr>
          <w:rFonts w:eastAsia="Times New Roman"/>
          <w:lang w:val="bg-BG"/>
        </w:rPr>
        <w:br/>
        <w:t xml:space="preserve">НАДЗОР НА ПАЗАРА </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22</w:t>
      </w:r>
      <w:r w:rsidRPr="00952162">
        <w:rPr>
          <w:rFonts w:eastAsia="Times New Roman"/>
          <w:lang w:val="bg-BG"/>
        </w:rPr>
        <w:br/>
        <w:t xml:space="preserve">Процедура на национално равнище при работа с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пораждащи риск</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w:t>
      </w:r>
      <w:r w:rsidRPr="00952162">
        <w:rPr>
          <w:rFonts w:eastAsia="Times New Roman"/>
          <w:lang w:val="bg-BG"/>
        </w:rPr>
        <w:tab/>
        <w:t xml:space="preserve">Когато органите за надзор на пазара на дадена държава членка имат основателна причина да считат,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представлява риск за здравето</w:t>
      </w:r>
      <w:r w:rsidRPr="00952162">
        <w:rPr>
          <w:rFonts w:eastAsia="Times New Roman"/>
          <w:b/>
          <w:i/>
          <w:lang w:val="bg-BG"/>
        </w:rPr>
        <w:t>, безопасността</w:t>
      </w:r>
      <w:r w:rsidRPr="00952162">
        <w:rPr>
          <w:rFonts w:eastAsia="Times New Roman"/>
          <w:lang w:val="bg-BG"/>
        </w:rPr>
        <w:t xml:space="preserve"> или за околната среда, те извършват оценка по отношение на този </w:t>
      </w:r>
      <w:proofErr w:type="spellStart"/>
      <w:r w:rsidRPr="00952162">
        <w:rPr>
          <w:rFonts w:eastAsia="Times New Roman"/>
          <w:lang w:val="bg-BG"/>
        </w:rPr>
        <w:t>детергент</w:t>
      </w:r>
      <w:proofErr w:type="spellEnd"/>
      <w:r w:rsidRPr="00952162">
        <w:rPr>
          <w:rFonts w:eastAsia="Times New Roman"/>
          <w:lang w:val="bg-BG"/>
        </w:rPr>
        <w:t xml:space="preserve"> или това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която обхваща всички съответни изисквания, определени в настоящия регламент. За тази цел съответните икономически оператори сътрудничат на органите за надзор на пазара, когато това е необходимо.</w:t>
      </w:r>
      <w:r w:rsidR="00EA54B9">
        <w:rPr>
          <w:rFonts w:eastAsia="Times New Roman"/>
          <w:b/>
          <w:lang w:val="bg-BG"/>
        </w:rPr>
        <w:t xml:space="preserve"> [Изм. 108]</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w:t>
      </w:r>
      <w:r w:rsidRPr="00952162">
        <w:rPr>
          <w:rFonts w:eastAsia="Times New Roman"/>
          <w:lang w:val="bg-BG"/>
        </w:rPr>
        <w:tab/>
        <w:t xml:space="preserve">Когато органите за надзор на пазара на дадена държава членка имат достатъчно основание да считат, че резултатите от дадено изпитване, проведено в съответствие с методите, изброени в приложение I или в приложение II, са неверни, те извършват проверки, за да проверят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настоящия регламент в съответствие с референтните методи, посочени в приложения I, II и VII. Икономическите оператори не са задължени да плащат за каквото и да е повторно или допълнително изпитване, при условие че първоначалното изпитване е показало съответствие на </w:t>
      </w:r>
      <w:proofErr w:type="spellStart"/>
      <w:r w:rsidRPr="00952162">
        <w:rPr>
          <w:rFonts w:eastAsia="Times New Roman"/>
          <w:lang w:val="bg-BG"/>
        </w:rPr>
        <w:t>детергентите</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 настоящия регламент.</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3.</w:t>
      </w:r>
      <w:r w:rsidRPr="00952162">
        <w:rPr>
          <w:rFonts w:eastAsia="Times New Roman"/>
          <w:lang w:val="bg-BG"/>
        </w:rPr>
        <w:tab/>
        <w:t xml:space="preserve">Когато в хода на проверките, посочени в параграф 1 или в параграф 2, органите за надзор на пазара установят, че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не съответства на изискванията, определени в настоящия регламент, те незабавно изискват от съответните икономически оператори да предприемат всички подходящи коригиращи действия, за да приведат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в съответствие с тези изисквания, да го изтеглят от пазара или да го изземат в рамките на разумен срок, </w:t>
      </w:r>
      <w:r w:rsidRPr="00952162">
        <w:rPr>
          <w:rFonts w:eastAsia="Times New Roman"/>
          <w:b/>
          <w:i/>
          <w:lang w:val="bg-BG"/>
        </w:rPr>
        <w:t xml:space="preserve">определен от органите за пазарен надзор и </w:t>
      </w:r>
      <w:r w:rsidRPr="00952162">
        <w:rPr>
          <w:rFonts w:eastAsia="Times New Roman"/>
          <w:lang w:val="bg-BG"/>
        </w:rPr>
        <w:t>съобразен с естеството на риска, посочен в параграф 1.</w:t>
      </w:r>
      <w:r w:rsidR="00EA54B9">
        <w:rPr>
          <w:rFonts w:eastAsia="Times New Roman"/>
          <w:b/>
          <w:lang w:val="bg-BG"/>
        </w:rPr>
        <w:t xml:space="preserve"> [Изм. 109]</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4.</w:t>
      </w:r>
      <w:r w:rsidRPr="00952162">
        <w:rPr>
          <w:rFonts w:eastAsia="Times New Roman"/>
          <w:lang w:val="bg-BG"/>
        </w:rPr>
        <w:tab/>
        <w:t>Когато органите за надзор на пазара смятат, че несъответствието не е ограничено само до националната им територия, те информират Комисията и органите за надзор на пазара на другите държави членки за резултатите от оценката и за действията, които те са изискали да бъдат предприети от икономическия оператор.</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w:t>
      </w:r>
      <w:r w:rsidRPr="00952162">
        <w:rPr>
          <w:rFonts w:eastAsia="Times New Roman"/>
          <w:lang w:val="bg-BG"/>
        </w:rPr>
        <w:tab/>
        <w:t xml:space="preserve">Икономическият оператор гарантира, че са предприети всички подходящи коригиращи действия по отношение на всички съответни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икономическият оператор е предоставил на пазара в целия Съюз.</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Когато съответният икономически оператор не предприеме подходящи коригиращи действия в посочения в параграф 3 срок, органите за надзор на пазара предприемат всички подходящи временни мерки, за да забранят или ограничат предоставянето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на националния им пазар или за изтеглянето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от този пазар, или за неговото изземване.</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Органите за надзор на пазара незабавно информират Комисията и органите за надзор на пазара на другите държави членки за тези мерки.</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 xml:space="preserve">Информацията, посочена във втора алинея, включва всички налични подробни данни, по-специално данните, необходими за идентифицирането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които не отговарят на изискванията, произхода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естеството на предполагаемото несъответствие и съпътстващия риск, естеството и продължителността на предприетите на национално равнище мерки, както и аргументите, изтъкнати от съответния икономически оператор.</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7.</w:t>
      </w:r>
      <w:r w:rsidRPr="00952162">
        <w:rPr>
          <w:rFonts w:eastAsia="Times New Roman"/>
          <w:lang w:val="bg-BG"/>
        </w:rPr>
        <w:tab/>
        <w:t xml:space="preserve">Органите за надзор на пазара на държавите членки, различни от държавата членка, започнала процедурата по настоящия член, без забавяне информират Комисията и органите за надзор на пазара на другите държави членки за всички приети мерки и за всяка допълнителна информация, с която разполагат за несъответствието на съответния </w:t>
      </w:r>
      <w:proofErr w:type="spellStart"/>
      <w:r w:rsidRPr="00952162">
        <w:rPr>
          <w:rFonts w:eastAsia="Times New Roman"/>
          <w:lang w:val="bg-BG"/>
        </w:rPr>
        <w:t>детергент</w:t>
      </w:r>
      <w:proofErr w:type="spellEnd"/>
      <w:r w:rsidRPr="00952162">
        <w:rPr>
          <w:rFonts w:eastAsia="Times New Roman"/>
          <w:lang w:val="bg-BG"/>
        </w:rPr>
        <w:t xml:space="preserve"> или на съответното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и в случай на несъгласие с приетата национална мярка — за своите възражения.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t>Когато в срок от три месеца от получаването на информацията, посочена в параграф 6, втора алинея, не е повдигнато възражение нито от орган за надзор на пазара на държава членка, нито от Комисията във връзка с временна мярка, предприета от държава членка, тази мярка се смята за обоснована.</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9.</w:t>
      </w:r>
      <w:r w:rsidRPr="00952162">
        <w:rPr>
          <w:rFonts w:eastAsia="Times New Roman"/>
          <w:lang w:val="bg-BG"/>
        </w:rPr>
        <w:tab/>
        <w:t xml:space="preserve">Органите за надзор на пазара гарантират, че по отношение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без забавяне се предприемат подходящите ограничителни мерки, като например изтеглянето му от пазарите им.</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10.</w:t>
      </w:r>
      <w:r w:rsidRPr="00952162">
        <w:rPr>
          <w:rFonts w:eastAsia="Times New Roman"/>
          <w:lang w:val="bg-BG"/>
        </w:rPr>
        <w:tab/>
        <w:t>Когато за целите на параграфи 4, 6, 7 и 8 се съобщава информация на Комисията или на други органи за надзор на пазара, тази информация се съобщава чрез информационната и комуникационна система, посочена в член 34, параграф 1 от Регламент (ЕС) 2019/1020.</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23</w:t>
      </w:r>
      <w:r w:rsidRPr="00952162">
        <w:rPr>
          <w:rFonts w:eastAsia="Times New Roman"/>
          <w:lang w:val="bg-BG"/>
        </w:rPr>
        <w:br/>
        <w:t>Предпазна процедура на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Когато при приключването на процедурата, предвидена в член 22, параграфи 3, 4 и 5, срещу мярка, предприета от орган за надзор на пазара, бъдат повдигнати възражения, или когато Комисията счита, че дадена национална мярка противоречи на законодателството на Съюза, Комисията започва незабавно консултации с органите за надзор на пазара и със съответния икономически оператор или оператори и извършва оценка на националната мярка. На основата на резултатите от тази оценка Комисията приема акт за изпълнение, с който определя дали националната мярка е обоснована, или не.</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Комисията адресира решението си до всички държави членки, като го съобщава незабавно на тях и на съответния икономически оператор или оператори.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Ако се прецени, че националната мярка е обоснована, всички държави членки предприемат необходимите мерки, за да осигурят изтеглянето от своя пазар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които не отговарят на изискванията, и информират Комисията за това.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Ако се прецени, че националната мярка не е обоснована, съответната държава членка оттегля тази мярка.</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24</w:t>
      </w:r>
      <w:r w:rsidRPr="00952162">
        <w:rPr>
          <w:rFonts w:eastAsia="Times New Roman"/>
          <w:lang w:val="bg-BG"/>
        </w:rPr>
        <w:br/>
        <w:t xml:space="preserve">Отговарящи на изискванията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представляват риск за здравето или за околната среда</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w:t>
      </w:r>
      <w:r w:rsidRPr="00952162">
        <w:rPr>
          <w:rFonts w:eastAsia="Times New Roman"/>
          <w:lang w:val="bg-BG"/>
        </w:rPr>
        <w:tab/>
        <w:t xml:space="preserve">Когато орган за надзор на пазара, след като извърши оценката съгласно член 22, параграф 1, установи, че въпреки че даден </w:t>
      </w:r>
      <w:proofErr w:type="spellStart"/>
      <w:r w:rsidRPr="00952162">
        <w:rPr>
          <w:rFonts w:eastAsia="Times New Roman"/>
          <w:lang w:val="bg-BG"/>
        </w:rPr>
        <w:t>детергент</w:t>
      </w:r>
      <w:proofErr w:type="spellEnd"/>
      <w:r w:rsidRPr="00952162">
        <w:rPr>
          <w:rFonts w:eastAsia="Times New Roman"/>
          <w:lang w:val="bg-BG"/>
        </w:rPr>
        <w:t xml:space="preserve"> или дадено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е в съответствие с настоящия Регламент, той (то) представлява риск за здравето или за околната среда, той изисква от съответния икономически оператор да предприеме всички необходими мерки, за да гарантира, че когато съответният </w:t>
      </w:r>
      <w:proofErr w:type="spellStart"/>
      <w:r w:rsidRPr="00952162">
        <w:rPr>
          <w:rFonts w:eastAsia="Times New Roman"/>
          <w:lang w:val="bg-BG"/>
        </w:rPr>
        <w:t>детергент</w:t>
      </w:r>
      <w:proofErr w:type="spellEnd"/>
      <w:r w:rsidRPr="00952162">
        <w:rPr>
          <w:rFonts w:eastAsia="Times New Roman"/>
          <w:lang w:val="bg-BG"/>
        </w:rPr>
        <w:t xml:space="preserve"> или съответното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бъде пуснато на пазара, той (то) вече няма да представлява такъв риск, да изтегли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от пазара или да го изземе в рамките на разумен срок, </w:t>
      </w:r>
      <w:r w:rsidRPr="00952162">
        <w:rPr>
          <w:rFonts w:eastAsia="Times New Roman"/>
          <w:b/>
          <w:i/>
          <w:lang w:val="bg-BG"/>
        </w:rPr>
        <w:t xml:space="preserve">определен от органите за надзор на пазара и </w:t>
      </w:r>
      <w:r w:rsidRPr="00952162">
        <w:rPr>
          <w:rFonts w:eastAsia="Times New Roman"/>
          <w:lang w:val="bg-BG"/>
        </w:rPr>
        <w:t>съобразен с естеството на риска.</w:t>
      </w:r>
      <w:r w:rsidR="00EA54B9">
        <w:rPr>
          <w:rFonts w:eastAsia="Times New Roman"/>
          <w:b/>
          <w:lang w:val="bg-BG"/>
        </w:rPr>
        <w:t xml:space="preserve"> [Изм. 110]</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w:t>
      </w:r>
      <w:r w:rsidRPr="00952162">
        <w:rPr>
          <w:rFonts w:eastAsia="Times New Roman"/>
          <w:lang w:val="bg-BG"/>
        </w:rPr>
        <w:tab/>
        <w:t xml:space="preserve">Икономическият оператор гарантира, че са предприети всички коригиращи действия по отношение на всички съответни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икономическият оператор е предоставил на пазара в целия Съюз.</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 xml:space="preserve">Органът за надзор на пазара незабавно информира Комисията и органите за надзор на пазара на другите държави членки. Тази информация включва всички налични подробни данни, по-специално данните, необходими за идентифицирането на съответния </w:t>
      </w:r>
      <w:proofErr w:type="spellStart"/>
      <w:r w:rsidRPr="00952162">
        <w:rPr>
          <w:rFonts w:eastAsia="Times New Roman"/>
          <w:lang w:val="bg-BG"/>
        </w:rPr>
        <w:t>детергент</w:t>
      </w:r>
      <w:proofErr w:type="spellEnd"/>
      <w:r w:rsidRPr="00952162">
        <w:rPr>
          <w:rFonts w:eastAsia="Times New Roman"/>
          <w:lang w:val="bg-BG"/>
        </w:rPr>
        <w:t xml:space="preserve"> или съответното </w:t>
      </w:r>
      <w:proofErr w:type="spellStart"/>
      <w:r w:rsidRPr="00952162">
        <w:rPr>
          <w:rFonts w:eastAsia="Times New Roman"/>
          <w:lang w:val="bg-BG"/>
        </w:rPr>
        <w:t>повърхностноактивно</w:t>
      </w:r>
      <w:proofErr w:type="spellEnd"/>
      <w:r w:rsidRPr="00952162">
        <w:rPr>
          <w:rFonts w:eastAsia="Times New Roman"/>
          <w:lang w:val="bg-BG"/>
        </w:rPr>
        <w:t xml:space="preserve"> вещество, произхода и веригата на доставка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естеството на съпътстващия риск и естеството и продължителността на предприетите национални мерки.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Комисията започва незабавно консултации с органите за надзор на пазара и със съответния икономически оператор или оператори и извършва оценка на предприетата на национално равнище мярка. Въз основа на резултатите от тази оценка Комисията приема акт за изпълнение, с който определя дали националната мярка е обоснована, или не, и, когато е необходимо, предлага подходящи мерки.</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Адресати на решението на Комисията са всички държави членки, като Комисията го съобщава незабавно на тях и на съответния(те) икономически оператор(и).</w:t>
      </w:r>
    </w:p>
    <w:p w:rsidR="00952162" w:rsidRPr="00EA54B9" w:rsidRDefault="00952162" w:rsidP="00952162">
      <w:pPr>
        <w:widowControl w:val="0"/>
        <w:spacing w:before="120" w:after="120" w:line="360" w:lineRule="auto"/>
        <w:ind w:left="850"/>
        <w:jc w:val="left"/>
        <w:rPr>
          <w:rFonts w:eastAsia="Times New Roman"/>
          <w:b/>
          <w:lang w:val="bg-BG"/>
        </w:rPr>
      </w:pPr>
      <w:r w:rsidRPr="00952162">
        <w:rPr>
          <w:rFonts w:eastAsia="Times New Roman"/>
          <w:b/>
          <w:i/>
          <w:lang w:val="bg-BG"/>
        </w:rPr>
        <w:t>В спешни случаи и при надлежно обосновани наложителни причини във връзка с опазването на здравето или околната среда, Комисията приема акт за изпълнение в съответствие с процедурата, посочена в член 28, параграф 2а, и гарантира, че този акт за изпълнение е с незабавно приложение.</w:t>
      </w:r>
      <w:r w:rsidR="00EA54B9">
        <w:rPr>
          <w:rFonts w:eastAsia="Times New Roman"/>
          <w:b/>
          <w:lang w:val="bg-BG"/>
        </w:rPr>
        <w:t xml:space="preserve"> [Изм. 111]</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25</w:t>
      </w:r>
      <w:r w:rsidRPr="00952162">
        <w:rPr>
          <w:rFonts w:eastAsia="Times New Roman"/>
          <w:lang w:val="bg-BG"/>
        </w:rPr>
        <w:br/>
        <w:t>Формално несъответствие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Без да се засягат разпоредбите на член 22, когато орган за надзор на пазара направи една от следните констатации, той изисква от съответния икономически оператор да отстрани въпросното несъответствие:</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а)</w:t>
      </w:r>
      <w:r w:rsidRPr="00952162">
        <w:rPr>
          <w:rFonts w:eastAsia="Times New Roman"/>
          <w:lang w:val="bg-BG"/>
        </w:rPr>
        <w:tab/>
      </w:r>
      <w:r w:rsidRPr="00952162">
        <w:rPr>
          <w:rFonts w:eastAsia="Times New Roman"/>
          <w:strike/>
          <w:lang w:val="bg-BG"/>
        </w:rPr>
        <w:t>маркировката „CE“ е нанесена в нарушение на член 14 или изобщо не е нанесена;</w:t>
      </w:r>
      <w:r w:rsidR="00EA54B9">
        <w:rPr>
          <w:rFonts w:eastAsia="Times New Roman"/>
          <w:b/>
          <w:strike/>
          <w:lang w:val="bg-BG"/>
        </w:rPr>
        <w:t xml:space="preserve"> </w:t>
      </w:r>
      <w:r w:rsidR="00EA54B9" w:rsidRPr="00EA54B9">
        <w:rPr>
          <w:rFonts w:eastAsia="Times New Roman"/>
          <w:b/>
          <w:lang w:val="bg-BG"/>
        </w:rPr>
        <w:t>[Изм. 112]</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б)</w:t>
      </w:r>
      <w:r w:rsidRPr="00952162">
        <w:rPr>
          <w:rFonts w:eastAsia="Times New Roman"/>
          <w:lang w:val="bg-BG"/>
        </w:rPr>
        <w:tab/>
        <w:t>продуктовият паспорт не е изготвен в съответствие с членове 18 и 19;</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техническата документация, упомената в член 7, параграф 2, или не е налична, или е непълна;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 xml:space="preserve">носителят на данни, чрез който са достъпни продуктовият паспорт, и, когато е уместно, цифровият етикет, не е налице върху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тяхната опаковка, придружаващата ги документация или в пункта за повторно пълнене, както е приложимо;</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д)</w:t>
      </w:r>
      <w:r w:rsidRPr="00952162">
        <w:rPr>
          <w:rFonts w:eastAsia="Times New Roman"/>
          <w:lang w:val="bg-BG"/>
        </w:rPr>
        <w:tab/>
        <w:t>етикетът не е предоставен или информацията върху етикета, посочена в член 15 и в приложение V, е невярна или непълна</w:t>
      </w:r>
      <w:r w:rsidRPr="00952162">
        <w:rPr>
          <w:rFonts w:eastAsia="Times New Roman"/>
          <w:strike/>
          <w:lang w:val="bg-BG"/>
        </w:rPr>
        <w:t>.</w:t>
      </w:r>
      <w:r w:rsidRPr="00952162">
        <w:rPr>
          <w:rFonts w:eastAsia="Times New Roman"/>
          <w:b/>
          <w:i/>
          <w:lang w:val="bg-BG"/>
        </w:rPr>
        <w:t>;</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b/>
          <w:i/>
          <w:lang w:val="bg-BG"/>
        </w:rPr>
        <w:t>д</w:t>
      </w:r>
      <w:r w:rsidR="00EA54B9">
        <w:rPr>
          <w:rFonts w:eastAsia="Times New Roman"/>
          <w:b/>
          <w:i/>
          <w:lang w:val="bg-BG"/>
        </w:rPr>
        <w:t>а</w:t>
      </w:r>
      <w:r w:rsidRPr="00952162">
        <w:rPr>
          <w:rFonts w:eastAsia="Times New Roman"/>
          <w:b/>
          <w:i/>
          <w:lang w:val="bg-BG"/>
        </w:rPr>
        <w:t>)</w:t>
      </w:r>
      <w:r w:rsidRPr="00952162">
        <w:rPr>
          <w:rFonts w:eastAsia="Times New Roman"/>
          <w:lang w:val="bg-BG"/>
        </w:rPr>
        <w:tab/>
      </w:r>
      <w:r w:rsidRPr="00952162">
        <w:rPr>
          <w:rFonts w:eastAsia="Times New Roman"/>
          <w:b/>
          <w:i/>
          <w:lang w:val="bg-BG"/>
        </w:rPr>
        <w:t>не е изпълнено друго административно задължение, предвидено в настоящия регламент.</w:t>
      </w:r>
      <w:r w:rsidR="00EA54B9">
        <w:rPr>
          <w:rFonts w:eastAsia="Times New Roman"/>
          <w:b/>
          <w:lang w:val="bg-BG"/>
        </w:rPr>
        <w:t xml:space="preserve"> [Изм. 113]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 xml:space="preserve">Когато несъответствието, посочено в параграф 1, продължи, съответната държава членка предприема всички подходящи мерки да ограничи или да забрани предоставянето на пазара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или да осигури неговото изземване или изтегляне от пазара.</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ГЛАВА VII</w:t>
      </w:r>
      <w:r w:rsidRPr="00952162">
        <w:rPr>
          <w:rFonts w:eastAsia="Times New Roman"/>
          <w:lang w:val="bg-BG"/>
        </w:rPr>
        <w:br/>
        <w:t>ДЕЛЕГИРАНИ ПРАВОМОЩИЯ И ПРОЦЕДУРА НА КОМИТЕТ</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26</w:t>
      </w:r>
      <w:r w:rsidRPr="00952162">
        <w:rPr>
          <w:rFonts w:eastAsia="Times New Roman"/>
          <w:lang w:val="bg-BG"/>
        </w:rPr>
        <w:br/>
        <w:t>Делегирани правомощия</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1.</w:t>
      </w:r>
      <w:r w:rsidRPr="00952162">
        <w:rPr>
          <w:rFonts w:eastAsia="Times New Roman"/>
          <w:lang w:val="bg-BG"/>
        </w:rPr>
        <w:tab/>
        <w:t>На Комисията се предоставя правомощието да приема делегирани актове в съответствие с член 27, за да изменя приложение VI по отношение на информацията, която трябва да бъде предоставяна в продуктовия паспорт, за целите на адаптирането на това приложение към техническия и научния напредък и на степента на цифрова подготвеност на органите за надзор на пазара и крайните ползватели</w:t>
      </w:r>
      <w:r w:rsidRPr="00952162">
        <w:rPr>
          <w:rFonts w:eastAsia="Times New Roman"/>
          <w:b/>
          <w:i/>
          <w:lang w:val="bg-BG"/>
        </w:rPr>
        <w:t>, като вземе предвид приложимото право на Съюза относно защитата на неразкрита търговска информация и относно обществения достъп до информация за околната среда</w:t>
      </w:r>
      <w:r w:rsidRPr="00952162">
        <w:rPr>
          <w:rFonts w:eastAsia="Times New Roman"/>
          <w:lang w:val="bg-BG"/>
        </w:rPr>
        <w:t>.</w:t>
      </w:r>
      <w:r w:rsidR="00EA54B9">
        <w:rPr>
          <w:rFonts w:eastAsia="Times New Roman"/>
          <w:b/>
          <w:lang w:val="bg-BG"/>
        </w:rPr>
        <w:t xml:space="preserve"> [Изм. 114]</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На Комисията се предоставя правомощието да приема делегирани актове в съответствие с член 27, за да изменя член 20, параграф 1, като изисква допълнителна информация сред информацията, посочена в приложение VI, да се съхранява в регистъра.</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Когато приема делегираните актове в съответствие с първа алинея, Комисията взема предвид следните критерии: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съгласуваността с други </w:t>
      </w:r>
      <w:proofErr w:type="spellStart"/>
      <w:r w:rsidRPr="00952162">
        <w:rPr>
          <w:rFonts w:eastAsia="Times New Roman"/>
          <w:lang w:val="bg-BG"/>
        </w:rPr>
        <w:t>относими</w:t>
      </w:r>
      <w:proofErr w:type="spellEnd"/>
      <w:r w:rsidRPr="00952162">
        <w:rPr>
          <w:rFonts w:eastAsia="Times New Roman"/>
          <w:lang w:val="bg-BG"/>
        </w:rPr>
        <w:t xml:space="preserve"> актове на Съюза, когато е уместно;</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б)</w:t>
      </w:r>
      <w:r w:rsidRPr="00952162">
        <w:rPr>
          <w:rFonts w:eastAsia="Times New Roman"/>
          <w:lang w:val="bg-BG"/>
        </w:rPr>
        <w:tab/>
        <w:t>необходимостта да се даде възможност за проверка на автентичността на продуктовия паспорт;</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r>
      <w:proofErr w:type="spellStart"/>
      <w:r w:rsidRPr="00952162">
        <w:rPr>
          <w:rFonts w:eastAsia="Times New Roman"/>
          <w:lang w:val="bg-BG"/>
        </w:rPr>
        <w:t>относимостта</w:t>
      </w:r>
      <w:proofErr w:type="spellEnd"/>
      <w:r w:rsidRPr="00952162">
        <w:rPr>
          <w:rFonts w:eastAsia="Times New Roman"/>
          <w:lang w:val="bg-BG"/>
        </w:rPr>
        <w:t xml:space="preserve"> на информацията за подобряване на ефикасността и ефективността на проверките за наблюдение на пазара и митническия контрол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необходимостта да се избегне непропорционална административна тежест за икономическите оператори.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На Комисията се предоставя правомощието да приема делегирани актове в съответствие с член 27, за да допълва настоящия регламент, като определя допълнителната информация, съхранявана в регистъра по член 20, параграф 1, която трябва да бъде контролирана от митническите органи.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 xml:space="preserve">На Комисията се предоставя правомощието да приема делегирани актове в съответствие с член 27, за да допълва настоящия регламент, като предвижда приложение, съдържащо списък с кодове по Комбинираната номенклатура съгласно приложение I към Регламент (ЕИО) № 2658/87, и продуктови описания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както и като актуализира посоченото приложение.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5.</w:t>
      </w:r>
      <w:r w:rsidRPr="00952162">
        <w:rPr>
          <w:rFonts w:eastAsia="Times New Roman"/>
          <w:lang w:val="bg-BG"/>
        </w:rPr>
        <w:tab/>
        <w:t>На Комисията се предоставя правомощието да приема делегирани актове в съответствие с член 27, за да изменя приложения I—VII с цел да се отчете научният и техническият напредък.</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6.</w:t>
      </w:r>
      <w:r w:rsidRPr="00952162">
        <w:rPr>
          <w:rFonts w:eastAsia="Times New Roman"/>
          <w:lang w:val="bg-BG"/>
        </w:rPr>
        <w:tab/>
        <w:t xml:space="preserve">Когато нови научни доказателства показват необходимостта от въвеждане на изисквания за </w:t>
      </w:r>
      <w:proofErr w:type="spellStart"/>
      <w:r w:rsidRPr="00952162">
        <w:rPr>
          <w:rFonts w:eastAsia="Times New Roman"/>
          <w:lang w:val="bg-BG"/>
        </w:rPr>
        <w:t>биоразградимост</w:t>
      </w:r>
      <w:proofErr w:type="spellEnd"/>
      <w:r w:rsidRPr="00952162">
        <w:rPr>
          <w:rFonts w:eastAsia="Times New Roman"/>
          <w:lang w:val="bg-BG"/>
        </w:rPr>
        <w:t xml:space="preserve"> на вещества и смеси, различни от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в </w:t>
      </w:r>
      <w:proofErr w:type="spellStart"/>
      <w:r w:rsidRPr="00952162">
        <w:rPr>
          <w:rFonts w:eastAsia="Times New Roman"/>
          <w:lang w:val="bg-BG"/>
        </w:rPr>
        <w:t>детергенти</w:t>
      </w:r>
      <w:proofErr w:type="spellEnd"/>
      <w:r w:rsidRPr="00952162">
        <w:rPr>
          <w:rFonts w:eastAsia="Times New Roman"/>
          <w:lang w:val="bg-BG"/>
        </w:rPr>
        <w:t xml:space="preserve"> (включително капсули с </w:t>
      </w:r>
      <w:proofErr w:type="spellStart"/>
      <w:r w:rsidRPr="00952162">
        <w:rPr>
          <w:rFonts w:eastAsia="Times New Roman"/>
          <w:lang w:val="bg-BG"/>
        </w:rPr>
        <w:t>детергенти</w:t>
      </w:r>
      <w:proofErr w:type="spellEnd"/>
      <w:r w:rsidRPr="00952162">
        <w:rPr>
          <w:rFonts w:eastAsia="Times New Roman"/>
          <w:lang w:val="bg-BG"/>
        </w:rPr>
        <w:t xml:space="preserve">), на Комисията се предоставя правомощието да приема делегирани актове в съответствие с член 27, за да изменя приложение I с цел да се определят критерии за </w:t>
      </w:r>
      <w:proofErr w:type="spellStart"/>
      <w:r w:rsidRPr="00952162">
        <w:rPr>
          <w:rFonts w:eastAsia="Times New Roman"/>
          <w:lang w:val="bg-BG"/>
        </w:rPr>
        <w:t>биоразградимост</w:t>
      </w:r>
      <w:proofErr w:type="spellEnd"/>
      <w:r w:rsidRPr="00952162">
        <w:rPr>
          <w:rFonts w:eastAsia="Times New Roman"/>
          <w:lang w:val="bg-BG"/>
        </w:rPr>
        <w:t xml:space="preserve"> на тези вещества и смеси и методи за изпитване за проверка на съответствието с тези критерии.</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Когато приема делегираните актове в съответствие с първа алинея, Комисията взема предвид настоящите производствени практики, наличието на технически и икономически осъществими алтернативи и въздействието върху малките и средните предприятия.</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6а.</w:t>
      </w:r>
      <w:r w:rsidRPr="00952162">
        <w:rPr>
          <w:rFonts w:eastAsia="Times New Roman"/>
          <w:lang w:val="bg-BG"/>
        </w:rPr>
        <w:tab/>
      </w:r>
      <w:r w:rsidRPr="00952162">
        <w:rPr>
          <w:rFonts w:eastAsia="Times New Roman"/>
          <w:b/>
          <w:i/>
          <w:lang w:val="bg-BG"/>
        </w:rPr>
        <w:t>Когато в Регламент (ЕО) № 440/2008 на Комисията</w:t>
      </w:r>
      <w:r w:rsidRPr="00952162">
        <w:rPr>
          <w:rFonts w:eastAsia="Times New Roman"/>
          <w:vertAlign w:val="superscript"/>
          <w:lang w:val="bg-BG"/>
        </w:rPr>
        <w:footnoteReference w:id="24"/>
      </w:r>
      <w:r w:rsidRPr="00952162">
        <w:rPr>
          <w:rFonts w:eastAsia="Times New Roman"/>
          <w:b/>
          <w:i/>
          <w:lang w:val="bg-BG"/>
        </w:rPr>
        <w:t xml:space="preserve"> се предвиждат подходи без използване на животни за изпитване на свойствата на микроорганизмите за </w:t>
      </w:r>
      <w:proofErr w:type="spellStart"/>
      <w:r w:rsidRPr="00952162">
        <w:rPr>
          <w:rFonts w:eastAsia="Times New Roman"/>
          <w:b/>
          <w:i/>
          <w:lang w:val="bg-BG"/>
        </w:rPr>
        <w:t>сенсибилизация</w:t>
      </w:r>
      <w:proofErr w:type="spellEnd"/>
      <w:r w:rsidRPr="00952162">
        <w:rPr>
          <w:rFonts w:eastAsia="Times New Roman"/>
          <w:b/>
          <w:i/>
          <w:lang w:val="bg-BG"/>
        </w:rPr>
        <w:t xml:space="preserve"> на дихателната </w:t>
      </w:r>
      <w:proofErr w:type="spellStart"/>
      <w:r w:rsidRPr="00952162">
        <w:rPr>
          <w:rFonts w:eastAsia="Times New Roman"/>
          <w:b/>
          <w:i/>
          <w:lang w:val="bg-BG"/>
        </w:rPr>
        <w:t>сенсибилизация</w:t>
      </w:r>
      <w:proofErr w:type="spellEnd"/>
      <w:r w:rsidRPr="00952162">
        <w:rPr>
          <w:rFonts w:eastAsia="Times New Roman"/>
          <w:b/>
          <w:i/>
          <w:lang w:val="bg-BG"/>
        </w:rPr>
        <w:t xml:space="preserve">, Комисията без ненужно забавяне приема делегирани актове в съответствие с член 27 за изменение на приложение II към настоящия регламент чрез определяне на изискванията за пускане на пазара на </w:t>
      </w:r>
      <w:proofErr w:type="spellStart"/>
      <w:r w:rsidRPr="00952162">
        <w:rPr>
          <w:rFonts w:eastAsia="Times New Roman"/>
          <w:b/>
          <w:i/>
          <w:lang w:val="bg-BG"/>
        </w:rPr>
        <w:t>детергенти</w:t>
      </w:r>
      <w:proofErr w:type="spellEnd"/>
      <w:r w:rsidRPr="00952162">
        <w:rPr>
          <w:rFonts w:eastAsia="Times New Roman"/>
          <w:b/>
          <w:i/>
          <w:lang w:val="bg-BG"/>
        </w:rPr>
        <w:t>, съдържащи микроорганизми, под формата на спрей.</w:t>
      </w:r>
      <w:r w:rsidR="00EA54B9">
        <w:rPr>
          <w:rFonts w:eastAsia="Times New Roman"/>
          <w:b/>
          <w:lang w:val="bg-BG"/>
        </w:rPr>
        <w:t xml:space="preserve"> [Изм. 115]</w:t>
      </w:r>
    </w:p>
    <w:p w:rsidR="00960D75" w:rsidRDefault="00960D75">
      <w:pPr>
        <w:jc w:val="left"/>
        <w:rPr>
          <w:rFonts w:eastAsia="Times New Roman"/>
          <w:b/>
          <w:i/>
          <w:lang w:val="bg-BG"/>
        </w:rPr>
      </w:pPr>
      <w:r>
        <w:rPr>
          <w:rFonts w:eastAsia="Times New Roman"/>
          <w:b/>
          <w:i/>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lastRenderedPageBreak/>
        <w:t>6б.</w:t>
      </w:r>
      <w:r w:rsidRPr="00952162">
        <w:rPr>
          <w:rFonts w:eastAsia="Times New Roman"/>
          <w:lang w:val="bg-BG"/>
        </w:rPr>
        <w:tab/>
      </w:r>
      <w:r w:rsidRPr="00952162">
        <w:rPr>
          <w:rFonts w:eastAsia="Times New Roman"/>
          <w:b/>
          <w:i/>
          <w:lang w:val="bg-BG"/>
        </w:rPr>
        <w:t>На Комисията се предоставя правомощието да приема делегирани актове в съответствие с член 27, за да изменя приложение II чрез актуализиране на стандартите, приложими за изброяването на микроорганизми, с цел да се отчете научният и техническият напредък.</w:t>
      </w:r>
      <w:r w:rsidR="00EA54B9">
        <w:rPr>
          <w:rFonts w:eastAsia="Times New Roman"/>
          <w:b/>
          <w:lang w:val="bg-BG"/>
        </w:rPr>
        <w:t xml:space="preserve"> [Изм. 116]</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7.</w:t>
      </w:r>
      <w:r w:rsidRPr="00952162">
        <w:rPr>
          <w:rFonts w:eastAsia="Times New Roman"/>
          <w:lang w:val="bg-BG"/>
        </w:rPr>
        <w:tab/>
        <w:t>Когато в Регламент (ЕО) № 1223/2009 на Европейския парламент и на Съвета</w:t>
      </w:r>
      <w:r w:rsidRPr="00952162">
        <w:rPr>
          <w:rFonts w:eastAsia="Times New Roman"/>
          <w:vertAlign w:val="superscript"/>
          <w:lang w:val="bg-BG"/>
        </w:rPr>
        <w:footnoteReference w:id="25"/>
      </w:r>
      <w:r w:rsidRPr="00952162">
        <w:rPr>
          <w:rFonts w:eastAsia="Times New Roman"/>
          <w:lang w:val="bg-BG"/>
        </w:rPr>
        <w:t xml:space="preserve"> са установени индивидуални основани на риска допустими концентрации за предизвикващи алергии аромати, Комисията приема делегирани актове в съответствие с член 27, за да измени приложение V с цел да адаптира съответно пределната стойност на предизвикващите алергии аромати, изброени в приложение III към посочения регламент.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t xml:space="preserve">До [до Службата за публикации: моля, въведете датата, съответстваща на първия ден от месеца, следващ 30 месеца след датата на влизане в сила на настоящия регламент] Комисията приема делегирани актове в съответствие с член 27 за допълване на настоящия регламент, като определя специфични изисквания за цифровото етикетиране на </w:t>
      </w:r>
      <w:proofErr w:type="spellStart"/>
      <w:r w:rsidRPr="00952162">
        <w:rPr>
          <w:rFonts w:eastAsia="Times New Roman"/>
          <w:lang w:val="bg-BG"/>
        </w:rPr>
        <w:t>детергентите</w:t>
      </w:r>
      <w:proofErr w:type="spellEnd"/>
      <w:r w:rsidRPr="00952162">
        <w:rPr>
          <w:rFonts w:eastAsia="Times New Roman"/>
          <w:lang w:val="bg-BG"/>
        </w:rPr>
        <w:t>. С тези изисквания се определят най-малко видовете ИТ решения, които икономическите оператори могат да използват, и алтернативните средства за предоставяне на информацията върху цифровия етикет, посочени в член 17.</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Когато приема делегираните актове по първа алинея, Комисията взема предвид следните критерии: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съгласуваността с други </w:t>
      </w:r>
      <w:proofErr w:type="spellStart"/>
      <w:r w:rsidRPr="00952162">
        <w:rPr>
          <w:rFonts w:eastAsia="Times New Roman"/>
          <w:lang w:val="bg-BG"/>
        </w:rPr>
        <w:t>относими</w:t>
      </w:r>
      <w:proofErr w:type="spellEnd"/>
      <w:r w:rsidRPr="00952162">
        <w:rPr>
          <w:rFonts w:eastAsia="Times New Roman"/>
          <w:lang w:val="bg-BG"/>
        </w:rPr>
        <w:t xml:space="preserve"> актове на Съюза, когато е уместно;</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необходимостта от насърчаване на иновациите;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технологичната неутралност, която се характеризира с липса на ограничения или предписания относно избора на технологии или оборудване в границите на съвместимостта и с избягване на намеси;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необходимостта цифровото етикетиране да не застрашава безопасността на крайните ползватели и околната среда;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д)</w:t>
      </w:r>
      <w:r w:rsidRPr="00952162">
        <w:rPr>
          <w:rFonts w:eastAsia="Times New Roman"/>
          <w:lang w:val="bg-BG"/>
        </w:rPr>
        <w:tab/>
        <w:t>степента на цифрова подготвеност на всички групи от населението в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9.</w:t>
      </w:r>
      <w:r w:rsidRPr="00952162">
        <w:rPr>
          <w:rFonts w:eastAsia="Times New Roman"/>
          <w:lang w:val="bg-BG"/>
        </w:rPr>
        <w:tab/>
        <w:t xml:space="preserve">На Комисията се предоставя правомощието да приема делегирани актове в съответствие с член 27, за да изменя приложение V по отношение на информацията за етикетиране, която на икономическите оператори е разрешено да предоставят само в цифров вид в съответствие с член 16, с цел това приложение да се адаптира към техническия и научния напредък или към равнището на цифровата подготвеност сред крайните ползватели на </w:t>
      </w:r>
      <w:proofErr w:type="spellStart"/>
      <w:r w:rsidRPr="00952162">
        <w:rPr>
          <w:rFonts w:eastAsia="Times New Roman"/>
          <w:lang w:val="bg-BG"/>
        </w:rPr>
        <w:t>детергенти</w:t>
      </w:r>
      <w:proofErr w:type="spellEnd"/>
      <w:r w:rsidRPr="00952162">
        <w:rPr>
          <w:rFonts w:eastAsia="Times New Roman"/>
          <w:lang w:val="bg-BG"/>
        </w:rPr>
        <w:t>. При приемането на тези делегирани актове Комисията взема предвид необходимостта от осигуряване на високо ниво на защита на здравето и на опазване на околната среда.</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27</w:t>
      </w:r>
      <w:r w:rsidRPr="00952162">
        <w:rPr>
          <w:rFonts w:eastAsia="Times New Roman"/>
          <w:lang w:val="bg-BG"/>
        </w:rPr>
        <w:br/>
        <w:t>Упражняване на делегирането</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Правомощието да приема делегирани актове се предоставя на Комисията при спазване на предвидените в настоящия член условия.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Правомощието да приема делегирани актове, посочено в член 26, се предоставя на Комисията за неопределен срок.</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 xml:space="preserve">Делегирането на правомощия, посочено в член 26,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960D75">
        <w:rPr>
          <w:rFonts w:eastAsia="Times New Roman"/>
          <w:i/>
          <w:lang w:val="bg-BG"/>
        </w:rPr>
        <w:t>Официален вестник на Европейския съюз</w:t>
      </w:r>
      <w:r w:rsidRPr="00952162">
        <w:rPr>
          <w:rFonts w:eastAsia="Times New Roman"/>
          <w:lang w:val="bg-BG"/>
        </w:rPr>
        <w:t xml:space="preserve"> или на по-късна дата, посочена в решението. То не засяга действителността на делегираните актове, които вече са в сила.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w:t>
      </w:r>
      <w:r w:rsidRPr="00952162">
        <w:rPr>
          <w:rFonts w:eastAsia="Times New Roman"/>
          <w:lang w:val="bg-BG"/>
        </w:rPr>
        <w:tab/>
        <w:t xml:space="preserve">Веднага след като приеме делегиран акт, Комисията </w:t>
      </w:r>
      <w:proofErr w:type="spellStart"/>
      <w:r w:rsidRPr="00952162">
        <w:rPr>
          <w:rFonts w:eastAsia="Times New Roman"/>
          <w:lang w:val="bg-BG"/>
        </w:rPr>
        <w:t>нотифицира</w:t>
      </w:r>
      <w:proofErr w:type="spellEnd"/>
      <w:r w:rsidRPr="00952162">
        <w:rPr>
          <w:rFonts w:eastAsia="Times New Roman"/>
          <w:lang w:val="bg-BG"/>
        </w:rPr>
        <w:t xml:space="preserve"> акта едновременно на Европейския парламент и на Съвета.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Делегиран акт, приет съгласно член 26, влиза в сила единствено ако нито Европейският парламент, нито Съветът не са представили възражения в срок от два месеца след </w:t>
      </w:r>
      <w:proofErr w:type="spellStart"/>
      <w:r w:rsidRPr="00952162">
        <w:rPr>
          <w:rFonts w:eastAsia="Times New Roman"/>
          <w:lang w:val="bg-BG"/>
        </w:rPr>
        <w:t>нотифицирането</w:t>
      </w:r>
      <w:proofErr w:type="spellEnd"/>
      <w:r w:rsidRPr="00952162">
        <w:rPr>
          <w:rFonts w:eastAsia="Times New Roman"/>
          <w:lang w:val="bg-BG"/>
        </w:rPr>
        <w:t xml:space="preserve">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28</w:t>
      </w:r>
      <w:r w:rsidRPr="00952162">
        <w:rPr>
          <w:rFonts w:eastAsia="Times New Roman"/>
          <w:lang w:val="bg-BG"/>
        </w:rPr>
        <w:br/>
        <w:t>Процедура на комитет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Комисията се подпомага от Комитета по </w:t>
      </w:r>
      <w:proofErr w:type="spellStart"/>
      <w:r w:rsidRPr="00952162">
        <w:rPr>
          <w:rFonts w:eastAsia="Times New Roman"/>
          <w:lang w:val="bg-BG"/>
        </w:rPr>
        <w:t>детергентите</w:t>
      </w:r>
      <w:proofErr w:type="spellEnd"/>
      <w:r w:rsidRPr="00952162">
        <w:rPr>
          <w:rFonts w:eastAsia="Times New Roman"/>
          <w:lang w:val="bg-BG"/>
        </w:rPr>
        <w:t>. Този комитет е комитет по смисъла на Регламент (ЕС) № 182/2011.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При позоваване на настоящия параграф се прилага член 5 от Регламент (ЕС) № 182/2011.</w:t>
      </w:r>
    </w:p>
    <w:p w:rsidR="00960D75" w:rsidRDefault="00960D75">
      <w:pPr>
        <w:jc w:val="left"/>
        <w:rPr>
          <w:rFonts w:eastAsia="Times New Roman"/>
          <w:b/>
          <w:i/>
          <w:lang w:val="bg-BG"/>
        </w:rPr>
      </w:pPr>
      <w:r>
        <w:rPr>
          <w:rFonts w:eastAsia="Times New Roman"/>
          <w:b/>
          <w:i/>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lastRenderedPageBreak/>
        <w:t>2a.</w:t>
      </w:r>
      <w:r w:rsidRPr="00952162">
        <w:rPr>
          <w:rFonts w:eastAsia="Times New Roman"/>
          <w:lang w:val="bg-BG"/>
        </w:rPr>
        <w:tab/>
      </w:r>
      <w:r w:rsidRPr="00952162">
        <w:rPr>
          <w:rFonts w:eastAsia="Times New Roman"/>
          <w:b/>
          <w:i/>
          <w:lang w:val="bg-BG"/>
        </w:rPr>
        <w:t>При позоваване на настоящия параграф се прилага член 8 от Регламент (ЕС) № 182/2011</w:t>
      </w:r>
      <w:r w:rsidRPr="00952162">
        <w:rPr>
          <w:rFonts w:eastAsia="Times New Roman"/>
          <w:vertAlign w:val="superscript"/>
          <w:lang w:val="bg-BG"/>
        </w:rPr>
        <w:footnoteReference w:id="26"/>
      </w:r>
      <w:r w:rsidRPr="00952162">
        <w:rPr>
          <w:rFonts w:eastAsia="Times New Roman"/>
          <w:b/>
          <w:i/>
          <w:lang w:val="bg-BG"/>
        </w:rPr>
        <w:t xml:space="preserve"> във връзка с член 5 от него.</w:t>
      </w:r>
      <w:r w:rsidR="00EA54B9">
        <w:rPr>
          <w:rFonts w:eastAsia="Times New Roman"/>
          <w:b/>
          <w:lang w:val="bg-BG"/>
        </w:rPr>
        <w:t xml:space="preserve"> [Изм. 117]</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ГЛАВА VIII</w:t>
      </w:r>
      <w:r w:rsidRPr="00952162">
        <w:rPr>
          <w:rFonts w:eastAsia="Times New Roman"/>
          <w:lang w:val="bg-BG"/>
        </w:rPr>
        <w:br/>
        <w:t xml:space="preserve">ПРЕХОДНИ И ЗАКЛЮЧИТЕЛНИ РАЗПОРЕДБИ </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29</w:t>
      </w:r>
      <w:r w:rsidRPr="00952162">
        <w:rPr>
          <w:rFonts w:eastAsia="Times New Roman"/>
          <w:lang w:val="bg-BG"/>
        </w:rPr>
        <w:br/>
        <w:t>Санкции</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lang w:val="bg-BG"/>
        </w:rPr>
        <w:t xml:space="preserve">Държавите членки определят правилата за приложимите санкции при нарушаване на настоящия регламент и вземат всички необходими мерки, за да гарантират тяхното прилагане. Предвидените санкции трябва да са ефективни, пропорционални и възпиращи. </w:t>
      </w:r>
      <w:r w:rsidRPr="00952162">
        <w:rPr>
          <w:rFonts w:eastAsia="Times New Roman"/>
          <w:b/>
          <w:i/>
          <w:lang w:val="bg-BG"/>
        </w:rPr>
        <w:t xml:space="preserve">Те могат да включват, когато е уместно, финансови санкции, пропорционални на оборота на юридическото лице, извършило нарушението, като се вземат предвид особеностите на малките и средните предприятия. </w:t>
      </w:r>
      <w:r w:rsidRPr="00952162">
        <w:rPr>
          <w:rFonts w:eastAsia="Times New Roman"/>
          <w:lang w:val="bg-BG"/>
        </w:rPr>
        <w:t>Държавите членки уведомяват без забавяне Комисията за тези мерки, както и за всяко последващо изменение, което ги засяга.</w:t>
      </w:r>
      <w:r w:rsidR="00EA54B9">
        <w:rPr>
          <w:rFonts w:eastAsia="Times New Roman"/>
          <w:b/>
          <w:lang w:val="bg-BG"/>
        </w:rPr>
        <w:t xml:space="preserve"> [Изм. 118]</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b/>
          <w:i/>
          <w:lang w:val="bg-BG"/>
        </w:rPr>
        <w:t>Държавите членки гарантират, че въведените съгласно настоящия член санкции са надлежно съобразени, когато е приложимо, със следните фактори:</w:t>
      </w:r>
    </w:p>
    <w:p w:rsidR="00960D75" w:rsidRDefault="00960D75">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lastRenderedPageBreak/>
        <w:t>а)</w:t>
      </w:r>
      <w:r w:rsidRPr="00952162">
        <w:rPr>
          <w:rFonts w:eastAsia="Times New Roman"/>
          <w:lang w:val="bg-BG"/>
        </w:rPr>
        <w:tab/>
      </w:r>
      <w:r w:rsidRPr="00952162">
        <w:rPr>
          <w:rFonts w:eastAsia="Times New Roman"/>
          <w:b/>
          <w:i/>
          <w:lang w:val="bg-BG"/>
        </w:rPr>
        <w:t>естеството, тежестта и продължителността на нарушението;</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б)</w:t>
      </w:r>
      <w:r w:rsidRPr="00952162">
        <w:rPr>
          <w:rFonts w:eastAsia="Times New Roman"/>
          <w:lang w:val="bg-BG"/>
        </w:rPr>
        <w:tab/>
      </w:r>
      <w:r w:rsidRPr="00952162">
        <w:rPr>
          <w:rFonts w:eastAsia="Times New Roman"/>
          <w:b/>
          <w:i/>
          <w:lang w:val="bg-BG"/>
        </w:rPr>
        <w:t>дали нарушението е извършено умишлено, или поради небрежност;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в)</w:t>
      </w:r>
      <w:r w:rsidRPr="00952162">
        <w:rPr>
          <w:rFonts w:eastAsia="Times New Roman"/>
          <w:lang w:val="bg-BG"/>
        </w:rPr>
        <w:tab/>
      </w:r>
      <w:r w:rsidRPr="00952162">
        <w:rPr>
          <w:rFonts w:eastAsia="Times New Roman"/>
          <w:b/>
          <w:i/>
          <w:lang w:val="bg-BG"/>
        </w:rPr>
        <w:t>вредите за здравето на човека или околната среда, причинени от нарушението, доколкото те могат да бъдат определени;</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b/>
          <w:i/>
          <w:lang w:val="bg-BG"/>
        </w:rPr>
        <w:t>г)</w:t>
      </w:r>
      <w:r w:rsidRPr="00952162">
        <w:rPr>
          <w:rFonts w:eastAsia="Times New Roman"/>
          <w:lang w:val="bg-BG"/>
        </w:rPr>
        <w:tab/>
      </w:r>
      <w:r w:rsidRPr="00952162">
        <w:rPr>
          <w:rFonts w:eastAsia="Times New Roman"/>
          <w:b/>
          <w:i/>
          <w:lang w:val="bg-BG"/>
        </w:rPr>
        <w:t>равнището на съдействие, което носещото отговорност физическо или юридическо лице оказва на компетентния орган.</w:t>
      </w:r>
      <w:r w:rsidR="00EA54B9">
        <w:rPr>
          <w:rFonts w:eastAsia="Times New Roman"/>
          <w:b/>
          <w:lang w:val="bg-BG"/>
        </w:rPr>
        <w:t xml:space="preserve"> [Изм. 119]</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30</w:t>
      </w:r>
      <w:r w:rsidRPr="00952162">
        <w:rPr>
          <w:rFonts w:eastAsia="Times New Roman"/>
          <w:lang w:val="bg-BG"/>
        </w:rPr>
        <w:br/>
        <w:t>Изменение на Регламент (ЕС) 2019/1020</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В приложение I към Регламент (ЕС) 2019/1020 точка 15 се заменя със следното:</w:t>
      </w:r>
    </w:p>
    <w:p w:rsidR="00952162" w:rsidRPr="00952162" w:rsidRDefault="00952162" w:rsidP="00960D75">
      <w:pPr>
        <w:widowControl w:val="0"/>
        <w:spacing w:before="120" w:after="120" w:line="360" w:lineRule="auto"/>
        <w:ind w:left="851" w:hanging="851"/>
        <w:jc w:val="left"/>
        <w:rPr>
          <w:rFonts w:eastAsia="Times New Roman"/>
          <w:lang w:val="bg-BG"/>
        </w:rPr>
      </w:pPr>
      <w:r w:rsidRPr="00952162">
        <w:rPr>
          <w:rFonts w:eastAsia="Times New Roman"/>
          <w:lang w:val="bg-BG"/>
        </w:rPr>
        <w:t>„15.</w:t>
      </w:r>
      <w:r w:rsidRPr="00952162">
        <w:rPr>
          <w:rFonts w:eastAsia="Times New Roman"/>
          <w:lang w:val="bg-BG"/>
        </w:rPr>
        <w:tab/>
        <w:t xml:space="preserve">Регламент (ЕС) …/… на Европейския парламент и на Съвета от […] година относно предоставянето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(ОВ L […], [...] г., стр. [...].).“</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31</w:t>
      </w:r>
      <w:r w:rsidRPr="00952162">
        <w:rPr>
          <w:rFonts w:eastAsia="Times New Roman"/>
          <w:lang w:val="bg-BG"/>
        </w:rPr>
        <w:br/>
        <w:t xml:space="preserve">Доклад </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До </w:t>
      </w:r>
      <w:r w:rsidR="00340CC0">
        <w:rPr>
          <w:rFonts w:eastAsia="Times New Roman"/>
          <w:lang w:val="bg-BG"/>
        </w:rPr>
        <w:t xml:space="preserve">... </w:t>
      </w:r>
      <w:r w:rsidRPr="00952162">
        <w:rPr>
          <w:rFonts w:eastAsia="Times New Roman"/>
          <w:lang w:val="bg-BG"/>
        </w:rPr>
        <w:t>[до Службата за публикации: моля, въведете датата, съответстваща на 5 години след датата на прилагане на настоящия регламент] Комисията представя на Европейския парламент и Съвета доклад за прилагането на настоящия регламент. Докладът съдържа оценка</w:t>
      </w:r>
      <w:r w:rsidRPr="00952162">
        <w:rPr>
          <w:rFonts w:eastAsia="Times New Roman"/>
          <w:b/>
          <w:i/>
          <w:lang w:val="bg-BG"/>
        </w:rPr>
        <w:t>:</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а)</w:t>
      </w:r>
      <w:r w:rsidRPr="00952162">
        <w:rPr>
          <w:rFonts w:eastAsia="Times New Roman"/>
          <w:lang w:val="bg-BG"/>
        </w:rPr>
        <w:tab/>
        <w:t>начина, по който настоящият регламент постига целите си, в това число оценка на въздействието върху малките и средните предприятия</w:t>
      </w:r>
      <w:r w:rsidRPr="00952162">
        <w:rPr>
          <w:rFonts w:eastAsia="Times New Roman"/>
          <w:b/>
          <w:i/>
          <w:lang w:val="bg-BG"/>
        </w:rPr>
        <w:t>;</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б)</w:t>
      </w:r>
      <w:r w:rsidRPr="00952162">
        <w:rPr>
          <w:rFonts w:eastAsia="Times New Roman"/>
          <w:lang w:val="bg-BG"/>
        </w:rPr>
        <w:tab/>
      </w:r>
      <w:r w:rsidRPr="00952162">
        <w:rPr>
          <w:rFonts w:eastAsia="Times New Roman"/>
          <w:b/>
          <w:i/>
          <w:lang w:val="bg-BG"/>
        </w:rPr>
        <w:t xml:space="preserve">риска от генериране на </w:t>
      </w:r>
      <w:proofErr w:type="spellStart"/>
      <w:r w:rsidRPr="00952162">
        <w:rPr>
          <w:rFonts w:eastAsia="Times New Roman"/>
          <w:b/>
          <w:i/>
          <w:lang w:val="bg-BG"/>
        </w:rPr>
        <w:t>антимикробна</w:t>
      </w:r>
      <w:proofErr w:type="spellEnd"/>
      <w:r w:rsidRPr="00952162">
        <w:rPr>
          <w:rFonts w:eastAsia="Times New Roman"/>
          <w:b/>
          <w:i/>
          <w:lang w:val="bg-BG"/>
        </w:rPr>
        <w:t xml:space="preserve"> резистентност, свързан с употребата на </w:t>
      </w:r>
      <w:proofErr w:type="spellStart"/>
      <w:r w:rsidRPr="00952162">
        <w:rPr>
          <w:rFonts w:eastAsia="Times New Roman"/>
          <w:b/>
          <w:i/>
          <w:lang w:val="bg-BG"/>
        </w:rPr>
        <w:t>детергенти</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 с </w:t>
      </w:r>
      <w:proofErr w:type="spellStart"/>
      <w:r w:rsidRPr="00952162">
        <w:rPr>
          <w:rFonts w:eastAsia="Times New Roman"/>
          <w:b/>
          <w:i/>
          <w:lang w:val="bg-BG"/>
        </w:rPr>
        <w:t>биоцидни</w:t>
      </w:r>
      <w:proofErr w:type="spellEnd"/>
      <w:r w:rsidRPr="00952162">
        <w:rPr>
          <w:rFonts w:eastAsia="Times New Roman"/>
          <w:b/>
          <w:i/>
          <w:lang w:val="bg-BG"/>
        </w:rPr>
        <w:t xml:space="preserve"> свойства;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в)</w:t>
      </w:r>
      <w:r w:rsidRPr="00952162">
        <w:rPr>
          <w:rFonts w:eastAsia="Times New Roman"/>
          <w:lang w:val="bg-BG"/>
        </w:rPr>
        <w:tab/>
      </w:r>
      <w:r w:rsidRPr="00952162">
        <w:rPr>
          <w:rFonts w:eastAsia="Times New Roman"/>
          <w:b/>
          <w:i/>
          <w:lang w:val="bg-BG"/>
        </w:rPr>
        <w:t xml:space="preserve">появата на необосновани маркетингови твърдения, реклами и дизайни на опаковки, които подвеждат или имат потенциал да подведат потребителите, като създават впечатление за по-здравословни или екологосъобразни </w:t>
      </w:r>
      <w:proofErr w:type="spellStart"/>
      <w:r w:rsidRPr="00952162">
        <w:rPr>
          <w:rFonts w:eastAsia="Times New Roman"/>
          <w:b/>
          <w:i/>
          <w:lang w:val="bg-BG"/>
        </w:rPr>
        <w:t>детергенти</w:t>
      </w:r>
      <w:proofErr w:type="spellEnd"/>
      <w:r w:rsidRPr="00952162">
        <w:rPr>
          <w:rFonts w:eastAsia="Times New Roman"/>
          <w:b/>
          <w:i/>
          <w:lang w:val="bg-BG"/>
        </w:rPr>
        <w:t xml:space="preserve"> или </w:t>
      </w:r>
      <w:proofErr w:type="spellStart"/>
      <w:r w:rsidRPr="00952162">
        <w:rPr>
          <w:rFonts w:eastAsia="Times New Roman"/>
          <w:b/>
          <w:i/>
          <w:lang w:val="bg-BG"/>
        </w:rPr>
        <w:t>повърхностноактивни</w:t>
      </w:r>
      <w:proofErr w:type="spellEnd"/>
      <w:r w:rsidRPr="00952162">
        <w:rPr>
          <w:rFonts w:eastAsia="Times New Roman"/>
          <w:b/>
          <w:i/>
          <w:lang w:val="bg-BG"/>
        </w:rPr>
        <w:t xml:space="preserve"> вещества;</w:t>
      </w:r>
    </w:p>
    <w:p w:rsidR="00960D75" w:rsidRDefault="00960D75">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lastRenderedPageBreak/>
        <w:t>г)</w:t>
      </w:r>
      <w:r w:rsidRPr="00952162">
        <w:rPr>
          <w:rFonts w:eastAsia="Times New Roman"/>
          <w:lang w:val="bg-BG"/>
        </w:rPr>
        <w:tab/>
      </w:r>
      <w:r w:rsidRPr="00952162">
        <w:rPr>
          <w:rFonts w:eastAsia="Times New Roman"/>
          <w:b/>
          <w:i/>
          <w:lang w:val="bg-BG"/>
        </w:rPr>
        <w:t xml:space="preserve">изискванията за физическо и цифрово етикетиране на </w:t>
      </w:r>
      <w:proofErr w:type="spellStart"/>
      <w:r w:rsidRPr="00952162">
        <w:rPr>
          <w:rFonts w:eastAsia="Times New Roman"/>
          <w:b/>
          <w:i/>
          <w:lang w:val="bg-BG"/>
        </w:rPr>
        <w:t>детергентите</w:t>
      </w:r>
      <w:proofErr w:type="spellEnd"/>
      <w:r w:rsidRPr="00952162">
        <w:rPr>
          <w:rFonts w:eastAsia="Times New Roman"/>
          <w:b/>
          <w:i/>
          <w:lang w:val="bg-BG"/>
        </w:rPr>
        <w:t>, като се вземат предвид безопасността на крайните потребители и околната среда и равнището на цифрова готовност сред всички групи от населението в Съюза;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д)</w:t>
      </w:r>
      <w:r w:rsidRPr="00952162">
        <w:rPr>
          <w:rFonts w:eastAsia="Times New Roman"/>
          <w:lang w:val="bg-BG"/>
        </w:rPr>
        <w:tab/>
      </w:r>
      <w:r w:rsidRPr="00952162">
        <w:rPr>
          <w:rFonts w:eastAsia="Times New Roman"/>
          <w:b/>
          <w:i/>
          <w:lang w:val="bg-BG"/>
        </w:rPr>
        <w:t xml:space="preserve">осъществимостта и екологичните и социално-икономическите разходи и ползи от постепенното премахване на фосфора в потребителските </w:t>
      </w:r>
      <w:proofErr w:type="spellStart"/>
      <w:r w:rsidRPr="00952162">
        <w:rPr>
          <w:rFonts w:eastAsia="Times New Roman"/>
          <w:b/>
          <w:i/>
          <w:lang w:val="bg-BG"/>
        </w:rPr>
        <w:t>детергенти</w:t>
      </w:r>
      <w:proofErr w:type="spellEnd"/>
      <w:r w:rsidRPr="00952162">
        <w:rPr>
          <w:rFonts w:eastAsia="Times New Roman"/>
          <w:b/>
          <w:i/>
          <w:lang w:val="bg-BG"/>
        </w:rPr>
        <w:t xml:space="preserve"> и от намаляването и, когато е възможно, постепенното премахване на фосфора в </w:t>
      </w:r>
      <w:proofErr w:type="spellStart"/>
      <w:r w:rsidRPr="00952162">
        <w:rPr>
          <w:rFonts w:eastAsia="Times New Roman"/>
          <w:b/>
          <w:i/>
          <w:lang w:val="bg-BG"/>
        </w:rPr>
        <w:t>детергентите</w:t>
      </w:r>
      <w:proofErr w:type="spellEnd"/>
      <w:r w:rsidRPr="00952162">
        <w:rPr>
          <w:rFonts w:eastAsia="Times New Roman"/>
          <w:b/>
          <w:i/>
          <w:lang w:val="bg-BG"/>
        </w:rPr>
        <w:t xml:space="preserve"> за промишлени и учрежденски цели в съответствие с ангажиментите по Плана за действие за Балтийско море;</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b/>
          <w:i/>
          <w:lang w:val="bg-BG"/>
        </w:rPr>
        <w:t>е)</w:t>
      </w:r>
      <w:r w:rsidRPr="00952162">
        <w:rPr>
          <w:rFonts w:eastAsia="Times New Roman"/>
          <w:lang w:val="bg-BG"/>
        </w:rPr>
        <w:tab/>
      </w:r>
      <w:r w:rsidRPr="00952162">
        <w:rPr>
          <w:rFonts w:eastAsia="Times New Roman"/>
          <w:b/>
          <w:i/>
          <w:lang w:val="bg-BG"/>
        </w:rPr>
        <w:t xml:space="preserve">екологичните, здравните и социално-икономическите разходи и ползи от разширяването на общия подход към управлението на риска, така че да обхване </w:t>
      </w:r>
      <w:proofErr w:type="spellStart"/>
      <w:r w:rsidRPr="00952162">
        <w:rPr>
          <w:rFonts w:eastAsia="Times New Roman"/>
          <w:b/>
          <w:i/>
          <w:lang w:val="bg-BG"/>
        </w:rPr>
        <w:t>детергентите</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както и от постепенното премахване на веществата, пораждащи безпокойство, включително тези, които причиняват рак, генни мутации, засягат репродуктивната или ендокринната система, устойчиви и </w:t>
      </w:r>
      <w:proofErr w:type="spellStart"/>
      <w:r w:rsidRPr="00952162">
        <w:rPr>
          <w:rFonts w:eastAsia="Times New Roman"/>
          <w:b/>
          <w:i/>
          <w:lang w:val="bg-BG"/>
        </w:rPr>
        <w:t>биоакумулиращи</w:t>
      </w:r>
      <w:proofErr w:type="spellEnd"/>
      <w:r w:rsidRPr="00952162">
        <w:rPr>
          <w:rFonts w:eastAsia="Times New Roman"/>
          <w:b/>
          <w:i/>
          <w:lang w:val="bg-BG"/>
        </w:rPr>
        <w:t>, засягат имунната, неврологичната или респираторната система или са токсични за конкретен орган, като се вземат предвид комбинираните ефекти, с оглед постигането на нетоксична околна среда.</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Когато е уместно, докладът се придружава от законодателно предложение.</w:t>
      </w:r>
      <w:r w:rsidR="00EA54B9">
        <w:rPr>
          <w:rFonts w:eastAsia="Times New Roman"/>
          <w:b/>
          <w:lang w:val="bg-BG"/>
        </w:rPr>
        <w:t xml:space="preserve"> [Изм. 120]</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32</w:t>
      </w:r>
      <w:r w:rsidRPr="00952162">
        <w:rPr>
          <w:rFonts w:eastAsia="Times New Roman"/>
          <w:lang w:val="bg-BG"/>
        </w:rPr>
        <w:br/>
        <w:t>Преглед във връзка с микроорганизмите</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lang w:val="bg-BG"/>
        </w:rPr>
        <w:t xml:space="preserve">До [до Службата за публикации: моля, въведете датата, съответстваща на 3 години след датата на прилагане на настоящия регламент] Комисията извършва оценка на ефективността и уместността на изискванията в настоящия регламент за </w:t>
      </w:r>
      <w:proofErr w:type="spellStart"/>
      <w:r w:rsidRPr="00952162">
        <w:rPr>
          <w:rFonts w:eastAsia="Times New Roman"/>
          <w:lang w:val="bg-BG"/>
        </w:rPr>
        <w:t>детергентите</w:t>
      </w:r>
      <w:proofErr w:type="spellEnd"/>
      <w:r w:rsidRPr="00952162">
        <w:rPr>
          <w:rFonts w:eastAsia="Times New Roman"/>
          <w:lang w:val="bg-BG"/>
        </w:rPr>
        <w:t xml:space="preserve">, съдържащи микроорганизми, </w:t>
      </w:r>
      <w:r w:rsidRPr="00952162">
        <w:rPr>
          <w:rFonts w:eastAsia="Times New Roman"/>
          <w:b/>
          <w:i/>
          <w:lang w:val="bg-BG"/>
        </w:rPr>
        <w:t xml:space="preserve">по-специално списъка на патогенните микроорганизми, предвиден в точка 2 от приложение II, и въздействието на микроорганизмите, умишлено добавени към </w:t>
      </w:r>
      <w:proofErr w:type="spellStart"/>
      <w:r w:rsidRPr="00952162">
        <w:rPr>
          <w:rFonts w:eastAsia="Times New Roman"/>
          <w:b/>
          <w:i/>
          <w:lang w:val="bg-BG"/>
        </w:rPr>
        <w:t>детергентите</w:t>
      </w:r>
      <w:proofErr w:type="spellEnd"/>
      <w:r w:rsidRPr="00952162">
        <w:rPr>
          <w:rFonts w:eastAsia="Times New Roman"/>
          <w:b/>
          <w:i/>
          <w:lang w:val="bg-BG"/>
        </w:rPr>
        <w:t xml:space="preserve">, върху процесите на пречистване на градските отпадъчни води, </w:t>
      </w:r>
      <w:r w:rsidRPr="00952162">
        <w:rPr>
          <w:rFonts w:eastAsia="Times New Roman"/>
          <w:lang w:val="bg-BG"/>
        </w:rPr>
        <w:t xml:space="preserve">както и на възможността за включване в приложение II на нови микроорганизми или щамове на микроорганизми, които са разрешени в </w:t>
      </w:r>
      <w:proofErr w:type="spellStart"/>
      <w:r w:rsidRPr="00952162">
        <w:rPr>
          <w:rFonts w:eastAsia="Times New Roman"/>
          <w:lang w:val="bg-BG"/>
        </w:rPr>
        <w:t>детергентите</w:t>
      </w:r>
      <w:proofErr w:type="spellEnd"/>
      <w:r w:rsidRPr="00952162">
        <w:rPr>
          <w:rFonts w:eastAsia="Times New Roman"/>
          <w:lang w:val="bg-BG"/>
        </w:rPr>
        <w:t>.</w:t>
      </w:r>
      <w:r w:rsidR="00EA54B9">
        <w:rPr>
          <w:rFonts w:eastAsia="Times New Roman"/>
          <w:b/>
          <w:lang w:val="bg-BG"/>
        </w:rPr>
        <w:t xml:space="preserve"> [Изм. 121]</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До... [Службата за публикации: моля, въведете дата = 3 години след датата на прилагане на настоящия регламент] и на всеки 3 години след това Комисията преразглежда списъка на патогенните микроорганизми, предвиден в приложение II, точка 2, и при необходимост приема делегирани актове в съответствие с член 27 за изменение на приложение II, за да отчете научно-техническия прогрес.</w:t>
      </w:r>
      <w:r w:rsidR="00EA54B9">
        <w:rPr>
          <w:rFonts w:eastAsia="Times New Roman"/>
          <w:b/>
          <w:lang w:val="bg-BG"/>
        </w:rPr>
        <w:t xml:space="preserve"> [Изм. 122]</w:t>
      </w:r>
    </w:p>
    <w:p w:rsidR="00960D75" w:rsidRDefault="00960D75">
      <w:pPr>
        <w:jc w:val="left"/>
        <w:rPr>
          <w:rFonts w:eastAsia="Times New Roman"/>
          <w:b/>
          <w:i/>
          <w:lang w:val="bg-BG"/>
        </w:rPr>
      </w:pPr>
      <w:r>
        <w:rPr>
          <w:rFonts w:eastAsia="Times New Roman"/>
          <w:b/>
          <w:i/>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b/>
          <w:i/>
          <w:lang w:val="bg-BG"/>
        </w:rPr>
        <w:lastRenderedPageBreak/>
        <w:t>Член 32a</w:t>
      </w:r>
      <w:r w:rsidRPr="00952162">
        <w:rPr>
          <w:rFonts w:eastAsia="Times New Roman"/>
          <w:lang w:val="bg-BG"/>
        </w:rPr>
        <w:br/>
      </w:r>
      <w:r w:rsidRPr="00952162">
        <w:rPr>
          <w:rFonts w:eastAsia="Times New Roman"/>
          <w:b/>
          <w:i/>
          <w:lang w:val="bg-BG"/>
        </w:rPr>
        <w:t>Преглед на съдържанието на възобновяеми суровини</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 xml:space="preserve">До... [Службата за публикации: Моля, въведете дата – 3 години след датата на прилагане на настоящия регламент] Комисията представя на Европейския парламент и на Съвета доклад, в който се оценяват необходимостта, осъществимостта, техническите последици и ползите за здравето и околната среда от въвеждането на задължителни цели за възобновяеми суровини и рециклирано съдържание в </w:t>
      </w:r>
      <w:proofErr w:type="spellStart"/>
      <w:r w:rsidRPr="00952162">
        <w:rPr>
          <w:rFonts w:eastAsia="Times New Roman"/>
          <w:b/>
          <w:i/>
          <w:lang w:val="bg-BG"/>
        </w:rPr>
        <w:t>детергентите</w:t>
      </w:r>
      <w:proofErr w:type="spellEnd"/>
      <w:r w:rsidRPr="00952162">
        <w:rPr>
          <w:rFonts w:eastAsia="Times New Roman"/>
          <w:b/>
          <w:i/>
          <w:lang w:val="bg-BG"/>
        </w:rPr>
        <w:t xml:space="preserve"> и </w:t>
      </w:r>
      <w:proofErr w:type="spellStart"/>
      <w:r w:rsidRPr="00952162">
        <w:rPr>
          <w:rFonts w:eastAsia="Times New Roman"/>
          <w:b/>
          <w:i/>
          <w:lang w:val="bg-BG"/>
        </w:rPr>
        <w:t>повърхностноактивните</w:t>
      </w:r>
      <w:proofErr w:type="spellEnd"/>
      <w:r w:rsidRPr="00952162">
        <w:rPr>
          <w:rFonts w:eastAsia="Times New Roman"/>
          <w:b/>
          <w:i/>
          <w:lang w:val="bg-BG"/>
        </w:rPr>
        <w:t xml:space="preserve"> вещества. В този доклад Комисията по-конкретно взема предвид социално-икономическите въздействия, конкурентоспособността на икономическите оператори в Съюза, устойчивото снабдяване, както и потенциала за глобално затопляне, потенциала за използване на хранителни отпадъци в </w:t>
      </w:r>
      <w:proofErr w:type="spellStart"/>
      <w:r w:rsidRPr="00952162">
        <w:rPr>
          <w:rFonts w:eastAsia="Times New Roman"/>
          <w:b/>
          <w:i/>
          <w:lang w:val="bg-BG"/>
        </w:rPr>
        <w:t>детергентите</w:t>
      </w:r>
      <w:proofErr w:type="spellEnd"/>
      <w:r w:rsidRPr="00952162">
        <w:rPr>
          <w:rFonts w:eastAsia="Times New Roman"/>
          <w:b/>
          <w:i/>
          <w:lang w:val="bg-BG"/>
        </w:rPr>
        <w:t xml:space="preserve">, потенциалната промяна в </w:t>
      </w:r>
      <w:proofErr w:type="spellStart"/>
      <w:r w:rsidRPr="00952162">
        <w:rPr>
          <w:rFonts w:eastAsia="Times New Roman"/>
          <w:b/>
          <w:i/>
          <w:lang w:val="bg-BG"/>
        </w:rPr>
        <w:t>земеползването</w:t>
      </w:r>
      <w:proofErr w:type="spellEnd"/>
      <w:r w:rsidRPr="00952162">
        <w:rPr>
          <w:rFonts w:eastAsia="Times New Roman"/>
          <w:b/>
          <w:i/>
          <w:lang w:val="bg-BG"/>
        </w:rPr>
        <w:t>, свързана с алтернативни суровини, и продоволствената сигурност в Съюза. Когато е уместно, докладът се придружава от законодателно предложение.</w:t>
      </w:r>
      <w:r w:rsidR="00EA54B9">
        <w:rPr>
          <w:rFonts w:eastAsia="Times New Roman"/>
          <w:b/>
          <w:lang w:val="bg-BG"/>
        </w:rPr>
        <w:t xml:space="preserve"> [Изм. 123]</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Член 33</w:t>
      </w:r>
      <w:r w:rsidRPr="00952162">
        <w:rPr>
          <w:rFonts w:eastAsia="Times New Roman"/>
          <w:lang w:val="bg-BG"/>
        </w:rPr>
        <w:br/>
        <w:t>Отмяна на Регламент (ЕО) № 648/2004</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Регламент (ЕО) № 648/2004 се отменя.</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Позоваванията на отменения регламент се считат за позовавания на настоящия регламент и се четат съгласно таблицата на съответствието в приложение VIII.</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34</w:t>
      </w:r>
      <w:r w:rsidRPr="00952162">
        <w:rPr>
          <w:rFonts w:eastAsia="Times New Roman"/>
          <w:lang w:val="bg-BG"/>
        </w:rPr>
        <w:br/>
        <w:t xml:space="preserve">Преходни разпоредби </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Държавите членки не възпрепятстват предоставянето на пазара на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които са пуснати на пазара преди [до Службата за публикации: моля, въведете датата, съответстваща на 30 месеца след датата на влизане в сила на настоящия регламент] в съответствие с Регламент (ЕО) № 648/2004, приложим на […] г. [до Службата за публикации: моля, въведете датата, съответстваща на един ден преди изтичането на 30 месеца след датата на влизане в сила на настоящия регламент].</w:t>
      </w:r>
    </w:p>
    <w:p w:rsidR="00952162" w:rsidRPr="00952162" w:rsidRDefault="00952162" w:rsidP="00952162">
      <w:pPr>
        <w:widowControl w:val="0"/>
        <w:spacing w:before="120" w:after="120" w:line="360" w:lineRule="auto"/>
        <w:jc w:val="left"/>
        <w:rPr>
          <w:rFonts w:eastAsia="Times New Roman"/>
          <w:lang w:val="bg-BG"/>
        </w:rPr>
      </w:pP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които са пуснати на пазара след [до Службата за публикации: моля, въведете датата, съответстваща на един ден преди изтичането на 30 месеца след датата на влизане в сила на настоящия регламент] и които към момента на пускането им на пазара са в съответствие с Регламент (ЕО) № 648/2004, приложим на [до Службата за публикации: моля, въведете датата, съответстваща на един ден преди изтичането на 30 месеца след датата на влизане в сила на настоящия регламент], могат да бъдат предоставяни на пазара до [до Службата за публикации: моля, въведете датата, съответстваща 36 месеца след датата на влизане в сила на настоящия регламент].</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Член 35</w:t>
      </w:r>
      <w:r w:rsidRPr="00952162">
        <w:rPr>
          <w:rFonts w:eastAsia="Times New Roman"/>
          <w:lang w:val="bg-BG"/>
        </w:rPr>
        <w:br/>
        <w:t xml:space="preserve">Влизане в сила и прилагане </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Настоящият регламент влиза в сила на двадесетия ден след деня на публикуването му в </w:t>
      </w:r>
      <w:r w:rsidRPr="00960D75">
        <w:rPr>
          <w:rFonts w:eastAsia="Times New Roman"/>
          <w:i/>
          <w:lang w:val="bg-BG"/>
        </w:rPr>
        <w:t>Официален вестник на Европейския съюз</w:t>
      </w:r>
      <w:r w:rsidRPr="00952162">
        <w:rPr>
          <w:rFonts w:eastAsia="Times New Roman"/>
          <w:lang w:val="bg-BG"/>
        </w:rPr>
        <w:t>.</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Настоящият регламент се прилага от [до Службата за публикации: моля, въведете датата, съответстваща на 30 месеца след датата на влизане в сила на настоящия регламент].</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Настоящият регламент е задължителен в своята цялост и се прилага пряко във всички държави членки.</w:t>
      </w:r>
    </w:p>
    <w:p w:rsidR="00952162" w:rsidRPr="00952162" w:rsidRDefault="00952162" w:rsidP="00952162">
      <w:pPr>
        <w:keepNext/>
        <w:spacing w:before="120" w:line="360" w:lineRule="auto"/>
        <w:jc w:val="left"/>
        <w:rPr>
          <w:rFonts w:eastAsia="Times New Roman"/>
          <w:lang w:val="bg-BG"/>
        </w:rPr>
      </w:pPr>
      <w:r w:rsidRPr="00952162">
        <w:rPr>
          <w:rFonts w:eastAsia="Times New Roman"/>
          <w:lang w:val="bg-BG"/>
        </w:rPr>
        <w:t xml:space="preserve">Съставено в </w:t>
      </w:r>
      <w:r w:rsidR="00B66D7F" w:rsidRPr="00D46023">
        <w:rPr>
          <w:rFonts w:eastAsia="Times New Roman"/>
          <w:lang w:val="bg-BG"/>
        </w:rPr>
        <w:t>…</w:t>
      </w:r>
      <w:r w:rsidRPr="00952162">
        <w:rPr>
          <w:rFonts w:eastAsia="Times New Roman"/>
          <w:lang w:val="bg-BG"/>
        </w:rPr>
        <w:t xml:space="preserve"> на […] година.</w:t>
      </w:r>
    </w:p>
    <w:p w:rsidR="00952162" w:rsidRPr="00952162" w:rsidRDefault="00952162" w:rsidP="00952162">
      <w:pPr>
        <w:keepNext/>
        <w:tabs>
          <w:tab w:val="left" w:pos="4252"/>
        </w:tabs>
        <w:spacing w:before="720" w:after="100" w:line="360" w:lineRule="auto"/>
        <w:rPr>
          <w:rFonts w:eastAsia="Times New Roman"/>
          <w:i/>
          <w:lang w:val="bg-BG"/>
        </w:rPr>
      </w:pPr>
      <w:r w:rsidRPr="00952162">
        <w:rPr>
          <w:rFonts w:eastAsia="Times New Roman"/>
          <w:i/>
          <w:lang w:val="bg-BG"/>
        </w:rPr>
        <w:t>За Европейския парламент</w:t>
      </w:r>
      <w:r w:rsidRPr="00952162">
        <w:rPr>
          <w:rFonts w:eastAsia="Times New Roman"/>
          <w:i/>
          <w:lang w:val="bg-BG"/>
        </w:rPr>
        <w:tab/>
        <w:t>За Съвета</w:t>
      </w:r>
    </w:p>
    <w:p w:rsidR="00952162" w:rsidRPr="00952162" w:rsidRDefault="00952162" w:rsidP="00952162">
      <w:pPr>
        <w:tabs>
          <w:tab w:val="left" w:pos="4252"/>
        </w:tabs>
        <w:spacing w:line="360" w:lineRule="auto"/>
        <w:jc w:val="left"/>
        <w:rPr>
          <w:rFonts w:eastAsia="Times New Roman"/>
          <w:i/>
          <w:lang w:val="bg-BG"/>
        </w:rPr>
      </w:pPr>
      <w:r w:rsidRPr="00952162">
        <w:rPr>
          <w:rFonts w:eastAsia="Times New Roman"/>
          <w:i/>
          <w:lang w:val="bg-BG"/>
        </w:rPr>
        <w:t>Председател</w:t>
      </w:r>
      <w:r w:rsidRPr="00952162">
        <w:rPr>
          <w:rFonts w:eastAsia="Times New Roman"/>
          <w:i/>
          <w:lang w:val="bg-BG"/>
        </w:rPr>
        <w:tab/>
      </w:r>
      <w:proofErr w:type="spellStart"/>
      <w:r w:rsidRPr="00952162">
        <w:rPr>
          <w:rFonts w:eastAsia="Times New Roman"/>
          <w:i/>
          <w:lang w:val="bg-BG"/>
        </w:rPr>
        <w:t>Председател</w:t>
      </w:r>
      <w:proofErr w:type="spellEnd"/>
    </w:p>
    <w:p w:rsidR="00952162" w:rsidRPr="00952162" w:rsidRDefault="00952162" w:rsidP="00952162">
      <w:pPr>
        <w:widowControl w:val="0"/>
        <w:spacing w:before="120" w:after="120" w:line="360" w:lineRule="auto"/>
        <w:jc w:val="left"/>
        <w:rPr>
          <w:rFonts w:eastAsia="Times New Roman"/>
          <w:lang w:val="bg-BG"/>
        </w:rPr>
        <w:sectPr w:rsidR="00952162" w:rsidRPr="00952162">
          <w:footerReference w:type="even" r:id="rId10"/>
          <w:footerReference w:type="first" r:id="rId11"/>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I</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ИЗИСКВАНИЯ ЗА БИОРАЗГРАДИМОСТ, ПОСОЧЕНИ В ЧЛЕН 4</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КРИТЕРИИ ЗА КРАЙНА БИОРАЗГРАДИМОСТ И МЕТОДИ ЗА ИЗПИТВАНЕ НА ПОВЪРХНОСТНОАКТИВНИ ВЕЩЕСТВА И ПОВЪРХНОСТНОАКТИВНИ ВЕЩЕСТВА В ДЕТЕРГЕНТИ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Референтният метод, избран в настоящия регламент за лабораторните изпитвания относно крайната </w:t>
      </w:r>
      <w:proofErr w:type="spellStart"/>
      <w:r w:rsidRPr="00952162">
        <w:rPr>
          <w:rFonts w:eastAsia="Times New Roman"/>
          <w:lang w:val="bg-BG"/>
        </w:rPr>
        <w:t>биоразградимост</w:t>
      </w:r>
      <w:proofErr w:type="spellEnd"/>
      <w:r w:rsidRPr="00952162">
        <w:rPr>
          <w:rFonts w:eastAsia="Times New Roman"/>
          <w:lang w:val="bg-BG"/>
        </w:rPr>
        <w:t xml:space="preserve"> на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се основава на стандарта EN ISO 14593: 1999 (тестово изпитване с CO</w:t>
      </w:r>
      <w:r w:rsidRPr="00952162">
        <w:rPr>
          <w:rFonts w:eastAsia="Times New Roman"/>
          <w:vertAlign w:val="subscript"/>
          <w:lang w:val="bg-BG"/>
        </w:rPr>
        <w:t>2</w:t>
      </w:r>
      <w:r w:rsidRPr="00952162">
        <w:rPr>
          <w:rFonts w:eastAsia="Times New Roman"/>
          <w:lang w:val="bg-BG"/>
        </w:rPr>
        <w:t xml:space="preserve"> в горната част на колона).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в </w:t>
      </w:r>
      <w:proofErr w:type="spellStart"/>
      <w:r w:rsidRPr="00952162">
        <w:rPr>
          <w:rFonts w:eastAsia="Times New Roman"/>
          <w:lang w:val="bg-BG"/>
        </w:rPr>
        <w:t>детергенти</w:t>
      </w:r>
      <w:proofErr w:type="spellEnd"/>
      <w:r w:rsidRPr="00952162">
        <w:rPr>
          <w:rFonts w:eastAsia="Times New Roman"/>
          <w:lang w:val="bg-BG"/>
        </w:rPr>
        <w:t xml:space="preserve"> трябва да са крайно </w:t>
      </w:r>
      <w:proofErr w:type="spellStart"/>
      <w:r w:rsidRPr="00952162">
        <w:rPr>
          <w:rFonts w:eastAsia="Times New Roman"/>
          <w:lang w:val="bg-BG"/>
        </w:rPr>
        <w:t>биоразградими</w:t>
      </w:r>
      <w:proofErr w:type="spellEnd"/>
      <w:r w:rsidRPr="00952162">
        <w:rPr>
          <w:rFonts w:eastAsia="Times New Roman"/>
          <w:lang w:val="bg-BG"/>
        </w:rPr>
        <w:t>, както е определено съгласно критериите, установени в точка 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в </w:t>
      </w:r>
      <w:proofErr w:type="spellStart"/>
      <w:r w:rsidRPr="00952162">
        <w:rPr>
          <w:rFonts w:eastAsia="Times New Roman"/>
          <w:lang w:val="bg-BG"/>
        </w:rPr>
        <w:t>детергенти</w:t>
      </w:r>
      <w:proofErr w:type="spellEnd"/>
      <w:r w:rsidRPr="00952162">
        <w:rPr>
          <w:rFonts w:eastAsia="Times New Roman"/>
          <w:lang w:val="bg-BG"/>
        </w:rPr>
        <w:t xml:space="preserve"> се смятат за крайно </w:t>
      </w:r>
      <w:proofErr w:type="spellStart"/>
      <w:r w:rsidRPr="00952162">
        <w:rPr>
          <w:rFonts w:eastAsia="Times New Roman"/>
          <w:lang w:val="bg-BG"/>
        </w:rPr>
        <w:t>биоразградими</w:t>
      </w:r>
      <w:proofErr w:type="spellEnd"/>
      <w:r w:rsidRPr="00952162">
        <w:rPr>
          <w:rFonts w:eastAsia="Times New Roman"/>
          <w:lang w:val="bg-BG"/>
        </w:rPr>
        <w:t>, ако отговарят на един от следните критерии: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нивото на </w:t>
      </w:r>
      <w:proofErr w:type="spellStart"/>
      <w:r w:rsidRPr="00952162">
        <w:rPr>
          <w:rFonts w:eastAsia="Times New Roman"/>
          <w:lang w:val="bg-BG"/>
        </w:rPr>
        <w:t>биоразградимост</w:t>
      </w:r>
      <w:proofErr w:type="spellEnd"/>
      <w:r w:rsidRPr="00952162">
        <w:rPr>
          <w:rFonts w:eastAsia="Times New Roman"/>
          <w:lang w:val="bg-BG"/>
        </w:rPr>
        <w:t xml:space="preserve"> (минерализация), измерено с помощта на един от следните методи за изпитване, е не по-малко от 60 % за период от двадесет и осем дни:</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w:t>
      </w:r>
      <w:r w:rsidRPr="00952162">
        <w:rPr>
          <w:rFonts w:eastAsia="Times New Roman"/>
          <w:lang w:val="bg-BG"/>
        </w:rPr>
        <w:tab/>
        <w:t xml:space="preserve">Стандарт EN ISO 14593: 1999 — Качество на водата — Оценяване във водна среда на крайна </w:t>
      </w:r>
      <w:proofErr w:type="spellStart"/>
      <w:r w:rsidRPr="00952162">
        <w:rPr>
          <w:rFonts w:eastAsia="Times New Roman"/>
          <w:lang w:val="bg-BG"/>
        </w:rPr>
        <w:t>биоразградимост</w:t>
      </w:r>
      <w:proofErr w:type="spellEnd"/>
      <w:r w:rsidRPr="00952162">
        <w:rPr>
          <w:rFonts w:eastAsia="Times New Roman"/>
          <w:lang w:val="bg-BG"/>
        </w:rPr>
        <w:t xml:space="preserve"> в аеробни условия на органичните съединения — Метод чрез анализ на неорганичен въглерод в херметически затворени съдове (тестово изпитване с CO</w:t>
      </w:r>
      <w:r w:rsidRPr="00952162">
        <w:rPr>
          <w:rFonts w:eastAsia="Times New Roman"/>
          <w:vertAlign w:val="subscript"/>
          <w:lang w:val="bg-BG"/>
        </w:rPr>
        <w:t>2</w:t>
      </w:r>
      <w:r w:rsidRPr="00952162">
        <w:rPr>
          <w:rFonts w:eastAsia="Times New Roman"/>
          <w:lang w:val="bg-BG"/>
        </w:rPr>
        <w:t xml:space="preserve"> в горната част на колона);</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lastRenderedPageBreak/>
        <w:t>ii)</w:t>
      </w:r>
      <w:r w:rsidRPr="00952162">
        <w:rPr>
          <w:rFonts w:eastAsia="Times New Roman"/>
          <w:lang w:val="bg-BG"/>
        </w:rPr>
        <w:tab/>
        <w:t>метод В.4-В за отделяне на въглероден диоксид (СО</w:t>
      </w:r>
      <w:r w:rsidRPr="00952162">
        <w:rPr>
          <w:rFonts w:eastAsia="Times New Roman"/>
          <w:vertAlign w:val="subscript"/>
          <w:lang w:val="bg-BG"/>
        </w:rPr>
        <w:t>2</w:t>
      </w:r>
      <w:r w:rsidRPr="00952162">
        <w:rPr>
          <w:rFonts w:eastAsia="Times New Roman"/>
          <w:lang w:val="bg-BG"/>
        </w:rPr>
        <w:t>) (модифициран метод на Щурм), описан в част В, раздел IV от приложението към Регламент (ЕО) № 440/2008 на Комисията</w:t>
      </w:r>
      <w:r w:rsidRPr="00952162">
        <w:rPr>
          <w:rFonts w:eastAsia="Times New Roman"/>
          <w:vertAlign w:val="superscript"/>
          <w:lang w:val="bg-BG"/>
        </w:rPr>
        <w:footnoteReference w:customMarkFollows="1" w:id="27"/>
        <w:t>1</w:t>
      </w:r>
      <w:r w:rsidRPr="00952162">
        <w:rPr>
          <w:rFonts w:eastAsia="Times New Roman"/>
          <w:lang w:val="bg-BG"/>
        </w:rPr>
        <w:t>;</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iii)</w:t>
      </w:r>
      <w:r w:rsidRPr="00952162">
        <w:rPr>
          <w:rFonts w:eastAsia="Times New Roman"/>
          <w:lang w:val="bg-BG"/>
        </w:rPr>
        <w:tab/>
        <w:t xml:space="preserve">метод В.4-Г, изпитване чрез </w:t>
      </w:r>
      <w:proofErr w:type="spellStart"/>
      <w:r w:rsidRPr="00952162">
        <w:rPr>
          <w:rFonts w:eastAsia="Times New Roman"/>
          <w:lang w:val="bg-BG"/>
        </w:rPr>
        <w:t>манометрична</w:t>
      </w:r>
      <w:proofErr w:type="spellEnd"/>
      <w:r w:rsidRPr="00952162">
        <w:rPr>
          <w:rFonts w:eastAsia="Times New Roman"/>
          <w:lang w:val="bg-BG"/>
        </w:rPr>
        <w:t xml:space="preserve"> </w:t>
      </w:r>
      <w:proofErr w:type="spellStart"/>
      <w:r w:rsidRPr="00952162">
        <w:rPr>
          <w:rFonts w:eastAsia="Times New Roman"/>
          <w:lang w:val="bg-BG"/>
        </w:rPr>
        <w:t>респирометрия</w:t>
      </w:r>
      <w:proofErr w:type="spellEnd"/>
      <w:r w:rsidRPr="00952162">
        <w:rPr>
          <w:rFonts w:eastAsia="Times New Roman"/>
          <w:lang w:val="bg-BG"/>
        </w:rPr>
        <w:t>, описан в част В, раздел V от приложението към Регламент (ЕО) № 440/2008;</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iv)</w:t>
      </w:r>
      <w:r w:rsidRPr="00952162">
        <w:rPr>
          <w:rFonts w:eastAsia="Times New Roman"/>
          <w:lang w:val="bg-BG"/>
        </w:rPr>
        <w:tab/>
        <w:t>метод В.4-Д, изпитване по метода на изолираните проби, описан в част В, раздел VI от приложението към Регламент (ЕО) № 440/2008;</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v)</w:t>
      </w:r>
      <w:r w:rsidRPr="00952162">
        <w:rPr>
          <w:rFonts w:eastAsia="Times New Roman"/>
          <w:lang w:val="bg-BG"/>
        </w:rPr>
        <w:tab/>
        <w:t>метод В.4-Е, изпитване по метода на MITI (Министерство на международната търговия и индустрията — Япония), описан в част В, раздел VII от приложението към Регламент (ЕО) № 440/2008;</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vi)</w:t>
      </w:r>
      <w:r w:rsidRPr="00952162">
        <w:rPr>
          <w:rFonts w:eastAsia="Times New Roman"/>
          <w:lang w:val="bg-BG"/>
        </w:rPr>
        <w:tab/>
        <w:t xml:space="preserve">Стандарт ISO 10708: 1997 — Качество на водата — Оценяване във водна среда на крайна </w:t>
      </w:r>
      <w:proofErr w:type="spellStart"/>
      <w:r w:rsidRPr="00952162">
        <w:rPr>
          <w:rFonts w:eastAsia="Times New Roman"/>
          <w:lang w:val="bg-BG"/>
        </w:rPr>
        <w:t>биоразградимост</w:t>
      </w:r>
      <w:proofErr w:type="spellEnd"/>
      <w:r w:rsidRPr="00952162">
        <w:rPr>
          <w:rFonts w:eastAsia="Times New Roman"/>
          <w:lang w:val="bg-BG"/>
        </w:rPr>
        <w:t xml:space="preserve"> в аеробни условия на органичните съединения — Определяне на биохимичната нужда от кислород чрез тест от две фази в затворена колба.</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б)</w:t>
      </w:r>
      <w:r w:rsidRPr="00952162">
        <w:rPr>
          <w:rFonts w:eastAsia="Times New Roman"/>
          <w:lang w:val="bg-BG"/>
        </w:rPr>
        <w:tab/>
        <w:t xml:space="preserve">нивото на </w:t>
      </w:r>
      <w:proofErr w:type="spellStart"/>
      <w:r w:rsidRPr="00952162">
        <w:rPr>
          <w:rFonts w:eastAsia="Times New Roman"/>
          <w:lang w:val="bg-BG"/>
        </w:rPr>
        <w:t>биоразградимост</w:t>
      </w:r>
      <w:proofErr w:type="spellEnd"/>
      <w:r w:rsidRPr="00952162">
        <w:rPr>
          <w:rFonts w:eastAsia="Times New Roman"/>
          <w:lang w:val="bg-BG"/>
        </w:rPr>
        <w:t xml:space="preserve"> (минерализация), измерено с помощта на един от следните методи за изпитване, е не по-малко от 70 % за период от двадесет и осем дни:</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w:t>
      </w:r>
      <w:r w:rsidRPr="00952162">
        <w:rPr>
          <w:rFonts w:eastAsia="Times New Roman"/>
          <w:lang w:val="bg-BG"/>
        </w:rPr>
        <w:tab/>
        <w:t>метод В.4-А, метод за определяне на разтворен органичен въглерод (DOC) чрез скоростта на отмиране, описан в част В, раздел II от приложението към Регламент (ЕО) № 440/2008;</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ii)</w:t>
      </w:r>
      <w:r w:rsidRPr="00952162">
        <w:rPr>
          <w:rFonts w:eastAsia="Times New Roman"/>
          <w:lang w:val="bg-BG"/>
        </w:rPr>
        <w:tab/>
        <w:t xml:space="preserve">метод В.4-Б, модифициран </w:t>
      </w:r>
      <w:proofErr w:type="spellStart"/>
      <w:r w:rsidRPr="00952162">
        <w:rPr>
          <w:rFonts w:eastAsia="Times New Roman"/>
          <w:lang w:val="bg-BG"/>
        </w:rPr>
        <w:t>скрининг</w:t>
      </w:r>
      <w:proofErr w:type="spellEnd"/>
      <w:r w:rsidRPr="00952162">
        <w:rPr>
          <w:rFonts w:eastAsia="Times New Roman"/>
          <w:lang w:val="bg-BG"/>
        </w:rPr>
        <w:t xml:space="preserve"> метод на OECD за определяне на DOC чрез скоростта на отмиране, описан в част В, раздел III от приложението към Регламент (ЕО) № 440/2008.</w:t>
      </w:r>
    </w:p>
    <w:p w:rsidR="00952162" w:rsidRPr="00952162" w:rsidRDefault="00952162" w:rsidP="00952162">
      <w:pPr>
        <w:widowControl w:val="0"/>
        <w:spacing w:before="120" w:after="120" w:line="360" w:lineRule="auto"/>
        <w:ind w:left="1416"/>
        <w:jc w:val="left"/>
        <w:rPr>
          <w:rFonts w:eastAsia="Times New Roman"/>
          <w:lang w:val="bg-BG"/>
        </w:rPr>
      </w:pPr>
      <w:r w:rsidRPr="00952162">
        <w:rPr>
          <w:rFonts w:eastAsia="Times New Roman"/>
          <w:lang w:val="bg-BG"/>
        </w:rPr>
        <w:t>При никой от методите за изпитване, посочени в букви а) и б), да не се прибягва до предварително привеждане до работна температура и да не се прилага принципът за междинен интервал от десет дни.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Посочените в точка 3 изпитвания се извършват от лаборатории, които отговарят на някое от следните условия: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лабораториите спазват принципите на добра лабораторна практика, предвидени в Директива 2004/10/ЕО на Европейския парламент и на Съвета</w:t>
      </w:r>
      <w:r w:rsidRPr="00952162">
        <w:rPr>
          <w:rFonts w:eastAsia="Times New Roman"/>
          <w:vertAlign w:val="superscript"/>
          <w:lang w:val="bg-BG"/>
        </w:rPr>
        <w:footnoteReference w:customMarkFollows="1" w:id="28"/>
        <w:t>2</w:t>
      </w:r>
      <w:r w:rsidRPr="00952162">
        <w:rPr>
          <w:rFonts w:eastAsia="Times New Roman"/>
          <w:lang w:val="bg-BG"/>
        </w:rPr>
        <w:t>, или международни стандарти, признати за еквивалентни;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лабораториите са акредитирани в съответствие със стандарта за лабораториите, посочен в Регламент (ЕО) № 765/2008.</w:t>
      </w:r>
    </w:p>
    <w:p w:rsidR="00952162" w:rsidRPr="00952162" w:rsidRDefault="00952162" w:rsidP="00952162">
      <w:pPr>
        <w:widowControl w:val="0"/>
        <w:spacing w:before="120" w:after="120" w:line="360" w:lineRule="auto"/>
        <w:jc w:val="left"/>
        <w:rPr>
          <w:rFonts w:eastAsia="Times New Roman"/>
          <w:lang w:val="bg-BG"/>
        </w:rPr>
        <w:sectPr w:rsidR="00952162" w:rsidRPr="00952162">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II</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ИЗИСКВАНИЯТА ЗА ДЕТЕРГЕНТИТЕ, СЪДЪРЖАЩИ МИКРООРГАНИЗМИ, ПОСОЧЕНИ В ЧЛЕН 5</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 xml:space="preserve">Микроорганизмите, преднамерено добавени в </w:t>
      </w:r>
      <w:proofErr w:type="spellStart"/>
      <w:r w:rsidRPr="00952162">
        <w:rPr>
          <w:rFonts w:eastAsia="Times New Roman"/>
          <w:lang w:val="bg-BG"/>
        </w:rPr>
        <w:t>детергенти</w:t>
      </w:r>
      <w:proofErr w:type="spellEnd"/>
      <w:r w:rsidRPr="00952162">
        <w:rPr>
          <w:rFonts w:eastAsia="Times New Roman"/>
          <w:lang w:val="bg-BG"/>
        </w:rPr>
        <w:t>, изпълняват следните условия:</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а)</w:t>
      </w:r>
      <w:r w:rsidRPr="00952162">
        <w:rPr>
          <w:rFonts w:eastAsia="Times New Roman"/>
          <w:lang w:val="bg-BG"/>
        </w:rPr>
        <w:tab/>
        <w:t>трябва</w:t>
      </w:r>
      <w:r w:rsidRPr="00952162">
        <w:rPr>
          <w:rFonts w:eastAsia="Times New Roman"/>
          <w:strike/>
          <w:lang w:val="bg-BG"/>
        </w:rPr>
        <w:t xml:space="preserve"> да имат номер от Американската банка за типови култури (American </w:t>
      </w:r>
      <w:proofErr w:type="spellStart"/>
      <w:r w:rsidRPr="00952162">
        <w:rPr>
          <w:rFonts w:eastAsia="Times New Roman"/>
          <w:strike/>
          <w:lang w:val="bg-BG"/>
        </w:rPr>
        <w:t>Type</w:t>
      </w:r>
      <w:proofErr w:type="spellEnd"/>
      <w:r w:rsidRPr="00952162">
        <w:rPr>
          <w:rFonts w:eastAsia="Times New Roman"/>
          <w:strike/>
          <w:lang w:val="bg-BG"/>
        </w:rPr>
        <w:t xml:space="preserve"> </w:t>
      </w:r>
      <w:proofErr w:type="spellStart"/>
      <w:r w:rsidRPr="00952162">
        <w:rPr>
          <w:rFonts w:eastAsia="Times New Roman"/>
          <w:strike/>
          <w:lang w:val="bg-BG"/>
        </w:rPr>
        <w:t>Culture</w:t>
      </w:r>
      <w:proofErr w:type="spellEnd"/>
      <w:r w:rsidRPr="00952162">
        <w:rPr>
          <w:rFonts w:eastAsia="Times New Roman"/>
          <w:strike/>
          <w:lang w:val="bg-BG"/>
        </w:rPr>
        <w:t xml:space="preserve"> </w:t>
      </w:r>
      <w:proofErr w:type="spellStart"/>
      <w:r w:rsidRPr="00952162">
        <w:rPr>
          <w:rFonts w:eastAsia="Times New Roman"/>
          <w:strike/>
          <w:lang w:val="bg-BG"/>
        </w:rPr>
        <w:t>Collection</w:t>
      </w:r>
      <w:proofErr w:type="spellEnd"/>
      <w:r w:rsidRPr="00952162">
        <w:rPr>
          <w:rFonts w:eastAsia="Times New Roman"/>
          <w:strike/>
          <w:lang w:val="bg-BG"/>
        </w:rPr>
        <w:t xml:space="preserve"> (ATCC),</w:t>
      </w:r>
      <w:r w:rsidRPr="00952162">
        <w:rPr>
          <w:rFonts w:eastAsia="Times New Roman"/>
          <w:lang w:val="bg-BG"/>
        </w:rPr>
        <w:t xml:space="preserve"> да принадлежат към колекция на международен депозитарен орган (IDA) или тяхното ДНК да е било идентифицирано в съответствие с протокола за идентификация на щамове (като се използва 16S </w:t>
      </w:r>
      <w:proofErr w:type="spellStart"/>
      <w:r w:rsidRPr="00952162">
        <w:rPr>
          <w:rFonts w:eastAsia="Times New Roman"/>
          <w:lang w:val="bg-BG"/>
        </w:rPr>
        <w:t>рибозомална</w:t>
      </w:r>
      <w:proofErr w:type="spellEnd"/>
      <w:r w:rsidRPr="00952162">
        <w:rPr>
          <w:rFonts w:eastAsia="Times New Roman"/>
          <w:lang w:val="bg-BG"/>
        </w:rPr>
        <w:t xml:space="preserve"> ДНК </w:t>
      </w:r>
      <w:proofErr w:type="spellStart"/>
      <w:r w:rsidRPr="00952162">
        <w:rPr>
          <w:rFonts w:eastAsia="Times New Roman"/>
          <w:lang w:val="bg-BG"/>
        </w:rPr>
        <w:t>секвенция</w:t>
      </w:r>
      <w:proofErr w:type="spellEnd"/>
      <w:r w:rsidRPr="00952162">
        <w:rPr>
          <w:rFonts w:eastAsia="Times New Roman"/>
          <w:lang w:val="bg-BG"/>
        </w:rPr>
        <w:t xml:space="preserve"> или еквивалентен метод);</w:t>
      </w:r>
      <w:r w:rsidR="00EA54B9">
        <w:rPr>
          <w:rFonts w:eastAsia="Times New Roman"/>
          <w:b/>
          <w:lang w:val="bg-BG"/>
        </w:rPr>
        <w:t xml:space="preserve"> [Изм. 124]</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спадат едновременно към следните:</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w:t>
      </w:r>
      <w:r w:rsidRPr="00952162">
        <w:rPr>
          <w:rFonts w:eastAsia="Times New Roman"/>
          <w:lang w:val="bg-BG"/>
        </w:rPr>
        <w:tab/>
        <w:t>Рискова група I, както е дефинирана от Директива 2000/54/ЕО — биологични агенти при работа;</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ii)</w:t>
      </w:r>
      <w:r w:rsidRPr="00952162">
        <w:rPr>
          <w:rFonts w:eastAsia="Times New Roman"/>
          <w:lang w:val="bg-BG"/>
        </w:rPr>
        <w:tab/>
        <w:t>Списъка за квалифицирана презумпция за безопасност (QPS), издаден от Европейския орган за безопасност на храните (ЕОБХ).</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Настоящата точка не се прилага за микроорганизми, преднамерено добавени в </w:t>
      </w:r>
      <w:proofErr w:type="spellStart"/>
      <w:r w:rsidRPr="00952162">
        <w:rPr>
          <w:rFonts w:eastAsia="Times New Roman"/>
          <w:lang w:val="bg-BG"/>
        </w:rPr>
        <w:t>детергенти</w:t>
      </w:r>
      <w:proofErr w:type="spellEnd"/>
      <w:r w:rsidRPr="00952162">
        <w:rPr>
          <w:rFonts w:eastAsia="Times New Roman"/>
          <w:lang w:val="bg-BG"/>
        </w:rPr>
        <w:t>, пуснати на пазара за целите на научноизследователската и развойна дейност.</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w:t>
      </w:r>
      <w:r w:rsidRPr="00952162">
        <w:rPr>
          <w:rFonts w:eastAsia="Times New Roman"/>
          <w:lang w:val="bg-BG"/>
        </w:rPr>
        <w:tab/>
        <w:t xml:space="preserve">Следните патогенни микроорганизми не трябва да присъстват в някой от щамовете, включени в крайния продукт, когато се извършва </w:t>
      </w:r>
      <w:proofErr w:type="spellStart"/>
      <w:r w:rsidRPr="00952162">
        <w:rPr>
          <w:rFonts w:eastAsia="Times New Roman"/>
          <w:lang w:val="bg-BG"/>
        </w:rPr>
        <w:t>скрининг</w:t>
      </w:r>
      <w:proofErr w:type="spellEnd"/>
      <w:r w:rsidRPr="00952162">
        <w:rPr>
          <w:rFonts w:eastAsia="Times New Roman"/>
          <w:lang w:val="bg-BG"/>
        </w:rPr>
        <w:t xml:space="preserve"> с посочените методи за изпитване или еквивалентни на тях методи: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E. </w:t>
      </w:r>
      <w:proofErr w:type="spellStart"/>
      <w:r w:rsidRPr="00952162">
        <w:rPr>
          <w:rFonts w:eastAsia="Times New Roman"/>
          <w:lang w:val="bg-BG"/>
        </w:rPr>
        <w:t>coli</w:t>
      </w:r>
      <w:proofErr w:type="spellEnd"/>
      <w:r w:rsidRPr="00952162">
        <w:rPr>
          <w:rFonts w:eastAsia="Times New Roman"/>
          <w:lang w:val="bg-BG"/>
        </w:rPr>
        <w:t>, метод за изпитване ISO 16649-3:2005;</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r>
      <w:proofErr w:type="spellStart"/>
      <w:r w:rsidRPr="00952162">
        <w:rPr>
          <w:rFonts w:eastAsia="Times New Roman"/>
          <w:lang w:val="bg-BG"/>
        </w:rPr>
        <w:t>Streptococcus</w:t>
      </w:r>
      <w:proofErr w:type="spellEnd"/>
      <w:r w:rsidRPr="00952162">
        <w:rPr>
          <w:rFonts w:eastAsia="Times New Roman"/>
          <w:lang w:val="bg-BG"/>
        </w:rPr>
        <w:t xml:space="preserve"> (</w:t>
      </w:r>
      <w:proofErr w:type="spellStart"/>
      <w:r w:rsidRPr="00952162">
        <w:rPr>
          <w:rFonts w:eastAsia="Times New Roman"/>
          <w:lang w:val="bg-BG"/>
        </w:rPr>
        <w:t>Enterococcus</w:t>
      </w:r>
      <w:proofErr w:type="spellEnd"/>
      <w:r w:rsidRPr="00952162">
        <w:rPr>
          <w:rFonts w:eastAsia="Times New Roman"/>
          <w:lang w:val="bg-BG"/>
        </w:rPr>
        <w:t>), метод за изпитване ISO 21528-1:2004;</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r>
      <w:proofErr w:type="spellStart"/>
      <w:r w:rsidRPr="00952162">
        <w:rPr>
          <w:rFonts w:eastAsia="Times New Roman"/>
          <w:lang w:val="bg-BG"/>
        </w:rPr>
        <w:t>Staphylococcus</w:t>
      </w:r>
      <w:proofErr w:type="spellEnd"/>
      <w:r w:rsidRPr="00952162">
        <w:rPr>
          <w:rFonts w:eastAsia="Times New Roman"/>
          <w:lang w:val="bg-BG"/>
        </w:rPr>
        <w:t xml:space="preserve"> </w:t>
      </w:r>
      <w:proofErr w:type="spellStart"/>
      <w:r w:rsidRPr="00952162">
        <w:rPr>
          <w:rFonts w:eastAsia="Times New Roman"/>
          <w:lang w:val="bg-BG"/>
        </w:rPr>
        <w:t>aureus</w:t>
      </w:r>
      <w:proofErr w:type="spellEnd"/>
      <w:r w:rsidRPr="00952162">
        <w:rPr>
          <w:rFonts w:eastAsia="Times New Roman"/>
          <w:lang w:val="bg-BG"/>
        </w:rPr>
        <w:t>, метод за изпитване ISO 6888-1;</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r>
      <w:proofErr w:type="spellStart"/>
      <w:r w:rsidRPr="00952162">
        <w:rPr>
          <w:rFonts w:eastAsia="Times New Roman"/>
          <w:lang w:val="bg-BG"/>
        </w:rPr>
        <w:t>Bacillus</w:t>
      </w:r>
      <w:proofErr w:type="spellEnd"/>
      <w:r w:rsidRPr="00952162">
        <w:rPr>
          <w:rFonts w:eastAsia="Times New Roman"/>
          <w:lang w:val="bg-BG"/>
        </w:rPr>
        <w:t xml:space="preserve"> </w:t>
      </w:r>
      <w:proofErr w:type="spellStart"/>
      <w:r w:rsidRPr="00952162">
        <w:rPr>
          <w:rFonts w:eastAsia="Times New Roman"/>
          <w:lang w:val="bg-BG"/>
        </w:rPr>
        <w:t>cereus</w:t>
      </w:r>
      <w:proofErr w:type="spellEnd"/>
      <w:r w:rsidRPr="00952162">
        <w:rPr>
          <w:rFonts w:eastAsia="Times New Roman"/>
          <w:lang w:val="bg-BG"/>
        </w:rPr>
        <w:t>, метод за изпитване ISO 7932:2004 или ISO 21871;</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д)</w:t>
      </w:r>
      <w:r w:rsidRPr="00952162">
        <w:rPr>
          <w:rFonts w:eastAsia="Times New Roman"/>
          <w:lang w:val="bg-BG"/>
        </w:rPr>
        <w:tab/>
      </w:r>
      <w:proofErr w:type="spellStart"/>
      <w:r w:rsidRPr="00952162">
        <w:rPr>
          <w:rFonts w:eastAsia="Times New Roman"/>
          <w:lang w:val="bg-BG"/>
        </w:rPr>
        <w:t>Salmonella</w:t>
      </w:r>
      <w:proofErr w:type="spellEnd"/>
      <w:r w:rsidRPr="00952162">
        <w:rPr>
          <w:rFonts w:eastAsia="Times New Roman"/>
          <w:lang w:val="bg-BG"/>
        </w:rPr>
        <w:t>, метод за изпитване ISO 6579:2002 или ISO 19250.</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b/>
          <w:i/>
          <w:lang w:val="bg-BG"/>
        </w:rPr>
        <w:t>да)</w:t>
      </w:r>
      <w:r w:rsidRPr="00952162">
        <w:rPr>
          <w:rFonts w:eastAsia="Times New Roman"/>
          <w:lang w:val="bg-BG"/>
        </w:rPr>
        <w:tab/>
      </w:r>
      <w:proofErr w:type="spellStart"/>
      <w:r w:rsidRPr="00952162">
        <w:rPr>
          <w:rFonts w:eastAsia="Times New Roman"/>
          <w:b/>
          <w:i/>
          <w:lang w:val="bg-BG"/>
        </w:rPr>
        <w:t>Pseudomonas</w:t>
      </w:r>
      <w:proofErr w:type="spellEnd"/>
      <w:r w:rsidRPr="00952162">
        <w:rPr>
          <w:rFonts w:eastAsia="Times New Roman"/>
          <w:b/>
          <w:i/>
          <w:lang w:val="bg-BG"/>
        </w:rPr>
        <w:t xml:space="preserve"> </w:t>
      </w:r>
      <w:proofErr w:type="spellStart"/>
      <w:r w:rsidRPr="00952162">
        <w:rPr>
          <w:rFonts w:eastAsia="Times New Roman"/>
          <w:b/>
          <w:i/>
          <w:lang w:val="bg-BG"/>
        </w:rPr>
        <w:t>aeruginosa</w:t>
      </w:r>
      <w:proofErr w:type="spellEnd"/>
      <w:r w:rsidRPr="00952162">
        <w:rPr>
          <w:rFonts w:eastAsia="Times New Roman"/>
          <w:b/>
          <w:i/>
          <w:lang w:val="bg-BG"/>
        </w:rPr>
        <w:t>, метод за изпитване ISO 22717:2015;</w:t>
      </w:r>
      <w:r w:rsidR="00EA54B9">
        <w:rPr>
          <w:rFonts w:eastAsia="Times New Roman"/>
          <w:b/>
          <w:lang w:val="bg-BG"/>
        </w:rPr>
        <w:t xml:space="preserve"> [Изм. 125]</w:t>
      </w:r>
    </w:p>
    <w:p w:rsidR="00952162" w:rsidRPr="00EA54B9" w:rsidRDefault="00952162" w:rsidP="00952162">
      <w:pPr>
        <w:widowControl w:val="0"/>
        <w:spacing w:before="120" w:after="120" w:line="360" w:lineRule="auto"/>
        <w:ind w:left="1416" w:hanging="566"/>
        <w:jc w:val="left"/>
        <w:rPr>
          <w:rFonts w:eastAsia="Times New Roman"/>
          <w:b/>
          <w:lang w:val="bg-BG"/>
        </w:rPr>
      </w:pPr>
      <w:proofErr w:type="spellStart"/>
      <w:r w:rsidRPr="00952162">
        <w:rPr>
          <w:rFonts w:eastAsia="Times New Roman"/>
          <w:b/>
          <w:i/>
          <w:lang w:val="bg-BG"/>
        </w:rPr>
        <w:t>дб</w:t>
      </w:r>
      <w:proofErr w:type="spellEnd"/>
      <w:r w:rsidRPr="00952162">
        <w:rPr>
          <w:rFonts w:eastAsia="Times New Roman"/>
          <w:b/>
          <w:i/>
          <w:lang w:val="bg-BG"/>
        </w:rPr>
        <w:t>)</w:t>
      </w:r>
      <w:r w:rsidRPr="00952162">
        <w:rPr>
          <w:rFonts w:eastAsia="Times New Roman"/>
          <w:lang w:val="bg-BG"/>
        </w:rPr>
        <w:tab/>
      </w:r>
      <w:proofErr w:type="spellStart"/>
      <w:r w:rsidRPr="00952162">
        <w:rPr>
          <w:rFonts w:eastAsia="Times New Roman"/>
          <w:b/>
          <w:i/>
          <w:lang w:val="bg-BG"/>
        </w:rPr>
        <w:t>Candida</w:t>
      </w:r>
      <w:proofErr w:type="spellEnd"/>
      <w:r w:rsidRPr="00952162">
        <w:rPr>
          <w:rFonts w:eastAsia="Times New Roman"/>
          <w:b/>
          <w:i/>
          <w:lang w:val="bg-BG"/>
        </w:rPr>
        <w:t xml:space="preserve"> </w:t>
      </w:r>
      <w:proofErr w:type="spellStart"/>
      <w:r w:rsidRPr="00952162">
        <w:rPr>
          <w:rFonts w:eastAsia="Times New Roman"/>
          <w:b/>
          <w:i/>
          <w:lang w:val="bg-BG"/>
        </w:rPr>
        <w:t>albicans</w:t>
      </w:r>
      <w:proofErr w:type="spellEnd"/>
      <w:r w:rsidRPr="00952162">
        <w:rPr>
          <w:rFonts w:eastAsia="Times New Roman"/>
          <w:b/>
          <w:i/>
          <w:lang w:val="bg-BG"/>
        </w:rPr>
        <w:t>, метод за изпитване ISO 18416:2015;</w:t>
      </w:r>
      <w:r w:rsidR="00EA54B9">
        <w:rPr>
          <w:rFonts w:eastAsia="Times New Roman"/>
          <w:b/>
          <w:lang w:val="bg-BG"/>
        </w:rPr>
        <w:t xml:space="preserve"> [Изм. 126]</w:t>
      </w:r>
    </w:p>
    <w:p w:rsidR="00952162" w:rsidRPr="00EA54B9" w:rsidRDefault="00952162" w:rsidP="00952162">
      <w:pPr>
        <w:widowControl w:val="0"/>
        <w:spacing w:before="120" w:after="120" w:line="360" w:lineRule="auto"/>
        <w:ind w:left="1416" w:hanging="566"/>
        <w:jc w:val="left"/>
        <w:rPr>
          <w:rFonts w:eastAsia="Times New Roman"/>
          <w:b/>
          <w:lang w:val="bg-BG"/>
        </w:rPr>
      </w:pPr>
      <w:proofErr w:type="spellStart"/>
      <w:r w:rsidRPr="00952162">
        <w:rPr>
          <w:rFonts w:eastAsia="Times New Roman"/>
          <w:b/>
          <w:i/>
          <w:lang w:val="bg-BG"/>
        </w:rPr>
        <w:t>дв</w:t>
      </w:r>
      <w:proofErr w:type="spellEnd"/>
      <w:r w:rsidRPr="00952162">
        <w:rPr>
          <w:rFonts w:eastAsia="Times New Roman"/>
          <w:b/>
          <w:i/>
          <w:lang w:val="bg-BG"/>
        </w:rPr>
        <w:t>)</w:t>
      </w:r>
      <w:r w:rsidRPr="00952162">
        <w:rPr>
          <w:rFonts w:eastAsia="Times New Roman"/>
          <w:lang w:val="bg-BG"/>
        </w:rPr>
        <w:tab/>
      </w:r>
      <w:r w:rsidRPr="00952162">
        <w:rPr>
          <w:rFonts w:eastAsia="Times New Roman"/>
          <w:b/>
          <w:i/>
          <w:lang w:val="bg-BG"/>
        </w:rPr>
        <w:t>всякакви други микроорганизми, изброени в приложение 1, таблица 4 от Регламент (ЕС) 2020/741</w:t>
      </w:r>
      <w:r w:rsidRPr="00952162">
        <w:rPr>
          <w:rFonts w:eastAsia="Times New Roman"/>
          <w:vertAlign w:val="superscript"/>
          <w:lang w:val="bg-BG"/>
        </w:rPr>
        <w:footnoteReference w:customMarkFollows="1" w:id="29"/>
        <w:t>1</w:t>
      </w:r>
      <w:r w:rsidRPr="00952162">
        <w:rPr>
          <w:rFonts w:eastAsia="Times New Roman"/>
          <w:b/>
          <w:i/>
          <w:lang w:val="bg-BG"/>
        </w:rPr>
        <w:t>.</w:t>
      </w:r>
      <w:r w:rsidR="00EA54B9">
        <w:rPr>
          <w:rFonts w:eastAsia="Times New Roman"/>
          <w:b/>
          <w:lang w:val="bg-BG"/>
        </w:rPr>
        <w:t xml:space="preserve"> [Изм. 127]</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3.</w:t>
      </w:r>
      <w:r w:rsidRPr="00952162">
        <w:rPr>
          <w:rFonts w:eastAsia="Times New Roman"/>
          <w:lang w:val="bg-BG"/>
        </w:rPr>
        <w:tab/>
        <w:t>Преднамерено добавените микроорганизми не трябва да са генетично модифицирани микроорганизми.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 xml:space="preserve">Преднамерено добавените микроорганизми са, с изключение на присъщата резистентност, възприемчиви към всеки от основните класове антибиотици, а именно </w:t>
      </w:r>
      <w:proofErr w:type="spellStart"/>
      <w:r w:rsidRPr="00952162">
        <w:rPr>
          <w:rFonts w:eastAsia="Times New Roman"/>
          <w:lang w:val="bg-BG"/>
        </w:rPr>
        <w:t>аминогликозид</w:t>
      </w:r>
      <w:proofErr w:type="spellEnd"/>
      <w:r w:rsidRPr="00952162">
        <w:rPr>
          <w:rFonts w:eastAsia="Times New Roman"/>
          <w:lang w:val="bg-BG"/>
        </w:rPr>
        <w:t xml:space="preserve">, </w:t>
      </w:r>
      <w:proofErr w:type="spellStart"/>
      <w:r w:rsidRPr="00952162">
        <w:rPr>
          <w:rFonts w:eastAsia="Times New Roman"/>
          <w:lang w:val="bg-BG"/>
        </w:rPr>
        <w:t>макролид</w:t>
      </w:r>
      <w:proofErr w:type="spellEnd"/>
      <w:r w:rsidRPr="00952162">
        <w:rPr>
          <w:rFonts w:eastAsia="Times New Roman"/>
          <w:lang w:val="bg-BG"/>
        </w:rPr>
        <w:t>, бета-</w:t>
      </w:r>
      <w:proofErr w:type="spellStart"/>
      <w:r w:rsidRPr="00952162">
        <w:rPr>
          <w:rFonts w:eastAsia="Times New Roman"/>
          <w:lang w:val="bg-BG"/>
        </w:rPr>
        <w:t>лактам</w:t>
      </w:r>
      <w:proofErr w:type="spellEnd"/>
      <w:r w:rsidRPr="00952162">
        <w:rPr>
          <w:rFonts w:eastAsia="Times New Roman"/>
          <w:lang w:val="bg-BG"/>
        </w:rPr>
        <w:t xml:space="preserve">, </w:t>
      </w:r>
      <w:proofErr w:type="spellStart"/>
      <w:r w:rsidRPr="00952162">
        <w:rPr>
          <w:rFonts w:eastAsia="Times New Roman"/>
          <w:lang w:val="bg-BG"/>
        </w:rPr>
        <w:t>тетрациклин</w:t>
      </w:r>
      <w:proofErr w:type="spellEnd"/>
      <w:r w:rsidRPr="00952162">
        <w:rPr>
          <w:rFonts w:eastAsia="Times New Roman"/>
          <w:lang w:val="bg-BG"/>
        </w:rPr>
        <w:t xml:space="preserve"> и </w:t>
      </w:r>
      <w:proofErr w:type="spellStart"/>
      <w:r w:rsidRPr="00952162">
        <w:rPr>
          <w:rFonts w:eastAsia="Times New Roman"/>
          <w:lang w:val="bg-BG"/>
        </w:rPr>
        <w:t>флуорохинолони</w:t>
      </w:r>
      <w:proofErr w:type="spellEnd"/>
      <w:r w:rsidRPr="00952162">
        <w:rPr>
          <w:rFonts w:eastAsia="Times New Roman"/>
          <w:lang w:val="bg-BG"/>
        </w:rPr>
        <w:t xml:space="preserve">, в съответствие с метода на дифузията на дисковете на Европейския комитет за изследване на </w:t>
      </w:r>
      <w:proofErr w:type="spellStart"/>
      <w:r w:rsidRPr="00952162">
        <w:rPr>
          <w:rFonts w:eastAsia="Times New Roman"/>
          <w:lang w:val="bg-BG"/>
        </w:rPr>
        <w:t>антимикробната</w:t>
      </w:r>
      <w:proofErr w:type="spellEnd"/>
      <w:r w:rsidRPr="00952162">
        <w:rPr>
          <w:rFonts w:eastAsia="Times New Roman"/>
          <w:lang w:val="bg-BG"/>
        </w:rPr>
        <w:t xml:space="preserve"> чувствителност (EUCAST) или еквивалентен метод.</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5.</w:t>
      </w:r>
      <w:r w:rsidRPr="00952162">
        <w:rPr>
          <w:rFonts w:eastAsia="Times New Roman"/>
          <w:lang w:val="bg-BG"/>
        </w:rPr>
        <w:tab/>
        <w:t xml:space="preserve">Когато се пускат на пазара, </w:t>
      </w:r>
      <w:proofErr w:type="spellStart"/>
      <w:r w:rsidRPr="00952162">
        <w:rPr>
          <w:rFonts w:eastAsia="Times New Roman"/>
          <w:lang w:val="bg-BG"/>
        </w:rPr>
        <w:t>детергентите</w:t>
      </w:r>
      <w:proofErr w:type="spellEnd"/>
      <w:r w:rsidRPr="00952162">
        <w:rPr>
          <w:rFonts w:eastAsia="Times New Roman"/>
          <w:lang w:val="bg-BG"/>
        </w:rPr>
        <w:t>, съдържащи микроорганизми, трябва да имат стандартен брой микроорганизми, равен на или по-голям от 1x10</w:t>
      </w:r>
      <w:r w:rsidRPr="00952162">
        <w:rPr>
          <w:rFonts w:eastAsia="Times New Roman"/>
          <w:strike/>
          <w:lang w:val="bg-BG"/>
        </w:rPr>
        <w:t>5</w:t>
      </w:r>
      <w:r w:rsidRPr="00952162">
        <w:rPr>
          <w:rFonts w:eastAsia="Times New Roman"/>
          <w:lang w:val="bg-BG"/>
        </w:rPr>
        <w:t xml:space="preserve"> образуващи колонии единици (CFU) на ml в съответствие със стандарт ISO </w:t>
      </w:r>
      <w:r w:rsidRPr="00952162">
        <w:rPr>
          <w:rFonts w:eastAsia="Times New Roman"/>
          <w:b/>
          <w:i/>
          <w:lang w:val="bg-BG"/>
        </w:rPr>
        <w:t>21149 или ISO 4833-</w:t>
      </w:r>
      <w:r w:rsidRPr="00952162">
        <w:rPr>
          <w:rFonts w:eastAsia="Times New Roman"/>
          <w:strike/>
          <w:lang w:val="bg-BG"/>
        </w:rPr>
        <w:t>4833—</w:t>
      </w:r>
      <w:r w:rsidRPr="00952162">
        <w:rPr>
          <w:rFonts w:eastAsia="Times New Roman"/>
          <w:lang w:val="bg-BG"/>
        </w:rPr>
        <w:t>1:2014.</w:t>
      </w:r>
      <w:r w:rsidR="00EA54B9">
        <w:rPr>
          <w:rFonts w:eastAsia="Times New Roman"/>
          <w:b/>
          <w:lang w:val="bg-BG"/>
        </w:rPr>
        <w:t xml:space="preserve"> [Изм. 128]</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6.</w:t>
      </w:r>
      <w:r w:rsidRPr="00952162">
        <w:rPr>
          <w:rFonts w:eastAsia="Times New Roman"/>
          <w:lang w:val="bg-BG"/>
        </w:rPr>
        <w:tab/>
        <w:t xml:space="preserve">Минималният срок на годност на даден </w:t>
      </w:r>
      <w:proofErr w:type="spellStart"/>
      <w:r w:rsidRPr="00952162">
        <w:rPr>
          <w:rFonts w:eastAsia="Times New Roman"/>
          <w:lang w:val="bg-BG"/>
        </w:rPr>
        <w:t>детергент</w:t>
      </w:r>
      <w:proofErr w:type="spellEnd"/>
      <w:r w:rsidRPr="00952162">
        <w:rPr>
          <w:rFonts w:eastAsia="Times New Roman"/>
          <w:lang w:val="bg-BG"/>
        </w:rPr>
        <w:t xml:space="preserve">, съдържащ микроорганизми, не трябва да е по-малък от 24 месеца, а броят на микробите не трябва да намалява с повече от 10 % на всеки 12 месеца в съответствие с ISO </w:t>
      </w:r>
      <w:r w:rsidRPr="00952162">
        <w:rPr>
          <w:rFonts w:eastAsia="Times New Roman"/>
          <w:b/>
          <w:i/>
          <w:lang w:val="bg-BG"/>
        </w:rPr>
        <w:t>21149 или ISO 4833-</w:t>
      </w:r>
      <w:r w:rsidRPr="00952162">
        <w:rPr>
          <w:rFonts w:eastAsia="Times New Roman"/>
          <w:strike/>
          <w:lang w:val="bg-BG"/>
        </w:rPr>
        <w:t>4833—</w:t>
      </w:r>
      <w:r w:rsidRPr="00952162">
        <w:rPr>
          <w:rFonts w:eastAsia="Times New Roman"/>
          <w:lang w:val="bg-BG"/>
        </w:rPr>
        <w:t>1:2014.</w:t>
      </w:r>
      <w:r w:rsidR="00EA54B9">
        <w:rPr>
          <w:rFonts w:eastAsia="Times New Roman"/>
          <w:b/>
          <w:lang w:val="bg-BG"/>
        </w:rPr>
        <w:t xml:space="preserve"> [Изм. 129]</w:t>
      </w:r>
    </w:p>
    <w:p w:rsidR="00960D75" w:rsidRDefault="00960D75">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7.</w:t>
      </w:r>
      <w:r w:rsidRPr="00952162">
        <w:rPr>
          <w:rFonts w:eastAsia="Times New Roman"/>
          <w:lang w:val="bg-BG"/>
        </w:rPr>
        <w:tab/>
      </w:r>
      <w:proofErr w:type="spellStart"/>
      <w:r w:rsidRPr="00952162">
        <w:rPr>
          <w:rFonts w:eastAsia="Times New Roman"/>
          <w:strike/>
          <w:lang w:val="bg-BG"/>
        </w:rPr>
        <w:t>Микроорганизмите</w:t>
      </w:r>
      <w:r w:rsidRPr="00952162">
        <w:rPr>
          <w:rFonts w:eastAsia="Times New Roman"/>
          <w:b/>
          <w:i/>
          <w:lang w:val="bg-BG"/>
        </w:rPr>
        <w:t>Разрешава</w:t>
      </w:r>
      <w:proofErr w:type="spellEnd"/>
      <w:r w:rsidRPr="00952162">
        <w:rPr>
          <w:rFonts w:eastAsia="Times New Roman"/>
          <w:b/>
          <w:i/>
          <w:lang w:val="bg-BG"/>
        </w:rPr>
        <w:t xml:space="preserve"> се </w:t>
      </w:r>
      <w:proofErr w:type="spellStart"/>
      <w:r w:rsidRPr="00952162">
        <w:rPr>
          <w:rFonts w:eastAsia="Times New Roman"/>
          <w:b/>
          <w:i/>
          <w:lang w:val="bg-BG"/>
        </w:rPr>
        <w:t>детергентите</w:t>
      </w:r>
      <w:proofErr w:type="spellEnd"/>
      <w:r w:rsidRPr="00952162">
        <w:rPr>
          <w:rFonts w:eastAsia="Times New Roman"/>
          <w:lang w:val="bg-BG"/>
        </w:rPr>
        <w:t xml:space="preserve">, съдържащи </w:t>
      </w:r>
      <w:r w:rsidRPr="00952162">
        <w:rPr>
          <w:rFonts w:eastAsia="Times New Roman"/>
          <w:strike/>
          <w:lang w:val="bg-BG"/>
        </w:rPr>
        <w:t xml:space="preserve">се в </w:t>
      </w:r>
      <w:proofErr w:type="spellStart"/>
      <w:r w:rsidRPr="00952162">
        <w:rPr>
          <w:rFonts w:eastAsia="Times New Roman"/>
          <w:strike/>
          <w:lang w:val="bg-BG"/>
        </w:rPr>
        <w:t>детергенти</w:t>
      </w:r>
      <w:proofErr w:type="spellEnd"/>
      <w:r w:rsidRPr="00952162">
        <w:rPr>
          <w:rFonts w:eastAsia="Times New Roman"/>
          <w:strike/>
          <w:lang w:val="bg-BG"/>
        </w:rPr>
        <w:t xml:space="preserve">, които се </w:t>
      </w:r>
      <w:proofErr w:type="spellStart"/>
      <w:r w:rsidRPr="00952162">
        <w:rPr>
          <w:rFonts w:eastAsia="Times New Roman"/>
          <w:strike/>
          <w:lang w:val="bg-BG"/>
        </w:rPr>
        <w:t>пускат</w:t>
      </w:r>
      <w:r w:rsidRPr="00952162">
        <w:rPr>
          <w:rFonts w:eastAsia="Times New Roman"/>
          <w:b/>
          <w:i/>
          <w:lang w:val="bg-BG"/>
        </w:rPr>
        <w:t>микроорганизми</w:t>
      </w:r>
      <w:proofErr w:type="spellEnd"/>
      <w:r w:rsidRPr="00952162">
        <w:rPr>
          <w:rFonts w:eastAsia="Times New Roman"/>
          <w:b/>
          <w:i/>
          <w:lang w:val="bg-BG"/>
        </w:rPr>
        <w:t>, да бъдат пускани</w:t>
      </w:r>
      <w:r w:rsidRPr="00952162">
        <w:rPr>
          <w:rFonts w:eastAsia="Times New Roman"/>
          <w:lang w:val="bg-BG"/>
        </w:rPr>
        <w:t xml:space="preserve"> на пазара под формата на спрей, </w:t>
      </w:r>
      <w:r w:rsidRPr="00952162">
        <w:rPr>
          <w:rFonts w:eastAsia="Times New Roman"/>
          <w:strike/>
          <w:lang w:val="bg-BG"/>
        </w:rPr>
        <w:t xml:space="preserve">преминават изпитването за остра </w:t>
      </w:r>
      <w:proofErr w:type="spellStart"/>
      <w:r w:rsidRPr="00952162">
        <w:rPr>
          <w:rFonts w:eastAsia="Times New Roman"/>
          <w:strike/>
          <w:lang w:val="bg-BG"/>
        </w:rPr>
        <w:t>инхалационна</w:t>
      </w:r>
      <w:proofErr w:type="spellEnd"/>
      <w:r w:rsidRPr="00952162">
        <w:rPr>
          <w:rFonts w:eastAsia="Times New Roman"/>
          <w:strike/>
          <w:lang w:val="bg-BG"/>
        </w:rPr>
        <w:t xml:space="preserve"> </w:t>
      </w:r>
      <w:proofErr w:type="spellStart"/>
      <w:r w:rsidRPr="00952162">
        <w:rPr>
          <w:rFonts w:eastAsia="Times New Roman"/>
          <w:strike/>
          <w:lang w:val="bg-BG"/>
        </w:rPr>
        <w:t>токсичност</w:t>
      </w:r>
      <w:r w:rsidRPr="00952162">
        <w:rPr>
          <w:rFonts w:eastAsia="Times New Roman"/>
          <w:b/>
          <w:i/>
          <w:lang w:val="bg-BG"/>
        </w:rPr>
        <w:t>след</w:t>
      </w:r>
      <w:proofErr w:type="spellEnd"/>
      <w:r w:rsidRPr="00952162">
        <w:rPr>
          <w:rFonts w:eastAsia="Times New Roman"/>
          <w:b/>
          <w:i/>
          <w:lang w:val="bg-BG"/>
        </w:rPr>
        <w:t xml:space="preserve"> като</w:t>
      </w:r>
      <w:r w:rsidRPr="00952162">
        <w:rPr>
          <w:rFonts w:eastAsia="Times New Roman"/>
          <w:lang w:val="bg-BG"/>
        </w:rPr>
        <w:t xml:space="preserve"> в съответствие с </w:t>
      </w:r>
      <w:proofErr w:type="spellStart"/>
      <w:r w:rsidRPr="00952162">
        <w:rPr>
          <w:rFonts w:eastAsia="Times New Roman"/>
          <w:strike/>
          <w:lang w:val="bg-BG"/>
        </w:rPr>
        <w:t>метод</w:t>
      </w:r>
      <w:r w:rsidRPr="00952162">
        <w:rPr>
          <w:rFonts w:eastAsia="Times New Roman"/>
          <w:b/>
          <w:i/>
          <w:lang w:val="bg-BG"/>
        </w:rPr>
        <w:t>член</w:t>
      </w:r>
      <w:proofErr w:type="spellEnd"/>
      <w:r w:rsidRPr="00952162">
        <w:rPr>
          <w:rFonts w:eastAsia="Times New Roman"/>
          <w:b/>
          <w:i/>
          <w:lang w:val="bg-BG"/>
        </w:rPr>
        <w:t xml:space="preserve"> 26, параграф 6а, бъдат установени подходящи подходи без използване на животни</w:t>
      </w:r>
      <w:r w:rsidRPr="00952162">
        <w:rPr>
          <w:rFonts w:eastAsia="Times New Roman"/>
          <w:lang w:val="bg-BG"/>
        </w:rPr>
        <w:t xml:space="preserve"> за изпитване </w:t>
      </w:r>
      <w:r w:rsidRPr="00952162">
        <w:rPr>
          <w:rFonts w:eastAsia="Times New Roman"/>
          <w:strike/>
          <w:lang w:val="bg-BG"/>
        </w:rPr>
        <w:t>Б.2., описан в част Б от приложението към Регламент (ЕО) № 440/2008</w:t>
      </w:r>
      <w:r w:rsidRPr="00952162">
        <w:rPr>
          <w:rFonts w:eastAsia="Times New Roman"/>
          <w:b/>
          <w:i/>
          <w:lang w:val="bg-BG"/>
        </w:rPr>
        <w:t xml:space="preserve">на свойствата на микроорганизмите за респираторна </w:t>
      </w:r>
      <w:proofErr w:type="spellStart"/>
      <w:r w:rsidRPr="00952162">
        <w:rPr>
          <w:rFonts w:eastAsia="Times New Roman"/>
          <w:b/>
          <w:i/>
          <w:lang w:val="bg-BG"/>
        </w:rPr>
        <w:t>сенсибилизация</w:t>
      </w:r>
      <w:proofErr w:type="spellEnd"/>
      <w:r w:rsidRPr="00952162">
        <w:rPr>
          <w:rFonts w:eastAsia="Times New Roman"/>
          <w:lang w:val="bg-BG"/>
        </w:rPr>
        <w:t>.</w:t>
      </w:r>
      <w:r w:rsidR="00EA54B9">
        <w:rPr>
          <w:rFonts w:eastAsia="Times New Roman"/>
          <w:b/>
          <w:lang w:val="bg-BG"/>
        </w:rPr>
        <w:t xml:space="preserve"> [Изм. 130]</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8.</w:t>
      </w:r>
      <w:r w:rsidRPr="00952162">
        <w:rPr>
          <w:rFonts w:eastAsia="Times New Roman"/>
          <w:lang w:val="bg-BG"/>
        </w:rPr>
        <w:tab/>
      </w:r>
      <w:proofErr w:type="spellStart"/>
      <w:r w:rsidRPr="00952162">
        <w:rPr>
          <w:rFonts w:eastAsia="Times New Roman"/>
          <w:lang w:val="bg-BG"/>
        </w:rPr>
        <w:t>Детергентите</w:t>
      </w:r>
      <w:proofErr w:type="spellEnd"/>
      <w:r w:rsidRPr="00952162">
        <w:rPr>
          <w:rFonts w:eastAsia="Times New Roman"/>
          <w:lang w:val="bg-BG"/>
        </w:rPr>
        <w:t>, съдържащи микроорганизми, не се пускат на пазара във формат за многократно пълнене.</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9.</w:t>
      </w:r>
      <w:r w:rsidRPr="00952162">
        <w:rPr>
          <w:rFonts w:eastAsia="Times New Roman"/>
          <w:lang w:val="bg-BG"/>
        </w:rPr>
        <w:tab/>
      </w:r>
      <w:r w:rsidRPr="00952162">
        <w:rPr>
          <w:rFonts w:eastAsia="Times New Roman"/>
          <w:b/>
          <w:i/>
          <w:lang w:val="bg-BG"/>
        </w:rPr>
        <w:t xml:space="preserve">Производителят обосновава </w:t>
      </w:r>
      <w:r w:rsidRPr="00952162">
        <w:rPr>
          <w:rFonts w:eastAsia="Times New Roman"/>
          <w:lang w:val="bg-BG"/>
        </w:rPr>
        <w:t>всички твърдения</w:t>
      </w:r>
      <w:r w:rsidRPr="00952162">
        <w:rPr>
          <w:rFonts w:eastAsia="Times New Roman"/>
          <w:b/>
          <w:i/>
          <w:lang w:val="bg-BG"/>
        </w:rPr>
        <w:t>, направени по отношение</w:t>
      </w:r>
      <w:r w:rsidRPr="00952162">
        <w:rPr>
          <w:rFonts w:eastAsia="Times New Roman"/>
          <w:lang w:val="bg-BG"/>
        </w:rPr>
        <w:t xml:space="preserve"> на</w:t>
      </w:r>
      <w:r w:rsidRPr="00952162">
        <w:rPr>
          <w:rFonts w:eastAsia="Times New Roman"/>
          <w:strike/>
          <w:lang w:val="bg-BG"/>
        </w:rPr>
        <w:t xml:space="preserve"> производителя относно</w:t>
      </w:r>
      <w:r w:rsidRPr="00952162">
        <w:rPr>
          <w:rFonts w:eastAsia="Times New Roman"/>
          <w:lang w:val="bg-BG"/>
        </w:rPr>
        <w:t xml:space="preserve"> действията </w:t>
      </w:r>
      <w:proofErr w:type="spellStart"/>
      <w:r w:rsidRPr="00952162">
        <w:rPr>
          <w:rFonts w:eastAsia="Times New Roman"/>
          <w:strike/>
          <w:lang w:val="bg-BG"/>
        </w:rPr>
        <w:t>на</w:t>
      </w:r>
      <w:r w:rsidRPr="00952162">
        <w:rPr>
          <w:rFonts w:eastAsia="Times New Roman"/>
          <w:b/>
          <w:i/>
          <w:lang w:val="bg-BG"/>
        </w:rPr>
        <w:t>или</w:t>
      </w:r>
      <w:proofErr w:type="spellEnd"/>
      <w:r w:rsidRPr="00952162">
        <w:rPr>
          <w:rFonts w:eastAsia="Times New Roman"/>
          <w:b/>
          <w:i/>
          <w:lang w:val="bg-BG"/>
        </w:rPr>
        <w:t xml:space="preserve"> резултатите от</w:t>
      </w:r>
      <w:r w:rsidRPr="00952162">
        <w:rPr>
          <w:rFonts w:eastAsia="Times New Roman"/>
          <w:lang w:val="bg-BG"/>
        </w:rPr>
        <w:t xml:space="preserve"> микроорганизмите, съдържащи се в продукта, </w:t>
      </w:r>
      <w:r w:rsidRPr="00952162">
        <w:rPr>
          <w:rFonts w:eastAsia="Times New Roman"/>
          <w:strike/>
          <w:lang w:val="bg-BG"/>
        </w:rPr>
        <w:t xml:space="preserve">се подкрепят </w:t>
      </w:r>
      <w:proofErr w:type="spellStart"/>
      <w:r w:rsidRPr="00952162">
        <w:rPr>
          <w:rFonts w:eastAsia="Times New Roman"/>
          <w:strike/>
          <w:lang w:val="bg-BG"/>
        </w:rPr>
        <w:t>от</w:t>
      </w:r>
      <w:r w:rsidRPr="00952162">
        <w:rPr>
          <w:rFonts w:eastAsia="Times New Roman"/>
          <w:b/>
          <w:i/>
          <w:lang w:val="bg-BG"/>
        </w:rPr>
        <w:t>с</w:t>
      </w:r>
      <w:proofErr w:type="spellEnd"/>
      <w:r w:rsidRPr="00952162">
        <w:rPr>
          <w:rFonts w:eastAsia="Times New Roman"/>
          <w:b/>
          <w:i/>
          <w:lang w:val="bg-BG"/>
        </w:rPr>
        <w:t xml:space="preserve"> подходящи</w:t>
      </w:r>
      <w:r w:rsidRPr="00952162">
        <w:rPr>
          <w:rFonts w:eastAsia="Times New Roman"/>
          <w:lang w:val="bg-BG"/>
        </w:rPr>
        <w:t xml:space="preserve"> изпитвания</w:t>
      </w:r>
      <w:r w:rsidRPr="00952162">
        <w:rPr>
          <w:rFonts w:eastAsia="Times New Roman"/>
          <w:strike/>
          <w:lang w:val="bg-BG"/>
        </w:rPr>
        <w:t>, проведени от трети страни</w:t>
      </w:r>
      <w:r w:rsidRPr="00952162">
        <w:rPr>
          <w:rFonts w:eastAsia="Times New Roman"/>
          <w:b/>
          <w:i/>
          <w:lang w:val="bg-BG"/>
        </w:rPr>
        <w:t>. Тези изпитвания се проверяват от независима трета страна</w:t>
      </w:r>
      <w:r w:rsidRPr="00952162">
        <w:rPr>
          <w:rFonts w:eastAsia="Times New Roman"/>
          <w:lang w:val="bg-BG"/>
        </w:rPr>
        <w:t>.</w:t>
      </w:r>
      <w:r w:rsidR="00EA54B9">
        <w:rPr>
          <w:rFonts w:eastAsia="Times New Roman"/>
          <w:b/>
          <w:lang w:val="bg-BG"/>
        </w:rPr>
        <w:t xml:space="preserve"> [Изм. 131]</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10.</w:t>
      </w:r>
      <w:r w:rsidRPr="00952162">
        <w:rPr>
          <w:rFonts w:eastAsia="Times New Roman"/>
          <w:lang w:val="bg-BG"/>
        </w:rPr>
        <w:tab/>
        <w:t xml:space="preserve">Забранено е да се твърди или да се внушава върху етикета или по друг начин, че </w:t>
      </w:r>
      <w:proofErr w:type="spellStart"/>
      <w:r w:rsidRPr="00952162">
        <w:rPr>
          <w:rFonts w:eastAsia="Times New Roman"/>
          <w:lang w:val="bg-BG"/>
        </w:rPr>
        <w:t>детергентът</w:t>
      </w:r>
      <w:proofErr w:type="spellEnd"/>
      <w:r w:rsidRPr="00952162">
        <w:rPr>
          <w:rFonts w:eastAsia="Times New Roman"/>
          <w:lang w:val="bg-BG"/>
        </w:rPr>
        <w:t xml:space="preserve"> има </w:t>
      </w:r>
      <w:proofErr w:type="spellStart"/>
      <w:r w:rsidRPr="00952162">
        <w:rPr>
          <w:rFonts w:eastAsia="Times New Roman"/>
          <w:lang w:val="bg-BG"/>
        </w:rPr>
        <w:t>антимикробно</w:t>
      </w:r>
      <w:proofErr w:type="spellEnd"/>
      <w:r w:rsidRPr="00952162">
        <w:rPr>
          <w:rFonts w:eastAsia="Times New Roman"/>
          <w:lang w:val="bg-BG"/>
        </w:rPr>
        <w:t xml:space="preserve"> или дезинфекциращо действие, освен ако </w:t>
      </w:r>
      <w:proofErr w:type="spellStart"/>
      <w:r w:rsidRPr="00952162">
        <w:rPr>
          <w:rFonts w:eastAsia="Times New Roman"/>
          <w:lang w:val="bg-BG"/>
        </w:rPr>
        <w:t>детергентът</w:t>
      </w:r>
      <w:proofErr w:type="spellEnd"/>
      <w:r w:rsidRPr="00952162">
        <w:rPr>
          <w:rFonts w:eastAsia="Times New Roman"/>
          <w:lang w:val="bg-BG"/>
        </w:rPr>
        <w:t xml:space="preserve"> не отговаря на изискванията на Регламент (ЕС) № 528/2012.</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11.</w:t>
      </w:r>
      <w:r w:rsidRPr="00952162">
        <w:rPr>
          <w:rFonts w:eastAsia="Times New Roman"/>
          <w:lang w:val="bg-BG"/>
        </w:rPr>
        <w:tab/>
        <w:t>Посочените в точки 2, 5, 6, 7 и 9 изпитвания се извършват от лаборатории, които отговарят на някое от следните условия: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лабораториите спазват принципите на добра лабораторна практика, предвидени в Директива 2004/10/ЕО на Европейския парламент и на Съвета</w:t>
      </w:r>
      <w:r w:rsidRPr="00952162">
        <w:rPr>
          <w:rFonts w:eastAsia="Times New Roman"/>
          <w:vertAlign w:val="superscript"/>
          <w:lang w:val="bg-BG"/>
        </w:rPr>
        <w:footnoteReference w:customMarkFollows="1" w:id="30"/>
        <w:t>2</w:t>
      </w:r>
      <w:r w:rsidRPr="00952162">
        <w:rPr>
          <w:rFonts w:eastAsia="Times New Roman"/>
          <w:lang w:val="bg-BG"/>
        </w:rPr>
        <w:t>, или международни стандарти, признати за еквивалентни;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лабораториите са акредитирани в съответствие със стандарта за лабораториите, посочен в Регламент (ЕО) № 765/2008.</w:t>
      </w:r>
    </w:p>
    <w:p w:rsidR="00952162" w:rsidRPr="00952162" w:rsidRDefault="00952162" w:rsidP="00952162">
      <w:pPr>
        <w:widowControl w:val="0"/>
        <w:spacing w:before="120" w:after="120" w:line="360" w:lineRule="auto"/>
        <w:jc w:val="left"/>
        <w:rPr>
          <w:rFonts w:eastAsia="Times New Roman"/>
          <w:lang w:val="bg-BG"/>
        </w:rPr>
        <w:sectPr w:rsidR="00952162" w:rsidRPr="00952162">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III</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ОГРАНИЧЕНИЯ ПО ОТНОШЕНИЕ НА СЪДЪРЖАНИЕТО НА ФОСФАТИ И ДРУГИ ФОСФОРНИ СЪЕДИНЕНИЯ, ПОСОЧЕНИ В ЧЛЕН 6</w:t>
      </w:r>
    </w:p>
    <w:tbl>
      <w:tblPr>
        <w:tblStyle w:val="TableGrid"/>
        <w:tblW w:w="0" w:type="auto"/>
        <w:tblLook w:val="04A0" w:firstRow="1" w:lastRow="0" w:firstColumn="1" w:lastColumn="0" w:noHBand="0" w:noVBand="1"/>
      </w:tblPr>
      <w:tblGrid>
        <w:gridCol w:w="4521"/>
        <w:gridCol w:w="4544"/>
      </w:tblGrid>
      <w:tr w:rsidR="00952162" w:rsidRPr="00952162" w:rsidTr="008A6BB8">
        <w:tc>
          <w:tcPr>
            <w:tcW w:w="4521" w:type="dxa"/>
            <w:tcBorders>
              <w:top w:val="single" w:sz="4" w:space="0" w:color="auto"/>
              <w:left w:val="single" w:sz="4" w:space="0" w:color="auto"/>
              <w:bottom w:val="single" w:sz="4" w:space="0" w:color="auto"/>
              <w:right w:val="single" w:sz="4" w:space="0" w:color="auto"/>
            </w:tcBorders>
            <w:hideMark/>
          </w:tcPr>
          <w:p w:rsidR="00952162" w:rsidRPr="00952162" w:rsidRDefault="00952162" w:rsidP="00952162">
            <w:pPr>
              <w:widowControl w:val="0"/>
              <w:spacing w:after="120"/>
              <w:jc w:val="left"/>
              <w:rPr>
                <w:szCs w:val="20"/>
                <w:lang w:val="bg-BG"/>
              </w:rPr>
            </w:pPr>
            <w:proofErr w:type="spellStart"/>
            <w:r w:rsidRPr="00952162">
              <w:rPr>
                <w:szCs w:val="20"/>
                <w:lang w:val="bg-BG"/>
              </w:rPr>
              <w:t>Детергент</w:t>
            </w:r>
            <w:proofErr w:type="spellEnd"/>
          </w:p>
        </w:tc>
        <w:tc>
          <w:tcPr>
            <w:tcW w:w="4544" w:type="dxa"/>
            <w:tcBorders>
              <w:top w:val="single" w:sz="4" w:space="0" w:color="auto"/>
              <w:left w:val="single" w:sz="4" w:space="0" w:color="auto"/>
              <w:bottom w:val="single" w:sz="4" w:space="0" w:color="auto"/>
              <w:right w:val="single" w:sz="4" w:space="0" w:color="auto"/>
            </w:tcBorders>
            <w:hideMark/>
          </w:tcPr>
          <w:p w:rsidR="00952162" w:rsidRPr="00952162" w:rsidRDefault="00952162" w:rsidP="00952162">
            <w:pPr>
              <w:widowControl w:val="0"/>
              <w:spacing w:after="120"/>
              <w:jc w:val="left"/>
              <w:rPr>
                <w:szCs w:val="20"/>
                <w:lang w:val="bg-BG"/>
              </w:rPr>
            </w:pPr>
            <w:r w:rsidRPr="00952162">
              <w:rPr>
                <w:szCs w:val="20"/>
                <w:lang w:val="bg-BG"/>
              </w:rPr>
              <w:t>Ограничения</w:t>
            </w:r>
          </w:p>
        </w:tc>
      </w:tr>
      <w:tr w:rsidR="00952162" w:rsidRPr="00D46023" w:rsidTr="008A6BB8">
        <w:tc>
          <w:tcPr>
            <w:tcW w:w="4521" w:type="dxa"/>
            <w:tcBorders>
              <w:top w:val="single" w:sz="4" w:space="0" w:color="auto"/>
              <w:left w:val="single" w:sz="4" w:space="0" w:color="auto"/>
              <w:bottom w:val="single" w:sz="4" w:space="0" w:color="auto"/>
              <w:right w:val="single" w:sz="4" w:space="0" w:color="auto"/>
            </w:tcBorders>
            <w:hideMark/>
          </w:tcPr>
          <w:p w:rsidR="00952162" w:rsidRPr="00952162" w:rsidRDefault="00952162" w:rsidP="00952162">
            <w:pPr>
              <w:widowControl w:val="0"/>
              <w:spacing w:after="120"/>
              <w:jc w:val="left"/>
              <w:rPr>
                <w:szCs w:val="20"/>
                <w:lang w:val="bg-BG"/>
              </w:rPr>
            </w:pPr>
            <w:r w:rsidRPr="00952162">
              <w:rPr>
                <w:szCs w:val="20"/>
                <w:lang w:val="bg-BG"/>
              </w:rPr>
              <w:t xml:space="preserve">Потребителски перилни </w:t>
            </w:r>
            <w:proofErr w:type="spellStart"/>
            <w:r w:rsidRPr="00952162">
              <w:rPr>
                <w:szCs w:val="20"/>
                <w:lang w:val="bg-BG"/>
              </w:rPr>
              <w:t>детергенти</w:t>
            </w:r>
            <w:proofErr w:type="spellEnd"/>
          </w:p>
        </w:tc>
        <w:tc>
          <w:tcPr>
            <w:tcW w:w="4544" w:type="dxa"/>
            <w:tcBorders>
              <w:top w:val="single" w:sz="4" w:space="0" w:color="auto"/>
              <w:left w:val="single" w:sz="4" w:space="0" w:color="auto"/>
              <w:bottom w:val="single" w:sz="4" w:space="0" w:color="auto"/>
              <w:right w:val="single" w:sz="4" w:space="0" w:color="auto"/>
            </w:tcBorders>
            <w:hideMark/>
          </w:tcPr>
          <w:p w:rsidR="00952162" w:rsidRPr="00952162" w:rsidRDefault="00952162" w:rsidP="00952162">
            <w:pPr>
              <w:widowControl w:val="0"/>
              <w:spacing w:after="120"/>
              <w:jc w:val="left"/>
              <w:rPr>
                <w:szCs w:val="20"/>
                <w:lang w:val="bg-BG"/>
              </w:rPr>
            </w:pPr>
            <w:r w:rsidRPr="00960D75">
              <w:rPr>
                <w:b/>
                <w:i/>
                <w:szCs w:val="20"/>
                <w:lang w:val="bg-BG"/>
              </w:rPr>
              <w:t>1.</w:t>
            </w:r>
            <w:r w:rsidRPr="00952162">
              <w:rPr>
                <w:i/>
                <w:szCs w:val="20"/>
                <w:lang w:val="bg-BG"/>
              </w:rPr>
              <w:t xml:space="preserve"> </w:t>
            </w:r>
            <w:r w:rsidRPr="00952162">
              <w:rPr>
                <w:szCs w:val="20"/>
                <w:lang w:val="bg-BG"/>
              </w:rPr>
              <w:t xml:space="preserve">Не могат да бъдат пускани на пазара, ако общото тегловно съдържание на фосфор е 0,5 грама или повече в препоръчителното количество </w:t>
            </w:r>
            <w:proofErr w:type="spellStart"/>
            <w:r w:rsidRPr="00952162">
              <w:rPr>
                <w:szCs w:val="20"/>
                <w:lang w:val="bg-BG"/>
              </w:rPr>
              <w:t>детергент</w:t>
            </w:r>
            <w:proofErr w:type="spellEnd"/>
            <w:r w:rsidRPr="00952162">
              <w:rPr>
                <w:szCs w:val="20"/>
                <w:lang w:val="bg-BG"/>
              </w:rPr>
              <w:t>, което следва да се използва при основния цикъл от процеса на изпиране за стандартно зареждане на перална машина, както е определено в част Б от приложение V, за твърда вода:</w:t>
            </w:r>
          </w:p>
          <w:p w:rsidR="00952162" w:rsidRPr="00952162" w:rsidRDefault="00952162" w:rsidP="00952162">
            <w:pPr>
              <w:widowControl w:val="0"/>
              <w:spacing w:after="120"/>
              <w:jc w:val="left"/>
              <w:rPr>
                <w:szCs w:val="20"/>
                <w:lang w:val="bg-BG"/>
              </w:rPr>
            </w:pPr>
            <w:r w:rsidRPr="00952162">
              <w:rPr>
                <w:i/>
                <w:szCs w:val="20"/>
                <w:lang w:val="bg-BG"/>
              </w:rPr>
              <w:t>-</w:t>
            </w:r>
            <w:r w:rsidRPr="00952162">
              <w:rPr>
                <w:szCs w:val="20"/>
                <w:lang w:val="bg-BG"/>
              </w:rPr>
              <w:t xml:space="preserve"> за „нормално замърсени“ текстилни изделия в случай на „класически“ </w:t>
            </w:r>
            <w:proofErr w:type="spellStart"/>
            <w:r w:rsidRPr="00952162">
              <w:rPr>
                <w:szCs w:val="20"/>
                <w:lang w:val="bg-BG"/>
              </w:rPr>
              <w:t>детергенти</w:t>
            </w:r>
            <w:proofErr w:type="spellEnd"/>
            <w:r w:rsidRPr="00952162">
              <w:rPr>
                <w:szCs w:val="20"/>
                <w:lang w:val="bg-BG"/>
              </w:rPr>
              <w:t>;</w:t>
            </w:r>
          </w:p>
          <w:p w:rsidR="00952162" w:rsidRPr="00952162" w:rsidRDefault="00952162" w:rsidP="00952162">
            <w:pPr>
              <w:widowControl w:val="0"/>
              <w:spacing w:after="120"/>
              <w:jc w:val="left"/>
              <w:rPr>
                <w:szCs w:val="20"/>
                <w:lang w:val="bg-BG"/>
              </w:rPr>
            </w:pPr>
            <w:r w:rsidRPr="00952162">
              <w:rPr>
                <w:i/>
                <w:szCs w:val="20"/>
                <w:lang w:val="bg-BG"/>
              </w:rPr>
              <w:t>-</w:t>
            </w:r>
            <w:r w:rsidRPr="00952162">
              <w:rPr>
                <w:szCs w:val="20"/>
                <w:lang w:val="bg-BG"/>
              </w:rPr>
              <w:t xml:space="preserve"> за „леко замърсени“ текстилни изделия в случай на </w:t>
            </w:r>
            <w:proofErr w:type="spellStart"/>
            <w:r w:rsidRPr="00952162">
              <w:rPr>
                <w:szCs w:val="20"/>
                <w:lang w:val="bg-BG"/>
              </w:rPr>
              <w:t>детергенти</w:t>
            </w:r>
            <w:proofErr w:type="spellEnd"/>
            <w:r w:rsidRPr="00952162">
              <w:rPr>
                <w:szCs w:val="20"/>
                <w:lang w:val="bg-BG"/>
              </w:rPr>
              <w:t xml:space="preserve"> за пране на фини текстилни изделия.</w:t>
            </w:r>
          </w:p>
          <w:p w:rsidR="00952162" w:rsidRPr="00960D75" w:rsidRDefault="00952162" w:rsidP="00952162">
            <w:pPr>
              <w:widowControl w:val="0"/>
              <w:spacing w:after="120"/>
              <w:jc w:val="left"/>
              <w:rPr>
                <w:b/>
                <w:i/>
                <w:szCs w:val="20"/>
                <w:lang w:val="bg-BG"/>
              </w:rPr>
            </w:pPr>
            <w:r w:rsidRPr="00960D75">
              <w:rPr>
                <w:b/>
                <w:i/>
                <w:szCs w:val="20"/>
                <w:lang w:val="bg-BG"/>
              </w:rPr>
              <w:t>2. Не съдържат фосфати.</w:t>
            </w:r>
          </w:p>
          <w:p w:rsidR="00952162" w:rsidRPr="00960D75" w:rsidRDefault="00952162" w:rsidP="00952162">
            <w:pPr>
              <w:widowControl w:val="0"/>
              <w:spacing w:after="120"/>
              <w:jc w:val="left"/>
              <w:rPr>
                <w:b/>
                <w:i/>
                <w:szCs w:val="20"/>
                <w:lang w:val="bg-BG"/>
              </w:rPr>
            </w:pPr>
            <w:r w:rsidRPr="00960D75">
              <w:rPr>
                <w:b/>
                <w:i/>
                <w:szCs w:val="20"/>
                <w:lang w:val="bg-BG"/>
              </w:rPr>
              <w:t>3. Не могат да бъдат пускани на пазара в срок до ... [4 години от влизането в сила на настоящия регламент], ако общото тегловно съдържание на фосфор е равно на или над</w:t>
            </w:r>
            <w:r w:rsidR="00960D75">
              <w:rPr>
                <w:b/>
                <w:i/>
                <w:szCs w:val="20"/>
                <w:lang w:val="bg-BG"/>
              </w:rPr>
              <w:t>:</w:t>
            </w:r>
          </w:p>
          <w:p w:rsidR="00952162" w:rsidRPr="00960D75" w:rsidRDefault="00952162" w:rsidP="00952162">
            <w:pPr>
              <w:widowControl w:val="0"/>
              <w:spacing w:after="120"/>
              <w:jc w:val="left"/>
              <w:rPr>
                <w:b/>
                <w:i/>
                <w:szCs w:val="20"/>
                <w:lang w:val="bg-BG"/>
              </w:rPr>
            </w:pPr>
            <w:r w:rsidRPr="00960D75">
              <w:rPr>
                <w:b/>
                <w:i/>
                <w:szCs w:val="20"/>
                <w:lang w:val="bg-BG"/>
              </w:rPr>
              <w:t xml:space="preserve">- 0, 1 g за „леко замърсени“ текстилни изделия в случай на </w:t>
            </w:r>
            <w:proofErr w:type="spellStart"/>
            <w:r w:rsidRPr="00960D75">
              <w:rPr>
                <w:b/>
                <w:i/>
                <w:szCs w:val="20"/>
                <w:lang w:val="bg-BG"/>
              </w:rPr>
              <w:t>детергенти</w:t>
            </w:r>
            <w:proofErr w:type="spellEnd"/>
            <w:r w:rsidRPr="00960D75">
              <w:rPr>
                <w:b/>
                <w:i/>
                <w:szCs w:val="20"/>
                <w:lang w:val="bg-BG"/>
              </w:rPr>
              <w:t xml:space="preserve"> за фини текстилни изделия;</w:t>
            </w:r>
          </w:p>
          <w:p w:rsidR="00952162" w:rsidRPr="00960D75" w:rsidRDefault="00952162" w:rsidP="00952162">
            <w:pPr>
              <w:widowControl w:val="0"/>
              <w:spacing w:after="120"/>
              <w:jc w:val="left"/>
              <w:rPr>
                <w:b/>
                <w:i/>
                <w:szCs w:val="20"/>
                <w:lang w:val="bg-BG"/>
              </w:rPr>
            </w:pPr>
            <w:r w:rsidRPr="00960D75">
              <w:rPr>
                <w:b/>
                <w:i/>
                <w:szCs w:val="20"/>
                <w:lang w:val="bg-BG"/>
              </w:rPr>
              <w:t xml:space="preserve">- 0, 25 g за „нормално замърсени“ текстилни изделия в случай на „класически“ </w:t>
            </w:r>
            <w:proofErr w:type="spellStart"/>
            <w:r w:rsidRPr="00960D75">
              <w:rPr>
                <w:b/>
                <w:i/>
                <w:szCs w:val="20"/>
                <w:lang w:val="bg-BG"/>
              </w:rPr>
              <w:t>детергенти</w:t>
            </w:r>
            <w:proofErr w:type="spellEnd"/>
            <w:r w:rsidRPr="00960D75">
              <w:rPr>
                <w:b/>
                <w:i/>
                <w:szCs w:val="20"/>
                <w:lang w:val="bg-BG"/>
              </w:rPr>
              <w:t>;</w:t>
            </w:r>
          </w:p>
          <w:p w:rsidR="00952162" w:rsidRPr="00960D75" w:rsidRDefault="00952162" w:rsidP="00952162">
            <w:pPr>
              <w:widowControl w:val="0"/>
              <w:spacing w:after="120"/>
              <w:jc w:val="left"/>
              <w:rPr>
                <w:b/>
                <w:i/>
                <w:szCs w:val="20"/>
                <w:lang w:val="bg-BG"/>
              </w:rPr>
            </w:pPr>
            <w:r w:rsidRPr="00960D75">
              <w:rPr>
                <w:b/>
                <w:i/>
                <w:szCs w:val="20"/>
                <w:lang w:val="bg-BG"/>
              </w:rPr>
              <w:t>- 0,045 g за препарати за отстраняване</w:t>
            </w:r>
            <w:r w:rsidR="00960D75">
              <w:rPr>
                <w:b/>
                <w:i/>
                <w:szCs w:val="20"/>
                <w:lang w:val="bg-BG"/>
              </w:rPr>
              <w:t xml:space="preserve"> на петна, използвани при пране;</w:t>
            </w:r>
          </w:p>
          <w:p w:rsidR="00952162" w:rsidRPr="00960D75" w:rsidRDefault="00952162" w:rsidP="00952162">
            <w:pPr>
              <w:widowControl w:val="0"/>
              <w:spacing w:after="120"/>
              <w:jc w:val="left"/>
              <w:rPr>
                <w:b/>
                <w:i/>
                <w:szCs w:val="20"/>
                <w:lang w:val="bg-BG"/>
              </w:rPr>
            </w:pPr>
            <w:r w:rsidRPr="00960D75">
              <w:rPr>
                <w:b/>
                <w:i/>
                <w:szCs w:val="20"/>
                <w:lang w:val="bg-BG"/>
              </w:rPr>
              <w:t>- 0,023 g за препарати за отстраняване на петна, използвани за п</w:t>
            </w:r>
            <w:r w:rsidR="00960D75">
              <w:rPr>
                <w:b/>
                <w:i/>
                <w:szCs w:val="20"/>
                <w:lang w:val="bg-BG"/>
              </w:rPr>
              <w:t>редварителна обработка;</w:t>
            </w:r>
          </w:p>
          <w:p w:rsidR="00952162" w:rsidRPr="00952162" w:rsidRDefault="00952162" w:rsidP="00952162">
            <w:pPr>
              <w:widowControl w:val="0"/>
              <w:spacing w:after="120"/>
              <w:jc w:val="left"/>
              <w:rPr>
                <w:i/>
                <w:szCs w:val="20"/>
                <w:lang w:val="bg-BG"/>
              </w:rPr>
            </w:pPr>
            <w:r w:rsidRPr="00960D75">
              <w:rPr>
                <w:b/>
                <w:i/>
                <w:szCs w:val="20"/>
                <w:lang w:val="bg-BG"/>
              </w:rPr>
              <w:t xml:space="preserve">в препоръчителното количество </w:t>
            </w:r>
            <w:proofErr w:type="spellStart"/>
            <w:r w:rsidRPr="00960D75">
              <w:rPr>
                <w:b/>
                <w:i/>
                <w:szCs w:val="20"/>
                <w:lang w:val="bg-BG"/>
              </w:rPr>
              <w:t>детергент</w:t>
            </w:r>
            <w:proofErr w:type="spellEnd"/>
            <w:r w:rsidRPr="00960D75">
              <w:rPr>
                <w:b/>
                <w:i/>
                <w:szCs w:val="20"/>
                <w:lang w:val="bg-BG"/>
              </w:rPr>
              <w:t>, което следва да се използва при основния цикъл от процеса на изпиране за стандартно зареждане на перална машина, както е опре</w:t>
            </w:r>
            <w:r w:rsidR="00960D75">
              <w:rPr>
                <w:b/>
                <w:i/>
                <w:szCs w:val="20"/>
                <w:lang w:val="bg-BG"/>
              </w:rPr>
              <w:t>делено в част Б от приложение V.</w:t>
            </w:r>
          </w:p>
        </w:tc>
      </w:tr>
      <w:tr w:rsidR="00952162" w:rsidRPr="00D46023" w:rsidTr="008A6BB8">
        <w:tc>
          <w:tcPr>
            <w:tcW w:w="4521" w:type="dxa"/>
            <w:tcBorders>
              <w:top w:val="single" w:sz="4" w:space="0" w:color="auto"/>
              <w:left w:val="single" w:sz="4" w:space="0" w:color="auto"/>
              <w:bottom w:val="single" w:sz="4" w:space="0" w:color="auto"/>
              <w:right w:val="single" w:sz="4" w:space="0" w:color="auto"/>
            </w:tcBorders>
            <w:hideMark/>
          </w:tcPr>
          <w:p w:rsidR="00952162" w:rsidRPr="00952162" w:rsidRDefault="00952162" w:rsidP="00952162">
            <w:pPr>
              <w:widowControl w:val="0"/>
              <w:spacing w:after="120"/>
              <w:jc w:val="left"/>
              <w:rPr>
                <w:szCs w:val="20"/>
                <w:lang w:val="bg-BG"/>
              </w:rPr>
            </w:pPr>
            <w:r w:rsidRPr="00952162">
              <w:rPr>
                <w:szCs w:val="20"/>
                <w:lang w:val="bg-BG"/>
              </w:rPr>
              <w:t xml:space="preserve">Потребителски </w:t>
            </w:r>
            <w:proofErr w:type="spellStart"/>
            <w:r w:rsidRPr="00952162">
              <w:rPr>
                <w:szCs w:val="20"/>
                <w:lang w:val="bg-BG"/>
              </w:rPr>
              <w:t>детергенти</w:t>
            </w:r>
            <w:proofErr w:type="spellEnd"/>
            <w:r w:rsidRPr="00952162">
              <w:rPr>
                <w:szCs w:val="20"/>
                <w:lang w:val="bg-BG"/>
              </w:rPr>
              <w:t xml:space="preserve"> за автоматични съдомиялни машини</w:t>
            </w:r>
          </w:p>
        </w:tc>
        <w:tc>
          <w:tcPr>
            <w:tcW w:w="4544" w:type="dxa"/>
            <w:tcBorders>
              <w:top w:val="single" w:sz="4" w:space="0" w:color="auto"/>
              <w:left w:val="single" w:sz="4" w:space="0" w:color="auto"/>
              <w:bottom w:val="single" w:sz="4" w:space="0" w:color="auto"/>
              <w:right w:val="single" w:sz="4" w:space="0" w:color="auto"/>
            </w:tcBorders>
            <w:hideMark/>
          </w:tcPr>
          <w:p w:rsidR="00952162" w:rsidRPr="00952162" w:rsidRDefault="00952162" w:rsidP="00952162">
            <w:pPr>
              <w:widowControl w:val="0"/>
              <w:spacing w:after="120"/>
              <w:jc w:val="left"/>
              <w:rPr>
                <w:szCs w:val="20"/>
                <w:lang w:val="bg-BG"/>
              </w:rPr>
            </w:pPr>
            <w:r w:rsidRPr="00960D75">
              <w:rPr>
                <w:b/>
                <w:i/>
                <w:szCs w:val="20"/>
                <w:lang w:val="bg-BG"/>
              </w:rPr>
              <w:t>1.</w:t>
            </w:r>
            <w:r w:rsidRPr="00952162">
              <w:rPr>
                <w:i/>
                <w:szCs w:val="20"/>
                <w:lang w:val="bg-BG"/>
              </w:rPr>
              <w:t xml:space="preserve"> </w:t>
            </w:r>
            <w:r w:rsidRPr="00952162">
              <w:rPr>
                <w:szCs w:val="20"/>
                <w:lang w:val="bg-BG"/>
              </w:rPr>
              <w:t xml:space="preserve">Не могат да бъдат пускани на пазара, ако общото тегловно съдържание на </w:t>
            </w:r>
            <w:r w:rsidRPr="00952162">
              <w:rPr>
                <w:szCs w:val="20"/>
                <w:lang w:val="bg-BG"/>
              </w:rPr>
              <w:lastRenderedPageBreak/>
              <w:t>фосфор е 0,3 грама или повече за стандартна доза, както е определено в част Б от приложение V.</w:t>
            </w:r>
          </w:p>
          <w:p w:rsidR="00952162" w:rsidRPr="00960D75" w:rsidRDefault="00952162" w:rsidP="00952162">
            <w:pPr>
              <w:widowControl w:val="0"/>
              <w:spacing w:after="120"/>
              <w:jc w:val="left"/>
              <w:rPr>
                <w:b/>
                <w:i/>
                <w:szCs w:val="20"/>
                <w:lang w:val="bg-BG"/>
              </w:rPr>
            </w:pPr>
            <w:r w:rsidRPr="00960D75">
              <w:rPr>
                <w:b/>
                <w:i/>
                <w:szCs w:val="20"/>
                <w:lang w:val="bg-BG"/>
              </w:rPr>
              <w:t>2. Не съдържат фосфати.</w:t>
            </w:r>
          </w:p>
          <w:p w:rsidR="00952162" w:rsidRPr="00960D75" w:rsidRDefault="00952162" w:rsidP="00952162">
            <w:pPr>
              <w:widowControl w:val="0"/>
              <w:spacing w:after="120"/>
              <w:jc w:val="left"/>
              <w:rPr>
                <w:b/>
                <w:i/>
                <w:szCs w:val="20"/>
                <w:lang w:val="bg-BG"/>
              </w:rPr>
            </w:pPr>
            <w:r w:rsidRPr="00960D75">
              <w:rPr>
                <w:b/>
                <w:i/>
                <w:szCs w:val="20"/>
                <w:lang w:val="bg-BG"/>
              </w:rPr>
              <w:t>3. Не могат да бъдат пускани на пазара в срок до ... [4 години от влизането в сила на настоящия регламент], ако общото тегловно съдържание на фосфор е равно на или над</w:t>
            </w:r>
            <w:r w:rsidR="00960D75">
              <w:rPr>
                <w:b/>
                <w:i/>
                <w:szCs w:val="20"/>
                <w:lang w:val="bg-BG"/>
              </w:rPr>
              <w:t>:</w:t>
            </w:r>
          </w:p>
          <w:p w:rsidR="00952162" w:rsidRPr="00960D75" w:rsidRDefault="00952162" w:rsidP="00952162">
            <w:pPr>
              <w:widowControl w:val="0"/>
              <w:spacing w:after="120"/>
              <w:jc w:val="left"/>
              <w:rPr>
                <w:b/>
                <w:i/>
                <w:szCs w:val="20"/>
                <w:lang w:val="bg-BG"/>
              </w:rPr>
            </w:pPr>
            <w:r w:rsidRPr="00960D75">
              <w:rPr>
                <w:b/>
                <w:i/>
                <w:szCs w:val="20"/>
                <w:lang w:val="bg-BG"/>
              </w:rPr>
              <w:t xml:space="preserve">- 0, 2 g на измиване в </w:t>
            </w:r>
            <w:proofErr w:type="spellStart"/>
            <w:r w:rsidRPr="00960D75">
              <w:rPr>
                <w:b/>
                <w:i/>
                <w:szCs w:val="20"/>
                <w:lang w:val="bg-BG"/>
              </w:rPr>
              <w:t>де</w:t>
            </w:r>
            <w:r w:rsidR="00960D75">
              <w:rPr>
                <w:b/>
                <w:i/>
                <w:szCs w:val="20"/>
                <w:lang w:val="bg-BG"/>
              </w:rPr>
              <w:t>тергентите</w:t>
            </w:r>
            <w:proofErr w:type="spellEnd"/>
            <w:r w:rsidR="00960D75">
              <w:rPr>
                <w:b/>
                <w:i/>
                <w:szCs w:val="20"/>
                <w:lang w:val="bg-BG"/>
              </w:rPr>
              <w:t xml:space="preserve"> за съдомиялни машини;</w:t>
            </w:r>
          </w:p>
          <w:p w:rsidR="00952162" w:rsidRPr="00952162" w:rsidRDefault="00952162" w:rsidP="00952162">
            <w:pPr>
              <w:widowControl w:val="0"/>
              <w:spacing w:after="120"/>
              <w:jc w:val="left"/>
              <w:rPr>
                <w:i/>
                <w:szCs w:val="20"/>
                <w:lang w:val="bg-BG"/>
              </w:rPr>
            </w:pPr>
            <w:r w:rsidRPr="00960D75">
              <w:rPr>
                <w:b/>
                <w:i/>
                <w:szCs w:val="20"/>
                <w:lang w:val="bg-BG"/>
              </w:rPr>
              <w:t>- 0,03 g на измиване в помощни средства за изплакване.</w:t>
            </w:r>
          </w:p>
        </w:tc>
      </w:tr>
      <w:tr w:rsidR="00952162" w:rsidRPr="00D46023" w:rsidTr="008A6BB8">
        <w:tc>
          <w:tcPr>
            <w:tcW w:w="4521"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lastRenderedPageBreak/>
              <w:t xml:space="preserve">Потребителски </w:t>
            </w:r>
            <w:proofErr w:type="spellStart"/>
            <w:r w:rsidRPr="00960D75">
              <w:rPr>
                <w:b/>
                <w:i/>
                <w:szCs w:val="20"/>
                <w:lang w:val="bg-BG"/>
              </w:rPr>
              <w:t>детергенти</w:t>
            </w:r>
            <w:proofErr w:type="spellEnd"/>
            <w:r w:rsidRPr="00960D75">
              <w:rPr>
                <w:b/>
                <w:i/>
                <w:szCs w:val="20"/>
                <w:lang w:val="bg-BG"/>
              </w:rPr>
              <w:t xml:space="preserve"> за миене на съдове на ръка</w:t>
            </w:r>
          </w:p>
        </w:tc>
        <w:tc>
          <w:tcPr>
            <w:tcW w:w="4544"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t>Не трябва да съдържат фосфати и други видове фосфор до... 4 години след влизането в сила на настоящия регламент].</w:t>
            </w:r>
          </w:p>
        </w:tc>
      </w:tr>
      <w:tr w:rsidR="00952162" w:rsidRPr="00D46023" w:rsidTr="008A6BB8">
        <w:tc>
          <w:tcPr>
            <w:tcW w:w="4521"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t>Потребителски почистващи препарати за твърди повърхности</w:t>
            </w:r>
          </w:p>
        </w:tc>
        <w:tc>
          <w:tcPr>
            <w:tcW w:w="4544"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t>1. Не съдържат фосфати.</w:t>
            </w:r>
          </w:p>
          <w:p w:rsidR="00952162" w:rsidRPr="00960D75" w:rsidRDefault="00952162" w:rsidP="00952162">
            <w:pPr>
              <w:widowControl w:val="0"/>
              <w:spacing w:after="120"/>
              <w:jc w:val="left"/>
              <w:rPr>
                <w:b/>
                <w:i/>
                <w:szCs w:val="20"/>
                <w:lang w:val="bg-BG"/>
              </w:rPr>
            </w:pPr>
            <w:r w:rsidRPr="00960D75">
              <w:rPr>
                <w:b/>
                <w:i/>
                <w:szCs w:val="20"/>
                <w:lang w:val="bg-BG"/>
              </w:rPr>
              <w:t>2. Универсалните почистващи средства и почистващите средства за прозорци не съдържат фосфор до... 4 години след влизането в сила на настоящия регламент].</w:t>
            </w:r>
          </w:p>
          <w:p w:rsidR="00952162" w:rsidRPr="00960D75" w:rsidRDefault="00952162" w:rsidP="00952162">
            <w:pPr>
              <w:widowControl w:val="0"/>
              <w:spacing w:after="120"/>
              <w:jc w:val="left"/>
              <w:rPr>
                <w:b/>
                <w:i/>
                <w:szCs w:val="20"/>
                <w:lang w:val="bg-BG"/>
              </w:rPr>
            </w:pPr>
            <w:r w:rsidRPr="00960D75">
              <w:rPr>
                <w:b/>
                <w:i/>
                <w:szCs w:val="20"/>
                <w:lang w:val="bg-BG"/>
              </w:rPr>
              <w:t>3. Почистващите препарати за кухня и почистващите препарати за санитарни помещения не могат да бъдат пускани на пазара, ако общото тегловно съдържание на фосфор е равно на или над: </w:t>
            </w:r>
          </w:p>
          <w:p w:rsidR="00952162" w:rsidRPr="00960D75" w:rsidRDefault="00960D75" w:rsidP="00952162">
            <w:pPr>
              <w:widowControl w:val="0"/>
              <w:spacing w:after="120"/>
              <w:jc w:val="left"/>
              <w:rPr>
                <w:b/>
                <w:i/>
                <w:szCs w:val="20"/>
                <w:lang w:val="bg-BG"/>
              </w:rPr>
            </w:pPr>
            <w:r w:rsidRPr="00960D75">
              <w:rPr>
                <w:b/>
                <w:i/>
                <w:szCs w:val="20"/>
                <w:lang w:val="bg-BG"/>
              </w:rPr>
              <w:t xml:space="preserve">- </w:t>
            </w:r>
            <w:r w:rsidR="00952162" w:rsidRPr="00960D75">
              <w:rPr>
                <w:b/>
                <w:i/>
                <w:szCs w:val="20"/>
                <w:lang w:val="bg-BG"/>
              </w:rPr>
              <w:t>2 g/l почистващ разтвор до ... [4 години след влизането в сила на настоящия регламент]</w:t>
            </w:r>
            <w:r>
              <w:rPr>
                <w:b/>
                <w:i/>
                <w:szCs w:val="20"/>
                <w:lang w:val="bg-BG"/>
              </w:rPr>
              <w:t>;</w:t>
            </w:r>
            <w:r w:rsidR="00952162" w:rsidRPr="00960D75">
              <w:rPr>
                <w:b/>
                <w:i/>
                <w:szCs w:val="20"/>
                <w:lang w:val="bg-BG"/>
              </w:rPr>
              <w:t xml:space="preserve"> и </w:t>
            </w:r>
          </w:p>
          <w:p w:rsidR="00952162" w:rsidRPr="00960D75" w:rsidRDefault="00960D75" w:rsidP="00952162">
            <w:pPr>
              <w:widowControl w:val="0"/>
              <w:spacing w:after="120"/>
              <w:jc w:val="left"/>
              <w:rPr>
                <w:b/>
                <w:i/>
                <w:szCs w:val="20"/>
                <w:lang w:val="bg-BG"/>
              </w:rPr>
            </w:pPr>
            <w:r w:rsidRPr="00960D75">
              <w:rPr>
                <w:b/>
                <w:i/>
                <w:szCs w:val="20"/>
                <w:lang w:val="bg-BG"/>
              </w:rPr>
              <w:t xml:space="preserve">- </w:t>
            </w:r>
            <w:r w:rsidR="00952162" w:rsidRPr="00960D75">
              <w:rPr>
                <w:b/>
                <w:i/>
                <w:szCs w:val="20"/>
                <w:lang w:val="bg-BG"/>
              </w:rPr>
              <w:t>1 g/l почистващ разтвор до ... [7 години след влизането в сила на настоящия регламент].</w:t>
            </w:r>
          </w:p>
        </w:tc>
      </w:tr>
      <w:tr w:rsidR="00952162" w:rsidRPr="00D46023" w:rsidTr="008A6BB8">
        <w:tc>
          <w:tcPr>
            <w:tcW w:w="4521"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t xml:space="preserve">Перилни </w:t>
            </w:r>
            <w:proofErr w:type="spellStart"/>
            <w:r w:rsidRPr="00960D75">
              <w:rPr>
                <w:b/>
                <w:i/>
                <w:szCs w:val="20"/>
                <w:lang w:val="bg-BG"/>
              </w:rPr>
              <w:t>детергенти</w:t>
            </w:r>
            <w:proofErr w:type="spellEnd"/>
            <w:r w:rsidRPr="00960D75">
              <w:rPr>
                <w:b/>
                <w:i/>
                <w:szCs w:val="20"/>
                <w:lang w:val="bg-BG"/>
              </w:rPr>
              <w:t xml:space="preserve"> за промишлени и учрежденски цели</w:t>
            </w:r>
          </w:p>
        </w:tc>
        <w:tc>
          <w:tcPr>
            <w:tcW w:w="4544"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t>Не могат да бъдат пускани на пазара в срок до ... [4 години от влизането в сила на настоящия регламент], ако общото тегловно съдържание на фосфор е равно на или над</w:t>
            </w:r>
            <w:r w:rsidR="00960D75">
              <w:rPr>
                <w:b/>
                <w:i/>
                <w:szCs w:val="20"/>
                <w:lang w:val="bg-BG"/>
              </w:rPr>
              <w:t>:</w:t>
            </w:r>
          </w:p>
          <w:p w:rsidR="00952162" w:rsidRPr="00960D75" w:rsidRDefault="00960D75" w:rsidP="00952162">
            <w:pPr>
              <w:widowControl w:val="0"/>
              <w:spacing w:after="120"/>
              <w:jc w:val="left"/>
              <w:rPr>
                <w:b/>
                <w:i/>
                <w:szCs w:val="20"/>
                <w:lang w:val="bg-BG"/>
              </w:rPr>
            </w:pPr>
            <w:r w:rsidRPr="00960D75">
              <w:rPr>
                <w:b/>
                <w:i/>
                <w:szCs w:val="20"/>
                <w:lang w:val="bg-BG"/>
              </w:rPr>
              <w:t xml:space="preserve">- </w:t>
            </w:r>
            <w:r w:rsidR="00952162" w:rsidRPr="00960D75">
              <w:rPr>
                <w:b/>
                <w:i/>
                <w:szCs w:val="20"/>
                <w:lang w:val="bg-BG"/>
              </w:rPr>
              <w:t>0,5 g/</w:t>
            </w:r>
            <w:proofErr w:type="spellStart"/>
            <w:r w:rsidR="00952162" w:rsidRPr="00960D75">
              <w:rPr>
                <w:b/>
                <w:i/>
                <w:szCs w:val="20"/>
                <w:lang w:val="bg-BG"/>
              </w:rPr>
              <w:t>kg</w:t>
            </w:r>
            <w:proofErr w:type="spellEnd"/>
            <w:r w:rsidR="00952162" w:rsidRPr="00960D75">
              <w:rPr>
                <w:b/>
                <w:i/>
                <w:szCs w:val="20"/>
                <w:lang w:val="bg-BG"/>
              </w:rPr>
              <w:t xml:space="preserve"> за леко замърсено пране;</w:t>
            </w:r>
          </w:p>
          <w:p w:rsidR="00952162" w:rsidRPr="00960D75" w:rsidRDefault="00960D75" w:rsidP="00952162">
            <w:pPr>
              <w:widowControl w:val="0"/>
              <w:spacing w:after="120"/>
              <w:jc w:val="left"/>
              <w:rPr>
                <w:b/>
                <w:i/>
                <w:szCs w:val="20"/>
                <w:lang w:val="bg-BG"/>
              </w:rPr>
            </w:pPr>
            <w:r w:rsidRPr="00960D75">
              <w:rPr>
                <w:b/>
                <w:i/>
                <w:szCs w:val="20"/>
                <w:lang w:val="bg-BG"/>
              </w:rPr>
              <w:t xml:space="preserve">- </w:t>
            </w:r>
            <w:r w:rsidR="00952162" w:rsidRPr="00960D75">
              <w:rPr>
                <w:b/>
                <w:i/>
                <w:szCs w:val="20"/>
                <w:lang w:val="bg-BG"/>
              </w:rPr>
              <w:t>1 g/</w:t>
            </w:r>
            <w:proofErr w:type="spellStart"/>
            <w:r w:rsidR="00952162" w:rsidRPr="00960D75">
              <w:rPr>
                <w:b/>
                <w:i/>
                <w:szCs w:val="20"/>
                <w:lang w:val="bg-BG"/>
              </w:rPr>
              <w:t>kg</w:t>
            </w:r>
            <w:proofErr w:type="spellEnd"/>
            <w:r w:rsidR="00952162" w:rsidRPr="00960D75">
              <w:rPr>
                <w:b/>
                <w:i/>
                <w:szCs w:val="20"/>
                <w:lang w:val="bg-BG"/>
              </w:rPr>
              <w:t xml:space="preserve"> за средно замърсено пране;</w:t>
            </w:r>
          </w:p>
          <w:p w:rsidR="00952162" w:rsidRPr="00960D75" w:rsidRDefault="00960D75" w:rsidP="00952162">
            <w:pPr>
              <w:widowControl w:val="0"/>
              <w:spacing w:after="120"/>
              <w:jc w:val="left"/>
              <w:rPr>
                <w:b/>
                <w:i/>
                <w:szCs w:val="20"/>
                <w:lang w:val="bg-BG"/>
              </w:rPr>
            </w:pPr>
            <w:r w:rsidRPr="00960D75">
              <w:rPr>
                <w:b/>
                <w:i/>
                <w:szCs w:val="20"/>
                <w:lang w:val="bg-BG"/>
              </w:rPr>
              <w:t xml:space="preserve">- </w:t>
            </w:r>
            <w:r w:rsidR="00952162" w:rsidRPr="00960D75">
              <w:rPr>
                <w:b/>
                <w:i/>
                <w:szCs w:val="20"/>
                <w:lang w:val="bg-BG"/>
              </w:rPr>
              <w:t>1,5 g/</w:t>
            </w:r>
            <w:proofErr w:type="spellStart"/>
            <w:r w:rsidR="00952162" w:rsidRPr="00960D75">
              <w:rPr>
                <w:b/>
                <w:i/>
                <w:szCs w:val="20"/>
                <w:lang w:val="bg-BG"/>
              </w:rPr>
              <w:t>kg</w:t>
            </w:r>
            <w:proofErr w:type="spellEnd"/>
            <w:r w:rsidR="00952162" w:rsidRPr="00960D75">
              <w:rPr>
                <w:b/>
                <w:i/>
                <w:szCs w:val="20"/>
                <w:lang w:val="bg-BG"/>
              </w:rPr>
              <w:t xml:space="preserve"> за силно замърсено пране.</w:t>
            </w:r>
          </w:p>
        </w:tc>
      </w:tr>
      <w:tr w:rsidR="00952162" w:rsidRPr="00D46023" w:rsidTr="008A6BB8">
        <w:tc>
          <w:tcPr>
            <w:tcW w:w="4521"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proofErr w:type="spellStart"/>
            <w:r w:rsidRPr="00960D75">
              <w:rPr>
                <w:b/>
                <w:i/>
                <w:szCs w:val="20"/>
                <w:lang w:val="bg-BG"/>
              </w:rPr>
              <w:t>Детергенти</w:t>
            </w:r>
            <w:proofErr w:type="spellEnd"/>
            <w:r w:rsidRPr="00960D75">
              <w:rPr>
                <w:b/>
                <w:i/>
                <w:szCs w:val="20"/>
                <w:lang w:val="bg-BG"/>
              </w:rPr>
              <w:t xml:space="preserve"> за съдомиялни машини за </w:t>
            </w:r>
            <w:r w:rsidRPr="00960D75">
              <w:rPr>
                <w:b/>
                <w:i/>
                <w:szCs w:val="20"/>
                <w:lang w:val="bg-BG"/>
              </w:rPr>
              <w:lastRenderedPageBreak/>
              <w:t>промишлени и учрежденски цели</w:t>
            </w:r>
          </w:p>
        </w:tc>
        <w:tc>
          <w:tcPr>
            <w:tcW w:w="4544" w:type="dxa"/>
            <w:tcBorders>
              <w:top w:val="single" w:sz="4" w:space="0" w:color="auto"/>
              <w:left w:val="single" w:sz="4" w:space="0" w:color="auto"/>
              <w:bottom w:val="single" w:sz="4" w:space="0" w:color="auto"/>
              <w:right w:val="single" w:sz="4" w:space="0" w:color="auto"/>
            </w:tcBorders>
          </w:tcPr>
          <w:p w:rsidR="00952162" w:rsidRPr="00960D75" w:rsidRDefault="00952162" w:rsidP="00952162">
            <w:pPr>
              <w:widowControl w:val="0"/>
              <w:spacing w:after="120"/>
              <w:jc w:val="left"/>
              <w:rPr>
                <w:b/>
                <w:i/>
                <w:szCs w:val="20"/>
                <w:lang w:val="bg-BG"/>
              </w:rPr>
            </w:pPr>
            <w:r w:rsidRPr="00960D75">
              <w:rPr>
                <w:b/>
                <w:i/>
                <w:szCs w:val="20"/>
                <w:lang w:val="bg-BG"/>
              </w:rPr>
              <w:lastRenderedPageBreak/>
              <w:t xml:space="preserve">Не могат да бъдат пускани на пазара в срок до ... [7 години от влизането в сила </w:t>
            </w:r>
            <w:r w:rsidRPr="00960D75">
              <w:rPr>
                <w:b/>
                <w:i/>
                <w:szCs w:val="20"/>
                <w:lang w:val="bg-BG"/>
              </w:rPr>
              <w:lastRenderedPageBreak/>
              <w:t>на настоящия регламент], ако общото тегловно съдържание на фосфор е равно на или над</w:t>
            </w:r>
          </w:p>
          <w:p w:rsidR="00952162" w:rsidRPr="00960D75" w:rsidRDefault="00952162" w:rsidP="00952162">
            <w:pPr>
              <w:widowControl w:val="0"/>
              <w:spacing w:after="120"/>
              <w:jc w:val="left"/>
              <w:rPr>
                <w:b/>
                <w:i/>
                <w:szCs w:val="20"/>
                <w:lang w:val="bg-BG"/>
              </w:rPr>
            </w:pPr>
            <w:r w:rsidRPr="00960D75">
              <w:rPr>
                <w:b/>
                <w:i/>
                <w:szCs w:val="20"/>
                <w:lang w:val="bg-BG"/>
              </w:rPr>
              <w:t xml:space="preserve">- за </w:t>
            </w:r>
            <w:proofErr w:type="spellStart"/>
            <w:r w:rsidRPr="00960D75">
              <w:rPr>
                <w:b/>
                <w:i/>
                <w:szCs w:val="20"/>
                <w:lang w:val="bg-BG"/>
              </w:rPr>
              <w:t>детергенти</w:t>
            </w:r>
            <w:proofErr w:type="spellEnd"/>
            <w:r w:rsidRPr="00960D75">
              <w:rPr>
                <w:b/>
                <w:i/>
                <w:szCs w:val="20"/>
                <w:lang w:val="bg-BG"/>
              </w:rPr>
              <w:t xml:space="preserve"> за съдомиялни машини и </w:t>
            </w:r>
            <w:proofErr w:type="spellStart"/>
            <w:r w:rsidRPr="00960D75">
              <w:rPr>
                <w:b/>
                <w:i/>
                <w:szCs w:val="20"/>
                <w:lang w:val="bg-BG"/>
              </w:rPr>
              <w:t>мултикомпонентни</w:t>
            </w:r>
            <w:proofErr w:type="spellEnd"/>
            <w:r w:rsidRPr="00960D75">
              <w:rPr>
                <w:b/>
                <w:i/>
                <w:szCs w:val="20"/>
                <w:lang w:val="bg-BG"/>
              </w:rPr>
              <w:t xml:space="preserve"> системи:</w:t>
            </w:r>
          </w:p>
          <w:p w:rsidR="00952162" w:rsidRPr="00960D75" w:rsidRDefault="00952162" w:rsidP="00952162">
            <w:pPr>
              <w:widowControl w:val="0"/>
              <w:spacing w:after="120"/>
              <w:jc w:val="left"/>
              <w:rPr>
                <w:b/>
                <w:i/>
                <w:szCs w:val="20"/>
                <w:lang w:val="bg-BG"/>
              </w:rPr>
            </w:pPr>
            <w:r w:rsidRPr="00960D75">
              <w:rPr>
                <w:b/>
                <w:i/>
                <w:szCs w:val="20"/>
                <w:lang w:val="bg-BG"/>
              </w:rPr>
              <w:t>- 0, 3 g/l разтвор за измиване за мека вода;</w:t>
            </w:r>
          </w:p>
          <w:p w:rsidR="00952162" w:rsidRPr="00960D75" w:rsidRDefault="00952162" w:rsidP="00952162">
            <w:pPr>
              <w:widowControl w:val="0"/>
              <w:spacing w:after="120"/>
              <w:jc w:val="left"/>
              <w:rPr>
                <w:b/>
                <w:i/>
                <w:szCs w:val="20"/>
                <w:lang w:val="bg-BG"/>
              </w:rPr>
            </w:pPr>
            <w:r w:rsidRPr="00960D75">
              <w:rPr>
                <w:b/>
                <w:i/>
                <w:szCs w:val="20"/>
                <w:lang w:val="bg-BG"/>
              </w:rPr>
              <w:t>- 0, 4 g/l разтвор за измиване за вода със средна твърдост;</w:t>
            </w:r>
          </w:p>
          <w:p w:rsidR="00952162" w:rsidRPr="00960D75" w:rsidRDefault="00952162" w:rsidP="00952162">
            <w:pPr>
              <w:widowControl w:val="0"/>
              <w:spacing w:after="120"/>
              <w:jc w:val="left"/>
              <w:rPr>
                <w:b/>
                <w:i/>
                <w:szCs w:val="20"/>
                <w:lang w:val="bg-BG"/>
              </w:rPr>
            </w:pPr>
            <w:r w:rsidRPr="00960D75">
              <w:rPr>
                <w:b/>
                <w:i/>
                <w:szCs w:val="20"/>
                <w:lang w:val="bg-BG"/>
              </w:rPr>
              <w:t>- 0, 75 g/l разтвор за измиване за твърда вода.</w:t>
            </w:r>
          </w:p>
          <w:p w:rsidR="00952162" w:rsidRPr="00960D75" w:rsidRDefault="00952162" w:rsidP="00952162">
            <w:pPr>
              <w:widowControl w:val="0"/>
              <w:spacing w:after="120"/>
              <w:jc w:val="left"/>
              <w:rPr>
                <w:b/>
                <w:i/>
                <w:szCs w:val="20"/>
                <w:lang w:val="bg-BG"/>
              </w:rPr>
            </w:pPr>
            <w:r w:rsidRPr="00960D75">
              <w:rPr>
                <w:b/>
                <w:i/>
                <w:szCs w:val="20"/>
                <w:lang w:val="bg-BG"/>
              </w:rPr>
              <w:t>- за предварително накисване 1 g/l измиващ разтвор;</w:t>
            </w:r>
          </w:p>
          <w:p w:rsidR="00952162" w:rsidRPr="00960D75" w:rsidRDefault="00952162" w:rsidP="00952162">
            <w:pPr>
              <w:widowControl w:val="0"/>
              <w:spacing w:after="120"/>
              <w:jc w:val="left"/>
              <w:rPr>
                <w:b/>
                <w:i/>
                <w:szCs w:val="20"/>
                <w:lang w:val="bg-BG"/>
              </w:rPr>
            </w:pPr>
            <w:r w:rsidRPr="00960D75">
              <w:rPr>
                <w:b/>
                <w:i/>
                <w:szCs w:val="20"/>
                <w:lang w:val="bg-BG"/>
              </w:rPr>
              <w:t>- за спомагане на изплакването 0,02 g/l измиващ разтвор.</w:t>
            </w:r>
          </w:p>
        </w:tc>
      </w:tr>
    </w:tbl>
    <w:p w:rsidR="00952162" w:rsidRDefault="008868ED" w:rsidP="00952162">
      <w:pPr>
        <w:widowControl w:val="0"/>
        <w:spacing w:before="120" w:after="120" w:line="360" w:lineRule="auto"/>
        <w:jc w:val="left"/>
        <w:rPr>
          <w:rFonts w:eastAsia="Times New Roman"/>
          <w:b/>
          <w:lang w:val="bg-BG"/>
        </w:rPr>
      </w:pPr>
      <w:r>
        <w:rPr>
          <w:rFonts w:eastAsia="Times New Roman"/>
          <w:b/>
          <w:lang w:val="bg-BG"/>
        </w:rPr>
        <w:lastRenderedPageBreak/>
        <w:t xml:space="preserve"> [Изм. 132</w:t>
      </w:r>
      <w:r w:rsidR="00EA54B9">
        <w:rPr>
          <w:rFonts w:eastAsia="Times New Roman"/>
          <w:b/>
          <w:lang w:val="bg-BG"/>
        </w:rPr>
        <w:t>]</w:t>
      </w:r>
    </w:p>
    <w:p w:rsidR="008868ED" w:rsidRDefault="008868ED" w:rsidP="00952162">
      <w:pPr>
        <w:widowControl w:val="0"/>
        <w:spacing w:before="120" w:after="120" w:line="360" w:lineRule="auto"/>
        <w:jc w:val="left"/>
        <w:rPr>
          <w:rFonts w:eastAsia="Times New Roman"/>
          <w:b/>
          <w:lang w:val="bg-BG"/>
        </w:rPr>
      </w:pPr>
    </w:p>
    <w:p w:rsidR="008868ED" w:rsidRPr="00EA54B9" w:rsidRDefault="008868ED" w:rsidP="00952162">
      <w:pPr>
        <w:widowControl w:val="0"/>
        <w:spacing w:before="120" w:after="120" w:line="360" w:lineRule="auto"/>
        <w:jc w:val="left"/>
        <w:rPr>
          <w:rFonts w:eastAsia="Times New Roman"/>
          <w:b/>
          <w:lang w:val="bg-BG"/>
        </w:rPr>
        <w:sectPr w:rsidR="008868ED" w:rsidRPr="00EA54B9">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IV</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ПРОЦЕДУРА ЗА ОЦЕНКА НА СЪОТВЕТСТВИЕТО, ПОСОЧЕНА В ЧЛЕН 7, ПАРАГРАФ 2</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Модул А - вътрешен производствен протокол </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Описание на модула</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Вътрешният производствен контрол е процедура за оценяване на съответствието, чрез която производителят изпълнява задълженията си, предвидени в точки 2, 3 и 4, и осигурява и декларира на своя отговорност, че съответните </w:t>
      </w:r>
      <w:proofErr w:type="spellStart"/>
      <w:r w:rsidRPr="00952162">
        <w:rPr>
          <w:rFonts w:eastAsia="Times New Roman"/>
          <w:lang w:val="bg-BG"/>
        </w:rPr>
        <w:t>детергенти</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отговарят на изискванията на настоящия регламент, приложими за тях.</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w:t>
      </w:r>
      <w:r w:rsidRPr="00952162">
        <w:rPr>
          <w:rFonts w:eastAsia="Times New Roman"/>
          <w:lang w:val="bg-BG"/>
        </w:rPr>
        <w:tab/>
        <w:t>Техническа документация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2.1.</w:t>
      </w:r>
      <w:r w:rsidRPr="00952162">
        <w:rPr>
          <w:rFonts w:eastAsia="Times New Roman"/>
          <w:lang w:val="bg-BG"/>
        </w:rPr>
        <w:tab/>
        <w:t xml:space="preserve">Техническата документация се изготвя от производителя. Документацията позволява да се оцени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с приложимите изисквания и включва съответен анализ и оценка на рисковете.</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2.2.</w:t>
      </w:r>
      <w:r w:rsidRPr="00952162">
        <w:rPr>
          <w:rFonts w:eastAsia="Times New Roman"/>
          <w:lang w:val="bg-BG"/>
        </w:rPr>
        <w:tab/>
        <w:t xml:space="preserve">В техническата документация се посочват приложимите изисквания и се включва — доколкото е необходимо за нуждите на оценяването — информация относно проектирането, производството и предвидената употреба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Техническата документация съдържа, когато е приложимо, най-малко следните елементи: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общо описание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и описание на предвидената употреба;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докладите от изпитванията, които доказват съответствието с приложение I и, когато е приложимо, с приложения II и III;</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списък на методите за изпитване, използвани за доказване на съответствието с изискванията на настоящия регламент;</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резултати от направените изчисления и от проведените изследвания;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д)</w:t>
      </w:r>
      <w:r w:rsidRPr="00952162">
        <w:rPr>
          <w:rFonts w:eastAsia="Times New Roman"/>
          <w:lang w:val="bg-BG"/>
        </w:rPr>
        <w:tab/>
        <w:t>информационен фиш за съставките, който отговаря на следните изисквания:</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w:t>
      </w:r>
      <w:r w:rsidRPr="00952162">
        <w:rPr>
          <w:rFonts w:eastAsia="Times New Roman"/>
          <w:lang w:val="bg-BG"/>
        </w:rPr>
        <w:tab/>
        <w:t>в него са изброени всички преднамерено добавени вещества и консерванти, посочени в част А от приложение V;</w:t>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t>ii)</w:t>
      </w:r>
      <w:r w:rsidRPr="00952162">
        <w:rPr>
          <w:rFonts w:eastAsia="Times New Roman"/>
          <w:lang w:val="bg-BG"/>
        </w:rPr>
        <w:tab/>
        <w:t>за всеки съставен компонент се посочват общоприетото химично име или името по IUРАС, и когато има такива, наименованието по INCI, номерът по CAS и името, с което той фигурира в Европейската фармакопея;</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982" w:hanging="566"/>
        <w:jc w:val="left"/>
        <w:rPr>
          <w:rFonts w:eastAsia="Times New Roman"/>
          <w:lang w:val="bg-BG"/>
        </w:rPr>
      </w:pPr>
      <w:r w:rsidRPr="00952162">
        <w:rPr>
          <w:rFonts w:eastAsia="Times New Roman"/>
          <w:lang w:val="bg-BG"/>
        </w:rPr>
        <w:lastRenderedPageBreak/>
        <w:t>iii)</w:t>
      </w:r>
      <w:r w:rsidRPr="00952162">
        <w:rPr>
          <w:rFonts w:eastAsia="Times New Roman"/>
          <w:lang w:val="bg-BG"/>
        </w:rPr>
        <w:tab/>
        <w:t>всички вещества се изброяват в низходящ ред на концентрацията им и списъкът се подразделя в следните диапазони от стойности, изразени в проценти от теглото:</w:t>
      </w:r>
    </w:p>
    <w:p w:rsidR="00952162" w:rsidRPr="00952162" w:rsidRDefault="00952162" w:rsidP="00952162">
      <w:pPr>
        <w:widowControl w:val="0"/>
        <w:spacing w:before="120" w:after="120" w:line="360" w:lineRule="auto"/>
        <w:ind w:left="2548" w:hanging="566"/>
        <w:jc w:val="left"/>
        <w:rPr>
          <w:rFonts w:eastAsia="Times New Roman"/>
          <w:lang w:val="bg-BG"/>
        </w:rPr>
      </w:pPr>
      <w:r w:rsidRPr="00952162">
        <w:rPr>
          <w:rFonts w:eastAsia="Times New Roman"/>
          <w:lang w:val="bg-BG"/>
        </w:rPr>
        <w:t>1)</w:t>
      </w:r>
      <w:r w:rsidRPr="00952162">
        <w:rPr>
          <w:rFonts w:eastAsia="Times New Roman"/>
          <w:lang w:val="bg-BG"/>
        </w:rPr>
        <w:tab/>
        <w:t>10 % или повече,</w:t>
      </w:r>
    </w:p>
    <w:p w:rsidR="00952162" w:rsidRPr="00952162" w:rsidRDefault="00952162" w:rsidP="00952162">
      <w:pPr>
        <w:widowControl w:val="0"/>
        <w:spacing w:before="120" w:after="120" w:line="360" w:lineRule="auto"/>
        <w:ind w:left="2548" w:hanging="566"/>
        <w:jc w:val="left"/>
        <w:rPr>
          <w:rFonts w:eastAsia="Times New Roman"/>
          <w:lang w:val="bg-BG"/>
        </w:rPr>
      </w:pPr>
      <w:r w:rsidRPr="00952162">
        <w:rPr>
          <w:rFonts w:eastAsia="Times New Roman"/>
          <w:lang w:val="bg-BG"/>
        </w:rPr>
        <w:t>2)</w:t>
      </w:r>
      <w:r w:rsidRPr="00952162">
        <w:rPr>
          <w:rFonts w:eastAsia="Times New Roman"/>
          <w:lang w:val="bg-BG"/>
        </w:rPr>
        <w:tab/>
        <w:t>1 % или повече, но по-малко от 10 %,</w:t>
      </w:r>
    </w:p>
    <w:p w:rsidR="00952162" w:rsidRPr="00952162" w:rsidRDefault="00952162" w:rsidP="00952162">
      <w:pPr>
        <w:widowControl w:val="0"/>
        <w:spacing w:before="120" w:after="120" w:line="360" w:lineRule="auto"/>
        <w:ind w:left="2548" w:hanging="566"/>
        <w:jc w:val="left"/>
        <w:rPr>
          <w:rFonts w:eastAsia="Times New Roman"/>
          <w:lang w:val="bg-BG"/>
        </w:rPr>
      </w:pPr>
      <w:r w:rsidRPr="00952162">
        <w:rPr>
          <w:rFonts w:eastAsia="Times New Roman"/>
          <w:lang w:val="bg-BG"/>
        </w:rPr>
        <w:t>3)</w:t>
      </w:r>
      <w:r w:rsidRPr="00952162">
        <w:rPr>
          <w:rFonts w:eastAsia="Times New Roman"/>
          <w:lang w:val="bg-BG"/>
        </w:rPr>
        <w:tab/>
        <w:t>0,1 % или повече, но по-малко от 1 %,</w:t>
      </w:r>
    </w:p>
    <w:p w:rsidR="00952162" w:rsidRPr="00952162" w:rsidRDefault="00952162" w:rsidP="00952162">
      <w:pPr>
        <w:widowControl w:val="0"/>
        <w:spacing w:before="120" w:after="120" w:line="360" w:lineRule="auto"/>
        <w:ind w:left="2548" w:hanging="566"/>
        <w:jc w:val="left"/>
        <w:rPr>
          <w:rFonts w:eastAsia="Times New Roman"/>
          <w:lang w:val="bg-BG"/>
        </w:rPr>
      </w:pPr>
      <w:r w:rsidRPr="00952162">
        <w:rPr>
          <w:rFonts w:eastAsia="Times New Roman"/>
          <w:lang w:val="bg-BG"/>
        </w:rPr>
        <w:t>4)</w:t>
      </w:r>
      <w:r w:rsidRPr="00952162">
        <w:rPr>
          <w:rFonts w:eastAsia="Times New Roman"/>
          <w:lang w:val="bg-BG"/>
        </w:rPr>
        <w:tab/>
        <w:t>по-малко от 0,1 %.</w:t>
      </w:r>
    </w:p>
    <w:p w:rsidR="00952162" w:rsidRPr="00952162" w:rsidRDefault="00952162" w:rsidP="00952162">
      <w:pPr>
        <w:widowControl w:val="0"/>
        <w:spacing w:before="120" w:after="120" w:line="360" w:lineRule="auto"/>
        <w:ind w:left="851"/>
        <w:jc w:val="left"/>
        <w:rPr>
          <w:rFonts w:eastAsia="Times New Roman"/>
          <w:lang w:val="bg-BG"/>
        </w:rPr>
      </w:pPr>
      <w:r w:rsidRPr="00952162">
        <w:rPr>
          <w:rFonts w:eastAsia="Times New Roman"/>
          <w:lang w:val="bg-BG"/>
        </w:rPr>
        <w:t>За целите на буква д) парфюм, етерично масло или оцветител се считат за един компонент.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Производство</w:t>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t xml:space="preserve">Производителят взема всички необходими мерки производственият процес и неговото наблюдение да осигурят съответствието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повърхностноактивния</w:t>
      </w:r>
      <w:proofErr w:type="spellEnd"/>
      <w:r w:rsidRPr="00952162">
        <w:rPr>
          <w:rFonts w:eastAsia="Times New Roman"/>
          <w:lang w:val="bg-BG"/>
        </w:rPr>
        <w:t xml:space="preserve"> продукт с техническата документация, посочена в точка 2, и с изискванията на настоящия регламент, приложими към тях.</w:t>
      </w:r>
    </w:p>
    <w:p w:rsidR="00952162" w:rsidRPr="00952162" w:rsidRDefault="00952162" w:rsidP="00952162">
      <w:pPr>
        <w:widowControl w:val="0"/>
        <w:spacing w:before="120" w:after="120" w:line="360" w:lineRule="auto"/>
        <w:jc w:val="left"/>
        <w:rPr>
          <w:rFonts w:eastAsia="Times New Roman"/>
          <w:lang w:val="bg-BG"/>
        </w:rPr>
        <w:sectPr w:rsidR="00952162" w:rsidRPr="00952162">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V</w:t>
      </w:r>
      <w:r w:rsidRPr="00952162">
        <w:rPr>
          <w:rFonts w:eastAsia="Times New Roman"/>
          <w:szCs w:val="20"/>
          <w:lang w:val="bg-BG"/>
        </w:rPr>
        <w:br/>
        <w:t>ИЗИСКВАНИЯ ЗА ЕТИКЕТИРАНЕ</w:t>
      </w:r>
    </w:p>
    <w:p w:rsidR="00952162" w:rsidRPr="00952162" w:rsidRDefault="00952162" w:rsidP="00960D75">
      <w:pPr>
        <w:widowControl w:val="0"/>
        <w:spacing w:before="120" w:after="120" w:line="360" w:lineRule="auto"/>
        <w:jc w:val="left"/>
        <w:rPr>
          <w:rFonts w:eastAsia="Times New Roman"/>
          <w:lang w:val="bg-BG"/>
        </w:rPr>
      </w:pPr>
      <w:r w:rsidRPr="00952162">
        <w:rPr>
          <w:rFonts w:eastAsia="Times New Roman"/>
          <w:lang w:val="bg-BG"/>
        </w:rPr>
        <w:t>ЧАСТ А — ЕТИКЕТИРАНЕ ОТНОСНО СЪДЪРЖАНИЕТО</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Информацията, която трябва да бъде включена върху етикетите на </w:t>
      </w:r>
      <w:proofErr w:type="spellStart"/>
      <w:r w:rsidRPr="00952162">
        <w:rPr>
          <w:rFonts w:eastAsia="Times New Roman"/>
          <w:lang w:val="bg-BG"/>
        </w:rPr>
        <w:t>детергентите</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повърхностноактивните</w:t>
      </w:r>
      <w:proofErr w:type="spellEnd"/>
      <w:r w:rsidRPr="00952162">
        <w:rPr>
          <w:rFonts w:eastAsia="Times New Roman"/>
          <w:lang w:val="bg-BG"/>
        </w:rPr>
        <w:t xml:space="preserve"> вещества, предлагани на пазара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1.</w:t>
      </w:r>
      <w:r w:rsidRPr="00952162">
        <w:rPr>
          <w:rFonts w:eastAsia="Times New Roman"/>
          <w:lang w:val="bg-BG"/>
        </w:rPr>
        <w:tab/>
        <w:t>Диапазоните от тегловни проценти „по-малко от 5 %“, „5 % или повече, но по-малко от 15 %“, „15 % или повече, но по-малко от 30 %“, „30 % и повече“ се използват за посочване на съдържанието на изброените по-долу съставни компоненти, когато същите се добавят в концентрация над 0,2 % тегловни процента: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фосфати,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r>
      <w:proofErr w:type="spellStart"/>
      <w:r w:rsidRPr="00952162">
        <w:rPr>
          <w:rFonts w:eastAsia="Times New Roman"/>
          <w:lang w:val="bg-BG"/>
        </w:rPr>
        <w:t>фосфонати</w:t>
      </w:r>
      <w:proofErr w:type="spellEnd"/>
      <w:r w:rsidRPr="00952162">
        <w:rPr>
          <w:rFonts w:eastAsia="Times New Roman"/>
          <w:lang w:val="bg-BG"/>
        </w:rPr>
        <w:t>,</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в)</w:t>
      </w:r>
      <w:r w:rsidRPr="00952162">
        <w:rPr>
          <w:rFonts w:eastAsia="Times New Roman"/>
          <w:lang w:val="bg-BG"/>
        </w:rPr>
        <w:tab/>
      </w:r>
      <w:proofErr w:type="spellStart"/>
      <w:r w:rsidRPr="00952162">
        <w:rPr>
          <w:rFonts w:eastAsia="Times New Roman"/>
          <w:strike/>
          <w:lang w:val="bg-BG"/>
        </w:rPr>
        <w:t>анионни</w:t>
      </w:r>
      <w:proofErr w:type="spellEnd"/>
      <w:r w:rsidRPr="00952162">
        <w:rPr>
          <w:rFonts w:eastAsia="Times New Roman"/>
          <w:strike/>
          <w:lang w:val="bg-BG"/>
        </w:rPr>
        <w:t xml:space="preserve">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w:t>
      </w:r>
      <w:r w:rsidR="00EA54B9">
        <w:rPr>
          <w:rFonts w:eastAsia="Times New Roman"/>
          <w:b/>
          <w:lang w:val="bg-BG"/>
        </w:rPr>
        <w:t xml:space="preserve"> [Изм. 133]</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г)</w:t>
      </w:r>
      <w:r w:rsidRPr="00952162">
        <w:rPr>
          <w:rFonts w:eastAsia="Times New Roman"/>
          <w:lang w:val="bg-BG"/>
        </w:rPr>
        <w:tab/>
      </w:r>
      <w:proofErr w:type="spellStart"/>
      <w:r w:rsidRPr="00952162">
        <w:rPr>
          <w:rFonts w:eastAsia="Times New Roman"/>
          <w:strike/>
          <w:lang w:val="bg-BG"/>
        </w:rPr>
        <w:t>катионни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r w:rsidR="00EA54B9" w:rsidRPr="00EA54B9">
        <w:rPr>
          <w:rFonts w:eastAsia="Times New Roman"/>
          <w:b/>
          <w:lang w:val="bg-BG"/>
        </w:rPr>
        <w:t xml:space="preserve"> [Изм. 134]</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д)</w:t>
      </w:r>
      <w:r w:rsidRPr="00952162">
        <w:rPr>
          <w:rFonts w:eastAsia="Times New Roman"/>
          <w:lang w:val="bg-BG"/>
        </w:rPr>
        <w:tab/>
      </w:r>
      <w:proofErr w:type="spellStart"/>
      <w:r w:rsidRPr="00952162">
        <w:rPr>
          <w:rFonts w:eastAsia="Times New Roman"/>
          <w:strike/>
          <w:lang w:val="bg-BG"/>
        </w:rPr>
        <w:t>амфотерни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r w:rsidR="00EA54B9" w:rsidRPr="00EA54B9">
        <w:rPr>
          <w:rFonts w:eastAsia="Times New Roman"/>
          <w:b/>
          <w:lang w:val="bg-BG"/>
        </w:rPr>
        <w:t xml:space="preserve"> [Изм. 135]</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strike/>
          <w:lang w:val="bg-BG"/>
        </w:rPr>
        <w:t>е)</w:t>
      </w:r>
      <w:r w:rsidRPr="00952162">
        <w:rPr>
          <w:rFonts w:eastAsia="Times New Roman"/>
          <w:lang w:val="bg-BG"/>
        </w:rPr>
        <w:tab/>
      </w:r>
      <w:proofErr w:type="spellStart"/>
      <w:r w:rsidRPr="00952162">
        <w:rPr>
          <w:rFonts w:eastAsia="Times New Roman"/>
          <w:strike/>
          <w:lang w:val="bg-BG"/>
        </w:rPr>
        <w:t>нейоногенни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r w:rsidR="00EA54B9" w:rsidRPr="00EA54B9">
        <w:rPr>
          <w:rFonts w:eastAsia="Times New Roman"/>
          <w:b/>
          <w:lang w:val="bg-BG"/>
        </w:rPr>
        <w:t xml:space="preserve"> [Изм. 136]</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lastRenderedPageBreak/>
        <w:t>ж)</w:t>
      </w:r>
      <w:r w:rsidRPr="00952162">
        <w:rPr>
          <w:rFonts w:eastAsia="Times New Roman"/>
          <w:lang w:val="bg-BG"/>
        </w:rPr>
        <w:tab/>
        <w:t xml:space="preserve">кислородни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за избелване,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з)</w:t>
      </w:r>
      <w:r w:rsidRPr="00952162">
        <w:rPr>
          <w:rFonts w:eastAsia="Times New Roman"/>
          <w:lang w:val="bg-BG"/>
        </w:rPr>
        <w:tab/>
        <w:t xml:space="preserve">хлорни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за избелване,</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и)</w:t>
      </w:r>
      <w:r w:rsidRPr="00952162">
        <w:rPr>
          <w:rFonts w:eastAsia="Times New Roman"/>
          <w:lang w:val="bg-BG"/>
        </w:rPr>
        <w:tab/>
        <w:t>EDTA (етилен-</w:t>
      </w:r>
      <w:proofErr w:type="spellStart"/>
      <w:r w:rsidRPr="00952162">
        <w:rPr>
          <w:rFonts w:eastAsia="Times New Roman"/>
          <w:lang w:val="bg-BG"/>
        </w:rPr>
        <w:t>диамин</w:t>
      </w:r>
      <w:proofErr w:type="spellEnd"/>
      <w:r w:rsidRPr="00952162">
        <w:rPr>
          <w:rFonts w:eastAsia="Times New Roman"/>
          <w:lang w:val="bg-BG"/>
        </w:rPr>
        <w:t>-три-</w:t>
      </w:r>
      <w:proofErr w:type="spellStart"/>
      <w:r w:rsidRPr="00952162">
        <w:rPr>
          <w:rFonts w:eastAsia="Times New Roman"/>
          <w:lang w:val="bg-BG"/>
        </w:rPr>
        <w:t>хидроокси</w:t>
      </w:r>
      <w:proofErr w:type="spellEnd"/>
      <w:r w:rsidRPr="00952162">
        <w:rPr>
          <w:rFonts w:eastAsia="Times New Roman"/>
          <w:lang w:val="bg-BG"/>
        </w:rPr>
        <w:t xml:space="preserve"> </w:t>
      </w:r>
      <w:proofErr w:type="spellStart"/>
      <w:r w:rsidRPr="00952162">
        <w:rPr>
          <w:rFonts w:eastAsia="Times New Roman"/>
          <w:lang w:val="bg-BG"/>
        </w:rPr>
        <w:t>ацетат</w:t>
      </w:r>
      <w:proofErr w:type="spellEnd"/>
      <w:r w:rsidRPr="00952162">
        <w:rPr>
          <w:rFonts w:eastAsia="Times New Roman"/>
          <w:lang w:val="bg-BG"/>
        </w:rPr>
        <w:t>) и соли,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й)</w:t>
      </w:r>
      <w:r w:rsidRPr="00952162">
        <w:rPr>
          <w:rFonts w:eastAsia="Times New Roman"/>
          <w:lang w:val="bg-BG"/>
        </w:rPr>
        <w:tab/>
        <w:t>NTA (</w:t>
      </w:r>
      <w:proofErr w:type="spellStart"/>
      <w:r w:rsidRPr="00952162">
        <w:rPr>
          <w:rFonts w:eastAsia="Times New Roman"/>
          <w:lang w:val="bg-BG"/>
        </w:rPr>
        <w:t>нитрилотриоцетна</w:t>
      </w:r>
      <w:proofErr w:type="spellEnd"/>
      <w:r w:rsidRPr="00952162">
        <w:rPr>
          <w:rFonts w:eastAsia="Times New Roman"/>
          <w:lang w:val="bg-BG"/>
        </w:rPr>
        <w:t xml:space="preserve"> киселина) и соли,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к)</w:t>
      </w:r>
      <w:r w:rsidRPr="00952162">
        <w:rPr>
          <w:rFonts w:eastAsia="Times New Roman"/>
          <w:lang w:val="bg-BG"/>
        </w:rPr>
        <w:tab/>
        <w:t xml:space="preserve">феноли и </w:t>
      </w:r>
      <w:proofErr w:type="spellStart"/>
      <w:r w:rsidRPr="00952162">
        <w:rPr>
          <w:rFonts w:eastAsia="Times New Roman"/>
          <w:lang w:val="bg-BG"/>
        </w:rPr>
        <w:t>халогенирани</w:t>
      </w:r>
      <w:proofErr w:type="spellEnd"/>
      <w:r w:rsidRPr="00952162">
        <w:rPr>
          <w:rFonts w:eastAsia="Times New Roman"/>
          <w:lang w:val="bg-BG"/>
        </w:rPr>
        <w:t xml:space="preserve"> феноли,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л)</w:t>
      </w:r>
      <w:r w:rsidRPr="00952162">
        <w:rPr>
          <w:rFonts w:eastAsia="Times New Roman"/>
          <w:lang w:val="bg-BG"/>
        </w:rPr>
        <w:tab/>
      </w:r>
      <w:proofErr w:type="spellStart"/>
      <w:r w:rsidRPr="00952162">
        <w:rPr>
          <w:rFonts w:eastAsia="Times New Roman"/>
          <w:lang w:val="bg-BG"/>
        </w:rPr>
        <w:t>парадихлоробензен</w:t>
      </w:r>
      <w:proofErr w:type="spellEnd"/>
      <w:r w:rsidRPr="00952162">
        <w:rPr>
          <w:rFonts w:eastAsia="Times New Roman"/>
          <w:lang w:val="bg-BG"/>
        </w:rPr>
        <w:t>,</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м)</w:t>
      </w:r>
      <w:r w:rsidRPr="00952162">
        <w:rPr>
          <w:rFonts w:eastAsia="Times New Roman"/>
          <w:lang w:val="bg-BG"/>
        </w:rPr>
        <w:tab/>
        <w:t>ароматни въглеводороди,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н)</w:t>
      </w:r>
      <w:r w:rsidRPr="00952162">
        <w:rPr>
          <w:rFonts w:eastAsia="Times New Roman"/>
          <w:lang w:val="bg-BG"/>
        </w:rPr>
        <w:tab/>
      </w:r>
      <w:proofErr w:type="spellStart"/>
      <w:r w:rsidRPr="00952162">
        <w:rPr>
          <w:rFonts w:eastAsia="Times New Roman"/>
          <w:lang w:val="bg-BG"/>
        </w:rPr>
        <w:t>алифатни</w:t>
      </w:r>
      <w:proofErr w:type="spellEnd"/>
      <w:r w:rsidRPr="00952162">
        <w:rPr>
          <w:rFonts w:eastAsia="Times New Roman"/>
          <w:lang w:val="bg-BG"/>
        </w:rPr>
        <w:t xml:space="preserve"> въглеводороди,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о)</w:t>
      </w:r>
      <w:r w:rsidRPr="00952162">
        <w:rPr>
          <w:rFonts w:eastAsia="Times New Roman"/>
          <w:lang w:val="bg-BG"/>
        </w:rPr>
        <w:tab/>
      </w:r>
      <w:proofErr w:type="spellStart"/>
      <w:r w:rsidRPr="00952162">
        <w:rPr>
          <w:rFonts w:eastAsia="Times New Roman"/>
          <w:lang w:val="bg-BG"/>
        </w:rPr>
        <w:t>халогенирани</w:t>
      </w:r>
      <w:proofErr w:type="spellEnd"/>
      <w:r w:rsidRPr="00952162">
        <w:rPr>
          <w:rFonts w:eastAsia="Times New Roman"/>
          <w:lang w:val="bg-BG"/>
        </w:rPr>
        <w:t xml:space="preserve"> въглеводороди,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п)</w:t>
      </w:r>
      <w:r w:rsidRPr="00952162">
        <w:rPr>
          <w:rFonts w:eastAsia="Times New Roman"/>
          <w:lang w:val="bg-BG"/>
        </w:rPr>
        <w:tab/>
        <w:t>сапун,</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р)</w:t>
      </w:r>
      <w:r w:rsidRPr="00952162">
        <w:rPr>
          <w:rFonts w:eastAsia="Times New Roman"/>
          <w:lang w:val="bg-BG"/>
        </w:rPr>
        <w:tab/>
      </w:r>
      <w:proofErr w:type="spellStart"/>
      <w:r w:rsidRPr="00952162">
        <w:rPr>
          <w:rFonts w:eastAsia="Times New Roman"/>
          <w:lang w:val="bg-BG"/>
        </w:rPr>
        <w:t>зеолити</w:t>
      </w:r>
      <w:proofErr w:type="spellEnd"/>
      <w:r w:rsidRPr="00952162">
        <w:rPr>
          <w:rFonts w:eastAsia="Times New Roman"/>
          <w:lang w:val="bg-BG"/>
        </w:rPr>
        <w:t>,</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с)</w:t>
      </w:r>
      <w:r w:rsidRPr="00952162">
        <w:rPr>
          <w:rFonts w:eastAsia="Times New Roman"/>
          <w:lang w:val="bg-BG"/>
        </w:rPr>
        <w:tab/>
      </w:r>
      <w:proofErr w:type="spellStart"/>
      <w:r w:rsidRPr="00952162">
        <w:rPr>
          <w:rFonts w:eastAsia="Times New Roman"/>
          <w:lang w:val="bg-BG"/>
        </w:rPr>
        <w:t>поликарбоксилати</w:t>
      </w:r>
      <w:proofErr w:type="spellEnd"/>
      <w:r w:rsidRPr="00952162">
        <w:rPr>
          <w:rFonts w:eastAsia="Times New Roman"/>
          <w:lang w:val="bg-BG"/>
        </w:rPr>
        <w:t>.</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2.</w:t>
      </w:r>
      <w:r w:rsidRPr="00952162">
        <w:rPr>
          <w:rFonts w:eastAsia="Times New Roman"/>
          <w:lang w:val="bg-BG"/>
        </w:rPr>
        <w:tab/>
        <w:t>Указва се класът на следните съставни компоненти, ако са прибавени, независимо от концентрацията им:</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ензими,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микроорганизми,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оптични избелители,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г)</w:t>
      </w:r>
      <w:r w:rsidRPr="00952162">
        <w:rPr>
          <w:rFonts w:eastAsia="Times New Roman"/>
          <w:lang w:val="bg-BG"/>
        </w:rPr>
        <w:tab/>
        <w:t>парфюми.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3.</w:t>
      </w:r>
      <w:r w:rsidRPr="00952162">
        <w:rPr>
          <w:rFonts w:eastAsia="Times New Roman"/>
          <w:lang w:val="bg-BG"/>
        </w:rPr>
        <w:tab/>
        <w:t>Консервантите се изброяват по метода, посочен в член 33 от Регламент (ЕО) № 1223/2009, независимо от тяхната концентрация, при условие че отговарят на следните условия: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 xml:space="preserve">допринасят за квалифицирането на </w:t>
      </w:r>
      <w:proofErr w:type="spellStart"/>
      <w:r w:rsidRPr="00952162">
        <w:rPr>
          <w:rFonts w:eastAsia="Times New Roman"/>
          <w:lang w:val="bg-BG"/>
        </w:rPr>
        <w:t>детергента</w:t>
      </w:r>
      <w:proofErr w:type="spellEnd"/>
      <w:r w:rsidRPr="00952162">
        <w:rPr>
          <w:rFonts w:eastAsia="Times New Roman"/>
          <w:lang w:val="bg-BG"/>
        </w:rPr>
        <w:t xml:space="preserve"> като третирано изделие по смисъла на член 3, параграф 1, буква л) от Регламент (ЕС) № 528/2012;</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 xml:space="preserve">посочени са върху етикета на съставен компонент на </w:t>
      </w:r>
      <w:proofErr w:type="spellStart"/>
      <w:r w:rsidRPr="00952162">
        <w:rPr>
          <w:rFonts w:eastAsia="Times New Roman"/>
          <w:lang w:val="bg-BG"/>
        </w:rPr>
        <w:t>детергента</w:t>
      </w:r>
      <w:proofErr w:type="spellEnd"/>
      <w:r w:rsidRPr="00952162">
        <w:rPr>
          <w:rFonts w:eastAsia="Times New Roman"/>
          <w:lang w:val="bg-BG"/>
        </w:rPr>
        <w:t>.</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jc w:val="left"/>
        <w:rPr>
          <w:rFonts w:eastAsia="Times New Roman"/>
          <w:lang w:val="bg-BG"/>
        </w:rPr>
      </w:pPr>
      <w:r w:rsidRPr="00952162">
        <w:rPr>
          <w:rFonts w:eastAsia="Times New Roman"/>
          <w:lang w:val="bg-BG"/>
        </w:rPr>
        <w:lastRenderedPageBreak/>
        <w:t xml:space="preserve">Условието, посочено в първа алинея, буква б), не трябва да бъде изпълнено, когато съдържанието на консерванти не надвишава пределните концентрации за предизвикване, посочени в точка 3.4.3.3. /таблица 3.4.6 от приложение I към Регламент (ЕО) № 1272/2008 или вече нямат функция на консервант в крайния продукт, дори и в </w:t>
      </w:r>
      <w:proofErr w:type="spellStart"/>
      <w:r w:rsidRPr="00952162">
        <w:rPr>
          <w:rFonts w:eastAsia="Times New Roman"/>
          <w:lang w:val="bg-BG"/>
        </w:rPr>
        <w:t>синергия</w:t>
      </w:r>
      <w:proofErr w:type="spellEnd"/>
      <w:r w:rsidRPr="00952162">
        <w:rPr>
          <w:rFonts w:eastAsia="Times New Roman"/>
          <w:lang w:val="bg-BG"/>
        </w:rPr>
        <w:t xml:space="preserve"> с други консерванти.</w:t>
      </w:r>
    </w:p>
    <w:p w:rsidR="00952162" w:rsidRPr="00EA54B9" w:rsidRDefault="00952162" w:rsidP="00952162">
      <w:pPr>
        <w:widowControl w:val="0"/>
        <w:spacing w:before="120" w:after="120" w:line="360" w:lineRule="auto"/>
        <w:ind w:left="850"/>
        <w:jc w:val="left"/>
        <w:rPr>
          <w:rFonts w:eastAsia="Times New Roman"/>
          <w:b/>
          <w:lang w:val="bg-BG"/>
        </w:rPr>
      </w:pPr>
      <w:r w:rsidRPr="00952162">
        <w:rPr>
          <w:rFonts w:eastAsia="Times New Roman"/>
          <w:b/>
          <w:i/>
          <w:lang w:val="bg-BG"/>
        </w:rPr>
        <w:t>Когато се предоставя цифров етикет в съответствие с член 16, параграф 1 от настоящия регламент, консервантите се изброяват по метода, посочен в член 33 от Регламент (ЕО) № 1223/2009, независимо от тяхната концентрация.</w:t>
      </w:r>
      <w:r w:rsidR="00EA54B9">
        <w:rPr>
          <w:rFonts w:eastAsia="Times New Roman"/>
          <w:b/>
          <w:lang w:val="bg-BG"/>
        </w:rPr>
        <w:t xml:space="preserve"> [Изм. 137]</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4.</w:t>
      </w:r>
      <w:r w:rsidRPr="00952162">
        <w:rPr>
          <w:rFonts w:eastAsia="Times New Roman"/>
          <w:lang w:val="bg-BG"/>
        </w:rPr>
        <w:tab/>
        <w:t xml:space="preserve">Ако се добавят в концентрации, надвишаващи 0,01 % от теглото, </w:t>
      </w:r>
      <w:proofErr w:type="spellStart"/>
      <w:r w:rsidRPr="00952162">
        <w:rPr>
          <w:rFonts w:eastAsia="Times New Roman"/>
          <w:lang w:val="bg-BG"/>
        </w:rPr>
        <w:t>алергенните</w:t>
      </w:r>
      <w:proofErr w:type="spellEnd"/>
      <w:r w:rsidRPr="00952162">
        <w:rPr>
          <w:rFonts w:eastAsia="Times New Roman"/>
          <w:lang w:val="bg-BG"/>
        </w:rPr>
        <w:t xml:space="preserve"> аромати, изброени във вписвания 45, 67—92 и [X] — [X] от приложение III към Регламент (ЕО) № 1223/2009, се етикетират по метода, посочен в член 33 от същия регламент. Първото изречение не се прилага за </w:t>
      </w:r>
      <w:proofErr w:type="spellStart"/>
      <w:r w:rsidRPr="00952162">
        <w:rPr>
          <w:rFonts w:eastAsia="Times New Roman"/>
          <w:lang w:val="bg-BG"/>
        </w:rPr>
        <w:t>алергенни</w:t>
      </w:r>
      <w:proofErr w:type="spellEnd"/>
      <w:r w:rsidRPr="00952162">
        <w:rPr>
          <w:rFonts w:eastAsia="Times New Roman"/>
          <w:lang w:val="bg-BG"/>
        </w:rPr>
        <w:t xml:space="preserve"> аромати, които отговарят на праговете за етикетиране съгласно Регламент (ЕО) № 1272/2008.</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lastRenderedPageBreak/>
        <w:t>5.</w:t>
      </w:r>
      <w:r w:rsidRPr="00952162">
        <w:rPr>
          <w:rFonts w:eastAsia="Times New Roman"/>
          <w:lang w:val="bg-BG"/>
        </w:rPr>
        <w:tab/>
        <w:t xml:space="preserve">Изискванията, посочени в точки 1—4, не се прилагат за </w:t>
      </w:r>
      <w:proofErr w:type="spellStart"/>
      <w:r w:rsidRPr="00952162">
        <w:rPr>
          <w:rFonts w:eastAsia="Times New Roman"/>
          <w:lang w:val="bg-BG"/>
        </w:rPr>
        <w:t>детергенти</w:t>
      </w:r>
      <w:proofErr w:type="spellEnd"/>
      <w:r w:rsidRPr="00952162">
        <w:rPr>
          <w:rFonts w:eastAsia="Times New Roman"/>
          <w:lang w:val="bg-BG"/>
        </w:rPr>
        <w:t xml:space="preserve"> и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за професионална употреба, при условие че информацията, еквивалентна на изискваната съгласно тези точки, е предоставена в раздел 15 от информационния лист за безопасност, изготвен в съответствие с член 31 от Регламент (ЕО) № 1907/2006.</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6.</w:t>
      </w:r>
      <w:r w:rsidRPr="00952162">
        <w:rPr>
          <w:rFonts w:eastAsia="Times New Roman"/>
          <w:lang w:val="bg-BG"/>
        </w:rPr>
        <w:tab/>
        <w:t xml:space="preserve">В допълнение към информацията, посочена в точки 1—5, според случая, етикетът на </w:t>
      </w:r>
      <w:proofErr w:type="spellStart"/>
      <w:r w:rsidRPr="00952162">
        <w:rPr>
          <w:rFonts w:eastAsia="Times New Roman"/>
          <w:lang w:val="bg-BG"/>
        </w:rPr>
        <w:t>детергентите</w:t>
      </w:r>
      <w:proofErr w:type="spellEnd"/>
      <w:r w:rsidRPr="00952162">
        <w:rPr>
          <w:rFonts w:eastAsia="Times New Roman"/>
          <w:lang w:val="bg-BG"/>
        </w:rPr>
        <w:t>, съдържащи микроорганизми, съдържа следната информация:</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а)</w:t>
      </w:r>
      <w:r w:rsidRPr="00952162">
        <w:rPr>
          <w:rFonts w:eastAsia="Times New Roman"/>
          <w:lang w:val="bg-BG"/>
        </w:rPr>
        <w:tab/>
        <w:t>указание или препоръка за безопасност продуктът да не се използва върху повърхности в контакт с храни;</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срок на годност на продукта;</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в)</w:t>
      </w:r>
      <w:r w:rsidRPr="00952162">
        <w:rPr>
          <w:rFonts w:eastAsia="Times New Roman"/>
          <w:lang w:val="bg-BG"/>
        </w:rPr>
        <w:tab/>
        <w:t>инструкции за употреба или специални предпазни мерки, когато е приложимо.</w:t>
      </w:r>
    </w:p>
    <w:p w:rsidR="00960D75" w:rsidRDefault="00960D75">
      <w:pPr>
        <w:jc w:val="left"/>
        <w:rPr>
          <w:rFonts w:eastAsia="Times New Roman"/>
          <w:lang w:val="bg-BG"/>
        </w:rPr>
      </w:pPr>
      <w:r>
        <w:rPr>
          <w:rFonts w:eastAsia="Times New Roman"/>
          <w:lang w:val="bg-BG"/>
        </w:rPr>
        <w:br w:type="page"/>
      </w:r>
    </w:p>
    <w:p w:rsidR="00952162" w:rsidRPr="00952162" w:rsidRDefault="00952162" w:rsidP="00960D75">
      <w:pPr>
        <w:widowControl w:val="0"/>
        <w:spacing w:before="120" w:after="120" w:line="360" w:lineRule="auto"/>
        <w:jc w:val="left"/>
        <w:rPr>
          <w:rFonts w:eastAsia="Times New Roman"/>
          <w:lang w:val="bg-BG"/>
        </w:rPr>
      </w:pPr>
      <w:r w:rsidRPr="00952162">
        <w:rPr>
          <w:rFonts w:eastAsia="Times New Roman"/>
          <w:lang w:val="bg-BG"/>
        </w:rPr>
        <w:lastRenderedPageBreak/>
        <w:t xml:space="preserve">ЧАСТ Б — ЕТИКЕТИРАНЕ ОТНОСНО ДОЗИРОВКАТА </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Информацията, която трябва да бъде включена върху етикета на потребителските перилни </w:t>
      </w:r>
      <w:proofErr w:type="spellStart"/>
      <w:r w:rsidRPr="00952162">
        <w:rPr>
          <w:rFonts w:eastAsia="Times New Roman"/>
          <w:lang w:val="bg-BG"/>
        </w:rPr>
        <w:t>детергенти</w:t>
      </w:r>
      <w:proofErr w:type="spellEnd"/>
      <w:r w:rsidRPr="00952162">
        <w:rPr>
          <w:rFonts w:eastAsia="Times New Roman"/>
          <w:lang w:val="bg-BG"/>
        </w:rPr>
        <w:t xml:space="preserve"> и потребителските </w:t>
      </w:r>
      <w:proofErr w:type="spellStart"/>
      <w:r w:rsidRPr="00952162">
        <w:rPr>
          <w:rFonts w:eastAsia="Times New Roman"/>
          <w:lang w:val="bg-BG"/>
        </w:rPr>
        <w:t>детергенти</w:t>
      </w:r>
      <w:proofErr w:type="spellEnd"/>
      <w:r w:rsidRPr="00952162">
        <w:rPr>
          <w:rFonts w:eastAsia="Times New Roman"/>
          <w:lang w:val="bg-BG"/>
        </w:rPr>
        <w:t xml:space="preserve"> за автоматични съдомиялни машини</w:t>
      </w:r>
    </w:p>
    <w:p w:rsidR="00952162" w:rsidRPr="00952162" w:rsidRDefault="00952162" w:rsidP="00952162">
      <w:pPr>
        <w:widowControl w:val="0"/>
        <w:spacing w:before="120" w:after="120" w:line="360" w:lineRule="auto"/>
        <w:ind w:left="850" w:hanging="850"/>
        <w:jc w:val="left"/>
        <w:rPr>
          <w:rFonts w:eastAsia="Times New Roman"/>
          <w:lang w:val="bg-BG"/>
        </w:rPr>
      </w:pPr>
      <w:r w:rsidRPr="00B66D7F">
        <w:rPr>
          <w:rFonts w:eastAsia="Times New Roman"/>
          <w:lang w:val="bg-BG"/>
        </w:rPr>
        <w:t>1</w:t>
      </w:r>
      <w:r w:rsidRPr="00952162">
        <w:rPr>
          <w:rFonts w:eastAsia="Times New Roman"/>
          <w:lang w:val="bg-BG"/>
        </w:rPr>
        <w:t>.</w:t>
      </w:r>
      <w:r w:rsidRPr="00952162">
        <w:rPr>
          <w:rFonts w:eastAsia="Times New Roman"/>
          <w:lang w:val="bg-BG"/>
        </w:rPr>
        <w:tab/>
        <w:t xml:space="preserve">Етикетът на потребителските перилни </w:t>
      </w:r>
      <w:proofErr w:type="spellStart"/>
      <w:r w:rsidRPr="00952162">
        <w:rPr>
          <w:rFonts w:eastAsia="Times New Roman"/>
          <w:lang w:val="bg-BG"/>
        </w:rPr>
        <w:t>детергенти</w:t>
      </w:r>
      <w:proofErr w:type="spellEnd"/>
      <w:r w:rsidRPr="00952162">
        <w:rPr>
          <w:rFonts w:eastAsia="Times New Roman"/>
          <w:lang w:val="bg-BG"/>
        </w:rPr>
        <w:t xml:space="preserve"> съдържа следната информация:</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а)</w:t>
      </w:r>
      <w:r w:rsidRPr="00952162">
        <w:rPr>
          <w:rFonts w:eastAsia="Times New Roman"/>
          <w:lang w:val="bg-BG"/>
        </w:rPr>
        <w:tab/>
        <w:t>препоръчителните количества и/или указания за дозиране, изразени в милилитри или в грамове</w:t>
      </w:r>
      <w:r w:rsidRPr="00952162">
        <w:rPr>
          <w:rFonts w:eastAsia="Times New Roman"/>
          <w:b/>
          <w:i/>
          <w:lang w:val="bg-BG"/>
        </w:rPr>
        <w:t>, или, когато е приложимо, брой единици</w:t>
      </w:r>
      <w:r w:rsidRPr="00952162">
        <w:rPr>
          <w:rFonts w:eastAsia="Times New Roman"/>
          <w:lang w:val="bg-BG"/>
        </w:rPr>
        <w:t>, съответстващи на стандартно зареждане на перална машина, за използване с мека, средно твърда и твърда вода, както и указания за един или два цикъла на пране,</w:t>
      </w:r>
      <w:r w:rsidR="00EA54B9">
        <w:rPr>
          <w:rFonts w:eastAsia="Times New Roman"/>
          <w:b/>
          <w:lang w:val="bg-BG"/>
        </w:rPr>
        <w:t xml:space="preserve"> [Изм. 138]</w:t>
      </w:r>
    </w:p>
    <w:p w:rsidR="00952162" w:rsidRPr="00952162" w:rsidRDefault="00952162" w:rsidP="00952162">
      <w:pPr>
        <w:widowControl w:val="0"/>
        <w:spacing w:before="120" w:after="120" w:line="360" w:lineRule="auto"/>
        <w:ind w:left="1416" w:hanging="566"/>
        <w:jc w:val="left"/>
        <w:rPr>
          <w:rFonts w:eastAsia="Times New Roman"/>
          <w:lang w:val="bg-BG"/>
        </w:rPr>
      </w:pPr>
      <w:r w:rsidRPr="00952162">
        <w:rPr>
          <w:rFonts w:eastAsia="Times New Roman"/>
          <w:lang w:val="bg-BG"/>
        </w:rPr>
        <w:t>б)</w:t>
      </w:r>
      <w:r w:rsidRPr="00952162">
        <w:rPr>
          <w:rFonts w:eastAsia="Times New Roman"/>
          <w:lang w:val="bg-BG"/>
        </w:rPr>
        <w:tab/>
        <w:t xml:space="preserve">за „класически“ </w:t>
      </w:r>
      <w:proofErr w:type="spellStart"/>
      <w:r w:rsidRPr="00952162">
        <w:rPr>
          <w:rFonts w:eastAsia="Times New Roman"/>
          <w:lang w:val="bg-BG"/>
        </w:rPr>
        <w:t>детергенти</w:t>
      </w:r>
      <w:proofErr w:type="spellEnd"/>
      <w:r w:rsidRPr="00952162">
        <w:rPr>
          <w:rFonts w:eastAsia="Times New Roman"/>
          <w:lang w:val="bg-BG"/>
        </w:rPr>
        <w:t xml:space="preserve"> — броя на стандартните зареждания на една перална машина с „нормално замърсени“ текстилни изделия, а за </w:t>
      </w:r>
      <w:proofErr w:type="spellStart"/>
      <w:r w:rsidRPr="00952162">
        <w:rPr>
          <w:rFonts w:eastAsia="Times New Roman"/>
          <w:lang w:val="bg-BG"/>
        </w:rPr>
        <w:t>детергенти</w:t>
      </w:r>
      <w:proofErr w:type="spellEnd"/>
      <w:r w:rsidRPr="00952162">
        <w:rPr>
          <w:rFonts w:eastAsia="Times New Roman"/>
          <w:lang w:val="bg-BG"/>
        </w:rPr>
        <w:t xml:space="preserve"> за фини текстилни изделия — броя на стандартните зареждания на една перална машина с „леко замърсени“ текстилни изделия, които могат да бъдат изпрани със съдържанието на една опаковка, при използване на вода със средна твърдост, отговаряща на 2,5 </w:t>
      </w:r>
      <w:proofErr w:type="spellStart"/>
      <w:r w:rsidRPr="00952162">
        <w:rPr>
          <w:rFonts w:eastAsia="Times New Roman"/>
          <w:lang w:val="bg-BG"/>
        </w:rPr>
        <w:t>милимола</w:t>
      </w:r>
      <w:proofErr w:type="spellEnd"/>
      <w:r w:rsidRPr="00952162">
        <w:rPr>
          <w:rFonts w:eastAsia="Times New Roman"/>
          <w:lang w:val="bg-BG"/>
        </w:rPr>
        <w:t xml:space="preserve"> CaCO</w:t>
      </w:r>
      <w:r w:rsidRPr="00952162">
        <w:rPr>
          <w:rFonts w:eastAsia="Times New Roman"/>
          <w:vertAlign w:val="subscript"/>
          <w:lang w:val="bg-BG"/>
        </w:rPr>
        <w:t>3</w:t>
      </w:r>
      <w:r w:rsidRPr="00952162">
        <w:rPr>
          <w:rFonts w:eastAsia="Times New Roman"/>
          <w:lang w:val="bg-BG"/>
        </w:rPr>
        <w:t>/l,</w:t>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lang w:val="bg-BG"/>
        </w:rPr>
        <w:t>в)</w:t>
      </w:r>
      <w:r w:rsidRPr="00952162">
        <w:rPr>
          <w:rFonts w:eastAsia="Times New Roman"/>
          <w:lang w:val="bg-BG"/>
        </w:rPr>
        <w:tab/>
        <w:t xml:space="preserve">ако заедно с продукта се предоставя </w:t>
      </w:r>
      <w:proofErr w:type="spellStart"/>
      <w:r w:rsidRPr="00952162">
        <w:rPr>
          <w:rFonts w:eastAsia="Times New Roman"/>
          <w:lang w:val="bg-BG"/>
        </w:rPr>
        <w:t>дозаторна</w:t>
      </w:r>
      <w:proofErr w:type="spellEnd"/>
      <w:r w:rsidRPr="00952162">
        <w:rPr>
          <w:rFonts w:eastAsia="Times New Roman"/>
          <w:lang w:val="bg-BG"/>
        </w:rPr>
        <w:t xml:space="preserve"> чашка, нейната вместимост се отбелязва също в милилитри или в грамове и </w:t>
      </w:r>
      <w:r w:rsidRPr="00952162">
        <w:rPr>
          <w:rFonts w:eastAsia="Times New Roman"/>
          <w:b/>
          <w:i/>
          <w:lang w:val="bg-BG"/>
        </w:rPr>
        <w:t xml:space="preserve">мерителната скала се изобразява ясно и при значителен контраст спрямо цвета на </w:t>
      </w:r>
      <w:proofErr w:type="spellStart"/>
      <w:r w:rsidRPr="00952162">
        <w:rPr>
          <w:rFonts w:eastAsia="Times New Roman"/>
          <w:b/>
          <w:i/>
          <w:lang w:val="bg-BG"/>
        </w:rPr>
        <w:t>дозаторната</w:t>
      </w:r>
      <w:proofErr w:type="spellEnd"/>
      <w:r w:rsidRPr="00952162">
        <w:rPr>
          <w:rFonts w:eastAsia="Times New Roman"/>
          <w:b/>
          <w:i/>
          <w:lang w:val="bg-BG"/>
        </w:rPr>
        <w:t xml:space="preserve"> чашка с оглед указване </w:t>
      </w:r>
      <w:proofErr w:type="spellStart"/>
      <w:r w:rsidRPr="00952162">
        <w:rPr>
          <w:rFonts w:eastAsia="Times New Roman"/>
          <w:b/>
          <w:i/>
          <w:lang w:val="bg-BG"/>
        </w:rPr>
        <w:t>на</w:t>
      </w:r>
      <w:r w:rsidRPr="00952162">
        <w:rPr>
          <w:rFonts w:eastAsia="Times New Roman"/>
          <w:strike/>
          <w:lang w:val="bg-BG"/>
        </w:rPr>
        <w:t>се</w:t>
      </w:r>
      <w:proofErr w:type="spellEnd"/>
      <w:r w:rsidRPr="00952162">
        <w:rPr>
          <w:rFonts w:eastAsia="Times New Roman"/>
          <w:strike/>
          <w:lang w:val="bg-BG"/>
        </w:rPr>
        <w:t xml:space="preserve"> посочват указания за</w:t>
      </w:r>
      <w:r w:rsidRPr="00952162">
        <w:rPr>
          <w:rFonts w:eastAsia="Times New Roman"/>
          <w:lang w:val="bg-BG"/>
        </w:rPr>
        <w:t xml:space="preserve"> дозата </w:t>
      </w:r>
      <w:proofErr w:type="spellStart"/>
      <w:r w:rsidRPr="00952162">
        <w:rPr>
          <w:rFonts w:eastAsia="Times New Roman"/>
          <w:lang w:val="bg-BG"/>
        </w:rPr>
        <w:t>детергент</w:t>
      </w:r>
      <w:proofErr w:type="spellEnd"/>
      <w:r w:rsidRPr="00952162">
        <w:rPr>
          <w:rFonts w:eastAsia="Times New Roman"/>
          <w:lang w:val="bg-BG"/>
        </w:rPr>
        <w:t>, съответстваща на стандартно зареждане на перална машина, за използване съответно с мека, средно твърда и твърда вода</w:t>
      </w:r>
      <w:r w:rsidRPr="00952162">
        <w:rPr>
          <w:rFonts w:eastAsia="Times New Roman"/>
          <w:strike/>
          <w:lang w:val="bg-BG"/>
        </w:rPr>
        <w:t>.</w:t>
      </w:r>
      <w:r w:rsidRPr="00952162">
        <w:rPr>
          <w:rFonts w:eastAsia="Times New Roman"/>
          <w:b/>
          <w:i/>
          <w:lang w:val="bg-BG"/>
        </w:rPr>
        <w:t>,</w:t>
      </w:r>
      <w:r w:rsidR="00EA54B9">
        <w:rPr>
          <w:rFonts w:eastAsia="Times New Roman"/>
          <w:b/>
          <w:lang w:val="bg-BG"/>
        </w:rPr>
        <w:t xml:space="preserve"> [Изм. 139]</w:t>
      </w:r>
    </w:p>
    <w:p w:rsidR="00960D75" w:rsidRDefault="00960D75">
      <w:pPr>
        <w:jc w:val="left"/>
        <w:rPr>
          <w:rFonts w:eastAsia="Times New Roman"/>
          <w:b/>
          <w:i/>
          <w:lang w:val="bg-BG"/>
        </w:rPr>
      </w:pPr>
      <w:r>
        <w:rPr>
          <w:rFonts w:eastAsia="Times New Roman"/>
          <w:b/>
          <w:i/>
          <w:lang w:val="bg-BG"/>
        </w:rPr>
        <w:br w:type="page"/>
      </w:r>
    </w:p>
    <w:p w:rsidR="00952162" w:rsidRPr="00EA54B9" w:rsidRDefault="00952162" w:rsidP="00952162">
      <w:pPr>
        <w:widowControl w:val="0"/>
        <w:spacing w:before="120" w:after="120" w:line="360" w:lineRule="auto"/>
        <w:ind w:left="1416" w:hanging="566"/>
        <w:jc w:val="left"/>
        <w:rPr>
          <w:rFonts w:eastAsia="Times New Roman"/>
          <w:b/>
          <w:lang w:val="bg-BG"/>
        </w:rPr>
      </w:pPr>
      <w:r w:rsidRPr="00952162">
        <w:rPr>
          <w:rFonts w:eastAsia="Times New Roman"/>
          <w:b/>
          <w:i/>
          <w:lang w:val="bg-BG"/>
        </w:rPr>
        <w:lastRenderedPageBreak/>
        <w:t>в</w:t>
      </w:r>
      <w:r w:rsidR="00EA54B9">
        <w:rPr>
          <w:rFonts w:eastAsia="Times New Roman"/>
          <w:b/>
          <w:i/>
          <w:lang w:val="bg-BG"/>
        </w:rPr>
        <w:t>а</w:t>
      </w:r>
      <w:r w:rsidRPr="00952162">
        <w:rPr>
          <w:rFonts w:eastAsia="Times New Roman"/>
          <w:b/>
          <w:i/>
          <w:lang w:val="bg-BG"/>
        </w:rPr>
        <w:t>)</w:t>
      </w:r>
      <w:r w:rsidRPr="00952162">
        <w:rPr>
          <w:rFonts w:eastAsia="Times New Roman"/>
          <w:lang w:val="bg-BG"/>
        </w:rPr>
        <w:tab/>
      </w:r>
      <w:r w:rsidRPr="00952162">
        <w:rPr>
          <w:rFonts w:eastAsia="Times New Roman"/>
          <w:b/>
          <w:i/>
          <w:lang w:val="bg-BG"/>
        </w:rPr>
        <w:t xml:space="preserve">за </w:t>
      </w:r>
      <w:proofErr w:type="spellStart"/>
      <w:r w:rsidRPr="00952162">
        <w:rPr>
          <w:rFonts w:eastAsia="Times New Roman"/>
          <w:b/>
          <w:i/>
          <w:lang w:val="bg-BG"/>
        </w:rPr>
        <w:t>детергентите</w:t>
      </w:r>
      <w:proofErr w:type="spellEnd"/>
      <w:r w:rsidRPr="00952162">
        <w:rPr>
          <w:rFonts w:eastAsia="Times New Roman"/>
          <w:b/>
          <w:i/>
          <w:lang w:val="bg-BG"/>
        </w:rPr>
        <w:t xml:space="preserve">, опаковани в бутилки, дозата </w:t>
      </w:r>
      <w:proofErr w:type="spellStart"/>
      <w:r w:rsidRPr="00952162">
        <w:rPr>
          <w:rFonts w:eastAsia="Times New Roman"/>
          <w:b/>
          <w:i/>
          <w:lang w:val="bg-BG"/>
        </w:rPr>
        <w:t>детергент</w:t>
      </w:r>
      <w:proofErr w:type="spellEnd"/>
      <w:r w:rsidRPr="00952162">
        <w:rPr>
          <w:rFonts w:eastAsia="Times New Roman"/>
          <w:b/>
          <w:i/>
          <w:lang w:val="bg-BG"/>
        </w:rPr>
        <w:t>, подходяща за стандартно зареждане на пералната машина най-малко за мека вода и за вода със средна твърдост, се осигурява чрез ясно видима скала на капачката при значителен контраст спрямо цвета на капачката.</w:t>
      </w:r>
      <w:r w:rsidR="00EA54B9">
        <w:rPr>
          <w:rFonts w:eastAsia="Times New Roman"/>
          <w:b/>
          <w:lang w:val="bg-BG"/>
        </w:rPr>
        <w:t xml:space="preserve"> [Изм. 140]</w:t>
      </w:r>
    </w:p>
    <w:p w:rsidR="00952162" w:rsidRPr="00952162" w:rsidRDefault="00952162" w:rsidP="00952162">
      <w:pPr>
        <w:widowControl w:val="0"/>
        <w:spacing w:before="120" w:after="120" w:line="360" w:lineRule="auto"/>
        <w:ind w:left="850" w:hanging="850"/>
        <w:jc w:val="left"/>
        <w:rPr>
          <w:rFonts w:eastAsia="Times New Roman"/>
          <w:lang w:val="bg-BG"/>
        </w:rPr>
      </w:pPr>
      <w:r w:rsidRPr="00B66D7F">
        <w:rPr>
          <w:rFonts w:eastAsia="Times New Roman"/>
          <w:lang w:val="bg-BG"/>
        </w:rPr>
        <w:t>2</w:t>
      </w:r>
      <w:r w:rsidRPr="00952162">
        <w:rPr>
          <w:rFonts w:eastAsia="Times New Roman"/>
          <w:lang w:val="bg-BG"/>
        </w:rPr>
        <w:t>.</w:t>
      </w:r>
      <w:r w:rsidRPr="00952162">
        <w:rPr>
          <w:rFonts w:eastAsia="Times New Roman"/>
          <w:lang w:val="bg-BG"/>
        </w:rPr>
        <w:tab/>
        <w:t xml:space="preserve">За целите на точка 1 стандартното зареждане на перална машина е 4,5 </w:t>
      </w:r>
      <w:proofErr w:type="spellStart"/>
      <w:r w:rsidRPr="00952162">
        <w:rPr>
          <w:rFonts w:eastAsia="Times New Roman"/>
          <w:lang w:val="bg-BG"/>
        </w:rPr>
        <w:t>kg</w:t>
      </w:r>
      <w:proofErr w:type="spellEnd"/>
      <w:r w:rsidRPr="00952162">
        <w:rPr>
          <w:rFonts w:eastAsia="Times New Roman"/>
          <w:lang w:val="bg-BG"/>
        </w:rPr>
        <w:t xml:space="preserve"> сух текстил за </w:t>
      </w:r>
      <w:proofErr w:type="spellStart"/>
      <w:r w:rsidRPr="00952162">
        <w:rPr>
          <w:rFonts w:eastAsia="Times New Roman"/>
          <w:lang w:val="bg-BG"/>
        </w:rPr>
        <w:t>детергенти</w:t>
      </w:r>
      <w:proofErr w:type="spellEnd"/>
      <w:r w:rsidRPr="00952162">
        <w:rPr>
          <w:rFonts w:eastAsia="Times New Roman"/>
          <w:lang w:val="bg-BG"/>
        </w:rPr>
        <w:t xml:space="preserve"> за „класическо“ пране и 2,5 </w:t>
      </w:r>
      <w:proofErr w:type="spellStart"/>
      <w:r w:rsidRPr="00952162">
        <w:rPr>
          <w:rFonts w:eastAsia="Times New Roman"/>
          <w:lang w:val="bg-BG"/>
        </w:rPr>
        <w:t>kg</w:t>
      </w:r>
      <w:proofErr w:type="spellEnd"/>
      <w:r w:rsidRPr="00952162">
        <w:rPr>
          <w:rFonts w:eastAsia="Times New Roman"/>
          <w:lang w:val="bg-BG"/>
        </w:rPr>
        <w:t xml:space="preserve"> сух текстил за </w:t>
      </w:r>
      <w:proofErr w:type="spellStart"/>
      <w:r w:rsidRPr="00952162">
        <w:rPr>
          <w:rFonts w:eastAsia="Times New Roman"/>
          <w:lang w:val="bg-BG"/>
        </w:rPr>
        <w:t>детергенти</w:t>
      </w:r>
      <w:proofErr w:type="spellEnd"/>
      <w:r w:rsidRPr="00952162">
        <w:rPr>
          <w:rFonts w:eastAsia="Times New Roman"/>
          <w:lang w:val="bg-BG"/>
        </w:rPr>
        <w:t xml:space="preserve"> за фини текстилни изделия. </w:t>
      </w:r>
      <w:proofErr w:type="spellStart"/>
      <w:r w:rsidRPr="00952162">
        <w:rPr>
          <w:rFonts w:eastAsia="Times New Roman"/>
          <w:lang w:val="bg-BG"/>
        </w:rPr>
        <w:t>Детергентите</w:t>
      </w:r>
      <w:proofErr w:type="spellEnd"/>
      <w:r w:rsidRPr="00952162">
        <w:rPr>
          <w:rFonts w:eastAsia="Times New Roman"/>
          <w:lang w:val="bg-BG"/>
        </w:rPr>
        <w:t xml:space="preserve"> се считат за „класически“ когато производителят им не предвижда предимно употреба, при която се щадят тъканите, и по-специално пране при ниска температура, при нежни и цветни материи.</w:t>
      </w:r>
    </w:p>
    <w:p w:rsidR="00952162" w:rsidRPr="00EA54B9" w:rsidRDefault="00952162" w:rsidP="00952162">
      <w:pPr>
        <w:widowControl w:val="0"/>
        <w:spacing w:before="120" w:after="120" w:line="360" w:lineRule="auto"/>
        <w:ind w:left="850" w:hanging="850"/>
        <w:jc w:val="left"/>
        <w:rPr>
          <w:rFonts w:eastAsia="Times New Roman"/>
          <w:b/>
          <w:lang w:val="bg-BG"/>
        </w:rPr>
      </w:pPr>
      <w:r w:rsidRPr="00B66D7F">
        <w:rPr>
          <w:rFonts w:eastAsia="Times New Roman"/>
          <w:lang w:val="bg-BG"/>
        </w:rPr>
        <w:t>3</w:t>
      </w:r>
      <w:r w:rsidRPr="00952162">
        <w:rPr>
          <w:rFonts w:eastAsia="Times New Roman"/>
          <w:lang w:val="bg-BG"/>
        </w:rPr>
        <w:t>.</w:t>
      </w:r>
      <w:r w:rsidRPr="00952162">
        <w:rPr>
          <w:rFonts w:eastAsia="Times New Roman"/>
          <w:lang w:val="bg-BG"/>
        </w:rPr>
        <w:tab/>
        <w:t xml:space="preserve">Върху етикета на потребителските </w:t>
      </w:r>
      <w:proofErr w:type="spellStart"/>
      <w:r w:rsidRPr="00952162">
        <w:rPr>
          <w:rFonts w:eastAsia="Times New Roman"/>
          <w:lang w:val="bg-BG"/>
        </w:rPr>
        <w:t>детергенти</w:t>
      </w:r>
      <w:proofErr w:type="spellEnd"/>
      <w:r w:rsidRPr="00952162">
        <w:rPr>
          <w:rFonts w:eastAsia="Times New Roman"/>
          <w:lang w:val="bg-BG"/>
        </w:rPr>
        <w:t xml:space="preserve"> за автоматични съдомиялни машини се посочва стандартната доза, изразена в грамове или милилитри, или брой </w:t>
      </w:r>
      <w:proofErr w:type="spellStart"/>
      <w:r w:rsidRPr="00952162">
        <w:rPr>
          <w:rFonts w:eastAsia="Times New Roman"/>
          <w:strike/>
          <w:lang w:val="bg-BG"/>
        </w:rPr>
        <w:t>таблети</w:t>
      </w:r>
      <w:r w:rsidRPr="00952162">
        <w:rPr>
          <w:rFonts w:eastAsia="Times New Roman"/>
          <w:b/>
          <w:i/>
          <w:lang w:val="bg-BG"/>
        </w:rPr>
        <w:t>единици</w:t>
      </w:r>
      <w:proofErr w:type="spellEnd"/>
      <w:r w:rsidRPr="00952162">
        <w:rPr>
          <w:rFonts w:eastAsia="Times New Roman"/>
          <w:lang w:val="bg-BG"/>
        </w:rPr>
        <w:t xml:space="preserve"> за основния цикъл на измиване, за нормално замърсени съдове за сервиране в напълно натоварена съдомиялна машина за 12 комплекта, като, където е приложимо, стандартната доза се коригира съответно за използване с мека, средно твърда и твърда вода.</w:t>
      </w:r>
      <w:r w:rsidR="00EA54B9">
        <w:rPr>
          <w:rFonts w:eastAsia="Times New Roman"/>
          <w:b/>
          <w:lang w:val="bg-BG"/>
        </w:rPr>
        <w:t xml:space="preserve"> [Изм. 141]</w:t>
      </w:r>
    </w:p>
    <w:p w:rsidR="00960D75" w:rsidRDefault="00960D75">
      <w:pPr>
        <w:jc w:val="left"/>
        <w:rPr>
          <w:rFonts w:eastAsia="Times New Roman"/>
          <w:strike/>
          <w:lang w:val="bg-BG"/>
        </w:rPr>
      </w:pPr>
      <w:r>
        <w:rPr>
          <w:rFonts w:eastAsia="Times New Roman"/>
          <w:strike/>
          <w:lang w:val="bg-BG"/>
        </w:rPr>
        <w:br w:type="page"/>
      </w:r>
    </w:p>
    <w:p w:rsidR="00952162" w:rsidRPr="00952162" w:rsidRDefault="00952162" w:rsidP="00960D75">
      <w:pPr>
        <w:widowControl w:val="0"/>
        <w:spacing w:before="120" w:after="120" w:line="360" w:lineRule="auto"/>
        <w:jc w:val="left"/>
        <w:rPr>
          <w:rFonts w:eastAsia="Times New Roman"/>
          <w:lang w:val="bg-BG"/>
        </w:rPr>
      </w:pPr>
      <w:r w:rsidRPr="00952162">
        <w:rPr>
          <w:rFonts w:eastAsia="Times New Roman"/>
          <w:strike/>
          <w:lang w:val="bg-BG"/>
        </w:rPr>
        <w:lastRenderedPageBreak/>
        <w:t xml:space="preserve">ЧАСТ В — ЦИФРОВО ЕТИКЕТИРАНЕ </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strike/>
          <w:lang w:val="bg-BG"/>
        </w:rPr>
        <w:t>Следната информация относно съдържанието, посочена в част А, може да бъде предоставена само върху цифровия етикет в съответствие с член 16, параграф 1, втора алинея, по начина, определен в тази част:</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а)</w:t>
      </w:r>
      <w:r w:rsidRPr="00952162">
        <w:rPr>
          <w:rFonts w:eastAsia="Times New Roman"/>
          <w:lang w:val="bg-BG"/>
        </w:rPr>
        <w:tab/>
      </w:r>
      <w:proofErr w:type="spellStart"/>
      <w:r w:rsidRPr="00952162">
        <w:rPr>
          <w:rFonts w:eastAsia="Times New Roman"/>
          <w:strike/>
          <w:lang w:val="bg-BG"/>
        </w:rPr>
        <w:t>анионни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б)</w:t>
      </w:r>
      <w:r w:rsidRPr="00952162">
        <w:rPr>
          <w:rFonts w:eastAsia="Times New Roman"/>
          <w:lang w:val="bg-BG"/>
        </w:rPr>
        <w:tab/>
      </w:r>
      <w:proofErr w:type="spellStart"/>
      <w:r w:rsidRPr="00952162">
        <w:rPr>
          <w:rFonts w:eastAsia="Times New Roman"/>
          <w:strike/>
          <w:lang w:val="bg-BG"/>
        </w:rPr>
        <w:t>катионни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в)</w:t>
      </w:r>
      <w:r w:rsidRPr="00952162">
        <w:rPr>
          <w:rFonts w:eastAsia="Times New Roman"/>
          <w:lang w:val="bg-BG"/>
        </w:rPr>
        <w:tab/>
      </w:r>
      <w:proofErr w:type="spellStart"/>
      <w:r w:rsidRPr="00952162">
        <w:rPr>
          <w:rFonts w:eastAsia="Times New Roman"/>
          <w:strike/>
          <w:lang w:val="bg-BG"/>
        </w:rPr>
        <w:t>амфотерни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г)</w:t>
      </w:r>
      <w:r w:rsidRPr="00952162">
        <w:rPr>
          <w:rFonts w:eastAsia="Times New Roman"/>
          <w:lang w:val="bg-BG"/>
        </w:rPr>
        <w:tab/>
      </w:r>
      <w:proofErr w:type="spellStart"/>
      <w:r w:rsidRPr="00952162">
        <w:rPr>
          <w:rFonts w:eastAsia="Times New Roman"/>
          <w:strike/>
          <w:lang w:val="bg-BG"/>
        </w:rPr>
        <w:t>нейоногенни</w:t>
      </w:r>
      <w:proofErr w:type="spellEnd"/>
      <w:r w:rsidRPr="00952162">
        <w:rPr>
          <w:rFonts w:eastAsia="Times New Roman"/>
          <w:strike/>
          <w:lang w:val="bg-BG"/>
        </w:rPr>
        <w:t xml:space="preserve"> </w:t>
      </w:r>
      <w:proofErr w:type="spellStart"/>
      <w:r w:rsidRPr="00952162">
        <w:rPr>
          <w:rFonts w:eastAsia="Times New Roman"/>
          <w:strike/>
          <w:lang w:val="bg-BG"/>
        </w:rPr>
        <w:t>повърхностноактивни</w:t>
      </w:r>
      <w:proofErr w:type="spellEnd"/>
      <w:r w:rsidRPr="00952162">
        <w:rPr>
          <w:rFonts w:eastAsia="Times New Roman"/>
          <w:strike/>
          <w:lang w:val="bg-BG"/>
        </w:rPr>
        <w:t xml:space="preserve"> вещества;</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д)</w:t>
      </w:r>
      <w:r w:rsidRPr="00952162">
        <w:rPr>
          <w:rFonts w:eastAsia="Times New Roman"/>
          <w:lang w:val="bg-BG"/>
        </w:rPr>
        <w:tab/>
      </w:r>
      <w:r w:rsidRPr="00952162">
        <w:rPr>
          <w:rFonts w:eastAsia="Times New Roman"/>
          <w:strike/>
          <w:lang w:val="bg-BG"/>
        </w:rPr>
        <w:t>фосфати;</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strike/>
          <w:lang w:val="bg-BG"/>
        </w:rPr>
        <w:t>е)</w:t>
      </w:r>
      <w:r w:rsidRPr="00952162">
        <w:rPr>
          <w:rFonts w:eastAsia="Times New Roman"/>
          <w:lang w:val="bg-BG"/>
        </w:rPr>
        <w:tab/>
      </w:r>
      <w:proofErr w:type="spellStart"/>
      <w:r w:rsidRPr="00952162">
        <w:rPr>
          <w:rFonts w:eastAsia="Times New Roman"/>
          <w:strike/>
          <w:lang w:val="bg-BG"/>
        </w:rPr>
        <w:t>фосфонати</w:t>
      </w:r>
      <w:proofErr w:type="spellEnd"/>
      <w:r w:rsidRPr="00952162">
        <w:rPr>
          <w:rFonts w:eastAsia="Times New Roman"/>
          <w:strike/>
          <w:lang w:val="bg-BG"/>
        </w:rPr>
        <w:t>;</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strike/>
          <w:lang w:val="bg-BG"/>
        </w:rPr>
        <w:t>ж)</w:t>
      </w:r>
      <w:r w:rsidRPr="00952162">
        <w:rPr>
          <w:rFonts w:eastAsia="Times New Roman"/>
          <w:lang w:val="bg-BG"/>
        </w:rPr>
        <w:tab/>
      </w:r>
      <w:r w:rsidRPr="00952162">
        <w:rPr>
          <w:rFonts w:eastAsia="Times New Roman"/>
          <w:strike/>
          <w:lang w:val="bg-BG"/>
        </w:rPr>
        <w:t>сапун.</w:t>
      </w:r>
      <w:r w:rsidR="00EA54B9" w:rsidRPr="00EA54B9">
        <w:rPr>
          <w:rFonts w:eastAsia="Times New Roman"/>
          <w:b/>
          <w:lang w:val="bg-BG"/>
        </w:rPr>
        <w:t xml:space="preserve"> [Изм. 142]</w:t>
      </w:r>
    </w:p>
    <w:p w:rsidR="00960D75" w:rsidRDefault="00960D75">
      <w:pPr>
        <w:jc w:val="left"/>
        <w:rPr>
          <w:rFonts w:eastAsia="Times New Roman"/>
          <w:lang w:val="bg-BG"/>
        </w:rPr>
      </w:pPr>
      <w:r>
        <w:rPr>
          <w:rFonts w:eastAsia="Times New Roman"/>
          <w:lang w:val="bg-BG"/>
        </w:rPr>
        <w:br w:type="page"/>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lastRenderedPageBreak/>
        <w:t>ЧАСТ Г – ОПРОСТЕНА ИНФОРМАЦИЯ ЗА ДОЗИРОВКАТА ЗА ПОТРЕБИТЕЛСКИ ПЕРИЛНИ ДЕТЕРГЕНТИ</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Опростената таблица с дозировката трябва да съдържа следната информация: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а)</w:t>
      </w:r>
      <w:r w:rsidRPr="00952162">
        <w:rPr>
          <w:rFonts w:eastAsia="Times New Roman"/>
          <w:lang w:val="bg-BG"/>
        </w:rPr>
        <w:tab/>
        <w:t>основни инструкции за употреба, когато е приложимо;</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б)</w:t>
      </w:r>
      <w:r w:rsidRPr="00952162">
        <w:rPr>
          <w:rFonts w:eastAsia="Times New Roman"/>
          <w:lang w:val="bg-BG"/>
        </w:rPr>
        <w:tab/>
        <w:t xml:space="preserve">препоръчани количества въз основа на </w:t>
      </w:r>
      <w:proofErr w:type="spellStart"/>
      <w:r w:rsidRPr="00952162">
        <w:rPr>
          <w:rFonts w:eastAsia="Times New Roman"/>
          <w:strike/>
          <w:lang w:val="bg-BG"/>
        </w:rPr>
        <w:t>средната</w:t>
      </w:r>
      <w:r w:rsidRPr="00952162">
        <w:rPr>
          <w:rFonts w:eastAsia="Times New Roman"/>
          <w:b/>
          <w:i/>
          <w:lang w:val="bg-BG"/>
        </w:rPr>
        <w:t>средна</w:t>
      </w:r>
      <w:proofErr w:type="spellEnd"/>
      <w:r w:rsidRPr="00952162">
        <w:rPr>
          <w:rFonts w:eastAsia="Times New Roman"/>
          <w:lang w:val="bg-BG"/>
        </w:rPr>
        <w:t xml:space="preserve"> твърдост на водата и степента на замърсяване на тъканите; както и</w:t>
      </w:r>
      <w:r w:rsidR="00EA54B9">
        <w:rPr>
          <w:rFonts w:eastAsia="Times New Roman"/>
          <w:b/>
          <w:lang w:val="bg-BG"/>
        </w:rPr>
        <w:t xml:space="preserve"> [Изм. 143]</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в)</w:t>
      </w:r>
      <w:r w:rsidRPr="00952162">
        <w:rPr>
          <w:rFonts w:eastAsia="Times New Roman"/>
          <w:lang w:val="bg-BG"/>
        </w:rPr>
        <w:tab/>
        <w:t>указание за зареждането на пералната машина.</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Част Б, точка 1, букви в) и г) се прилагат и в случай че е предоставена опростена информация за дозировката.</w:t>
      </w:r>
      <w:r w:rsidR="00EA54B9">
        <w:rPr>
          <w:rFonts w:eastAsia="Times New Roman"/>
          <w:b/>
          <w:lang w:val="bg-BG"/>
        </w:rPr>
        <w:t xml:space="preserve"> [Изм. 144]</w:t>
      </w:r>
    </w:p>
    <w:p w:rsidR="00952162" w:rsidRPr="00EA54B9" w:rsidRDefault="00952162" w:rsidP="00952162">
      <w:pPr>
        <w:widowControl w:val="0"/>
        <w:spacing w:before="120" w:after="120" w:line="360" w:lineRule="auto"/>
        <w:jc w:val="left"/>
        <w:rPr>
          <w:rFonts w:eastAsia="Times New Roman"/>
          <w:b/>
          <w:lang w:val="bg-BG"/>
        </w:rPr>
        <w:sectPr w:rsidR="00952162" w:rsidRPr="00EA54B9">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VI</w:t>
      </w:r>
    </w:p>
    <w:p w:rsidR="00952162" w:rsidRPr="00952162" w:rsidRDefault="00952162" w:rsidP="00952162">
      <w:pPr>
        <w:widowControl w:val="0"/>
        <w:spacing w:before="120" w:after="120" w:line="360" w:lineRule="auto"/>
        <w:jc w:val="center"/>
        <w:rPr>
          <w:rFonts w:eastAsia="Times New Roman"/>
          <w:lang w:val="bg-BG"/>
        </w:rPr>
      </w:pPr>
      <w:r w:rsidRPr="00952162">
        <w:rPr>
          <w:rFonts w:eastAsia="Times New Roman"/>
          <w:lang w:val="bg-BG"/>
        </w:rPr>
        <w:t>ПРОДУКТОВ ПАСПОРТ</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Продуктовият паспорт съдържа следната информация:</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а)</w:t>
      </w:r>
      <w:r w:rsidRPr="00952162">
        <w:rPr>
          <w:rFonts w:eastAsia="Times New Roman"/>
          <w:lang w:val="bg-BG"/>
        </w:rPr>
        <w:tab/>
        <w:t xml:space="preserve">уникалния продуктов идентификатор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t>б)</w:t>
      </w:r>
      <w:r w:rsidRPr="00952162">
        <w:rPr>
          <w:rFonts w:eastAsia="Times New Roman"/>
          <w:lang w:val="bg-BG"/>
        </w:rPr>
        <w:tab/>
        <w:t xml:space="preserve">наименованието, </w:t>
      </w:r>
      <w:r w:rsidRPr="00952162">
        <w:rPr>
          <w:rFonts w:eastAsia="Times New Roman"/>
          <w:b/>
          <w:i/>
          <w:lang w:val="bg-BG"/>
        </w:rPr>
        <w:t xml:space="preserve">пощенския адрес и </w:t>
      </w:r>
      <w:r w:rsidRPr="00952162">
        <w:rPr>
          <w:rFonts w:eastAsia="Times New Roman"/>
          <w:lang w:val="bg-BG"/>
        </w:rPr>
        <w:t>адреса</w:t>
      </w:r>
      <w:r w:rsidRPr="00952162">
        <w:rPr>
          <w:rFonts w:eastAsia="Times New Roman"/>
          <w:b/>
          <w:i/>
          <w:lang w:val="bg-BG"/>
        </w:rPr>
        <w:t xml:space="preserve"> на електронната поща</w:t>
      </w:r>
      <w:r w:rsidRPr="00952162">
        <w:rPr>
          <w:rFonts w:eastAsia="Times New Roman"/>
          <w:lang w:val="bg-BG"/>
        </w:rPr>
        <w:t xml:space="preserve"> на производителя или на упълномощения представител на производителя, както и единният идентификационен код на оператор на производителя;</w:t>
      </w:r>
      <w:r w:rsidR="00EA54B9">
        <w:rPr>
          <w:rFonts w:eastAsia="Times New Roman"/>
          <w:b/>
          <w:lang w:val="bg-BG"/>
        </w:rPr>
        <w:t xml:space="preserve"> [Изм. 145]</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в)</w:t>
      </w:r>
      <w:r w:rsidRPr="00952162">
        <w:rPr>
          <w:rFonts w:eastAsia="Times New Roman"/>
          <w:lang w:val="bg-BG"/>
        </w:rPr>
        <w:tab/>
        <w:t xml:space="preserve">идентификацията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позволяваща проследяване, включително достатъчно ясно цветно изображение, което да позволи идентифицирането на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г)</w:t>
      </w:r>
      <w:r w:rsidRPr="00952162">
        <w:rPr>
          <w:rFonts w:eastAsia="Times New Roman"/>
          <w:lang w:val="bg-BG"/>
        </w:rPr>
        <w:tab/>
        <w:t xml:space="preserve">кода на стоката, под който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е класифициран към момента на създаване на продуктовия паспорт, както е посочено в Регламент (ЕИО) № 2658/87 на Съвета</w:t>
      </w:r>
      <w:r w:rsidRPr="00952162">
        <w:rPr>
          <w:rFonts w:eastAsia="Times New Roman"/>
          <w:vertAlign w:val="superscript"/>
          <w:lang w:val="bg-BG"/>
        </w:rPr>
        <w:footnoteReference w:customMarkFollows="1" w:id="31"/>
        <w:t>1</w:t>
      </w:r>
      <w:r w:rsidRPr="00952162">
        <w:rPr>
          <w:rFonts w:eastAsia="Times New Roman"/>
          <w:lang w:val="bg-BG"/>
        </w:rPr>
        <w:t>;</w:t>
      </w:r>
    </w:p>
    <w:p w:rsidR="00952162" w:rsidRPr="00952162" w:rsidRDefault="00952162" w:rsidP="00952162">
      <w:pPr>
        <w:widowControl w:val="0"/>
        <w:spacing w:before="120" w:after="120" w:line="360" w:lineRule="auto"/>
        <w:ind w:left="850" w:hanging="850"/>
        <w:jc w:val="left"/>
        <w:rPr>
          <w:rFonts w:eastAsia="Times New Roman"/>
          <w:lang w:val="bg-BG"/>
        </w:rPr>
      </w:pPr>
      <w:r w:rsidRPr="00952162">
        <w:rPr>
          <w:rFonts w:eastAsia="Times New Roman"/>
          <w:lang w:val="bg-BG"/>
        </w:rPr>
        <w:t>д)</w:t>
      </w:r>
      <w:r w:rsidRPr="00952162">
        <w:rPr>
          <w:rFonts w:eastAsia="Times New Roman"/>
          <w:lang w:val="bg-BG"/>
        </w:rPr>
        <w:tab/>
        <w:t xml:space="preserve">позовавания на правните актове на Съюза, на които съответства </w:t>
      </w:r>
      <w:proofErr w:type="spellStart"/>
      <w:r w:rsidRPr="00952162">
        <w:rPr>
          <w:rFonts w:eastAsia="Times New Roman"/>
          <w:lang w:val="bg-BG"/>
        </w:rPr>
        <w:t>детергентът</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w:t>
      </w:r>
    </w:p>
    <w:p w:rsidR="00960D75" w:rsidRDefault="00960D75">
      <w:pPr>
        <w:jc w:val="left"/>
        <w:rPr>
          <w:rFonts w:eastAsia="Times New Roman"/>
          <w:lang w:val="bg-BG"/>
        </w:rPr>
      </w:pPr>
      <w:r>
        <w:rPr>
          <w:rFonts w:eastAsia="Times New Roman"/>
          <w:lang w:val="bg-BG"/>
        </w:rPr>
        <w:br w:type="page"/>
      </w:r>
    </w:p>
    <w:p w:rsidR="00952162" w:rsidRPr="00EA54B9" w:rsidRDefault="00952162" w:rsidP="00952162">
      <w:pPr>
        <w:widowControl w:val="0"/>
        <w:spacing w:before="120" w:after="120" w:line="360" w:lineRule="auto"/>
        <w:ind w:left="850" w:hanging="850"/>
        <w:jc w:val="left"/>
        <w:rPr>
          <w:rFonts w:eastAsia="Times New Roman"/>
          <w:b/>
          <w:lang w:val="bg-BG"/>
        </w:rPr>
      </w:pPr>
      <w:r w:rsidRPr="00952162">
        <w:rPr>
          <w:rFonts w:eastAsia="Times New Roman"/>
          <w:lang w:val="bg-BG"/>
        </w:rPr>
        <w:lastRenderedPageBreak/>
        <w:t>е)</w:t>
      </w:r>
      <w:r w:rsidRPr="00952162">
        <w:rPr>
          <w:rFonts w:eastAsia="Times New Roman"/>
          <w:lang w:val="bg-BG"/>
        </w:rPr>
        <w:tab/>
        <w:t xml:space="preserve">пълен списък на веществата, преднамерено добавени в </w:t>
      </w:r>
      <w:proofErr w:type="spellStart"/>
      <w:r w:rsidRPr="00952162">
        <w:rPr>
          <w:rFonts w:eastAsia="Times New Roman"/>
          <w:lang w:val="bg-BG"/>
        </w:rPr>
        <w:t>детергента</w:t>
      </w:r>
      <w:proofErr w:type="spellEnd"/>
      <w:r w:rsidRPr="00952162">
        <w:rPr>
          <w:rFonts w:eastAsia="Times New Roman"/>
          <w:lang w:val="bg-BG"/>
        </w:rPr>
        <w:t xml:space="preserve"> или </w:t>
      </w:r>
      <w:proofErr w:type="spellStart"/>
      <w:r w:rsidRPr="00952162">
        <w:rPr>
          <w:rFonts w:eastAsia="Times New Roman"/>
          <w:lang w:val="bg-BG"/>
        </w:rPr>
        <w:t>повърхностноактивното</w:t>
      </w:r>
      <w:proofErr w:type="spellEnd"/>
      <w:r w:rsidRPr="00952162">
        <w:rPr>
          <w:rFonts w:eastAsia="Times New Roman"/>
          <w:lang w:val="bg-BG"/>
        </w:rPr>
        <w:t xml:space="preserve"> вещество, и на консервантите, </w:t>
      </w:r>
      <w:r w:rsidRPr="00952162">
        <w:rPr>
          <w:rFonts w:eastAsia="Times New Roman"/>
          <w:strike/>
          <w:lang w:val="bg-BG"/>
        </w:rPr>
        <w:t xml:space="preserve">етикетирани в съответствие с част А, точка 3, първа алинея, буква б) от приложение V, </w:t>
      </w:r>
      <w:r w:rsidRPr="00952162">
        <w:rPr>
          <w:rFonts w:eastAsia="Times New Roman"/>
          <w:lang w:val="bg-BG"/>
        </w:rPr>
        <w:t>като се използва</w:t>
      </w:r>
      <w:r w:rsidRPr="00952162">
        <w:rPr>
          <w:rFonts w:eastAsia="Times New Roman"/>
          <w:b/>
          <w:i/>
          <w:lang w:val="bg-BG"/>
        </w:rPr>
        <w:t xml:space="preserve"> наименование от</w:t>
      </w:r>
      <w:r w:rsidRPr="00952162">
        <w:rPr>
          <w:rFonts w:eastAsia="Times New Roman"/>
          <w:lang w:val="bg-BG"/>
        </w:rPr>
        <w:t xml:space="preserve"> Международната номенклатура на козметичните съставки, или, когато такова</w:t>
      </w:r>
      <w:r w:rsidRPr="00952162">
        <w:rPr>
          <w:rFonts w:eastAsia="Times New Roman"/>
          <w:strike/>
          <w:lang w:val="bg-BG"/>
        </w:rPr>
        <w:t xml:space="preserve"> не е налично, наименованието на Европейската фармакопея и, когато то също</w:t>
      </w:r>
      <w:r w:rsidRPr="00952162">
        <w:rPr>
          <w:rFonts w:eastAsia="Times New Roman"/>
          <w:lang w:val="bg-BG"/>
        </w:rPr>
        <w:t xml:space="preserve"> не е налично, общоприетото химично наименование или наименованието на Международния съюз </w:t>
      </w:r>
      <w:r w:rsidRPr="00952162">
        <w:rPr>
          <w:rFonts w:eastAsia="Times New Roman"/>
          <w:strike/>
          <w:lang w:val="bg-BG"/>
        </w:rPr>
        <w:t xml:space="preserve">на химиците </w:t>
      </w:r>
      <w:proofErr w:type="spellStart"/>
      <w:r w:rsidRPr="00952162">
        <w:rPr>
          <w:rFonts w:eastAsia="Times New Roman"/>
          <w:strike/>
          <w:lang w:val="bg-BG"/>
        </w:rPr>
        <w:t>с</w:t>
      </w:r>
      <w:r w:rsidRPr="00952162">
        <w:rPr>
          <w:rFonts w:eastAsia="Times New Roman"/>
          <w:b/>
          <w:i/>
          <w:lang w:val="bg-BG"/>
        </w:rPr>
        <w:t>за</w:t>
      </w:r>
      <w:proofErr w:type="spellEnd"/>
      <w:r w:rsidRPr="00952162">
        <w:rPr>
          <w:rFonts w:eastAsia="Times New Roman"/>
          <w:lang w:val="bg-BG"/>
        </w:rPr>
        <w:t xml:space="preserve"> чиста и приложна химия</w:t>
      </w:r>
      <w:r w:rsidR="00EA54B9" w:rsidRPr="00EA54B9">
        <w:rPr>
          <w:rFonts w:eastAsia="Times New Roman"/>
          <w:b/>
          <w:i/>
          <w:lang w:val="bg-BG"/>
        </w:rPr>
        <w:t>;</w:t>
      </w:r>
      <w:r w:rsidRPr="00EA54B9">
        <w:rPr>
          <w:rFonts w:eastAsia="Times New Roman"/>
          <w:strike/>
          <w:lang w:val="bg-BG"/>
        </w:rPr>
        <w:t>.</w:t>
      </w:r>
      <w:r w:rsidR="00EA54B9" w:rsidRPr="00EA54B9">
        <w:rPr>
          <w:rFonts w:eastAsia="Times New Roman"/>
          <w:b/>
          <w:lang w:val="bg-BG"/>
        </w:rPr>
        <w:t xml:space="preserve"> [Изм. 146]</w:t>
      </w:r>
    </w:p>
    <w:p w:rsidR="00952162" w:rsidRPr="00EA54B9" w:rsidRDefault="00952162" w:rsidP="00952162">
      <w:pPr>
        <w:widowControl w:val="0"/>
        <w:spacing w:before="120" w:after="120" w:line="360" w:lineRule="auto"/>
        <w:ind w:left="850" w:hanging="850"/>
        <w:jc w:val="left"/>
        <w:rPr>
          <w:rFonts w:eastAsia="Times New Roman"/>
          <w:b/>
          <w:lang w:val="bg-BG"/>
        </w:rPr>
      </w:pPr>
      <w:proofErr w:type="spellStart"/>
      <w:r w:rsidRPr="00952162">
        <w:rPr>
          <w:rFonts w:eastAsia="Times New Roman"/>
          <w:b/>
          <w:i/>
          <w:lang w:val="bg-BG"/>
        </w:rPr>
        <w:t>еа</w:t>
      </w:r>
      <w:proofErr w:type="spellEnd"/>
      <w:r w:rsidRPr="00952162">
        <w:rPr>
          <w:rFonts w:eastAsia="Times New Roman"/>
          <w:b/>
          <w:i/>
          <w:lang w:val="bg-BG"/>
        </w:rPr>
        <w:t>)</w:t>
      </w:r>
      <w:r w:rsidRPr="00952162">
        <w:rPr>
          <w:rFonts w:eastAsia="Times New Roman"/>
          <w:lang w:val="bg-BG"/>
        </w:rPr>
        <w:tab/>
      </w:r>
      <w:r w:rsidRPr="00952162">
        <w:rPr>
          <w:rFonts w:eastAsia="Times New Roman"/>
          <w:b/>
          <w:i/>
          <w:lang w:val="bg-BG"/>
        </w:rPr>
        <w:t xml:space="preserve">техническата документация и резултатите от процедурата за оценяване на съответствието, посочена в член 7, параграф 2; </w:t>
      </w:r>
      <w:r w:rsidR="00EA54B9">
        <w:rPr>
          <w:rFonts w:eastAsia="Times New Roman"/>
          <w:b/>
          <w:lang w:val="bg-BG"/>
        </w:rPr>
        <w:t>[Изм. 147]</w:t>
      </w:r>
    </w:p>
    <w:p w:rsidR="00952162" w:rsidRPr="00EA54B9" w:rsidRDefault="00952162" w:rsidP="00952162">
      <w:pPr>
        <w:widowControl w:val="0"/>
        <w:spacing w:before="120" w:after="120" w:line="360" w:lineRule="auto"/>
        <w:ind w:left="850" w:hanging="850"/>
        <w:jc w:val="left"/>
        <w:rPr>
          <w:rFonts w:eastAsia="Times New Roman"/>
          <w:b/>
          <w:lang w:val="bg-BG"/>
        </w:rPr>
      </w:pPr>
      <w:proofErr w:type="spellStart"/>
      <w:r w:rsidRPr="00952162">
        <w:rPr>
          <w:rFonts w:eastAsia="Times New Roman"/>
          <w:b/>
          <w:i/>
          <w:lang w:val="bg-BG"/>
        </w:rPr>
        <w:t>еб</w:t>
      </w:r>
      <w:proofErr w:type="spellEnd"/>
      <w:r w:rsidRPr="00952162">
        <w:rPr>
          <w:rFonts w:eastAsia="Times New Roman"/>
          <w:b/>
          <w:i/>
          <w:lang w:val="bg-BG"/>
        </w:rPr>
        <w:t>)</w:t>
      </w:r>
      <w:r w:rsidRPr="00952162">
        <w:rPr>
          <w:rFonts w:eastAsia="Times New Roman"/>
          <w:lang w:val="bg-BG"/>
        </w:rPr>
        <w:tab/>
      </w:r>
      <w:r w:rsidRPr="00952162">
        <w:rPr>
          <w:rFonts w:eastAsia="Times New Roman"/>
          <w:b/>
          <w:i/>
          <w:lang w:val="bg-BG"/>
        </w:rPr>
        <w:t>когато е приложимо, резултатите от изпитването, проведено от производителя в съответствие с точка 9 от приложение II, и декларацията за проверка на тези изпитвания от трета страна;</w:t>
      </w:r>
      <w:r w:rsidR="00EA54B9">
        <w:rPr>
          <w:rFonts w:eastAsia="Times New Roman"/>
          <w:b/>
          <w:lang w:val="bg-BG"/>
        </w:rPr>
        <w:t xml:space="preserve"> [Изм. 148]</w:t>
      </w:r>
    </w:p>
    <w:p w:rsidR="00952162" w:rsidRPr="00EA54B9" w:rsidRDefault="00952162" w:rsidP="00952162">
      <w:pPr>
        <w:widowControl w:val="0"/>
        <w:spacing w:before="120" w:after="120" w:line="360" w:lineRule="auto"/>
        <w:ind w:left="850" w:hanging="850"/>
        <w:jc w:val="left"/>
        <w:rPr>
          <w:rFonts w:eastAsia="Times New Roman"/>
          <w:b/>
          <w:lang w:val="bg-BG"/>
        </w:rPr>
      </w:pPr>
      <w:proofErr w:type="spellStart"/>
      <w:r w:rsidRPr="00952162">
        <w:rPr>
          <w:rFonts w:eastAsia="Times New Roman"/>
          <w:b/>
          <w:i/>
          <w:lang w:val="bg-BG"/>
        </w:rPr>
        <w:t>ев</w:t>
      </w:r>
      <w:proofErr w:type="spellEnd"/>
      <w:r w:rsidRPr="00952162">
        <w:rPr>
          <w:rFonts w:eastAsia="Times New Roman"/>
          <w:b/>
          <w:i/>
          <w:lang w:val="bg-BG"/>
        </w:rPr>
        <w:t>)</w:t>
      </w:r>
      <w:r w:rsidRPr="00952162">
        <w:rPr>
          <w:rFonts w:eastAsia="Times New Roman"/>
          <w:lang w:val="bg-BG"/>
        </w:rPr>
        <w:tab/>
      </w:r>
      <w:r w:rsidRPr="00952162">
        <w:rPr>
          <w:rFonts w:eastAsia="Times New Roman"/>
          <w:b/>
          <w:i/>
          <w:lang w:val="bg-BG"/>
        </w:rPr>
        <w:t>когато е приложимо, връзка към цифровия етикет, посочен в член 16, параграф 1.</w:t>
      </w:r>
      <w:r w:rsidR="00EA54B9">
        <w:rPr>
          <w:rFonts w:eastAsia="Times New Roman"/>
          <w:b/>
          <w:lang w:val="bg-BG"/>
        </w:rPr>
        <w:t xml:space="preserve"> [Изм. 149]</w:t>
      </w:r>
    </w:p>
    <w:p w:rsidR="00952162" w:rsidRPr="00EA54B9" w:rsidRDefault="00952162" w:rsidP="00952162">
      <w:pPr>
        <w:widowControl w:val="0"/>
        <w:spacing w:before="120" w:after="120" w:line="360" w:lineRule="auto"/>
        <w:jc w:val="left"/>
        <w:rPr>
          <w:rFonts w:eastAsia="Times New Roman"/>
          <w:b/>
          <w:lang w:val="bg-BG"/>
        </w:rPr>
      </w:pPr>
      <w:r w:rsidRPr="00952162">
        <w:rPr>
          <w:rFonts w:eastAsia="Times New Roman"/>
          <w:b/>
          <w:i/>
          <w:lang w:val="bg-BG"/>
        </w:rPr>
        <w:t xml:space="preserve">Информацията, посочена в буква </w:t>
      </w:r>
      <w:proofErr w:type="spellStart"/>
      <w:r w:rsidRPr="00952162">
        <w:rPr>
          <w:rFonts w:eastAsia="Times New Roman"/>
          <w:b/>
          <w:i/>
          <w:lang w:val="bg-BG"/>
        </w:rPr>
        <w:t>еа</w:t>
      </w:r>
      <w:proofErr w:type="spellEnd"/>
      <w:r w:rsidRPr="00952162">
        <w:rPr>
          <w:rFonts w:eastAsia="Times New Roman"/>
          <w:b/>
          <w:i/>
          <w:lang w:val="bg-BG"/>
        </w:rPr>
        <w:t>), се предоставя само на органите за надзор на пазара на държавите членки и на Комисията.</w:t>
      </w:r>
      <w:r w:rsidR="00EA54B9">
        <w:rPr>
          <w:rFonts w:eastAsia="Times New Roman"/>
          <w:b/>
          <w:lang w:val="bg-BG"/>
        </w:rPr>
        <w:t xml:space="preserve"> [Изм. 150]</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 xml:space="preserve">Задължението, посочено в буква е), не се прилага за </w:t>
      </w:r>
      <w:proofErr w:type="spellStart"/>
      <w:r w:rsidRPr="00952162">
        <w:rPr>
          <w:rFonts w:eastAsia="Times New Roman"/>
          <w:lang w:val="bg-BG"/>
        </w:rPr>
        <w:t>детергенти</w:t>
      </w:r>
      <w:proofErr w:type="spellEnd"/>
      <w:r w:rsidRPr="00952162">
        <w:rPr>
          <w:rFonts w:eastAsia="Times New Roman"/>
          <w:lang w:val="bg-BG"/>
        </w:rPr>
        <w:t xml:space="preserve"> за професионална употреба или за </w:t>
      </w:r>
      <w:proofErr w:type="spellStart"/>
      <w:r w:rsidRPr="00952162">
        <w:rPr>
          <w:rFonts w:eastAsia="Times New Roman"/>
          <w:lang w:val="bg-BG"/>
        </w:rPr>
        <w:t>повърхностноактивни</w:t>
      </w:r>
      <w:proofErr w:type="spellEnd"/>
      <w:r w:rsidRPr="00952162">
        <w:rPr>
          <w:rFonts w:eastAsia="Times New Roman"/>
          <w:lang w:val="bg-BG"/>
        </w:rPr>
        <w:t xml:space="preserve"> вещества за </w:t>
      </w:r>
      <w:proofErr w:type="spellStart"/>
      <w:r w:rsidRPr="00952162">
        <w:rPr>
          <w:rFonts w:eastAsia="Times New Roman"/>
          <w:lang w:val="bg-BG"/>
        </w:rPr>
        <w:t>детергенти</w:t>
      </w:r>
      <w:proofErr w:type="spellEnd"/>
      <w:r w:rsidRPr="00952162">
        <w:rPr>
          <w:rFonts w:eastAsia="Times New Roman"/>
          <w:lang w:val="bg-BG"/>
        </w:rPr>
        <w:t xml:space="preserve"> за професионална употреба, за които е наличен информационен лист за безопасност, посочен в член 31 от Регламент (ЕО) № 1907/2006.</w:t>
      </w:r>
    </w:p>
    <w:p w:rsidR="00952162" w:rsidRPr="00952162" w:rsidRDefault="00952162" w:rsidP="00952162">
      <w:pPr>
        <w:widowControl w:val="0"/>
        <w:spacing w:before="120" w:after="120" w:line="360" w:lineRule="auto"/>
        <w:jc w:val="left"/>
        <w:rPr>
          <w:rFonts w:eastAsia="Times New Roman"/>
          <w:lang w:val="bg-BG"/>
        </w:rPr>
        <w:sectPr w:rsidR="00952162" w:rsidRPr="00952162">
          <w:footnotePr>
            <w:numRestart w:val="eachSect"/>
          </w:footnotePr>
          <w:pgSz w:w="11909" w:h="16834"/>
          <w:pgMar w:top="1134" w:right="1417" w:bottom="1417" w:left="1417" w:header="1134" w:footer="567" w:gutter="0"/>
          <w:cols w:space="72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VII</w:t>
      </w:r>
    </w:p>
    <w:p w:rsidR="00952162" w:rsidRPr="00952162" w:rsidRDefault="00952162" w:rsidP="00952162">
      <w:pPr>
        <w:widowControl w:val="0"/>
        <w:spacing w:before="120" w:after="120" w:line="360" w:lineRule="auto"/>
        <w:jc w:val="left"/>
        <w:rPr>
          <w:rFonts w:eastAsia="Times New Roman"/>
          <w:lang w:val="bg-BG"/>
        </w:rPr>
      </w:pPr>
      <w:r w:rsidRPr="00952162">
        <w:rPr>
          <w:rFonts w:eastAsia="Times New Roman"/>
          <w:lang w:val="bg-BG"/>
        </w:rPr>
        <w:t>МЕТОДИ ЗА ИЗПИТВАНЕ, ПОСОЧЕНИ В ЧЛЕН 22, параграф 2</w:t>
      </w:r>
    </w:p>
    <w:p w:rsidR="00952162" w:rsidRPr="00952162" w:rsidRDefault="00952162" w:rsidP="00952162">
      <w:pPr>
        <w:keepNext/>
        <w:tabs>
          <w:tab w:val="left" w:pos="850"/>
        </w:tabs>
        <w:spacing w:before="360" w:after="120"/>
        <w:ind w:left="851" w:hanging="851"/>
        <w:outlineLvl w:val="0"/>
        <w:rPr>
          <w:rFonts w:eastAsia="Calibri"/>
          <w:b/>
          <w:smallCaps/>
          <w:noProof/>
          <w:szCs w:val="22"/>
          <w:lang w:val="bg-BG"/>
        </w:rPr>
      </w:pPr>
      <w:r w:rsidRPr="00952162">
        <w:rPr>
          <w:rFonts w:eastAsia="Calibri"/>
          <w:b/>
          <w:smallCaps/>
          <w:noProof/>
          <w:szCs w:val="22"/>
          <w:lang w:val="bg-BG"/>
        </w:rPr>
        <w:t>1.</w:t>
      </w:r>
      <w:r w:rsidRPr="00952162">
        <w:rPr>
          <w:rFonts w:eastAsia="Calibri"/>
          <w:b/>
          <w:smallCaps/>
          <w:noProof/>
          <w:szCs w:val="22"/>
          <w:lang w:val="bg-BG"/>
        </w:rPr>
        <w:tab/>
        <w:t>Еталонен метод (тест за потвърждаване)</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1.1.</w:t>
      </w:r>
      <w:r w:rsidRPr="00952162">
        <w:rPr>
          <w:rFonts w:eastAsia="Calibri"/>
          <w:b/>
          <w:noProof/>
          <w:szCs w:val="22"/>
          <w:lang w:val="bg-BG"/>
        </w:rPr>
        <w:tab/>
        <w:t>Определение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Този метод описва лабораторен модел на инсталация за активна утайка и вторичен утайник, който е проектиран да симулира система за обработка на отпадните води. В съответствие със стандарта EN ISO 11733 при този тестови метод могат да бъдат използвани подобрени съвременни условия на функциониране.</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1.2.</w:t>
      </w:r>
      <w:r w:rsidRPr="00952162">
        <w:rPr>
          <w:rFonts w:eastAsia="Calibri"/>
          <w:b/>
          <w:noProof/>
          <w:szCs w:val="22"/>
          <w:lang w:val="bg-BG"/>
        </w:rPr>
        <w:tab/>
        <w:t>Необходимо оборудване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Методът за измерване използва инсталация с активна утайка, представена схематично на фигура 1 и по-подробно – на фигура 2. Оборудването включва съд А, предназначен да събира отпадните синтетични води, дозираща помпа В, съд за аерация С, съд за декантиране D, помпа за сгъстен въздух Е, която позволява вторична обработка на активната утайка, и колектор F, предназначен да събира обработения отработен разтвор.</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Съдове A и F трябва да бъдат от стъкло или от подходящ пластмасов материал и да имат вместимост най-малко двадесет и четири литра. Помпата В трябва да осигурява равномерно захранване на съда за аерация със синтетичния отработен разтвор; при нормална работа този съд трябва да събира три литра смес. Фритовано стъкло (порьозен филтър) G, предназначено за аерацията, е окачено в съда C на върха на вътрешния му конус. Количеството на вкарания въздух от устройството за аерация се контролира от дебитомер Н.</w:t>
      </w:r>
    </w:p>
    <w:p w:rsidR="00960D75" w:rsidRDefault="00960D75">
      <w:pPr>
        <w:jc w:val="left"/>
        <w:rPr>
          <w:rFonts w:eastAsia="Calibri"/>
          <w:b/>
          <w:noProof/>
          <w:szCs w:val="22"/>
          <w:lang w:val="bg-BG"/>
        </w:rPr>
      </w:pPr>
      <w:r>
        <w:rPr>
          <w:rFonts w:eastAsia="Calibri"/>
          <w:b/>
          <w:noProof/>
          <w:szCs w:val="22"/>
          <w:lang w:val="bg-BG"/>
        </w:rPr>
        <w:br w:type="page"/>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lastRenderedPageBreak/>
        <w:t>1.3.</w:t>
      </w:r>
      <w:r w:rsidRPr="00952162">
        <w:rPr>
          <w:rFonts w:eastAsia="Calibri"/>
          <w:b/>
          <w:noProof/>
          <w:szCs w:val="22"/>
          <w:lang w:val="bg-BG"/>
        </w:rPr>
        <w:tab/>
        <w:t>Синтетичен отработен разтвор</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За извършване на това тестово изпитване се използва синтетичен отработен разтвор. В един литър вода от водопроводната мрежа се разтварят:</w:t>
      </w:r>
    </w:p>
    <w:p w:rsidR="00952162" w:rsidRPr="00952162" w:rsidRDefault="008868ED" w:rsidP="00952162">
      <w:pPr>
        <w:tabs>
          <w:tab w:val="num" w:pos="1417"/>
        </w:tabs>
        <w:spacing w:before="120" w:after="120"/>
        <w:ind w:left="1417" w:hanging="567"/>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160 mg пептон;</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110 mg екстракт от месо;</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30 mg уреа (карбамид), CO(NH</w:t>
      </w:r>
      <w:r w:rsidR="00952162" w:rsidRPr="00952162">
        <w:rPr>
          <w:rFonts w:eastAsia="Calibri"/>
          <w:noProof/>
          <w:szCs w:val="22"/>
          <w:vertAlign w:val="subscript"/>
          <w:lang w:val="bg-BG"/>
        </w:rPr>
        <w:t>2</w:t>
      </w:r>
      <w:r w:rsidR="00952162" w:rsidRPr="00952162">
        <w:rPr>
          <w:rFonts w:eastAsia="Calibri"/>
          <w:noProof/>
          <w:szCs w:val="22"/>
          <w:lang w:val="bg-BG"/>
        </w:rPr>
        <w:t>)</w:t>
      </w:r>
      <w:r w:rsidR="00952162" w:rsidRPr="00952162">
        <w:rPr>
          <w:rFonts w:eastAsia="Calibri"/>
          <w:noProof/>
          <w:szCs w:val="22"/>
          <w:vertAlign w:val="subscript"/>
          <w:lang w:val="bg-BG"/>
        </w:rPr>
        <w:t>2</w:t>
      </w:r>
      <w:r w:rsidR="00952162" w:rsidRPr="00952162">
        <w:rPr>
          <w:rFonts w:eastAsia="Calibri"/>
          <w:noProof/>
          <w:szCs w:val="22"/>
          <w:lang w:val="bg-BG"/>
        </w:rPr>
        <w:t>;</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7 mg натриев хлорид, NaCl;</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4 mg калциев хлорид, CaCl</w:t>
      </w:r>
      <w:r w:rsidR="00952162" w:rsidRPr="00952162">
        <w:rPr>
          <w:rFonts w:eastAsia="Calibri"/>
          <w:noProof/>
          <w:szCs w:val="22"/>
          <w:vertAlign w:val="subscript"/>
          <w:lang w:val="bg-BG"/>
        </w:rPr>
        <w:t>2</w:t>
      </w:r>
      <w:r w:rsidR="00952162" w:rsidRPr="00952162">
        <w:rPr>
          <w:rFonts w:eastAsia="Calibri"/>
          <w:noProof/>
          <w:szCs w:val="22"/>
          <w:lang w:val="bg-BG"/>
        </w:rPr>
        <w:t>.2H</w:t>
      </w:r>
      <w:r w:rsidR="00952162" w:rsidRPr="00952162">
        <w:rPr>
          <w:rFonts w:eastAsia="Calibri"/>
          <w:noProof/>
          <w:szCs w:val="22"/>
          <w:vertAlign w:val="subscript"/>
          <w:lang w:val="bg-BG"/>
        </w:rPr>
        <w:t>2</w:t>
      </w:r>
      <w:r w:rsidR="00952162" w:rsidRPr="00952162">
        <w:rPr>
          <w:rFonts w:eastAsia="Calibri"/>
          <w:noProof/>
          <w:szCs w:val="22"/>
          <w:lang w:val="bg-BG"/>
        </w:rPr>
        <w:t>O;</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2 mg магнезиев сулфат, MgSO</w:t>
      </w:r>
      <w:r w:rsidR="00952162" w:rsidRPr="00952162">
        <w:rPr>
          <w:rFonts w:eastAsia="Calibri"/>
          <w:noProof/>
          <w:szCs w:val="22"/>
          <w:vertAlign w:val="subscript"/>
          <w:lang w:val="bg-BG"/>
        </w:rPr>
        <w:t>4</w:t>
      </w:r>
      <w:r w:rsidR="00952162" w:rsidRPr="00952162">
        <w:rPr>
          <w:rFonts w:eastAsia="Calibri"/>
          <w:noProof/>
          <w:szCs w:val="22"/>
          <w:lang w:val="bg-BG"/>
        </w:rPr>
        <w:t>.7H</w:t>
      </w:r>
      <w:r w:rsidR="00952162" w:rsidRPr="00952162">
        <w:rPr>
          <w:rFonts w:eastAsia="Calibri"/>
          <w:noProof/>
          <w:szCs w:val="22"/>
          <w:vertAlign w:val="subscript"/>
          <w:lang w:val="bg-BG"/>
        </w:rPr>
        <w:t>2</w:t>
      </w:r>
      <w:r w:rsidR="00952162" w:rsidRPr="00952162">
        <w:rPr>
          <w:rFonts w:eastAsia="Calibri"/>
          <w:noProof/>
          <w:szCs w:val="22"/>
          <w:lang w:val="bg-BG"/>
        </w:rPr>
        <w:t>O;</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28 mg дикалиев хидрогенфосфат, K</w:t>
      </w:r>
      <w:r w:rsidR="00952162" w:rsidRPr="00952162">
        <w:rPr>
          <w:rFonts w:eastAsia="Calibri"/>
          <w:noProof/>
          <w:szCs w:val="22"/>
          <w:vertAlign w:val="subscript"/>
          <w:lang w:val="bg-BG"/>
        </w:rPr>
        <w:t>2</w:t>
      </w:r>
      <w:r w:rsidR="00952162" w:rsidRPr="00952162">
        <w:rPr>
          <w:rFonts w:eastAsia="Calibri"/>
          <w:noProof/>
          <w:szCs w:val="22"/>
          <w:lang w:val="bg-BG"/>
        </w:rPr>
        <w:t>HPO</w:t>
      </w:r>
      <w:r w:rsidR="00952162" w:rsidRPr="00952162">
        <w:rPr>
          <w:rFonts w:eastAsia="Calibri"/>
          <w:noProof/>
          <w:szCs w:val="22"/>
          <w:vertAlign w:val="subscript"/>
          <w:lang w:val="bg-BG"/>
        </w:rPr>
        <w:t>4</w:t>
      </w:r>
      <w:r w:rsidR="00952162" w:rsidRPr="00952162">
        <w:rPr>
          <w:rFonts w:eastAsia="Calibri"/>
          <w:noProof/>
          <w:szCs w:val="22"/>
          <w:lang w:val="bg-BG"/>
        </w:rPr>
        <w:t>;</w:t>
      </w:r>
    </w:p>
    <w:p w:rsidR="00952162" w:rsidRPr="00952162" w:rsidRDefault="008868ED" w:rsidP="008868ED">
      <w:pPr>
        <w:widowControl w:val="0"/>
        <w:tabs>
          <w:tab w:val="left" w:pos="1417"/>
        </w:tabs>
        <w:spacing w:before="120" w:after="120" w:line="360" w:lineRule="auto"/>
        <w:ind w:left="1417" w:hanging="567"/>
        <w:jc w:val="left"/>
        <w:rPr>
          <w:rFonts w:eastAsia="Calibri"/>
          <w:noProof/>
          <w:szCs w:val="22"/>
          <w:lang w:val="bg-BG"/>
        </w:rPr>
      </w:pPr>
      <w:r w:rsidRPr="00952162">
        <w:rPr>
          <w:rFonts w:eastAsia="Calibri"/>
          <w:noProof/>
          <w:szCs w:val="22"/>
          <w:lang w:val="bg-BG"/>
        </w:rPr>
        <w:t>–</w:t>
      </w:r>
      <w:r w:rsidRPr="00952162">
        <w:rPr>
          <w:rFonts w:eastAsia="Calibri"/>
          <w:noProof/>
          <w:szCs w:val="22"/>
          <w:lang w:val="bg-BG"/>
        </w:rPr>
        <w:tab/>
      </w:r>
      <w:r w:rsidR="00952162" w:rsidRPr="00952162">
        <w:rPr>
          <w:rFonts w:eastAsia="Calibri"/>
          <w:noProof/>
          <w:szCs w:val="22"/>
          <w:lang w:val="bg-BG"/>
        </w:rPr>
        <w:t>10 ± 1 mg от повърхностноактивното вещество.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Синтетичният отработен разтвор се приготвя ежедневно.</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1.4.</w:t>
      </w:r>
      <w:r w:rsidRPr="00952162">
        <w:rPr>
          <w:rFonts w:eastAsia="Calibri"/>
          <w:b/>
          <w:noProof/>
          <w:szCs w:val="22"/>
          <w:lang w:val="bg-BG"/>
        </w:rPr>
        <w:tab/>
        <w:t>Приготвяне на пробите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Повърхностноактивните вещества, които не са обозначени с формули, се изследват във вида, в който са. За да се приготви синтетичният отработен разтвор, трябва да бъде определено активното съдържание на пробите на повърхностноактивното вещество (точка 1.3).</w:t>
      </w:r>
    </w:p>
    <w:p w:rsidR="00960D75" w:rsidRDefault="00960D75">
      <w:pPr>
        <w:jc w:val="left"/>
        <w:rPr>
          <w:rFonts w:eastAsia="Calibri"/>
          <w:b/>
          <w:noProof/>
          <w:szCs w:val="22"/>
          <w:lang w:val="bg-BG"/>
        </w:rPr>
      </w:pPr>
      <w:r>
        <w:rPr>
          <w:rFonts w:eastAsia="Calibri"/>
          <w:b/>
          <w:noProof/>
          <w:szCs w:val="22"/>
          <w:lang w:val="bg-BG"/>
        </w:rPr>
        <w:br w:type="page"/>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lastRenderedPageBreak/>
        <w:t>1.5.</w:t>
      </w:r>
      <w:r w:rsidRPr="00952162">
        <w:rPr>
          <w:rFonts w:eastAsia="Calibri"/>
          <w:b/>
          <w:noProof/>
          <w:szCs w:val="22"/>
          <w:lang w:val="bg-BG"/>
        </w:rPr>
        <w:tab/>
        <w:t>Действие на инсталацията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Първо се напълват съдът за аерация С и съдът за декантиране D със синтетичния отработен разтвор. Съдът за декантиране D трябва да се закрепи на такава височина, че съдът за аерация С да съдържа три литра. Вкарват се 3 ml вторичен отработен разтвор с добро качество, прясно взет от инсталация за обработка на предимно битови отпадни води. Отработеният разтвор трябва да се поддържа в аеробни условия във времето от вземането на пробата до използването. След това се задействат устройството за аерация G, помпата за сгъстен въздух Е и помпата за дозиране В. Синтетичният отработен разтвор трябва да премине в съда за аерация С при дебит от един литър на час, което прави средно време на задържане от три часа.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Протичането на аерацията трябва да се регулира по такъв начин, че съдържанието на съда С да е постоянно в състояние на суспензия и съдържанието на разтворения кислород да бъде минимум 2 mg/l. Трябва да се попречи на образуването на пяна с подходящи средства. Не трябва да се използват обаче вещества против пяна, които имат инхибиторно действие върху активната утайка или които съдържат повърхностноактивни вещества. Помпата Е трябва да бъде регулирана по такъв начин, че в съда за аерация С да протича непрекъснато равномерно рециклиране на активната утайка от съда за декантиране. Утайката, която се е натрупала на върха в съда за аерация С, на дъното на съда за декантиране D или по кръга на циркулация, трябва да бъде връщана в циркулация най-малко един път дневно чрез отнемане с четки или по друг подходящ начин. Когато активната утайка не декантира, декантацията може да се подпомогне чрез добавяне, което при необходимост се повтаря, на части от по 2 ml петпроцентен разтвор от железен хлорид.</w:t>
      </w:r>
    </w:p>
    <w:p w:rsidR="00960D75" w:rsidRDefault="00960D75">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Водата, която излиза от съда за декантиране D, се събира в колектора F в продължение на двадесет и четири часа; след това се взема проба, след като се извърши хомогенизиране на сместа. После колекторът F трябва да бъде грижливо почистен.</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1.6.</w:t>
      </w:r>
      <w:r w:rsidRPr="00952162">
        <w:rPr>
          <w:rFonts w:eastAsia="Calibri"/>
          <w:b/>
          <w:noProof/>
          <w:szCs w:val="22"/>
          <w:lang w:val="bg-BG"/>
        </w:rPr>
        <w:tab/>
        <w:t>Контрол на измервателното оборудване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Количеството на повърхностноактивното вещество (в mg/l) в синтетичния отработен разтвор се определя непосредствено преди момента на използване.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Количеството на повърхностноактивното вещество (в mg/l) в отпадната вода, събрана за двадесет и четири часа в колектора F, трябва да се определи аналитично по същия метод веднага след вземането на пробата: ако не може да стане веднага, пробите се консервират, за предпочитане чрез замразяване. Концентрацията на повърхностноактивното вещество трябва да се определи с точност до 0,1 mg/l.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За да се провери доброто протичане на операцията, най-малко два пъти седмично се измерва химичната потребност от кислород (ХПК) или разтворения органичен въглерод (РОВ) във филтрирания върху стъклени влакна отработен разтвор, натрупан в колектора F, и във филтрирания синтетичен отработен разтвор, който е в събирателния съд 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Намаляването на ХПК или на РОВ трябва да се стабилизира, когато ежедневното биоразграждане на повърхностноактивното вещество е приблизително равномерно, тоест в края на началния период, посочен във фигура 3.</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Съдържанието на сухи минерални вещества в активната утайка, събрана в съда за аерация, трябва да се определя два пъти седмично в g/l. Ако то надвишава 2,5 g/l, е необходимо да се отстрани излишъкът от активната утайка.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Изследването за биоразграждане се извършва при стайна температура; тази температура трябва да бъде равномерна и да се поддържа в границите между 19 и 24 °C.</w:t>
      </w:r>
    </w:p>
    <w:p w:rsidR="00960D75" w:rsidRDefault="00960D75">
      <w:pPr>
        <w:jc w:val="left"/>
        <w:rPr>
          <w:rFonts w:eastAsia="Calibri"/>
          <w:b/>
          <w:noProof/>
          <w:szCs w:val="22"/>
          <w:lang w:val="bg-BG"/>
        </w:rPr>
      </w:pPr>
      <w:r>
        <w:rPr>
          <w:rFonts w:eastAsia="Calibri"/>
          <w:b/>
          <w:noProof/>
          <w:szCs w:val="22"/>
          <w:lang w:val="bg-BG"/>
        </w:rPr>
        <w:br w:type="page"/>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lastRenderedPageBreak/>
        <w:t>1.7.</w:t>
      </w:r>
      <w:r w:rsidRPr="00952162">
        <w:rPr>
          <w:rFonts w:eastAsia="Calibri"/>
          <w:b/>
          <w:noProof/>
          <w:szCs w:val="22"/>
          <w:lang w:val="bg-BG"/>
        </w:rPr>
        <w:tab/>
        <w:t>Изчисляване на степента на биоразградимост</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Процентът на биоразграждане на повърхностноактивното вещество трябва да се изчислява ежедневно въз основа на съдържанието на повърхностноактивно вещество, изразено в mg/l, в синтетичния отработен разтвор и в съответната отпадна вода, събрана в колектора F.</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Получените по тази начин стойности трябва да бъдат графично изобразени, както е посочено на фигура 3.</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Биоразградимостта на повърхностноактивното вещество се изчислява, като се вземе средноаритметичното число на получените стойности през периода от двадесет и един дни след началния период на адаптация, срок, през който биоразградимостта трябва да е протичала равномерно и инсталацията да е работила без смущения. Продължителността на началния период в никакъв случай не трябва да надвишава шест седмици.</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Ежедневните стойности на биоразградимостта трябва да бъдат изчислявани с точност до 0,1 %, но крайният резултат се определя чрез закръгляне до най-близкото цяло число.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В някои случаи честотата на вземане на проби може да бъде намалена, но за изчисляването на средната стойност трябва да се използват резултатите от най-малко четиринадесет вземания на проби, разпределени в периода от двадесет и един дни след началния период.</w:t>
      </w:r>
    </w:p>
    <w:p w:rsidR="00960D75" w:rsidRDefault="00960D75">
      <w:pPr>
        <w:jc w:val="left"/>
        <w:rPr>
          <w:rFonts w:eastAsia="Calibri"/>
          <w:b/>
          <w:smallCaps/>
          <w:noProof/>
          <w:szCs w:val="22"/>
          <w:lang w:val="bg-BG"/>
        </w:rPr>
      </w:pPr>
      <w:r>
        <w:rPr>
          <w:rFonts w:eastAsia="Calibri"/>
          <w:b/>
          <w:smallCaps/>
          <w:noProof/>
          <w:szCs w:val="22"/>
          <w:lang w:val="bg-BG"/>
        </w:rPr>
        <w:br w:type="page"/>
      </w:r>
    </w:p>
    <w:p w:rsidR="00952162" w:rsidRPr="00952162" w:rsidRDefault="00952162" w:rsidP="00952162">
      <w:pPr>
        <w:keepNext/>
        <w:tabs>
          <w:tab w:val="left" w:pos="850"/>
        </w:tabs>
        <w:spacing w:before="360" w:after="120"/>
        <w:ind w:left="851" w:hanging="851"/>
        <w:outlineLvl w:val="0"/>
        <w:rPr>
          <w:rFonts w:eastAsia="Calibri"/>
          <w:b/>
          <w:smallCaps/>
          <w:noProof/>
          <w:szCs w:val="22"/>
          <w:lang w:val="bg-BG"/>
        </w:rPr>
      </w:pPr>
      <w:r w:rsidRPr="00952162">
        <w:rPr>
          <w:rFonts w:eastAsia="Calibri"/>
          <w:b/>
          <w:smallCaps/>
          <w:noProof/>
          <w:szCs w:val="22"/>
          <w:lang w:val="bg-BG"/>
        </w:rPr>
        <w:lastRenderedPageBreak/>
        <w:t>2.</w:t>
      </w:r>
      <w:r w:rsidRPr="00952162">
        <w:rPr>
          <w:rFonts w:eastAsia="Calibri"/>
          <w:b/>
          <w:smallCaps/>
          <w:noProof/>
          <w:szCs w:val="22"/>
          <w:lang w:val="bg-BG"/>
        </w:rPr>
        <w:tab/>
        <w:t>Определяне на анионните повърхностноактивни вещества при тестовите изпитания за биоразградимост</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2.1.</w:t>
      </w:r>
      <w:r w:rsidRPr="00952162">
        <w:rPr>
          <w:rFonts w:eastAsia="Calibri"/>
          <w:b/>
          <w:noProof/>
          <w:szCs w:val="22"/>
          <w:lang w:val="bg-BG"/>
        </w:rPr>
        <w:tab/>
        <w:t>Принцип</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Методът се основава на факта, че катионният оцветител, който е метиленово синьо, взаимодейства с анионните повърхностноактивни вещества (МВАS) и дава сини соли, които могат да се извлекат с помощта на хлороформ. За да се избегнат интерференции, извличането се извършва отначало от алкален разтвор и екстрактът се разклаща след това в киселинен разтвор на метиленовото синьо. Поглъщането на отделената органична фаза се измерва чрез фотометрия при максимална дължина на поглъщане на вълната от 650 nm.</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2.2.</w:t>
      </w:r>
      <w:r w:rsidRPr="00952162">
        <w:rPr>
          <w:rFonts w:eastAsia="Calibri"/>
          <w:b/>
          <w:noProof/>
          <w:szCs w:val="22"/>
          <w:lang w:val="bg-BG"/>
        </w:rPr>
        <w:tab/>
        <w:t>Реактиви и апаратура</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w:t>
      </w:r>
      <w:r w:rsidRPr="00952162">
        <w:rPr>
          <w:rFonts w:eastAsia="Calibri"/>
          <w:i/>
          <w:noProof/>
          <w:szCs w:val="22"/>
          <w:lang w:val="bg-BG"/>
        </w:rPr>
        <w:tab/>
        <w:t>Буферен разтвор pH 10</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Разтварят се 24 g натриев бикарбонат, NaHCO</w:t>
      </w:r>
      <w:r w:rsidRPr="00952162">
        <w:rPr>
          <w:rFonts w:eastAsia="Calibri"/>
          <w:noProof/>
          <w:szCs w:val="22"/>
          <w:vertAlign w:val="subscript"/>
          <w:lang w:val="bg-BG"/>
        </w:rPr>
        <w:t>3</w:t>
      </w:r>
      <w:r w:rsidRPr="00952162">
        <w:rPr>
          <w:rFonts w:eastAsia="Calibri"/>
          <w:noProof/>
          <w:szCs w:val="22"/>
          <w:lang w:val="bg-BG"/>
        </w:rPr>
        <w:t xml:space="preserve"> за анализ и 27 g безводен натриев карбонат (Na</w:t>
      </w:r>
      <w:r w:rsidRPr="00952162">
        <w:rPr>
          <w:rFonts w:eastAsia="Calibri"/>
          <w:noProof/>
          <w:szCs w:val="22"/>
          <w:vertAlign w:val="subscript"/>
          <w:lang w:val="bg-BG"/>
        </w:rPr>
        <w:t>2</w:t>
      </w:r>
      <w:r w:rsidRPr="00952162">
        <w:rPr>
          <w:rFonts w:eastAsia="Calibri"/>
          <w:noProof/>
          <w:szCs w:val="22"/>
          <w:lang w:val="bg-BG"/>
        </w:rPr>
        <w:t>CO</w:t>
      </w:r>
      <w:r w:rsidRPr="00952162">
        <w:rPr>
          <w:rFonts w:eastAsia="Calibri"/>
          <w:noProof/>
          <w:szCs w:val="22"/>
          <w:vertAlign w:val="subscript"/>
          <w:lang w:val="bg-BG"/>
        </w:rPr>
        <w:t>3</w:t>
      </w:r>
      <w:r w:rsidRPr="00952162">
        <w:rPr>
          <w:rFonts w:eastAsia="Calibri"/>
          <w:noProof/>
          <w:szCs w:val="22"/>
          <w:lang w:val="bg-BG"/>
        </w:rPr>
        <w:t>) за анализ в дейонизирана вода и се разреждат в 1000 ml.</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2.2.2.</w:t>
      </w:r>
      <w:r w:rsidRPr="00952162">
        <w:rPr>
          <w:rFonts w:eastAsia="Calibri"/>
          <w:i/>
          <w:noProof/>
          <w:szCs w:val="22"/>
          <w:lang w:val="bg-BG"/>
        </w:rPr>
        <w:tab/>
        <w:t>Неутрален разтвор на метиленово синьо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Разтварят се 0,35 g метиленово синьо за анализ в дейонизирана вода и се разреждат в 1000 ml. Разтворът се приготвя най-малко двадесет и четири часа преди да се използва. Поглъщането на фазата на хлороформа при контролното изследване, сравнена с тази на чистия хлороформ, не трябва да надвишава 0,015 при 1 cm дебелина на слоя при 650 nm.</w:t>
      </w:r>
    </w:p>
    <w:p w:rsidR="00960D75" w:rsidRDefault="00960D75">
      <w:pPr>
        <w:jc w:val="left"/>
        <w:rPr>
          <w:rFonts w:eastAsia="Calibri"/>
          <w:i/>
          <w:noProof/>
          <w:szCs w:val="22"/>
          <w:lang w:val="bg-BG"/>
        </w:rPr>
      </w:pPr>
      <w:r>
        <w:rPr>
          <w:rFonts w:eastAsia="Calibri"/>
          <w:i/>
          <w:noProof/>
          <w:szCs w:val="22"/>
          <w:lang w:val="bg-BG"/>
        </w:rPr>
        <w:br w:type="page"/>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lastRenderedPageBreak/>
        <w:t>2.2.3.</w:t>
      </w:r>
      <w:r w:rsidRPr="00952162">
        <w:rPr>
          <w:rFonts w:eastAsia="Calibri"/>
          <w:i/>
          <w:noProof/>
          <w:szCs w:val="22"/>
          <w:lang w:val="bg-BG"/>
        </w:rPr>
        <w:tab/>
        <w:t>Киселинен разтвор на метиленовото синьо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Разтварят се 0,35 g метиленово синьо за анализ в 500 ml дейонизирана вода и се смесват с 6,5 ml H</w:t>
      </w:r>
      <w:r w:rsidRPr="00952162">
        <w:rPr>
          <w:rFonts w:eastAsia="Calibri"/>
          <w:noProof/>
          <w:szCs w:val="22"/>
          <w:vertAlign w:val="subscript"/>
          <w:lang w:val="bg-BG"/>
        </w:rPr>
        <w:t>2</w:t>
      </w:r>
      <w:r w:rsidRPr="00952162">
        <w:rPr>
          <w:rFonts w:eastAsia="Calibri"/>
          <w:noProof/>
          <w:szCs w:val="22"/>
          <w:lang w:val="bg-BG"/>
        </w:rPr>
        <w:t>SO</w:t>
      </w:r>
      <w:r w:rsidRPr="00952162">
        <w:rPr>
          <w:rFonts w:eastAsia="Calibri"/>
          <w:noProof/>
          <w:szCs w:val="22"/>
          <w:vertAlign w:val="subscript"/>
          <w:lang w:val="bg-BG"/>
        </w:rPr>
        <w:t>4</w:t>
      </w:r>
      <w:r w:rsidRPr="00952162">
        <w:rPr>
          <w:rFonts w:eastAsia="Calibri"/>
          <w:noProof/>
          <w:szCs w:val="22"/>
          <w:lang w:val="bg-BG"/>
        </w:rPr>
        <w:t xml:space="preserve"> (d = 1,84 g/ml). Разрежда се до 1000 ml с дейонизирана вода. Разтворът се приготвя най-малко двадесет и четири часа преди да се използва. Поглъщането на фазата на хлороформа при контролното изследване, сравнена с тази на чистия хлороформ, не трябва да надвишава 0,015 при 1 cm дебелина на слоя при 650 nm.</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2.2.4.</w:t>
      </w:r>
      <w:r w:rsidRPr="00952162">
        <w:rPr>
          <w:rFonts w:eastAsia="Calibri"/>
          <w:i/>
          <w:noProof/>
          <w:szCs w:val="22"/>
          <w:lang w:val="bg-BG"/>
        </w:rPr>
        <w:tab/>
        <w:t>Хлороформ (трихлорометан) за анализ, прясно дестилиран</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2.2.5.</w:t>
      </w:r>
      <w:r w:rsidRPr="00952162">
        <w:rPr>
          <w:rFonts w:eastAsia="Calibri"/>
          <w:i/>
          <w:noProof/>
          <w:szCs w:val="22"/>
          <w:lang w:val="bg-BG"/>
        </w:rPr>
        <w:tab/>
        <w:t>Додецилбензен-метилов естер на сулфоновата киселина</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2.2.6.</w:t>
      </w:r>
      <w:r w:rsidRPr="00952162">
        <w:rPr>
          <w:rFonts w:eastAsia="Calibri"/>
          <w:i/>
          <w:noProof/>
          <w:szCs w:val="22"/>
          <w:lang w:val="bg-BG"/>
        </w:rPr>
        <w:tab/>
        <w:t>Разтвор на калиев хидроксид в етанол, KOH 0,1 M</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2.2.7.</w:t>
      </w:r>
      <w:r w:rsidRPr="00952162">
        <w:rPr>
          <w:rFonts w:eastAsia="Calibri"/>
          <w:i/>
          <w:noProof/>
          <w:szCs w:val="22"/>
          <w:lang w:val="bg-BG"/>
        </w:rPr>
        <w:tab/>
        <w:t>Чист етанол, C</w:t>
      </w:r>
      <w:r w:rsidRPr="00952162">
        <w:rPr>
          <w:rFonts w:eastAsia="Calibri"/>
          <w:i/>
          <w:noProof/>
          <w:szCs w:val="22"/>
          <w:vertAlign w:val="subscript"/>
          <w:lang w:val="bg-BG"/>
        </w:rPr>
        <w:t>2</w:t>
      </w:r>
      <w:r w:rsidRPr="00952162">
        <w:rPr>
          <w:rFonts w:eastAsia="Calibri"/>
          <w:i/>
          <w:noProof/>
          <w:szCs w:val="22"/>
          <w:lang w:val="bg-BG"/>
        </w:rPr>
        <w:t>H</w:t>
      </w:r>
      <w:r w:rsidRPr="00952162">
        <w:rPr>
          <w:rFonts w:eastAsia="Calibri"/>
          <w:i/>
          <w:noProof/>
          <w:szCs w:val="22"/>
          <w:vertAlign w:val="subscript"/>
          <w:lang w:val="bg-BG"/>
        </w:rPr>
        <w:t>5</w:t>
      </w:r>
      <w:r w:rsidRPr="00952162">
        <w:rPr>
          <w:rFonts w:eastAsia="Calibri"/>
          <w:i/>
          <w:noProof/>
          <w:szCs w:val="22"/>
          <w:lang w:val="bg-BG"/>
        </w:rPr>
        <w:t>OH</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2.2.8.</w:t>
      </w:r>
      <w:r w:rsidRPr="00952162">
        <w:rPr>
          <w:rFonts w:eastAsia="Calibri"/>
          <w:i/>
          <w:noProof/>
          <w:szCs w:val="22"/>
          <w:lang w:val="bg-BG"/>
        </w:rPr>
        <w:tab/>
        <w:t>Сярна киселина, H</w:t>
      </w:r>
      <w:r w:rsidRPr="00952162">
        <w:rPr>
          <w:rFonts w:eastAsia="Calibri"/>
          <w:i/>
          <w:noProof/>
          <w:szCs w:val="22"/>
          <w:vertAlign w:val="subscript"/>
          <w:lang w:val="bg-BG"/>
        </w:rPr>
        <w:t>2</w:t>
      </w:r>
      <w:r w:rsidRPr="00952162">
        <w:rPr>
          <w:rFonts w:eastAsia="Calibri"/>
          <w:i/>
          <w:noProof/>
          <w:szCs w:val="22"/>
          <w:lang w:val="bg-BG"/>
        </w:rPr>
        <w:t>SO</w:t>
      </w:r>
      <w:r w:rsidRPr="00952162">
        <w:rPr>
          <w:rFonts w:eastAsia="Calibri"/>
          <w:i/>
          <w:noProof/>
          <w:szCs w:val="22"/>
          <w:vertAlign w:val="subscript"/>
          <w:lang w:val="bg-BG"/>
        </w:rPr>
        <w:t>4</w:t>
      </w:r>
      <w:r w:rsidRPr="00952162">
        <w:rPr>
          <w:rFonts w:eastAsia="Calibri"/>
          <w:i/>
          <w:noProof/>
          <w:szCs w:val="22"/>
          <w:lang w:val="bg-BG"/>
        </w:rPr>
        <w:t xml:space="preserve"> 0,5 M</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2.2.9.</w:t>
      </w:r>
      <w:r w:rsidRPr="00952162">
        <w:rPr>
          <w:rFonts w:eastAsia="Calibri"/>
          <w:i/>
          <w:noProof/>
          <w:szCs w:val="22"/>
          <w:lang w:val="bg-BG"/>
        </w:rPr>
        <w:tab/>
        <w:t>Разтвор на фенолфталеин</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 се 1 g фенолфталеин в 50 ml етанол и се добавят 50 ml дейонизирана вода, като се разклаща непрекъснато. Чрез филтриране се отстранява всяка получена утайка.</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2.2.10.</w:t>
      </w:r>
      <w:r w:rsidRPr="00952162">
        <w:rPr>
          <w:rFonts w:eastAsia="Calibri"/>
          <w:i/>
          <w:noProof/>
          <w:szCs w:val="22"/>
          <w:lang w:val="bg-BG"/>
        </w:rPr>
        <w:tab/>
        <w:t>Хлороводородна (солна) киселина и метанол: 250 ml концентрирана солна киселина за анализ и 750 ml метанол</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2.2.11.</w:t>
      </w:r>
      <w:r w:rsidRPr="00952162">
        <w:rPr>
          <w:rFonts w:eastAsia="Calibri"/>
          <w:i/>
          <w:noProof/>
          <w:szCs w:val="22"/>
          <w:lang w:val="bg-BG"/>
        </w:rPr>
        <w:tab/>
        <w:t>Декантационна колба от 250 ml</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2.2.12.</w:t>
      </w:r>
      <w:r w:rsidRPr="00952162">
        <w:rPr>
          <w:rFonts w:eastAsia="Calibri"/>
          <w:i/>
          <w:noProof/>
          <w:szCs w:val="22"/>
          <w:lang w:val="bg-BG"/>
        </w:rPr>
        <w:tab/>
        <w:t>Мерителна колба с обем 50 ml</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2.2.13.</w:t>
      </w:r>
      <w:r w:rsidRPr="00952162">
        <w:rPr>
          <w:rFonts w:eastAsia="Calibri"/>
          <w:i/>
          <w:noProof/>
          <w:szCs w:val="22"/>
          <w:lang w:val="bg-BG"/>
        </w:rPr>
        <w:tab/>
        <w:t>Мерителна колба с обем 500 ml</w:t>
      </w:r>
    </w:p>
    <w:p w:rsidR="00960D75" w:rsidRDefault="00960D75">
      <w:pPr>
        <w:jc w:val="left"/>
        <w:rPr>
          <w:rFonts w:eastAsia="Calibri"/>
          <w:i/>
          <w:noProof/>
          <w:szCs w:val="22"/>
          <w:lang w:val="bg-BG"/>
        </w:rPr>
      </w:pPr>
      <w:r>
        <w:rPr>
          <w:rFonts w:eastAsia="Calibri"/>
          <w:i/>
          <w:noProof/>
          <w:szCs w:val="22"/>
          <w:lang w:val="bg-BG"/>
        </w:rPr>
        <w:br w:type="page"/>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lastRenderedPageBreak/>
        <w:t>2.2.14.</w:t>
      </w:r>
      <w:r w:rsidRPr="00952162">
        <w:rPr>
          <w:rFonts w:eastAsia="Calibri"/>
          <w:i/>
          <w:noProof/>
          <w:szCs w:val="22"/>
          <w:lang w:val="bg-BG"/>
        </w:rPr>
        <w:tab/>
        <w:t>Мерителна колба с обем 1000 ml</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2.2.15.</w:t>
      </w:r>
      <w:r w:rsidRPr="00952162">
        <w:rPr>
          <w:rFonts w:eastAsia="Calibri"/>
          <w:i/>
          <w:noProof/>
          <w:szCs w:val="22"/>
          <w:lang w:val="bg-BG"/>
        </w:rPr>
        <w:tab/>
        <w:t>Облодънна колба с гърло на шлиф, обратен хладник (дефлегматор) с обем 250 ml; гранули за улесняване на кипенето</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2.2.16.</w:t>
      </w:r>
      <w:r w:rsidRPr="00952162">
        <w:rPr>
          <w:rFonts w:eastAsia="Calibri"/>
          <w:i/>
          <w:noProof/>
          <w:szCs w:val="22"/>
          <w:lang w:val="bg-BG"/>
        </w:rPr>
        <w:tab/>
        <w:t>Уред за измерване на pH (pH-мер)</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2.2.17.</w:t>
      </w:r>
      <w:r w:rsidRPr="00952162">
        <w:rPr>
          <w:rFonts w:eastAsia="Calibri"/>
          <w:i/>
          <w:noProof/>
          <w:szCs w:val="22"/>
          <w:lang w:val="bg-BG"/>
        </w:rPr>
        <w:tab/>
        <w:t>Фотометър за измерване при дължина от 650 nm, с вани от 1 до 5 cm</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2.2.18.</w:t>
      </w:r>
      <w:r w:rsidRPr="00952162">
        <w:rPr>
          <w:rFonts w:eastAsia="Calibri"/>
          <w:i/>
          <w:noProof/>
          <w:szCs w:val="22"/>
          <w:lang w:val="bg-BG"/>
        </w:rPr>
        <w:tab/>
        <w:t>Филтърна хартия за качествен химичен анализ</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2.3.</w:t>
      </w:r>
      <w:r w:rsidRPr="00952162">
        <w:rPr>
          <w:rFonts w:eastAsia="Calibri"/>
          <w:b/>
          <w:noProof/>
          <w:szCs w:val="22"/>
          <w:lang w:val="bg-BG"/>
        </w:rPr>
        <w:tab/>
        <w:t>Метод</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Пробите, които са предназначени за анализ, не трябва да се вземат през пласт от пяна.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След грижливото почистване с вода, апаратурата, използвана за анализа, трябва да се изплакне изцяло с разтвор от солна киселина и метанол (точка 2.2.10), а преди използването ѝ – с дейонизирана вода.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Извършва се филтриране на отработения разтвор на входа и изхода на инсталацията за активна утайка, който ще се тества непосредствено след вземането на пробата. Отстраняват се началните 100 ml от филтратите.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Поставя се един измерен обем от пробата, която е неутрализирана при необходимост, в декантационна колба от 250 ml (точка 2.2.11). Обемът на пробата трябва да съдържа между 20 и 150 g от MBAS. При по-ниско съдържание на MBAS може да се използват до 100 ml от пробата. Когато от нея се използват по-малко от 100 ml, се разрежда до 100 ml с дейонизирана вода. Към пробата се прибавят 10 ml от буферния разтвор (точка 2.2.1), 5 ml от неутралния разтвор на метиленово синьо (точка 2.2.2) и 15 ml от хлороформа (точка 2.2.4). Сместа се разклаща равномерно и не прекалено силно в продължение на една минута. След разделяне на фазите, слоят на хлороформа се прехвърля във втора декантационна колба, съдържаща 110 ml дейонизирана вода и 5 ml киселинен разтвор на метиленово синьо (точка 2.2.3). Сместа се разклаща в продължение на една минута. Слоят от хлороформ преминава през филтър от хидрофилен памук, предварително измит със спирт и напоен с хлороформ, и се прехвърля в градуирана колба (точка 2.2.12).</w:t>
      </w:r>
    </w:p>
    <w:p w:rsidR="00960D75" w:rsidRDefault="00960D75">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Извършва се трикратно извличане на алкалните и киселинните разтвори, като се използва 10 ml от хлороформа по време на второто и на третото извличане. Филтрират се комбинираните хлороформни екстракти през същия филтър от хидрофилен памук и се разрежда в колбата до чертата, отбелязваща 50 ml (точка 2.2.12) с хлороформа, използван за повторното измиване на хидрофилния памук. Измерва се поглъщането на хлороформния разтвор с помощта на фотометър при 650 nm във вани от 1 до 5 cm, като се сравнява поглъщането с това на чистия хлороформ. Прави се един тест за контролно измерване на дозата по време на прилагането на метода.</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2.4.</w:t>
      </w:r>
      <w:r w:rsidRPr="00952162">
        <w:rPr>
          <w:rFonts w:eastAsia="Calibri"/>
          <w:b/>
          <w:noProof/>
          <w:szCs w:val="22"/>
          <w:lang w:val="bg-BG"/>
        </w:rPr>
        <w:tab/>
        <w:t>Крива на еталониране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Приготвя се разтвор за еталониране от еталонната субстанция от додецилбензен-метилов естер на сулфоновата киселина (тетрапропилен тип PM 340) след осапунване в калиева сол. MBAS се изчислява във вид на натриев додецилбензен сулфонат (PM 348).</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Изтеглят се 400 до 450 mg додецилбензен-метилов естер на сулфоновата киселина (точка 2.2.5) с точност до 0,1 mg в облодънна колба и се добавят 50 ml разтвор на калиев хидроксид и етанол (точка 2.2.6) и няколко гранули за улесняване на кипенето. След монтирането на обратния хладник (дефлегматор) се извършва варене в продължение на един час. След охлаждане обратният хладник и шлифованото гърло се измиват с около 30 ml етанол и тези отмивки се добавят към съдържанието на колбата. Разтворът се титрува със сярната киселина до обезцветяване на фенолфталина. Този разтвор се прехвърля в мерителна колба с обем 1000 ml (точка 2.2.14), разрежда се до чертата на тази вместимост с дейонизирана вода и се размесва.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След това се разрежда отново една част от този разтвор на повърхностноактивното вещество. Отделят се 25 ml и се прехвърлят в мерителна колба с обем 500 ml (точка 2.2.13), разреждат се до чертата на тази вместимост с дейонизирана вода и се размесват.</w:t>
      </w:r>
    </w:p>
    <w:p w:rsidR="00960D75" w:rsidRDefault="00960D75">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Този еталонен разтвор съдържа: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eastAsia="en-GB"/>
        </w:rPr>
        <w:drawing>
          <wp:inline distT="0" distB="0" distL="0" distR="0" wp14:anchorId="6F1254D2" wp14:editId="2D4CEAA9">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където Е е масата на пробата в mg.</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За определяне на кривата на еталониране се вземат проби съответно от 1, 2, 4, 6 и 8 ml от еталонния разтвор и всяка от тях се разрежда до 100 ml с дейонизирана вода. След това се извършва процедурата, указана в точка 2.3 (включително като се извършва и един тест за контролно измерване на дозата).</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2.5.</w:t>
      </w:r>
      <w:r w:rsidRPr="00952162">
        <w:rPr>
          <w:rFonts w:eastAsia="Calibri"/>
          <w:b/>
          <w:noProof/>
          <w:szCs w:val="22"/>
          <w:lang w:val="bg-BG"/>
        </w:rPr>
        <w:tab/>
        <w:t>Изчисляване на резултатите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Кривата на еталониране (точка 2.4) показва количеството анионно повърхностноактивно вещество (MBAS), което се съдържа в пробата. Съдържанието на MBAS в пробата се изчислява по формулата: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eastAsia="en-GB"/>
        </w:rPr>
        <w:drawing>
          <wp:inline distT="0" distB="0" distL="0" distR="0" wp14:anchorId="7AD31E4C" wp14:editId="103E3FB3">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където: V = обема на използваната проба в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Резултатите се изразяват във вид на натриев додецилбензен сулфонат (PM 348).</w:t>
      </w:r>
    </w:p>
    <w:p w:rsidR="00960D75" w:rsidRDefault="00960D75">
      <w:pPr>
        <w:jc w:val="left"/>
        <w:rPr>
          <w:rFonts w:eastAsia="Calibri"/>
          <w:b/>
          <w:noProof/>
          <w:szCs w:val="22"/>
          <w:lang w:val="bg-BG"/>
        </w:rPr>
      </w:pPr>
      <w:r>
        <w:rPr>
          <w:rFonts w:eastAsia="Calibri"/>
          <w:b/>
          <w:noProof/>
          <w:szCs w:val="22"/>
          <w:lang w:val="bg-BG"/>
        </w:rPr>
        <w:br w:type="page"/>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lastRenderedPageBreak/>
        <w:t>2.6.</w:t>
      </w:r>
      <w:r w:rsidRPr="00952162">
        <w:rPr>
          <w:rFonts w:eastAsia="Calibri"/>
          <w:b/>
          <w:noProof/>
          <w:szCs w:val="22"/>
          <w:lang w:val="bg-BG"/>
        </w:rPr>
        <w:tab/>
        <w:t>Изразяване на резултатите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Резултатите се изразяват в MBAS mg/l с точност до 0,1 mg.</w:t>
      </w:r>
    </w:p>
    <w:p w:rsidR="00952162" w:rsidRPr="00952162" w:rsidRDefault="00952162" w:rsidP="00952162">
      <w:pPr>
        <w:keepNext/>
        <w:tabs>
          <w:tab w:val="left" w:pos="850"/>
        </w:tabs>
        <w:spacing w:before="360" w:after="120"/>
        <w:ind w:left="851" w:hanging="851"/>
        <w:outlineLvl w:val="0"/>
        <w:rPr>
          <w:rFonts w:eastAsia="Calibri"/>
          <w:b/>
          <w:smallCaps/>
          <w:noProof/>
          <w:szCs w:val="22"/>
          <w:lang w:val="bg-BG"/>
        </w:rPr>
      </w:pPr>
      <w:r w:rsidRPr="00952162">
        <w:rPr>
          <w:rFonts w:eastAsia="Calibri"/>
          <w:b/>
          <w:smallCaps/>
          <w:noProof/>
          <w:szCs w:val="22"/>
          <w:lang w:val="bg-BG"/>
        </w:rPr>
        <w:t>3.</w:t>
      </w:r>
      <w:r w:rsidRPr="00952162">
        <w:rPr>
          <w:rFonts w:eastAsia="Calibri"/>
          <w:b/>
          <w:smallCaps/>
          <w:noProof/>
          <w:szCs w:val="22"/>
          <w:lang w:val="bg-BG"/>
        </w:rPr>
        <w:tab/>
        <w:t>Измерване на дозите на нейоногенните повърхностноактивни вещества при тестови изпитания за биоразграждане</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3.1.</w:t>
      </w:r>
      <w:r w:rsidRPr="00952162">
        <w:rPr>
          <w:rFonts w:eastAsia="Calibri"/>
          <w:b/>
          <w:noProof/>
          <w:szCs w:val="22"/>
          <w:lang w:val="bg-BG"/>
        </w:rPr>
        <w:tab/>
        <w:t>Принцип</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Повърхностноактивните вещества се концентрират и изолират чрез газово извличане. В използваната проба количеството на нейоногенното повърхностноактивно вещество трябва да бъде в порядъка от 250-800 μg.</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Извлеченото повърхностноактивно вещество се разтваря в етилацетат.</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След разделянето на фазите и изпарението на разтворителя нейоногенното повърхностноактивно вещество се утаява във воден разтвор с модифициран реактив на Драгендорф, (KBiI</w:t>
      </w:r>
      <w:r w:rsidRPr="00952162">
        <w:rPr>
          <w:rFonts w:eastAsia="Calibri"/>
          <w:noProof/>
          <w:szCs w:val="22"/>
          <w:vertAlign w:val="subscript"/>
          <w:lang w:val="bg-BG"/>
        </w:rPr>
        <w:t>4</w:t>
      </w:r>
      <w:r w:rsidRPr="00952162">
        <w:rPr>
          <w:rFonts w:eastAsia="Calibri"/>
          <w:noProof/>
          <w:szCs w:val="22"/>
          <w:lang w:val="bg-BG"/>
        </w:rPr>
        <w:t xml:space="preserve"> + BaCl</w:t>
      </w:r>
      <w:r w:rsidRPr="00952162">
        <w:rPr>
          <w:rFonts w:eastAsia="Calibri"/>
          <w:noProof/>
          <w:szCs w:val="22"/>
          <w:vertAlign w:val="subscript"/>
          <w:lang w:val="bg-BG"/>
        </w:rPr>
        <w:t>2</w:t>
      </w:r>
      <w:r w:rsidRPr="00952162">
        <w:rPr>
          <w:rFonts w:eastAsia="Calibri"/>
          <w:noProof/>
          <w:szCs w:val="22"/>
          <w:lang w:val="bg-BG"/>
        </w:rPr>
        <w:t xml:space="preserve"> + ледена оцетна киселина).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Утайката се филтрира, промива се с ледената оцетна киселина и се разтваря в разтвор от амониев тартрат. Бисмутът, който е в разтвора, се дозира потенциометрично с разтвор от пиролидинедитиокарбамат с pH 4-5, като се използва индикаторен електрод от полирана платина и еталонен електрод от каломел (меркурохлорид) или сребро/сребърен хлорид. Методът се прилага към нейоногенните повърхностноактивни вещества, съдържащи 6-30 групи алкиленов оксид.</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Резултатът от измерването на дозата се умножава по емпиричен коефициент 54, така че да бъде конвертиран в кондензиран нонилфенол с 10 мола етиленов оксид (NP 10).</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3.2.</w:t>
      </w:r>
      <w:r w:rsidRPr="00952162">
        <w:rPr>
          <w:rFonts w:eastAsia="Calibri"/>
          <w:b/>
          <w:noProof/>
          <w:szCs w:val="22"/>
          <w:lang w:val="bg-BG"/>
        </w:rPr>
        <w:tab/>
        <w:t>Реактиви и апаратура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Реактивите трябва да се приготвят в дейонизирана вода.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w:t>
      </w:r>
      <w:r w:rsidRPr="00952162">
        <w:rPr>
          <w:rFonts w:eastAsia="Calibri"/>
          <w:noProof/>
          <w:szCs w:val="22"/>
          <w:lang w:val="bg-BG"/>
        </w:rPr>
        <w:tab/>
        <w:t>Чист етил ацетат, прясно дестилиран</w:t>
      </w:r>
    </w:p>
    <w:p w:rsidR="00960D75" w:rsidRDefault="00960D75">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3.2.2.</w:t>
      </w:r>
      <w:r w:rsidRPr="00952162">
        <w:rPr>
          <w:rFonts w:eastAsia="Calibri"/>
          <w:noProof/>
          <w:szCs w:val="22"/>
          <w:lang w:val="bg-BG"/>
        </w:rPr>
        <w:tab/>
        <w:t>Натриев бикарбонат  NaHCO</w:t>
      </w:r>
      <w:r w:rsidRPr="00952162">
        <w:rPr>
          <w:rFonts w:eastAsia="Calibri"/>
          <w:noProof/>
          <w:szCs w:val="22"/>
          <w:vertAlign w:val="subscript"/>
          <w:lang w:val="bg-BG"/>
        </w:rPr>
        <w:t>3</w:t>
      </w:r>
      <w:r w:rsidRPr="00952162">
        <w:rPr>
          <w:rFonts w:eastAsia="Calibri"/>
          <w:noProof/>
          <w:szCs w:val="22"/>
          <w:lang w:val="bg-BG"/>
        </w:rPr>
        <w:t xml:space="preserve"> за анализ.</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3.2.3.</w:t>
      </w:r>
      <w:r w:rsidRPr="00952162">
        <w:rPr>
          <w:rFonts w:eastAsia="Calibri"/>
          <w:noProof/>
          <w:szCs w:val="22"/>
          <w:lang w:val="bg-BG"/>
        </w:rPr>
        <w:tab/>
        <w:t>Разредена солна киселина (HCl) (20 ml концентрирана солна киселина за анализ, разтворена до 1000 ml с вода)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3.2.4.</w:t>
      </w:r>
      <w:r w:rsidRPr="00952162">
        <w:rPr>
          <w:rFonts w:eastAsia="Calibri"/>
          <w:noProof/>
          <w:szCs w:val="22"/>
          <w:lang w:val="bg-BG"/>
        </w:rPr>
        <w:tab/>
        <w:t>Метанол за анализ, прясно дестилиран, съхранен в стъклен флакон.</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3.2.5.</w:t>
      </w:r>
      <w:r w:rsidRPr="00952162">
        <w:rPr>
          <w:rFonts w:eastAsia="Calibri"/>
          <w:noProof/>
          <w:szCs w:val="22"/>
          <w:lang w:val="bg-BG"/>
        </w:rPr>
        <w:tab/>
        <w:t>Пурпур на бромкрезол, 0,1 g в 100 ml метанол.</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3.2.6.</w:t>
      </w:r>
      <w:r w:rsidRPr="00952162">
        <w:rPr>
          <w:rFonts w:eastAsia="Calibri"/>
          <w:noProof/>
          <w:szCs w:val="22"/>
          <w:lang w:val="bg-BG"/>
        </w:rPr>
        <w:tab/>
        <w:t>Средство за утаяване: средството за утаяване представлява смес, съдържаща два обема от разтвор А и един обем от разтвор В. Сместа се запазва в стъклен кафяв флакон и може да бъде използвана в срок до една седмица от приготвянето ѝ.</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3.2.6.1.</w:t>
      </w:r>
      <w:r w:rsidRPr="00952162">
        <w:rPr>
          <w:rFonts w:eastAsia="Calibri"/>
          <w:noProof/>
          <w:szCs w:val="22"/>
          <w:lang w:val="bg-BG"/>
        </w:rPr>
        <w:tab/>
        <w:t>Разтвор 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Разтварят се 1,7 g бисмутов нитрат за анализ (BiONO</w:t>
      </w:r>
      <w:r w:rsidRPr="00952162">
        <w:rPr>
          <w:rFonts w:eastAsia="Calibri"/>
          <w:noProof/>
          <w:szCs w:val="22"/>
          <w:vertAlign w:val="subscript"/>
          <w:lang w:val="bg-BG"/>
        </w:rPr>
        <w:t>3</w:t>
      </w:r>
      <w:r w:rsidRPr="00952162">
        <w:rPr>
          <w:rFonts w:eastAsia="Calibri"/>
          <w:noProof/>
          <w:szCs w:val="22"/>
          <w:lang w:val="bg-BG"/>
        </w:rPr>
        <w:t>.H</w:t>
      </w:r>
      <w:r w:rsidRPr="00952162">
        <w:rPr>
          <w:rFonts w:eastAsia="Calibri"/>
          <w:noProof/>
          <w:szCs w:val="22"/>
          <w:vertAlign w:val="subscript"/>
          <w:lang w:val="bg-BG"/>
        </w:rPr>
        <w:t>2</w:t>
      </w:r>
      <w:r w:rsidRPr="00952162">
        <w:rPr>
          <w:rFonts w:eastAsia="Calibri"/>
          <w:noProof/>
          <w:szCs w:val="22"/>
          <w:lang w:val="bg-BG"/>
        </w:rPr>
        <w:t>O AR) в 20 ml ледена оцетна киселина и се допълва с вода до 100 ml. След това се разтварят 65 g калиев йодид за анализ в 200 ml вода. Двата разтвора се смесват в мерителна колба с обем от 1000 ml, добавят се 200 ml ледена оцетна киселина (точка 3.2.7) и се допълва с вода до 1000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3.2.6.2.</w:t>
      </w:r>
      <w:r w:rsidRPr="00952162">
        <w:rPr>
          <w:rFonts w:eastAsia="Calibri"/>
          <w:noProof/>
          <w:szCs w:val="22"/>
          <w:lang w:val="bg-BG"/>
        </w:rPr>
        <w:tab/>
        <w:t>Разтвор В</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Разтварят се 290 g бариев хлорид (BaCl</w:t>
      </w:r>
      <w:r w:rsidRPr="00952162">
        <w:rPr>
          <w:rFonts w:eastAsia="Calibri"/>
          <w:noProof/>
          <w:szCs w:val="22"/>
          <w:vertAlign w:val="subscript"/>
          <w:lang w:val="bg-BG"/>
        </w:rPr>
        <w:t>2</w:t>
      </w:r>
      <w:r w:rsidRPr="00952162">
        <w:rPr>
          <w:rFonts w:eastAsia="Calibri"/>
          <w:noProof/>
          <w:szCs w:val="22"/>
          <w:lang w:val="bg-BG"/>
        </w:rPr>
        <w:t>.2H</w:t>
      </w:r>
      <w:r w:rsidRPr="00952162">
        <w:rPr>
          <w:rFonts w:eastAsia="Calibri"/>
          <w:noProof/>
          <w:szCs w:val="22"/>
          <w:vertAlign w:val="subscript"/>
          <w:lang w:val="bg-BG"/>
        </w:rPr>
        <w:t>2</w:t>
      </w:r>
      <w:r w:rsidRPr="00952162">
        <w:rPr>
          <w:rFonts w:eastAsia="Calibri"/>
          <w:noProof/>
          <w:szCs w:val="22"/>
          <w:lang w:val="bg-BG"/>
        </w:rPr>
        <w:t>O) за анализ в 1000 ml вода.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3.2.7.</w:t>
      </w:r>
      <w:r w:rsidRPr="00952162">
        <w:rPr>
          <w:rFonts w:eastAsia="Calibri"/>
          <w:noProof/>
          <w:szCs w:val="22"/>
          <w:lang w:val="bg-BG"/>
        </w:rPr>
        <w:tab/>
        <w:t>Ледена оцетна киселина 99-100 % (по-ниски концентрации не са подходящи).</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3.2.8.</w:t>
      </w:r>
      <w:r w:rsidRPr="00952162">
        <w:rPr>
          <w:rFonts w:eastAsia="Calibri"/>
          <w:noProof/>
          <w:szCs w:val="22"/>
          <w:lang w:val="bg-BG"/>
        </w:rPr>
        <w:tab/>
        <w:t>Разтвор от амониев тартрат: смесват се 12,4 g тартратна (винена) киселина за анализ и 12,4 ml амонячен воден разтвор за анализ (d = 0,910 g/ml) и се допълва с вода до 1000 ml (или се използва количество, което е еквивалентно на амониевия тартрат за анализ).</w:t>
      </w:r>
    </w:p>
    <w:p w:rsidR="00960D75" w:rsidRDefault="00960D75">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3.2.9.</w:t>
      </w:r>
      <w:r w:rsidRPr="00952162">
        <w:rPr>
          <w:rFonts w:eastAsia="Calibri"/>
          <w:noProof/>
          <w:szCs w:val="22"/>
          <w:lang w:val="bg-BG"/>
        </w:rPr>
        <w:tab/>
        <w:t>Разреждане на амоняка: разреждат се 40 ml амоняк за анализ (d = 0,910 g/ml) с вода до 1000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3.2.10.</w:t>
      </w:r>
      <w:r w:rsidRPr="00952162">
        <w:rPr>
          <w:rFonts w:eastAsia="Calibri"/>
          <w:noProof/>
          <w:szCs w:val="22"/>
          <w:lang w:val="bg-BG"/>
        </w:rPr>
        <w:tab/>
        <w:t>Ацетатен буферен разтвор: разтварят се 40 g твърд натриев хидроксид за анализ в 500 ml вода в бехерова чаша и се охлажда. Добавят се 120 ml ледена оцетна киселина (точка 3.2.7). Размесва се добре, охлажда се и се прехвърля в мерителна колба с обем от 1000 ml, като се изравни до чертата на тази вместимост с вода.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3.2.11.</w:t>
      </w:r>
      <w:r w:rsidRPr="00952162">
        <w:rPr>
          <w:rFonts w:eastAsia="Calibri"/>
          <w:noProof/>
          <w:szCs w:val="22"/>
          <w:lang w:val="bg-BG"/>
        </w:rPr>
        <w:tab/>
        <w:t>Разтвор от пиролидиндитиокарбамат (наричан по-долу „карбаматен разтвор“): разтварят се 103 mg натриев пиролидиндитиокарбамат, C</w:t>
      </w:r>
      <w:r w:rsidRPr="00952162">
        <w:rPr>
          <w:rFonts w:eastAsia="Calibri"/>
          <w:noProof/>
          <w:szCs w:val="22"/>
          <w:vertAlign w:val="subscript"/>
          <w:lang w:val="bg-BG"/>
        </w:rPr>
        <w:t>5</w:t>
      </w:r>
      <w:r w:rsidRPr="00952162">
        <w:rPr>
          <w:rFonts w:eastAsia="Calibri"/>
          <w:noProof/>
          <w:szCs w:val="22"/>
          <w:lang w:val="bg-BG"/>
        </w:rPr>
        <w:t>H</w:t>
      </w:r>
      <w:r w:rsidRPr="00952162">
        <w:rPr>
          <w:rFonts w:eastAsia="Calibri"/>
          <w:noProof/>
          <w:szCs w:val="22"/>
          <w:vertAlign w:val="subscript"/>
          <w:lang w:val="bg-BG"/>
        </w:rPr>
        <w:t>8</w:t>
      </w:r>
      <w:r w:rsidRPr="00952162">
        <w:rPr>
          <w:rFonts w:eastAsia="Calibri"/>
          <w:noProof/>
          <w:szCs w:val="22"/>
          <w:lang w:val="bg-BG"/>
        </w:rPr>
        <w:t>NNaS</w:t>
      </w:r>
      <w:r w:rsidRPr="00952162">
        <w:rPr>
          <w:rFonts w:eastAsia="Calibri"/>
          <w:noProof/>
          <w:szCs w:val="22"/>
          <w:vertAlign w:val="subscript"/>
          <w:lang w:val="bg-BG"/>
        </w:rPr>
        <w:t>2</w:t>
      </w:r>
      <w:r w:rsidRPr="00952162">
        <w:rPr>
          <w:rFonts w:eastAsia="Calibri"/>
          <w:noProof/>
          <w:szCs w:val="22"/>
          <w:lang w:val="bg-BG"/>
        </w:rPr>
        <w:t>.2H</w:t>
      </w:r>
      <w:r w:rsidRPr="00952162">
        <w:rPr>
          <w:rFonts w:eastAsia="Calibri"/>
          <w:noProof/>
          <w:szCs w:val="22"/>
          <w:vertAlign w:val="subscript"/>
          <w:lang w:val="bg-BG"/>
        </w:rPr>
        <w:t>2</w:t>
      </w:r>
      <w:r w:rsidRPr="00952162">
        <w:rPr>
          <w:rFonts w:eastAsia="Calibri"/>
          <w:noProof/>
          <w:szCs w:val="22"/>
          <w:lang w:val="bg-BG"/>
        </w:rPr>
        <w:t>O, ) в около 500 ml вода, добавят се 10 ml n-амилов спирт за анализ и 0,5 g NaHCO</w:t>
      </w:r>
      <w:r w:rsidRPr="00952162">
        <w:rPr>
          <w:rFonts w:eastAsia="Calibri"/>
          <w:noProof/>
          <w:szCs w:val="22"/>
          <w:vertAlign w:val="subscript"/>
          <w:lang w:val="bg-BG"/>
        </w:rPr>
        <w:t>3</w:t>
      </w:r>
      <w:r w:rsidRPr="00952162">
        <w:rPr>
          <w:rFonts w:eastAsia="Calibri"/>
          <w:noProof/>
          <w:szCs w:val="22"/>
          <w:lang w:val="bg-BG"/>
        </w:rPr>
        <w:t xml:space="preserve"> за анализ и се допълва с вода до 1000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3.2.12.</w:t>
      </w:r>
      <w:r w:rsidRPr="00952162">
        <w:rPr>
          <w:rFonts w:eastAsia="Calibri"/>
          <w:noProof/>
          <w:szCs w:val="22"/>
          <w:lang w:val="bg-BG"/>
        </w:rPr>
        <w:tab/>
        <w:t>Разтвор от меден сулфат (за еталониране на точка 3.2.11).</w:t>
      </w:r>
    </w:p>
    <w:p w:rsidR="00952162" w:rsidRPr="00952162" w:rsidRDefault="00952162" w:rsidP="00952162">
      <w:pPr>
        <w:spacing w:before="120" w:after="120"/>
        <w:ind w:left="1417"/>
        <w:rPr>
          <w:rFonts w:eastAsia="Calibri"/>
          <w:noProof/>
          <w:szCs w:val="22"/>
          <w:lang w:val="bg-BG"/>
        </w:rPr>
      </w:pPr>
      <w:r w:rsidRPr="00952162">
        <w:rPr>
          <w:rFonts w:eastAsia="Calibri"/>
          <w:noProof/>
          <w:szCs w:val="22"/>
          <w:lang w:val="bg-BG"/>
        </w:rPr>
        <w:t>КОНЦЕНТРИРАН РАЗТВОР</w:t>
      </w:r>
    </w:p>
    <w:p w:rsidR="00952162" w:rsidRPr="00952162" w:rsidRDefault="00952162" w:rsidP="00952162">
      <w:pPr>
        <w:spacing w:before="120" w:after="120"/>
        <w:ind w:left="1417"/>
        <w:rPr>
          <w:rFonts w:eastAsia="Calibri"/>
          <w:noProof/>
          <w:szCs w:val="22"/>
          <w:lang w:val="bg-BG"/>
        </w:rPr>
      </w:pPr>
      <w:r w:rsidRPr="00952162">
        <w:rPr>
          <w:rFonts w:eastAsia="Calibri"/>
          <w:noProof/>
          <w:szCs w:val="22"/>
          <w:lang w:val="bg-BG"/>
        </w:rPr>
        <w:t>Разтварят се 1,249 g меден сулфат (CuSO</w:t>
      </w:r>
      <w:r w:rsidRPr="00952162">
        <w:rPr>
          <w:rFonts w:eastAsia="Calibri"/>
          <w:noProof/>
          <w:szCs w:val="22"/>
          <w:vertAlign w:val="subscript"/>
          <w:lang w:val="bg-BG"/>
        </w:rPr>
        <w:t>4</w:t>
      </w:r>
      <w:r w:rsidRPr="00952162">
        <w:rPr>
          <w:rFonts w:eastAsia="Calibri"/>
          <w:noProof/>
          <w:szCs w:val="22"/>
          <w:lang w:val="bg-BG"/>
        </w:rPr>
        <w:t>.5H</w:t>
      </w:r>
      <w:r w:rsidRPr="00952162">
        <w:rPr>
          <w:rFonts w:eastAsia="Calibri"/>
          <w:noProof/>
          <w:szCs w:val="22"/>
          <w:vertAlign w:val="subscript"/>
          <w:lang w:val="bg-BG"/>
        </w:rPr>
        <w:t>2</w:t>
      </w:r>
      <w:r w:rsidRPr="00952162">
        <w:rPr>
          <w:rFonts w:eastAsia="Calibri"/>
          <w:noProof/>
          <w:szCs w:val="22"/>
          <w:lang w:val="bg-BG"/>
        </w:rPr>
        <w:t>O) за анализ с 50 ml 0,5 M сярна киселина и се допълва с вода до 1000 ml.</w:t>
      </w:r>
    </w:p>
    <w:p w:rsidR="00952162" w:rsidRPr="00952162" w:rsidRDefault="00952162" w:rsidP="00952162">
      <w:pPr>
        <w:spacing w:before="120" w:after="120"/>
        <w:ind w:left="1417"/>
        <w:rPr>
          <w:rFonts w:eastAsia="Calibri"/>
          <w:noProof/>
          <w:szCs w:val="22"/>
          <w:lang w:val="bg-BG"/>
        </w:rPr>
      </w:pPr>
      <w:r w:rsidRPr="00952162">
        <w:rPr>
          <w:rFonts w:eastAsia="Calibri"/>
          <w:noProof/>
          <w:szCs w:val="22"/>
          <w:lang w:val="bg-BG"/>
        </w:rPr>
        <w:t>Стандартен разтвор</w:t>
      </w:r>
    </w:p>
    <w:p w:rsidR="00952162" w:rsidRPr="00952162" w:rsidRDefault="00952162" w:rsidP="00952162">
      <w:pPr>
        <w:spacing w:before="120" w:after="120"/>
        <w:ind w:left="1417"/>
        <w:rPr>
          <w:rFonts w:eastAsia="Calibri"/>
          <w:noProof/>
          <w:szCs w:val="22"/>
          <w:lang w:val="bg-BG"/>
        </w:rPr>
      </w:pPr>
      <w:r w:rsidRPr="00952162">
        <w:rPr>
          <w:rFonts w:eastAsia="Calibri"/>
          <w:noProof/>
          <w:szCs w:val="22"/>
          <w:lang w:val="bg-BG"/>
        </w:rPr>
        <w:t>Смесват се 50 ml концентриран разтвор с 10 ml 0,5 M H</w:t>
      </w:r>
      <w:r w:rsidRPr="00952162">
        <w:rPr>
          <w:rFonts w:eastAsia="Calibri"/>
          <w:noProof/>
          <w:szCs w:val="22"/>
          <w:vertAlign w:val="subscript"/>
          <w:lang w:val="bg-BG"/>
        </w:rPr>
        <w:t>2</w:t>
      </w:r>
      <w:r w:rsidRPr="00952162">
        <w:rPr>
          <w:rFonts w:eastAsia="Calibri"/>
          <w:noProof/>
          <w:szCs w:val="22"/>
          <w:lang w:val="bg-BG"/>
        </w:rPr>
        <w:t>SO</w:t>
      </w:r>
      <w:r w:rsidRPr="00952162">
        <w:rPr>
          <w:rFonts w:eastAsia="Calibri"/>
          <w:noProof/>
          <w:szCs w:val="22"/>
          <w:vertAlign w:val="subscript"/>
          <w:lang w:val="bg-BG"/>
        </w:rPr>
        <w:t>4</w:t>
      </w:r>
      <w:r w:rsidRPr="00952162">
        <w:rPr>
          <w:rFonts w:eastAsia="Calibri"/>
          <w:noProof/>
          <w:szCs w:val="22"/>
          <w:lang w:val="bg-BG"/>
        </w:rPr>
        <w:t xml:space="preserve">  и се допълва с вода до 1000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3.2.13.</w:t>
      </w:r>
      <w:r w:rsidRPr="00952162">
        <w:rPr>
          <w:rFonts w:eastAsia="Calibri"/>
          <w:noProof/>
          <w:szCs w:val="22"/>
          <w:lang w:val="bg-BG"/>
        </w:rPr>
        <w:tab/>
        <w:t>Натриев хлорид за анализ</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3.2.14.</w:t>
      </w:r>
      <w:r w:rsidRPr="00952162">
        <w:rPr>
          <w:rFonts w:eastAsia="Calibri"/>
          <w:noProof/>
          <w:szCs w:val="22"/>
          <w:lang w:val="bg-BG"/>
        </w:rPr>
        <w:tab/>
        <w:t>Апарат за екстрахиране на повърхностноактивни вещества (виж фигура 5). Диаметърът на фритоващия диск (порьозния филтър) трябва да бъде равен на вътрешния диаметър на цилиндъра.</w:t>
      </w:r>
    </w:p>
    <w:p w:rsidR="00960D75" w:rsidRDefault="00960D75">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3.2.15.</w:t>
      </w:r>
      <w:r w:rsidRPr="00952162">
        <w:rPr>
          <w:rFonts w:eastAsia="Calibri"/>
          <w:noProof/>
          <w:szCs w:val="22"/>
          <w:lang w:val="bg-BG"/>
        </w:rPr>
        <w:tab/>
        <w:t>Декантираща колба от 250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3.2.16.</w:t>
      </w:r>
      <w:r w:rsidRPr="00952162">
        <w:rPr>
          <w:rFonts w:eastAsia="Calibri"/>
          <w:noProof/>
          <w:szCs w:val="22"/>
          <w:lang w:val="bg-BG"/>
        </w:rPr>
        <w:tab/>
        <w:t>Магнитна клатачна машина с магнит от 25–30 mm.</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3.2.17.</w:t>
      </w:r>
      <w:r w:rsidRPr="00952162">
        <w:rPr>
          <w:rFonts w:eastAsia="Calibri"/>
          <w:noProof/>
          <w:szCs w:val="22"/>
          <w:lang w:val="bg-BG"/>
        </w:rPr>
        <w:tab/>
        <w:t>Тигел на Гуч, диаметър на порьозния филтър = 25 mm, тип G4.</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3.2.18.</w:t>
      </w:r>
      <w:r w:rsidRPr="00952162">
        <w:rPr>
          <w:rFonts w:eastAsia="Calibri"/>
          <w:noProof/>
          <w:szCs w:val="22"/>
          <w:lang w:val="bg-BG"/>
        </w:rPr>
        <w:tab/>
        <w:t>Кръгли филтри от фибростъкло с диаметър 27 mm; диаметър на влакната: 0,3–1,5 μm.</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3.2.19.</w:t>
      </w:r>
      <w:r w:rsidRPr="00952162">
        <w:rPr>
          <w:rFonts w:eastAsia="Calibri"/>
          <w:noProof/>
          <w:szCs w:val="22"/>
          <w:lang w:val="bg-BG"/>
        </w:rPr>
        <w:tab/>
        <w:t>Две колби за вакуум с наставки и каучуков накрайник, с обем съответно 500 ml и 250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3.2.20.</w:t>
      </w:r>
      <w:r w:rsidRPr="00952162">
        <w:rPr>
          <w:rFonts w:eastAsia="Calibri"/>
          <w:noProof/>
          <w:szCs w:val="22"/>
          <w:lang w:val="bg-BG"/>
        </w:rPr>
        <w:tab/>
        <w:t>Регистриращ потенциометър, оборудван с отчитащ електрод от полирана платина и еталонен електрод от каломел (меркурохлорид) или сребро/сребърен хлорид, който позволява измервателен диапазон от 250 mV, и с автоматична бюрета с обем 20–25 ml, автоматично регулиране на нулевата точка или с ръчно устройство.</w:t>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t>3.3.</w:t>
      </w:r>
      <w:r w:rsidRPr="00952162">
        <w:rPr>
          <w:rFonts w:eastAsia="Calibri"/>
          <w:b/>
          <w:noProof/>
          <w:szCs w:val="22"/>
          <w:lang w:val="bg-BG"/>
        </w:rPr>
        <w:tab/>
        <w:t>Метод</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3.3.1.</w:t>
      </w:r>
      <w:r w:rsidRPr="00952162">
        <w:rPr>
          <w:rFonts w:eastAsia="Calibri"/>
          <w:i/>
          <w:noProof/>
          <w:szCs w:val="22"/>
          <w:lang w:val="bg-BG"/>
        </w:rPr>
        <w:tab/>
        <w:t>Концентрация и сепарация на повърхностноактивното вещество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Водната проба се филтрира през филтърна хартия за качествен химичен анализ. Отстраняват се началните 100 ml от филтрата.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В апарата за екстрахиране, който предварително е изплакнат с етилацетат, се поставя измерено по такъв начин количество от пробата, че тя да съдържа между 250 и 800 μg нейоногенно повърхностноактивно вещество.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За да се подобри сепарацията, се добавят 100 g натриев хлорид и 5 g сода бикарбонат.</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Ако обемът на пробата надвишава 500 ml, тези соли се добавят в твърда форма в апарата за екстрахиране и се разтварят чрез прекарване на азот или на въздух през апарата.</w:t>
      </w:r>
    </w:p>
    <w:p w:rsidR="00724C5A" w:rsidRDefault="00724C5A">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Ако се използва проба с по-редуциран обем, солите се разтварят в 400 ml вода, след това се прибавят в апарата за екстрахиране.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Добавя се вода, докато нивото достигне до горното кранче.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Добавят се внимателно 100 ml етилацетат на повърхността на водната фаза.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Напълва се до две трети промивното шишенце за пропускане на газа (азот или въздух) с етилацетат.</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В апарата се пропуска газ с дебит от 30-60 l/ч; препоръчва се използване на дебитомер. В началото степента на аерация трябва да нараства постепенно. Дебитът на газта се регулира по такъв начин, че фазите да се запазят разделени, така че да се ограничи до минимум смесването на фазите и на етилацетата във водата. Подаването на газ се прекъсва след пет минути.</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Ако обемът на органичната фаза спадне с повече от 20 % поради разтваряне във водата, операцията се повтаря, като се внимава особено много за дебита на подавания газ.</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Органичната фаза се излива в декантационна колба. В апарата за екстрахиране се прелива отново водата от водната фаза, която се оказва в декантационната колба (не би трябвало да има повече от няколко ml). Етилацетатната фаза се филтрира през сух хартиен филтър за качествен химичен анализ в бехерова чаша с обем 250 ml.</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Наливат се отново 100 ml етилацетат в апарата за екстрахиране и през апарата се прекарва азот или въздух в продължение на пет минути. Органичната фаза се прелива в декантационната колба, използвана за първата сепарация, отстранява се водната фаза и органичната фаза се прекарва през същия филтър. Декантационната колба и филтърът се изплакват с около 20 ml етилацетат.</w:t>
      </w:r>
    </w:p>
    <w:p w:rsidR="00724C5A" w:rsidRDefault="00724C5A">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Етилацетатовият екстракт се изпарява на водна баня (лабораторна смукателна камина) до пълно изсушаване. Насочва се леко въздушно течение по повърхността на разтвора, за да се ускори изпарението.</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3.3.2.</w:t>
      </w:r>
      <w:r w:rsidRPr="00952162">
        <w:rPr>
          <w:rFonts w:eastAsia="Calibri"/>
          <w:i/>
          <w:noProof/>
          <w:szCs w:val="22"/>
          <w:lang w:val="bg-BG"/>
        </w:rPr>
        <w:tab/>
        <w:t>Утаяване и филтриране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Разтваря се сухият остатък, визиран в точка 3.3.1, в 5 ml метанол, добавят се 40 ml вода и 0,5 ml разредена HCl (точка 3.2.3), и сместа се разклаща с магнитна клатачна машина.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Към този разтвор се добавят 30 ml от утайката (точка 3.2.6) с помощта на градуирана епруветка. Утайката се образува чрез разклащане. След разклащане в продължение на десет минути сместа се оставя да се успокои за не по-малко от пет минути.</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Сместа се филтрира в тигел на Гуч, чиято основа е покрита с филтър от фибростъкло. Първо се измива филтърът посредством изсмукване с около 2 ml ледена оцетна киселина. След това бехеровата чаша, магнитната пръчка и тигелът се измиват добре с ледена оцетна киселина (около 40-50 ml). Не е необходимо върху филтъра да се прехвърля цялото количество на утайката, която полепва по стените на бехеровата чаша, защото разтворът на утайката, предназначен за титруването, се връща в използваната за утаяване бехерова чаша, като оставащата утайка след това се разтваря.</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3.3.3.</w:t>
      </w:r>
      <w:r w:rsidRPr="00952162">
        <w:rPr>
          <w:rFonts w:eastAsia="Calibri"/>
          <w:i/>
          <w:noProof/>
          <w:szCs w:val="22"/>
          <w:lang w:val="bg-BG"/>
        </w:rPr>
        <w:tab/>
        <w:t>Разтваряне на утайката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Утайката във филтриращия тигел се разтваря чрез добавяне на загрят (около 80 °C) разтвор на амониев тартрат (точка 3.2.8) на три фракции по 10 ml. Всяка фракция се оставя да се успокои за няколко минути в тигела, преди да се извърши филтриране в колбата.</w:t>
      </w:r>
    </w:p>
    <w:p w:rsidR="00724C5A" w:rsidRDefault="00724C5A">
      <w:pPr>
        <w:jc w:val="left"/>
        <w:rPr>
          <w:rFonts w:eastAsia="Calibri"/>
          <w:noProof/>
          <w:szCs w:val="22"/>
          <w:lang w:val="bg-BG"/>
        </w:rPr>
      </w:pPr>
      <w:r>
        <w:rPr>
          <w:rFonts w:eastAsia="Calibri"/>
          <w:noProof/>
          <w:szCs w:val="22"/>
          <w:lang w:val="bg-BG"/>
        </w:rPr>
        <w:br w:type="page"/>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lastRenderedPageBreak/>
        <w:t>Излива се съдържанието на филтриращата колба в бехеровата чаша, използвана за утаяването. Стените на бехеровата чаша се изплакват с 20 ml с тартратен разтвор, за да се разтворят остатъците от утайката.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Тигелът, наставките и филтриращата колба се измиват грижливо със 150-200 ml вода, като водата от изплакването се връща в бехеровата чаша, използвана за утаяването.</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3.3.4.</w:t>
      </w:r>
      <w:r w:rsidRPr="00952162">
        <w:rPr>
          <w:rFonts w:eastAsia="Calibri"/>
          <w:i/>
          <w:noProof/>
          <w:szCs w:val="22"/>
          <w:lang w:val="bg-BG"/>
        </w:rPr>
        <w:tab/>
        <w:t>Титруване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Разтворът се разклаща с магнитна клатачна машина (точка 3.2.16), добавят се няколко капки пурпур на бромкрезол (точка 3.2.5) и разредения амонячен разтвор (точка 3.2.9) до получаване на виолетово оцветяване (отначало разтворът е леко киселинен поради остатъка от оцетната киселина, използвана при изплакването).</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След това се добавят 10 ml буферен ацетатен разтвор (точка 3.2.10), потапят се електродите в разтвора и се дозира потенциометрично с еталонния „карбаматен разтвор“ (точка 3.2.11), като краят на бюретата е потопен в разтвора.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Скоростта на титруване не трябва да надвишава 2 ml/min.</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Точката на еквивалентност представлява мястото на пресичане на тангентите на двете части на кривата на потенциала.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Понякога се констатира, че огъването на кривата на потенциала започва да намалява, като това може да се избегне чрез грижливо почистване на платинения електрод (чрез полиране с абразивна хартия).</w:t>
      </w:r>
    </w:p>
    <w:p w:rsidR="00724C5A" w:rsidRDefault="00724C5A">
      <w:pPr>
        <w:jc w:val="left"/>
        <w:rPr>
          <w:rFonts w:eastAsia="Calibri"/>
          <w:i/>
          <w:noProof/>
          <w:szCs w:val="22"/>
          <w:lang w:val="bg-BG"/>
        </w:rPr>
      </w:pPr>
      <w:r>
        <w:rPr>
          <w:rFonts w:eastAsia="Calibri"/>
          <w:i/>
          <w:noProof/>
          <w:szCs w:val="22"/>
          <w:lang w:val="bg-BG"/>
        </w:rPr>
        <w:br w:type="page"/>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lastRenderedPageBreak/>
        <w:t>3.3.5.</w:t>
      </w:r>
      <w:r w:rsidRPr="00952162">
        <w:rPr>
          <w:rFonts w:eastAsia="Calibri"/>
          <w:i/>
          <w:noProof/>
          <w:szCs w:val="22"/>
          <w:lang w:val="bg-BG"/>
        </w:rPr>
        <w:tab/>
        <w:t>Контролно измерване на дозата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Едновременно се извършва едно контролно измерване на дозата, като се съблюдава целият метод с 5 ml метанол и 40 ml вода, според указанията, посочени в точка 3.3.2. Контролното измерване на дозата трябва да даде резултат под 1 ml, в противен случай чистотата на реактивите (точка 3.2.3, 3.2.7, 3.2.8, 3.2.9, 3.2.10) е съмнителна (по-специално по отношение на съдържанието им на тежки метали) и ще бъде необходимо тяхното заменяне. При изчисляването на резултатите трябва да се държи сметка за извършеното контролно измерване на дозата.</w:t>
      </w:r>
    </w:p>
    <w:p w:rsidR="00952162" w:rsidRPr="00952162" w:rsidRDefault="00952162" w:rsidP="00952162">
      <w:pPr>
        <w:keepNext/>
        <w:tabs>
          <w:tab w:val="left" w:pos="850"/>
        </w:tabs>
        <w:spacing w:before="120" w:after="120"/>
        <w:ind w:left="850" w:hanging="850"/>
        <w:outlineLvl w:val="2"/>
        <w:rPr>
          <w:rFonts w:eastAsia="Calibri"/>
          <w:i/>
          <w:noProof/>
          <w:szCs w:val="22"/>
          <w:lang w:val="bg-BG"/>
        </w:rPr>
      </w:pPr>
      <w:r w:rsidRPr="00952162">
        <w:rPr>
          <w:rFonts w:eastAsia="Calibri"/>
          <w:i/>
          <w:noProof/>
          <w:szCs w:val="22"/>
          <w:lang w:val="bg-BG"/>
        </w:rPr>
        <w:t>3.3.6.</w:t>
      </w:r>
      <w:r w:rsidRPr="00952162">
        <w:rPr>
          <w:rFonts w:eastAsia="Calibri"/>
          <w:i/>
          <w:noProof/>
          <w:szCs w:val="22"/>
          <w:lang w:val="bg-BG"/>
        </w:rPr>
        <w:tab/>
        <w:t>Контрол на коефициента на „карбаматния разтвор“</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Всеки ден коефициентът на карбаматния разтвор се изчислява преди употреба. За целта се измерва дозата в 10 ml от еталонния разтвор на меден сулфат (точка 3.2.12) с „карбаматния разтвор“ след добавяне на 100 ml вода и 10 ml от буферния ацетатен разтвор (точка 3.2.10). Ако използваното количество е равно на a ml, коефициентът f се получава, както следва: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eastAsia="en-GB"/>
        </w:rPr>
        <w:drawing>
          <wp:inline distT="0" distB="0" distL="0" distR="0" wp14:anchorId="3F1E73B2" wp14:editId="0E4939F3">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952162" w:rsidRPr="00952162" w:rsidRDefault="00952162" w:rsidP="00952162">
      <w:pPr>
        <w:spacing w:before="120" w:after="120"/>
        <w:ind w:left="850"/>
        <w:rPr>
          <w:rFonts w:eastAsia="Calibri"/>
          <w:noProof/>
          <w:szCs w:val="22"/>
          <w:lang w:val="bg-BG"/>
        </w:rPr>
      </w:pP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и всички резултати от измерването на дозите се умножават по този коефициент.</w:t>
      </w:r>
    </w:p>
    <w:p w:rsidR="00724C5A" w:rsidRDefault="00724C5A">
      <w:pPr>
        <w:jc w:val="left"/>
        <w:rPr>
          <w:rFonts w:eastAsia="Calibri"/>
          <w:b/>
          <w:noProof/>
          <w:szCs w:val="22"/>
          <w:lang w:val="bg-BG"/>
        </w:rPr>
      </w:pPr>
      <w:r>
        <w:rPr>
          <w:rFonts w:eastAsia="Calibri"/>
          <w:b/>
          <w:noProof/>
          <w:szCs w:val="22"/>
          <w:lang w:val="bg-BG"/>
        </w:rPr>
        <w:br w:type="page"/>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lastRenderedPageBreak/>
        <w:t>3.4.</w:t>
      </w:r>
      <w:r w:rsidRPr="00952162">
        <w:rPr>
          <w:rFonts w:eastAsia="Calibri"/>
          <w:b/>
          <w:noProof/>
          <w:szCs w:val="22"/>
          <w:lang w:val="bg-BG"/>
        </w:rPr>
        <w:tab/>
        <w:t>Изчисляване на резултатите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Всяко нейоногенно повърхностноактивно вещество притежава собствен коефициент в зависимост от своя състав и по-специално от дължината на веригата на алкиленовия оксид. Концентрациите в нейоногенни повърхностноактивни вещества се изразяват по отношение на една еталонна субстанция – нонилфенол с десет единици етиленов оксид (NP 10) – за която коефициентът на конвертиране е равен на 0,054.</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Количеството на повърхностноактивно вещество в пробата се изразява с помощта на този коефициент, както следва:</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(b — c) × f × 0,054 = mg нейоногенно повърхностноактивно вещество, изразено в mg от еквивалент NP 10</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където:</w:t>
      </w:r>
    </w:p>
    <w:tbl>
      <w:tblPr>
        <w:tblW w:w="0" w:type="auto"/>
        <w:tblInd w:w="1532" w:type="dxa"/>
        <w:tblLayout w:type="fixed"/>
        <w:tblLook w:val="0000" w:firstRow="0" w:lastRow="0" w:firstColumn="0" w:lastColumn="0" w:noHBand="0" w:noVBand="0"/>
      </w:tblPr>
      <w:tblGrid>
        <w:gridCol w:w="560"/>
        <w:gridCol w:w="560"/>
        <w:gridCol w:w="5102"/>
      </w:tblGrid>
      <w:tr w:rsidR="00952162" w:rsidRPr="00D46023" w:rsidTr="008A6BB8">
        <w:tc>
          <w:tcPr>
            <w:tcW w:w="5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b</w:t>
            </w:r>
          </w:p>
        </w:tc>
        <w:tc>
          <w:tcPr>
            <w:tcW w:w="5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w:t>
            </w:r>
          </w:p>
        </w:tc>
        <w:tc>
          <w:tcPr>
            <w:tcW w:w="5102"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обема на „карбаматния разтвор“, използван за пробата (ml),</w:t>
            </w:r>
          </w:p>
        </w:tc>
      </w:tr>
      <w:tr w:rsidR="00952162" w:rsidRPr="00D46023" w:rsidTr="008A6BB8">
        <w:tc>
          <w:tcPr>
            <w:tcW w:w="5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c</w:t>
            </w:r>
          </w:p>
        </w:tc>
        <w:tc>
          <w:tcPr>
            <w:tcW w:w="5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w:t>
            </w:r>
          </w:p>
        </w:tc>
        <w:tc>
          <w:tcPr>
            <w:tcW w:w="5102"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обема на „карбаматния разтвор“, използван за контролното определяне на дозата (ml),</w:t>
            </w:r>
          </w:p>
        </w:tc>
      </w:tr>
      <w:tr w:rsidR="00952162" w:rsidRPr="00952162" w:rsidTr="008A6BB8">
        <w:tc>
          <w:tcPr>
            <w:tcW w:w="5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f</w:t>
            </w:r>
          </w:p>
        </w:tc>
        <w:tc>
          <w:tcPr>
            <w:tcW w:w="5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w:t>
            </w:r>
          </w:p>
        </w:tc>
        <w:tc>
          <w:tcPr>
            <w:tcW w:w="5102"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spacing w:before="120" w:after="120"/>
              <w:jc w:val="left"/>
              <w:rPr>
                <w:rFonts w:eastAsia="Calibri"/>
                <w:noProof/>
                <w:szCs w:val="22"/>
                <w:lang w:val="bg-BG"/>
              </w:rPr>
            </w:pPr>
            <w:r w:rsidRPr="00952162">
              <w:rPr>
                <w:rFonts w:eastAsia="Calibri"/>
                <w:noProof/>
                <w:szCs w:val="22"/>
                <w:lang w:val="bg-BG"/>
              </w:rPr>
              <w:t>коефициент на „карбаматния разтвор“.</w:t>
            </w:r>
          </w:p>
        </w:tc>
      </w:tr>
    </w:tbl>
    <w:p w:rsidR="00952162" w:rsidRPr="00952162" w:rsidRDefault="00952162" w:rsidP="00952162">
      <w:pPr>
        <w:widowControl w:val="0"/>
        <w:spacing w:before="120" w:after="120" w:line="360" w:lineRule="auto"/>
        <w:jc w:val="left"/>
        <w:rPr>
          <w:rFonts w:eastAsia="Times New Roman"/>
          <w:noProof/>
        </w:rPr>
      </w:pPr>
    </w:p>
    <w:p w:rsidR="00724C5A" w:rsidRDefault="00724C5A">
      <w:pPr>
        <w:jc w:val="left"/>
        <w:rPr>
          <w:rFonts w:eastAsia="Calibri"/>
          <w:b/>
          <w:noProof/>
          <w:szCs w:val="22"/>
          <w:lang w:val="bg-BG"/>
        </w:rPr>
      </w:pPr>
      <w:r>
        <w:rPr>
          <w:rFonts w:eastAsia="Calibri"/>
          <w:b/>
          <w:noProof/>
          <w:szCs w:val="22"/>
          <w:lang w:val="bg-BG"/>
        </w:rPr>
        <w:br w:type="page"/>
      </w:r>
    </w:p>
    <w:p w:rsidR="00952162" w:rsidRPr="00952162" w:rsidRDefault="00952162" w:rsidP="00952162">
      <w:pPr>
        <w:keepNext/>
        <w:tabs>
          <w:tab w:val="left" w:pos="850"/>
        </w:tabs>
        <w:spacing w:before="120" w:after="120"/>
        <w:ind w:left="851" w:hanging="851"/>
        <w:outlineLvl w:val="1"/>
        <w:rPr>
          <w:rFonts w:eastAsia="Calibri"/>
          <w:b/>
          <w:noProof/>
          <w:szCs w:val="22"/>
          <w:lang w:val="bg-BG"/>
        </w:rPr>
      </w:pPr>
      <w:r w:rsidRPr="00952162">
        <w:rPr>
          <w:rFonts w:eastAsia="Calibri"/>
          <w:b/>
          <w:noProof/>
          <w:szCs w:val="22"/>
          <w:lang w:val="bg-BG"/>
        </w:rPr>
        <w:lastRenderedPageBreak/>
        <w:t>3.5.</w:t>
      </w:r>
      <w:r w:rsidRPr="00952162">
        <w:rPr>
          <w:rFonts w:eastAsia="Calibri"/>
          <w:b/>
          <w:noProof/>
          <w:szCs w:val="22"/>
          <w:lang w:val="bg-BG"/>
        </w:rPr>
        <w:tab/>
        <w:t>Изразяване на резултатите</w:t>
      </w:r>
    </w:p>
    <w:p w:rsidR="00952162" w:rsidRPr="00952162" w:rsidRDefault="00952162" w:rsidP="00952162">
      <w:pPr>
        <w:spacing w:before="120" w:after="120"/>
        <w:ind w:left="850"/>
        <w:rPr>
          <w:rFonts w:eastAsia="Calibri"/>
          <w:noProof/>
          <w:szCs w:val="22"/>
          <w:lang w:val="bg-BG"/>
        </w:rPr>
      </w:pPr>
      <w:r w:rsidRPr="00952162">
        <w:rPr>
          <w:rFonts w:eastAsia="Calibri"/>
          <w:noProof/>
          <w:szCs w:val="22"/>
          <w:lang w:val="bg-BG"/>
        </w:rPr>
        <w:t>Резултатите се изразяват в mg/l, във вид на еквивалент NP 10 с точност до 0,1 mg.</w:t>
      </w:r>
    </w:p>
    <w:p w:rsidR="00952162" w:rsidRPr="00B66D7F" w:rsidRDefault="00952162" w:rsidP="00952162">
      <w:pPr>
        <w:widowControl w:val="0"/>
        <w:spacing w:before="120" w:after="120" w:line="360" w:lineRule="auto"/>
        <w:jc w:val="left"/>
        <w:rPr>
          <w:rFonts w:eastAsia="Times New Roman"/>
          <w:noProof/>
          <w:lang w:val="bg-BG"/>
        </w:rPr>
      </w:pPr>
    </w:p>
    <w:p w:rsidR="00952162" w:rsidRPr="00952162" w:rsidRDefault="00952162" w:rsidP="00952162">
      <w:pPr>
        <w:keepNext/>
        <w:spacing w:after="200"/>
        <w:jc w:val="center"/>
        <w:rPr>
          <w:rFonts w:eastAsia="Calibri"/>
          <w:i/>
          <w:iCs/>
          <w:noProof/>
          <w:color w:val="1F497D"/>
          <w:sz w:val="18"/>
          <w:szCs w:val="18"/>
          <w:lang w:val="bg-BG"/>
        </w:rPr>
      </w:pPr>
      <w:r w:rsidRPr="00952162">
        <w:rPr>
          <w:rFonts w:eastAsia="Calibri"/>
          <w:i/>
          <w:iCs/>
          <w:noProof/>
          <w:color w:val="1F497D"/>
          <w:sz w:val="18"/>
          <w:szCs w:val="18"/>
          <w:lang w:val="bg-BG"/>
        </w:rPr>
        <w:t xml:space="preserve">Фигура </w:t>
      </w:r>
      <w:r w:rsidRPr="00952162">
        <w:rPr>
          <w:rFonts w:eastAsia="Calibri"/>
          <w:i/>
          <w:iCs/>
          <w:noProof/>
          <w:color w:val="1F497D"/>
          <w:sz w:val="18"/>
          <w:szCs w:val="18"/>
          <w:lang w:val="bg-BG"/>
        </w:rPr>
        <w:fldChar w:fldCharType="begin"/>
      </w:r>
      <w:r w:rsidRPr="00952162">
        <w:rPr>
          <w:rFonts w:eastAsia="Calibri"/>
          <w:i/>
          <w:iCs/>
          <w:noProof/>
          <w:color w:val="1F497D"/>
          <w:sz w:val="18"/>
          <w:szCs w:val="18"/>
          <w:lang w:val="bg-BG"/>
        </w:rPr>
        <w:instrText xml:space="preserve"> SEQ Figure \* ARABIC </w:instrText>
      </w:r>
      <w:r w:rsidRPr="00952162">
        <w:rPr>
          <w:rFonts w:eastAsia="Calibri"/>
          <w:i/>
          <w:iCs/>
          <w:noProof/>
          <w:color w:val="1F497D"/>
          <w:sz w:val="18"/>
          <w:szCs w:val="18"/>
          <w:lang w:val="bg-BG"/>
        </w:rPr>
        <w:fldChar w:fldCharType="separate"/>
      </w:r>
      <w:r w:rsidRPr="00952162">
        <w:rPr>
          <w:rFonts w:eastAsia="Calibri"/>
          <w:i/>
          <w:iCs/>
          <w:noProof/>
          <w:color w:val="1F497D"/>
          <w:sz w:val="18"/>
          <w:szCs w:val="18"/>
          <w:lang w:val="bg-BG"/>
        </w:rPr>
        <w:t>1</w:t>
      </w:r>
      <w:r w:rsidRPr="00952162">
        <w:rPr>
          <w:rFonts w:eastAsia="Calibri"/>
          <w:i/>
          <w:iCs/>
          <w:noProof/>
          <w:color w:val="1F497D"/>
          <w:sz w:val="18"/>
          <w:szCs w:val="18"/>
          <w:lang w:val="bg-BG"/>
        </w:rPr>
        <w:fldChar w:fldCharType="end"/>
      </w:r>
      <w:r w:rsidRPr="00952162">
        <w:rPr>
          <w:rFonts w:eastAsia="Calibri"/>
          <w:i/>
          <w:iCs/>
          <w:noProof/>
          <w:color w:val="1F497D"/>
          <w:sz w:val="18"/>
          <w:szCs w:val="18"/>
          <w:lang w:val="bg-BG"/>
        </w:rPr>
        <w:t xml:space="preserve"> Инсталация за активна утайка: общ изглед</w:t>
      </w:r>
    </w:p>
    <w:p w:rsidR="00952162" w:rsidRPr="00952162" w:rsidRDefault="00952162" w:rsidP="00952162">
      <w:pPr>
        <w:widowControl w:val="0"/>
        <w:spacing w:before="120" w:after="120" w:line="360" w:lineRule="auto"/>
        <w:jc w:val="center"/>
        <w:rPr>
          <w:rFonts w:eastAsia="Times New Roman"/>
          <w:noProof/>
        </w:rPr>
      </w:pPr>
      <w:r w:rsidRPr="00952162">
        <w:rPr>
          <w:rFonts w:eastAsia="Times New Roman"/>
          <w:noProof/>
          <w:lang w:eastAsia="en-GB"/>
        </w:rPr>
        <w:drawing>
          <wp:inline distT="0" distB="0" distL="0" distR="0" wp14:anchorId="2A40E14A" wp14:editId="160FAEB3">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1355" cy="4105910"/>
                    </a:xfrm>
                    <a:prstGeom prst="rect">
                      <a:avLst/>
                    </a:prstGeom>
                  </pic:spPr>
                </pic:pic>
              </a:graphicData>
            </a:graphic>
          </wp:inline>
        </w:drawing>
      </w:r>
    </w:p>
    <w:p w:rsidR="00724C5A" w:rsidRDefault="00724C5A">
      <w:pPr>
        <w:jc w:val="left"/>
        <w:rPr>
          <w:rFonts w:eastAsia="Times New Roman"/>
          <w:noProof/>
        </w:rPr>
      </w:pPr>
      <w:r>
        <w:rPr>
          <w:rFonts w:eastAsia="Times New Roman"/>
          <w:noProof/>
        </w:rPr>
        <w:br w:type="page"/>
      </w:r>
    </w:p>
    <w:p w:rsidR="00952162" w:rsidRPr="00952162" w:rsidRDefault="00952162" w:rsidP="00952162">
      <w:pPr>
        <w:widowControl w:val="0"/>
        <w:spacing w:before="120" w:after="120" w:line="360" w:lineRule="auto"/>
        <w:jc w:val="center"/>
        <w:rPr>
          <w:rFonts w:eastAsia="Times New Roman"/>
          <w:noProof/>
        </w:rPr>
      </w:pPr>
    </w:p>
    <w:tbl>
      <w:tblPr>
        <w:tblW w:w="0" w:type="auto"/>
        <w:tblInd w:w="2043" w:type="dxa"/>
        <w:tblLayout w:type="fixed"/>
        <w:tblLook w:val="0000" w:firstRow="0" w:lastRow="0" w:firstColumn="0" w:lastColumn="0" w:noHBand="0" w:noVBand="0"/>
      </w:tblPr>
      <w:tblGrid>
        <w:gridCol w:w="624"/>
        <w:gridCol w:w="4160"/>
      </w:tblGrid>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А</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Събирателен съд</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B</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Дозаторна помпа</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C</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Съд за аерация (вместимост: три литра)</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D</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Съд за декантиране</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E</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Помпа за сгъстен въздух</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F</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Колектор</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G</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Аератор (фритовано стъкло)</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Н</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Дебитомер за въздух</w:t>
            </w:r>
          </w:p>
        </w:tc>
      </w:tr>
      <w:tr w:rsidR="00952162" w:rsidRPr="00952162" w:rsidTr="008A6BB8">
        <w:tc>
          <w:tcPr>
            <w:tcW w:w="62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I</w:t>
            </w:r>
          </w:p>
        </w:tc>
        <w:tc>
          <w:tcPr>
            <w:tcW w:w="4160"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Въздух</w:t>
            </w:r>
          </w:p>
        </w:tc>
      </w:tr>
    </w:tbl>
    <w:p w:rsidR="00952162" w:rsidRPr="00952162" w:rsidRDefault="00952162" w:rsidP="00952162">
      <w:pPr>
        <w:autoSpaceDE w:val="0"/>
        <w:autoSpaceDN w:val="0"/>
        <w:adjustRightInd w:val="0"/>
        <w:spacing w:before="60" w:after="60"/>
        <w:jc w:val="left"/>
        <w:rPr>
          <w:rFonts w:eastAsia="Calibri"/>
          <w:noProof/>
          <w:color w:val="000000"/>
          <w:lang w:val="bg-BG"/>
        </w:rPr>
      </w:pPr>
    </w:p>
    <w:p w:rsidR="00952162" w:rsidRPr="00952162" w:rsidRDefault="00952162" w:rsidP="00952162">
      <w:pPr>
        <w:keepNext/>
        <w:spacing w:after="200"/>
        <w:jc w:val="center"/>
        <w:rPr>
          <w:rFonts w:eastAsia="Calibri"/>
          <w:i/>
          <w:iCs/>
          <w:noProof/>
          <w:color w:val="1F497D"/>
          <w:sz w:val="18"/>
          <w:szCs w:val="18"/>
          <w:lang w:val="bg-BG"/>
        </w:rPr>
      </w:pPr>
      <w:r w:rsidRPr="00952162">
        <w:rPr>
          <w:rFonts w:eastAsia="Calibri"/>
          <w:i/>
          <w:iCs/>
          <w:noProof/>
          <w:color w:val="1F497D"/>
          <w:sz w:val="18"/>
          <w:szCs w:val="18"/>
          <w:lang w:val="bg-BG"/>
        </w:rPr>
        <w:lastRenderedPageBreak/>
        <w:t xml:space="preserve">Фигура </w:t>
      </w:r>
      <w:r w:rsidRPr="00952162">
        <w:rPr>
          <w:rFonts w:eastAsia="Calibri"/>
          <w:i/>
          <w:iCs/>
          <w:noProof/>
          <w:color w:val="1F497D"/>
          <w:sz w:val="18"/>
          <w:szCs w:val="18"/>
          <w:lang w:val="bg-BG"/>
        </w:rPr>
        <w:fldChar w:fldCharType="begin"/>
      </w:r>
      <w:r w:rsidRPr="00952162">
        <w:rPr>
          <w:rFonts w:eastAsia="Calibri"/>
          <w:i/>
          <w:iCs/>
          <w:noProof/>
          <w:color w:val="1F497D"/>
          <w:sz w:val="18"/>
          <w:szCs w:val="18"/>
          <w:lang w:val="bg-BG"/>
        </w:rPr>
        <w:instrText xml:space="preserve"> SEQ Figure \* ARABIC </w:instrText>
      </w:r>
      <w:r w:rsidRPr="00952162">
        <w:rPr>
          <w:rFonts w:eastAsia="Calibri"/>
          <w:i/>
          <w:iCs/>
          <w:noProof/>
          <w:color w:val="1F497D"/>
          <w:sz w:val="18"/>
          <w:szCs w:val="18"/>
          <w:lang w:val="bg-BG"/>
        </w:rPr>
        <w:fldChar w:fldCharType="separate"/>
      </w:r>
      <w:r w:rsidRPr="00952162">
        <w:rPr>
          <w:rFonts w:eastAsia="Calibri"/>
          <w:i/>
          <w:iCs/>
          <w:noProof/>
          <w:color w:val="1F497D"/>
          <w:sz w:val="18"/>
          <w:szCs w:val="18"/>
          <w:lang w:val="bg-BG"/>
        </w:rPr>
        <w:t>2</w:t>
      </w:r>
      <w:r w:rsidRPr="00952162">
        <w:rPr>
          <w:rFonts w:eastAsia="Calibri"/>
          <w:i/>
          <w:iCs/>
          <w:noProof/>
          <w:color w:val="1F497D"/>
          <w:sz w:val="18"/>
          <w:szCs w:val="18"/>
          <w:lang w:val="bg-BG"/>
        </w:rPr>
        <w:fldChar w:fldCharType="end"/>
      </w:r>
      <w:r w:rsidRPr="00952162">
        <w:rPr>
          <w:rFonts w:eastAsia="Calibri"/>
          <w:i/>
          <w:iCs/>
          <w:noProof/>
          <w:color w:val="1F497D"/>
          <w:sz w:val="18"/>
          <w:szCs w:val="18"/>
          <w:lang w:val="bg-BG"/>
        </w:rPr>
        <w:t xml:space="preserve"> Инсталация за активна утайка: детайл (размери в милиметри)</w:t>
      </w:r>
    </w:p>
    <w:p w:rsidR="00952162" w:rsidRPr="00952162" w:rsidRDefault="00952162" w:rsidP="00952162">
      <w:pPr>
        <w:widowControl w:val="0"/>
        <w:spacing w:before="120" w:after="120" w:line="360" w:lineRule="auto"/>
        <w:jc w:val="center"/>
        <w:rPr>
          <w:rFonts w:eastAsia="Times New Roman"/>
          <w:noProof/>
        </w:rPr>
      </w:pPr>
      <w:r w:rsidRPr="00952162">
        <w:rPr>
          <w:rFonts w:eastAsia="Times New Roman"/>
          <w:noProof/>
          <w:lang w:eastAsia="en-GB"/>
        </w:rPr>
        <w:drawing>
          <wp:inline distT="0" distB="0" distL="0" distR="0" wp14:anchorId="72ADC232" wp14:editId="0EFFE8B6">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9571" cy="5723821"/>
                    </a:xfrm>
                    <a:prstGeom prst="rect">
                      <a:avLst/>
                    </a:prstGeom>
                  </pic:spPr>
                </pic:pic>
              </a:graphicData>
            </a:graphic>
          </wp:inline>
        </w:drawing>
      </w:r>
    </w:p>
    <w:p w:rsidR="00952162" w:rsidRPr="00952162" w:rsidRDefault="00952162" w:rsidP="00952162">
      <w:pPr>
        <w:widowControl w:val="0"/>
        <w:spacing w:before="120" w:after="120" w:line="360" w:lineRule="auto"/>
        <w:jc w:val="center"/>
        <w:rPr>
          <w:rFonts w:eastAsia="Times New Roman"/>
          <w:noProof/>
        </w:rPr>
      </w:pPr>
    </w:p>
    <w:p w:rsidR="00724C5A" w:rsidRDefault="00724C5A">
      <w:pPr>
        <w:jc w:val="left"/>
        <w:rPr>
          <w:rFonts w:eastAsia="Times New Roman"/>
          <w:noProof/>
        </w:rPr>
      </w:pPr>
      <w:r>
        <w:rPr>
          <w:rFonts w:eastAsia="Times New Roman"/>
          <w:noProof/>
        </w:rPr>
        <w:br w:type="page"/>
      </w:r>
    </w:p>
    <w:p w:rsidR="00952162" w:rsidRPr="00952162" w:rsidRDefault="00952162" w:rsidP="00952162">
      <w:pPr>
        <w:widowControl w:val="0"/>
        <w:spacing w:before="120" w:after="120" w:line="360" w:lineRule="auto"/>
        <w:jc w:val="center"/>
        <w:rPr>
          <w:rFonts w:eastAsia="Times New Roman"/>
          <w:noProof/>
        </w:rPr>
      </w:pPr>
    </w:p>
    <w:tbl>
      <w:tblPr>
        <w:tblW w:w="0" w:type="auto"/>
        <w:tblInd w:w="2089" w:type="dxa"/>
        <w:tblLayout w:type="fixed"/>
        <w:tblLook w:val="0000" w:firstRow="0" w:lastRow="0" w:firstColumn="0" w:lastColumn="0" w:noHBand="0" w:noVBand="0"/>
      </w:tblPr>
      <w:tblGrid>
        <w:gridCol w:w="613"/>
        <w:gridCol w:w="4086"/>
      </w:tblGrid>
      <w:tr w:rsidR="00952162" w:rsidRPr="00952162" w:rsidTr="008A6BB8">
        <w:tc>
          <w:tcPr>
            <w:tcW w:w="61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А</w:t>
            </w:r>
          </w:p>
        </w:tc>
        <w:tc>
          <w:tcPr>
            <w:tcW w:w="4086"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Ниво на течността</w:t>
            </w:r>
          </w:p>
        </w:tc>
      </w:tr>
      <w:tr w:rsidR="00952162" w:rsidRPr="00952162" w:rsidTr="008A6BB8">
        <w:tc>
          <w:tcPr>
            <w:tcW w:w="61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B</w:t>
            </w:r>
          </w:p>
        </w:tc>
        <w:tc>
          <w:tcPr>
            <w:tcW w:w="4086"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Твърдо PVC</w:t>
            </w:r>
          </w:p>
        </w:tc>
      </w:tr>
      <w:tr w:rsidR="00952162" w:rsidRPr="00952162" w:rsidTr="008A6BB8">
        <w:tc>
          <w:tcPr>
            <w:tcW w:w="61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C</w:t>
            </w:r>
          </w:p>
        </w:tc>
        <w:tc>
          <w:tcPr>
            <w:tcW w:w="4086"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Стъкло или пластмасов материал, устойчив на вода (твърдо PVC)</w:t>
            </w:r>
          </w:p>
        </w:tc>
      </w:tr>
    </w:tbl>
    <w:p w:rsidR="00952162" w:rsidRPr="00952162" w:rsidRDefault="00952162" w:rsidP="00952162">
      <w:pPr>
        <w:widowControl w:val="0"/>
        <w:spacing w:before="120" w:after="120" w:line="360" w:lineRule="auto"/>
        <w:jc w:val="center"/>
        <w:rPr>
          <w:rFonts w:eastAsia="Times New Roman"/>
          <w:noProof/>
        </w:rPr>
      </w:pPr>
    </w:p>
    <w:p w:rsidR="00724C5A" w:rsidRDefault="00724C5A">
      <w:pPr>
        <w:jc w:val="left"/>
        <w:rPr>
          <w:rFonts w:eastAsia="Calibri"/>
          <w:i/>
          <w:iCs/>
          <w:noProof/>
          <w:color w:val="1F497D"/>
          <w:sz w:val="18"/>
          <w:szCs w:val="18"/>
          <w:lang w:val="bg-BG"/>
        </w:rPr>
      </w:pPr>
      <w:r>
        <w:rPr>
          <w:rFonts w:eastAsia="Calibri"/>
          <w:i/>
          <w:iCs/>
          <w:noProof/>
          <w:color w:val="1F497D"/>
          <w:sz w:val="18"/>
          <w:szCs w:val="18"/>
          <w:lang w:val="bg-BG"/>
        </w:rPr>
        <w:br w:type="page"/>
      </w:r>
    </w:p>
    <w:p w:rsidR="00952162" w:rsidRPr="00952162" w:rsidRDefault="00952162" w:rsidP="00952162">
      <w:pPr>
        <w:keepNext/>
        <w:spacing w:after="200"/>
        <w:jc w:val="center"/>
        <w:rPr>
          <w:rFonts w:eastAsia="Calibri"/>
          <w:i/>
          <w:iCs/>
          <w:noProof/>
          <w:color w:val="1F497D"/>
          <w:sz w:val="18"/>
          <w:szCs w:val="18"/>
          <w:lang w:val="bg-BG"/>
        </w:rPr>
      </w:pPr>
      <w:r w:rsidRPr="00952162">
        <w:rPr>
          <w:rFonts w:eastAsia="Calibri"/>
          <w:i/>
          <w:iCs/>
          <w:noProof/>
          <w:color w:val="1F497D"/>
          <w:sz w:val="18"/>
          <w:szCs w:val="18"/>
          <w:lang w:val="bg-BG"/>
        </w:rPr>
        <w:lastRenderedPageBreak/>
        <w:t xml:space="preserve">Фигура </w:t>
      </w:r>
      <w:r w:rsidRPr="00952162">
        <w:rPr>
          <w:rFonts w:eastAsia="Calibri"/>
          <w:i/>
          <w:iCs/>
          <w:noProof/>
          <w:color w:val="1F497D"/>
          <w:sz w:val="18"/>
          <w:szCs w:val="18"/>
          <w:lang w:val="bg-BG"/>
        </w:rPr>
        <w:fldChar w:fldCharType="begin"/>
      </w:r>
      <w:r w:rsidRPr="00952162">
        <w:rPr>
          <w:rFonts w:eastAsia="Calibri"/>
          <w:i/>
          <w:iCs/>
          <w:noProof/>
          <w:color w:val="1F497D"/>
          <w:sz w:val="18"/>
          <w:szCs w:val="18"/>
          <w:lang w:val="bg-BG"/>
        </w:rPr>
        <w:instrText xml:space="preserve"> SEQ Figure \* ARABIC </w:instrText>
      </w:r>
      <w:r w:rsidRPr="00952162">
        <w:rPr>
          <w:rFonts w:eastAsia="Calibri"/>
          <w:i/>
          <w:iCs/>
          <w:noProof/>
          <w:color w:val="1F497D"/>
          <w:sz w:val="18"/>
          <w:szCs w:val="18"/>
          <w:lang w:val="bg-BG"/>
        </w:rPr>
        <w:fldChar w:fldCharType="separate"/>
      </w:r>
      <w:r w:rsidRPr="00952162">
        <w:rPr>
          <w:rFonts w:eastAsia="Calibri"/>
          <w:i/>
          <w:iCs/>
          <w:noProof/>
          <w:color w:val="1F497D"/>
          <w:sz w:val="18"/>
          <w:szCs w:val="18"/>
          <w:lang w:val="bg-BG"/>
        </w:rPr>
        <w:t>3</w:t>
      </w:r>
      <w:r w:rsidRPr="00952162">
        <w:rPr>
          <w:rFonts w:eastAsia="Calibri"/>
          <w:i/>
          <w:iCs/>
          <w:noProof/>
          <w:color w:val="1F497D"/>
          <w:sz w:val="18"/>
          <w:szCs w:val="18"/>
          <w:lang w:val="bg-BG"/>
        </w:rPr>
        <w:fldChar w:fldCharType="end"/>
      </w:r>
      <w:r w:rsidRPr="00952162">
        <w:rPr>
          <w:rFonts w:eastAsia="Calibri"/>
          <w:i/>
          <w:iCs/>
          <w:noProof/>
          <w:color w:val="1F497D"/>
          <w:sz w:val="18"/>
          <w:szCs w:val="18"/>
          <w:lang w:val="bg-BG"/>
        </w:rPr>
        <w:t xml:space="preserve"> Изчисляване на биоразградимостта – тест за потвърждение</w:t>
      </w:r>
    </w:p>
    <w:p w:rsidR="00724C5A" w:rsidRDefault="00952162" w:rsidP="00952162">
      <w:pPr>
        <w:widowControl w:val="0"/>
        <w:spacing w:before="120" w:after="120" w:line="360" w:lineRule="auto"/>
        <w:jc w:val="center"/>
        <w:rPr>
          <w:rFonts w:eastAsia="Times New Roman"/>
          <w:noProof/>
        </w:rPr>
      </w:pPr>
      <w:r w:rsidRPr="00952162">
        <w:rPr>
          <w:rFonts w:eastAsia="Times New Roman"/>
          <w:noProof/>
          <w:lang w:eastAsia="en-GB"/>
        </w:rPr>
        <w:drawing>
          <wp:inline distT="0" distB="0" distL="0" distR="0" wp14:anchorId="0A8F3B01" wp14:editId="33D74146">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72974" cy="6202893"/>
                    </a:xfrm>
                    <a:prstGeom prst="rect">
                      <a:avLst/>
                    </a:prstGeom>
                  </pic:spPr>
                </pic:pic>
              </a:graphicData>
            </a:graphic>
          </wp:inline>
        </w:drawing>
      </w:r>
    </w:p>
    <w:p w:rsidR="00724C5A" w:rsidRDefault="00724C5A">
      <w:pPr>
        <w:jc w:val="left"/>
        <w:rPr>
          <w:rFonts w:eastAsia="Times New Roman"/>
          <w:noProof/>
        </w:rPr>
      </w:pPr>
      <w:r>
        <w:rPr>
          <w:rFonts w:eastAsia="Times New Roman"/>
          <w:noProof/>
        </w:rPr>
        <w:br w:type="page"/>
      </w:r>
    </w:p>
    <w:p w:rsidR="00952162" w:rsidRPr="00952162" w:rsidRDefault="00952162" w:rsidP="00952162">
      <w:pPr>
        <w:widowControl w:val="0"/>
        <w:spacing w:before="120" w:after="120" w:line="360" w:lineRule="auto"/>
        <w:jc w:val="center"/>
        <w:rPr>
          <w:rFonts w:eastAsia="Times New Roman"/>
          <w:noProof/>
        </w:rPr>
      </w:pPr>
    </w:p>
    <w:tbl>
      <w:tblPr>
        <w:tblW w:w="0" w:type="auto"/>
        <w:tblInd w:w="1811" w:type="dxa"/>
        <w:tblLayout w:type="fixed"/>
        <w:tblLook w:val="0000" w:firstRow="0" w:lastRow="0" w:firstColumn="0" w:lastColumn="0" w:noHBand="0" w:noVBand="0"/>
      </w:tblPr>
      <w:tblGrid>
        <w:gridCol w:w="623"/>
        <w:gridCol w:w="4644"/>
      </w:tblGrid>
      <w:tr w:rsidR="00952162" w:rsidRPr="00952162" w:rsidTr="008A6BB8">
        <w:tc>
          <w:tcPr>
            <w:tcW w:w="62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А</w:t>
            </w:r>
          </w:p>
        </w:tc>
        <w:tc>
          <w:tcPr>
            <w:tcW w:w="464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Начален период</w:t>
            </w:r>
          </w:p>
        </w:tc>
      </w:tr>
      <w:tr w:rsidR="00952162" w:rsidRPr="00952162" w:rsidTr="008A6BB8">
        <w:tc>
          <w:tcPr>
            <w:tcW w:w="62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B</w:t>
            </w:r>
          </w:p>
        </w:tc>
        <w:tc>
          <w:tcPr>
            <w:tcW w:w="464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Период, използван за изчислението (двадесет и един дни)</w:t>
            </w:r>
          </w:p>
        </w:tc>
      </w:tr>
      <w:tr w:rsidR="00952162" w:rsidRPr="00952162" w:rsidTr="008A6BB8">
        <w:tc>
          <w:tcPr>
            <w:tcW w:w="62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C</w:t>
            </w:r>
          </w:p>
        </w:tc>
        <w:tc>
          <w:tcPr>
            <w:tcW w:w="464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Лесно биоразградимо повърхностноактивно вещество</w:t>
            </w:r>
          </w:p>
        </w:tc>
      </w:tr>
      <w:tr w:rsidR="00952162" w:rsidRPr="00952162" w:rsidTr="008A6BB8">
        <w:tc>
          <w:tcPr>
            <w:tcW w:w="62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D</w:t>
            </w:r>
          </w:p>
        </w:tc>
        <w:tc>
          <w:tcPr>
            <w:tcW w:w="464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Повърхностноактивно вещество, което не е лесно биоразградимо</w:t>
            </w:r>
          </w:p>
        </w:tc>
      </w:tr>
      <w:tr w:rsidR="00952162" w:rsidRPr="00952162" w:rsidTr="008A6BB8">
        <w:tc>
          <w:tcPr>
            <w:tcW w:w="62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E</w:t>
            </w:r>
          </w:p>
        </w:tc>
        <w:tc>
          <w:tcPr>
            <w:tcW w:w="464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Биоразграждане (%)</w:t>
            </w:r>
          </w:p>
        </w:tc>
      </w:tr>
      <w:tr w:rsidR="00952162" w:rsidRPr="00952162" w:rsidTr="008A6BB8">
        <w:tc>
          <w:tcPr>
            <w:tcW w:w="623"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F</w:t>
            </w:r>
          </w:p>
        </w:tc>
        <w:tc>
          <w:tcPr>
            <w:tcW w:w="4644" w:type="dxa"/>
            <w:tcBorders>
              <w:top w:val="single" w:sz="2" w:space="0" w:color="auto"/>
              <w:left w:val="single" w:sz="2" w:space="0" w:color="auto"/>
              <w:bottom w:val="single" w:sz="2" w:space="0" w:color="auto"/>
              <w:right w:val="single" w:sz="2" w:space="0" w:color="auto"/>
            </w:tcBorders>
          </w:tcPr>
          <w:p w:rsidR="00952162" w:rsidRPr="00952162" w:rsidRDefault="00952162" w:rsidP="00952162">
            <w:pPr>
              <w:widowControl w:val="0"/>
              <w:autoSpaceDE w:val="0"/>
              <w:autoSpaceDN w:val="0"/>
              <w:spacing w:before="120" w:after="120" w:line="360" w:lineRule="auto"/>
              <w:jc w:val="left"/>
              <w:rPr>
                <w:rFonts w:eastAsia="Times New Roman"/>
                <w:noProof/>
              </w:rPr>
            </w:pPr>
            <w:r w:rsidRPr="00952162">
              <w:rPr>
                <w:rFonts w:eastAsia="Times New Roman"/>
                <w:noProof/>
              </w:rPr>
              <w:t>Време (дни)</w:t>
            </w:r>
          </w:p>
        </w:tc>
      </w:tr>
    </w:tbl>
    <w:p w:rsidR="00952162" w:rsidRPr="00952162" w:rsidRDefault="00952162" w:rsidP="00952162">
      <w:pPr>
        <w:widowControl w:val="0"/>
        <w:spacing w:before="120" w:after="120" w:line="360" w:lineRule="auto"/>
        <w:jc w:val="center"/>
        <w:rPr>
          <w:rFonts w:eastAsia="Times New Roman"/>
          <w:noProof/>
        </w:rPr>
      </w:pPr>
    </w:p>
    <w:p w:rsidR="00952162" w:rsidRPr="00952162" w:rsidRDefault="00952162" w:rsidP="00952162">
      <w:pPr>
        <w:widowControl w:val="0"/>
        <w:spacing w:before="120" w:after="120" w:line="360" w:lineRule="auto"/>
        <w:jc w:val="left"/>
        <w:rPr>
          <w:rFonts w:eastAsia="Times New Roman"/>
          <w:noProof/>
        </w:rPr>
        <w:sectPr w:rsidR="00952162" w:rsidRPr="00952162" w:rsidSect="008A6BB8">
          <w:pgSz w:w="11907" w:h="16839"/>
          <w:pgMar w:top="1134" w:right="1417" w:bottom="1134" w:left="1417" w:header="709" w:footer="709" w:gutter="0"/>
          <w:cols w:space="720"/>
          <w:docGrid w:linePitch="360"/>
        </w:sectPr>
      </w:pPr>
    </w:p>
    <w:p w:rsidR="00952162" w:rsidRPr="00952162" w:rsidRDefault="00952162" w:rsidP="00952162">
      <w:pPr>
        <w:widowControl w:val="0"/>
        <w:spacing w:before="120" w:after="120" w:line="360" w:lineRule="auto"/>
        <w:jc w:val="center"/>
        <w:rPr>
          <w:rFonts w:eastAsia="Times New Roman"/>
          <w:szCs w:val="20"/>
          <w:lang w:val="bg-BG"/>
        </w:rPr>
      </w:pPr>
      <w:r w:rsidRPr="00952162">
        <w:rPr>
          <w:rFonts w:eastAsia="Times New Roman"/>
          <w:szCs w:val="20"/>
          <w:lang w:val="bg-BG"/>
        </w:rPr>
        <w:lastRenderedPageBreak/>
        <w:t>ПРИЛОЖЕНИЕ VIII</w:t>
      </w:r>
    </w:p>
    <w:p w:rsidR="00952162" w:rsidRDefault="00952162" w:rsidP="00340CC0">
      <w:pPr>
        <w:widowControl w:val="0"/>
        <w:spacing w:before="120" w:after="120" w:line="360" w:lineRule="auto"/>
        <w:jc w:val="center"/>
        <w:rPr>
          <w:rFonts w:eastAsia="Times New Roman"/>
          <w:lang w:val="bg-BG"/>
        </w:rPr>
      </w:pPr>
      <w:r w:rsidRPr="00952162">
        <w:rPr>
          <w:rFonts w:eastAsia="Times New Roman"/>
          <w:lang w:val="bg-BG"/>
        </w:rPr>
        <w:t>ТАБЛИЦА НА СЪОТВЕТСТВИЕТО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253"/>
        <w:gridCol w:w="4812"/>
      </w:tblGrid>
      <w:tr w:rsidR="00340CC0" w:rsidRPr="00340CC0" w:rsidTr="005F6704">
        <w:trPr>
          <w:tblHeader/>
        </w:trPr>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Регламент (ЕО) № 648/2004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Настоящият регламент</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 параграф 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1a</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1б</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3</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6</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7</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5</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8</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6</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11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7</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8</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12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9</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14</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9a</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13</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10</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15</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11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параграф 12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 точка 5</w:t>
            </w:r>
          </w:p>
        </w:tc>
      </w:tr>
      <w:tr w:rsidR="00340CC0" w:rsidRPr="00D46023"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3,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3, параграф 1 и член 4, параграф 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lastRenderedPageBreak/>
              <w:t>Член 3,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3,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7, параграф 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4,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4, параграф 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4,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4,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4a</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6</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5,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5,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5,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5,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5, параграф 5</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5, параграф 6</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6,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6,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6,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6,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7</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8,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8,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8,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lastRenderedPageBreak/>
              <w:t>Член 8,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9,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8, параграф 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9,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9,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7, параграф 6</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 xml:space="preserve">Член 10, параграф 1 </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10,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22, параграф 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11,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 параграф 2, буква б)</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11, параграф</w:t>
            </w:r>
            <w:r>
              <w:rPr>
                <w:rFonts w:eastAsia="Times New Roman"/>
                <w:lang w:val="bg-BG"/>
              </w:rPr>
              <w:t>и</w:t>
            </w:r>
            <w:r w:rsidRPr="00340CC0">
              <w:rPr>
                <w:rFonts w:eastAsia="Times New Roman"/>
                <w:lang w:val="bg-BG"/>
              </w:rPr>
              <w:t> 2 и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15, параграф 3</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11,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15, параграф 4</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11, параграф 5</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15, параграф 5</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11, параграф 6</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28</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26</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13a,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27, параграф 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13a,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27, параграф 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13a,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27, параграф 3</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13a,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27, параграф 5</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13a, параграф 5</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27, параграф 6</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14,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3, параграф 2</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14,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lastRenderedPageBreak/>
              <w:t>Член 14, параграф 3</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14, параграф 4</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14, параграф 5</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15, параграф 1, първа алинея</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24, параграф 1</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15, параграф 1, втора алинея</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24, параграф 3</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15,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25, параграф 4</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16, параграф 1</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16, параграф 2</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17</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33</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18</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29</w:t>
            </w:r>
          </w:p>
        </w:tc>
      </w:tr>
      <w:tr w:rsidR="00340CC0" w:rsidRPr="00340CC0" w:rsidTr="005F6704">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19</w:t>
            </w:r>
          </w:p>
        </w:tc>
        <w:tc>
          <w:tcPr>
            <w:tcW w:w="0" w:type="auto"/>
          </w:tcPr>
          <w:p w:rsidR="00340CC0" w:rsidRPr="00340CC0" w:rsidRDefault="00340CC0" w:rsidP="00340CC0">
            <w:pPr>
              <w:widowControl w:val="0"/>
              <w:spacing w:before="120" w:after="120" w:line="360" w:lineRule="auto"/>
              <w:jc w:val="left"/>
              <w:rPr>
                <w:rFonts w:eastAsia="Times New Roman"/>
                <w:lang w:val="bg-BG"/>
              </w:rPr>
            </w:pPr>
            <w:r w:rsidRPr="00340CC0">
              <w:rPr>
                <w:rFonts w:eastAsia="Times New Roman"/>
                <w:lang w:val="bg-BG"/>
              </w:rPr>
              <w:t>Член 35</w:t>
            </w:r>
          </w:p>
        </w:tc>
      </w:tr>
    </w:tbl>
    <w:p w:rsidR="00340CC0" w:rsidRPr="00952162" w:rsidRDefault="00340CC0" w:rsidP="00952162">
      <w:pPr>
        <w:widowControl w:val="0"/>
        <w:spacing w:before="120" w:after="120" w:line="360" w:lineRule="auto"/>
        <w:jc w:val="left"/>
        <w:rPr>
          <w:rFonts w:eastAsia="Times New Roman"/>
          <w:lang w:val="bg-BG"/>
        </w:rPr>
      </w:pPr>
    </w:p>
    <w:sectPr w:rsidR="00340CC0" w:rsidRPr="0095216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614" w:rsidRDefault="00B16614" w:rsidP="00952162">
      <w:r>
        <w:separator/>
      </w:r>
    </w:p>
  </w:endnote>
  <w:endnote w:type="continuationSeparator" w:id="0">
    <w:p w:rsidR="00B16614" w:rsidRDefault="00B16614" w:rsidP="00952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14" w:rsidRPr="00952162" w:rsidRDefault="00B16614" w:rsidP="00952162">
    <w:pPr>
      <w:pStyle w:val="Footer"/>
      <w:tabs>
        <w:tab w:val="clear" w:pos="4513"/>
        <w:tab w:val="clear" w:pos="9026"/>
        <w:tab w:val="center" w:pos="4819"/>
        <w:tab w:val="right" w:pos="8504"/>
        <w:tab w:val="right" w:pos="9638"/>
      </w:tabs>
    </w:pPr>
    <w:r>
      <w:t>PE-CONS No/YY</w:t>
    </w:r>
    <w:r>
      <w:tab/>
      <w:t>YYYY/</w:t>
    </w:r>
    <w:proofErr w:type="gramStart"/>
    <w:r>
      <w:t>NNNN(</w:t>
    </w:r>
    <w:proofErr w:type="gramEnd"/>
    <w:r>
      <w:t>COD)</w:t>
    </w:r>
    <w:r>
      <w:tab/>
      <w:t>XYZ-AB/OP-QR</w:t>
    </w:r>
    <w:r>
      <w:tab/>
    </w:r>
  </w:p>
  <w:p w:rsidR="00B16614" w:rsidRDefault="00B1661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14" w:rsidRPr="00952162" w:rsidRDefault="00B16614" w:rsidP="00952162">
    <w:pPr>
      <w:pStyle w:val="Footer"/>
      <w:tabs>
        <w:tab w:val="clear" w:pos="4513"/>
        <w:tab w:val="clear" w:pos="9026"/>
        <w:tab w:val="center" w:pos="4819"/>
        <w:tab w:val="right" w:pos="8504"/>
        <w:tab w:val="right" w:pos="9638"/>
      </w:tabs>
    </w:pPr>
    <w:r>
      <w:t>PE-CONS No/YY</w:t>
    </w:r>
    <w:r>
      <w:tab/>
      <w:t>YYYY/</w:t>
    </w:r>
    <w:proofErr w:type="gramStart"/>
    <w:r>
      <w:t>NNNN(</w:t>
    </w:r>
    <w:proofErr w:type="gramEnd"/>
    <w:r>
      <w:t>COD)</w:t>
    </w:r>
    <w:r>
      <w:tab/>
      <w:t>XYZ-AB/OP-QR</w:t>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14" w:rsidRDefault="00B1661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614" w:rsidRDefault="00B1661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614" w:rsidRDefault="00B16614" w:rsidP="00952162">
      <w:r>
        <w:separator/>
      </w:r>
    </w:p>
  </w:footnote>
  <w:footnote w:type="continuationSeparator" w:id="0">
    <w:p w:rsidR="00B16614" w:rsidRDefault="00B16614" w:rsidP="00952162">
      <w:r>
        <w:continuationSeparator/>
      </w:r>
    </w:p>
  </w:footnote>
  <w:footnote w:id="1">
    <w:p w:rsidR="00B16614" w:rsidRPr="00952162" w:rsidRDefault="00B16614" w:rsidP="00952162">
      <w:pPr>
        <w:pStyle w:val="FootnoteText"/>
        <w:ind w:left="567" w:hanging="567"/>
        <w:rPr>
          <w:b/>
          <w:i/>
          <w:sz w:val="24"/>
          <w:szCs w:val="24"/>
          <w:lang w:val="bg-BG"/>
        </w:rPr>
      </w:pPr>
      <w:r w:rsidRPr="00952162">
        <w:rPr>
          <w:rStyle w:val="FootnoteReference"/>
          <w:rFonts w:eastAsiaTheme="majorEastAsia"/>
          <w:sz w:val="24"/>
          <w:szCs w:val="24"/>
          <w:lang w:val="bg-BG"/>
        </w:rPr>
        <w:footnoteRef/>
      </w:r>
      <w:r w:rsidRPr="00952162">
        <w:rPr>
          <w:rStyle w:val="Emphasis"/>
          <w:rFonts w:ascii="Times New Roman" w:hAnsi="Times New Roman"/>
          <w:color w:val="333333"/>
          <w:sz w:val="24"/>
          <w:szCs w:val="24"/>
          <w:shd w:val="clear" w:color="auto" w:fill="FFFFFF"/>
          <w:lang w:val="bg-BG"/>
        </w:rPr>
        <w:t xml:space="preserve"> </w:t>
      </w:r>
      <w:r w:rsidRPr="00952162">
        <w:rPr>
          <w:rStyle w:val="Emphasis"/>
          <w:rFonts w:ascii="Times New Roman" w:hAnsi="Times New Roman"/>
          <w:b w:val="0"/>
          <w:i w:val="0"/>
          <w:color w:val="333333"/>
          <w:sz w:val="24"/>
          <w:szCs w:val="24"/>
          <w:shd w:val="clear" w:color="auto" w:fill="FFFFFF"/>
          <w:lang w:val="bg-BG"/>
        </w:rPr>
        <w:tab/>
        <w:t>ОВ С 349, 29.9.2023 г., стр. 121</w:t>
      </w:r>
      <w:r w:rsidRPr="00952162">
        <w:rPr>
          <w:b/>
          <w:i/>
          <w:sz w:val="24"/>
          <w:szCs w:val="24"/>
          <w:lang w:val="bg-BG"/>
        </w:rPr>
        <w:t>.</w:t>
      </w:r>
    </w:p>
  </w:footnote>
  <w:footnote w:id="2">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OВ C [...], [...] г., стр. [...].</w:t>
      </w:r>
    </w:p>
  </w:footnote>
  <w:footnote w:id="3">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 xml:space="preserve">Регламент (EО) № 648/2004 на Европейския парламент и на Съвета от 31 март 2004 г. относно </w:t>
      </w:r>
      <w:proofErr w:type="spellStart"/>
      <w:r w:rsidRPr="00F27583">
        <w:rPr>
          <w:lang w:val="bg-BG"/>
        </w:rPr>
        <w:t>детергентите</w:t>
      </w:r>
      <w:proofErr w:type="spellEnd"/>
      <w:r w:rsidRPr="00F27583">
        <w:rPr>
          <w:lang w:val="bg-BG"/>
        </w:rPr>
        <w:t xml:space="preserve"> (OВ L 104, 8.4.2004 г., стр. 1).</w:t>
      </w:r>
    </w:p>
  </w:footnote>
  <w:footnote w:id="4">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 xml:space="preserve">Оценка на Регламент (ЕО) № 648/2004 на Европейския парламент и на Съвета от 31 март 2004 г. относно </w:t>
      </w:r>
      <w:proofErr w:type="spellStart"/>
      <w:r w:rsidRPr="00F27583">
        <w:rPr>
          <w:lang w:val="bg-BG"/>
        </w:rPr>
        <w:t>детергентите</w:t>
      </w:r>
      <w:proofErr w:type="spellEnd"/>
      <w:r w:rsidRPr="00F27583">
        <w:rPr>
          <w:lang w:val="bg-BG"/>
        </w:rPr>
        <w:t xml:space="preserve"> (SWD(2019)298).</w:t>
      </w:r>
    </w:p>
  </w:footnote>
  <w:footnote w:id="5">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Проверка за пригодността на най-значимото законодателство в областта на химикалите (различно от Регламента REACH), SWD(2019)199</w:t>
      </w:r>
      <w:r>
        <w:rPr>
          <w:lang w:val="bg-BG"/>
        </w:rPr>
        <w:t>.</w:t>
      </w:r>
    </w:p>
  </w:footnote>
  <w:footnote w:id="6">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 xml:space="preserve">Регламент (ЕО) № 1907/2006 на Европейския парламент и на Съвета от 18 декември 2006 </w:t>
      </w:r>
      <w:proofErr w:type="spellStart"/>
      <w:r w:rsidRPr="00F27583">
        <w:rPr>
          <w:lang w:val="bg-BG"/>
        </w:rPr>
        <w:t>г.относно</w:t>
      </w:r>
      <w:proofErr w:type="spellEnd"/>
      <w:r w:rsidRPr="00F27583">
        <w:rPr>
          <w:lang w:val="bg-BG"/>
        </w:rPr>
        <w:t xml:space="preserve"> регистрацията, оценката, разрешаването и ограничаването на химикали (REACH),за създаване на Европейска агенция по химикали, за изменение на Директива 1999/45/ЕО и за отмяна </w:t>
      </w:r>
      <w:proofErr w:type="spellStart"/>
      <w:r w:rsidRPr="00F27583">
        <w:rPr>
          <w:lang w:val="bg-BG"/>
        </w:rPr>
        <w:t>наРегламент</w:t>
      </w:r>
      <w:proofErr w:type="spellEnd"/>
      <w:r w:rsidRPr="00F27583">
        <w:rPr>
          <w:lang w:val="bg-BG"/>
        </w:rPr>
        <w:t xml:space="preserve"> (ЕИО) № 793/93 на Съвета и Регламент (ЕО) № 1488/94 на Комисията, както и </w:t>
      </w:r>
      <w:proofErr w:type="spellStart"/>
      <w:r w:rsidRPr="00F27583">
        <w:rPr>
          <w:lang w:val="bg-BG"/>
        </w:rPr>
        <w:t>наДиректива</w:t>
      </w:r>
      <w:proofErr w:type="spellEnd"/>
      <w:r w:rsidRPr="00F27583">
        <w:rPr>
          <w:lang w:val="bg-BG"/>
        </w:rPr>
        <w:t xml:space="preserve"> 76/769/ЕИО на Съвета и директиви 91/155/ЕИО, 93/67/ЕИО, 93/105/ЕО и2000/21/ЕО на Комисията (ОВ L 396, 30.12.2006 г., стр. 1).</w:t>
      </w:r>
    </w:p>
  </w:footnote>
  <w:footnote w:id="7">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Решение № 768/2008/ЕО на Европейския парламент и на Съвета от 9 юли 2008 г. относно обща рамка за предлагането на пазара на продукти и за отмяна на Решение 93/465/ЕИО на Съвета (ОВ L 218, 13.8.2008 г., стр. 82).</w:t>
      </w:r>
    </w:p>
  </w:footnote>
  <w:footnote w:id="8">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 xml:space="preserve">Регламент (ЕС) № 528/2012 на Европейския парламент и на Съвета от 22 май 2012 г. относно предоставянето на пазара и употребата на </w:t>
      </w:r>
      <w:proofErr w:type="spellStart"/>
      <w:r w:rsidRPr="00F27583">
        <w:rPr>
          <w:lang w:val="bg-BG"/>
        </w:rPr>
        <w:t>биоциди</w:t>
      </w:r>
      <w:proofErr w:type="spellEnd"/>
      <w:r w:rsidRPr="00F27583">
        <w:rPr>
          <w:lang w:val="bg-BG"/>
        </w:rPr>
        <w:t xml:space="preserve"> (ОВ L 167, 27.6.2012 г., стр. 1).</w:t>
      </w:r>
    </w:p>
  </w:footnote>
  <w:footnote w:id="9">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(EО)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(OВ L 353, 31.12.2008 г., стр. 1).</w:t>
      </w:r>
    </w:p>
  </w:footnote>
  <w:footnote w:id="10">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b/>
          <w:i/>
          <w:lang w:val="bg-BG"/>
        </w:rPr>
        <w:t>Директива 2010/63/ЕС на Европейския парламент и на Съвета от 22 септември 2010 г. относно защитата на животните, използвани за научни цели (ОВ L 276, 20.10.2010 г., стр. 33).</w:t>
      </w:r>
    </w:p>
  </w:footnote>
  <w:footnote w:id="11">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strike/>
          <w:lang w:val="bg-BG"/>
        </w:rPr>
        <w:t>Регламент (ЕО) № 765/2008 на Европейския парламент и на Съвета от 9 юли 2008 г. за определяне на изискванията за акредитация и за отмяна на Регламент (ЕИО) № 339/93 (ОВ L 218, 13.8.2008 г., стр. 30).</w:t>
      </w:r>
    </w:p>
  </w:footnote>
  <w:footnote w:id="12">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(ОВ L 169, 25.6.2019 г., стр. 1).</w:t>
      </w:r>
    </w:p>
  </w:footnote>
  <w:footnote w:id="13">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(ЕС) № 952/2013 на Европейския парламент и на Съвета от 9 октомври 2013 г. за създаване на Митнически кодекс на Съюза (ОВ L 269, 10.10.2013 г., стр. 1).</w:t>
      </w:r>
    </w:p>
  </w:footnote>
  <w:footnote w:id="14">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ОВ L 123, 12.5.2016 г., стр. 1.</w:t>
      </w:r>
    </w:p>
  </w:footnote>
  <w:footnote w:id="15">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16">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 xml:space="preserve">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w:t>
      </w:r>
      <w:proofErr w:type="spellStart"/>
      <w:r w:rsidRPr="00F27583">
        <w:rPr>
          <w:lang w:val="bg-BG"/>
        </w:rPr>
        <w:t>стp</w:t>
      </w:r>
      <w:proofErr w:type="spellEnd"/>
      <w:r w:rsidRPr="00F27583">
        <w:rPr>
          <w:lang w:val="bg-BG"/>
        </w:rPr>
        <w:t>. 1).</w:t>
      </w:r>
    </w:p>
  </w:footnote>
  <w:footnote w:id="17">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(EО)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(OВ L 353, 31.12.2008 г., стр. 1).</w:t>
      </w:r>
    </w:p>
  </w:footnote>
  <w:footnote w:id="18">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 xml:space="preserve">Регламент (ЕС) № 528/2012 на Европейския парламент и на Съвета от 22 май 2012 г. относно предоставянето на пазара и употребата на </w:t>
      </w:r>
      <w:proofErr w:type="spellStart"/>
      <w:r w:rsidRPr="00F27583">
        <w:rPr>
          <w:lang w:val="bg-BG"/>
        </w:rPr>
        <w:t>биоциди</w:t>
      </w:r>
      <w:proofErr w:type="spellEnd"/>
      <w:r w:rsidRPr="00F27583">
        <w:rPr>
          <w:lang w:val="bg-BG"/>
        </w:rPr>
        <w:t xml:space="preserve"> (ОВ L 167, 27.6.2012 г., стр. 1).</w:t>
      </w:r>
    </w:p>
  </w:footnote>
  <w:footnote w:id="19">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b/>
          <w:i/>
          <w:lang w:val="bg-BG"/>
        </w:rPr>
        <w:t>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(ОВ L 169, 25.6.2019 г., стр. 1).</w:t>
      </w:r>
    </w:p>
  </w:footnote>
  <w:footnote w:id="20">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(ЕС) 2022/2399 на Европейския парламент и на Съвета от 23 ноември 2022 г. за създаване на среда на Европейския съюз за митническо обслужване на едно гише и за изменение на Регламент (ЕС) № 952/2013 (ОВ L 317, 9.12.2022 г., стр. 1).</w:t>
      </w:r>
    </w:p>
  </w:footnote>
  <w:footnote w:id="21">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strike/>
          <w:lang w:val="bg-BG"/>
        </w:rPr>
        <w:t xml:space="preserve">Делегиран регламент (ЕС) № 1062/2014 на Комисията от 4 август 2014 г. относно работната програма за системно проучване на всички съществуващи активни вещества, съдържащи се в </w:t>
      </w:r>
      <w:proofErr w:type="spellStart"/>
      <w:r w:rsidRPr="00F27583">
        <w:rPr>
          <w:strike/>
          <w:lang w:val="bg-BG"/>
        </w:rPr>
        <w:t>биоциди</w:t>
      </w:r>
      <w:proofErr w:type="spellEnd"/>
      <w:r w:rsidRPr="00F27583">
        <w:rPr>
          <w:strike/>
          <w:lang w:val="bg-BG"/>
        </w:rPr>
        <w:t>, посочени в Регламент (ЕС) № 528/2012 на Европейския парламент и на Съвета (ОВ L 294, 10.10.2014 г., стр. 1).</w:t>
      </w:r>
    </w:p>
  </w:footnote>
  <w:footnote w:id="22">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b/>
          <w:i/>
          <w:lang w:val="bg-BG"/>
        </w:rPr>
        <w:t xml:space="preserve">Делегиран регламент (ЕС) № 1062/2014 на Комисията от 4 август 2014 г. относно работната програма за системно проучване на всички съществуващи активни вещества, съдържащи се в </w:t>
      </w:r>
      <w:proofErr w:type="spellStart"/>
      <w:r w:rsidRPr="00F27583">
        <w:rPr>
          <w:b/>
          <w:i/>
          <w:lang w:val="bg-BG"/>
        </w:rPr>
        <w:t>биоциди</w:t>
      </w:r>
      <w:proofErr w:type="spellEnd"/>
      <w:r w:rsidRPr="00F27583">
        <w:rPr>
          <w:b/>
          <w:i/>
          <w:lang w:val="bg-BG"/>
        </w:rPr>
        <w:t>, посочени в Регламент (ЕС) № 528/2012 на Европейския парламент и на Съвета (ОВ L 294, 10.10.2014 г., стр. 1).</w:t>
      </w:r>
    </w:p>
  </w:footnote>
  <w:footnote w:id="23">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b/>
          <w:i/>
          <w:lang w:val="bg-BG"/>
        </w:rPr>
        <w:t>Регламент (ЕС) 2017/745 на Европейския парламент и на Съвета от 5 април 2017 г. за медицинските изделия, за изменение на Директива 2001/83/ЕО, Регламент (ЕО) № 178/2002 и Регламент (ЕО) № 1223/2009 и за отмяна на директиви 90/385/ЕИО и 93/42/ЕИО на Съвета (ОВ L 117, 5.5.2017 г., стр. 1).</w:t>
      </w:r>
    </w:p>
  </w:footnote>
  <w:footnote w:id="24">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b/>
          <w:i/>
          <w:lang w:val="bg-BG"/>
        </w:rPr>
        <w:t>Регламент (ЕО) № 440/2008 на Комисията от 30 май 2008 г. за определяне на методи за изпитване в съответствие с Регламент (ЕО) № 1907/2006 на Европейския парламент и на Съвета относно регистрацията, оценката, разрешаването и ограничаването на химикали (REACH) (ОВ L 142, 31.5.2008 г., стр. 1).</w:t>
      </w:r>
    </w:p>
  </w:footnote>
  <w:footnote w:id="25">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t>Регламент (ЕО) № 1223/2009 на Европейския парламент и на Съвета от 30 ноември 2009 г. относно козметичните продукти (ОВ L 342, 22.12.2009 г., стр. 59).</w:t>
      </w:r>
    </w:p>
  </w:footnote>
  <w:footnote w:id="26">
    <w:p w:rsidR="00B16614" w:rsidRPr="00F27583" w:rsidRDefault="00B16614" w:rsidP="00952162">
      <w:pPr>
        <w:pStyle w:val="FootnoteTextForceStyle"/>
        <w:rPr>
          <w:lang w:val="bg-BG"/>
        </w:rPr>
      </w:pPr>
      <w:r w:rsidRPr="00F27583">
        <w:rPr>
          <w:vertAlign w:val="superscript"/>
          <w:lang w:val="bg-BG"/>
        </w:rPr>
        <w:footnoteRef/>
      </w:r>
      <w:r w:rsidRPr="00F27583">
        <w:rPr>
          <w:lang w:val="bg-BG"/>
        </w:rPr>
        <w:tab/>
      </w:r>
      <w:r w:rsidRPr="00F27583">
        <w:rPr>
          <w:b/>
          <w:i/>
          <w:lang w:val="bg-BG"/>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7">
    <w:p w:rsidR="00B16614" w:rsidRPr="00F27583" w:rsidRDefault="00B16614" w:rsidP="00952162">
      <w:pPr>
        <w:pStyle w:val="FootnoteTextForceStyle"/>
        <w:rPr>
          <w:lang w:val="bg-BG"/>
        </w:rPr>
      </w:pPr>
      <w:r w:rsidRPr="00F27583">
        <w:rPr>
          <w:vertAlign w:val="superscript"/>
          <w:lang w:val="bg-BG"/>
        </w:rPr>
        <w:t>1</w:t>
      </w:r>
      <w:r w:rsidRPr="00F27583">
        <w:rPr>
          <w:lang w:val="bg-BG"/>
        </w:rPr>
        <w:tab/>
        <w:t>Регламент (ЕО) № 440/2008 на Комисията от 30 май 2008 г. за определяне на методи за изпитване в съответствие с Регламент (ЕО) № 1907/2006 на Европейския парламент и на Съвета относно регистрацията, оценката, разрешаването и ограничаването на химикали (REACH) (ОВ L 142, 31.5.2008 г., стр. 1).</w:t>
      </w:r>
    </w:p>
  </w:footnote>
  <w:footnote w:id="28">
    <w:p w:rsidR="00B16614" w:rsidRPr="00F27583" w:rsidRDefault="00B16614" w:rsidP="00952162">
      <w:pPr>
        <w:pStyle w:val="FootnoteTextForceStyle"/>
        <w:rPr>
          <w:lang w:val="bg-BG"/>
        </w:rPr>
      </w:pPr>
      <w:r w:rsidRPr="00F27583">
        <w:rPr>
          <w:vertAlign w:val="superscript"/>
          <w:lang w:val="bg-BG"/>
        </w:rPr>
        <w:t>2</w:t>
      </w:r>
      <w:r w:rsidRPr="00F27583">
        <w:rPr>
          <w:lang w:val="bg-BG"/>
        </w:rPr>
        <w:tab/>
        <w:t>Директива 2004/10/ЕО на Европейския парламент и на Съвета от 11 февруари 2004 г. относно хармонизиране на законовите, подзаконовите и административните разпоредби, свързани с прилагането на принципите на добра лабораторна практика и верифицирането на тяхното прилагане при изпитвания на химически вещества (ОВ L 50, 20.2.2004 г., стр. 44).</w:t>
      </w:r>
    </w:p>
  </w:footnote>
  <w:footnote w:id="29">
    <w:p w:rsidR="00B16614" w:rsidRPr="00F27583" w:rsidRDefault="00B16614" w:rsidP="00952162">
      <w:pPr>
        <w:pStyle w:val="FootnoteTextForceStyle"/>
        <w:rPr>
          <w:lang w:val="bg-BG"/>
        </w:rPr>
      </w:pPr>
      <w:r w:rsidRPr="00F27583">
        <w:rPr>
          <w:vertAlign w:val="superscript"/>
          <w:lang w:val="bg-BG"/>
        </w:rPr>
        <w:t>1</w:t>
      </w:r>
      <w:r w:rsidRPr="00F27583">
        <w:rPr>
          <w:lang w:val="bg-BG"/>
        </w:rPr>
        <w:tab/>
      </w:r>
      <w:r w:rsidRPr="00F27583">
        <w:rPr>
          <w:b/>
          <w:i/>
          <w:lang w:val="bg-BG"/>
        </w:rPr>
        <w:t>Регламент (ЕС) 2020/741 на Европейския парламент и на Съвета от 25 май 2020 г. относно минималните изисквания за повторното използване на водата (ОВ L 177, 5.6.2020 г., стр. 32).</w:t>
      </w:r>
    </w:p>
  </w:footnote>
  <w:footnote w:id="30">
    <w:p w:rsidR="00B16614" w:rsidRPr="00F27583" w:rsidRDefault="00B16614" w:rsidP="00952162">
      <w:pPr>
        <w:pStyle w:val="FootnoteTextForceStyle"/>
        <w:rPr>
          <w:lang w:val="bg-BG"/>
        </w:rPr>
      </w:pPr>
      <w:r w:rsidRPr="00F27583">
        <w:rPr>
          <w:vertAlign w:val="superscript"/>
          <w:lang w:val="bg-BG"/>
        </w:rPr>
        <w:t>2</w:t>
      </w:r>
      <w:r w:rsidRPr="00F27583">
        <w:rPr>
          <w:lang w:val="bg-BG"/>
        </w:rPr>
        <w:tab/>
        <w:t>Директива 2004/10/ЕО на Европейския парламент и на Съвета от 11 февруари 2004 г. относно хармонизиране на законовите, подзаконовите и административните разпоредби, свързани с прилагането на принципите на добра лабораторна практика и верифицирането на тяхното прилагане при изпитвания на химически вещества (ОВ L 50, 20.2.2004 г., стр. 44).</w:t>
      </w:r>
    </w:p>
  </w:footnote>
  <w:footnote w:id="31">
    <w:p w:rsidR="00B16614" w:rsidRPr="00F27583" w:rsidRDefault="00B16614" w:rsidP="00952162">
      <w:pPr>
        <w:pStyle w:val="FootnoteTextForceStyle"/>
        <w:rPr>
          <w:lang w:val="bg-BG"/>
        </w:rPr>
      </w:pPr>
      <w:r w:rsidRPr="00F27583">
        <w:rPr>
          <w:vertAlign w:val="superscript"/>
          <w:lang w:val="bg-BG"/>
        </w:rPr>
        <w:t>1</w:t>
      </w:r>
      <w:r w:rsidRPr="00F27583">
        <w:rPr>
          <w:lang w:val="bg-BG"/>
        </w:rPr>
        <w:tab/>
        <w:t>Регламент (ЕИО) № 2658/87 на Съвета от 23 юли 1987 г. относно тарифната и статистическа номенклатура и Общата митническа тарифа (OВ L 256, 7.9.1987 г., стр.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2F47DB"/>
    <w:multiLevelType w:val="hybridMultilevel"/>
    <w:tmpl w:val="987E9C8C"/>
    <w:lvl w:ilvl="0" w:tplc="13AAD3B8">
      <w:numFmt w:val="bullet"/>
      <w:lvlText w:val="–"/>
      <w:lvlJc w:val="left"/>
      <w:pPr>
        <w:ind w:left="720" w:hanging="360"/>
      </w:pPr>
      <w:rPr>
        <w:rFonts w:ascii="Times New Roman" w:eastAsia="Times New Roman" w:hAnsi="Times New Roman" w:cs="Times New Roman" w:hint="default"/>
      </w:rPr>
    </w:lvl>
    <w:lvl w:ilvl="1" w:tplc="E3A830EC">
      <w:start w:val="1"/>
      <w:numFmt w:val="bullet"/>
      <w:lvlText w:val="o"/>
      <w:lvlJc w:val="left"/>
      <w:pPr>
        <w:ind w:left="1440" w:hanging="360"/>
      </w:pPr>
      <w:rPr>
        <w:rFonts w:ascii="Courier New" w:hAnsi="Courier New" w:cs="Courier New" w:hint="default"/>
      </w:rPr>
    </w:lvl>
    <w:lvl w:ilvl="2" w:tplc="39108744">
      <w:start w:val="1"/>
      <w:numFmt w:val="bullet"/>
      <w:lvlText w:val=""/>
      <w:lvlJc w:val="left"/>
      <w:pPr>
        <w:ind w:left="2160" w:hanging="360"/>
      </w:pPr>
      <w:rPr>
        <w:rFonts w:ascii="Wingdings" w:hAnsi="Wingdings" w:hint="default"/>
      </w:rPr>
    </w:lvl>
    <w:lvl w:ilvl="3" w:tplc="A6488C3C">
      <w:start w:val="1"/>
      <w:numFmt w:val="bullet"/>
      <w:lvlText w:val=""/>
      <w:lvlJc w:val="left"/>
      <w:pPr>
        <w:ind w:left="2880" w:hanging="360"/>
      </w:pPr>
      <w:rPr>
        <w:rFonts w:ascii="Symbol" w:hAnsi="Symbol" w:hint="default"/>
      </w:rPr>
    </w:lvl>
    <w:lvl w:ilvl="4" w:tplc="5966FB8C">
      <w:start w:val="1"/>
      <w:numFmt w:val="bullet"/>
      <w:lvlText w:val="o"/>
      <w:lvlJc w:val="left"/>
      <w:pPr>
        <w:ind w:left="3600" w:hanging="360"/>
      </w:pPr>
      <w:rPr>
        <w:rFonts w:ascii="Courier New" w:hAnsi="Courier New" w:cs="Courier New" w:hint="default"/>
      </w:rPr>
    </w:lvl>
    <w:lvl w:ilvl="5" w:tplc="D7D801DC">
      <w:start w:val="1"/>
      <w:numFmt w:val="bullet"/>
      <w:lvlText w:val=""/>
      <w:lvlJc w:val="left"/>
      <w:pPr>
        <w:ind w:left="4320" w:hanging="360"/>
      </w:pPr>
      <w:rPr>
        <w:rFonts w:ascii="Wingdings" w:hAnsi="Wingdings" w:hint="default"/>
      </w:rPr>
    </w:lvl>
    <w:lvl w:ilvl="6" w:tplc="93C2E9B8">
      <w:start w:val="1"/>
      <w:numFmt w:val="bullet"/>
      <w:lvlText w:val=""/>
      <w:lvlJc w:val="left"/>
      <w:pPr>
        <w:ind w:left="5040" w:hanging="360"/>
      </w:pPr>
      <w:rPr>
        <w:rFonts w:ascii="Symbol" w:hAnsi="Symbol" w:hint="default"/>
      </w:rPr>
    </w:lvl>
    <w:lvl w:ilvl="7" w:tplc="D8BC626C">
      <w:start w:val="1"/>
      <w:numFmt w:val="bullet"/>
      <w:lvlText w:val="o"/>
      <w:lvlJc w:val="left"/>
      <w:pPr>
        <w:ind w:left="5760" w:hanging="360"/>
      </w:pPr>
      <w:rPr>
        <w:rFonts w:ascii="Courier New" w:hAnsi="Courier New" w:cs="Courier New" w:hint="default"/>
      </w:rPr>
    </w:lvl>
    <w:lvl w:ilvl="8" w:tplc="62E8C004">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57395EAC"/>
    <w:multiLevelType w:val="multilevel"/>
    <w:tmpl w:val="7A92A4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75D5A21"/>
    <w:multiLevelType w:val="multilevel"/>
    <w:tmpl w:val="DFCC2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AF80888"/>
    <w:multiLevelType w:val="hybridMultilevel"/>
    <w:tmpl w:val="7DDCF1C6"/>
    <w:lvl w:ilvl="0" w:tplc="3A5AEC64">
      <w:start w:val="1"/>
      <w:numFmt w:val="decimal"/>
      <w:lvlText w:val="%1."/>
      <w:lvlJc w:val="left"/>
      <w:pPr>
        <w:ind w:left="924" w:hanging="564"/>
      </w:pPr>
    </w:lvl>
    <w:lvl w:ilvl="1" w:tplc="621415B6">
      <w:start w:val="1"/>
      <w:numFmt w:val="lowerLetter"/>
      <w:lvlText w:val="%2."/>
      <w:lvlJc w:val="left"/>
      <w:pPr>
        <w:ind w:left="1440" w:hanging="360"/>
      </w:pPr>
    </w:lvl>
    <w:lvl w:ilvl="2" w:tplc="69AEBD66">
      <w:start w:val="1"/>
      <w:numFmt w:val="lowerRoman"/>
      <w:lvlText w:val="%3."/>
      <w:lvlJc w:val="right"/>
      <w:pPr>
        <w:ind w:left="2160" w:hanging="180"/>
      </w:pPr>
    </w:lvl>
    <w:lvl w:ilvl="3" w:tplc="7FCE8F6E">
      <w:start w:val="1"/>
      <w:numFmt w:val="decimal"/>
      <w:lvlText w:val="%4."/>
      <w:lvlJc w:val="left"/>
      <w:pPr>
        <w:ind w:left="2880" w:hanging="360"/>
      </w:pPr>
    </w:lvl>
    <w:lvl w:ilvl="4" w:tplc="F7C4DCC0">
      <w:start w:val="1"/>
      <w:numFmt w:val="lowerLetter"/>
      <w:lvlText w:val="%5."/>
      <w:lvlJc w:val="left"/>
      <w:pPr>
        <w:ind w:left="3600" w:hanging="360"/>
      </w:pPr>
    </w:lvl>
    <w:lvl w:ilvl="5" w:tplc="434C1DD6">
      <w:start w:val="1"/>
      <w:numFmt w:val="lowerRoman"/>
      <w:lvlText w:val="%6."/>
      <w:lvlJc w:val="right"/>
      <w:pPr>
        <w:ind w:left="4320" w:hanging="180"/>
      </w:pPr>
    </w:lvl>
    <w:lvl w:ilvl="6" w:tplc="FCC82FC8">
      <w:start w:val="1"/>
      <w:numFmt w:val="decimal"/>
      <w:lvlText w:val="%7."/>
      <w:lvlJc w:val="left"/>
      <w:pPr>
        <w:ind w:left="5040" w:hanging="360"/>
      </w:pPr>
    </w:lvl>
    <w:lvl w:ilvl="7" w:tplc="838C3724">
      <w:start w:val="1"/>
      <w:numFmt w:val="lowerLetter"/>
      <w:lvlText w:val="%8."/>
      <w:lvlJc w:val="left"/>
      <w:pPr>
        <w:ind w:left="5760" w:hanging="360"/>
      </w:pPr>
    </w:lvl>
    <w:lvl w:ilvl="8" w:tplc="E34A2C9C">
      <w:start w:val="1"/>
      <w:numFmt w:val="lowerRoman"/>
      <w:lvlText w:val="%9."/>
      <w:lvlJc w:val="right"/>
      <w:pPr>
        <w:ind w:left="6480" w:hanging="180"/>
      </w:pPr>
    </w:lvl>
  </w:abstractNum>
  <w:num w:numId="1">
    <w:abstractNumId w:val="13"/>
    <w:lvlOverride w:ilvl="0">
      <w:startOverride w:val="1"/>
    </w:lvlOverride>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2"/>
  </w:num>
  <w:num w:numId="15">
    <w:abstractNumId w:val="1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5"/>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9">
    <w:abstractNumId w:val="14"/>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162"/>
    <w:rsid w:val="00340CC0"/>
    <w:rsid w:val="005762E3"/>
    <w:rsid w:val="00724C5A"/>
    <w:rsid w:val="007404BE"/>
    <w:rsid w:val="008765BE"/>
    <w:rsid w:val="008868ED"/>
    <w:rsid w:val="008A6BB8"/>
    <w:rsid w:val="00952162"/>
    <w:rsid w:val="00960D75"/>
    <w:rsid w:val="00B16614"/>
    <w:rsid w:val="00B360F1"/>
    <w:rsid w:val="00B66D7F"/>
    <w:rsid w:val="00D46023"/>
    <w:rsid w:val="00EA54B9"/>
    <w:rsid w:val="00FC7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7D847"/>
  <w15:chartTrackingRefBased/>
  <w15:docId w15:val="{ADAD01C5-B272-45B6-B978-F0CC44DEF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rsid w:val="005762E3"/>
    <w:rPr>
      <w:rFonts w:ascii="Arial" w:eastAsiaTheme="majorEastAsia" w:hAnsi="Arial" w:cs="Arial"/>
      <w:b/>
      <w:bCs/>
      <w:sz w:val="26"/>
      <w:szCs w:val="26"/>
    </w:rPr>
  </w:style>
  <w:style w:type="character" w:customStyle="1" w:styleId="Heading4Char">
    <w:name w:val="Heading 4 Char"/>
    <w:basedOn w:val="DefaultParagraphFont"/>
    <w:link w:val="Heading4"/>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customStyle="1" w:styleId="SignaturePersonne">
    <w:name w:val="Signature Personne"/>
    <w:basedOn w:val="Normal"/>
    <w:rsid w:val="00952162"/>
    <w:pPr>
      <w:tabs>
        <w:tab w:val="left" w:pos="4252"/>
      </w:tabs>
      <w:spacing w:line="360" w:lineRule="auto"/>
      <w:jc w:val="left"/>
    </w:pPr>
    <w:rPr>
      <w:rFonts w:eastAsia="Times New Roman"/>
      <w:i/>
    </w:rPr>
  </w:style>
  <w:style w:type="paragraph" w:customStyle="1" w:styleId="Considrant">
    <w:name w:val="Considérant"/>
    <w:basedOn w:val="Normal"/>
    <w:rsid w:val="00952162"/>
    <w:pPr>
      <w:widowControl w:val="0"/>
      <w:spacing w:before="120" w:after="120" w:line="360" w:lineRule="auto"/>
      <w:ind w:left="850" w:hanging="850"/>
      <w:jc w:val="left"/>
    </w:pPr>
    <w:rPr>
      <w:rFonts w:eastAsia="Times New Roman"/>
    </w:rPr>
  </w:style>
  <w:style w:type="paragraph" w:customStyle="1" w:styleId="Institutionquiagit">
    <w:name w:val="Institution qui agit"/>
    <w:basedOn w:val="Normal"/>
    <w:next w:val="Normal"/>
    <w:rsid w:val="00952162"/>
    <w:pPr>
      <w:keepNext/>
      <w:widowControl w:val="0"/>
      <w:spacing w:before="600" w:after="120" w:line="360" w:lineRule="auto"/>
      <w:jc w:val="left"/>
    </w:pPr>
    <w:rPr>
      <w:rFonts w:eastAsia="Times New Roman"/>
    </w:rPr>
  </w:style>
  <w:style w:type="paragraph" w:customStyle="1" w:styleId="Institutionquisigne">
    <w:name w:val="Institution qui signe"/>
    <w:basedOn w:val="Normal"/>
    <w:next w:val="Normal"/>
    <w:rsid w:val="00952162"/>
    <w:pPr>
      <w:keepNext/>
      <w:widowControl w:val="0"/>
      <w:tabs>
        <w:tab w:val="left" w:pos="4252"/>
      </w:tabs>
      <w:spacing w:before="720" w:line="360" w:lineRule="auto"/>
      <w:jc w:val="left"/>
    </w:pPr>
    <w:rPr>
      <w:rFonts w:eastAsia="Times New Roman"/>
      <w:i/>
    </w:rPr>
  </w:style>
  <w:style w:type="paragraph" w:customStyle="1" w:styleId="Fait">
    <w:name w:val="Fait à"/>
    <w:basedOn w:val="Normal"/>
    <w:rsid w:val="00952162"/>
    <w:pPr>
      <w:keepNext/>
      <w:spacing w:before="120" w:line="360" w:lineRule="auto"/>
      <w:jc w:val="left"/>
    </w:pPr>
    <w:rPr>
      <w:rFonts w:eastAsia="Times New Roman"/>
    </w:rPr>
  </w:style>
  <w:style w:type="character" w:customStyle="1" w:styleId="FooterChar">
    <w:name w:val="Footer Char"/>
    <w:rsid w:val="00952162"/>
    <w:rPr>
      <w:rFonts w:ascii="Times New Roman" w:eastAsia="Times New Roman" w:hAnsi="Times New Roman" w:cs="Times New Roman"/>
      <w:sz w:val="24"/>
    </w:rPr>
  </w:style>
  <w:style w:type="paragraph" w:customStyle="1" w:styleId="FootnoteTextForceStyle">
    <w:name w:val="Footnote Text ForceStyle"/>
    <w:rsid w:val="00952162"/>
    <w:pPr>
      <w:keepLines/>
      <w:widowControl w:val="0"/>
      <w:ind w:left="850" w:hanging="850"/>
    </w:pPr>
    <w:rPr>
      <w:rFonts w:ascii="Times New Roman" w:eastAsia="Times New Roman" w:hAnsi="Times New Roman"/>
      <w:sz w:val="24"/>
      <w:szCs w:val="20"/>
    </w:rPr>
  </w:style>
  <w:style w:type="character" w:customStyle="1" w:styleId="Footer2">
    <w:name w:val="Footer2"/>
    <w:rsid w:val="00952162"/>
    <w:rPr>
      <w:rFonts w:ascii="Arial" w:hAnsi="Arial"/>
      <w:b/>
      <w:sz w:val="48"/>
    </w:rPr>
  </w:style>
  <w:style w:type="paragraph" w:customStyle="1" w:styleId="Applicationdirecte">
    <w:name w:val="Application directe"/>
    <w:basedOn w:val="Normal"/>
    <w:next w:val="Normal"/>
    <w:rsid w:val="00952162"/>
    <w:pPr>
      <w:widowControl w:val="0"/>
      <w:spacing w:before="120" w:after="120" w:line="360" w:lineRule="auto"/>
      <w:jc w:val="left"/>
    </w:pPr>
    <w:rPr>
      <w:rFonts w:eastAsia="Times New Roman"/>
    </w:rPr>
  </w:style>
  <w:style w:type="paragraph" w:customStyle="1" w:styleId="Normale">
    <w:name w:val="Normale"/>
    <w:rsid w:val="00952162"/>
    <w:pPr>
      <w:widowControl w:val="0"/>
      <w:spacing w:before="120" w:after="120" w:line="360" w:lineRule="auto"/>
    </w:pPr>
    <w:rPr>
      <w:rFonts w:ascii="Times New Roman" w:eastAsia="Times New Roman" w:hAnsi="Times New Roman"/>
      <w:sz w:val="24"/>
      <w:szCs w:val="20"/>
    </w:rPr>
  </w:style>
  <w:style w:type="paragraph" w:customStyle="1" w:styleId="Formuledadoption">
    <w:name w:val="Formule d'adoption"/>
    <w:basedOn w:val="Normal"/>
    <w:next w:val="Normal"/>
    <w:rsid w:val="00952162"/>
    <w:pPr>
      <w:keepNext/>
      <w:spacing w:before="120" w:after="120" w:line="360" w:lineRule="auto"/>
      <w:jc w:val="left"/>
    </w:pPr>
    <w:rPr>
      <w:rFonts w:eastAsia="Times New Roman"/>
    </w:rPr>
  </w:style>
  <w:style w:type="paragraph" w:customStyle="1" w:styleId="Rfrenceinstitutionnelle">
    <w:name w:val="Référence institutionnelle"/>
    <w:basedOn w:val="Normal"/>
    <w:next w:val="Normal"/>
    <w:rsid w:val="00952162"/>
    <w:pPr>
      <w:spacing w:after="240" w:line="360" w:lineRule="auto"/>
      <w:ind w:left="5102"/>
      <w:jc w:val="left"/>
    </w:pPr>
    <w:rPr>
      <w:rFonts w:eastAsia="Times New Roman"/>
    </w:rPr>
  </w:style>
  <w:style w:type="paragraph" w:customStyle="1" w:styleId="Footer1">
    <w:name w:val="Footer1"/>
    <w:basedOn w:val="Normal"/>
    <w:rsid w:val="00952162"/>
    <w:pPr>
      <w:tabs>
        <w:tab w:val="center" w:pos="4150"/>
        <w:tab w:val="right" w:pos="8306"/>
        <w:tab w:val="right" w:pos="9638"/>
      </w:tabs>
      <w:spacing w:line="360" w:lineRule="auto"/>
      <w:jc w:val="left"/>
    </w:pPr>
    <w:rPr>
      <w:rFonts w:eastAsia="Times New Roman"/>
    </w:rPr>
  </w:style>
  <w:style w:type="paragraph" w:customStyle="1" w:styleId="SignatureInstitution">
    <w:name w:val="Signature Institution"/>
    <w:basedOn w:val="Normal"/>
    <w:rsid w:val="00952162"/>
    <w:pPr>
      <w:keepNext/>
      <w:tabs>
        <w:tab w:val="left" w:pos="4252"/>
      </w:tabs>
      <w:spacing w:before="720" w:after="100" w:line="360" w:lineRule="auto"/>
    </w:pPr>
    <w:rPr>
      <w:rFonts w:eastAsia="Times New Roman"/>
      <w:i/>
    </w:rPr>
  </w:style>
  <w:style w:type="paragraph" w:customStyle="1" w:styleId="Statut">
    <w:name w:val="Statut"/>
    <w:basedOn w:val="Normal"/>
    <w:next w:val="Normal"/>
    <w:rsid w:val="00952162"/>
    <w:pPr>
      <w:spacing w:before="840" w:line="360" w:lineRule="auto"/>
      <w:jc w:val="center"/>
    </w:pPr>
    <w:rPr>
      <w:rFonts w:eastAsia="Times New Roman"/>
    </w:rPr>
  </w:style>
  <w:style w:type="paragraph" w:customStyle="1" w:styleId="Typedudocument">
    <w:name w:val="Type du document"/>
    <w:basedOn w:val="Normal"/>
    <w:next w:val="Normal"/>
    <w:rsid w:val="00952162"/>
    <w:pPr>
      <w:spacing w:before="360" w:line="360" w:lineRule="auto"/>
      <w:jc w:val="center"/>
    </w:pPr>
    <w:rPr>
      <w:rFonts w:eastAsia="Times New Roman"/>
      <w:b/>
    </w:rPr>
  </w:style>
  <w:style w:type="paragraph" w:customStyle="1" w:styleId="Titreobjet">
    <w:name w:val="Titre objet"/>
    <w:basedOn w:val="Normal"/>
    <w:next w:val="Normal"/>
    <w:rsid w:val="00952162"/>
    <w:pPr>
      <w:spacing w:before="360" w:after="360" w:line="360" w:lineRule="auto"/>
      <w:jc w:val="center"/>
    </w:pPr>
    <w:rPr>
      <w:rFonts w:eastAsia="Times New Roman"/>
      <w:b/>
    </w:rPr>
  </w:style>
  <w:style w:type="paragraph" w:customStyle="1" w:styleId="IntrtEEE">
    <w:name w:val="Intérêt EEE"/>
    <w:basedOn w:val="Normal"/>
    <w:next w:val="Normal"/>
    <w:rsid w:val="00952162"/>
    <w:pPr>
      <w:spacing w:before="360" w:after="240" w:line="360" w:lineRule="auto"/>
      <w:jc w:val="center"/>
    </w:pPr>
    <w:rPr>
      <w:rFonts w:eastAsia="Times New Roman"/>
    </w:rPr>
  </w:style>
  <w:style w:type="character" w:customStyle="1" w:styleId="CMissingStyle">
    <w:name w:val="C_MissingStyle"/>
    <w:rsid w:val="00952162"/>
    <w:rPr>
      <w:color w:val="FFFFFF"/>
      <w:sz w:val="22"/>
      <w:shd w:val="clear" w:color="000000" w:fill="000000"/>
    </w:rPr>
  </w:style>
  <w:style w:type="paragraph" w:customStyle="1" w:styleId="PMissingStyle">
    <w:name w:val="P_MissingStyle"/>
    <w:basedOn w:val="Normal"/>
    <w:rsid w:val="00952162"/>
    <w:pPr>
      <w:widowControl w:val="0"/>
      <w:spacing w:before="120" w:after="120" w:line="360" w:lineRule="auto"/>
      <w:jc w:val="left"/>
    </w:pPr>
    <w:rPr>
      <w:rFonts w:eastAsia="Times New Roman"/>
      <w:color w:val="FFFFFF"/>
      <w:shd w:val="clear" w:color="000000" w:fill="000000"/>
    </w:rPr>
  </w:style>
  <w:style w:type="character" w:styleId="FootnoteReference">
    <w:name w:val="footnote reference"/>
    <w:basedOn w:val="DefaultParagraphFont"/>
    <w:rsid w:val="00952162"/>
    <w:rPr>
      <w:vertAlign w:val="superscript"/>
    </w:rPr>
  </w:style>
  <w:style w:type="paragraph" w:customStyle="1" w:styleId="Warning">
    <w:name w:val="Warning"/>
    <w:rsid w:val="00952162"/>
    <w:rPr>
      <w:rFonts w:ascii="Times New Roman" w:eastAsia="Times New Roman" w:hAnsi="Times New Roman"/>
      <w:sz w:val="20"/>
      <w:szCs w:val="20"/>
    </w:rPr>
  </w:style>
  <w:style w:type="table" w:styleId="TableGrid">
    <w:name w:val="Table Grid"/>
    <w:basedOn w:val="TableNormal"/>
    <w:rsid w:val="00952162"/>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a">
    <w:name w:val="Normal6a"/>
    <w:basedOn w:val="Normal"/>
    <w:rsid w:val="00952162"/>
    <w:pPr>
      <w:widowControl w:val="0"/>
      <w:spacing w:after="120"/>
      <w:jc w:val="left"/>
    </w:pPr>
    <w:rPr>
      <w:rFonts w:eastAsia="Times New Roman"/>
      <w:szCs w:val="20"/>
      <w:lang w:val="bg-BG" w:eastAsia="en-GB"/>
    </w:rPr>
  </w:style>
  <w:style w:type="paragraph" w:customStyle="1" w:styleId="AmColumnHeading">
    <w:name w:val="AmColumnHeading"/>
    <w:basedOn w:val="Normal"/>
    <w:rsid w:val="00952162"/>
    <w:pPr>
      <w:widowControl w:val="0"/>
      <w:spacing w:after="240"/>
      <w:jc w:val="center"/>
    </w:pPr>
    <w:rPr>
      <w:rFonts w:eastAsia="Times New Roman"/>
      <w:i/>
      <w:szCs w:val="20"/>
      <w:lang w:val="bg-BG" w:eastAsia="en-GB"/>
    </w:rPr>
  </w:style>
  <w:style w:type="paragraph" w:styleId="Header">
    <w:name w:val="header"/>
    <w:basedOn w:val="Normal"/>
    <w:link w:val="HeaderChar"/>
    <w:unhideWhenUsed/>
    <w:rsid w:val="00952162"/>
    <w:pPr>
      <w:widowControl w:val="0"/>
      <w:tabs>
        <w:tab w:val="center" w:pos="4513"/>
        <w:tab w:val="right" w:pos="9026"/>
      </w:tabs>
      <w:jc w:val="left"/>
    </w:pPr>
    <w:rPr>
      <w:rFonts w:eastAsia="Times New Roman"/>
    </w:rPr>
  </w:style>
  <w:style w:type="character" w:customStyle="1" w:styleId="HeaderChar">
    <w:name w:val="Header Char"/>
    <w:basedOn w:val="DefaultParagraphFont"/>
    <w:link w:val="Header"/>
    <w:rsid w:val="00952162"/>
    <w:rPr>
      <w:rFonts w:ascii="Times New Roman" w:eastAsia="Times New Roman" w:hAnsi="Times New Roman"/>
      <w:sz w:val="24"/>
      <w:szCs w:val="24"/>
    </w:rPr>
  </w:style>
  <w:style w:type="paragraph" w:styleId="Caption">
    <w:name w:val="caption"/>
    <w:basedOn w:val="Normal"/>
    <w:next w:val="Normal"/>
    <w:uiPriority w:val="35"/>
    <w:semiHidden/>
    <w:unhideWhenUsed/>
    <w:qFormat/>
    <w:rsid w:val="00952162"/>
    <w:pPr>
      <w:spacing w:after="200"/>
    </w:pPr>
    <w:rPr>
      <w:i/>
      <w:iCs/>
      <w:color w:val="44546A" w:themeColor="text2"/>
      <w:sz w:val="18"/>
      <w:szCs w:val="18"/>
      <w:lang w:val="bg-BG"/>
    </w:rPr>
  </w:style>
  <w:style w:type="paragraph" w:customStyle="1" w:styleId="CM3">
    <w:name w:val="CM3"/>
    <w:basedOn w:val="Normal"/>
    <w:next w:val="Normal"/>
    <w:uiPriority w:val="99"/>
    <w:rsid w:val="00952162"/>
    <w:pPr>
      <w:autoSpaceDE w:val="0"/>
      <w:autoSpaceDN w:val="0"/>
      <w:adjustRightInd w:val="0"/>
      <w:jc w:val="left"/>
    </w:pPr>
    <w:rPr>
      <w:lang w:val="bg-BG"/>
    </w:rPr>
  </w:style>
  <w:style w:type="paragraph" w:customStyle="1" w:styleId="Text1">
    <w:name w:val="Text 1"/>
    <w:basedOn w:val="Normal"/>
    <w:rsid w:val="00952162"/>
    <w:pPr>
      <w:spacing w:before="120" w:after="120"/>
      <w:ind w:left="850"/>
    </w:pPr>
    <w:rPr>
      <w:szCs w:val="22"/>
      <w:lang w:val="bg-BG"/>
    </w:rPr>
  </w:style>
  <w:style w:type="paragraph" w:customStyle="1" w:styleId="Text2">
    <w:name w:val="Text 2"/>
    <w:basedOn w:val="Normal"/>
    <w:rsid w:val="00952162"/>
    <w:pPr>
      <w:spacing w:before="120" w:after="120"/>
      <w:ind w:left="1417"/>
    </w:pPr>
    <w:rPr>
      <w:szCs w:val="22"/>
      <w:lang w:val="bg-BG"/>
    </w:rPr>
  </w:style>
  <w:style w:type="paragraph" w:customStyle="1" w:styleId="NormalLeft">
    <w:name w:val="Normal Left"/>
    <w:basedOn w:val="Normal"/>
    <w:rsid w:val="00952162"/>
    <w:pPr>
      <w:spacing w:before="120" w:after="120"/>
      <w:jc w:val="left"/>
    </w:pPr>
    <w:rPr>
      <w:szCs w:val="22"/>
      <w:lang w:val="bg-BG"/>
    </w:rPr>
  </w:style>
  <w:style w:type="paragraph" w:customStyle="1" w:styleId="Tiret1">
    <w:name w:val="Tiret 1"/>
    <w:basedOn w:val="Normal"/>
    <w:rsid w:val="00952162"/>
    <w:pPr>
      <w:numPr>
        <w:numId w:val="1"/>
      </w:numPr>
      <w:spacing w:before="120" w:after="120"/>
    </w:pPr>
    <w:rPr>
      <w:szCs w:val="22"/>
      <w:lang w:val="bg-BG"/>
    </w:rPr>
  </w:style>
  <w:style w:type="paragraph" w:customStyle="1" w:styleId="ManualHeading1">
    <w:name w:val="Manual Heading 1"/>
    <w:basedOn w:val="Normal"/>
    <w:next w:val="Text1"/>
    <w:rsid w:val="00952162"/>
    <w:pPr>
      <w:keepNext/>
      <w:tabs>
        <w:tab w:val="left" w:pos="850"/>
      </w:tabs>
      <w:spacing w:before="360" w:after="120"/>
      <w:ind w:left="850" w:hanging="850"/>
      <w:outlineLvl w:val="0"/>
    </w:pPr>
    <w:rPr>
      <w:b/>
      <w:smallCaps/>
      <w:szCs w:val="22"/>
      <w:lang w:val="bg-BG"/>
    </w:rPr>
  </w:style>
  <w:style w:type="paragraph" w:customStyle="1" w:styleId="ManualHeading2">
    <w:name w:val="Manual Heading 2"/>
    <w:basedOn w:val="Normal"/>
    <w:next w:val="Text1"/>
    <w:rsid w:val="00952162"/>
    <w:pPr>
      <w:keepNext/>
      <w:tabs>
        <w:tab w:val="left" w:pos="850"/>
      </w:tabs>
      <w:spacing w:before="120" w:after="120"/>
      <w:ind w:left="850" w:hanging="850"/>
      <w:outlineLvl w:val="1"/>
    </w:pPr>
    <w:rPr>
      <w:b/>
      <w:szCs w:val="22"/>
      <w:lang w:val="bg-BG"/>
    </w:rPr>
  </w:style>
  <w:style w:type="paragraph" w:customStyle="1" w:styleId="ManualHeading3">
    <w:name w:val="Manual Heading 3"/>
    <w:basedOn w:val="Normal"/>
    <w:next w:val="Text1"/>
    <w:rsid w:val="00952162"/>
    <w:pPr>
      <w:keepNext/>
      <w:tabs>
        <w:tab w:val="left" w:pos="850"/>
      </w:tabs>
      <w:spacing w:before="120" w:after="120"/>
      <w:ind w:left="850" w:hanging="850"/>
      <w:outlineLvl w:val="2"/>
    </w:pPr>
    <w:rPr>
      <w:i/>
      <w:szCs w:val="22"/>
      <w:lang w:val="bg-BG"/>
    </w:rPr>
  </w:style>
  <w:style w:type="paragraph" w:styleId="Footer">
    <w:name w:val="footer"/>
    <w:basedOn w:val="Normal"/>
    <w:link w:val="FooterChar1"/>
    <w:unhideWhenUsed/>
    <w:rsid w:val="00952162"/>
    <w:pPr>
      <w:tabs>
        <w:tab w:val="center" w:pos="4513"/>
        <w:tab w:val="right" w:pos="9026"/>
      </w:tabs>
    </w:pPr>
  </w:style>
  <w:style w:type="character" w:customStyle="1" w:styleId="FooterChar1">
    <w:name w:val="Footer Char1"/>
    <w:basedOn w:val="DefaultParagraphFont"/>
    <w:link w:val="Footer"/>
    <w:rsid w:val="00952162"/>
    <w:rPr>
      <w:rFonts w:ascii="Times New Roman" w:hAnsi="Times New Roman"/>
      <w:sz w:val="24"/>
      <w:szCs w:val="24"/>
    </w:rPr>
  </w:style>
  <w:style w:type="character" w:customStyle="1" w:styleId="HideTWBExt">
    <w:name w:val="HideTWBExt"/>
    <w:rsid w:val="00952162"/>
    <w:rPr>
      <w:rFonts w:ascii="Arial" w:hAnsi="Arial"/>
      <w:noProof/>
      <w:vanish/>
      <w:color w:val="000080"/>
      <w:sz w:val="20"/>
    </w:rPr>
  </w:style>
  <w:style w:type="paragraph" w:styleId="TOC1">
    <w:name w:val="toc 1"/>
    <w:basedOn w:val="Normal"/>
    <w:next w:val="Normal"/>
    <w:autoRedefine/>
    <w:uiPriority w:val="39"/>
    <w:rsid w:val="00952162"/>
    <w:pPr>
      <w:keepNext/>
      <w:keepLines/>
      <w:spacing w:before="200"/>
      <w:jc w:val="left"/>
    </w:pPr>
    <w:rPr>
      <w:rFonts w:eastAsia="Times New Roman"/>
      <w:b/>
      <w:noProof/>
      <w:szCs w:val="20"/>
      <w:lang w:val="fr-FR" w:eastAsia="fr-FR"/>
    </w:rPr>
  </w:style>
  <w:style w:type="character" w:customStyle="1" w:styleId="HideTWBInt">
    <w:name w:val="HideTWBInt"/>
    <w:rsid w:val="00952162"/>
    <w:rPr>
      <w:rFonts w:ascii="Arial" w:hAnsi="Arial" w:cs="Arial"/>
      <w:vanish/>
      <w:color w:val="808080"/>
      <w:sz w:val="20"/>
    </w:rPr>
  </w:style>
  <w:style w:type="paragraph" w:customStyle="1" w:styleId="EPBodyTA2">
    <w:name w:val="EPBodyTA2"/>
    <w:basedOn w:val="Normal"/>
    <w:rsid w:val="00952162"/>
    <w:pPr>
      <w:widowControl w:val="0"/>
      <w:jc w:val="center"/>
    </w:pPr>
    <w:rPr>
      <w:rFonts w:ascii="Arial" w:eastAsia="Times New Roman" w:hAnsi="Arial"/>
      <w:bCs/>
      <w:i/>
      <w:sz w:val="20"/>
      <w:szCs w:val="20"/>
      <w:lang w:val="bg-BG" w:eastAsia="en-GB"/>
    </w:rPr>
  </w:style>
  <w:style w:type="paragraph" w:customStyle="1" w:styleId="EPBodyTA1">
    <w:name w:val="EPBodyTA1"/>
    <w:basedOn w:val="Normal"/>
    <w:rsid w:val="00952162"/>
    <w:pPr>
      <w:widowControl w:val="0"/>
      <w:jc w:val="center"/>
    </w:pPr>
    <w:rPr>
      <w:rFonts w:ascii="Arial" w:eastAsia="Times New Roman" w:hAnsi="Arial" w:cs="Arial"/>
      <w:b/>
      <w:sz w:val="22"/>
      <w:szCs w:val="22"/>
      <w:lang w:val="bg-BG" w:eastAsia="en-GB"/>
    </w:rPr>
  </w:style>
  <w:style w:type="paragraph" w:customStyle="1" w:styleId="LineTop">
    <w:name w:val="LineTop"/>
    <w:basedOn w:val="Normal"/>
    <w:next w:val="Normal"/>
    <w:rsid w:val="00952162"/>
    <w:pPr>
      <w:widowControl w:val="0"/>
      <w:pBdr>
        <w:top w:val="single" w:sz="4" w:space="1" w:color="auto"/>
      </w:pBdr>
      <w:jc w:val="center"/>
    </w:pPr>
    <w:rPr>
      <w:rFonts w:ascii="Arial" w:eastAsia="Times New Roman" w:hAnsi="Arial" w:cs="Arial"/>
      <w:sz w:val="16"/>
      <w:szCs w:val="16"/>
      <w:lang w:val="bg-BG" w:eastAsia="en-GB"/>
    </w:rPr>
  </w:style>
  <w:style w:type="paragraph" w:customStyle="1" w:styleId="LineBottom">
    <w:name w:val="LineBottom"/>
    <w:basedOn w:val="Normal"/>
    <w:next w:val="Normal"/>
    <w:rsid w:val="00952162"/>
    <w:pPr>
      <w:widowControl w:val="0"/>
      <w:pBdr>
        <w:bottom w:val="single" w:sz="4" w:space="1" w:color="auto"/>
      </w:pBdr>
      <w:spacing w:after="240"/>
      <w:jc w:val="center"/>
    </w:pPr>
    <w:rPr>
      <w:rFonts w:ascii="Arial" w:eastAsia="Times New Roman" w:hAnsi="Arial" w:cs="Arial"/>
      <w:sz w:val="16"/>
      <w:szCs w:val="16"/>
      <w:lang w:val="bg-BG" w:eastAsia="en-GB"/>
    </w:rPr>
  </w:style>
  <w:style w:type="paragraph" w:customStyle="1" w:styleId="ATHeading1">
    <w:name w:val="AT Heading 1"/>
    <w:basedOn w:val="Normal"/>
    <w:next w:val="Normal"/>
    <w:rsid w:val="00952162"/>
    <w:pPr>
      <w:keepNext/>
      <w:keepLines/>
      <w:spacing w:before="480" w:after="120"/>
      <w:jc w:val="left"/>
      <w:outlineLvl w:val="0"/>
    </w:pPr>
    <w:rPr>
      <w:rFonts w:eastAsia="Times New Roman"/>
      <w:b/>
      <w:sz w:val="28"/>
      <w:szCs w:val="20"/>
      <w:lang w:val="bg-BG" w:eastAsia="fr-FR"/>
    </w:rPr>
  </w:style>
  <w:style w:type="paragraph" w:customStyle="1" w:styleId="ATHeading2">
    <w:name w:val="AT Heading 2"/>
    <w:basedOn w:val="Normal"/>
    <w:next w:val="Normal"/>
    <w:rsid w:val="00952162"/>
    <w:pPr>
      <w:spacing w:before="120" w:after="120"/>
      <w:jc w:val="left"/>
      <w:outlineLvl w:val="1"/>
    </w:pPr>
    <w:rPr>
      <w:rFonts w:eastAsia="Times New Roman"/>
      <w:b/>
      <w:sz w:val="28"/>
      <w:szCs w:val="20"/>
      <w:lang w:val="bg-BG" w:eastAsia="fr-FR"/>
    </w:rPr>
  </w:style>
  <w:style w:type="paragraph" w:customStyle="1" w:styleId="ATHeading3">
    <w:name w:val="AT Heading 3"/>
    <w:basedOn w:val="Normal"/>
    <w:next w:val="Normal"/>
    <w:rsid w:val="00952162"/>
    <w:pPr>
      <w:keepNext/>
      <w:keepLines/>
      <w:spacing w:before="120" w:after="120"/>
      <w:jc w:val="left"/>
      <w:outlineLvl w:val="2"/>
    </w:pPr>
    <w:rPr>
      <w:rFonts w:eastAsia="Times New Roman"/>
      <w:b/>
      <w:szCs w:val="20"/>
      <w:lang w:val="bg-BG" w:eastAsia="fr-FR"/>
    </w:rPr>
  </w:style>
  <w:style w:type="paragraph" w:customStyle="1" w:styleId="ATHeadingMotiv">
    <w:name w:val="AT Heading Motiv"/>
    <w:basedOn w:val="Normal"/>
    <w:next w:val="Normal"/>
    <w:rsid w:val="00952162"/>
    <w:pPr>
      <w:keepNext/>
      <w:spacing w:before="60" w:after="60"/>
      <w:jc w:val="center"/>
    </w:pPr>
    <w:rPr>
      <w:rFonts w:eastAsia="Times New Roman"/>
      <w:i/>
      <w:szCs w:val="20"/>
      <w:lang w:val="bg-BG" w:eastAsia="fr-FR"/>
    </w:rPr>
  </w:style>
  <w:style w:type="paragraph" w:styleId="FootnoteText">
    <w:name w:val="footnote text"/>
    <w:basedOn w:val="Normal"/>
    <w:link w:val="FootnoteTextChar"/>
    <w:uiPriority w:val="99"/>
    <w:rsid w:val="00952162"/>
    <w:pPr>
      <w:keepLines/>
      <w:spacing w:line="260" w:lineRule="exact"/>
      <w:ind w:left="425" w:hanging="425"/>
      <w:jc w:val="left"/>
    </w:pPr>
    <w:rPr>
      <w:rFonts w:eastAsia="Times New Roman"/>
      <w:sz w:val="22"/>
      <w:szCs w:val="20"/>
      <w:lang w:val="fr-FR" w:eastAsia="fr-FR"/>
    </w:rPr>
  </w:style>
  <w:style w:type="character" w:customStyle="1" w:styleId="FootnoteTextChar">
    <w:name w:val="Footnote Text Char"/>
    <w:basedOn w:val="DefaultParagraphFont"/>
    <w:link w:val="FootnoteText"/>
    <w:uiPriority w:val="99"/>
    <w:rsid w:val="00952162"/>
    <w:rPr>
      <w:rFonts w:ascii="Times New Roman" w:eastAsia="Times New Roman" w:hAnsi="Times New Roman"/>
      <w:szCs w:val="20"/>
      <w:lang w:val="fr-FR" w:eastAsia="fr-FR"/>
    </w:rPr>
  </w:style>
  <w:style w:type="character" w:styleId="PageNumber">
    <w:name w:val="page number"/>
    <w:rsid w:val="00952162"/>
  </w:style>
  <w:style w:type="paragraph" w:styleId="TOC2">
    <w:name w:val="toc 2"/>
    <w:basedOn w:val="Normal"/>
    <w:next w:val="Normal"/>
    <w:autoRedefine/>
    <w:semiHidden/>
    <w:rsid w:val="00952162"/>
    <w:pPr>
      <w:keepNext/>
      <w:keepLines/>
      <w:jc w:val="left"/>
    </w:pPr>
    <w:rPr>
      <w:rFonts w:eastAsia="Times New Roman"/>
      <w:b/>
      <w:noProof/>
      <w:szCs w:val="20"/>
      <w:lang w:val="fr-FR" w:eastAsia="fr-FR"/>
    </w:rPr>
  </w:style>
  <w:style w:type="paragraph" w:styleId="TOC3">
    <w:name w:val="toc 3"/>
    <w:basedOn w:val="Normal"/>
    <w:next w:val="Normal"/>
    <w:autoRedefine/>
    <w:semiHidden/>
    <w:rsid w:val="00952162"/>
    <w:pPr>
      <w:keepLines/>
      <w:ind w:right="510"/>
      <w:jc w:val="left"/>
    </w:pPr>
    <w:rPr>
      <w:rFonts w:eastAsia="Times New Roman"/>
      <w:noProof/>
      <w:szCs w:val="20"/>
      <w:lang w:val="fr-FR" w:eastAsia="fr-FR"/>
    </w:rPr>
  </w:style>
  <w:style w:type="paragraph" w:customStyle="1" w:styleId="EPName">
    <w:name w:val="EPName"/>
    <w:basedOn w:val="Normal"/>
    <w:rsid w:val="00952162"/>
    <w:pPr>
      <w:widowControl w:val="0"/>
      <w:spacing w:before="80" w:after="80"/>
      <w:jc w:val="left"/>
    </w:pPr>
    <w:rPr>
      <w:rFonts w:ascii="Arial Narrow" w:eastAsia="Times New Roman" w:hAnsi="Arial Narrow" w:cs="Arial"/>
      <w:b/>
      <w:sz w:val="32"/>
      <w:szCs w:val="22"/>
      <w:lang w:val="bg-BG" w:eastAsia="en-GB"/>
    </w:rPr>
  </w:style>
  <w:style w:type="paragraph" w:customStyle="1" w:styleId="EPTerm">
    <w:name w:val="EPTerm"/>
    <w:basedOn w:val="Normal"/>
    <w:next w:val="Normal"/>
    <w:rsid w:val="00952162"/>
    <w:pPr>
      <w:widowControl w:val="0"/>
      <w:spacing w:after="80"/>
      <w:jc w:val="left"/>
    </w:pPr>
    <w:rPr>
      <w:rFonts w:ascii="Arial" w:eastAsia="Times New Roman" w:hAnsi="Arial" w:cs="Arial"/>
      <w:sz w:val="20"/>
      <w:szCs w:val="22"/>
      <w:lang w:val="bg-BG" w:eastAsia="en-GB"/>
    </w:rPr>
  </w:style>
  <w:style w:type="paragraph" w:customStyle="1" w:styleId="EPLogo">
    <w:name w:val="EPLogo"/>
    <w:basedOn w:val="Normal"/>
    <w:qFormat/>
    <w:rsid w:val="00952162"/>
    <w:pPr>
      <w:widowControl w:val="0"/>
      <w:jc w:val="right"/>
    </w:pPr>
    <w:rPr>
      <w:rFonts w:eastAsia="Times New Roman"/>
      <w:szCs w:val="20"/>
      <w:lang w:val="bg-BG" w:eastAsia="en-GB"/>
    </w:rPr>
  </w:style>
  <w:style w:type="paragraph" w:customStyle="1" w:styleId="EPFooter2">
    <w:name w:val="EPFooter2"/>
    <w:basedOn w:val="Normal"/>
    <w:next w:val="Normal"/>
    <w:rsid w:val="00952162"/>
    <w:pPr>
      <w:tabs>
        <w:tab w:val="center" w:pos="4535"/>
        <w:tab w:val="right" w:pos="9921"/>
      </w:tabs>
      <w:ind w:left="-850" w:right="-850"/>
      <w:jc w:val="left"/>
    </w:pPr>
    <w:rPr>
      <w:rFonts w:ascii="Arial" w:eastAsia="Times New Roman" w:hAnsi="Arial" w:cs="Arial"/>
      <w:b/>
      <w:sz w:val="48"/>
      <w:szCs w:val="20"/>
      <w:lang w:val="bg-BG" w:eastAsia="en-GB"/>
    </w:rPr>
  </w:style>
  <w:style w:type="paragraph" w:customStyle="1" w:styleId="TOCPage">
    <w:name w:val="TOC Page"/>
    <w:basedOn w:val="Normal"/>
    <w:next w:val="TOC1"/>
    <w:rsid w:val="00952162"/>
    <w:pPr>
      <w:keepNext/>
      <w:widowControl w:val="0"/>
      <w:spacing w:after="240"/>
      <w:jc w:val="right"/>
    </w:pPr>
    <w:rPr>
      <w:rFonts w:ascii="Arial" w:eastAsia="Times New Roman" w:hAnsi="Arial"/>
      <w:b/>
      <w:szCs w:val="20"/>
      <w:lang w:val="bg-BG" w:eastAsia="en-GB"/>
    </w:rPr>
  </w:style>
  <w:style w:type="paragraph" w:customStyle="1" w:styleId="PageHeading">
    <w:name w:val="PageHeading"/>
    <w:basedOn w:val="Normal"/>
    <w:rsid w:val="00952162"/>
    <w:pPr>
      <w:keepNext/>
      <w:widowControl w:val="0"/>
      <w:spacing w:after="480"/>
      <w:jc w:val="center"/>
    </w:pPr>
    <w:rPr>
      <w:rFonts w:ascii="Arial" w:eastAsia="Times New Roman" w:hAnsi="Arial" w:cs="Arial"/>
      <w:b/>
      <w:szCs w:val="20"/>
      <w:lang w:val="bg-BG" w:eastAsia="en-GB"/>
    </w:rPr>
  </w:style>
  <w:style w:type="paragraph" w:customStyle="1" w:styleId="NormalBold">
    <w:name w:val="NormalBold"/>
    <w:basedOn w:val="Normal"/>
    <w:link w:val="NormalBoldChar"/>
    <w:rsid w:val="00952162"/>
    <w:pPr>
      <w:widowControl w:val="0"/>
      <w:jc w:val="left"/>
    </w:pPr>
    <w:rPr>
      <w:rFonts w:eastAsia="Times New Roman"/>
      <w:b/>
      <w:szCs w:val="20"/>
      <w:lang w:val="bg-BG" w:eastAsia="en-GB"/>
    </w:rPr>
  </w:style>
  <w:style w:type="paragraph" w:customStyle="1" w:styleId="NormalBold12a">
    <w:name w:val="NormalBold12a"/>
    <w:basedOn w:val="Normal"/>
    <w:rsid w:val="00952162"/>
    <w:pPr>
      <w:widowControl w:val="0"/>
      <w:spacing w:after="240"/>
      <w:jc w:val="left"/>
    </w:pPr>
    <w:rPr>
      <w:rFonts w:eastAsia="Times New Roman"/>
      <w:b/>
      <w:szCs w:val="20"/>
      <w:lang w:val="bg-BG" w:eastAsia="en-GB"/>
    </w:rPr>
  </w:style>
  <w:style w:type="paragraph" w:customStyle="1" w:styleId="AmJustText">
    <w:name w:val="AmJustText"/>
    <w:basedOn w:val="Normal"/>
    <w:rsid w:val="00952162"/>
    <w:pPr>
      <w:widowControl w:val="0"/>
      <w:spacing w:after="240"/>
      <w:jc w:val="left"/>
    </w:pPr>
    <w:rPr>
      <w:rFonts w:eastAsia="Times New Roman"/>
      <w:i/>
      <w:szCs w:val="20"/>
      <w:lang w:val="bg-BG" w:eastAsia="en-GB"/>
    </w:rPr>
  </w:style>
  <w:style w:type="paragraph" w:customStyle="1" w:styleId="NormalHanging12a">
    <w:name w:val="NormalHanging12a"/>
    <w:basedOn w:val="Normal"/>
    <w:rsid w:val="00952162"/>
    <w:pPr>
      <w:widowControl w:val="0"/>
      <w:spacing w:after="240"/>
      <w:ind w:left="567" w:hanging="567"/>
      <w:jc w:val="left"/>
    </w:pPr>
    <w:rPr>
      <w:rFonts w:eastAsia="Times New Roman"/>
      <w:szCs w:val="20"/>
      <w:lang w:val="bg-BG" w:eastAsia="en-GB"/>
    </w:rPr>
  </w:style>
  <w:style w:type="paragraph" w:customStyle="1" w:styleId="CoverNormal24a">
    <w:name w:val="CoverNormal24a"/>
    <w:basedOn w:val="Normal"/>
    <w:rsid w:val="00952162"/>
    <w:pPr>
      <w:widowControl w:val="0"/>
      <w:spacing w:after="480"/>
      <w:ind w:left="1417"/>
      <w:jc w:val="left"/>
    </w:pPr>
    <w:rPr>
      <w:rFonts w:eastAsia="Times New Roman"/>
      <w:szCs w:val="20"/>
      <w:lang w:val="bg-BG" w:eastAsia="en-GB"/>
    </w:rPr>
  </w:style>
  <w:style w:type="paragraph" w:customStyle="1" w:styleId="CoverNormal">
    <w:name w:val="CoverNormal"/>
    <w:basedOn w:val="Normal"/>
    <w:rsid w:val="00952162"/>
    <w:pPr>
      <w:widowControl w:val="0"/>
      <w:ind w:left="1418"/>
      <w:jc w:val="left"/>
    </w:pPr>
    <w:rPr>
      <w:rFonts w:eastAsia="Times New Roman"/>
      <w:szCs w:val="20"/>
      <w:lang w:val="bg-BG" w:eastAsia="en-GB"/>
    </w:rPr>
  </w:style>
  <w:style w:type="paragraph" w:customStyle="1" w:styleId="AmCrossRef">
    <w:name w:val="AmCrossRef"/>
    <w:basedOn w:val="Normal"/>
    <w:rsid w:val="00952162"/>
    <w:pPr>
      <w:widowControl w:val="0"/>
      <w:spacing w:before="240" w:after="240"/>
      <w:jc w:val="center"/>
    </w:pPr>
    <w:rPr>
      <w:rFonts w:eastAsia="Times New Roman"/>
      <w:i/>
      <w:szCs w:val="20"/>
      <w:lang w:val="bg-BG" w:eastAsia="en-GB"/>
    </w:rPr>
  </w:style>
  <w:style w:type="paragraph" w:customStyle="1" w:styleId="AmJustTitle">
    <w:name w:val="AmJustTitle"/>
    <w:basedOn w:val="Normal"/>
    <w:next w:val="AmJustText"/>
    <w:rsid w:val="00952162"/>
    <w:pPr>
      <w:keepNext/>
      <w:widowControl w:val="0"/>
      <w:spacing w:before="240" w:after="240"/>
      <w:jc w:val="center"/>
    </w:pPr>
    <w:rPr>
      <w:rFonts w:eastAsia="Times New Roman"/>
      <w:i/>
      <w:szCs w:val="20"/>
      <w:lang w:val="bg-BG" w:eastAsia="en-GB"/>
    </w:rPr>
  </w:style>
  <w:style w:type="paragraph" w:customStyle="1" w:styleId="CoverReference">
    <w:name w:val="CoverReference"/>
    <w:basedOn w:val="Normal"/>
    <w:rsid w:val="00952162"/>
    <w:pPr>
      <w:widowControl w:val="0"/>
      <w:spacing w:before="1080"/>
      <w:jc w:val="right"/>
    </w:pPr>
    <w:rPr>
      <w:rFonts w:ascii="Arial" w:eastAsia="Times New Roman" w:hAnsi="Arial" w:cs="Arial"/>
      <w:b/>
      <w:szCs w:val="20"/>
      <w:lang w:val="bg-BG" w:eastAsia="en-GB"/>
    </w:rPr>
  </w:style>
  <w:style w:type="paragraph" w:customStyle="1" w:styleId="CoverDocType">
    <w:name w:val="CoverDocType"/>
    <w:basedOn w:val="Normal"/>
    <w:rsid w:val="00952162"/>
    <w:pPr>
      <w:widowControl w:val="0"/>
      <w:ind w:left="1418"/>
      <w:jc w:val="left"/>
    </w:pPr>
    <w:rPr>
      <w:rFonts w:ascii="Arial" w:eastAsia="Times New Roman" w:hAnsi="Arial"/>
      <w:b/>
      <w:sz w:val="48"/>
      <w:szCs w:val="20"/>
      <w:lang w:val="bg-BG" w:eastAsia="en-GB"/>
    </w:rPr>
  </w:style>
  <w:style w:type="paragraph" w:customStyle="1" w:styleId="CoverDocType24a">
    <w:name w:val="CoverDocType24a"/>
    <w:basedOn w:val="Normal"/>
    <w:rsid w:val="00952162"/>
    <w:pPr>
      <w:widowControl w:val="0"/>
      <w:spacing w:after="480"/>
      <w:ind w:left="1418"/>
      <w:jc w:val="left"/>
    </w:pPr>
    <w:rPr>
      <w:rFonts w:ascii="Arial" w:eastAsia="Times New Roman" w:hAnsi="Arial"/>
      <w:b/>
      <w:sz w:val="48"/>
      <w:szCs w:val="20"/>
      <w:lang w:val="bg-BG" w:eastAsia="en-GB"/>
    </w:rPr>
  </w:style>
  <w:style w:type="paragraph" w:customStyle="1" w:styleId="CoverDate">
    <w:name w:val="CoverDate"/>
    <w:basedOn w:val="Normal"/>
    <w:rsid w:val="00952162"/>
    <w:pPr>
      <w:widowControl w:val="0"/>
      <w:spacing w:before="240" w:after="1200"/>
      <w:jc w:val="left"/>
    </w:pPr>
    <w:rPr>
      <w:rFonts w:eastAsia="Times New Roman"/>
      <w:szCs w:val="20"/>
      <w:lang w:val="bg-BG" w:eastAsia="en-GB"/>
    </w:rPr>
  </w:style>
  <w:style w:type="paragraph" w:customStyle="1" w:styleId="AmOrLang">
    <w:name w:val="AmOrLang"/>
    <w:basedOn w:val="Normal"/>
    <w:rsid w:val="00952162"/>
    <w:pPr>
      <w:widowControl w:val="0"/>
      <w:spacing w:before="240" w:after="240"/>
      <w:jc w:val="right"/>
    </w:pPr>
    <w:rPr>
      <w:rFonts w:eastAsia="Times New Roman"/>
      <w:szCs w:val="20"/>
      <w:lang w:val="bg-BG" w:eastAsia="en-GB"/>
    </w:rPr>
  </w:style>
  <w:style w:type="paragraph" w:customStyle="1" w:styleId="AmNumberTabs">
    <w:name w:val="AmNumberTabs"/>
    <w:basedOn w:val="Normal"/>
    <w:link w:val="AmNumberTabsChar"/>
    <w:rsid w:val="0095216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bg-BG" w:eastAsia="en-GB"/>
    </w:rPr>
  </w:style>
  <w:style w:type="paragraph" w:customStyle="1" w:styleId="NormalBold12b">
    <w:name w:val="NormalBold12b"/>
    <w:basedOn w:val="Normal"/>
    <w:link w:val="NormalBold12bChar"/>
    <w:rsid w:val="00952162"/>
    <w:pPr>
      <w:widowControl w:val="0"/>
      <w:spacing w:before="240"/>
      <w:jc w:val="left"/>
    </w:pPr>
    <w:rPr>
      <w:rFonts w:eastAsia="Times New Roman"/>
      <w:b/>
      <w:szCs w:val="20"/>
      <w:lang w:val="bg-BG" w:eastAsia="en-GB"/>
    </w:rPr>
  </w:style>
  <w:style w:type="paragraph" w:customStyle="1" w:styleId="EPBody">
    <w:name w:val="EPBody"/>
    <w:basedOn w:val="Normal"/>
    <w:rsid w:val="00952162"/>
    <w:pPr>
      <w:widowControl w:val="0"/>
      <w:jc w:val="center"/>
    </w:pPr>
    <w:rPr>
      <w:rFonts w:ascii="Arial" w:eastAsia="Times New Roman" w:hAnsi="Arial" w:cs="Arial"/>
      <w:i/>
      <w:sz w:val="22"/>
      <w:szCs w:val="22"/>
      <w:lang w:val="bg-BG" w:eastAsia="en-GB"/>
    </w:rPr>
  </w:style>
  <w:style w:type="paragraph" w:customStyle="1" w:styleId="EPFooter">
    <w:name w:val="EPFooter"/>
    <w:basedOn w:val="Normal"/>
    <w:rsid w:val="00952162"/>
    <w:pPr>
      <w:widowControl w:val="0"/>
      <w:tabs>
        <w:tab w:val="center" w:pos="4535"/>
        <w:tab w:val="right" w:pos="9071"/>
      </w:tabs>
      <w:spacing w:before="240" w:after="240"/>
      <w:jc w:val="left"/>
    </w:pPr>
    <w:rPr>
      <w:rFonts w:eastAsia="Times New Roman"/>
      <w:color w:val="010000"/>
      <w:sz w:val="22"/>
      <w:szCs w:val="20"/>
      <w:lang w:val="bg-BG" w:eastAsia="en-GB"/>
    </w:rPr>
  </w:style>
  <w:style w:type="paragraph" w:customStyle="1" w:styleId="EPComma">
    <w:name w:val="EPComma"/>
    <w:basedOn w:val="Normal"/>
    <w:rsid w:val="00952162"/>
    <w:pPr>
      <w:widowControl w:val="0"/>
      <w:spacing w:before="480" w:after="240"/>
      <w:jc w:val="left"/>
    </w:pPr>
    <w:rPr>
      <w:rFonts w:eastAsia="Times New Roman"/>
      <w:szCs w:val="20"/>
      <w:lang w:val="bg-BG" w:eastAsia="en-GB"/>
    </w:rPr>
  </w:style>
  <w:style w:type="paragraph" w:customStyle="1" w:styleId="Lgendesigne">
    <w:name w:val="Légende signe"/>
    <w:basedOn w:val="Normal"/>
    <w:rsid w:val="00952162"/>
    <w:pPr>
      <w:widowControl w:val="0"/>
      <w:tabs>
        <w:tab w:val="right" w:pos="454"/>
        <w:tab w:val="left" w:pos="737"/>
      </w:tabs>
      <w:snapToGrid w:val="0"/>
      <w:ind w:left="737" w:hanging="737"/>
      <w:jc w:val="left"/>
    </w:pPr>
    <w:rPr>
      <w:rFonts w:eastAsia="Times New Roman"/>
      <w:sz w:val="18"/>
      <w:szCs w:val="20"/>
      <w:lang w:val="bg-BG"/>
    </w:rPr>
  </w:style>
  <w:style w:type="paragraph" w:customStyle="1" w:styleId="Lgendetitre">
    <w:name w:val="Légende titre"/>
    <w:basedOn w:val="Normal"/>
    <w:rsid w:val="00952162"/>
    <w:pPr>
      <w:widowControl w:val="0"/>
      <w:snapToGrid w:val="0"/>
      <w:spacing w:before="240" w:after="240"/>
      <w:jc w:val="left"/>
    </w:pPr>
    <w:rPr>
      <w:rFonts w:eastAsia="Times New Roman"/>
      <w:b/>
      <w:i/>
      <w:szCs w:val="20"/>
      <w:lang w:val="bg-BG"/>
    </w:rPr>
  </w:style>
  <w:style w:type="paragraph" w:customStyle="1" w:styleId="Lgendestandard">
    <w:name w:val="Légende standard"/>
    <w:basedOn w:val="Normal"/>
    <w:rsid w:val="00952162"/>
    <w:pPr>
      <w:widowControl w:val="0"/>
      <w:jc w:val="left"/>
    </w:pPr>
    <w:rPr>
      <w:rFonts w:eastAsia="Times New Roman"/>
      <w:sz w:val="18"/>
      <w:szCs w:val="20"/>
      <w:lang w:val="bg-BG" w:eastAsia="en-GB"/>
    </w:rPr>
  </w:style>
  <w:style w:type="paragraph" w:customStyle="1" w:styleId="Normal24a">
    <w:name w:val="Normal24a"/>
    <w:basedOn w:val="Normal"/>
    <w:rsid w:val="00952162"/>
    <w:pPr>
      <w:widowControl w:val="0"/>
      <w:spacing w:after="480"/>
      <w:jc w:val="left"/>
    </w:pPr>
    <w:rPr>
      <w:rFonts w:eastAsia="Times New Roman"/>
      <w:szCs w:val="20"/>
      <w:lang w:val="bg-BG" w:eastAsia="en-GB"/>
    </w:rPr>
  </w:style>
  <w:style w:type="paragraph" w:customStyle="1" w:styleId="NormalBoldCenter">
    <w:name w:val="NormalBoldCenter"/>
    <w:basedOn w:val="Normal"/>
    <w:rsid w:val="00952162"/>
    <w:pPr>
      <w:widowControl w:val="0"/>
      <w:jc w:val="center"/>
    </w:pPr>
    <w:rPr>
      <w:rFonts w:eastAsia="Times New Roman"/>
      <w:b/>
      <w:szCs w:val="20"/>
      <w:lang w:val="bg-BG" w:eastAsia="en-GB"/>
    </w:rPr>
  </w:style>
  <w:style w:type="paragraph" w:customStyle="1" w:styleId="msonormal0">
    <w:name w:val="msonormal"/>
    <w:basedOn w:val="Normal"/>
    <w:rsid w:val="00952162"/>
    <w:pPr>
      <w:spacing w:before="100" w:beforeAutospacing="1" w:after="100" w:afterAutospacing="1"/>
      <w:jc w:val="left"/>
    </w:pPr>
    <w:rPr>
      <w:rFonts w:eastAsia="Times New Roman"/>
      <w:lang w:val="bg-BG" w:eastAsia="en-GB"/>
    </w:rPr>
  </w:style>
  <w:style w:type="character" w:customStyle="1" w:styleId="Normal12Char">
    <w:name w:val="Normal12 Char"/>
    <w:basedOn w:val="DefaultParagraphFont"/>
    <w:link w:val="Normal12"/>
    <w:locked/>
    <w:rsid w:val="00952162"/>
    <w:rPr>
      <w:noProof/>
      <w:sz w:val="24"/>
    </w:rPr>
  </w:style>
  <w:style w:type="paragraph" w:customStyle="1" w:styleId="Normal12">
    <w:name w:val="Normal12"/>
    <w:basedOn w:val="Normal"/>
    <w:link w:val="Normal12Char"/>
    <w:rsid w:val="00952162"/>
    <w:pPr>
      <w:widowControl w:val="0"/>
      <w:spacing w:after="240"/>
      <w:jc w:val="left"/>
    </w:pPr>
    <w:rPr>
      <w:rFonts w:asciiTheme="minorHAnsi" w:hAnsiTheme="minorHAnsi"/>
      <w:noProof/>
      <w:szCs w:val="22"/>
    </w:rPr>
  </w:style>
  <w:style w:type="paragraph" w:customStyle="1" w:styleId="CommitteeAM">
    <w:name w:val="CommitteeAM"/>
    <w:basedOn w:val="Normal"/>
    <w:rsid w:val="00952162"/>
    <w:pPr>
      <w:widowControl w:val="0"/>
      <w:spacing w:before="240" w:after="600"/>
      <w:jc w:val="center"/>
    </w:pPr>
    <w:rPr>
      <w:rFonts w:eastAsia="Times New Roman"/>
      <w:i/>
      <w:szCs w:val="20"/>
      <w:lang w:val="bg-BG" w:eastAsia="en-GB"/>
    </w:rPr>
  </w:style>
  <w:style w:type="paragraph" w:customStyle="1" w:styleId="ZDateAM">
    <w:name w:val="ZDateAM"/>
    <w:basedOn w:val="Normal"/>
    <w:rsid w:val="00952162"/>
    <w:pPr>
      <w:widowControl w:val="0"/>
      <w:tabs>
        <w:tab w:val="right" w:pos="9356"/>
      </w:tabs>
      <w:spacing w:after="480"/>
      <w:jc w:val="left"/>
    </w:pPr>
    <w:rPr>
      <w:rFonts w:eastAsia="Times New Roman"/>
      <w:noProof/>
      <w:szCs w:val="20"/>
      <w:lang w:val="bg-BG" w:eastAsia="en-GB"/>
    </w:rPr>
  </w:style>
  <w:style w:type="paragraph" w:customStyle="1" w:styleId="ProjRap">
    <w:name w:val="ProjRap"/>
    <w:basedOn w:val="Normal"/>
    <w:rsid w:val="00952162"/>
    <w:pPr>
      <w:widowControl w:val="0"/>
      <w:tabs>
        <w:tab w:val="right" w:pos="9356"/>
      </w:tabs>
      <w:jc w:val="left"/>
    </w:pPr>
    <w:rPr>
      <w:rFonts w:eastAsia="Times New Roman"/>
      <w:b/>
      <w:noProof/>
      <w:szCs w:val="20"/>
      <w:lang w:val="bg-BG" w:eastAsia="en-GB"/>
    </w:rPr>
  </w:style>
  <w:style w:type="paragraph" w:customStyle="1" w:styleId="PELeft">
    <w:name w:val="PELeft"/>
    <w:basedOn w:val="Normal"/>
    <w:rsid w:val="00952162"/>
    <w:pPr>
      <w:widowControl w:val="0"/>
      <w:spacing w:before="40" w:after="40"/>
      <w:jc w:val="left"/>
    </w:pPr>
    <w:rPr>
      <w:rFonts w:ascii="Arial" w:eastAsia="Times New Roman" w:hAnsi="Arial" w:cs="Arial"/>
      <w:sz w:val="22"/>
      <w:szCs w:val="22"/>
      <w:lang w:val="bg-BG" w:eastAsia="en-GB"/>
    </w:rPr>
  </w:style>
  <w:style w:type="paragraph" w:customStyle="1" w:styleId="PERight">
    <w:name w:val="PERight"/>
    <w:basedOn w:val="Normal"/>
    <w:next w:val="Normal"/>
    <w:rsid w:val="00952162"/>
    <w:pPr>
      <w:widowControl w:val="0"/>
      <w:jc w:val="right"/>
    </w:pPr>
    <w:rPr>
      <w:rFonts w:ascii="Arial" w:eastAsia="Times New Roman" w:hAnsi="Arial" w:cs="Arial"/>
      <w:sz w:val="22"/>
      <w:szCs w:val="22"/>
      <w:lang w:val="bg-BG" w:eastAsia="en-GB"/>
    </w:rPr>
  </w:style>
  <w:style w:type="character" w:customStyle="1" w:styleId="Normal6Char">
    <w:name w:val="Normal6 Char"/>
    <w:basedOn w:val="DefaultParagraphFont"/>
    <w:link w:val="Normal6"/>
    <w:locked/>
    <w:rsid w:val="00952162"/>
    <w:rPr>
      <w:sz w:val="24"/>
      <w:lang w:val="bg-BG"/>
    </w:rPr>
  </w:style>
  <w:style w:type="paragraph" w:customStyle="1" w:styleId="Normal6">
    <w:name w:val="Normal6"/>
    <w:basedOn w:val="Normal"/>
    <w:link w:val="Normal6Char"/>
    <w:rsid w:val="00952162"/>
    <w:pPr>
      <w:widowControl w:val="0"/>
      <w:spacing w:after="120"/>
      <w:jc w:val="left"/>
    </w:pPr>
    <w:rPr>
      <w:rFonts w:asciiTheme="minorHAnsi" w:hAnsiTheme="minorHAnsi"/>
      <w:szCs w:val="22"/>
      <w:lang w:val="bg-BG"/>
    </w:rPr>
  </w:style>
  <w:style w:type="character" w:customStyle="1" w:styleId="NormalBoldChar">
    <w:name w:val="NormalBold Char"/>
    <w:basedOn w:val="DefaultParagraphFont"/>
    <w:link w:val="NormalBold"/>
    <w:locked/>
    <w:rsid w:val="00952162"/>
    <w:rPr>
      <w:rFonts w:ascii="Times New Roman" w:eastAsia="Times New Roman" w:hAnsi="Times New Roman"/>
      <w:b/>
      <w:sz w:val="24"/>
      <w:szCs w:val="20"/>
      <w:lang w:val="bg-BG" w:eastAsia="en-GB"/>
    </w:rPr>
  </w:style>
  <w:style w:type="paragraph" w:customStyle="1" w:styleId="Normal12Italic">
    <w:name w:val="Normal12Italic"/>
    <w:basedOn w:val="Normal12"/>
    <w:rsid w:val="00952162"/>
    <w:rPr>
      <w:i/>
    </w:rPr>
  </w:style>
  <w:style w:type="paragraph" w:customStyle="1" w:styleId="JustificationTitle">
    <w:name w:val="JustificationTitle"/>
    <w:basedOn w:val="Normal"/>
    <w:next w:val="Normal12"/>
    <w:rsid w:val="00952162"/>
    <w:pPr>
      <w:keepNext/>
      <w:widowControl w:val="0"/>
      <w:spacing w:before="240" w:after="240"/>
      <w:jc w:val="center"/>
    </w:pPr>
    <w:rPr>
      <w:rFonts w:eastAsia="Times New Roman"/>
      <w:i/>
      <w:noProof/>
      <w:szCs w:val="20"/>
      <w:lang w:val="bg-BG" w:eastAsia="en-GB"/>
    </w:rPr>
  </w:style>
  <w:style w:type="paragraph" w:customStyle="1" w:styleId="Olang">
    <w:name w:val="Olang"/>
    <w:basedOn w:val="Normal"/>
    <w:rsid w:val="00952162"/>
    <w:pPr>
      <w:widowControl w:val="0"/>
      <w:spacing w:before="240" w:after="240"/>
      <w:jc w:val="right"/>
    </w:pPr>
    <w:rPr>
      <w:rFonts w:eastAsia="Times New Roman"/>
      <w:noProof/>
      <w:lang w:val="bg-BG" w:eastAsia="en-GB"/>
    </w:rPr>
  </w:style>
  <w:style w:type="paragraph" w:customStyle="1" w:styleId="ColumnHeading">
    <w:name w:val="ColumnHeading"/>
    <w:basedOn w:val="Normal"/>
    <w:rsid w:val="00952162"/>
    <w:pPr>
      <w:widowControl w:val="0"/>
      <w:spacing w:after="240"/>
      <w:jc w:val="center"/>
    </w:pPr>
    <w:rPr>
      <w:rFonts w:eastAsia="Times New Roman"/>
      <w:i/>
      <w:szCs w:val="20"/>
      <w:lang w:val="bg-BG" w:eastAsia="en-GB"/>
    </w:rPr>
  </w:style>
  <w:style w:type="paragraph" w:customStyle="1" w:styleId="AMNumberTabs0">
    <w:name w:val="AMNumberTabs"/>
    <w:basedOn w:val="Normal"/>
    <w:rsid w:val="0095216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bg-BG" w:eastAsia="en-GB"/>
    </w:rPr>
  </w:style>
  <w:style w:type="paragraph" w:customStyle="1" w:styleId="CrossRef">
    <w:name w:val="CrossRef"/>
    <w:basedOn w:val="Normal"/>
    <w:rsid w:val="00952162"/>
    <w:pPr>
      <w:widowControl w:val="0"/>
      <w:spacing w:before="240"/>
      <w:jc w:val="center"/>
    </w:pPr>
    <w:rPr>
      <w:rFonts w:eastAsia="Times New Roman"/>
      <w:i/>
      <w:szCs w:val="20"/>
      <w:lang w:val="bg-BG" w:eastAsia="en-GB"/>
    </w:rPr>
  </w:style>
  <w:style w:type="character" w:customStyle="1" w:styleId="Footer2Middle">
    <w:name w:val="Footer2Middle"/>
    <w:rsid w:val="00952162"/>
    <w:rPr>
      <w:rFonts w:ascii="Arial" w:hAnsi="Arial" w:cs="Arial" w:hint="default"/>
      <w:b w:val="0"/>
      <w:bCs w:val="0"/>
      <w:i/>
      <w:iCs w:val="0"/>
      <w:color w:val="C0C0C0"/>
      <w:sz w:val="22"/>
    </w:rPr>
  </w:style>
  <w:style w:type="paragraph" w:customStyle="1" w:styleId="EntPE">
    <w:name w:val="EntPE"/>
    <w:basedOn w:val="Normal12"/>
    <w:rsid w:val="00952162"/>
    <w:pPr>
      <w:jc w:val="center"/>
    </w:pPr>
    <w:rPr>
      <w:noProof w:val="0"/>
      <w:sz w:val="56"/>
    </w:rPr>
  </w:style>
  <w:style w:type="paragraph" w:styleId="NormalWeb">
    <w:name w:val="Normal (Web)"/>
    <w:basedOn w:val="Normal"/>
    <w:uiPriority w:val="99"/>
    <w:unhideWhenUsed/>
    <w:rsid w:val="00952162"/>
    <w:pPr>
      <w:spacing w:before="100" w:beforeAutospacing="1" w:after="100" w:afterAutospacing="1"/>
      <w:jc w:val="left"/>
    </w:pPr>
    <w:rPr>
      <w:rFonts w:eastAsia="Times New Roman"/>
      <w:lang w:val="bg-BG" w:eastAsia="en-GB"/>
    </w:rPr>
  </w:style>
  <w:style w:type="paragraph" w:styleId="CommentText">
    <w:name w:val="annotation text"/>
    <w:basedOn w:val="Normal"/>
    <w:link w:val="CommentTextChar"/>
    <w:uiPriority w:val="99"/>
    <w:unhideWhenUsed/>
    <w:rsid w:val="00952162"/>
    <w:pPr>
      <w:widowControl w:val="0"/>
      <w:jc w:val="left"/>
    </w:pPr>
    <w:rPr>
      <w:rFonts w:eastAsia="Times New Roman"/>
      <w:sz w:val="20"/>
      <w:szCs w:val="20"/>
      <w:lang w:val="bg-BG" w:eastAsia="en-GB"/>
    </w:rPr>
  </w:style>
  <w:style w:type="character" w:customStyle="1" w:styleId="CommentTextChar">
    <w:name w:val="Comment Text Char"/>
    <w:basedOn w:val="DefaultParagraphFont"/>
    <w:link w:val="CommentText"/>
    <w:uiPriority w:val="99"/>
    <w:rsid w:val="00952162"/>
    <w:rPr>
      <w:rFonts w:ascii="Times New Roman" w:eastAsia="Times New Roman" w:hAnsi="Times New Roman"/>
      <w:sz w:val="20"/>
      <w:szCs w:val="20"/>
      <w:lang w:val="bg-BG" w:eastAsia="en-GB"/>
    </w:rPr>
  </w:style>
  <w:style w:type="paragraph" w:customStyle="1" w:styleId="Tiret0">
    <w:name w:val="Tiret 0"/>
    <w:basedOn w:val="Normal"/>
    <w:uiPriority w:val="99"/>
    <w:rsid w:val="00952162"/>
    <w:pPr>
      <w:numPr>
        <w:numId w:val="17"/>
      </w:numPr>
      <w:spacing w:before="120" w:after="120"/>
    </w:pPr>
    <w:rPr>
      <w:szCs w:val="22"/>
      <w:lang w:val="bg-BG"/>
    </w:rPr>
  </w:style>
  <w:style w:type="character" w:styleId="CommentReference">
    <w:name w:val="annotation reference"/>
    <w:basedOn w:val="DefaultParagraphFont"/>
    <w:unhideWhenUsed/>
    <w:rsid w:val="00952162"/>
    <w:rPr>
      <w:sz w:val="16"/>
      <w:szCs w:val="16"/>
    </w:rPr>
  </w:style>
  <w:style w:type="paragraph" w:styleId="BalloonText">
    <w:name w:val="Balloon Text"/>
    <w:basedOn w:val="Normal"/>
    <w:link w:val="BalloonTextChar"/>
    <w:unhideWhenUsed/>
    <w:rsid w:val="00952162"/>
    <w:pPr>
      <w:widowControl w:val="0"/>
      <w:jc w:val="left"/>
    </w:pPr>
    <w:rPr>
      <w:rFonts w:ascii="Segoe UI" w:eastAsia="Times New Roman" w:hAnsi="Segoe UI" w:cs="Segoe UI"/>
      <w:sz w:val="18"/>
      <w:szCs w:val="18"/>
      <w:lang w:val="bg-BG" w:eastAsia="en-GB"/>
    </w:rPr>
  </w:style>
  <w:style w:type="character" w:customStyle="1" w:styleId="BalloonTextChar">
    <w:name w:val="Balloon Text Char"/>
    <w:basedOn w:val="DefaultParagraphFont"/>
    <w:link w:val="BalloonText"/>
    <w:rsid w:val="00952162"/>
    <w:rPr>
      <w:rFonts w:ascii="Segoe UI" w:eastAsia="Times New Roman" w:hAnsi="Segoe UI" w:cs="Segoe UI"/>
      <w:sz w:val="18"/>
      <w:szCs w:val="18"/>
      <w:lang w:val="bg-BG" w:eastAsia="en-GB"/>
    </w:rPr>
  </w:style>
  <w:style w:type="character" w:styleId="Hyperlink">
    <w:name w:val="Hyperlink"/>
    <w:basedOn w:val="DefaultParagraphFont"/>
    <w:uiPriority w:val="99"/>
    <w:unhideWhenUsed/>
    <w:rsid w:val="00952162"/>
    <w:rPr>
      <w:color w:val="0563C1" w:themeColor="hyperlink"/>
      <w:u w:val="single"/>
    </w:rPr>
  </w:style>
  <w:style w:type="paragraph" w:styleId="CommentSubject">
    <w:name w:val="annotation subject"/>
    <w:basedOn w:val="CommentText"/>
    <w:next w:val="CommentText"/>
    <w:link w:val="CommentSubjectChar"/>
    <w:unhideWhenUsed/>
    <w:rsid w:val="00952162"/>
    <w:rPr>
      <w:b/>
      <w:bCs/>
    </w:rPr>
  </w:style>
  <w:style w:type="character" w:customStyle="1" w:styleId="CommentSubjectChar">
    <w:name w:val="Comment Subject Char"/>
    <w:basedOn w:val="CommentTextChar"/>
    <w:link w:val="CommentSubject"/>
    <w:rsid w:val="00952162"/>
    <w:rPr>
      <w:rFonts w:ascii="Times New Roman" w:eastAsia="Times New Roman" w:hAnsi="Times New Roman"/>
      <w:b/>
      <w:bCs/>
      <w:sz w:val="20"/>
      <w:szCs w:val="20"/>
      <w:lang w:val="bg-BG" w:eastAsia="en-GB"/>
    </w:rPr>
  </w:style>
  <w:style w:type="character" w:customStyle="1" w:styleId="AmNumberTabsChar">
    <w:name w:val="AmNumberTabs Char"/>
    <w:basedOn w:val="DefaultParagraphFont"/>
    <w:link w:val="AmNumberTabs"/>
    <w:rsid w:val="00952162"/>
    <w:rPr>
      <w:rFonts w:ascii="Times New Roman" w:eastAsia="Times New Roman" w:hAnsi="Times New Roman"/>
      <w:b/>
      <w:sz w:val="24"/>
      <w:szCs w:val="20"/>
      <w:lang w:val="bg-BG" w:eastAsia="en-GB"/>
    </w:rPr>
  </w:style>
  <w:style w:type="character" w:customStyle="1" w:styleId="NormalBold12bChar">
    <w:name w:val="NormalBold12b Char"/>
    <w:basedOn w:val="AmNumberTabsChar"/>
    <w:link w:val="NormalBold12b"/>
    <w:rsid w:val="00952162"/>
    <w:rPr>
      <w:rFonts w:ascii="Times New Roman" w:eastAsia="Times New Roman" w:hAnsi="Times New Roman"/>
      <w:b/>
      <w:sz w:val="24"/>
      <w:szCs w:val="20"/>
      <w:lang w:val="bg-BG" w:eastAsia="en-GB"/>
    </w:rPr>
  </w:style>
  <w:style w:type="paragraph" w:customStyle="1" w:styleId="Normal12a">
    <w:name w:val="Normal12a"/>
    <w:basedOn w:val="Normal"/>
    <w:rsid w:val="00952162"/>
    <w:pPr>
      <w:widowControl w:val="0"/>
      <w:spacing w:after="240"/>
      <w:jc w:val="left"/>
    </w:pPr>
    <w:rPr>
      <w:rFonts w:eastAsia="Times New Roman"/>
      <w:szCs w:val="20"/>
      <w:lang w:val="bg-BG" w:eastAsia="en-GB"/>
    </w:rPr>
  </w:style>
  <w:style w:type="paragraph" w:customStyle="1" w:styleId="RollCallVotes">
    <w:name w:val="RollCallVotes"/>
    <w:basedOn w:val="Normal"/>
    <w:rsid w:val="00952162"/>
    <w:pPr>
      <w:widowControl w:val="0"/>
      <w:spacing w:before="120" w:after="120"/>
      <w:jc w:val="center"/>
    </w:pPr>
    <w:rPr>
      <w:rFonts w:eastAsia="Times New Roman"/>
      <w:b/>
      <w:bCs/>
      <w:snapToGrid w:val="0"/>
      <w:sz w:val="16"/>
      <w:szCs w:val="20"/>
      <w:lang w:val="bg-BG"/>
    </w:rPr>
  </w:style>
  <w:style w:type="paragraph" w:customStyle="1" w:styleId="RollCallTabs">
    <w:name w:val="RollCallTabs"/>
    <w:basedOn w:val="Normal"/>
    <w:qFormat/>
    <w:rsid w:val="00952162"/>
    <w:pPr>
      <w:widowControl w:val="0"/>
      <w:tabs>
        <w:tab w:val="center" w:pos="284"/>
        <w:tab w:val="left" w:pos="426"/>
      </w:tabs>
      <w:jc w:val="left"/>
    </w:pPr>
    <w:rPr>
      <w:rFonts w:eastAsia="Times New Roman"/>
      <w:snapToGrid w:val="0"/>
      <w:szCs w:val="20"/>
      <w:lang w:val="bg-BG"/>
    </w:rPr>
  </w:style>
  <w:style w:type="paragraph" w:customStyle="1" w:styleId="RollCallSymbols14pt">
    <w:name w:val="RollCallSymbols14pt"/>
    <w:basedOn w:val="Normal"/>
    <w:rsid w:val="00952162"/>
    <w:pPr>
      <w:widowControl w:val="0"/>
      <w:spacing w:before="120" w:after="120"/>
      <w:jc w:val="center"/>
    </w:pPr>
    <w:rPr>
      <w:rFonts w:ascii="Arial" w:eastAsia="Times New Roman" w:hAnsi="Arial"/>
      <w:b/>
      <w:bCs/>
      <w:snapToGrid w:val="0"/>
      <w:sz w:val="28"/>
      <w:szCs w:val="20"/>
      <w:lang w:val="bg-BG"/>
    </w:rPr>
  </w:style>
  <w:style w:type="paragraph" w:customStyle="1" w:styleId="RollCallTable">
    <w:name w:val="RollCallTable"/>
    <w:basedOn w:val="Normal"/>
    <w:rsid w:val="00952162"/>
    <w:pPr>
      <w:widowControl w:val="0"/>
      <w:spacing w:before="120" w:after="120"/>
      <w:jc w:val="left"/>
    </w:pPr>
    <w:rPr>
      <w:rFonts w:eastAsia="Times New Roman"/>
      <w:snapToGrid w:val="0"/>
      <w:sz w:val="16"/>
      <w:szCs w:val="20"/>
      <w:lang w:val="bg-BG"/>
    </w:rPr>
  </w:style>
  <w:style w:type="paragraph" w:customStyle="1" w:styleId="PageHeadingNotTOC">
    <w:name w:val="PageHeadingNotTOC"/>
    <w:basedOn w:val="Normal"/>
    <w:rsid w:val="00952162"/>
    <w:pPr>
      <w:keepNext/>
      <w:widowControl w:val="0"/>
      <w:spacing w:after="480"/>
      <w:jc w:val="center"/>
    </w:pPr>
    <w:rPr>
      <w:rFonts w:ascii="Arial" w:eastAsia="Times New Roman" w:hAnsi="Arial" w:cs="Arial"/>
      <w:b/>
      <w:szCs w:val="20"/>
      <w:lang w:val="bg-BG" w:eastAsia="en-GB"/>
    </w:rPr>
  </w:style>
  <w:style w:type="paragraph" w:customStyle="1" w:styleId="AmHeadingPA">
    <w:name w:val="AmHeadingPA"/>
    <w:basedOn w:val="Normal"/>
    <w:next w:val="Normal"/>
    <w:rsid w:val="00952162"/>
    <w:pPr>
      <w:widowControl w:val="0"/>
      <w:spacing w:before="480" w:after="240"/>
      <w:jc w:val="center"/>
    </w:pPr>
    <w:rPr>
      <w:rFonts w:ascii="Arial" w:eastAsia="Times New Roman" w:hAnsi="Arial"/>
      <w:b/>
      <w:caps/>
      <w:snapToGrid w:val="0"/>
      <w:lang w:val="bg-BG"/>
    </w:rPr>
  </w:style>
  <w:style w:type="paragraph" w:styleId="PlainText">
    <w:name w:val="Plain Text"/>
    <w:basedOn w:val="Normal"/>
    <w:link w:val="PlainTextChar"/>
    <w:uiPriority w:val="99"/>
    <w:unhideWhenUsed/>
    <w:rsid w:val="00952162"/>
    <w:pPr>
      <w:jc w:val="left"/>
    </w:pPr>
    <w:rPr>
      <w:rFonts w:ascii="Calibri" w:hAnsi="Calibri" w:cstheme="minorBidi"/>
      <w:sz w:val="22"/>
      <w:szCs w:val="21"/>
      <w:lang w:val="bg-BG"/>
    </w:rPr>
  </w:style>
  <w:style w:type="character" w:customStyle="1" w:styleId="PlainTextChar">
    <w:name w:val="Plain Text Char"/>
    <w:basedOn w:val="DefaultParagraphFont"/>
    <w:link w:val="PlainText"/>
    <w:uiPriority w:val="99"/>
    <w:rsid w:val="00952162"/>
    <w:rPr>
      <w:rFonts w:ascii="Calibri" w:hAnsi="Calibri" w:cstheme="minorBidi"/>
      <w:szCs w:val="21"/>
      <w:lang w:val="bg-BG"/>
    </w:rPr>
  </w:style>
  <w:style w:type="numbering" w:customStyle="1" w:styleId="NoList1">
    <w:name w:val="No List1"/>
    <w:next w:val="NoList"/>
    <w:uiPriority w:val="99"/>
    <w:semiHidden/>
    <w:unhideWhenUsed/>
    <w:rsid w:val="0095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174</Pages>
  <Words>27395</Words>
  <Characters>156156</Characters>
  <Application>Microsoft Office Word</Application>
  <DocSecurity>4</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183185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GIRGINOV Kiril</dc:creator>
  <cp:keywords/>
  <dc:description/>
  <cp:lastModifiedBy>SOLTYSOVA Zuzana</cp:lastModifiedBy>
  <cp:revision>2</cp:revision>
  <dcterms:created xsi:type="dcterms:W3CDTF">2024-11-11T15:54:00Z</dcterms:created>
  <dcterms:modified xsi:type="dcterms:W3CDTF">2024-11-11T15:54:00Z</dcterms:modified>
</cp:coreProperties>
</file>