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6722" w:rsidTr="0010095E">
        <w:trPr>
          <w:trHeight w:hRule="exact" w:val="1418"/>
        </w:trPr>
        <w:tc>
          <w:tcPr>
            <w:tcW w:w="6804" w:type="dxa"/>
            <w:shd w:val="clear" w:color="auto" w:fill="auto"/>
            <w:vAlign w:val="center"/>
          </w:tcPr>
          <w:p w:rsidR="00751A4A" w:rsidRPr="005D6722" w:rsidRDefault="00EB6B68" w:rsidP="0010095E">
            <w:pPr>
              <w:pStyle w:val="EPName"/>
            </w:pPr>
            <w:r w:rsidRPr="005D6722">
              <w:t>Euroopa Parlament</w:t>
            </w:r>
          </w:p>
          <w:p w:rsidR="00751A4A" w:rsidRPr="005D6722" w:rsidRDefault="00817416" w:rsidP="00756632">
            <w:pPr>
              <w:pStyle w:val="EPTerm"/>
              <w:rPr>
                <w:rStyle w:val="HideTWBExt"/>
                <w:noProof w:val="0"/>
                <w:vanish w:val="0"/>
                <w:color w:val="auto"/>
              </w:rPr>
            </w:pPr>
            <w:r w:rsidRPr="005D6722">
              <w:t>2019-2024</w:t>
            </w:r>
          </w:p>
        </w:tc>
        <w:tc>
          <w:tcPr>
            <w:tcW w:w="2268" w:type="dxa"/>
            <w:shd w:val="clear" w:color="auto" w:fill="auto"/>
          </w:tcPr>
          <w:p w:rsidR="00751A4A" w:rsidRPr="005D6722" w:rsidRDefault="00187494" w:rsidP="0010095E">
            <w:pPr>
              <w:pStyle w:val="EPLogo"/>
            </w:pPr>
            <w:r w:rsidRPr="005D67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6722" w:rsidRDefault="00D058B8" w:rsidP="004C5D52">
      <w:pPr>
        <w:pStyle w:val="LineTop"/>
      </w:pPr>
    </w:p>
    <w:p w:rsidR="00680577" w:rsidRPr="005D6722" w:rsidRDefault="00EB6B68" w:rsidP="00680577">
      <w:pPr>
        <w:pStyle w:val="EPBodyTA1"/>
      </w:pPr>
      <w:r w:rsidRPr="005D6722">
        <w:t>VASTUVÕETUD TEKSTID</w:t>
      </w:r>
    </w:p>
    <w:p w:rsidR="00D058B8" w:rsidRPr="005D6722" w:rsidRDefault="00D058B8" w:rsidP="00D058B8">
      <w:pPr>
        <w:pStyle w:val="LineBottom"/>
      </w:pPr>
    </w:p>
    <w:p w:rsidR="00EB6B68" w:rsidRPr="005D6722" w:rsidRDefault="00EB6B68" w:rsidP="00EB6B68">
      <w:pPr>
        <w:pStyle w:val="ATHeading1"/>
      </w:pPr>
      <w:bookmarkStart w:id="0" w:name="TANumber"/>
      <w:r w:rsidRPr="005D6722">
        <w:t>P9_TA(2024)00</w:t>
      </w:r>
      <w:r w:rsidR="00CD2DD8" w:rsidRPr="005D6722">
        <w:t>91</w:t>
      </w:r>
      <w:bookmarkEnd w:id="0"/>
    </w:p>
    <w:p w:rsidR="00EB6B68" w:rsidRPr="005D6722" w:rsidRDefault="00EB6B68" w:rsidP="00EB6B68">
      <w:pPr>
        <w:pStyle w:val="ATHeading2"/>
      </w:pPr>
      <w:bookmarkStart w:id="1" w:name="title"/>
      <w:r w:rsidRPr="005D6722">
        <w:t>Detergendid ja pindaktiivseid ained</w:t>
      </w:r>
      <w:bookmarkEnd w:id="1"/>
    </w:p>
    <w:p w:rsidR="00EB6B68" w:rsidRPr="005D6722" w:rsidRDefault="00EB6B68" w:rsidP="00EB6B68">
      <w:pPr>
        <w:rPr>
          <w:i/>
          <w:vanish/>
        </w:rPr>
      </w:pPr>
      <w:r w:rsidRPr="005D6722">
        <w:rPr>
          <w:i/>
        </w:rPr>
        <w:fldChar w:fldCharType="begin"/>
      </w:r>
      <w:r w:rsidRPr="005D6722">
        <w:rPr>
          <w:i/>
        </w:rPr>
        <w:instrText xml:space="preserve"> TC"(</w:instrText>
      </w:r>
      <w:bookmarkStart w:id="2" w:name="DocNumber"/>
      <w:r w:rsidRPr="005D6722">
        <w:rPr>
          <w:i/>
        </w:rPr>
        <w:instrText>A9-0039/2024</w:instrText>
      </w:r>
      <w:bookmarkEnd w:id="2"/>
      <w:r w:rsidRPr="005D6722">
        <w:rPr>
          <w:i/>
        </w:rPr>
        <w:instrText xml:space="preserve"> - Raportöör: Manuela Ripa )"\l3 \n&gt; \* MERGEFORMAT </w:instrText>
      </w:r>
      <w:r w:rsidRPr="005D6722">
        <w:rPr>
          <w:i/>
        </w:rPr>
        <w:fldChar w:fldCharType="end"/>
      </w:r>
    </w:p>
    <w:p w:rsidR="00EB6B68" w:rsidRPr="005D6722" w:rsidRDefault="00EB6B68" w:rsidP="00EB6B68">
      <w:pPr>
        <w:rPr>
          <w:vanish/>
        </w:rPr>
      </w:pPr>
      <w:bookmarkStart w:id="3" w:name="Commission"/>
      <w:r w:rsidRPr="005D6722">
        <w:rPr>
          <w:vanish/>
        </w:rPr>
        <w:t>Keskkonna-, rahvatervise ja toiduohutuse komisjon</w:t>
      </w:r>
      <w:bookmarkEnd w:id="3"/>
    </w:p>
    <w:p w:rsidR="00EB6B68" w:rsidRPr="005D6722" w:rsidRDefault="00EB6B68" w:rsidP="00EB6B68">
      <w:pPr>
        <w:rPr>
          <w:vanish/>
        </w:rPr>
      </w:pPr>
      <w:bookmarkStart w:id="4" w:name="PE"/>
      <w:r w:rsidRPr="005D6722">
        <w:rPr>
          <w:vanish/>
        </w:rPr>
        <w:t>PE753.691</w:t>
      </w:r>
      <w:bookmarkEnd w:id="4"/>
    </w:p>
    <w:p w:rsidR="00EB6B68" w:rsidRPr="005D6722" w:rsidRDefault="006A0113" w:rsidP="006A0113">
      <w:pPr>
        <w:pStyle w:val="ATHeading3"/>
      </w:pPr>
      <w:bookmarkStart w:id="5" w:name="Sujet"/>
      <w:r w:rsidRPr="005D6722">
        <w:t>Euroopa Parlamendi 27</w:t>
      </w:r>
      <w:r w:rsidR="00EB6B68" w:rsidRPr="005D6722">
        <w:t>.</w:t>
      </w:r>
      <w:r w:rsidRPr="005D6722">
        <w:t> veebruari 2024. </w:t>
      </w:r>
      <w:r w:rsidR="00EB6B68" w:rsidRPr="005D6722">
        <w:t xml:space="preserve">aasta seadusandlik resolutsioon ettepaneku kohta võtta vastu Euroopa Parlamendi ja nõukogu määrus, milles käsitletakse detergente ja pindaktiivseid aineid ning </w:t>
      </w:r>
      <w:r w:rsidRPr="005D6722">
        <w:t>millega muudetakse määrust (EL) </w:t>
      </w:r>
      <w:r w:rsidR="00EB6B68" w:rsidRPr="005D6722">
        <w:t>2019/1020 ja tunnistatakse kehtetu</w:t>
      </w:r>
      <w:r w:rsidRPr="005D6722">
        <w:t>ks määrus (EÜ) nr </w:t>
      </w:r>
      <w:r w:rsidR="00EB6B68" w:rsidRPr="005D6722">
        <w:t>648/2004</w:t>
      </w:r>
      <w:bookmarkEnd w:id="5"/>
      <w:r w:rsidR="00EB6B68" w:rsidRPr="005D6722">
        <w:t xml:space="preserve"> </w:t>
      </w:r>
      <w:bookmarkStart w:id="6" w:name="References"/>
      <w:r w:rsidR="00EB6B68" w:rsidRPr="005D6722">
        <w:t>(COM(2023)0217 – C9-0154/2023 – 2023/0124(COD))</w:t>
      </w:r>
      <w:bookmarkEnd w:id="6"/>
    </w:p>
    <w:p w:rsidR="0094643B" w:rsidRPr="005D6722" w:rsidRDefault="0094643B" w:rsidP="0094643B">
      <w:pPr>
        <w:pStyle w:val="NormalBold"/>
      </w:pPr>
      <w:bookmarkStart w:id="7" w:name="TextBodyBegin"/>
      <w:bookmarkEnd w:id="7"/>
      <w:r w:rsidRPr="005D6722">
        <w:t>(Seadusandlik tavamenetlus: esimene lugemine)</w:t>
      </w:r>
    </w:p>
    <w:p w:rsidR="0094643B" w:rsidRPr="005D6722" w:rsidRDefault="0094643B" w:rsidP="0094643B">
      <w:pPr>
        <w:pStyle w:val="EPComma"/>
      </w:pPr>
      <w:r w:rsidRPr="005D6722">
        <w:rPr>
          <w:i/>
        </w:rPr>
        <w:t>Euroopa Parlament</w:t>
      </w:r>
      <w:r w:rsidRPr="005D6722">
        <w:t>,</w:t>
      </w:r>
    </w:p>
    <w:p w:rsidR="0094643B" w:rsidRPr="005D6722" w:rsidRDefault="0094643B" w:rsidP="0094643B">
      <w:pPr>
        <w:pStyle w:val="NormalHanging12a"/>
      </w:pPr>
      <w:r w:rsidRPr="005D6722">
        <w:t>–</w:t>
      </w:r>
      <w:r w:rsidRPr="005D6722">
        <w:tab/>
        <w:t>võttes arvesse komisjoni ettepanekut Euroopa Parlamendile ja nõukogule (COM(2023)0217),</w:t>
      </w:r>
    </w:p>
    <w:p w:rsidR="0094643B" w:rsidRPr="005D6722" w:rsidRDefault="0094643B" w:rsidP="0094643B">
      <w:pPr>
        <w:pStyle w:val="NormalHanging12a"/>
      </w:pPr>
      <w:r w:rsidRPr="005D6722">
        <w:t>–</w:t>
      </w:r>
      <w:r w:rsidRPr="005D6722">
        <w:tab/>
        <w:t xml:space="preserve">võttes arvesse Euroopa </w:t>
      </w:r>
      <w:r w:rsidR="006A0113" w:rsidRPr="005D6722">
        <w:t>Liidu toimimise lepingu artikli 294 lõiget 2 ja artiklit </w:t>
      </w:r>
      <w:r w:rsidRPr="005D6722">
        <w:t>114, mille alusel komisjon esitas ettepaneku Euroopa Parlamendile (C9-0154/2023),</w:t>
      </w:r>
    </w:p>
    <w:p w:rsidR="0094643B" w:rsidRPr="005D6722" w:rsidRDefault="0094643B" w:rsidP="0094643B">
      <w:pPr>
        <w:pStyle w:val="NormalHanging12a"/>
      </w:pPr>
      <w:r w:rsidRPr="005D6722">
        <w:t>–</w:t>
      </w:r>
      <w:r w:rsidRPr="005D6722">
        <w:tab/>
        <w:t>võttes arvesse Euroopa Liidu toimimise lepingu ar</w:t>
      </w:r>
      <w:r w:rsidR="006A0113" w:rsidRPr="005D6722">
        <w:t>tikli 294 lõiget </w:t>
      </w:r>
      <w:r w:rsidRPr="005D6722">
        <w:t>3,</w:t>
      </w:r>
    </w:p>
    <w:p w:rsidR="0094643B" w:rsidRPr="005D6722" w:rsidRDefault="0094643B" w:rsidP="0094643B">
      <w:pPr>
        <w:pStyle w:val="NormalHanging12a"/>
      </w:pPr>
      <w:r w:rsidRPr="005D6722">
        <w:t>–</w:t>
      </w:r>
      <w:r w:rsidRPr="005D6722">
        <w:tab/>
        <w:t>võttes arvesse Euroopa Majandus- ja Sotsiaalkomitee 12. juuli 2023. aasta arvamust</w:t>
      </w:r>
      <w:r w:rsidRPr="005D6722">
        <w:rPr>
          <w:vertAlign w:val="superscript"/>
        </w:rPr>
        <w:footnoteReference w:id="1"/>
      </w:r>
      <w:r w:rsidRPr="005D6722">
        <w:t>,</w:t>
      </w:r>
    </w:p>
    <w:p w:rsidR="0094643B" w:rsidRPr="005D6722" w:rsidRDefault="0094643B" w:rsidP="0094643B">
      <w:pPr>
        <w:pStyle w:val="NormalHanging12a"/>
      </w:pPr>
      <w:r w:rsidRPr="005D6722">
        <w:t>–</w:t>
      </w:r>
      <w:r w:rsidRPr="005D6722">
        <w:tab/>
        <w:t>võ</w:t>
      </w:r>
      <w:r w:rsidR="006A0113" w:rsidRPr="005D6722">
        <w:t>ttes arvesse kodukorra artiklit </w:t>
      </w:r>
      <w:r w:rsidRPr="005D6722">
        <w:t>59,</w:t>
      </w:r>
    </w:p>
    <w:p w:rsidR="0094643B" w:rsidRPr="005D6722" w:rsidRDefault="0094643B" w:rsidP="0094643B">
      <w:pPr>
        <w:pStyle w:val="NormalHanging12a"/>
      </w:pPr>
      <w:r w:rsidRPr="005D6722">
        <w:t>–</w:t>
      </w:r>
      <w:r w:rsidRPr="005D6722">
        <w:tab/>
        <w:t xml:space="preserve">võttes arvesse siseturu- ja tarbijakaitsekomisjoni arvamust, </w:t>
      </w:r>
    </w:p>
    <w:p w:rsidR="0094643B" w:rsidRPr="005D6722" w:rsidRDefault="0094643B" w:rsidP="0094643B">
      <w:pPr>
        <w:pStyle w:val="NormalHanging12a"/>
      </w:pPr>
      <w:r w:rsidRPr="005D6722">
        <w:t>–</w:t>
      </w:r>
      <w:r w:rsidRPr="005D6722">
        <w:tab/>
        <w:t>võttes arvesse keskkonna-, rahvatervise- ja toiduohutuse komisjoni raportit (A9‑0039/2024),</w:t>
      </w:r>
    </w:p>
    <w:p w:rsidR="0094643B" w:rsidRPr="005D6722" w:rsidRDefault="0094643B" w:rsidP="0094643B">
      <w:pPr>
        <w:pStyle w:val="NormalHanging12a"/>
      </w:pPr>
      <w:r w:rsidRPr="005D6722">
        <w:t>1.</w:t>
      </w:r>
      <w:r w:rsidRPr="005D6722">
        <w:tab/>
        <w:t>võtab vastu allpool toodud esimese lugemise seisukoha;</w:t>
      </w:r>
    </w:p>
    <w:p w:rsidR="0094643B" w:rsidRPr="005D6722" w:rsidRDefault="0094643B" w:rsidP="0094643B">
      <w:pPr>
        <w:pStyle w:val="NormalHanging12a"/>
      </w:pPr>
      <w:r w:rsidRPr="005D6722">
        <w:t>2.</w:t>
      </w:r>
      <w:r w:rsidRPr="005D6722">
        <w:tab/>
        <w:t>palub komisjonil ettepaneku uuesti Euroopa Parlamendile saata, kui komisjon asendab selle uue ettepanekuga, muudab seda oluliselt või kavatseb seda oluliselt muuta;</w:t>
      </w:r>
    </w:p>
    <w:p w:rsidR="0094643B" w:rsidRPr="005D6722" w:rsidRDefault="0094643B" w:rsidP="0094643B">
      <w:pPr>
        <w:pStyle w:val="NormalHanging12a"/>
      </w:pPr>
      <w:r w:rsidRPr="005D6722">
        <w:t>3.</w:t>
      </w:r>
      <w:r w:rsidRPr="005D6722">
        <w:tab/>
        <w:t xml:space="preserve">teeb presidendile ülesandeks edastada Euroopa Parlamendi seisukoht nõukogule ja </w:t>
      </w:r>
      <w:r w:rsidRPr="005D6722">
        <w:lastRenderedPageBreak/>
        <w:t>komisjonile ning liikmesriikide parlamentidele.</w:t>
      </w:r>
    </w:p>
    <w:p w:rsidR="00F9609E" w:rsidRPr="005D6722" w:rsidRDefault="00F9609E" w:rsidP="0094643B"/>
    <w:p w:rsidR="00F9609E" w:rsidRPr="005D6722" w:rsidRDefault="00F9609E" w:rsidP="0094643B">
      <w:pPr>
        <w:sectPr w:rsidR="00F9609E" w:rsidRPr="005D6722" w:rsidSect="00AF74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9609E" w:rsidRPr="005D6722" w:rsidRDefault="00F9609E" w:rsidP="00F9609E">
      <w:pPr>
        <w:pStyle w:val="Statut"/>
        <w:spacing w:before="0" w:after="240"/>
        <w:jc w:val="left"/>
        <w:rPr>
          <w:b/>
        </w:rPr>
      </w:pPr>
      <w:r w:rsidRPr="005D6722">
        <w:rPr>
          <w:b/>
        </w:rPr>
        <w:lastRenderedPageBreak/>
        <w:t>P9_</w:t>
      </w:r>
      <w:r w:rsidRPr="005D6722">
        <w:rPr>
          <w:b/>
          <w:noProof/>
        </w:rPr>
        <w:t>TC1-COD</w:t>
      </w:r>
      <w:r w:rsidRPr="005D6722">
        <w:rPr>
          <w:b/>
        </w:rPr>
        <w:t>(2023)0124</w:t>
      </w:r>
    </w:p>
    <w:p w:rsidR="00F9609E" w:rsidRPr="005D6722" w:rsidRDefault="00F9609E" w:rsidP="00F9609E">
      <w:pPr>
        <w:spacing w:after="240"/>
        <w:rPr>
          <w:b/>
          <w:szCs w:val="24"/>
          <w:lang w:eastAsia="en-US"/>
        </w:rPr>
      </w:pPr>
      <w:r w:rsidRPr="005D6722">
        <w:rPr>
          <w:b/>
          <w:noProof/>
        </w:rPr>
        <w:t>Euroopa Parlamendi seisukoht, vastu võetud esimesel lugemisel 27. veebruaril 2024. aastal eesmärgiga võtta vastu Euroopa Parlamendi ja nõukogu määrus (</w:t>
      </w:r>
      <w:r w:rsidRPr="005D6722">
        <w:rPr>
          <w:b/>
        </w:rPr>
        <w:t xml:space="preserve">EL) 2024/…, </w:t>
      </w:r>
      <w:r w:rsidRPr="005D6722">
        <w:rPr>
          <w:b/>
          <w:szCs w:val="24"/>
          <w:lang w:eastAsia="en-US"/>
        </w:rPr>
        <w:t>milles käsitletakse detergente ja pindaktiivseid aineid ning millega muudetakse määrust (EL) 2019/1020 ja tunnistatakse kehtetuks määrus (EÜ) nr 648/2004</w:t>
      </w:r>
    </w:p>
    <w:p w:rsidR="00F9609E" w:rsidRPr="005D6722" w:rsidRDefault="00F9609E" w:rsidP="00F9609E">
      <w:pPr>
        <w:widowControl/>
        <w:spacing w:line="360" w:lineRule="auto"/>
        <w:jc w:val="center"/>
        <w:rPr>
          <w:b/>
          <w:szCs w:val="24"/>
          <w:lang w:eastAsia="en-US"/>
        </w:rPr>
      </w:pPr>
      <w:r w:rsidRPr="005D6722">
        <w:rPr>
          <w:b/>
          <w:szCs w:val="24"/>
          <w:lang w:eastAsia="en-US"/>
        </w:rPr>
        <w:t>(EMPs kohaldatav tekst)</w:t>
      </w:r>
    </w:p>
    <w:p w:rsidR="00F9609E" w:rsidRPr="005D6722" w:rsidRDefault="00F9609E" w:rsidP="00F9609E">
      <w:pPr>
        <w:keepNext/>
        <w:spacing w:before="600" w:after="120" w:line="360" w:lineRule="auto"/>
        <w:rPr>
          <w:szCs w:val="24"/>
          <w:lang w:eastAsia="en-US"/>
        </w:rPr>
      </w:pPr>
      <w:r w:rsidRPr="005D6722">
        <w:rPr>
          <w:szCs w:val="24"/>
          <w:lang w:eastAsia="en-US"/>
        </w:rPr>
        <w:t>EUROOPA PARLAMENT JA EUROOPA LIIDU NÕUKOGU,</w:t>
      </w:r>
    </w:p>
    <w:p w:rsidR="00F9609E" w:rsidRPr="005D6722" w:rsidRDefault="00F9609E" w:rsidP="00F9609E">
      <w:pPr>
        <w:spacing w:before="120" w:after="120" w:line="360" w:lineRule="auto"/>
        <w:rPr>
          <w:lang w:eastAsia="en-US"/>
        </w:rPr>
      </w:pPr>
      <w:r w:rsidRPr="005D6722">
        <w:rPr>
          <w:lang w:eastAsia="en-US"/>
        </w:rPr>
        <w:t>võttes arvesse Euroopa Liidu toimimise lepingut, eriti selle artiklit 114,</w:t>
      </w:r>
    </w:p>
    <w:p w:rsidR="00F9609E" w:rsidRPr="005D6722" w:rsidRDefault="00F9609E" w:rsidP="00F9609E">
      <w:pPr>
        <w:spacing w:before="120" w:after="120" w:line="360" w:lineRule="auto"/>
        <w:rPr>
          <w:lang w:eastAsia="en-US"/>
        </w:rPr>
      </w:pPr>
      <w:r w:rsidRPr="005D6722">
        <w:rPr>
          <w:lang w:eastAsia="en-US"/>
        </w:rPr>
        <w:t>võttes arvesse Euroopa Komisjoni ettepanekut,</w:t>
      </w:r>
    </w:p>
    <w:p w:rsidR="00F9609E" w:rsidRPr="005D6722" w:rsidRDefault="00F9609E" w:rsidP="00F9609E">
      <w:pPr>
        <w:spacing w:before="120" w:after="120" w:line="360" w:lineRule="auto"/>
        <w:rPr>
          <w:lang w:eastAsia="en-US"/>
        </w:rPr>
      </w:pPr>
      <w:r w:rsidRPr="005D6722">
        <w:rPr>
          <w:lang w:eastAsia="en-US"/>
        </w:rPr>
        <w:t>olles edastanud seadusandliku akti eelnõu liikmesriikide parlamentidele,</w:t>
      </w:r>
    </w:p>
    <w:p w:rsidR="00F9609E" w:rsidRPr="005D6722" w:rsidRDefault="00F9609E" w:rsidP="00F9609E">
      <w:pPr>
        <w:spacing w:before="120" w:after="120" w:line="360" w:lineRule="auto"/>
        <w:rPr>
          <w:lang w:eastAsia="en-US"/>
        </w:rPr>
      </w:pPr>
      <w:r w:rsidRPr="005D6722">
        <w:rPr>
          <w:lang w:eastAsia="en-US"/>
        </w:rPr>
        <w:t>võttes arvesse Euroopa Majandus- ja Sotsiaalkomitee arvamust</w:t>
      </w:r>
      <w:r w:rsidRPr="005D6722">
        <w:rPr>
          <w:vertAlign w:val="superscript"/>
          <w:lang w:eastAsia="en-US"/>
        </w:rPr>
        <w:footnoteReference w:id="2"/>
      </w:r>
      <w:r w:rsidRPr="005D6722">
        <w:rPr>
          <w:lang w:eastAsia="en-US"/>
        </w:rPr>
        <w:t>,</w:t>
      </w:r>
    </w:p>
    <w:p w:rsidR="00F9609E" w:rsidRPr="005D6722" w:rsidRDefault="00F9609E" w:rsidP="00F9609E">
      <w:pPr>
        <w:spacing w:before="120" w:after="120" w:line="360" w:lineRule="auto"/>
        <w:rPr>
          <w:lang w:eastAsia="en-US"/>
        </w:rPr>
      </w:pPr>
      <w:r w:rsidRPr="005D6722">
        <w:rPr>
          <w:lang w:eastAsia="en-US"/>
        </w:rPr>
        <w:t>toimides seadusandliku tavamenetluse kohaselt</w:t>
      </w:r>
    </w:p>
    <w:p w:rsidR="006304DE" w:rsidRPr="005D6722" w:rsidRDefault="006304DE">
      <w:pPr>
        <w:widowControl/>
        <w:rPr>
          <w:lang w:eastAsia="en-US"/>
        </w:rPr>
      </w:pPr>
      <w:r w:rsidRPr="005D6722">
        <w:rPr>
          <w:lang w:eastAsia="en-US"/>
        </w:rPr>
        <w:br w:type="page"/>
      </w:r>
    </w:p>
    <w:p w:rsidR="00F9609E" w:rsidRPr="005D6722" w:rsidRDefault="00F9609E" w:rsidP="00F9609E">
      <w:pPr>
        <w:spacing w:before="120" w:after="120" w:line="360" w:lineRule="auto"/>
        <w:rPr>
          <w:lang w:eastAsia="en-US"/>
        </w:rPr>
      </w:pPr>
      <w:r w:rsidRPr="005D6722">
        <w:rPr>
          <w:lang w:eastAsia="en-US"/>
        </w:rPr>
        <w:lastRenderedPageBreak/>
        <w:t>ning arvestades järgmist:</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Detergentide ja detergentide pindaktiivsete ainete turule laskmise ja turul kättesaadavaks tegemise tingimused on ühtlustatud Euroopa Parlamendi ja nõukogu määrusega (EÜ) nr 648/2004</w:t>
      </w:r>
      <w:r w:rsidRPr="005D6722">
        <w:rPr>
          <w:szCs w:val="24"/>
          <w:vertAlign w:val="superscript"/>
          <w:lang w:eastAsia="en-US"/>
        </w:rPr>
        <w:footnoteReference w:id="3"/>
      </w:r>
      <w:r w:rsidRPr="005D6722">
        <w:rPr>
          <w:szCs w:val="24"/>
          <w:lang w:eastAsia="en-US"/>
        </w:rPr>
        <w:t>.</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Komisjoni hinnangus määruse (EÜ) nr 648/2004 kohta</w:t>
      </w:r>
      <w:r w:rsidRPr="005D6722">
        <w:rPr>
          <w:szCs w:val="24"/>
          <w:vertAlign w:val="superscript"/>
          <w:lang w:eastAsia="en-US"/>
        </w:rPr>
        <w:footnoteReference w:id="4"/>
      </w:r>
      <w:r w:rsidRPr="005D6722">
        <w:rPr>
          <w:szCs w:val="24"/>
          <w:lang w:eastAsia="en-US"/>
        </w:rPr>
        <w:t xml:space="preserve"> jõuti järeldusele, et üldiselt on määrus oma eesmärgid suures osas saavutanud. Hindamise käigus tuvastati siiski ka mitmeid puudusi ja parandamist vajavaid valdkondi. Viimastel aastatel on kemikaale käsitlev õigusraamistik radikaalselt muutunud, mistõttu ei ole detergentide suhtes kohaldatavad eeskirjad ja eelkõige nende teabele esitatavad nõuded sidusad ning dubleerivad üksteist. Seetõttu on vaja tagada järjepidevus ja kõrvaldada dubleerivad teabele esitatavad nõuded.</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(3)</w:t>
      </w:r>
      <w:r w:rsidRPr="005D6722">
        <w:rPr>
          <w:szCs w:val="24"/>
          <w:lang w:eastAsia="en-US"/>
        </w:rPr>
        <w:tab/>
        <w:t>Turul on esile kerkinud uued suundumused, eelkõige mikroorganisme sisaldavate detergentide arendamine ja detergentide taastäitemüük, mida määrus (EÜ) nr 648/2004 kas ei hõlma täielikult või hõlmab osaliselt. Teisest küljest pakub digiüleminek võimalusi lihtsustamiseks, koormuse vähendamiseks ning praegu puuduoleva ohutus- ja kasutusteabe kasutuslihtsuse ja arusaadavuse suurendamiseks. Seepärast on vaja arvesse võtta uusi tooteid ja tavasid ning suurendada digitaliseerimisalaseid jõupingutusi kooskõlas liidu üldiste eesmärkidega, eelkõige seoses kestlikkuse ning rohe- ja digipöördega.</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(4)</w:t>
      </w:r>
      <w:r w:rsidRPr="005D6722">
        <w:rPr>
          <w:szCs w:val="24"/>
          <w:lang w:eastAsia="en-US"/>
        </w:rPr>
        <w:tab/>
        <w:t>Kõige asjakohasemate kemikaale käsitlevate õigusaktide toimivuskontroll</w:t>
      </w:r>
      <w:r w:rsidRPr="005D6722">
        <w:rPr>
          <w:szCs w:val="24"/>
          <w:vertAlign w:val="superscript"/>
          <w:lang w:eastAsia="en-US"/>
        </w:rPr>
        <w:footnoteReference w:id="5"/>
      </w:r>
      <w:r w:rsidRPr="005D6722">
        <w:rPr>
          <w:szCs w:val="24"/>
          <w:lang w:eastAsia="en-US"/>
        </w:rPr>
        <w:t xml:space="preserve"> (millest jäeti välja Euroopa Parlamendi ja nõukogu määrus (EÜ) nr 1907/2006</w:t>
      </w:r>
      <w:r w:rsidRPr="005D6722">
        <w:rPr>
          <w:szCs w:val="24"/>
          <w:vertAlign w:val="superscript"/>
          <w:lang w:eastAsia="en-US"/>
        </w:rPr>
        <w:footnoteReference w:id="6"/>
      </w:r>
      <w:r w:rsidRPr="005D6722">
        <w:rPr>
          <w:szCs w:val="24"/>
          <w:lang w:eastAsia="en-US"/>
        </w:rPr>
        <w:t>) tõi esile kemikaale käsitleva liidu õigusraamistiku keerukuse ning selle põhjuseks leiti olevat suur hulk omavahel seotud toote- ja sektoripõhiseid õigusakte. Toimivuskontrolli käigus juhiti tähelepanu ka sellele, et teabega üle koormatud märgistusel on teabe edastamist tootekasutajatele võimalik lihtsustada, ning leiti, et praegu ei kasutata tooteteabe edastamiseks uuenduslikke vahendeid parimal viisil. Seepärast on vaja kehtivaid eeskirju lihtsustada, mis vähendaks ettevõtjate koormust, parandaks arusaadavust tarbijate jaoks ja hõlbustaks turujärelevalvet. Seepärast tuleks määrus (EÜ) nr 648/2004 asendada.</w:t>
      </w:r>
    </w:p>
    <w:p w:rsidR="00F9609E" w:rsidRPr="005D6722" w:rsidRDefault="00F9609E" w:rsidP="00F9609E">
      <w:pPr>
        <w:spacing w:before="120" w:after="120" w:line="360" w:lineRule="auto"/>
        <w:ind w:left="850" w:hanging="850"/>
        <w:rPr>
          <w:szCs w:val="24"/>
          <w:lang w:eastAsia="en-US"/>
        </w:rPr>
      </w:pPr>
      <w:r w:rsidRPr="005D6722">
        <w:rPr>
          <w:szCs w:val="24"/>
          <w:lang w:eastAsia="en-US"/>
        </w:rPr>
        <w:t>(5)</w:t>
      </w:r>
      <w:r w:rsidRPr="005D6722">
        <w:rPr>
          <w:szCs w:val="24"/>
          <w:lang w:eastAsia="en-US"/>
        </w:rPr>
        <w:tab/>
        <w:t>Euroopa Parlamendi ja nõukogu otsuses nr 768/2008/EÜ</w:t>
      </w:r>
      <w:r w:rsidRPr="005D6722">
        <w:rPr>
          <w:szCs w:val="24"/>
          <w:vertAlign w:val="superscript"/>
          <w:lang w:eastAsia="en-US"/>
        </w:rPr>
        <w:footnoteReference w:id="7"/>
      </w:r>
      <w:r w:rsidRPr="005D6722">
        <w:rPr>
          <w:szCs w:val="24"/>
          <w:lang w:eastAsia="en-US"/>
        </w:rPr>
        <w:t xml:space="preserve"> on esitatud ühised põhimõtted ja erisätted, mis on ette nähtud kohaldamiseks kõigi valdkondlike õigusaktide suhtes, et luua ühtne alus kõnealuste õigusaktide läbivaatamiseks. Detergentide ja pindaktiivsete ainete uus õigusraamistik tuleks viia võimalikult suures ulatuses vastavusse nende ühiste põhimõtete ja erisätetega.</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(6)</w:t>
      </w:r>
      <w:r w:rsidRPr="005D6722">
        <w:rPr>
          <w:szCs w:val="24"/>
          <w:lang w:eastAsia="en-US"/>
        </w:rPr>
        <w:tab/>
        <w:t>Õiguskindluse ja võrdsete tingimuste tagamiseks ettevõtjatele peaks detergendi määratlus hõlmama kõiki ühtlustatavaid tooteid, sealhulgas uusi väljatöötatud detergente, mis sisaldavad tahtlikult lisatud mikroorganisme. Samuti peaks määratlus hõlmama puu- ja köögiviljade pinna puhastamiseks mõeldud tooteid.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(7)</w:t>
      </w:r>
      <w:r w:rsidRPr="005D6722">
        <w:rPr>
          <w:szCs w:val="24"/>
          <w:lang w:eastAsia="en-US"/>
        </w:rPr>
        <w:tab/>
        <w:t>Kuna pindaktiivseid aineid müüakse peamiselt ettevõtjatevahelistes tehingutes detergentide tootmiseks, ei pea nende suhtes kohaldama samu nõudeid nagu detergentide suhtes. Seepärast tuleks sätestada pindaktiivsete ainete miinimumnõuded, nimelt lõpliku biolagundatavuse eeskirjad, märgistusel esitatav minimaalne teave ning ettevõtjate kohustus koostada tehniline dokumentatsioon ja luua tootepass.</w:t>
      </w:r>
    </w:p>
    <w:p w:rsidR="00F9609E" w:rsidRPr="005D6722" w:rsidRDefault="00F9609E" w:rsidP="00F9609E">
      <w:pPr>
        <w:spacing w:before="120" w:after="120" w:line="360" w:lineRule="auto"/>
        <w:ind w:left="850" w:hanging="850"/>
        <w:rPr>
          <w:szCs w:val="24"/>
          <w:lang w:eastAsia="en-US"/>
        </w:rPr>
      </w:pPr>
      <w:r w:rsidRPr="005D6722">
        <w:rPr>
          <w:szCs w:val="24"/>
          <w:lang w:eastAsia="en-US"/>
        </w:rPr>
        <w:t>(8)</w:t>
      </w:r>
      <w:r w:rsidRPr="005D6722">
        <w:rPr>
          <w:szCs w:val="24"/>
          <w:lang w:eastAsia="en-US"/>
        </w:rPr>
        <w:tab/>
        <w:t>Käesolev määrus peaks täiendama muudes õigusaktides sätestatud kehtivaid eeskirju ega tohiks mõjutada selliste kehtivate liidu õigusaktide kohaldamist, mis on seotud tervise, ohutuse ja keskkonna kaitse aspektidega, mida käesolev määrus ei hõlma. Eelkõige tuleks käesolevat määrust kohaldada, ilma et see piiraks määruse (EÜ) nr 1907/2006, Euroopa Parlamendi ja nõukogu määruse (EL) nr 528/2012</w:t>
      </w:r>
      <w:r w:rsidRPr="005D6722">
        <w:rPr>
          <w:szCs w:val="24"/>
          <w:vertAlign w:val="superscript"/>
          <w:lang w:eastAsia="en-US"/>
        </w:rPr>
        <w:footnoteReference w:id="8"/>
      </w:r>
      <w:r w:rsidRPr="005D6722">
        <w:rPr>
          <w:szCs w:val="24"/>
          <w:lang w:eastAsia="en-US"/>
        </w:rPr>
        <w:t xml:space="preserve"> ning Euroopa Parlamendi ja nõukogu määruse (EÜ) nr 1272/2008</w:t>
      </w:r>
      <w:r w:rsidRPr="005D6722">
        <w:rPr>
          <w:szCs w:val="24"/>
          <w:vertAlign w:val="superscript"/>
          <w:lang w:eastAsia="en-US"/>
        </w:rPr>
        <w:footnoteReference w:id="9"/>
      </w:r>
      <w:r w:rsidRPr="005D6722">
        <w:rPr>
          <w:szCs w:val="24"/>
          <w:lang w:eastAsia="en-US"/>
        </w:rPr>
        <w:t xml:space="preserve"> kohaldamist.</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(9)</w:t>
      </w:r>
      <w:r w:rsidRPr="005D6722">
        <w:rPr>
          <w:szCs w:val="24"/>
          <w:lang w:eastAsia="en-US"/>
        </w:rPr>
        <w:tab/>
        <w:t>Pindaktiivsed ained on ained, mis lagundavad vee ja õlide või mustuse vahelist piirpinda. Need on üks peamisi detergentide koostisosi. Pindaktiivsed ained võivad siiski kujutada endast ohtu keskkonnale, sest need juhitakse kanalisatsioonivõrku või otse pinnavette. Selleks et vältida pindaktiivsete ainete võimalikku kahjulikku mõju keskkonnale, on vaja kehtestada nõuded, millega tagatakse, et pindaktiivsed ained on täielikult biolagunevad siis, kui need lastakse turule eraldi ainena ja need on ette nähtud kasutamiseks detergentides või kui need sisalduvad detergentides.</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(9a)</w:t>
      </w:r>
      <w:r w:rsidRPr="005D6722">
        <w:rPr>
          <w:szCs w:val="24"/>
          <w:lang w:eastAsia="en-US"/>
        </w:rPr>
        <w:tab/>
      </w:r>
      <w:r w:rsidRPr="005D6722">
        <w:rPr>
          <w:b/>
          <w:i/>
          <w:szCs w:val="24"/>
          <w:lang w:eastAsia="en-US"/>
        </w:rPr>
        <w:t>Detergentides kasutatakse peale pindaktiivsete ainete veel aineid, mis võivad pärast kasutamist jääda reovette, ning kui reoveekäitlejad neid kulukate protsesside käigus ei eemalda, jäävad need keskkonnas püsima ja kuhjuvad. Innovatsiooni hõlbustamiseks ning võimalike tervise- ja keskkonnariskidega tegelemiseks on vaja seada vahe-eesmärk, millega tagatakse, et detergendid tervikuna on oma olemuselt biolagunevad. Selleks et anda tootjatele toodete koostise kohandamiseks aega, tuleks kehtestada piisavad üleminekuperioodid ja aegsasti tagada asjakohased katsekriteeriumid.</w:t>
      </w:r>
      <w:r w:rsidR="00586E65" w:rsidRPr="005D6722">
        <w:rPr>
          <w:b/>
          <w:szCs w:val="24"/>
          <w:lang w:eastAsia="en-US"/>
        </w:rPr>
        <w:t xml:space="preserve"> [ME 1]</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(10)</w:t>
      </w:r>
      <w:r w:rsidRPr="005D6722">
        <w:rPr>
          <w:szCs w:val="24"/>
          <w:lang w:eastAsia="en-US"/>
        </w:rPr>
        <w:tab/>
        <w:t xml:space="preserve">Fosfor on detergentide </w:t>
      </w:r>
      <w:r w:rsidRPr="005D6722">
        <w:rPr>
          <w:strike/>
          <w:szCs w:val="24"/>
          <w:lang w:eastAsia="en-US"/>
        </w:rPr>
        <w:t>peamine koostisosa</w:t>
      </w:r>
      <w:r w:rsidRPr="005D6722">
        <w:rPr>
          <w:b/>
          <w:i/>
          <w:szCs w:val="24"/>
          <w:lang w:eastAsia="en-US"/>
        </w:rPr>
        <w:t>üks koostisosi</w:t>
      </w:r>
      <w:r w:rsidRPr="005D6722">
        <w:rPr>
          <w:szCs w:val="24"/>
          <w:lang w:eastAsia="en-US"/>
        </w:rPr>
        <w:t>. Kuid fosfor ja selle ühendid võivad</w:t>
      </w:r>
      <w:r w:rsidRPr="005D6722">
        <w:rPr>
          <w:b/>
          <w:i/>
          <w:szCs w:val="24"/>
          <w:lang w:eastAsia="en-US"/>
        </w:rPr>
        <w:t xml:space="preserve"> märkimisväärselt</w:t>
      </w:r>
      <w:r w:rsidRPr="005D6722">
        <w:rPr>
          <w:szCs w:val="24"/>
          <w:lang w:eastAsia="en-US"/>
        </w:rPr>
        <w:t xml:space="preserve"> kahjustada ökosüsteeme ja veekeskkonda, sest need soodustavad eutrofeerumist. Selleks et tagada keskkonnakaitse kõrge tase ja vähendada detergentide soodustavat mõju nimetatud nähtusele, on vaja kehtestada ühtlustatud piirnormid fosfaatide ja fosforiühendite sisaldusele </w:t>
      </w:r>
      <w:r w:rsidRPr="005D6722">
        <w:rPr>
          <w:strike/>
          <w:szCs w:val="24"/>
          <w:lang w:eastAsia="en-US"/>
        </w:rPr>
        <w:t>kodumajapidamises kasutatavates pesupesemisvahendites ja</w:t>
      </w:r>
      <w:r w:rsidRPr="005D6722">
        <w:rPr>
          <w:b/>
          <w:i/>
          <w:szCs w:val="24"/>
          <w:lang w:eastAsia="en-US"/>
        </w:rPr>
        <w:t>teatavates</w:t>
      </w:r>
      <w:r w:rsidRPr="005D6722">
        <w:rPr>
          <w:szCs w:val="24"/>
          <w:lang w:eastAsia="en-US"/>
        </w:rPr>
        <w:t xml:space="preserve"> kodumajapidamises </w:t>
      </w:r>
      <w:r w:rsidRPr="005D6722">
        <w:rPr>
          <w:strike/>
          <w:szCs w:val="24"/>
          <w:lang w:eastAsia="en-US"/>
        </w:rPr>
        <w:t>nõudepesumasinas</w:t>
      </w:r>
      <w:r w:rsidRPr="005D6722">
        <w:rPr>
          <w:b/>
          <w:i/>
          <w:szCs w:val="24"/>
          <w:lang w:eastAsia="en-US"/>
        </w:rPr>
        <w:t>ja tööstuses</w:t>
      </w:r>
      <w:r w:rsidRPr="005D6722">
        <w:rPr>
          <w:szCs w:val="24"/>
          <w:lang w:eastAsia="en-US"/>
        </w:rPr>
        <w:t xml:space="preserve"> kasutatavates </w:t>
      </w:r>
      <w:r w:rsidRPr="005D6722">
        <w:rPr>
          <w:strike/>
          <w:szCs w:val="24"/>
          <w:lang w:eastAsia="en-US"/>
        </w:rPr>
        <w:t>pesuvahendites</w:t>
      </w:r>
      <w:r w:rsidRPr="005D6722">
        <w:rPr>
          <w:b/>
          <w:i/>
          <w:szCs w:val="24"/>
          <w:lang w:eastAsia="en-US"/>
        </w:rPr>
        <w:t>detergentides</w:t>
      </w:r>
      <w:r w:rsidRPr="005D6722">
        <w:rPr>
          <w:szCs w:val="24"/>
          <w:lang w:eastAsia="en-US"/>
        </w:rPr>
        <w:t>.</w:t>
      </w:r>
      <w:r w:rsidRPr="005D6722">
        <w:rPr>
          <w:strike/>
          <w:szCs w:val="24"/>
          <w:lang w:eastAsia="en-US"/>
        </w:rPr>
        <w:t xml:space="preserve"> Samasuguseid piiranguid ei nõuta muud tüüpi detergentide puhul seetõttu, et nende mõju ei ole suur, või seetõttu, et sobivad alternatiivid ei ole praegu kättesaadavad.</w:t>
      </w:r>
      <w:r w:rsidR="00586E65" w:rsidRPr="005D6722">
        <w:rPr>
          <w:b/>
          <w:strike/>
          <w:szCs w:val="24"/>
          <w:lang w:eastAsia="en-US"/>
        </w:rPr>
        <w:t xml:space="preserve"> </w:t>
      </w:r>
      <w:r w:rsidR="00586E65" w:rsidRPr="005D6722">
        <w:rPr>
          <w:b/>
          <w:szCs w:val="24"/>
          <w:lang w:eastAsia="en-US"/>
        </w:rPr>
        <w:t>[ME 2]</w:t>
      </w:r>
    </w:p>
    <w:p w:rsidR="00F9609E" w:rsidRPr="005D6722" w:rsidRDefault="00F9609E" w:rsidP="00F9609E">
      <w:pPr>
        <w:spacing w:before="120" w:after="120" w:line="360" w:lineRule="auto"/>
        <w:ind w:left="850" w:hanging="850"/>
        <w:rPr>
          <w:szCs w:val="24"/>
          <w:lang w:eastAsia="en-US"/>
        </w:rPr>
      </w:pPr>
      <w:r w:rsidRPr="005D6722">
        <w:rPr>
          <w:szCs w:val="24"/>
          <w:lang w:eastAsia="en-US"/>
        </w:rPr>
        <w:t>(11)</w:t>
      </w:r>
      <w:r w:rsidRPr="005D6722">
        <w:rPr>
          <w:szCs w:val="24"/>
          <w:lang w:eastAsia="en-US"/>
        </w:rPr>
        <w:tab/>
        <w:t>Viimastel aastatel on välja töötatud uudsed puhastusained, mis sisaldavad toimeainetena elusaid mikroorganisme. Mikroorganismidel on oma bioloogia ja reaktsioonid keskkonnale. Tänu mikroorganismide paljunemisvõimele on tavapäraste ja mikroobsete detergentide vahel selge erinevus. Seetõttu ei ole olemuslikud ohud ja tekkivad riskid tingimata sama laadi nagu kemikaalidega kaasnevad ohud, eelkõige arvestades mikroorganismide võimet jääda ellu ja paljuneda eri keskkondades ning toota mitmesuguseid metaboliite ja toksiine, mis võivad olla toksikoloogiliselt olulised.</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(12)</w:t>
      </w:r>
      <w:r w:rsidRPr="005D6722">
        <w:rPr>
          <w:szCs w:val="24"/>
          <w:lang w:eastAsia="en-US"/>
        </w:rPr>
        <w:tab/>
        <w:t>Kuna mikroorganisme ei pea registreerima määruse (EÜ) nr 1907/2006 ega ka ühegi muu liidu õigusakti kohaselt, millega nõutakse tootjatelt otstarbekohase kasutuse ohutuse tõendamist, peaksid need olema detergentides kasutamiseks lubatud üksnes niivõrd, kui need on selgelt tuvastatud ja tuginetakse andmetele, mis tõendavad nende kasutamise ohutust, ning nende suhtes kohaldatakse nende ohutust reguleerivaid erinõudeid. Seepärast tuleks kehtestada ühtlustatud eeskirjad, millega reguleeritakse mikroorganismide ohutust detergentides, ning asjakohased katsemeetodid ettevõtjatele, et tõendada nende eeskirjade järgimist. Mikroorganisme sisaldavate detergentide turule laskmise vormi tuleb piirata, kui need sisaldavad sensibiliseerivaid koostisosi. Inimeste tervise kõrgetasemelise kaitse tagamiseks ka sensibiliseeritud inimeste puhul tuleks veenduda, et mikroorganisme sisaldavad ja pihusena turule lastavad detergendid on sellisel kujul kasutamiseks ohutud.</w:t>
      </w:r>
    </w:p>
    <w:p w:rsidR="006304DE" w:rsidRPr="005D6722" w:rsidRDefault="006304DE">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lastRenderedPageBreak/>
        <w:t>(12a)</w:t>
      </w:r>
      <w:r w:rsidRPr="005D6722">
        <w:rPr>
          <w:szCs w:val="24"/>
          <w:lang w:eastAsia="en-US"/>
        </w:rPr>
        <w:tab/>
      </w:r>
      <w:r w:rsidRPr="005D6722">
        <w:rPr>
          <w:b/>
          <w:i/>
          <w:szCs w:val="24"/>
          <w:lang w:eastAsia="en-US"/>
        </w:rPr>
        <w:t>Kooskõlas Euroopa Parlamendi ja nõukogu direktiiviga 2010/63/EL</w:t>
      </w:r>
      <w:r w:rsidRPr="005D6722">
        <w:rPr>
          <w:szCs w:val="24"/>
          <w:vertAlign w:val="superscript"/>
          <w:lang w:eastAsia="en-US"/>
        </w:rPr>
        <w:footnoteReference w:id="10"/>
      </w:r>
      <w:r w:rsidRPr="005D6722">
        <w:rPr>
          <w:b/>
          <w:i/>
          <w:szCs w:val="24"/>
          <w:lang w:eastAsia="en-US"/>
        </w:rPr>
        <w:t>, on vaja loomkatsed asendada, nende arvu vähendada või neid täiustada, et lõpetada loomade kasutamine katsetes nii ruttu kui võimalik. Seepärast tuleks üldiselt keelata selliste detergentide ja pindaktiivsete ainete turule laskmine, mida on käesoleva määruse nõuete täitmiseks katsetatud loomade peal, tagades samal ajal inimtervise kaitse ja võimaldades kasutada varasemaid andmeid. Komisjon peaks asjakohasel juhul valideerima asjakohased alternatiivsed katsemeetodid ja erandid ning julgustama teabe jagamist kõigi asjaomaste sidusrühmade vahel, et toetada muude kui loomkatsemeetodite väljatöötamist, võttes arvesse kohaldatavat liidu õigust avalikustamata äriteabe kaitse ja keskkonnateabele üldsuse juurdepääsu kohta.</w:t>
      </w:r>
      <w:r w:rsidR="00586E65" w:rsidRPr="005D6722">
        <w:rPr>
          <w:b/>
          <w:szCs w:val="24"/>
          <w:lang w:eastAsia="en-US"/>
        </w:rPr>
        <w:t xml:space="preserve"> [ME 3]</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(12b)</w:t>
      </w:r>
      <w:r w:rsidRPr="005D6722">
        <w:rPr>
          <w:szCs w:val="24"/>
          <w:lang w:eastAsia="en-US"/>
        </w:rPr>
        <w:tab/>
      </w:r>
      <w:r w:rsidRPr="005D6722">
        <w:rPr>
          <w:b/>
          <w:i/>
          <w:szCs w:val="24"/>
          <w:lang w:eastAsia="en-US"/>
        </w:rPr>
        <w:t>Väite „loomkatsevaba“ või sarnaste väidete kasutamine peaks olema lubatud üksnes juhul, kui on tagatud, et valmistamise ja vastavustestimise käigus ei ole loomkatseid tehtud. Samuti peaks tootjatel olema lubatud väita, et toode on „vegan“ või samalaadne, kui toote valmistamisel või arendamisel ei ole kasutatud loomseid koostisosi, nagu želatiin, kolesterool või kollageen, ega loomseid kõrvalsaadusi, nagu mesi või mesilasvaha.</w:t>
      </w:r>
      <w:r w:rsidR="00586E65" w:rsidRPr="005D6722">
        <w:rPr>
          <w:b/>
          <w:szCs w:val="24"/>
          <w:lang w:eastAsia="en-US"/>
        </w:rPr>
        <w:t xml:space="preserve"> [ME 4]</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(13)</w:t>
      </w:r>
      <w:r w:rsidRPr="005D6722">
        <w:rPr>
          <w:szCs w:val="24"/>
          <w:lang w:eastAsia="en-US"/>
        </w:rPr>
        <w:tab/>
        <w:t>Avalike huvide kaitse kõrge taseme ja ausa konkurentsi tagamiseks siseturul peaksid ettevõtjad vastutama detergentide või pindaktiivsete ainete vastavuse eest käesolevale määrusele vastavalt oma osale tarneahelas. Kui see on asjakohane, peaksid tootjad ja importijad pisteliselt kontrollima detergente ja pindaktiivseid aineid, mille nad on turul kättesaadavaks teinud, et kaitsta tarbijate tervist ja ohutust ning keskkonda.</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(14)</w:t>
      </w:r>
      <w:r w:rsidRPr="005D6722">
        <w:rPr>
          <w:szCs w:val="24"/>
          <w:lang w:eastAsia="en-US"/>
        </w:rPr>
        <w:tab/>
        <w:t>Kõik tarne- ja turustamisahelas osalevad ettevõtjad peaksid võtma asjakohaseid</w:t>
      </w:r>
      <w:r w:rsidRPr="005D6722">
        <w:rPr>
          <w:b/>
          <w:i/>
          <w:szCs w:val="24"/>
          <w:lang w:eastAsia="en-US"/>
        </w:rPr>
        <w:t xml:space="preserve"> ja tulemuslikke</w:t>
      </w:r>
      <w:r w:rsidRPr="005D6722">
        <w:rPr>
          <w:szCs w:val="24"/>
          <w:lang w:eastAsia="en-US"/>
        </w:rPr>
        <w:t xml:space="preserve"> meetmeid, tagamaks, et nad teevad liidu turul kättesaadavaks üksnes käesoleva määruse nõuetele vastavad detergendid ja pindaktiivsed ained. Vaja on ette näha selge ja proportsionaalne kohustuste jagunemine, mis vastab iga ettevõtja osale tarne- ja turustusahelas.</w:t>
      </w:r>
      <w:r w:rsidR="00586E65" w:rsidRPr="005D6722">
        <w:rPr>
          <w:b/>
          <w:szCs w:val="24"/>
          <w:lang w:eastAsia="en-US"/>
        </w:rPr>
        <w:t xml:space="preserve"> [ME 5]</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(15)</w:t>
      </w:r>
      <w:r w:rsidRPr="005D6722">
        <w:rPr>
          <w:szCs w:val="24"/>
          <w:lang w:eastAsia="en-US"/>
        </w:rPr>
        <w:tab/>
        <w:t>Selleks et ettevõtjad saaksid tõendada ja pädevad asutused kontrollida turul kättesaadavaks tehtud detergentide ja pindaktiivsete ainete vastavust käesoleva määruse nõuetele, on vaja ette näha vastavushindamise menetlus. Otsuses nr 768/2008/EÜ on esitatud vastavushindamise menetluse moodulid kõige vähem rangemast kuni kõige rangema menetluseni vastavalt riski tasemele ja nõutavale ohutustasemele. Valdkondadevahelise ühtsuse tagamise ja juhtumipõhiste lahenduste vältimise eesmärgil on otsusega nr 768/2008/EÜ kindlaks määratud, et vastavushindamise menetlused tuleks valida kõnealuste moodulite hulgast.</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(15a)</w:t>
      </w:r>
      <w:r w:rsidRPr="005D6722">
        <w:rPr>
          <w:szCs w:val="24"/>
          <w:lang w:eastAsia="en-US"/>
        </w:rPr>
        <w:tab/>
      </w:r>
      <w:r w:rsidRPr="005D6722">
        <w:rPr>
          <w:b/>
          <w:i/>
          <w:szCs w:val="24"/>
          <w:lang w:eastAsia="en-US"/>
        </w:rPr>
        <w:t>Tootjad peaksid säilitama tehnilist dokumentatsiooni, tootepassi ja kohaldataval juhul digimärgistust kümme aastat pärast nimetatud dokumentides, tootepassis või digimärgistuses märgitud detergendi või pindaktiivse aine partii või mudeli viimase osa turul kättesaadavaks tegemise kuupäeva.</w:t>
      </w:r>
      <w:r w:rsidR="00586E65" w:rsidRPr="005D6722">
        <w:rPr>
          <w:b/>
          <w:szCs w:val="24"/>
          <w:lang w:eastAsia="en-US"/>
        </w:rPr>
        <w:t xml:space="preserve"> [ME </w:t>
      </w:r>
      <w:r w:rsidR="00811820" w:rsidRPr="005D6722">
        <w:rPr>
          <w:b/>
          <w:szCs w:val="24"/>
          <w:lang w:eastAsia="en-US"/>
        </w:rPr>
        <w:t>6</w:t>
      </w:r>
      <w:r w:rsidR="00586E65" w:rsidRPr="005D6722">
        <w:rPr>
          <w:b/>
          <w:szCs w:val="24"/>
          <w:lang w:eastAsia="en-US"/>
        </w:rPr>
        <w:t>]</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(16)</w:t>
      </w:r>
      <w:r w:rsidRPr="005D6722">
        <w:rPr>
          <w:szCs w:val="24"/>
          <w:lang w:eastAsia="en-US"/>
        </w:rPr>
        <w:tab/>
        <w:t>Tootjal on üksikasjalikud teadmised toote väljatöötamis- ja tootmisprotsessist ning seega on temal kõige paremad võimalused tagada detergendi või pindaktiivse aine vastavus käesoleva määruse nõuetele. Seepärast peaksid detergentide ja pindaktiivsete ainete vastavushindamise menetluse läbiviimise eest vastutama üksnes tootjad. Detergentide ja pindaktiivsete ainete vastavushindamise korral tuleks kohaldada moodulit A. Samuti peaksid tootjad koostama tehnilise toimiku, mis tõendab detergendi või pindaktiivse aine vastavust asjakohastele eeskirjadele ja katsemeetoditele.</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(17)</w:t>
      </w:r>
      <w:r w:rsidRPr="005D6722">
        <w:rPr>
          <w:szCs w:val="24"/>
          <w:lang w:eastAsia="en-US"/>
        </w:rPr>
        <w:tab/>
        <w:t>Selleks et hõlbustada tootjatel käesolevast määrusest tulenevate kohustuste täitmist, peaks liidus asutatud tootjatel olema lubatud määrata volitatud esindaja, kes täidab nende nimel konkreetseid ülesandeid</w:t>
      </w:r>
      <w:r w:rsidRPr="005D6722">
        <w:rPr>
          <w:b/>
          <w:i/>
          <w:szCs w:val="24"/>
          <w:lang w:eastAsia="en-US"/>
        </w:rPr>
        <w:t>. Määramine kehtib üksnes siis, kui volitatud esindaja on selle kirjalikult heaks kiitnud</w:t>
      </w:r>
      <w:r w:rsidRPr="005D6722">
        <w:rPr>
          <w:szCs w:val="24"/>
          <w:lang w:eastAsia="en-US"/>
        </w:rPr>
        <w:t>. Peale selle on vastutuse selge ja proportsionaalse jagamise tagamiseks tootja ja volitatud esindaja vahel vaja kehtestada loetelu ülesannetest, mida tootjal peaks olema lubatud volitatud esindajale usaldada. Selleks et tagada turujärelevalve nõuete täidetavus ja tulemuslikkus ning et liidu turule lastaks ainult nõuetele vastavaid detergente ja pindaktiivseid aineid, peaks volitatud esindaja määramine olema kohustuslik, kui tootja on asutatud väljaspool liitu.</w:t>
      </w:r>
      <w:r w:rsidR="00811820" w:rsidRPr="005D6722">
        <w:rPr>
          <w:b/>
          <w:szCs w:val="24"/>
          <w:lang w:eastAsia="en-US"/>
        </w:rPr>
        <w:t xml:space="preserve"> [ME 6]</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(18)</w:t>
      </w:r>
      <w:r w:rsidRPr="005D6722">
        <w:rPr>
          <w:szCs w:val="24"/>
          <w:lang w:eastAsia="en-US"/>
        </w:rPr>
        <w:tab/>
        <w:t xml:space="preserve">Teabevahetuse hõlbustamiseks ettevõtjate, turujärelevalveasutuste ja tarbijate vahel peaksid ettevõtjad lisama oma kontaktandmete hulka peale postiaadressi </w:t>
      </w:r>
      <w:r w:rsidRPr="005D6722">
        <w:rPr>
          <w:strike/>
          <w:szCs w:val="24"/>
          <w:lang w:eastAsia="en-US"/>
        </w:rPr>
        <w:t>ka veebisaidi</w:t>
      </w:r>
      <w:r w:rsidRPr="005D6722">
        <w:rPr>
          <w:b/>
          <w:i/>
          <w:szCs w:val="24"/>
          <w:lang w:eastAsia="en-US"/>
        </w:rPr>
        <w:t>ja e-posti</w:t>
      </w:r>
      <w:r w:rsidRPr="005D6722">
        <w:rPr>
          <w:szCs w:val="24"/>
          <w:lang w:eastAsia="en-US"/>
        </w:rPr>
        <w:t xml:space="preserve"> aadressi</w:t>
      </w:r>
      <w:r w:rsidRPr="005D6722">
        <w:rPr>
          <w:b/>
          <w:i/>
          <w:szCs w:val="24"/>
          <w:lang w:eastAsia="en-US"/>
        </w:rPr>
        <w:t xml:space="preserve"> ka telefoninumbri</w:t>
      </w:r>
      <w:r w:rsidRPr="005D6722">
        <w:rPr>
          <w:szCs w:val="24"/>
          <w:lang w:eastAsia="en-US"/>
        </w:rPr>
        <w:t>.</w:t>
      </w:r>
      <w:r w:rsidR="00811820" w:rsidRPr="005D6722">
        <w:rPr>
          <w:b/>
          <w:szCs w:val="24"/>
          <w:lang w:eastAsia="en-US"/>
        </w:rPr>
        <w:t xml:space="preserve"> [ME 8]</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(19)</w:t>
      </w:r>
      <w:r w:rsidRPr="005D6722">
        <w:rPr>
          <w:szCs w:val="24"/>
          <w:lang w:eastAsia="en-US"/>
        </w:rPr>
        <w:tab/>
        <w:t xml:space="preserve">Selleks et kaitsta siseturu toimimist ning tagada tervise- ja keskkonnakaitse kõrge tase, on vaja kehtestada nõue, et kolmandatest riikidest liidu turule tulevad detergendid ja pindaktiivsed ained peavad samuti vastama käesolevale määrusele. Eelkõige tuleb tagada, et tootjad on kõnealuste toodete suhtes läbi viinud asjakohased vastavushindamise menetlused. Samuti on vaja kehtestada importijatele eeskirjad, millega tagatakse, et nende poolt turule lastavad detergendid ja pindaktiivsed ained vastavad kõnealustele nõuetele ning et tootjate koostatud dokumendid </w:t>
      </w:r>
      <w:r w:rsidRPr="005D6722">
        <w:rPr>
          <w:strike/>
          <w:szCs w:val="24"/>
          <w:lang w:eastAsia="en-US"/>
        </w:rPr>
        <w:t xml:space="preserve">ja vajaduse korral CE-märgis </w:t>
      </w:r>
      <w:r w:rsidRPr="005D6722">
        <w:rPr>
          <w:szCs w:val="24"/>
          <w:lang w:eastAsia="en-US"/>
        </w:rPr>
        <w:t>on pädevatele riiklikele asutustele kontrollimiseks kättesaadavad. Samuti tuleks sätestada, et importijad tagavad nende toodete tootepassi olemasolu.</w:t>
      </w:r>
      <w:r w:rsidR="00811820" w:rsidRPr="005D6722">
        <w:rPr>
          <w:b/>
          <w:szCs w:val="24"/>
          <w:lang w:eastAsia="en-US"/>
        </w:rPr>
        <w:t xml:space="preserve"> [ME 9]</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(20)</w:t>
      </w:r>
      <w:r w:rsidRPr="005D6722">
        <w:rPr>
          <w:szCs w:val="24"/>
          <w:lang w:eastAsia="en-US"/>
        </w:rPr>
        <w:tab/>
        <w:t>Kuna importijatel on keskne osa imporditud detergentide ja pindaktiivsete ainete nõuetele vastavuse tagamisel liidu turul, peaksid importijad detergendi või pindaktiivse aine turule laskmise korral märkima tootele oma nime, registreeritud kaubanime või registreeritud kaubamärgi, samuti oma postiaadressi</w:t>
      </w:r>
      <w:r w:rsidRPr="005D6722">
        <w:rPr>
          <w:b/>
          <w:i/>
          <w:szCs w:val="24"/>
          <w:lang w:eastAsia="en-US"/>
        </w:rPr>
        <w:t>, e-posti aadressi ja telefoninumbri</w:t>
      </w:r>
      <w:r w:rsidRPr="005D6722">
        <w:rPr>
          <w:strike/>
          <w:szCs w:val="24"/>
          <w:lang w:eastAsia="en-US"/>
        </w:rPr>
        <w:t xml:space="preserve"> ja võimaluse korral elektroonilised sidevahendid</w:t>
      </w:r>
      <w:r w:rsidRPr="005D6722">
        <w:rPr>
          <w:szCs w:val="24"/>
          <w:lang w:eastAsia="en-US"/>
        </w:rPr>
        <w:t>, mille kaudu on võimalik nendega ühendust võtta.</w:t>
      </w:r>
      <w:r w:rsidR="00811820" w:rsidRPr="005D6722">
        <w:rPr>
          <w:b/>
          <w:szCs w:val="24"/>
          <w:lang w:eastAsia="en-US"/>
        </w:rPr>
        <w:t xml:space="preserve"> [ME 10]</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(21)</w:t>
      </w:r>
      <w:r w:rsidRPr="005D6722">
        <w:rPr>
          <w:szCs w:val="24"/>
          <w:lang w:eastAsia="en-US"/>
        </w:rPr>
        <w:tab/>
        <w:t>Kuna turustaja teeb detergendi või pindaktiivse aine turul kättesaadavaks pärast seda, kui tootja või importija on toote turule lasknud, peaks turustaja hoolikalt järgima kohaldatavaid nõudeid. Samuti peaks turustaja tagama, et detergendi või pindaktiivse aine käitlemine tema poolt ei mõjuta negatiivselt selle vastavust käesolevale määrusele.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(22)</w:t>
      </w:r>
      <w:r w:rsidRPr="005D6722">
        <w:rPr>
          <w:szCs w:val="24"/>
          <w:lang w:eastAsia="en-US"/>
        </w:rPr>
        <w:tab/>
        <w:t>Kuna turustajad ja importijad tegutsevad turu lähedal ja neil on oluline osa toote nõuetele vastavuse tagamisel, peaksid nad olema kaasatud pädevate riiklike asutuste tehtavasse turujärelevalvesse ning valmis aktiivselt osalema, andes kõnealustele asutustele kogu vajaliku teabe asjaomase detergendi või pindaktiivse aine kohta.</w:t>
      </w:r>
    </w:p>
    <w:p w:rsidR="00F9609E" w:rsidRPr="005D6722" w:rsidRDefault="00F9609E" w:rsidP="00F9609E">
      <w:pPr>
        <w:spacing w:before="120" w:after="120" w:line="360" w:lineRule="auto"/>
        <w:ind w:left="850" w:hanging="850"/>
        <w:rPr>
          <w:szCs w:val="24"/>
          <w:lang w:eastAsia="en-US"/>
        </w:rPr>
      </w:pPr>
      <w:r w:rsidRPr="005D6722">
        <w:rPr>
          <w:szCs w:val="24"/>
          <w:lang w:eastAsia="en-US"/>
        </w:rPr>
        <w:t>(23)</w:t>
      </w:r>
      <w:r w:rsidRPr="005D6722">
        <w:rPr>
          <w:szCs w:val="24"/>
          <w:lang w:eastAsia="en-US"/>
        </w:rPr>
        <w:tab/>
        <w:t>Kui ettevõtja laseb detergendi või pindaktiivse aine turule oma nime või kaubamärgi all või muudab detergenti või pindaktiivset ainet selliselt, et see võiks mõjutada toote vastavust käesolevale määrusele, tuleks teda käsitada tootjana ja ta peaks võtma endale tootja kohustused. Muul juhul peaksid teiste ettevõtjate poolt juba turule lastud detergenti või pindaktiivset ainet üksnes pakendavad või ümber pakendavad ettevõtjad suutma tõendada, et pakendamine või ümberpakendamine ei ole mõjutanud detergendi või pindaktiivse aine vastavust käesoleva määruse nõuetele, märkides pakendile oma andmed ning säilitades ühe eksemplari algse märgistusteabega.</w:t>
      </w:r>
    </w:p>
    <w:p w:rsidR="006304DE" w:rsidRPr="005D6722" w:rsidRDefault="006304DE">
      <w:pPr>
        <w:widowControl/>
        <w:rPr>
          <w:strike/>
          <w:szCs w:val="24"/>
          <w:lang w:eastAsia="en-US"/>
        </w:rPr>
      </w:pPr>
      <w:r w:rsidRPr="005D6722">
        <w:rPr>
          <w:strike/>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trike/>
          <w:szCs w:val="24"/>
          <w:lang w:eastAsia="en-US"/>
        </w:rPr>
        <w:lastRenderedPageBreak/>
        <w:t>(24)</w:t>
      </w:r>
      <w:r w:rsidRPr="005D6722">
        <w:rPr>
          <w:szCs w:val="24"/>
          <w:lang w:eastAsia="en-US"/>
        </w:rPr>
        <w:tab/>
      </w:r>
      <w:r w:rsidRPr="005D6722">
        <w:rPr>
          <w:strike/>
          <w:szCs w:val="24"/>
          <w:lang w:eastAsia="en-US"/>
        </w:rPr>
        <w:t>CE-märgis, mis näitab detergendi vastavust käesolevale määrusele, on kogu vastavushindamist laiemas tähenduses hõlmava menetluse nähtav tulemus. Euroopa Parlamendi ja nõukogu määruses (EÜ) nr 765/2008</w:t>
      </w:r>
      <w:r w:rsidRPr="005D6722">
        <w:rPr>
          <w:szCs w:val="24"/>
          <w:vertAlign w:val="superscript"/>
          <w:lang w:eastAsia="en-US"/>
        </w:rPr>
        <w:footnoteReference w:id="11"/>
      </w:r>
      <w:r w:rsidRPr="005D6722">
        <w:rPr>
          <w:strike/>
          <w:szCs w:val="24"/>
          <w:lang w:eastAsia="en-US"/>
        </w:rPr>
        <w:t xml:space="preserve"> on sätestatud CE-vastavusmärgist käsitlevad üldpõhimõtted. Kõnealust määrust tuleks kohaldada käesoleva määrusega hõlmatud detergentide suhtes, tagamaks, et liidus vabalt liikuvad tooted vastavad nõuetele, mis tagavad avalike huvide, nagu tervise ja keskkonna kõrgetasemelise kaitse. Määruse (EÜ) nr 765/2008 kohaselt peaks CE-märgis olema ainus vastavusmärgis, mis näitab detergendi vastavust liidu ühtlustamisõigusaktidele.</w:t>
      </w:r>
      <w:r w:rsidR="00811820" w:rsidRPr="005D6722">
        <w:rPr>
          <w:b/>
          <w:szCs w:val="24"/>
          <w:lang w:eastAsia="en-US"/>
        </w:rPr>
        <w:t xml:space="preserve"> [ME 11]</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(25)</w:t>
      </w:r>
      <w:r w:rsidRPr="005D6722">
        <w:rPr>
          <w:szCs w:val="24"/>
          <w:lang w:eastAsia="en-US"/>
        </w:rPr>
        <w:tab/>
      </w:r>
      <w:r w:rsidRPr="005D6722">
        <w:rPr>
          <w:strike/>
          <w:szCs w:val="24"/>
          <w:lang w:eastAsia="en-US"/>
        </w:rPr>
        <w:t xml:space="preserve">Inimeste </w:t>
      </w:r>
      <w:r w:rsidRPr="005D6722">
        <w:rPr>
          <w:szCs w:val="24"/>
          <w:lang w:eastAsia="en-US"/>
        </w:rPr>
        <w:t xml:space="preserve">Tervise kõrgetasemelise kaitse tagamiseks tuleks tootjatelt nõuda, et nad esitaksid mitteohtlike detergentide koostisosade andmelehe. Selleks et optimeerida asjaomaste nõuete tõhusust ja pidades silmas määrusega (EÜ) nr 1272/2008 juba kehtestatud tervisealases hädaolukorras tegutsemise süsteemi, peaksid tootjad </w:t>
      </w:r>
      <w:r w:rsidRPr="005D6722">
        <w:rPr>
          <w:strike/>
          <w:szCs w:val="24"/>
          <w:lang w:eastAsia="en-US"/>
        </w:rPr>
        <w:t xml:space="preserve">taotluse korral </w:t>
      </w:r>
      <w:r w:rsidRPr="005D6722">
        <w:rPr>
          <w:szCs w:val="24"/>
          <w:lang w:eastAsia="en-US"/>
        </w:rPr>
        <w:t>hoidma seda teavet mürgistusteabekeskustele kättesaadavana.</w:t>
      </w:r>
      <w:r w:rsidR="00811820" w:rsidRPr="005D6722">
        <w:rPr>
          <w:b/>
          <w:szCs w:val="24"/>
          <w:lang w:eastAsia="en-US"/>
        </w:rPr>
        <w:t xml:space="preserve"> [ME 12]</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(26)</w:t>
      </w:r>
      <w:r w:rsidRPr="005D6722">
        <w:rPr>
          <w:szCs w:val="24"/>
          <w:lang w:eastAsia="en-US"/>
        </w:rPr>
        <w:tab/>
        <w:t>Märgistusel esitatakse kasutaja jaoks oluline kasutus</w:t>
      </w:r>
      <w:r w:rsidRPr="005D6722">
        <w:rPr>
          <w:b/>
          <w:i/>
          <w:szCs w:val="24"/>
          <w:lang w:eastAsia="en-US"/>
        </w:rPr>
        <w:t>-, tervise</w:t>
      </w:r>
      <w:r w:rsidRPr="005D6722">
        <w:rPr>
          <w:szCs w:val="24"/>
          <w:lang w:eastAsia="en-US"/>
        </w:rPr>
        <w:t>- ja ohutusteave, nagu naha või hingamiselundite sensibilisaatorite (näiteks allergeensete lõhnaainete, säilitusainete või ensüümide) olemasolu detergentides ja pindaktiivsetes ainetes. Kui detergentide ja pindaktiivsete ainete märgistusel esitatakse teave nende ainete sisalduse kohta, on allergilisel või allergilise eelsoodumusega kasutajal võimalik teha teadlikke valikuid ning seega vähendatakse detergentide ja pindaktiivsete ainete kasutamisega seotud võimalikke reaktsioone. Seepärast on vaja kehtestada detergentide ja pindaktiivsete ainete märgistamisnõuded.</w:t>
      </w:r>
      <w:r w:rsidR="00811820" w:rsidRPr="005D6722">
        <w:rPr>
          <w:b/>
          <w:szCs w:val="24"/>
          <w:lang w:eastAsia="en-US"/>
        </w:rPr>
        <w:t xml:space="preserve"> [ME 13]</w:t>
      </w:r>
    </w:p>
    <w:p w:rsidR="00F9609E" w:rsidRPr="005D6722" w:rsidRDefault="00F9609E" w:rsidP="00F9609E">
      <w:pPr>
        <w:spacing w:before="120" w:after="120" w:line="360" w:lineRule="auto"/>
        <w:ind w:left="850" w:hanging="850"/>
        <w:rPr>
          <w:szCs w:val="24"/>
          <w:lang w:eastAsia="en-US"/>
        </w:rPr>
      </w:pPr>
      <w:r w:rsidRPr="005D6722">
        <w:rPr>
          <w:szCs w:val="24"/>
          <w:lang w:eastAsia="en-US"/>
        </w:rPr>
        <w:t>(27)</w:t>
      </w:r>
      <w:r w:rsidRPr="005D6722">
        <w:rPr>
          <w:szCs w:val="24"/>
          <w:lang w:eastAsia="en-US"/>
        </w:rPr>
        <w:tab/>
        <w:t>Kuna detergentide ja pindaktiivsete ainete märgistamine võib kuuluda mitme liidu õigusakti kohaldamisalasse, tuleb detergentide ja pindaktiivsete ainete märgistusel esitatavat teavet ühtlustada nii, et kui detergentide ja pindaktiivsete ainete märgistusel nõutakse liidu eri õigusaktidest tulenevalt sarnast teavet, esitatakse see teave ainult üks kord vastavalt rangematele eeskirjadele. Ühelt poolt parandab see detergentide ja pindaktiivsete ainete märgistuse loetavust ja arusaadavust lõppkasutaja jaoks ning teiselt poolt vähendab detergentide ja pindaktiivsete ainete tootja regulatiivset koormust.</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(28)</w:t>
      </w:r>
      <w:r w:rsidRPr="005D6722">
        <w:rPr>
          <w:szCs w:val="24"/>
          <w:lang w:eastAsia="en-US"/>
        </w:rPr>
        <w:tab/>
        <w:t>Lõhnaained on iseloomuliku, tavaliselt meeldiva lõhnaga orgaanilised ühendid, mida kasutatakse laialdaselt detergentides, aga ka paljudes muudes toodetes, nagu parfüümid ja muud lõhnastatud kosmeetikatooted. Kokkupuude nende ainetega võib põhjustada allergilise reaktsiooni, eriti sensibiliseeritud inimestele, isegi nende ainete väikese kontsentratsiooni korral. Seepärast on oluline anda teavet üksikute allergeensete lõhnaainete kohta detergentides, et sensibiliseeritud inimesed saaksid vältida kokkupuudet ainega, mille vastu nad allergilised on. Seepärast on vaja kehtestada ranged nõuded allergeensete lõhnaainete märgistamisele. Nende ainete suhtes võib siiski kehtida ka määruse (EÜ) nr 1272/2008 kohane märgistamisnõue. Seepärast tuleks kehtestada märgistamise erinõuded, mida rakendataks üksnes siis, kui ei järgita määruse (EÜ) nr 1272/2008 kohaseid märgistamiskünniseid. See hoiab ära ettevõtja tarbetu koormuse ja tagab ka selle, et lõppkasutajale esitatakse teave selgel viisil, tagades sedasi isegi sensibiliseeritud inimeste tervise kõrgetasemelise kaitse.</w:t>
      </w:r>
      <w:r w:rsidRPr="005D6722">
        <w:rPr>
          <w:b/>
          <w:i/>
          <w:szCs w:val="24"/>
          <w:lang w:eastAsia="en-US"/>
        </w:rPr>
        <w:t xml:space="preserve"> Delegeeritud õigusaktidega kehtestatud uute märgistamisnõuete suhtes tuleks kohaldada asjakohaseid üleminekuperioode.</w:t>
      </w:r>
      <w:r w:rsidR="00811820" w:rsidRPr="005D6722">
        <w:rPr>
          <w:b/>
          <w:szCs w:val="24"/>
          <w:lang w:eastAsia="en-US"/>
        </w:rPr>
        <w:t xml:space="preserve"> [ME 14]</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(29)</w:t>
      </w:r>
      <w:r w:rsidRPr="005D6722">
        <w:rPr>
          <w:szCs w:val="24"/>
          <w:lang w:eastAsia="en-US"/>
        </w:rPr>
        <w:tab/>
        <w:t>Teatavate ainete, näiteks säilitusainete puhul on tervisekaitse kõrge taseme tagamiseks vaja täiendavaid märgistamisnõudeid. Seetõttu peaksid säilitusainete märgistamisnõuded hõlmama nii neid säilitusaineid, mille tootja on detergendile tahtlikult lisanud, kui ka neid säilitusaineid, mis tulenevad detergendi koostisse kuuluvatest segudest ja mida sageli nimetatakse ülekanduvateks säilitusaineteks.</w:t>
      </w:r>
    </w:p>
    <w:p w:rsidR="00F9609E" w:rsidRPr="005D6722" w:rsidRDefault="00F9609E" w:rsidP="00F9609E">
      <w:pPr>
        <w:spacing w:before="120" w:after="120" w:line="360" w:lineRule="auto"/>
        <w:ind w:left="850" w:hanging="850"/>
        <w:rPr>
          <w:szCs w:val="24"/>
          <w:lang w:eastAsia="en-US"/>
        </w:rPr>
      </w:pPr>
      <w:r w:rsidRPr="005D6722">
        <w:rPr>
          <w:szCs w:val="24"/>
          <w:lang w:eastAsia="en-US"/>
        </w:rPr>
        <w:t>(30)</w:t>
      </w:r>
      <w:r w:rsidRPr="005D6722">
        <w:rPr>
          <w:szCs w:val="24"/>
          <w:lang w:eastAsia="en-US"/>
        </w:rPr>
        <w:tab/>
        <w:t>Kodumajapidamises kasutatavate pesupesemisvahendite ja kodumajapidamises nõudepesumasinas kasutatavate pesuvahendite märgistusele tuleks lisada teave selle kohta, millises koguses detergente puhastustoimingute käigus kasutada, st doseerimisteave, et vältida detergentide võimalikku liigkasutamist, vähendades seeläbi keskkonda sattuvate detergentide ja pindaktiivsete ainete koguhulka.</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(31)</w:t>
      </w:r>
      <w:r w:rsidRPr="005D6722">
        <w:rPr>
          <w:szCs w:val="24"/>
          <w:lang w:eastAsia="en-US"/>
        </w:rPr>
        <w:tab/>
        <w:t xml:space="preserve">Digimärgistamine võiks parandada märgistusteabe edastamist, vältida füüsilise märgise ülekoormamist teabega ja võimaldada kasutajal tugineda erinevatele teabe lugemise võimalustele, mis on kättesaadavad ainult digivormingus, nagu suurem kiri, automaatne otsing, etteloetav tekst või tõlge teistesse keeltesse. Digimärgistuse kasutamine võib aidata ka ettevõtjatel tõhusamalt hallata märgistamiskohustusi, hõlbustada märgistusteabe ajakohastamist, vähendada märgistamiskulusid ja võimaldada sihipärasema teabe andmist kasutajatele. Seepärast peaks ettevõtjatel olema lubatud esitada teatavat märgistusteavet </w:t>
      </w:r>
      <w:r w:rsidRPr="005D6722">
        <w:rPr>
          <w:strike/>
          <w:szCs w:val="24"/>
          <w:lang w:eastAsia="en-US"/>
        </w:rPr>
        <w:t xml:space="preserve">ainult </w:t>
      </w:r>
      <w:r w:rsidRPr="005D6722">
        <w:rPr>
          <w:szCs w:val="24"/>
          <w:lang w:eastAsia="en-US"/>
        </w:rPr>
        <w:t xml:space="preserve">digimärgistusel konkreetsetel tingimustel, et tagada detergentide kasutaja </w:t>
      </w:r>
      <w:r w:rsidRPr="005D6722">
        <w:rPr>
          <w:b/>
          <w:i/>
          <w:szCs w:val="24"/>
          <w:lang w:eastAsia="en-US"/>
        </w:rPr>
        <w:t xml:space="preserve">ja keskkonna </w:t>
      </w:r>
      <w:r w:rsidRPr="005D6722">
        <w:rPr>
          <w:szCs w:val="24"/>
          <w:lang w:eastAsia="en-US"/>
        </w:rPr>
        <w:t>kõrgetasemeline kaitse.</w:t>
      </w:r>
      <w:r w:rsidR="00811820" w:rsidRPr="005D6722">
        <w:rPr>
          <w:b/>
          <w:szCs w:val="24"/>
          <w:lang w:eastAsia="en-US"/>
        </w:rPr>
        <w:t xml:space="preserve"> [ME 15]</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(31a)</w:t>
      </w:r>
      <w:r w:rsidRPr="005D6722">
        <w:rPr>
          <w:szCs w:val="24"/>
          <w:lang w:eastAsia="en-US"/>
        </w:rPr>
        <w:tab/>
      </w:r>
      <w:r w:rsidRPr="005D6722">
        <w:rPr>
          <w:b/>
          <w:i/>
          <w:szCs w:val="24"/>
          <w:lang w:eastAsia="en-US"/>
        </w:rPr>
        <w:t>Digimärgistamine võib suurendada märgiste loetavust, kasutamise lihtsust ja arusaadavust tarbijate, sealhulgas haavatavate ja nägemispuudega tarbijate jaoks.</w:t>
      </w:r>
      <w:r w:rsidR="00811820" w:rsidRPr="005D6722">
        <w:rPr>
          <w:b/>
          <w:szCs w:val="24"/>
          <w:lang w:eastAsia="en-US"/>
        </w:rPr>
        <w:t xml:space="preserve"> [ME 16]</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(32)</w:t>
      </w:r>
      <w:r w:rsidRPr="005D6722">
        <w:rPr>
          <w:szCs w:val="24"/>
          <w:lang w:eastAsia="en-US"/>
        </w:rPr>
        <w:tab/>
        <w:t xml:space="preserve">Ettevõtjate tarbetu halduskoormuse vältimise huvides ja põhjusel, et </w:t>
      </w:r>
      <w:r w:rsidRPr="005D6722">
        <w:rPr>
          <w:strike/>
          <w:szCs w:val="24"/>
          <w:lang w:eastAsia="en-US"/>
        </w:rPr>
        <w:t xml:space="preserve">enamikul juhtudel </w:t>
      </w:r>
      <w:r w:rsidRPr="005D6722">
        <w:rPr>
          <w:szCs w:val="24"/>
          <w:lang w:eastAsia="en-US"/>
        </w:rPr>
        <w:t>digimärgistus</w:t>
      </w:r>
      <w:r w:rsidRPr="005D6722">
        <w:rPr>
          <w:strike/>
          <w:szCs w:val="24"/>
          <w:lang w:eastAsia="en-US"/>
        </w:rPr>
        <w:t xml:space="preserve"> üksnes</w:t>
      </w:r>
      <w:r w:rsidRPr="005D6722">
        <w:rPr>
          <w:szCs w:val="24"/>
          <w:lang w:eastAsia="en-US"/>
        </w:rPr>
        <w:t xml:space="preserve"> täiendab füüsilist märgitust, peaks ettevõtjatel olema võimalik otsustada, kas kasutada digimärgistust või esitada kogu teave ainult füüsilisel märgistusel. Digimärgistuse kasutamise valiku peaksid tegema tootjad ja importijad, kes vastutavad täpse märgistusteabe esitamise eest.</w:t>
      </w:r>
      <w:r w:rsidR="00811820" w:rsidRPr="005D6722">
        <w:rPr>
          <w:b/>
          <w:szCs w:val="24"/>
          <w:lang w:eastAsia="en-US"/>
        </w:rPr>
        <w:t xml:space="preserve"> [ME 17]</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(33)</w:t>
      </w:r>
      <w:r w:rsidRPr="005D6722">
        <w:rPr>
          <w:szCs w:val="24"/>
          <w:lang w:eastAsia="en-US"/>
        </w:rPr>
        <w:tab/>
        <w:t xml:space="preserve">Digimärgistamine võib tekitada probleeme ka haavatavatele elanikkonnarühmadele, kellel puuduvad digioskused või on need ebapiisavad, ning suurendada digilõhet. Seepärast peaks </w:t>
      </w:r>
      <w:r w:rsidRPr="005D6722">
        <w:rPr>
          <w:strike/>
          <w:szCs w:val="24"/>
          <w:lang w:eastAsia="en-US"/>
        </w:rPr>
        <w:t xml:space="preserve">üksnes </w:t>
      </w:r>
      <w:r w:rsidRPr="005D6722">
        <w:rPr>
          <w:szCs w:val="24"/>
          <w:lang w:eastAsia="en-US"/>
        </w:rPr>
        <w:t>digimärgistusel esitatav konkreetne teave kajastama ühiskonna digitaliseerimise praegust olukorda ja detergentide kasutajate konkreetset olukorda</w:t>
      </w:r>
      <w:r w:rsidRPr="005D6722">
        <w:rPr>
          <w:b/>
          <w:i/>
          <w:szCs w:val="24"/>
          <w:lang w:eastAsia="en-US"/>
        </w:rPr>
        <w:t xml:space="preserve"> ning traadita ja muu tehnoloogilise taristu valmidust võimaldada teabele piiramatut juurdepääsu</w:t>
      </w:r>
      <w:r w:rsidRPr="005D6722">
        <w:rPr>
          <w:szCs w:val="24"/>
          <w:lang w:eastAsia="en-US"/>
        </w:rPr>
        <w:t>. Peale selle peaks kogu märgistusteave tervise- ja keskkonnakaitse kohta</w:t>
      </w:r>
      <w:r w:rsidRPr="005D6722">
        <w:rPr>
          <w:b/>
          <w:i/>
          <w:szCs w:val="24"/>
          <w:lang w:eastAsia="en-US"/>
        </w:rPr>
        <w:t>, sealhulgas</w:t>
      </w:r>
      <w:r w:rsidRPr="005D6722">
        <w:rPr>
          <w:strike/>
          <w:szCs w:val="24"/>
          <w:lang w:eastAsia="en-US"/>
        </w:rPr>
        <w:t xml:space="preserve"> ning</w:t>
      </w:r>
      <w:r w:rsidRPr="005D6722">
        <w:rPr>
          <w:szCs w:val="24"/>
          <w:lang w:eastAsia="en-US"/>
        </w:rPr>
        <w:t xml:space="preserve"> detergentide</w:t>
      </w:r>
      <w:r w:rsidRPr="005D6722">
        <w:rPr>
          <w:strike/>
          <w:szCs w:val="24"/>
          <w:lang w:eastAsia="en-US"/>
        </w:rPr>
        <w:t xml:space="preserve"> minimaalsed</w:t>
      </w:r>
      <w:r w:rsidRPr="005D6722">
        <w:rPr>
          <w:szCs w:val="24"/>
          <w:lang w:eastAsia="en-US"/>
        </w:rPr>
        <w:t xml:space="preserve"> kasutusjuhised</w:t>
      </w:r>
      <w:r w:rsidRPr="005D6722">
        <w:rPr>
          <w:b/>
          <w:i/>
          <w:szCs w:val="24"/>
          <w:lang w:eastAsia="en-US"/>
        </w:rPr>
        <w:t>,</w:t>
      </w:r>
      <w:r w:rsidRPr="005D6722">
        <w:rPr>
          <w:szCs w:val="24"/>
          <w:lang w:eastAsia="en-US"/>
        </w:rPr>
        <w:t xml:space="preserve"> jääma füüsilisele märgistusele, et võimaldada kõigil lõppkasutajatel teha teadlikke valikuid enne detergendi ostmist ning et tagada selle ohutu kasutamine.</w:t>
      </w:r>
      <w:r w:rsidR="00811820" w:rsidRPr="005D6722">
        <w:rPr>
          <w:b/>
          <w:szCs w:val="24"/>
          <w:lang w:eastAsia="en-US"/>
        </w:rPr>
        <w:t xml:space="preserve"> [ME 18]</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(34)</w:t>
      </w:r>
      <w:r w:rsidRPr="005D6722">
        <w:rPr>
          <w:szCs w:val="24"/>
          <w:lang w:eastAsia="en-US"/>
        </w:rPr>
        <w:tab/>
      </w:r>
      <w:r w:rsidRPr="005D6722">
        <w:rPr>
          <w:strike/>
          <w:szCs w:val="24"/>
          <w:lang w:eastAsia="en-US"/>
        </w:rPr>
        <w:t>Siiski tuleks teha erand selliste</w:t>
      </w:r>
      <w:r w:rsidRPr="005D6722">
        <w:rPr>
          <w:b/>
          <w:i/>
          <w:szCs w:val="24"/>
          <w:lang w:eastAsia="en-US"/>
        </w:rPr>
        <w:t>Lõppkasutajatele täitepakendis müüdavate</w:t>
      </w:r>
      <w:r w:rsidRPr="005D6722">
        <w:rPr>
          <w:szCs w:val="24"/>
          <w:lang w:eastAsia="en-US"/>
        </w:rPr>
        <w:t xml:space="preserve"> detergentide </w:t>
      </w:r>
      <w:r w:rsidRPr="005D6722">
        <w:rPr>
          <w:strike/>
          <w:szCs w:val="24"/>
          <w:lang w:eastAsia="en-US"/>
        </w:rPr>
        <w:t>suhtes, mida müüakse lõppkasutajale täitepakendis. Selleks et kasutada täielikult ära nii digitaliseerimisest tulenevaid eeliseid kui ka pakendite ja nendega seotud pakendijäätmete vähendamisest tulenevat suurt keskkonnakasu, mida taastäitemüük võimaldab, peaks olema lubatud esitada digitaalselt</w:t>
      </w:r>
      <w:r w:rsidRPr="005D6722">
        <w:rPr>
          <w:b/>
          <w:i/>
          <w:szCs w:val="24"/>
          <w:lang w:eastAsia="en-US"/>
        </w:rPr>
        <w:t>puhul tuleks tagada, et</w:t>
      </w:r>
      <w:r w:rsidRPr="005D6722">
        <w:rPr>
          <w:szCs w:val="24"/>
          <w:lang w:eastAsia="en-US"/>
        </w:rPr>
        <w:t xml:space="preserve"> kogu märgistusteave</w:t>
      </w:r>
      <w:r w:rsidRPr="005D6722">
        <w:rPr>
          <w:b/>
          <w:i/>
          <w:szCs w:val="24"/>
          <w:lang w:eastAsia="en-US"/>
        </w:rPr>
        <w:t xml:space="preserve"> on olemas eraldioleval märgistusel, mis tuleks taastäitmise ajal pakendile kinnitada. See peaks hõlmama</w:t>
      </w:r>
      <w:r w:rsidRPr="005D6722">
        <w:rPr>
          <w:strike/>
          <w:szCs w:val="24"/>
          <w:lang w:eastAsia="en-US"/>
        </w:rPr>
        <w:t>, välja arvatud</w:t>
      </w:r>
      <w:r w:rsidRPr="005D6722">
        <w:rPr>
          <w:szCs w:val="24"/>
          <w:lang w:eastAsia="en-US"/>
        </w:rPr>
        <w:t xml:space="preserve"> kodumajapidamises kasutatavate pesupesemisvahendite doseerimisjuhised.</w:t>
      </w:r>
      <w:r w:rsidR="00811820" w:rsidRPr="005D6722">
        <w:rPr>
          <w:b/>
          <w:szCs w:val="24"/>
          <w:lang w:eastAsia="en-US"/>
        </w:rPr>
        <w:t xml:space="preserve"> [ME 19]</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(35)</w:t>
      </w:r>
      <w:r w:rsidRPr="005D6722">
        <w:rPr>
          <w:szCs w:val="24"/>
          <w:lang w:eastAsia="en-US"/>
        </w:rPr>
        <w:tab/>
        <w:t>Detergente turul kättesaadavaks tegevatele ettevõtjatele võrdsete tingimuste tagamiseks ja lõppkasutajate kaitsmiseks tuleks sätestada digimärgistamise üldnõuded. Näiteks peaks ettevõtja tagama vaba ja lihtsa juurdepääsu digimärgistusele</w:t>
      </w:r>
      <w:r w:rsidRPr="005D6722">
        <w:rPr>
          <w:b/>
          <w:i/>
          <w:szCs w:val="24"/>
          <w:lang w:eastAsia="en-US"/>
        </w:rPr>
        <w:t>, kuni kahe klahvi või klõpsuga,</w:t>
      </w:r>
      <w:r w:rsidRPr="005D6722">
        <w:rPr>
          <w:szCs w:val="24"/>
          <w:lang w:eastAsia="en-US"/>
        </w:rPr>
        <w:t xml:space="preserve"> ning käesoleva määruse alusel nõutava kohustusliku märgistusteabe eraldamise muust teabest.</w:t>
      </w:r>
      <w:r w:rsidR="00811820" w:rsidRPr="005D6722">
        <w:rPr>
          <w:b/>
          <w:szCs w:val="24"/>
          <w:lang w:eastAsia="en-US"/>
        </w:rPr>
        <w:t xml:space="preserve"> [ME 20]</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(36)</w:t>
      </w:r>
      <w:r w:rsidRPr="005D6722">
        <w:rPr>
          <w:szCs w:val="24"/>
          <w:lang w:eastAsia="en-US"/>
        </w:rPr>
        <w:tab/>
        <w:t>Võttes arvesse digioskuste praegust arengut, peaks ettevõtja esitama märgistusteabe ka muude vahendite abil, kui lõppkasutajal puudub juurdepääs digimärgisele. See kohustus tuleks kehtestada ohutusmeetmena, et vähendada märgistusteabe puudumisest tulenevaid võimalikke riske</w:t>
      </w:r>
      <w:r w:rsidRPr="005D6722">
        <w:rPr>
          <w:strike/>
          <w:szCs w:val="24"/>
          <w:lang w:eastAsia="en-US"/>
        </w:rPr>
        <w:t>, eelkõige täitedetergentide puhul, mille kohta võib kogu teabe esitada digimärgisel</w:t>
      </w:r>
      <w:r w:rsidRPr="005D6722">
        <w:rPr>
          <w:szCs w:val="24"/>
          <w:lang w:eastAsia="en-US"/>
        </w:rPr>
        <w:t>.</w:t>
      </w:r>
      <w:r w:rsidR="00811820" w:rsidRPr="005D6722">
        <w:rPr>
          <w:b/>
          <w:szCs w:val="24"/>
          <w:lang w:eastAsia="en-US"/>
        </w:rPr>
        <w:t xml:space="preserve"> [ME 21]</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(37)</w:t>
      </w:r>
      <w:r w:rsidRPr="005D6722">
        <w:rPr>
          <w:szCs w:val="24"/>
          <w:lang w:eastAsia="en-US"/>
        </w:rPr>
        <w:tab/>
        <w:t xml:space="preserve">Olenemata sellest, millisel kujul detergendid turul kättesaadavaks tehakse, on neil sama kasutusotstarve ja nendega kaasnevad samad ohud, mistõttu peaksid ettevõtjad, kes teevad detergendid turul kättesaadavaks täitepakendis, tagama nende vastavuse samadele nõuetele nagu kinnispakis detergendid. Samuti peaksid tarbijad saama nõutavat märgistusteavet ka siis, kui nad otsustavad täitedetergentide kasuks. </w:t>
      </w:r>
      <w:r w:rsidRPr="005D6722">
        <w:rPr>
          <w:b/>
          <w:i/>
          <w:szCs w:val="24"/>
          <w:lang w:eastAsia="en-US"/>
        </w:rPr>
        <w:t xml:space="preserve">Märgistuse füüsiline koopia peaks olema alati nähtav ka taastäitmiskohas. </w:t>
      </w:r>
      <w:r w:rsidRPr="005D6722">
        <w:rPr>
          <w:szCs w:val="24"/>
          <w:lang w:eastAsia="en-US"/>
        </w:rPr>
        <w:t>Seepärast peaks käesolev määrus sõnaselgelt hõlmama detergentide taastäitemüüki, et tagada tervise- ja keskkonnakaitse kõrge tase ning võrdsed tingimused ettevõtjatele.</w:t>
      </w:r>
      <w:r w:rsidRPr="005D6722">
        <w:rPr>
          <w:b/>
          <w:i/>
          <w:szCs w:val="24"/>
          <w:lang w:eastAsia="en-US"/>
        </w:rPr>
        <w:t xml:space="preserve"> Selleks et edendada liidu üleminekut ringmajandusele, tuleks soodustada ja edendada pakendite korduskasutamist ja taastäitmist. Tootjad ja lõppturustajad peaksid võimaluse korral võimaldama ja edasi arendama täitepakendis detergentide müüki müügikohas ning püüdma teha detergendid tarbijatele kättesaadavaks muudes kestlikes müügivormides, näiteks müües detergente ringlussevõetavates pakendites, mis võimaldavad tarbijatel täita asjakohased pakendid võimaluse korral kodus, tagades samal ajal tarbijate ohutuse.</w:t>
      </w:r>
      <w:r w:rsidR="00811820" w:rsidRPr="005D6722">
        <w:rPr>
          <w:b/>
          <w:szCs w:val="24"/>
          <w:lang w:eastAsia="en-US"/>
        </w:rPr>
        <w:t xml:space="preserve"> [ME 22]</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(38)</w:t>
      </w:r>
      <w:r w:rsidRPr="005D6722">
        <w:rPr>
          <w:szCs w:val="24"/>
          <w:lang w:eastAsia="en-US"/>
        </w:rPr>
        <w:tab/>
        <w:t>Detergendi või pindaktiivse aine jälgitavuse tagamine kogu tarneahelas aitab muuta turujärelevalve lihtsamaks ja tõhusamaks. Tõhusa jälgitavussüsteemi abil on turujärelevalveasutustel hõlpsam teha kindlaks ettevõtja, kes tegi nõuetele mittevastava detergendi või pindaktiivse aine turul kättesaadavaks.</w:t>
      </w:r>
    </w:p>
    <w:p w:rsidR="00F9609E" w:rsidRPr="005D6722" w:rsidRDefault="00F9609E" w:rsidP="00F9609E">
      <w:pPr>
        <w:spacing w:before="120" w:after="120" w:line="360" w:lineRule="auto"/>
        <w:ind w:left="850" w:hanging="850"/>
        <w:rPr>
          <w:szCs w:val="24"/>
          <w:lang w:eastAsia="en-US"/>
        </w:rPr>
      </w:pPr>
      <w:r w:rsidRPr="005D6722">
        <w:rPr>
          <w:szCs w:val="24"/>
          <w:lang w:eastAsia="en-US"/>
        </w:rPr>
        <w:t>(39)</w:t>
      </w:r>
      <w:r w:rsidRPr="005D6722">
        <w:rPr>
          <w:szCs w:val="24"/>
          <w:lang w:eastAsia="en-US"/>
        </w:rPr>
        <w:tab/>
        <w:t>Tootjad peaksid looma tootepassi, et anda teavet detergentide ja pindaktiivsete ainete vastavuse kohta käesolevale määrusele ning muudele õigusaktidele, millele detergent või pindaktiivne aine peab vastama. Detergentide või pindaktiivsete ainete kontrollimise hõlbustamiseks ning tarneahelas osalejatele ja lõppkasutajatele juurdepääsu võimaldamiseks vajalikule teabele, näiteks teabele koostisosade kohta ja kasutusjuhistele, tuleks tootepassis sisalduv teave esitada digitaalselt ja vahetult juurdepääsetaval viisil detergendi või pindaktiivse aine füüsilisele märgisele või toote pakendile või saatedokumentidele kinnitatud andmekandjal. Seepärast peaks turujärelevalveasutustel, ettevõtjatel ja lõppkasutajatel olema andmekandja kaudu vahetu juurdepääs nõuetele vastavuse teabele või muule teabele detergendi või pindaktiivse aine kohta.</w:t>
      </w:r>
    </w:p>
    <w:p w:rsidR="006304DE" w:rsidRPr="005D6722" w:rsidRDefault="006304DE">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lastRenderedPageBreak/>
        <w:t>(39a)</w:t>
      </w:r>
      <w:r w:rsidRPr="005D6722">
        <w:rPr>
          <w:szCs w:val="24"/>
          <w:lang w:eastAsia="en-US"/>
        </w:rPr>
        <w:tab/>
      </w:r>
      <w:r w:rsidRPr="005D6722">
        <w:rPr>
          <w:b/>
          <w:i/>
          <w:szCs w:val="24"/>
          <w:lang w:eastAsia="en-US"/>
        </w:rPr>
        <w:t>Selleks et vältida ettevõtjatele ja üldsusele tekkivaid kulusid, mis on laiema kasuga võrreldes ebaproportsionaalsed, peaks tootepass olema vaikimisi seotud detergendi või pindaktiivse aine mudeliga. Kui valemis tehakse muudatusi või kui partii koostises on erinevusi, peaks tootepass olema partiile omane.</w:t>
      </w:r>
      <w:r w:rsidR="00811820" w:rsidRPr="005D6722">
        <w:rPr>
          <w:b/>
          <w:szCs w:val="24"/>
          <w:lang w:eastAsia="en-US"/>
        </w:rPr>
        <w:t xml:space="preserve"> [ME 23]</w:t>
      </w:r>
    </w:p>
    <w:p w:rsidR="00F9609E" w:rsidRPr="005D6722" w:rsidRDefault="00F9609E" w:rsidP="00F9609E">
      <w:pPr>
        <w:spacing w:before="120" w:after="120" w:line="360" w:lineRule="auto"/>
        <w:ind w:left="850" w:hanging="850"/>
        <w:rPr>
          <w:szCs w:val="24"/>
          <w:lang w:eastAsia="en-US"/>
        </w:rPr>
      </w:pPr>
      <w:r w:rsidRPr="005D6722">
        <w:rPr>
          <w:szCs w:val="24"/>
          <w:lang w:eastAsia="en-US"/>
        </w:rPr>
        <w:t>(40)</w:t>
      </w:r>
      <w:r w:rsidRPr="005D6722">
        <w:rPr>
          <w:szCs w:val="24"/>
          <w:lang w:eastAsia="en-US"/>
        </w:rPr>
        <w:tab/>
        <w:t>Selleks et vältida digitaliseerimisse tehtavate investeeringute dubleerimist kõigi asjaosaliste, sealhulgas tootjate, turujärelevalveasutuste ja tolli poolt, peaks käesoleva määruse alusel loodud tootepass olema täielikult koostalitlusvõimeline muudes liidu õigusaktides nõutud tootepassiga.</w:t>
      </w:r>
    </w:p>
    <w:p w:rsidR="00F9609E" w:rsidRPr="005D6722" w:rsidRDefault="00F9609E" w:rsidP="00F9609E">
      <w:pPr>
        <w:spacing w:before="120" w:after="120" w:line="360" w:lineRule="auto"/>
        <w:ind w:left="850" w:hanging="850"/>
        <w:rPr>
          <w:szCs w:val="24"/>
          <w:lang w:eastAsia="en-US"/>
        </w:rPr>
      </w:pPr>
      <w:r w:rsidRPr="005D6722">
        <w:rPr>
          <w:szCs w:val="24"/>
          <w:lang w:eastAsia="en-US"/>
        </w:rPr>
        <w:t>(41)</w:t>
      </w:r>
      <w:r w:rsidRPr="005D6722">
        <w:rPr>
          <w:szCs w:val="24"/>
          <w:lang w:eastAsia="en-US"/>
        </w:rPr>
        <w:tab/>
        <w:t>Eelkõige on [Euroopa Parlamendi ja nõukogu määrusega (EL) .../..., millega kehtestatakse kestlike toodete ökodisaininõuete sätestamise raamistik ja tunnistatakse kehtetuks direktiiv 2009/125/EÜ], samuti ette nähtud digitaalse tootepassi nõuded ja tehniline kirjeldus, komisjoni keskregistri loomine passiteabe säilitamiseks ning selle registri ühendamine tolli IT-süsteemidega. Kõnealuse määruse kohaldamisalasse võiks keskpikas perspektiivis kuuluda detergendid või pindaktiivsed ained ja seega nõutaks nende ainete puhul digitaalse tootepassi olemasolu.</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(42)</w:t>
      </w:r>
      <w:r w:rsidRPr="005D6722">
        <w:rPr>
          <w:szCs w:val="24"/>
          <w:lang w:eastAsia="en-US"/>
        </w:rPr>
        <w:tab/>
        <w:t>Käesoleva määruse alusel loodud detergentide ja pindaktiivsete ainete tootepass peaks seega vastama samadele nõuetele ja tehnilistele elementidele, mis on sätestatud määruses (EL) .../... kestlike toodete ökodisaininõuete kohta, sealhulgas tootepassi otspunktside ja andmeedastuse tehniliste, semantiliste ja korralduslike aspektide poolest.</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(43)</w:t>
      </w:r>
      <w:r w:rsidRPr="005D6722">
        <w:rPr>
          <w:szCs w:val="24"/>
          <w:lang w:eastAsia="en-US"/>
        </w:rPr>
        <w:tab/>
        <w:t xml:space="preserve">Kui detergentide või pindaktiivsete ainete suhtes kohaldatavate muude liidu õigusaktide kohaselt on vaja tootepassi, peaks detergentide ja pindaktiivsete ainete </w:t>
      </w:r>
      <w:r w:rsidRPr="005D6722">
        <w:rPr>
          <w:strike/>
          <w:szCs w:val="24"/>
          <w:lang w:eastAsia="en-US"/>
        </w:rPr>
        <w:t>jaoks</w:t>
      </w:r>
      <w:r w:rsidRPr="005D6722">
        <w:rPr>
          <w:b/>
          <w:i/>
          <w:szCs w:val="24"/>
          <w:lang w:eastAsia="en-US"/>
        </w:rPr>
        <w:t>puhul</w:t>
      </w:r>
      <w:r w:rsidRPr="005D6722">
        <w:rPr>
          <w:szCs w:val="24"/>
          <w:lang w:eastAsia="en-US"/>
        </w:rPr>
        <w:t xml:space="preserve"> olema</w:t>
      </w:r>
      <w:r w:rsidRPr="005D6722">
        <w:rPr>
          <w:b/>
          <w:i/>
          <w:szCs w:val="24"/>
          <w:lang w:eastAsia="en-US"/>
        </w:rPr>
        <w:t xml:space="preserve"> nõutav</w:t>
      </w:r>
      <w:r w:rsidRPr="005D6722">
        <w:rPr>
          <w:szCs w:val="24"/>
          <w:lang w:eastAsia="en-US"/>
        </w:rPr>
        <w:t xml:space="preserve"> üks tootepass, mis sisaldab käesoleva määruse ja muude liidu õigusaktidega nõutavat teavet.</w:t>
      </w:r>
      <w:r w:rsidRPr="005D6722">
        <w:rPr>
          <w:b/>
          <w:i/>
          <w:szCs w:val="24"/>
          <w:lang w:eastAsia="en-US"/>
        </w:rPr>
        <w:t xml:space="preserve"> Lisaks peaksid detergentide ja pindaktiivsete ainete tootepassi tehnilise teostuse nõuded olema kooskõlas muudes liidu õigusaktides ette nähtud eraldi tehniliste kriteeriumidega.</w:t>
      </w:r>
      <w:r w:rsidR="00811820" w:rsidRPr="005D6722">
        <w:rPr>
          <w:b/>
          <w:szCs w:val="24"/>
          <w:lang w:eastAsia="en-US"/>
        </w:rPr>
        <w:t xml:space="preserve"> [ME 24]</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(44)</w:t>
      </w:r>
      <w:r w:rsidRPr="005D6722">
        <w:rPr>
          <w:szCs w:val="24"/>
          <w:lang w:eastAsia="en-US"/>
        </w:rPr>
        <w:tab/>
        <w:t>Väga oluline on selgitada nii tootjatele kui ka kasutajatele, et detergendi või pindaktiivse aine tootepassi loomisega</w:t>
      </w:r>
      <w:r w:rsidRPr="005D6722">
        <w:rPr>
          <w:strike/>
          <w:szCs w:val="24"/>
          <w:lang w:eastAsia="en-US"/>
        </w:rPr>
        <w:t xml:space="preserve"> ja vajaduse korral CE-märgise kinnitamisega tootele</w:t>
      </w:r>
      <w:r w:rsidRPr="005D6722">
        <w:rPr>
          <w:szCs w:val="24"/>
          <w:lang w:eastAsia="en-US"/>
        </w:rPr>
        <w:t xml:space="preserve"> kinnitab tootja, et detergent või pindaktiivne aine vastab kõigile kohaldatavatele nõuetele ja et tootja võtab endale selle eest täieliku vastutuse.</w:t>
      </w:r>
      <w:r w:rsidR="00811820" w:rsidRPr="005D6722">
        <w:rPr>
          <w:b/>
          <w:szCs w:val="24"/>
          <w:lang w:eastAsia="en-US"/>
        </w:rPr>
        <w:t xml:space="preserve"> [ME 25]</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(45)</w:t>
      </w:r>
      <w:r w:rsidRPr="005D6722">
        <w:rPr>
          <w:szCs w:val="24"/>
          <w:lang w:eastAsia="en-US"/>
        </w:rPr>
        <w:tab/>
        <w:t>Kui teatav teave esitatakse</w:t>
      </w:r>
      <w:r w:rsidRPr="005D6722">
        <w:rPr>
          <w:strike/>
          <w:szCs w:val="24"/>
          <w:lang w:eastAsia="en-US"/>
        </w:rPr>
        <w:t xml:space="preserve"> ainult</w:t>
      </w:r>
      <w:r w:rsidRPr="005D6722">
        <w:rPr>
          <w:szCs w:val="24"/>
          <w:lang w:eastAsia="en-US"/>
        </w:rPr>
        <w:t xml:space="preserve"> digitaalselt, on vaja selgitada, et see teave tuleb esitada eraldi ja muust teabest selgelt eristatuna, kuid samal andmekandjal. See hõlbustab turujärelevalveasutuste tööd, kuid samuti annab see lõppkasutajale selguse neile digivormingus kättesaadava teabe eri osade kohta.</w:t>
      </w:r>
      <w:r w:rsidR="00811820" w:rsidRPr="005D6722">
        <w:rPr>
          <w:b/>
          <w:szCs w:val="24"/>
          <w:lang w:eastAsia="en-US"/>
        </w:rPr>
        <w:t xml:space="preserve"> [ME 26]</w:t>
      </w:r>
    </w:p>
    <w:p w:rsidR="00F9609E" w:rsidRPr="005D6722" w:rsidRDefault="00F9609E" w:rsidP="00F9609E">
      <w:pPr>
        <w:spacing w:before="120" w:after="120" w:line="360" w:lineRule="auto"/>
        <w:ind w:left="850" w:hanging="850"/>
        <w:rPr>
          <w:szCs w:val="24"/>
          <w:lang w:eastAsia="en-US"/>
        </w:rPr>
      </w:pPr>
      <w:r w:rsidRPr="005D6722">
        <w:rPr>
          <w:szCs w:val="24"/>
          <w:lang w:eastAsia="en-US"/>
        </w:rPr>
        <w:t>(46)</w:t>
      </w:r>
      <w:r w:rsidRPr="005D6722">
        <w:rPr>
          <w:szCs w:val="24"/>
          <w:lang w:eastAsia="en-US"/>
        </w:rPr>
        <w:tab/>
        <w:t>Detergentide ja pindaktiivsete ainete suhtes kohaldatakse Euroopa Parlamendi ja nõukogu määruse (EL) 2019/1020</w:t>
      </w:r>
      <w:r w:rsidRPr="005D6722">
        <w:rPr>
          <w:szCs w:val="24"/>
          <w:vertAlign w:val="superscript"/>
          <w:lang w:eastAsia="en-US"/>
        </w:rPr>
        <w:footnoteReference w:id="12"/>
      </w:r>
      <w:r w:rsidRPr="005D6722">
        <w:rPr>
          <w:szCs w:val="24"/>
          <w:lang w:eastAsia="en-US"/>
        </w:rPr>
        <w:t xml:space="preserve"> VII peatükki, millega kehtestatakse liidu turule tulevate toodete kontrollimise eeskirjad. Kontrollimise eest vastutavad asutused, kelleks on peaaegu kõigis liikmesriikides toll, peavad kontrolle tegema riskianalüüsi alusel, millele on osutatud Euroopa Parlamendi ja nõukogu määruse (EL) nr 952/2013</w:t>
      </w:r>
      <w:r w:rsidRPr="005D6722">
        <w:rPr>
          <w:szCs w:val="24"/>
          <w:vertAlign w:val="superscript"/>
          <w:lang w:eastAsia="en-US"/>
        </w:rPr>
        <w:footnoteReference w:id="13"/>
      </w:r>
      <w:r w:rsidRPr="005D6722">
        <w:rPr>
          <w:szCs w:val="24"/>
          <w:lang w:eastAsia="en-US"/>
        </w:rPr>
        <w:t xml:space="preserve"> artiklites 46 ja 47, selle rakendusaktides ja vastavates suunistes. Seepärast ei tohiks käesoleva määrusega mingil viisil muuta määruse (EL) 2019/1020 VII peatükki ega viisi, kuidas liidu turule tulevate toodete kontrollimise eest vastutavad asutused enda tegevust korraldavad ja oma ülesandeid täidavad.</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(47)</w:t>
      </w:r>
      <w:r w:rsidRPr="005D6722">
        <w:rPr>
          <w:szCs w:val="24"/>
          <w:lang w:eastAsia="en-US"/>
        </w:rPr>
        <w:tab/>
        <w:t>Peale määruse (EL) 2019/1020 VII peatükiga kehtestatud kontrolliraamistikule tuginemise peaks tollil olema võimalik automaatselt kontrollida, kas käesoleva määruse kohaldamisalasse kuuluvate imporditud detergentide ja pindaktiivsete ainete jaoks on olemas tootepass, et tugevdada kontrolli liidu välispiiridel ning vältida nõuetele mittevastavate detergentide ja pindaktiivsete ainete tulemist liidu turule.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(48)</w:t>
      </w:r>
      <w:r w:rsidRPr="005D6722">
        <w:rPr>
          <w:szCs w:val="24"/>
          <w:lang w:eastAsia="en-US"/>
        </w:rPr>
        <w:tab/>
        <w:t>Kui kolmandatest riikidest pärit detergendid ja pindaktiivsed ained esitatakse vabasse ringlusse lubamiseks, peaks toll tagama, et ettevõtja teeb tolliasutustele kättesaadavaks viite tootepassile ja et see viide vastab toote kordumatule tunnuskoodile, mis on salvestatud [kestlike toodete ökodisaini määruse (EL) .../... artikli 12] alusel komisjoni loodud tootepassiregistris. Kõnealuse registri ja tolli IT-süsteemi omavaheline ühendamine, nagu on sätestatud [kestlike toodete ökodisaini määruse (EL) .../... artiklis 13], peaks võimaldama automaatselt kontrollida selle detergendi või pindaktiivse aine tollile esitatud tootepassi, tagamaks, et vabasse ringlusse lubatakse üksnes need detergendid ja pindaktiivsed ained, millel on kehtiv viide registris sisalduvale toote kordumatule tunnuskoodile.</w:t>
      </w:r>
    </w:p>
    <w:p w:rsidR="006304DE" w:rsidRPr="005D6722" w:rsidRDefault="006304DE">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(49)</w:t>
      </w:r>
      <w:r w:rsidRPr="005D6722">
        <w:rPr>
          <w:szCs w:val="24"/>
          <w:lang w:eastAsia="en-US"/>
        </w:rPr>
        <w:tab/>
        <w:t>Kui [kestlike toodete ökodisaini määruse (EL) .../... artikli 12] alusel loodud tootepassiregistris säilitatakse peale toote kordumatu tunnuskoodi ja ettevõtja kordumatu tunnuskoodi muud teavet, peaks komisjonil olema võimalik delegeeritud õigusaktiga ette näha, et tollil on lubatud kontrollida kõnealuse lisateabe ja ettevõtja poolt tollile kättesaadavaks tehtud teabe ühtsust, et parandada vabasse ringlusse lubamise tolliprotseduurile suunatud detergentide ja pindaktiivsete ainete vastavust käesolevale määrusele.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(50)</w:t>
      </w:r>
      <w:r w:rsidRPr="005D6722">
        <w:rPr>
          <w:szCs w:val="24"/>
          <w:lang w:eastAsia="en-US"/>
        </w:rPr>
        <w:tab/>
        <w:t>Tootepassis sisalduv teave võib võimaldada tollil tõhustada ja hõlbustada riskijuhtimist ning paremini suunata liidu välispiiridel tehtavaid kontrolle. Seepärast peaks tollil olema võimalik võtta ja kasutada tootepassis ja sellega seotud registris sisalduvat teavet oma ülesannete täitmiseks vastavalt liidu õigusaktidele, sealhulgas riskijuhtimiseks vastavalt määrusele (EL) nr 952/2013.</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(51)</w:t>
      </w:r>
      <w:r w:rsidRPr="005D6722">
        <w:rPr>
          <w:szCs w:val="24"/>
          <w:lang w:eastAsia="en-US"/>
        </w:rPr>
        <w:tab/>
        <w:t xml:space="preserve">Asjakohane on näha ette, et </w:t>
      </w:r>
      <w:r w:rsidRPr="005D6722">
        <w:rPr>
          <w:i/>
          <w:szCs w:val="24"/>
          <w:lang w:eastAsia="en-US"/>
        </w:rPr>
        <w:t>Euroopa Liidu Teatajas</w:t>
      </w:r>
      <w:r w:rsidRPr="005D6722">
        <w:rPr>
          <w:szCs w:val="24"/>
          <w:lang w:eastAsia="en-US"/>
        </w:rPr>
        <w:t xml:space="preserve"> avaldatakse teade, milles on märgitud kuupäev, mil võetakse kasutusele ühendus registri ja [kestlike toodete ökodisaini määruse (EL) .../... artiklis 13] osutatud ELi tollivaldkonna ühtse teeninduskeskkonna sertifikaate käsitleva teabe vahetamise süsteemi vahel, et hõlbustada üldsuse juurdepääsu kõnealusele teabele.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(52)</w:t>
      </w:r>
      <w:r w:rsidRPr="005D6722">
        <w:rPr>
          <w:szCs w:val="24"/>
          <w:lang w:eastAsia="en-US"/>
        </w:rPr>
        <w:tab/>
        <w:t>Kui toll automaatselt kontrollib liidu turule tulevate detergentide ja pindaktiivsete ainete tootepassi viidet, ei tohiks see asendada ega muuta turujärelevalveasutuste kohustusi, vaid see üksnes täiendab liidu turule tulevate toodete kontrollimise üldist raamistikku. Turujärelevalveasutused peaksid vastavalt määrusele (EL) 2019/1020 kontrollima tootepassis sisalduvat teavet ja turul olevaid tooteid ning, juhul kui liidu välispiiridel kontrolli tegema määratud asutused peatavad toote vabasse ringlusse lubamise, tegema määruse (EL) 2019/1020 VII peatüki kohaselt kindlaks toote nõuetele vastavuse ja toote põhjustatavad tõsised ohud.</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(53)</w:t>
      </w:r>
      <w:r w:rsidRPr="005D6722">
        <w:rPr>
          <w:szCs w:val="24"/>
          <w:lang w:eastAsia="en-US"/>
        </w:rPr>
        <w:tab/>
        <w:t>Turujärelevalve on oluline vahend, sest sellega tagatakse liidu õigusaktide asjakohane ja ühetaoline kohaldamine. Määruses (EL) 2019/1020 on sätestatud selliste toodete turujärelevalve raamistik, mille suhtes kohaldatakse liidu ühtlustamisõigusakte. Seepärast peaksid liikmesriigid korraldama ja tegema detergentide ja pindaktiivsete ainete turujärelevalvet vastavalt kõnealusele määrusele.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(54)</w:t>
      </w:r>
      <w:r w:rsidRPr="005D6722">
        <w:rPr>
          <w:szCs w:val="24"/>
          <w:lang w:eastAsia="en-US"/>
        </w:rPr>
        <w:tab/>
        <w:t>Määrust (EL) 2019/1020 juba kohaldatakse detergentide ja pindaktiivsete ainete suhtes, sest määrus (EÜ) nr 648/2004 on loetletud selle I lisas. Õiguskindluse tagamiseks on siiski vaja selgitada, et määruses (EL) 2019/1020 sätestatud siseturu järelevalvet ja siseturule tulevate toodete kontrollimise eeskirju kohaldatakse ka käesoleva määrusega hõlmatud detergentide ja pindaktiivsete ainete suhtes. Käesolev määrus ei tohiks takistada liikmesriike valimast, millised pädevad asutused kõnealuseid ülesandeid täitma hakkavad. Seepärast tuleks määrust (EL) 2019/1020 muuta nii, et selles oleks viide käesolevale määrusele.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(55)</w:t>
      </w:r>
      <w:r w:rsidRPr="005D6722">
        <w:rPr>
          <w:szCs w:val="24"/>
          <w:lang w:eastAsia="en-US"/>
        </w:rPr>
        <w:tab/>
        <w:t>Määruses (EÜ) nr 648/2004 on sätestatud kaitsemeetmete menetlus, mis võimaldab komisjonil kontrollida, kas liikmesriigi võetud meede ohtlikeks peetavate detergentide ja pindaktiivsete ainete suhtes on põhjendatud. Läbipaistvuse suurendamise ja menetlusaja lühendamise huvides on vaja eelmist kaitsemeetmete menetlust parandada, et muuta see tõhusamaks ja liikmesriikides olemasolevale oskusteabele tuginevaks. Eelmine süsteem tuleks asendada menetlusega, mille kohaselt teatatakse huvitatud isikutele kavandatavatest meetmetest, mis on seotud tervisele või keskkonnale ohtlike detergentide ja pindaktiivsete ainetega. Turujärelevalveasutustel peaks olema võimalik koostöös asjaomaste ettevõtjatega selliste detergentide ja pindaktiivsete ainete puhul varakult meetmeid võtta. Komisjon peaks rakendusaktidega (jättes nende eripära ja tehnilist laadi arvesse võttes määruse (EL) nr 182/2011 kohaldamata) kindlaks määrama, kas riiklik meede on ohtliku detergendi või pindaktiivse aine puhul põhjendatud.</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(56)</w:t>
      </w:r>
      <w:r w:rsidRPr="005D6722">
        <w:rPr>
          <w:szCs w:val="24"/>
          <w:lang w:eastAsia="en-US"/>
        </w:rPr>
        <w:tab/>
        <w:t>Kogemused määrusega (EÜ) nr 648/2004 on näidanud, et kohaldatavatele nõuetele vastavad detergendid ja pindaktiivsed ained on teatavatel juhtudel kujutanud endast ohtu tervisele või keskkonnale. Tuleks ette näha sätted, millega tagatakse, et turujärelevalveasutused võtavad meetmeid kõigi tervisele või keskkonnale ohtlike detergentide või pindaktiivsete ainete suhtes, isegi kui need vastavad õiguslikele nõuetele. Komisjon peaks rakendusaktidega (jättes nende eripära ja tehnilist laadi arvesse võttes määruse (EL) nr 182/2011 kohaldamata) kindlaks määrama, kas riiklik meede on põhjendatud sellise nõuetele vastava detergendi või pindaktiivse aine puhul, mis liikmesriigi arvates kujutab endast ohtu inimeste tervisele ja ohutusele või keskkonnale.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(57)</w:t>
      </w:r>
      <w:r w:rsidRPr="005D6722">
        <w:rPr>
          <w:szCs w:val="24"/>
          <w:lang w:eastAsia="en-US"/>
        </w:rPr>
        <w:tab/>
        <w:t>Selleks et võtta arvesse tehnika ja teaduse arengut või uusi teaduslikke tõendeid ning digivalmiduse taset, tuleks komisjonile anda õigus võtta kooskõlas Euroopa Liidu toimimise lepingu artikliga 290 vastu õigusakte, et täiendada veelgi digimärgistamise üldnõudeid, muuta märgistusteavet, mida võib esitada ainult digivormingus, muuta allergeensete lõhnaainete piirnormi, kui määruse (EÜ) nr 1223/2009 alusel kehtestatakse lõhnaainetest allergeenide kohta individuaalsed riskipõhised sisalduse piirväärtused, muuta olemasolevaid biolagundatavuse nõudeid, et võtta kasutusele detergentides (sealhulgas detergentide kapslites) sisalduvate ainete ja segude (mis ei ole pindaktiivsed ained) biolagundatavuse nõuded, kui uued teaduslikud tõendid seda nõuavad, ning muuta I–VII lisa. Samuti tuleks komisjonile anda volitus muuta tootepassi kantavat konkreetset teavet ning komisjoni registrisse kantavat teavet. Peale selle tuleks komisjonile anda volitus täiendada käesolevat määrust sellega, et ta määrab kindlaks registris säilitatava lisateabe, mida toll kontrollib. Selleks et hõlbustada tolli tööd, mis on seotud detergentide ja pindaktiivsete ainetega ning käesolevas määruses sätestatud nõuetega, peaks komisjonil samuti olema õigus võtta vastu delegeeritud õigusakte käesoleva määruse muutmiseks, koostades lisa, mis sisaldab määruse (EMÜ) nr 2658/87 I lisas esitatud kombineeritud nomenklatuuri koodide loetelu ning detergentide ja pindaktiivsete ainete tootekirjeldusi, ja ajakohastades seda.</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(58)</w:t>
      </w:r>
      <w:r w:rsidRPr="005D6722">
        <w:rPr>
          <w:szCs w:val="24"/>
          <w:lang w:eastAsia="en-US"/>
        </w:rPr>
        <w:tab/>
        <w:t>Delegeeritud õigusaktide vastuvõtmise korral käesoleva määruse alusel on eriti oluline, et komisjon korraldaks oma ettevalmistava töö käigus asjakohaseid konsultatsioone, sealhulgas ekspertide tasandil, ja et need konsultatsioonid korraldataks kooskõlas 13. aprilli 2016. aasta institutsioonidevahelises parema õigusloome kokkuleppes</w:t>
      </w:r>
      <w:r w:rsidRPr="005D6722">
        <w:rPr>
          <w:szCs w:val="24"/>
          <w:vertAlign w:val="superscript"/>
          <w:lang w:eastAsia="en-US"/>
        </w:rPr>
        <w:footnoteReference w:id="14"/>
      </w:r>
      <w:r w:rsidRPr="005D6722">
        <w:rPr>
          <w:szCs w:val="24"/>
          <w:lang w:eastAsia="en-US"/>
        </w:rPr>
        <w:t xml:space="preserve"> sätestatud põhimõtetega. Eelkõige selleks, et tagada võrdne osalemine delegeeritud õigusaktide ettevalmistamises, saavad Euroopa Parlament ja nõukogu kõik dokumendid liikmesriikide ekspertidega samal ajal ning nende ekspertidel on pidev juurdepääs komisjoni eksperdirühmade koosolekutele, millel arutatakse delegeeritud õigusaktide ettevalmistamist.</w:t>
      </w:r>
    </w:p>
    <w:p w:rsidR="00F9609E" w:rsidRPr="005D6722" w:rsidRDefault="00F9609E" w:rsidP="00F9609E">
      <w:pPr>
        <w:spacing w:before="120" w:after="120" w:line="360" w:lineRule="auto"/>
        <w:ind w:left="850" w:hanging="850"/>
        <w:rPr>
          <w:szCs w:val="24"/>
          <w:lang w:eastAsia="en-US"/>
        </w:rPr>
      </w:pPr>
      <w:r w:rsidRPr="005D6722">
        <w:rPr>
          <w:szCs w:val="24"/>
          <w:lang w:eastAsia="en-US"/>
        </w:rPr>
        <w:t>(59)</w:t>
      </w:r>
      <w:r w:rsidRPr="005D6722">
        <w:rPr>
          <w:szCs w:val="24"/>
          <w:lang w:eastAsia="en-US"/>
        </w:rPr>
        <w:tab/>
        <w:t>Käesoleva määruse ühetaoliste rakendamistingimuste tagamiseks tuleks komisjonile anda rakendamisvolitused detergentide ja pindaktiivsete ainete tootepassi üksikasjalike tehniliste nõuete kehtestamiseks. Nende volituste kasutamisel tuleks järgida Euroopa Parlamendi ja nõukogu määrust (EL) nr 182/2011</w:t>
      </w:r>
      <w:r w:rsidRPr="005D6722">
        <w:rPr>
          <w:szCs w:val="24"/>
          <w:vertAlign w:val="superscript"/>
          <w:lang w:eastAsia="en-US"/>
        </w:rPr>
        <w:footnoteReference w:id="15"/>
      </w:r>
      <w:r w:rsidRPr="005D6722">
        <w:rPr>
          <w:szCs w:val="24"/>
          <w:lang w:eastAsia="en-US"/>
        </w:rPr>
        <w: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(60)</w:t>
      </w:r>
      <w:r w:rsidRPr="005D6722">
        <w:rPr>
          <w:szCs w:val="24"/>
          <w:lang w:eastAsia="en-US"/>
        </w:rPr>
        <w:tab/>
        <w:t>Pidades silmas vajadust tagada</w:t>
      </w:r>
      <w:r w:rsidRPr="005D6722">
        <w:rPr>
          <w:strike/>
          <w:szCs w:val="24"/>
          <w:lang w:eastAsia="en-US"/>
        </w:rPr>
        <w:t xml:space="preserve"> inimeste</w:t>
      </w:r>
      <w:r w:rsidRPr="005D6722">
        <w:rPr>
          <w:szCs w:val="24"/>
          <w:lang w:eastAsia="en-US"/>
        </w:rPr>
        <w:t xml:space="preserve"> tervise ja keskkonna kõrgetasemeline kaitse ning vajadust võtta arvesse teaduslikel faktidel põhinevaid uusi arengusuundi, peaks komisjon esitama Euroopa Parlamendile ja nõukogule aruande käesoleva määruse kohaldamise kohta. Komisjon peaks oma aruandes muu hulgas hindama, kas käesolev määrus täidab oma eesmärke, võttes arvesse mõju väikestele ja keskmise suurusega ettevõtjatele.</w:t>
      </w:r>
      <w:r w:rsidR="00811820" w:rsidRPr="005D6722">
        <w:rPr>
          <w:b/>
          <w:szCs w:val="24"/>
          <w:lang w:eastAsia="en-US"/>
        </w:rPr>
        <w:t xml:space="preserve"> [ME 27]</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(61)</w:t>
      </w:r>
      <w:r w:rsidRPr="005D6722">
        <w:rPr>
          <w:szCs w:val="24"/>
          <w:lang w:eastAsia="en-US"/>
        </w:rPr>
        <w:tab/>
        <w:t>Selleks et tagada tervise- ja keskkonnakaitse kõrge tase, edendada innovatsiooni ja suurendada konkurentsivõimet, peaks komisjon hindama mikroorganisme sisaldavate detergentide ohutusnõudeid ja võimalust lubada detergentides kasutada uusi mikroorganisme või mikroorganismide tüvesid</w:t>
      </w:r>
      <w:r w:rsidRPr="005D6722">
        <w:rPr>
          <w:b/>
          <w:i/>
          <w:szCs w:val="24"/>
          <w:lang w:eastAsia="en-US"/>
        </w:rPr>
        <w:t xml:space="preserve"> või vajadusel korral nende sisaldust piirata</w:t>
      </w:r>
      <w:r w:rsidRPr="005D6722">
        <w:rPr>
          <w:szCs w:val="24"/>
          <w:lang w:eastAsia="en-US"/>
        </w:rPr>
        <w:t>.</w:t>
      </w:r>
      <w:r w:rsidR="00811820" w:rsidRPr="005D6722">
        <w:rPr>
          <w:b/>
          <w:szCs w:val="24"/>
          <w:lang w:eastAsia="en-US"/>
        </w:rPr>
        <w:t xml:space="preserve"> [ME 28]</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(61a)</w:t>
      </w:r>
      <w:r w:rsidRPr="005D6722">
        <w:rPr>
          <w:szCs w:val="24"/>
          <w:lang w:eastAsia="en-US"/>
        </w:rPr>
        <w:tab/>
      </w:r>
      <w:r w:rsidRPr="005D6722">
        <w:rPr>
          <w:b/>
          <w:i/>
          <w:szCs w:val="24"/>
          <w:lang w:eastAsia="en-US"/>
        </w:rPr>
        <w:t>Selleks et hõlbustada üleminekut täielikule ringmajandusele, peaks komisjon hindama eesmärkide seadmist detergentides kasutatavate kestlike taastuvate toorainete ja ringlussevõetud materjalide kohta.</w:t>
      </w:r>
      <w:r w:rsidR="00811820" w:rsidRPr="005D6722">
        <w:rPr>
          <w:b/>
          <w:szCs w:val="24"/>
          <w:lang w:eastAsia="en-US"/>
        </w:rPr>
        <w:t xml:space="preserve"> [ME 29]</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(62)</w:t>
      </w:r>
      <w:r w:rsidRPr="005D6722">
        <w:rPr>
          <w:szCs w:val="24"/>
          <w:lang w:eastAsia="en-US"/>
        </w:rPr>
        <w:tab/>
        <w:t>Käesoleva määrusega nähakse ette võimalus esitada teatavas olukorras kogu kohustuslik tooteteave või osa sellest ainult digimärgistusel ning nõutakse detergentide ja pindaktiivsete ainete jaoks digitaalse tootepassi loomist. Seepärast on vaja anda piisavalt aega ettevõtjatele käesoleva määruse kohaste kohustuste täitmiseks, liikmesriikidele selle määruse kohaldamise jaoks vajaliku haldustaristu loomiseks ja komisjonile tootepassi tehniliste nõuete rakendamise ettevalmistamiseks. Sellest tulenevalt tuleks käesoleva määruse kohaldamine edasi lükata kuupäevani, milleks kõnealused ettevalmistused on võimalik mõistlikult lõpetada.</w:t>
      </w:r>
    </w:p>
    <w:p w:rsidR="00F9609E" w:rsidRPr="005D6722" w:rsidRDefault="00F9609E" w:rsidP="00F9609E">
      <w:pPr>
        <w:spacing w:before="120" w:after="120" w:line="360" w:lineRule="auto"/>
        <w:ind w:left="850" w:hanging="850"/>
        <w:rPr>
          <w:szCs w:val="24"/>
          <w:lang w:eastAsia="en-US"/>
        </w:rPr>
      </w:pPr>
      <w:r w:rsidRPr="005D6722">
        <w:rPr>
          <w:szCs w:val="24"/>
          <w:lang w:eastAsia="en-US"/>
        </w:rPr>
        <w:t>(63)</w:t>
      </w:r>
      <w:r w:rsidRPr="005D6722">
        <w:rPr>
          <w:szCs w:val="24"/>
          <w:lang w:eastAsia="en-US"/>
        </w:rPr>
        <w:tab/>
        <w:t>Õiguskindluse tagamiseks ja jäätmete tekke vältimiseks peab ettevõtjatel olema võimalik müüa käesoleva määruse kohaldamise alguskuupäeval kas turustusahelas olevaid või ladustatud varusid. Seepärast on vaja ette näha üleminekukord, mis võimaldab teha turul kättesaadavaks detergendid ja pindaktiivsed ained, mis on turule lastud vastavalt määrusele (EÜ) nr 648/2004 enne käesoleva määruse kohaldamise alguskuupäeva, ilma et need tooted peaksid vastama käesolevas määruses sätestatud tootenõuetele. Seepärast peaks turustajatel olema võimalik tarnida enne käesoleva määruse kohaldamise alguskuupäeva turule lastud detergente ja pindaktiivseid aineid, st varusid, mis on juba turustusahelas.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(64)</w:t>
      </w:r>
      <w:r w:rsidRPr="005D6722">
        <w:rPr>
          <w:szCs w:val="24"/>
          <w:lang w:eastAsia="en-US"/>
        </w:rPr>
        <w:tab/>
        <w:t>Samuti tuleks kehtestada üleminekukord, mis võimaldab turule lasta detergente ja pindaktiivseid aineid, mis käesoleva määruse kohaldamise alguskuupäeval ei ole veel turustusahelas, ilma et need tooted peaksid vastama käesolevas määruses sätestatud nõuetele, tingimusel et turule laskmise ajal vastavad need endiselt määrusele (EÜ) nr 648/2004. Seepärast peaks tootjatel ja importijatel olema võimalik lasta pärast käesoleva määruse kohaldamise alguskuupäeva turule detergente ja pindaktiivseid aineid, st varusid, mis ei ole veel turustusahelas.</w:t>
      </w:r>
    </w:p>
    <w:p w:rsidR="00F9609E" w:rsidRPr="005D6722" w:rsidRDefault="00F9609E" w:rsidP="00F9609E">
      <w:pPr>
        <w:spacing w:before="120" w:after="120" w:line="360" w:lineRule="auto"/>
        <w:ind w:left="850" w:hanging="850"/>
        <w:rPr>
          <w:szCs w:val="24"/>
          <w:lang w:eastAsia="en-US"/>
        </w:rPr>
      </w:pPr>
      <w:r w:rsidRPr="005D6722">
        <w:rPr>
          <w:szCs w:val="24"/>
          <w:lang w:eastAsia="en-US"/>
        </w:rPr>
        <w:t>(65)</w:t>
      </w:r>
      <w:r w:rsidRPr="005D6722">
        <w:rPr>
          <w:szCs w:val="24"/>
          <w:lang w:eastAsia="en-US"/>
        </w:rPr>
        <w:tab/>
        <w:t>Kuna liikmesriigid ei suuda piisavas ulatuses saavutada käesoleva määruse eesmärki, milleks on tagada siseturu toimimine ja samas kindlustada, et turul olevad detergendid ja pindaktiivsed ained vastavad nõuetele, millega tagatakse tervise- ja keskkonnakaitse kõrge tase, küll aga on eesmärgi ulatuse ja mõju tõttu seda parem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w:t>
      </w:r>
    </w:p>
    <w:p w:rsidR="00F9609E" w:rsidRPr="005D6722" w:rsidRDefault="00F9609E" w:rsidP="00F9609E">
      <w:pPr>
        <w:keepNext/>
        <w:widowControl/>
        <w:spacing w:before="120" w:after="120" w:line="360" w:lineRule="auto"/>
        <w:rPr>
          <w:szCs w:val="24"/>
          <w:lang w:eastAsia="en-US"/>
        </w:rPr>
      </w:pPr>
      <w:r w:rsidRPr="005D6722">
        <w:rPr>
          <w:szCs w:val="24"/>
          <w:lang w:eastAsia="en-US"/>
        </w:rPr>
        <w:t>ON VASTU VÕTNUD KÄESOLEVA MÄÄRUSE: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 xml:space="preserve">I PEATÜKK </w:t>
      </w:r>
      <w:r w:rsidRPr="005D6722">
        <w:rPr>
          <w:szCs w:val="24"/>
          <w:lang w:eastAsia="en-US"/>
        </w:rPr>
        <w:br/>
        <w:t>ÜLDSÄTTED</w:t>
      </w:r>
    </w:p>
    <w:p w:rsidR="00F9609E" w:rsidRPr="005D6722" w:rsidRDefault="00F9609E" w:rsidP="00F9609E">
      <w:pPr>
        <w:spacing w:before="120" w:after="120" w:line="360" w:lineRule="auto"/>
        <w:jc w:val="center"/>
        <w:rPr>
          <w:szCs w:val="24"/>
          <w:lang w:eastAsia="en-US"/>
        </w:rPr>
      </w:pPr>
      <w:r w:rsidRPr="005D6722">
        <w:rPr>
          <w:szCs w:val="24"/>
          <w:lang w:eastAsia="en-US"/>
        </w:rPr>
        <w:t>Artikkel 1</w:t>
      </w:r>
      <w:r w:rsidRPr="005D6722">
        <w:rPr>
          <w:szCs w:val="24"/>
          <w:lang w:eastAsia="en-US"/>
        </w:rPr>
        <w:br/>
        <w:t xml:space="preserve">Reguleerimisese </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Käesoleva määrusega nähakse ette detergentide ja pindaktiivsete ainete vaba liikumise kord siseturul, tagades samal ajal tervise- ja keskkonnakaitse kõrge taseme.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Käesolev määrus ei mõjuta järgmiste õigusaktide kohaldamist: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Euroopa Parlamendi ja nõukogu määrus (EÜ) nr 1907/2006</w:t>
      </w:r>
      <w:r w:rsidRPr="005D6722">
        <w:rPr>
          <w:szCs w:val="24"/>
          <w:vertAlign w:val="superscript"/>
          <w:lang w:eastAsia="en-US"/>
        </w:rPr>
        <w:footnoteReference w:id="16"/>
      </w:r>
      <w:r w:rsidRPr="005D6722">
        <w:rPr>
          <w:szCs w:val="24"/>
          <w:lang w:eastAsia="en-US"/>
        </w:rPr>
        <w: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Euroopa Parlamendi ja nõukogu määrus (EÜ) nr 1272/2008</w:t>
      </w:r>
      <w:r w:rsidRPr="005D6722">
        <w:rPr>
          <w:szCs w:val="24"/>
          <w:vertAlign w:val="superscript"/>
          <w:lang w:eastAsia="en-US"/>
        </w:rPr>
        <w:footnoteReference w:id="17"/>
      </w:r>
      <w:r w:rsidRPr="005D6722">
        <w:rPr>
          <w:szCs w:val="24"/>
          <w:lang w:eastAsia="en-US"/>
        </w:rPr>
        <w: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Euroopa Parlamendi ja nõukogu määrus (EL) nr 528/2012</w:t>
      </w:r>
      <w:r w:rsidRPr="005D6722">
        <w:rPr>
          <w:szCs w:val="24"/>
          <w:vertAlign w:val="superscript"/>
          <w:lang w:eastAsia="en-US"/>
        </w:rPr>
        <w:footnoteReference w:id="18"/>
      </w:r>
      <w:r w:rsidRPr="005D6722">
        <w:rPr>
          <w:szCs w:val="24"/>
          <w:lang w:eastAsia="en-US"/>
        </w:rPr>
        <w: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2</w:t>
      </w:r>
      <w:r w:rsidRPr="005D6722">
        <w:rPr>
          <w:szCs w:val="24"/>
          <w:lang w:eastAsia="en-US"/>
        </w:rPr>
        <w:br/>
        <w:t>Mõisted</w:t>
      </w:r>
    </w:p>
    <w:p w:rsidR="00F9609E" w:rsidRPr="005D6722" w:rsidRDefault="00F9609E" w:rsidP="00F9609E">
      <w:pPr>
        <w:spacing w:before="120" w:after="120" w:line="360" w:lineRule="auto"/>
        <w:rPr>
          <w:szCs w:val="24"/>
          <w:lang w:eastAsia="en-US"/>
        </w:rPr>
      </w:pPr>
      <w:r w:rsidRPr="005D6722">
        <w:rPr>
          <w:szCs w:val="24"/>
          <w:lang w:eastAsia="en-US"/>
        </w:rPr>
        <w:t>Käesolevas määruses kasutatakse järgmisi mõisteid: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„detergent“ – üks järgmistest: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aine, segu või mikroorganism või kaks või rohkem sellist materjali koos, mis on ette nähtud pesu, nõude või pindade puhastamiseks;</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segu, mis on ette nähtud riide või nõude leotamiseks (eelpesuks), loputamiseks või pleegitamiseks;</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w:t>
      </w:r>
      <w:r w:rsidRPr="005D6722">
        <w:rPr>
          <w:szCs w:val="24"/>
          <w:lang w:eastAsia="en-US"/>
        </w:rPr>
        <w:tab/>
        <w:t>segu, mis on ette nähtud riide pehmendamiseks</w:t>
      </w:r>
      <w:r w:rsidRPr="005D6722">
        <w:rPr>
          <w:b/>
          <w:i/>
          <w:szCs w:val="24"/>
          <w:lang w:eastAsia="en-US"/>
        </w:rPr>
        <w:t xml:space="preserve"> või lõhnastamiseks</w:t>
      </w:r>
      <w:r w:rsidRPr="005D6722">
        <w:rPr>
          <w:szCs w:val="24"/>
          <w:lang w:eastAsia="en-US"/>
        </w:rPr>
        <w:t xml:space="preserve"> pesemisega kaasnevates täiendavates protsessides;</w:t>
      </w:r>
      <w:r w:rsidR="00811820" w:rsidRPr="005D6722">
        <w:rPr>
          <w:b/>
          <w:szCs w:val="24"/>
          <w:lang w:eastAsia="en-US"/>
        </w:rPr>
        <w:t xml:space="preserve"> [ME 30]</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„kodumajapidamises kasutatav pesupesemisvahend“ – pesuvahend, mis on lastud turule muu kui kutsealase kasutuse tarbeks, sealhulgas selvepesulates;</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„kodumajapidamises nõudepesumasinas kasutatav pesuvahend“ – pesuvahend, mis on lastud turule kasutamiseks nõudepesumasinates, välja arvatud kutsealaseks kasutamiseks;</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lastRenderedPageBreak/>
        <w:t>3a)</w:t>
      </w:r>
      <w:r w:rsidRPr="005D6722">
        <w:rPr>
          <w:szCs w:val="24"/>
          <w:lang w:eastAsia="en-US"/>
        </w:rPr>
        <w:tab/>
      </w:r>
      <w:r w:rsidRPr="005D6722">
        <w:rPr>
          <w:b/>
          <w:i/>
          <w:szCs w:val="24"/>
          <w:lang w:eastAsia="en-US"/>
        </w:rPr>
        <w:t>„kõvade pindade puhastamise vahend“ – universaalpuhastusvahend, köögipuhastusvahend, aknapuhastusvahend või sanitaarpuhastusvahend;</w:t>
      </w:r>
      <w:r w:rsidR="00811820" w:rsidRPr="005D6722">
        <w:rPr>
          <w:b/>
          <w:szCs w:val="24"/>
          <w:lang w:eastAsia="en-US"/>
        </w:rPr>
        <w:t xml:space="preserve"> [ME 31]</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3b)</w:t>
      </w:r>
      <w:r w:rsidRPr="005D6722">
        <w:rPr>
          <w:szCs w:val="24"/>
          <w:lang w:eastAsia="en-US"/>
        </w:rPr>
        <w:tab/>
      </w:r>
      <w:r w:rsidRPr="005D6722">
        <w:rPr>
          <w:b/>
          <w:i/>
          <w:szCs w:val="24"/>
          <w:lang w:eastAsia="en-US"/>
        </w:rPr>
        <w:t>„kodumajapidamises kasutatav käsinõudepesuvahend“ – nõude, söögiriistade ja muude köögitarvete käsitsi puhastamiseks ettenähtud pesuvahend, mis lastakse turule mittekutseliste kasutajate jaoks;</w:t>
      </w:r>
      <w:r w:rsidR="00811820" w:rsidRPr="005D6722">
        <w:rPr>
          <w:b/>
          <w:szCs w:val="24"/>
          <w:lang w:eastAsia="en-US"/>
        </w:rPr>
        <w:t xml:space="preserve"> [ME 32]</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3c)</w:t>
      </w:r>
      <w:r w:rsidRPr="005D6722">
        <w:rPr>
          <w:szCs w:val="24"/>
          <w:lang w:eastAsia="en-US"/>
        </w:rPr>
        <w:tab/>
      </w:r>
      <w:r w:rsidRPr="005D6722">
        <w:rPr>
          <w:b/>
          <w:i/>
          <w:szCs w:val="24"/>
          <w:lang w:eastAsia="en-US"/>
        </w:rPr>
        <w:t>„tööstuses ja asutustes kasutatav pesupesemisvahend“ – pesuvahend, mida turustatakse spetsialistide jaoks kasutamiseks väljaspool kodumajapidamist;</w:t>
      </w:r>
      <w:r w:rsidR="00811820" w:rsidRPr="005D6722">
        <w:rPr>
          <w:b/>
          <w:szCs w:val="24"/>
          <w:lang w:eastAsia="en-US"/>
        </w:rPr>
        <w:t xml:space="preserve"> [ME 33]</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3d)</w:t>
      </w:r>
      <w:r w:rsidRPr="005D6722">
        <w:rPr>
          <w:szCs w:val="24"/>
          <w:lang w:eastAsia="en-US"/>
        </w:rPr>
        <w:tab/>
      </w:r>
      <w:r w:rsidRPr="005D6722">
        <w:rPr>
          <w:b/>
          <w:i/>
          <w:szCs w:val="24"/>
          <w:lang w:eastAsia="en-US"/>
        </w:rPr>
        <w:t>„tööstuses ja asutustes nõudepesumasinas kasutatav pesuvahend“ – pesuvahend, mida turustatakse spetsialistide jaoks nõudepesumasinates kasutamiseks väljaspool kodumajapidamist;</w:t>
      </w:r>
      <w:r w:rsidR="00811820" w:rsidRPr="005D6722">
        <w:rPr>
          <w:b/>
          <w:szCs w:val="24"/>
          <w:lang w:eastAsia="en-US"/>
        </w:rPr>
        <w:t xml:space="preserve"> [ME 34]</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„mikroorganisme sisaldav detergent“ – detergent, millele on tahtlikult lisatud ühte või mitut mikroorganismi kas eraldi või detergendi ühe komponendi kaudu;</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w:t>
      </w:r>
      <w:r w:rsidRPr="005D6722">
        <w:rPr>
          <w:szCs w:val="24"/>
          <w:lang w:eastAsia="en-US"/>
        </w:rPr>
        <w:tab/>
        <w:t>„kutsealaselt kasutatav detergent“ – detergent, mis on ette nähtud väljaspool kodumajapidamist toimuvateks puhastustöödeks, mida teostab eritooteid kasutav eriväljaõppega personal;</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6)</w:t>
      </w:r>
      <w:r w:rsidRPr="005D6722">
        <w:rPr>
          <w:szCs w:val="24"/>
          <w:lang w:eastAsia="en-US"/>
        </w:rPr>
        <w:tab/>
        <w:t>„puhastamine“ – protsess, mille käigus soovimatud ained eraldatakse alusmaterjalilt või alusmaterjali seest ning viiakse üle lahustunud või dispergeeritud olekusse</w:t>
      </w:r>
      <w:r w:rsidRPr="005D6722">
        <w:rPr>
          <w:b/>
          <w:i/>
          <w:szCs w:val="24"/>
          <w:lang w:eastAsia="en-US"/>
        </w:rPr>
        <w:t>, sealhulgas mikroorganisme kasutades</w:t>
      </w:r>
      <w:r w:rsidRPr="005D6722">
        <w:rPr>
          <w:szCs w:val="24"/>
          <w:lang w:eastAsia="en-US"/>
        </w:rPr>
        <w:t>;</w:t>
      </w:r>
      <w:r w:rsidR="00811820" w:rsidRPr="005D6722">
        <w:rPr>
          <w:b/>
          <w:szCs w:val="24"/>
          <w:lang w:eastAsia="en-US"/>
        </w:rPr>
        <w:t xml:space="preserve"> [ME 35]</w:t>
      </w:r>
    </w:p>
    <w:p w:rsidR="00F9609E" w:rsidRPr="005D6722" w:rsidRDefault="00F9609E" w:rsidP="00F9609E">
      <w:pPr>
        <w:spacing w:before="120" w:after="120" w:line="360" w:lineRule="auto"/>
        <w:ind w:left="850" w:hanging="850"/>
        <w:rPr>
          <w:szCs w:val="24"/>
          <w:lang w:eastAsia="en-US"/>
        </w:rPr>
      </w:pPr>
      <w:r w:rsidRPr="005D6722">
        <w:rPr>
          <w:szCs w:val="24"/>
          <w:lang w:eastAsia="en-US"/>
        </w:rPr>
        <w:t>7)</w:t>
      </w:r>
      <w:r w:rsidRPr="005D6722">
        <w:rPr>
          <w:szCs w:val="24"/>
          <w:lang w:eastAsia="en-US"/>
        </w:rPr>
        <w:tab/>
        <w:t>„aine“ – määruse (EÜ) nr 1907/2006 artikli 3 punktis 1 määratletud aine;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8)</w:t>
      </w:r>
      <w:r w:rsidRPr="005D6722">
        <w:rPr>
          <w:szCs w:val="24"/>
          <w:lang w:eastAsia="en-US"/>
        </w:rPr>
        <w:tab/>
        <w:t>„segu“ – määruse (EÜ) nr 1907/2006 artikli 3 punktis 2 määratletud segu;</w:t>
      </w:r>
    </w:p>
    <w:p w:rsidR="00F9609E" w:rsidRPr="005D6722" w:rsidRDefault="00F9609E" w:rsidP="00F9609E">
      <w:pPr>
        <w:spacing w:before="120" w:after="120" w:line="360" w:lineRule="auto"/>
        <w:ind w:left="850" w:hanging="850"/>
        <w:rPr>
          <w:szCs w:val="24"/>
          <w:lang w:eastAsia="en-US"/>
        </w:rPr>
      </w:pPr>
      <w:r w:rsidRPr="005D6722">
        <w:rPr>
          <w:szCs w:val="24"/>
          <w:lang w:eastAsia="en-US"/>
        </w:rPr>
        <w:t>9)</w:t>
      </w:r>
      <w:r w:rsidRPr="005D6722">
        <w:rPr>
          <w:szCs w:val="24"/>
          <w:lang w:eastAsia="en-US"/>
        </w:rPr>
        <w:tab/>
        <w:t>„mikroorganism“ – määruse (EL) nr 528/2012 artikli 3 lõike 1 punktis b määratletud mikroorganism;</w:t>
      </w:r>
    </w:p>
    <w:p w:rsidR="00F9609E" w:rsidRPr="005D6722" w:rsidRDefault="00F9609E" w:rsidP="00F9609E">
      <w:pPr>
        <w:spacing w:before="120" w:after="120" w:line="360" w:lineRule="auto"/>
        <w:ind w:left="850" w:hanging="850"/>
        <w:rPr>
          <w:szCs w:val="24"/>
          <w:lang w:eastAsia="en-US"/>
        </w:rPr>
      </w:pPr>
      <w:r w:rsidRPr="005D6722">
        <w:rPr>
          <w:szCs w:val="24"/>
          <w:lang w:eastAsia="en-US"/>
        </w:rPr>
        <w:t>10)</w:t>
      </w:r>
      <w:r w:rsidRPr="005D6722">
        <w:rPr>
          <w:szCs w:val="24"/>
          <w:lang w:eastAsia="en-US"/>
        </w:rPr>
        <w:tab/>
        <w:t>„geneetiliselt muundatud mikroorganismid“ – mikroorganismid, mille geneetilist materjali on muudetud geeni- või rakutehnoloogia abil või mõnel muul viisil, mis paaritumise või loodusliku rekombinatsiooni teel looduslikult ei esine;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11)</w:t>
      </w:r>
      <w:r w:rsidRPr="005D6722">
        <w:rPr>
          <w:szCs w:val="24"/>
          <w:lang w:eastAsia="en-US"/>
        </w:rPr>
        <w:tab/>
        <w:t>„pindaktiivne aine“ – detergentides kasutatav mistahes orgaaniline aine või segu, millel on pindaktiivsed omadused ning mis koosneb ühest või enamast hüdrofiilsest ja ühest või enamast hüdrofoobsest rühmast, mis on sellise iseloomu ja suurusega, et see põhjustab</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vee pindpinevuse vähenemist nii, et see on alla 45 mN/m;</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õhu ja vee piirpinnal leviva või adsorptsioonilise monokihi moodustumist;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emulsioonide ja/või mikroemulsioonide ja/või mitsellide moodustumist;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adsorptsiooni vee ja tahke aine piirpindadel;</w:t>
      </w:r>
    </w:p>
    <w:p w:rsidR="00F9609E" w:rsidRPr="005D6722" w:rsidRDefault="00F9609E" w:rsidP="00F9609E">
      <w:pPr>
        <w:spacing w:before="120" w:after="120" w:line="360" w:lineRule="auto"/>
        <w:ind w:left="850" w:hanging="850"/>
        <w:rPr>
          <w:szCs w:val="24"/>
          <w:lang w:eastAsia="en-US"/>
        </w:rPr>
      </w:pPr>
      <w:r w:rsidRPr="005D6722">
        <w:rPr>
          <w:szCs w:val="24"/>
          <w:lang w:eastAsia="en-US"/>
        </w:rPr>
        <w:t>12)</w:t>
      </w:r>
      <w:r w:rsidRPr="005D6722">
        <w:rPr>
          <w:szCs w:val="24"/>
          <w:lang w:eastAsia="en-US"/>
        </w:rPr>
        <w:tab/>
        <w:t>„lõplik aeroobne biolagunemine“ – biolagunemise ulatus, mis saavutatakse, kui aine või segu on hapniku juuresolekul mikroorganismide poolt täielikult ära kasutatud, mille tulemuseks on selle lagunemine süsinikdioksiidiks, veeks ja mis tahes teiste süsteemis leiduvate elementide mineraalsooladeks, mõõdetuna I lisas loetletud katsemeetoditega, ja uuteks mikroobseteks rakulisteks koostisosadeks;</w:t>
      </w:r>
    </w:p>
    <w:p w:rsidR="00F9609E" w:rsidRPr="005D6722" w:rsidRDefault="00F9609E" w:rsidP="00F9609E">
      <w:pPr>
        <w:spacing w:before="120" w:after="120" w:line="360" w:lineRule="auto"/>
        <w:ind w:left="850" w:hanging="850"/>
        <w:rPr>
          <w:szCs w:val="24"/>
          <w:lang w:eastAsia="en-US"/>
        </w:rPr>
      </w:pPr>
      <w:r w:rsidRPr="005D6722">
        <w:rPr>
          <w:szCs w:val="24"/>
          <w:lang w:eastAsia="en-US"/>
        </w:rPr>
        <w:t>13)</w:t>
      </w:r>
      <w:r w:rsidRPr="005D6722">
        <w:rPr>
          <w:szCs w:val="24"/>
          <w:lang w:eastAsia="en-US"/>
        </w:rPr>
        <w:tab/>
        <w:t>„turul kättesaadavaks tegemine“ – toote tasu eest või tasuta tarnimine liidu turule kaubandustegevuse käigus turustamiseks, tarbimiseks või kasutamiseks;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14)</w:t>
      </w:r>
      <w:r w:rsidRPr="005D6722">
        <w:rPr>
          <w:szCs w:val="24"/>
          <w:lang w:eastAsia="en-US"/>
        </w:rPr>
        <w:tab/>
        <w:t>„turule laskmine“ – toote esmakordselt liidu turul kättesaadavaks tegemine;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15)</w:t>
      </w:r>
      <w:r w:rsidRPr="005D6722">
        <w:rPr>
          <w:szCs w:val="24"/>
          <w:lang w:eastAsia="en-US"/>
        </w:rPr>
        <w:tab/>
        <w:t>„tootja“ – füüsiline või juriidiline isik, kes valmistab detergendi või pindaktiivse aine või laseb need välja arendada või valmistada ja kes turustab seda detergenti või pindaktiivset ainet oma nime või kaubamärgi all;</w:t>
      </w:r>
    </w:p>
    <w:p w:rsidR="00F9609E" w:rsidRPr="005D6722" w:rsidRDefault="00F9609E" w:rsidP="00F9609E">
      <w:pPr>
        <w:spacing w:before="120" w:after="120" w:line="360" w:lineRule="auto"/>
        <w:ind w:left="850" w:hanging="850"/>
        <w:rPr>
          <w:szCs w:val="24"/>
          <w:lang w:eastAsia="en-US"/>
        </w:rPr>
      </w:pPr>
      <w:r w:rsidRPr="005D6722">
        <w:rPr>
          <w:szCs w:val="24"/>
          <w:lang w:eastAsia="en-US"/>
        </w:rPr>
        <w:t>16)</w:t>
      </w:r>
      <w:r w:rsidRPr="005D6722">
        <w:rPr>
          <w:szCs w:val="24"/>
          <w:lang w:eastAsia="en-US"/>
        </w:rPr>
        <w:tab/>
        <w:t>„volitatud esindaja“ – liidus asuv füüsiline või juriidiline isik, kes on saanud tootjalt kirjaliku volituse täita tema nimel kindlaksmääratud ülesandeid;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17)</w:t>
      </w:r>
      <w:r w:rsidRPr="005D6722">
        <w:rPr>
          <w:szCs w:val="24"/>
          <w:lang w:eastAsia="en-US"/>
        </w:rPr>
        <w:tab/>
        <w:t>„importija“ – liidus asuv füüsiline või juriidiline isik, kes laseb liidu turule kolmandast riigist pärit detergendi või pindaktiivse aine;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18)</w:t>
      </w:r>
      <w:r w:rsidRPr="005D6722">
        <w:rPr>
          <w:szCs w:val="24"/>
          <w:lang w:eastAsia="en-US"/>
        </w:rPr>
        <w:tab/>
        <w:t>„turustaja“ – tarneahelas osalev füüsiline või juriidiline isik, välja arvatud tootja või importija, kes teeb detergendi või pindaktiivse aine turul kättesaadavaks;</w:t>
      </w:r>
    </w:p>
    <w:p w:rsidR="00F9609E" w:rsidRPr="005D6722" w:rsidRDefault="00F9609E" w:rsidP="00F9609E">
      <w:pPr>
        <w:spacing w:before="120" w:after="120" w:line="360" w:lineRule="auto"/>
        <w:ind w:left="850" w:hanging="850"/>
        <w:rPr>
          <w:szCs w:val="24"/>
          <w:lang w:eastAsia="en-US"/>
        </w:rPr>
      </w:pPr>
      <w:r w:rsidRPr="005D6722">
        <w:rPr>
          <w:szCs w:val="24"/>
          <w:lang w:eastAsia="en-US"/>
        </w:rPr>
        <w:t>19)</w:t>
      </w:r>
      <w:r w:rsidRPr="005D6722">
        <w:rPr>
          <w:szCs w:val="24"/>
          <w:lang w:eastAsia="en-US"/>
        </w:rPr>
        <w:tab/>
        <w:t>„ettevõtja“ – tootja, volitatud esindaja, importija või turustaja;</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20)</w:t>
      </w:r>
      <w:r w:rsidRPr="005D6722">
        <w:rPr>
          <w:szCs w:val="24"/>
          <w:lang w:eastAsia="en-US"/>
        </w:rPr>
        <w:tab/>
        <w:t xml:space="preserve">„turujärelevalve“ – turujärelevalveasutuste tegevus ja meetmed selle tagamiseks, et tooted vastaksid käesolevas määruses </w:t>
      </w:r>
      <w:r w:rsidRPr="005D6722">
        <w:rPr>
          <w:b/>
          <w:i/>
          <w:szCs w:val="24"/>
          <w:lang w:eastAsia="en-US"/>
        </w:rPr>
        <w:t xml:space="preserve">ja muudes kohaldatavates liidu ühtlustamisõigusaktides </w:t>
      </w:r>
      <w:r w:rsidRPr="005D6722">
        <w:rPr>
          <w:szCs w:val="24"/>
          <w:lang w:eastAsia="en-US"/>
        </w:rPr>
        <w:t>kehtestatud nõuetele</w:t>
      </w:r>
      <w:r w:rsidRPr="005D6722">
        <w:rPr>
          <w:b/>
          <w:i/>
          <w:szCs w:val="24"/>
          <w:lang w:eastAsia="en-US"/>
        </w:rPr>
        <w:t xml:space="preserve"> ning nende õigusaktidega hõlmatud avalik huvi oleks kaitstud</w:t>
      </w:r>
      <w:r w:rsidRPr="005D6722">
        <w:rPr>
          <w:szCs w:val="24"/>
          <w:lang w:eastAsia="en-US"/>
        </w:rPr>
        <w:t>;</w:t>
      </w:r>
      <w:r w:rsidR="00811820" w:rsidRPr="005D6722">
        <w:rPr>
          <w:b/>
          <w:szCs w:val="24"/>
          <w:lang w:eastAsia="en-US"/>
        </w:rPr>
        <w:t xml:space="preserve"> [ME 36]</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21)</w:t>
      </w:r>
      <w:r w:rsidRPr="005D6722">
        <w:rPr>
          <w:szCs w:val="24"/>
          <w:lang w:eastAsia="en-US"/>
        </w:rPr>
        <w:tab/>
        <w:t>„turujärelevalveasutus“ – määruse (EL) 2019/1020 artikli 3 punktis 4 määratletud turujärelevalveasutus</w:t>
      </w:r>
      <w:r w:rsidRPr="005D6722">
        <w:rPr>
          <w:b/>
          <w:i/>
          <w:szCs w:val="24"/>
          <w:lang w:eastAsia="en-US"/>
        </w:rPr>
        <w:t>, kes vastutab asjaomase liikmesriigi territooriumil turujärelevalve korraldamise ja tegemise eest</w:t>
      </w:r>
      <w:r w:rsidRPr="005D6722">
        <w:rPr>
          <w:szCs w:val="24"/>
          <w:lang w:eastAsia="en-US"/>
        </w:rPr>
        <w:t>;</w:t>
      </w:r>
      <w:r w:rsidR="00811820" w:rsidRPr="005D6722">
        <w:rPr>
          <w:b/>
          <w:szCs w:val="24"/>
          <w:lang w:eastAsia="en-US"/>
        </w:rPr>
        <w:t xml:space="preserve"> [ME 37]</w:t>
      </w:r>
    </w:p>
    <w:p w:rsidR="00F9609E" w:rsidRPr="005D6722" w:rsidRDefault="00F9609E" w:rsidP="00F9609E">
      <w:pPr>
        <w:spacing w:before="120" w:after="120" w:line="360" w:lineRule="auto"/>
        <w:ind w:left="850" w:hanging="850"/>
        <w:rPr>
          <w:szCs w:val="24"/>
          <w:lang w:eastAsia="en-US"/>
        </w:rPr>
      </w:pPr>
      <w:r w:rsidRPr="005D6722">
        <w:rPr>
          <w:szCs w:val="24"/>
          <w:lang w:eastAsia="en-US"/>
        </w:rPr>
        <w:t>22)</w:t>
      </w:r>
      <w:r w:rsidRPr="005D6722">
        <w:rPr>
          <w:szCs w:val="24"/>
          <w:lang w:eastAsia="en-US"/>
        </w:rPr>
        <w:tab/>
        <w:t>„tagasivõtmine“ – määruse (EL) 2019/1020 artikli 3 punktis 22 määratletud tagasivõtmine;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23)</w:t>
      </w:r>
      <w:r w:rsidRPr="005D6722">
        <w:rPr>
          <w:szCs w:val="24"/>
          <w:lang w:eastAsia="en-US"/>
        </w:rPr>
        <w:tab/>
        <w:t>„turult kõrvaldamine“ – määruse (EL) 2019/1020 artikli 3 punktis 23 määratletud turult kõrvaldamine;</w:t>
      </w:r>
    </w:p>
    <w:p w:rsidR="00F9609E" w:rsidRPr="005D6722" w:rsidRDefault="00F9609E" w:rsidP="00F9609E">
      <w:pPr>
        <w:spacing w:before="120" w:after="120" w:line="360" w:lineRule="auto"/>
        <w:ind w:left="850" w:hanging="850"/>
        <w:rPr>
          <w:b/>
          <w:szCs w:val="24"/>
          <w:lang w:eastAsia="en-US"/>
        </w:rPr>
      </w:pPr>
      <w:r w:rsidRPr="005D6722">
        <w:rPr>
          <w:strike/>
          <w:szCs w:val="24"/>
          <w:lang w:eastAsia="en-US"/>
        </w:rPr>
        <w:t>24)</w:t>
      </w:r>
      <w:r w:rsidRPr="005D6722">
        <w:rPr>
          <w:szCs w:val="24"/>
          <w:lang w:eastAsia="en-US"/>
        </w:rPr>
        <w:tab/>
      </w:r>
      <w:r w:rsidRPr="005D6722">
        <w:rPr>
          <w:strike/>
          <w:szCs w:val="24"/>
          <w:lang w:eastAsia="en-US"/>
        </w:rPr>
        <w:t>„CE-märgis“ – märgistus, millega tootja kinnitab, et detergent vastab märgise tootele kinnitamist käsitlevate liidu ühtlustamisõigusaktide alusel kohaldatavatele nõuetele;</w:t>
      </w:r>
      <w:r w:rsidR="00811820" w:rsidRPr="005D6722">
        <w:rPr>
          <w:b/>
          <w:strike/>
          <w:szCs w:val="24"/>
          <w:lang w:eastAsia="en-US"/>
        </w:rPr>
        <w:t xml:space="preserve"> </w:t>
      </w:r>
      <w:r w:rsidR="00811820" w:rsidRPr="005D6722">
        <w:rPr>
          <w:b/>
          <w:szCs w:val="24"/>
          <w:lang w:eastAsia="en-US"/>
        </w:rPr>
        <w:t>[ME 38]</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25)</w:t>
      </w:r>
      <w:r w:rsidRPr="005D6722">
        <w:rPr>
          <w:szCs w:val="24"/>
          <w:lang w:eastAsia="en-US"/>
        </w:rPr>
        <w:tab/>
        <w:t>„parandusmeede“ – määruse (EL) 2019/1020</w:t>
      </w:r>
      <w:r w:rsidRPr="005D6722">
        <w:rPr>
          <w:szCs w:val="24"/>
          <w:vertAlign w:val="superscript"/>
          <w:lang w:eastAsia="en-US"/>
        </w:rPr>
        <w:footnoteReference w:id="19"/>
      </w:r>
      <w:r w:rsidRPr="005D6722">
        <w:rPr>
          <w:szCs w:val="24"/>
          <w:lang w:eastAsia="en-US"/>
        </w:rPr>
        <w:t xml:space="preserve"> artikli 3 punktis 16 määratletud meede;</w:t>
      </w:r>
      <w:r w:rsidR="00811820" w:rsidRPr="005D6722">
        <w:rPr>
          <w:b/>
          <w:szCs w:val="24"/>
          <w:lang w:eastAsia="en-US"/>
        </w:rPr>
        <w:t xml:space="preserve"> [ME 39 ei puuduta eestikeelset versiooni]</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26)</w:t>
      </w:r>
      <w:r w:rsidRPr="005D6722">
        <w:rPr>
          <w:szCs w:val="24"/>
          <w:lang w:eastAsia="en-US"/>
        </w:rPr>
        <w:tab/>
        <w:t>„vabasse ringlusse lubamine“ – määruse (EL) nr 952/2013 artiklis 201 sätestatud menetlus;</w:t>
      </w:r>
    </w:p>
    <w:p w:rsidR="00F9609E" w:rsidRPr="005D6722" w:rsidRDefault="00F9609E" w:rsidP="00F9609E">
      <w:pPr>
        <w:spacing w:before="120" w:after="120" w:line="360" w:lineRule="auto"/>
        <w:ind w:left="850" w:hanging="850"/>
        <w:rPr>
          <w:szCs w:val="24"/>
          <w:lang w:eastAsia="en-US"/>
        </w:rPr>
      </w:pPr>
      <w:r w:rsidRPr="005D6722">
        <w:rPr>
          <w:szCs w:val="24"/>
          <w:lang w:eastAsia="en-US"/>
        </w:rPr>
        <w:t>27)</w:t>
      </w:r>
      <w:r w:rsidRPr="005D6722">
        <w:rPr>
          <w:szCs w:val="24"/>
          <w:lang w:eastAsia="en-US"/>
        </w:rPr>
        <w:tab/>
        <w:t>„andmekandja“ – lineaarne vöötkood, kahemõõtmeline sümbol või muu automaatse tuvastamise ja andmete kogumise vorming, mida saab lugeda seadme abil;</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28)</w:t>
      </w:r>
      <w:r w:rsidRPr="005D6722">
        <w:rPr>
          <w:szCs w:val="24"/>
          <w:lang w:eastAsia="en-US"/>
        </w:rPr>
        <w:tab/>
        <w:t>„toote kordumatu tunnuskood“ – kordumatu märgijada</w:t>
      </w:r>
      <w:r w:rsidRPr="005D6722">
        <w:rPr>
          <w:b/>
          <w:i/>
          <w:szCs w:val="24"/>
          <w:lang w:eastAsia="en-US"/>
        </w:rPr>
        <w:t xml:space="preserve"> toote tuvastamiseks</w:t>
      </w:r>
      <w:r w:rsidRPr="005D6722">
        <w:rPr>
          <w:szCs w:val="24"/>
          <w:lang w:eastAsia="en-US"/>
        </w:rPr>
        <w:t xml:space="preserve">, mis võimaldab </w:t>
      </w:r>
      <w:r w:rsidRPr="005D6722">
        <w:rPr>
          <w:strike/>
          <w:szCs w:val="24"/>
          <w:lang w:eastAsia="en-US"/>
        </w:rPr>
        <w:t>tuvastada toote ja</w:t>
      </w:r>
      <w:r w:rsidRPr="005D6722">
        <w:rPr>
          <w:b/>
          <w:i/>
          <w:szCs w:val="24"/>
          <w:lang w:eastAsia="en-US"/>
        </w:rPr>
        <w:t>ka</w:t>
      </w:r>
      <w:r w:rsidRPr="005D6722">
        <w:rPr>
          <w:szCs w:val="24"/>
          <w:lang w:eastAsia="en-US"/>
        </w:rPr>
        <w:t xml:space="preserve"> anda veebilingi tootepassile;</w:t>
      </w:r>
      <w:r w:rsidR="00811820" w:rsidRPr="005D6722">
        <w:rPr>
          <w:b/>
          <w:szCs w:val="24"/>
          <w:lang w:eastAsia="en-US"/>
        </w:rPr>
        <w:t xml:space="preserve"> [ME 40]</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29)</w:t>
      </w:r>
      <w:r w:rsidRPr="005D6722">
        <w:rPr>
          <w:szCs w:val="24"/>
          <w:lang w:eastAsia="en-US"/>
        </w:rPr>
        <w:tab/>
        <w:t xml:space="preserve">„ettevõtja kordumatu tunnuskood“ – kordumatu märgijada, mis võimaldab tuvastada toote väärtusahelas </w:t>
      </w:r>
      <w:r w:rsidRPr="005D6722">
        <w:rPr>
          <w:strike/>
          <w:szCs w:val="24"/>
          <w:lang w:eastAsia="en-US"/>
        </w:rPr>
        <w:t>osalevad ettevõtjad</w:t>
      </w:r>
      <w:r w:rsidRPr="005D6722">
        <w:rPr>
          <w:b/>
          <w:i/>
          <w:szCs w:val="24"/>
          <w:lang w:eastAsia="en-US"/>
        </w:rPr>
        <w:t>osalejad</w:t>
      </w:r>
      <w:r w:rsidRPr="005D6722">
        <w:rPr>
          <w:szCs w:val="24"/>
          <w:lang w:eastAsia="en-US"/>
        </w:rPr>
        <w:t>;</w:t>
      </w:r>
      <w:r w:rsidR="00811820" w:rsidRPr="005D6722">
        <w:rPr>
          <w:b/>
          <w:szCs w:val="24"/>
          <w:lang w:eastAsia="en-US"/>
        </w:rPr>
        <w:t xml:space="preserve"> [ME 41]</w:t>
      </w:r>
    </w:p>
    <w:p w:rsidR="00F9609E" w:rsidRPr="005D6722" w:rsidRDefault="00F9609E" w:rsidP="00F9609E">
      <w:pPr>
        <w:spacing w:before="120" w:after="120" w:line="360" w:lineRule="auto"/>
        <w:ind w:left="850" w:hanging="850"/>
        <w:rPr>
          <w:szCs w:val="24"/>
          <w:lang w:eastAsia="en-US"/>
        </w:rPr>
      </w:pPr>
      <w:r w:rsidRPr="005D6722">
        <w:rPr>
          <w:szCs w:val="24"/>
          <w:lang w:eastAsia="en-US"/>
        </w:rPr>
        <w:t>30)</w:t>
      </w:r>
      <w:r w:rsidRPr="005D6722">
        <w:rPr>
          <w:szCs w:val="24"/>
          <w:lang w:eastAsia="en-US"/>
        </w:rPr>
        <w:tab/>
        <w:t>„toll“ – määruse (EL) nr 952/2013 artikli 5 punktis 1 määratletud tolliasutused;</w:t>
      </w:r>
    </w:p>
    <w:p w:rsidR="00F9609E" w:rsidRPr="005D6722" w:rsidRDefault="00F9609E" w:rsidP="00F9609E">
      <w:pPr>
        <w:spacing w:before="120" w:after="120" w:line="360" w:lineRule="auto"/>
        <w:ind w:left="850" w:hanging="850"/>
        <w:rPr>
          <w:szCs w:val="24"/>
          <w:lang w:eastAsia="en-US"/>
        </w:rPr>
      </w:pPr>
      <w:r w:rsidRPr="005D6722">
        <w:rPr>
          <w:szCs w:val="24"/>
          <w:lang w:eastAsia="en-US"/>
        </w:rPr>
        <w:t>31)</w:t>
      </w:r>
      <w:r w:rsidRPr="005D6722">
        <w:rPr>
          <w:szCs w:val="24"/>
          <w:lang w:eastAsia="en-US"/>
        </w:rPr>
        <w:tab/>
        <w:t>„ELi tollivaldkonna ühtse teeninduskeskkonna sertifikaate käsitleva teabe vahetamise süsteem“ – Euroopa Parlamendi ja nõukogu määruse (EL) 2022/2399 artiklis 4 osutatud süsteem</w:t>
      </w:r>
      <w:r w:rsidRPr="005D6722">
        <w:rPr>
          <w:szCs w:val="24"/>
          <w:vertAlign w:val="superscript"/>
          <w:lang w:eastAsia="en-US"/>
        </w:rPr>
        <w:footnoteReference w:id="20"/>
      </w:r>
      <w:r w:rsidRPr="005D6722">
        <w:rPr>
          <w:szCs w:val="24"/>
          <w:lang w:eastAsia="en-US"/>
        </w:rPr>
        <w: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32)</w:t>
      </w:r>
      <w:r w:rsidRPr="005D6722">
        <w:rPr>
          <w:szCs w:val="24"/>
          <w:lang w:eastAsia="en-US"/>
        </w:rPr>
        <w:tab/>
        <w:t>„üksikpakend“ – pakend, milles detergent või pindaktiivne aine on turul kättesaadavaks tehtud ja mis on ette nähtud pakendi sisuga kaasas olema kuni kasutuskohani;</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33)</w:t>
      </w:r>
      <w:r w:rsidRPr="005D6722">
        <w:rPr>
          <w:szCs w:val="24"/>
          <w:lang w:eastAsia="en-US"/>
        </w:rPr>
        <w:tab/>
        <w:t xml:space="preserve">„taastäitmine“ – toiming, millega </w:t>
      </w:r>
      <w:r w:rsidRPr="005D6722">
        <w:rPr>
          <w:strike/>
          <w:szCs w:val="24"/>
          <w:lang w:eastAsia="en-US"/>
        </w:rPr>
        <w:t>detergenti lisatakse müügikohas suurest mahutist lõppkasutaja enda pakendisse käsitsi või automaatsete või poolautomaatsete seadmete abil</w:t>
      </w:r>
      <w:r w:rsidRPr="005D6722">
        <w:rPr>
          <w:b/>
          <w:i/>
          <w:szCs w:val="24"/>
          <w:lang w:eastAsia="en-US"/>
        </w:rPr>
        <w:t>tarbija või kutsealasel eesmärgil kasutaja täidab pakendi detergendiga, mida tarnija pakub äritegevuse raames tasu eest või tasuta</w:t>
      </w:r>
      <w:r w:rsidRPr="005D6722">
        <w:rPr>
          <w:szCs w:val="24"/>
          <w:lang w:eastAsia="en-US"/>
        </w:rPr>
        <w:t>;</w:t>
      </w:r>
      <w:r w:rsidR="00811820" w:rsidRPr="005D6722">
        <w:rPr>
          <w:b/>
          <w:szCs w:val="24"/>
          <w:lang w:eastAsia="en-US"/>
        </w:rPr>
        <w:t xml:space="preserve"> [ME 42]</w:t>
      </w:r>
    </w:p>
    <w:p w:rsidR="00F9609E" w:rsidRPr="005D6722" w:rsidRDefault="00F9609E" w:rsidP="00F9609E">
      <w:pPr>
        <w:spacing w:before="120" w:after="120" w:line="360" w:lineRule="auto"/>
        <w:ind w:left="850" w:hanging="850"/>
        <w:rPr>
          <w:szCs w:val="24"/>
          <w:lang w:eastAsia="en-US"/>
        </w:rPr>
      </w:pPr>
      <w:r w:rsidRPr="005D6722">
        <w:rPr>
          <w:szCs w:val="24"/>
          <w:lang w:eastAsia="en-US"/>
        </w:rPr>
        <w:t>34)</w:t>
      </w:r>
      <w:r w:rsidRPr="005D6722">
        <w:rPr>
          <w:szCs w:val="24"/>
          <w:lang w:eastAsia="en-US"/>
        </w:rPr>
        <w:tab/>
        <w:t>„partii“ – kindlaksmääratud kogus lõpptooteid, mis vastab järgmistele tingimustele: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on toodetud ühes tootmisprotsessis või mitmes sama tootmistsükli jooksul toimuvas protsessis;</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peab samade katsemeetodite kohaselt katsetamise korral olema ühesuguse koostisega ja</w:t>
      </w:r>
    </w:p>
    <w:p w:rsidR="00F9609E" w:rsidRPr="005D6722" w:rsidRDefault="00F9609E" w:rsidP="00F9609E">
      <w:pPr>
        <w:spacing w:before="120" w:after="120" w:line="360" w:lineRule="auto"/>
        <w:ind w:left="1416" w:hanging="566"/>
        <w:rPr>
          <w:szCs w:val="24"/>
          <w:lang w:eastAsia="en-US"/>
        </w:rPr>
      </w:pPr>
      <w:r w:rsidRPr="005D6722">
        <w:rPr>
          <w:szCs w:val="24"/>
          <w:lang w:eastAsia="en-US"/>
        </w:rPr>
        <w:t>–</w:t>
      </w:r>
      <w:r w:rsidRPr="005D6722">
        <w:rPr>
          <w:szCs w:val="24"/>
          <w:lang w:eastAsia="en-US"/>
        </w:rPr>
        <w:tab/>
        <w:t>on selgelt määratletud tüübinumbri, partiinumbri või muu märkega, mis võimaldab seda identifitseerida;</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lastRenderedPageBreak/>
        <w:t>34a)</w:t>
      </w:r>
      <w:r w:rsidRPr="005D6722">
        <w:rPr>
          <w:szCs w:val="24"/>
          <w:lang w:eastAsia="en-US"/>
        </w:rPr>
        <w:tab/>
      </w:r>
      <w:r w:rsidRPr="005D6722">
        <w:rPr>
          <w:b/>
          <w:i/>
          <w:szCs w:val="24"/>
          <w:lang w:eastAsia="en-US"/>
        </w:rPr>
        <w:t>„mudel“ – selliste detergentide või pindaktiivsete ainete rühm, mis vastab järgmistele tingimustele:</w:t>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t>–</w:t>
      </w:r>
      <w:r w:rsidRPr="005D6722">
        <w:rPr>
          <w:szCs w:val="24"/>
          <w:lang w:eastAsia="en-US"/>
        </w:rPr>
        <w:tab/>
      </w:r>
      <w:r w:rsidRPr="005D6722">
        <w:rPr>
          <w:b/>
          <w:i/>
          <w:szCs w:val="24"/>
          <w:lang w:eastAsia="en-US"/>
        </w:rPr>
        <w:t>need on ühe ja sama tootja vastutusel;</w:t>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t>–</w:t>
      </w:r>
      <w:r w:rsidRPr="005D6722">
        <w:rPr>
          <w:szCs w:val="24"/>
          <w:lang w:eastAsia="en-US"/>
        </w:rPr>
        <w:tab/>
      </w:r>
      <w:r w:rsidRPr="005D6722">
        <w:rPr>
          <w:b/>
          <w:i/>
          <w:szCs w:val="24"/>
          <w:lang w:eastAsia="en-US"/>
        </w:rPr>
        <w:t>neil on kooskõlas V lisa A osaga sama sisu ja need on toodetud samu tootmisprotsesse kasutades;</w:t>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t>–</w:t>
      </w:r>
      <w:r w:rsidRPr="005D6722">
        <w:rPr>
          <w:szCs w:val="24"/>
          <w:lang w:eastAsia="en-US"/>
        </w:rPr>
        <w:tab/>
      </w:r>
      <w:r w:rsidRPr="005D6722">
        <w:rPr>
          <w:b/>
          <w:i/>
          <w:szCs w:val="24"/>
          <w:lang w:eastAsia="en-US"/>
        </w:rPr>
        <w:t xml:space="preserve">neil peab samade katsemeetoditega katsetamise korral olema ühesugune koostis ning </w:t>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t>–</w:t>
      </w:r>
      <w:r w:rsidRPr="005D6722">
        <w:rPr>
          <w:szCs w:val="24"/>
          <w:lang w:eastAsia="en-US"/>
        </w:rPr>
        <w:tab/>
      </w:r>
      <w:r w:rsidRPr="005D6722">
        <w:rPr>
          <w:b/>
          <w:i/>
          <w:szCs w:val="24"/>
          <w:lang w:eastAsia="en-US"/>
        </w:rPr>
        <w:t>need on selgelt määratletud tüübinumbri või muu märkega, mis võimaldab neid tuvastada</w:t>
      </w:r>
      <w:r w:rsidR="00BF0A86" w:rsidRPr="005D6722">
        <w:rPr>
          <w:b/>
          <w:i/>
          <w:szCs w:val="24"/>
          <w:lang w:eastAsia="en-US"/>
        </w:rPr>
        <w:t>.</w:t>
      </w:r>
      <w:r w:rsidR="00811820" w:rsidRPr="005D6722">
        <w:rPr>
          <w:b/>
          <w:szCs w:val="24"/>
          <w:lang w:eastAsia="en-US"/>
        </w:rPr>
        <w:t xml:space="preserve"> [ME 43]</w:t>
      </w:r>
    </w:p>
    <w:p w:rsidR="00F9609E" w:rsidRPr="005D6722" w:rsidRDefault="00F9609E" w:rsidP="00F9609E">
      <w:pPr>
        <w:spacing w:before="120" w:after="120" w:line="360" w:lineRule="auto"/>
        <w:ind w:left="850" w:hanging="850"/>
        <w:rPr>
          <w:szCs w:val="24"/>
          <w:lang w:eastAsia="en-US"/>
        </w:rPr>
      </w:pPr>
      <w:r w:rsidRPr="005D6722">
        <w:rPr>
          <w:szCs w:val="24"/>
          <w:lang w:eastAsia="en-US"/>
        </w:rPr>
        <w:t>35)</w:t>
      </w:r>
      <w:r w:rsidRPr="005D6722">
        <w:rPr>
          <w:szCs w:val="24"/>
          <w:lang w:eastAsia="en-US"/>
        </w:rPr>
        <w:tab/>
        <w:t>„lõppkasutaja“ – füüsiline või juriidiline isik, kelle elu- või asukoht on liidus ja kellele tehti detergent või pindaktiivne aine kättesaadavaks kas tarbijana väljaspool kaubandus-, majandus-, ameti- või kutsetegevust, või kutsealase lõppkasutajana tema tööstusliku või kutsetegevuse raames.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II PEATÜKK</w:t>
      </w:r>
      <w:r w:rsidRPr="005D6722">
        <w:rPr>
          <w:szCs w:val="24"/>
          <w:lang w:eastAsia="en-US"/>
        </w:rPr>
        <w:br/>
        <w:t>TOOTENÕUDED</w:t>
      </w:r>
    </w:p>
    <w:p w:rsidR="00F9609E" w:rsidRPr="005D6722" w:rsidRDefault="00F9609E" w:rsidP="00F9609E">
      <w:pPr>
        <w:spacing w:before="120" w:after="120" w:line="360" w:lineRule="auto"/>
        <w:jc w:val="center"/>
        <w:rPr>
          <w:szCs w:val="24"/>
          <w:lang w:eastAsia="en-US"/>
        </w:rPr>
      </w:pPr>
      <w:r w:rsidRPr="005D6722">
        <w:rPr>
          <w:szCs w:val="24"/>
          <w:lang w:eastAsia="en-US"/>
        </w:rPr>
        <w:t>Artikkel 3</w:t>
      </w:r>
      <w:r w:rsidRPr="005D6722">
        <w:rPr>
          <w:szCs w:val="24"/>
          <w:lang w:eastAsia="en-US"/>
        </w:rPr>
        <w:br/>
        <w:t>Vaba liikumine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Detergente ja pindaktiivseid aineid võib turule lasta üksnes juhul, kui need vastavad käesolevale määrusele.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Liikmesriigid ei keela, piira ega takista käesoleva määruse nõuetele vastavate detergentide või pindaktiivsete ainete turule laskmist.</w:t>
      </w:r>
    </w:p>
    <w:p w:rsidR="00F9609E" w:rsidRPr="005D6722" w:rsidRDefault="00F9609E" w:rsidP="00F9609E">
      <w:pPr>
        <w:spacing w:before="120" w:after="120" w:line="360" w:lineRule="auto"/>
        <w:jc w:val="center"/>
        <w:rPr>
          <w:szCs w:val="24"/>
          <w:lang w:eastAsia="en-US"/>
        </w:rPr>
      </w:pPr>
      <w:r w:rsidRPr="005D6722">
        <w:rPr>
          <w:szCs w:val="24"/>
          <w:lang w:eastAsia="en-US"/>
        </w:rPr>
        <w:t>Artikkel 4</w:t>
      </w:r>
      <w:r w:rsidRPr="005D6722">
        <w:rPr>
          <w:szCs w:val="24"/>
          <w:lang w:eastAsia="en-US"/>
        </w:rPr>
        <w:br/>
        <w:t xml:space="preserve">Biolagundatavus </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Detergendid ja pindaktiivsed ained peavad vastama I lisas kehtestatud biolagundatavuse nõuetele.</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w:t>
      </w:r>
      <w:r w:rsidRPr="005D6722">
        <w:rPr>
          <w:szCs w:val="24"/>
          <w:lang w:eastAsia="en-US"/>
        </w:rPr>
        <w:tab/>
        <w:t>Lõiget 1 ei kohaldata</w:t>
      </w:r>
      <w:r w:rsidRPr="005D6722">
        <w:rPr>
          <w:b/>
          <w:i/>
          <w:szCs w:val="24"/>
          <w:lang w:eastAsia="en-US"/>
        </w:rPr>
        <w:t xml:space="preserve"> selliste pindaktiivsete ainete suhtes, mis on toimeained määruse (EL) nr 528/2012 artikli 3 lõike 1 punkti c määratluse kohaselt ning mida kasutatakse desinfektsioonivahenditena, kui need vastavad järgmistele tingimustele:</w:t>
      </w:r>
      <w:r w:rsidR="00811820" w:rsidRPr="005D6722">
        <w:rPr>
          <w:b/>
          <w:szCs w:val="24"/>
          <w:lang w:eastAsia="en-US"/>
        </w:rPr>
        <w:t xml:space="preserve"> [ME 44]</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b/>
          <w:szCs w:val="24"/>
          <w:lang w:eastAsia="en-US"/>
        </w:rPr>
      </w:pPr>
      <w:r w:rsidRPr="005D6722">
        <w:rPr>
          <w:szCs w:val="24"/>
          <w:lang w:eastAsia="en-US"/>
        </w:rPr>
        <w:lastRenderedPageBreak/>
        <w:t>a)</w:t>
      </w:r>
      <w:r w:rsidRPr="005D6722">
        <w:rPr>
          <w:szCs w:val="24"/>
          <w:lang w:eastAsia="en-US"/>
        </w:rPr>
        <w:tab/>
      </w:r>
      <w:r w:rsidRPr="005D6722">
        <w:rPr>
          <w:strike/>
          <w:szCs w:val="24"/>
          <w:lang w:eastAsia="en-US"/>
        </w:rPr>
        <w:t>pindaktiivsete ainete suhtes, mis on toimeained</w:t>
      </w:r>
      <w:r w:rsidRPr="005D6722">
        <w:rPr>
          <w:b/>
          <w:i/>
          <w:szCs w:val="24"/>
          <w:lang w:eastAsia="en-US"/>
        </w:rPr>
        <w:t>need on kantud</w:t>
      </w:r>
      <w:r w:rsidRPr="005D6722">
        <w:rPr>
          <w:szCs w:val="24"/>
          <w:lang w:eastAsia="en-US"/>
        </w:rPr>
        <w:t xml:space="preserve"> määruse (EL) nr 528/2012 artikli </w:t>
      </w:r>
      <w:r w:rsidRPr="005D6722">
        <w:rPr>
          <w:strike/>
          <w:szCs w:val="24"/>
          <w:lang w:eastAsia="en-US"/>
        </w:rPr>
        <w:t>3 lõike 1 punkti c tähenduses ning mida kasutatakse desinfektsioonivahenditena, kui need vastavad järgmistele tingimustele:</w:t>
      </w:r>
      <w:r w:rsidRPr="005D6722">
        <w:rPr>
          <w:b/>
          <w:i/>
          <w:szCs w:val="24"/>
          <w:lang w:eastAsia="en-US"/>
        </w:rPr>
        <w:t>9 lõikes 2 sätestatud liidu heakskiidetud toimeainete nimekirja;</w:t>
      </w:r>
      <w:r w:rsidR="00811820" w:rsidRPr="005D6722">
        <w:rPr>
          <w:b/>
          <w:szCs w:val="24"/>
          <w:lang w:eastAsia="en-US"/>
        </w:rPr>
        <w:t xml:space="preserve"> [ME 45]</w:t>
      </w:r>
    </w:p>
    <w:p w:rsidR="00F9609E" w:rsidRPr="005D6722" w:rsidRDefault="00F9609E" w:rsidP="00F9609E">
      <w:pPr>
        <w:spacing w:before="120" w:after="120" w:line="360" w:lineRule="auto"/>
        <w:ind w:left="1982" w:hanging="566"/>
        <w:rPr>
          <w:b/>
          <w:szCs w:val="24"/>
          <w:lang w:eastAsia="en-US"/>
        </w:rPr>
      </w:pPr>
      <w:r w:rsidRPr="005D6722">
        <w:rPr>
          <w:strike/>
          <w:szCs w:val="24"/>
          <w:lang w:eastAsia="en-US"/>
        </w:rPr>
        <w:t>i)</w:t>
      </w:r>
      <w:r w:rsidRPr="005D6722">
        <w:rPr>
          <w:szCs w:val="24"/>
          <w:lang w:eastAsia="en-US"/>
        </w:rPr>
        <w:tab/>
      </w:r>
      <w:r w:rsidRPr="005D6722">
        <w:rPr>
          <w:strike/>
          <w:szCs w:val="24"/>
          <w:lang w:eastAsia="en-US"/>
        </w:rPr>
        <w:t>pindaktiivsed ained on kantud määruse (EL) nr 528/2012 artikli 9 lõikes 2 sätestatud liidu heakskiidetud toimeainete nimekirja;</w:t>
      </w:r>
      <w:r w:rsidR="00811820" w:rsidRPr="005D6722">
        <w:rPr>
          <w:b/>
          <w:szCs w:val="24"/>
          <w:lang w:eastAsia="en-US"/>
        </w:rPr>
        <w:t xml:space="preserve"> [ME 46]</w:t>
      </w:r>
    </w:p>
    <w:p w:rsidR="00F9609E" w:rsidRPr="005D6722" w:rsidRDefault="00F9609E" w:rsidP="00F9609E">
      <w:pPr>
        <w:spacing w:before="120" w:after="120" w:line="360" w:lineRule="auto"/>
        <w:ind w:left="1982" w:hanging="566"/>
        <w:rPr>
          <w:b/>
          <w:szCs w:val="24"/>
          <w:lang w:eastAsia="en-US"/>
        </w:rPr>
      </w:pPr>
      <w:r w:rsidRPr="005D6722">
        <w:rPr>
          <w:strike/>
          <w:szCs w:val="24"/>
          <w:lang w:eastAsia="en-US"/>
        </w:rPr>
        <w:t>ii)</w:t>
      </w:r>
      <w:r w:rsidRPr="005D6722">
        <w:rPr>
          <w:szCs w:val="24"/>
          <w:lang w:eastAsia="en-US"/>
        </w:rPr>
        <w:tab/>
      </w:r>
      <w:r w:rsidRPr="005D6722">
        <w:rPr>
          <w:strike/>
          <w:szCs w:val="24"/>
          <w:lang w:eastAsia="en-US"/>
        </w:rPr>
        <w:t>pindaktiivsed ained on lisatud läbivaatamisprogrammi, nagu on sätestatud komisjoni delegeeritud määruses (EL) nr 1062/2014</w:t>
      </w:r>
      <w:r w:rsidRPr="005D6722">
        <w:rPr>
          <w:szCs w:val="24"/>
          <w:vertAlign w:val="superscript"/>
          <w:lang w:eastAsia="en-US"/>
        </w:rPr>
        <w:footnoteReference w:id="21"/>
      </w:r>
      <w:r w:rsidRPr="005D6722">
        <w:rPr>
          <w:strike/>
          <w:szCs w:val="24"/>
          <w:lang w:eastAsia="en-US"/>
        </w:rPr>
        <w:t>;</w:t>
      </w:r>
      <w:r w:rsidR="00811820" w:rsidRPr="005D6722">
        <w:rPr>
          <w:b/>
          <w:strike/>
          <w:szCs w:val="24"/>
          <w:lang w:eastAsia="en-US"/>
        </w:rPr>
        <w:t xml:space="preserve"> </w:t>
      </w:r>
      <w:r w:rsidR="00811820" w:rsidRPr="005D6722">
        <w:rPr>
          <w:b/>
          <w:szCs w:val="24"/>
          <w:lang w:eastAsia="en-US"/>
        </w:rPr>
        <w:t>[ME 47]</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b)</w:t>
      </w:r>
      <w:r w:rsidRPr="005D6722">
        <w:rPr>
          <w:szCs w:val="24"/>
          <w:lang w:eastAsia="en-US"/>
        </w:rPr>
        <w:tab/>
      </w:r>
      <w:r w:rsidRPr="005D6722">
        <w:rPr>
          <w:strike/>
          <w:szCs w:val="24"/>
          <w:lang w:eastAsia="en-US"/>
        </w:rPr>
        <w:t>pindaktiivsete ainete suhtes, mis on määruse</w:t>
      </w:r>
      <w:r w:rsidRPr="005D6722">
        <w:rPr>
          <w:b/>
          <w:i/>
          <w:szCs w:val="24"/>
          <w:lang w:eastAsia="en-US"/>
        </w:rPr>
        <w:t>need on lisatud läbivaatamisprogrammi, nagu on sätestatud komisjoni delegeeritud määruses</w:t>
      </w:r>
      <w:r w:rsidRPr="005D6722">
        <w:rPr>
          <w:szCs w:val="24"/>
          <w:lang w:eastAsia="en-US"/>
        </w:rPr>
        <w:t xml:space="preserve"> (EL) nr </w:t>
      </w:r>
      <w:r w:rsidRPr="005D6722">
        <w:rPr>
          <w:strike/>
          <w:szCs w:val="24"/>
          <w:lang w:eastAsia="en-US"/>
        </w:rPr>
        <w:t>528/2012 kohaselt loa saanud biotsiidide koostisosad</w:t>
      </w:r>
      <w:r w:rsidRPr="005D6722">
        <w:rPr>
          <w:b/>
          <w:i/>
          <w:szCs w:val="24"/>
          <w:lang w:eastAsia="en-US"/>
        </w:rPr>
        <w:t>1062/2014</w:t>
      </w:r>
      <w:r w:rsidRPr="005D6722">
        <w:rPr>
          <w:szCs w:val="24"/>
          <w:vertAlign w:val="superscript"/>
          <w:lang w:eastAsia="en-US"/>
        </w:rPr>
        <w:footnoteReference w:id="22"/>
      </w:r>
      <w:r w:rsidRPr="005D6722">
        <w:rPr>
          <w:szCs w:val="24"/>
          <w:lang w:eastAsia="en-US"/>
        </w:rPr>
        <w:t>;</w:t>
      </w:r>
      <w:r w:rsidR="00811820" w:rsidRPr="005D6722">
        <w:rPr>
          <w:b/>
          <w:szCs w:val="24"/>
          <w:lang w:eastAsia="en-US"/>
        </w:rPr>
        <w:t xml:space="preserve"> [ME 48]</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c)</w:t>
      </w:r>
      <w:r w:rsidRPr="005D6722">
        <w:rPr>
          <w:szCs w:val="24"/>
          <w:lang w:eastAsia="en-US"/>
        </w:rPr>
        <w:tab/>
      </w:r>
      <w:r w:rsidRPr="005D6722">
        <w:rPr>
          <w:strike/>
          <w:szCs w:val="24"/>
          <w:lang w:eastAsia="en-US"/>
        </w:rPr>
        <w:t>pindaktiivsete ainete suhtes, mis</w:t>
      </w:r>
      <w:r w:rsidRPr="005D6722">
        <w:rPr>
          <w:b/>
          <w:i/>
          <w:szCs w:val="24"/>
          <w:lang w:eastAsia="en-US"/>
        </w:rPr>
        <w:t>need</w:t>
      </w:r>
      <w:r w:rsidRPr="005D6722">
        <w:rPr>
          <w:szCs w:val="24"/>
          <w:lang w:eastAsia="en-US"/>
        </w:rPr>
        <w:t xml:space="preserve"> on biotsiidide koostisosad ja </w:t>
      </w:r>
      <w:r w:rsidRPr="005D6722">
        <w:rPr>
          <w:strike/>
          <w:szCs w:val="24"/>
          <w:lang w:eastAsia="en-US"/>
        </w:rPr>
        <w:t>mida</w:t>
      </w:r>
      <w:r w:rsidRPr="005D6722">
        <w:rPr>
          <w:b/>
          <w:i/>
          <w:szCs w:val="24"/>
          <w:lang w:eastAsia="en-US"/>
        </w:rPr>
        <w:t>neid</w:t>
      </w:r>
      <w:r w:rsidRPr="005D6722">
        <w:rPr>
          <w:szCs w:val="24"/>
          <w:lang w:eastAsia="en-US"/>
        </w:rPr>
        <w:t xml:space="preserve"> võib turul kättesaadavaks teha või kasutada vastavalt määruse (EL) nr 528/2012 </w:t>
      </w:r>
      <w:r w:rsidRPr="005D6722">
        <w:rPr>
          <w:strike/>
          <w:szCs w:val="24"/>
          <w:lang w:eastAsia="en-US"/>
        </w:rPr>
        <w:t>artikli 89 lõikele 2</w:t>
      </w:r>
      <w:r w:rsidRPr="005D6722">
        <w:rPr>
          <w:b/>
          <w:i/>
          <w:szCs w:val="24"/>
          <w:lang w:eastAsia="en-US"/>
        </w:rPr>
        <w:t>artiklile 55</w:t>
      </w:r>
      <w:r w:rsidRPr="005D6722">
        <w:rPr>
          <w:szCs w:val="24"/>
          <w:lang w:eastAsia="en-US"/>
        </w:rPr>
        <w:t>.</w:t>
      </w:r>
      <w:r w:rsidR="00811820" w:rsidRPr="005D6722">
        <w:rPr>
          <w:b/>
          <w:szCs w:val="24"/>
          <w:lang w:eastAsia="en-US"/>
        </w:rPr>
        <w:t xml:space="preserve"> [ME 49]</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lastRenderedPageBreak/>
        <w:t>2a.</w:t>
      </w:r>
      <w:r w:rsidRPr="005D6722">
        <w:rPr>
          <w:szCs w:val="24"/>
          <w:lang w:eastAsia="en-US"/>
        </w:rPr>
        <w:tab/>
      </w:r>
      <w:r w:rsidRPr="005D6722">
        <w:rPr>
          <w:b/>
          <w:i/>
          <w:szCs w:val="24"/>
          <w:lang w:eastAsia="en-US"/>
        </w:rPr>
        <w:t>Hiljemalt … [neli aastat pärast teise lõigu kohaselt vastu võetud delegeeritud õigusakti jõustumist] peavad detergentide orgaanilised koostisosad (v.a pindaktiivsed ained) olema oma olemuselt biolagunevad.</w:t>
      </w:r>
    </w:p>
    <w:p w:rsidR="00F9609E" w:rsidRPr="005D6722" w:rsidRDefault="00F9609E" w:rsidP="00F9609E">
      <w:pPr>
        <w:spacing w:before="120" w:after="120" w:line="360" w:lineRule="auto"/>
        <w:ind w:left="850"/>
        <w:rPr>
          <w:szCs w:val="24"/>
          <w:lang w:eastAsia="en-US"/>
        </w:rPr>
      </w:pPr>
      <w:r w:rsidRPr="005D6722">
        <w:rPr>
          <w:b/>
          <w:i/>
          <w:szCs w:val="24"/>
          <w:lang w:eastAsia="en-US"/>
        </w:rPr>
        <w:t>Hiljemalt ... [kaks aastat pärast käesoleva määruse jõustumist] võtab komisjon kooskõlas artikliga 27 vastu delegeeritud õigusaktid, et täiendada I lisa loomupärase biolagunevuse kriteeriumide ja katsemeetoditega ning muude komponentide kui pindaktiivsete ainete katsemeetoditega.</w:t>
      </w:r>
    </w:p>
    <w:p w:rsidR="00F9609E" w:rsidRPr="005D6722" w:rsidRDefault="00F9609E" w:rsidP="00F9609E">
      <w:pPr>
        <w:spacing w:before="120" w:after="120" w:line="360" w:lineRule="auto"/>
        <w:ind w:left="850"/>
        <w:rPr>
          <w:szCs w:val="24"/>
          <w:lang w:eastAsia="en-US"/>
        </w:rPr>
      </w:pPr>
      <w:r w:rsidRPr="005D6722">
        <w:rPr>
          <w:b/>
          <w:i/>
          <w:szCs w:val="24"/>
          <w:lang w:eastAsia="en-US"/>
        </w:rPr>
        <w:t>Vajaduse korral on komisjonil õigus võtta kooskõlas artikliga 27 vastu delegeeritud õigusakte, et lubada kasutada detergentides aineid, mis ei vasta I lisa kohaselt kehtestatud biolagunevuse kriteeriumidele.</w:t>
      </w:r>
    </w:p>
    <w:p w:rsidR="00F9609E" w:rsidRPr="005D6722" w:rsidRDefault="00F9609E" w:rsidP="00F9609E">
      <w:pPr>
        <w:spacing w:before="120" w:after="120" w:line="360" w:lineRule="auto"/>
        <w:ind w:left="850"/>
        <w:rPr>
          <w:b/>
          <w:szCs w:val="24"/>
          <w:lang w:eastAsia="en-US"/>
        </w:rPr>
      </w:pPr>
      <w:r w:rsidRPr="005D6722">
        <w:rPr>
          <w:b/>
          <w:i/>
          <w:szCs w:val="24"/>
          <w:lang w:eastAsia="en-US"/>
        </w:rPr>
        <w:t>Delegeeritud õigusaktide vastuvõtmisel teise ja kolmanda lõigu kohaselt võtab komisjon arvesse tootmistavasid, tehniliselt ja majanduslikult teostatavate alternatiivide kättesaadavust ning mõju väikestele ja keskmise suurusega ettevõtjatele, tervisele ja keskkonnale.</w:t>
      </w:r>
      <w:r w:rsidR="00811820" w:rsidRPr="005D6722">
        <w:rPr>
          <w:b/>
          <w:szCs w:val="24"/>
          <w:lang w:eastAsia="en-US"/>
        </w:rPr>
        <w:t xml:space="preserve"> [ME 50]</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lastRenderedPageBreak/>
        <w:t>2b.</w:t>
      </w:r>
      <w:r w:rsidRPr="005D6722">
        <w:rPr>
          <w:szCs w:val="24"/>
          <w:lang w:eastAsia="en-US"/>
        </w:rPr>
        <w:tab/>
      </w:r>
      <w:r w:rsidRPr="005D6722">
        <w:rPr>
          <w:b/>
          <w:i/>
          <w:szCs w:val="24"/>
          <w:lang w:eastAsia="en-US"/>
        </w:rPr>
        <w:t>Hiljemalt … [kaks aastat pärast teise lõigu kohaselt vastu võetud delegeeritud õigusakti jõustumist] peab detergente ümbritsev vees lahustuv kile olema oma olemuselt biolagunev.</w:t>
      </w:r>
    </w:p>
    <w:p w:rsidR="00F9609E" w:rsidRPr="005D6722" w:rsidRDefault="00F9609E" w:rsidP="00F9609E">
      <w:pPr>
        <w:spacing w:before="120" w:after="120" w:line="360" w:lineRule="auto"/>
        <w:ind w:left="850"/>
        <w:rPr>
          <w:b/>
          <w:szCs w:val="24"/>
          <w:lang w:eastAsia="en-US"/>
        </w:rPr>
      </w:pPr>
      <w:r w:rsidRPr="005D6722">
        <w:rPr>
          <w:b/>
          <w:i/>
          <w:szCs w:val="24"/>
          <w:lang w:eastAsia="en-US"/>
        </w:rPr>
        <w:t>Hiljemalt ... [18 kuud pärast käesoleva määruse jõustumist] võtab komisjon kooskõlas artikliga 27 vastu delegeeritud õigusaktid, et täiendada I lisa detergente ümbritseva vees lahustuva kile lagunemiskriteeriumide ja katsemeetoditega.</w:t>
      </w:r>
      <w:r w:rsidR="00811820" w:rsidRPr="005D6722">
        <w:rPr>
          <w:b/>
          <w:szCs w:val="24"/>
          <w:lang w:eastAsia="en-US"/>
        </w:rPr>
        <w:t xml:space="preserve"> [ME 51]</w:t>
      </w:r>
    </w:p>
    <w:p w:rsidR="00F9609E" w:rsidRPr="005D6722" w:rsidRDefault="00F9609E" w:rsidP="00F9609E">
      <w:pPr>
        <w:spacing w:before="120" w:after="120" w:line="360" w:lineRule="auto"/>
        <w:jc w:val="center"/>
        <w:rPr>
          <w:szCs w:val="24"/>
          <w:lang w:eastAsia="en-US"/>
        </w:rPr>
      </w:pPr>
      <w:r w:rsidRPr="005D6722">
        <w:rPr>
          <w:szCs w:val="24"/>
          <w:lang w:eastAsia="en-US"/>
        </w:rPr>
        <w:t>Artikkel 5</w:t>
      </w:r>
      <w:r w:rsidRPr="005D6722">
        <w:rPr>
          <w:szCs w:val="24"/>
          <w:lang w:eastAsia="en-US"/>
        </w:rPr>
        <w:br/>
        <w:t>Mikroorganisme sisaldavad detergendid</w:t>
      </w:r>
    </w:p>
    <w:p w:rsidR="00F9609E" w:rsidRPr="005D6722" w:rsidRDefault="00F9609E" w:rsidP="00F9609E">
      <w:pPr>
        <w:spacing w:before="120" w:after="120" w:line="360" w:lineRule="auto"/>
        <w:rPr>
          <w:szCs w:val="24"/>
          <w:lang w:eastAsia="en-US"/>
        </w:rPr>
      </w:pPr>
      <w:r w:rsidRPr="005D6722">
        <w:rPr>
          <w:szCs w:val="24"/>
          <w:lang w:eastAsia="en-US"/>
        </w:rPr>
        <w:t>Mikroorganisme sisaldavad detergendid peavad vastama II lisas esitatud nõuetele.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6</w:t>
      </w:r>
      <w:r w:rsidRPr="005D6722">
        <w:rPr>
          <w:szCs w:val="24"/>
          <w:lang w:eastAsia="en-US"/>
        </w:rPr>
        <w:br/>
        <w:t xml:space="preserve">Fosfaatide ja muude fosforiühendite sisalduse piirangud </w:t>
      </w:r>
    </w:p>
    <w:p w:rsidR="00F9609E" w:rsidRPr="005D6722" w:rsidRDefault="00F9609E" w:rsidP="00F9609E">
      <w:pPr>
        <w:spacing w:before="120" w:after="120" w:line="360" w:lineRule="auto"/>
        <w:rPr>
          <w:szCs w:val="24"/>
          <w:lang w:eastAsia="en-US"/>
        </w:rPr>
      </w:pPr>
      <w:r w:rsidRPr="005D6722">
        <w:rPr>
          <w:szCs w:val="24"/>
          <w:lang w:eastAsia="en-US"/>
        </w:rPr>
        <w:t>III lisas loetletud detergendid peavad vastama kõnealuses lisas sätestatud fosfaatide ja muude fosforiühendite sisalduse piirangutele.</w:t>
      </w:r>
    </w:p>
    <w:p w:rsidR="00F9609E" w:rsidRPr="005D6722" w:rsidRDefault="00F9609E" w:rsidP="00F9609E">
      <w:pPr>
        <w:spacing w:before="120" w:after="120" w:line="360" w:lineRule="auto"/>
        <w:rPr>
          <w:b/>
          <w:szCs w:val="24"/>
          <w:lang w:eastAsia="en-US"/>
        </w:rPr>
      </w:pPr>
      <w:r w:rsidRPr="005D6722">
        <w:rPr>
          <w:b/>
          <w:i/>
          <w:szCs w:val="24"/>
          <w:lang w:eastAsia="en-US"/>
        </w:rPr>
        <w:t>Esimest lõiku ei kohaldata selliste detergentide suhtes, mis on tööstuslikud biotsiidid määruse (EL) nr 528/2012 tähenduses või meditsiiniseadmed määruse (EL) 2017/745</w:t>
      </w:r>
      <w:r w:rsidRPr="005D6722">
        <w:rPr>
          <w:szCs w:val="24"/>
          <w:vertAlign w:val="superscript"/>
          <w:lang w:eastAsia="en-US"/>
        </w:rPr>
        <w:footnoteReference w:id="23"/>
      </w:r>
      <w:r w:rsidRPr="005D6722">
        <w:rPr>
          <w:b/>
          <w:i/>
          <w:szCs w:val="24"/>
          <w:lang w:eastAsia="en-US"/>
        </w:rPr>
        <w:t xml:space="preserve"> tähenduses.</w:t>
      </w:r>
      <w:r w:rsidR="00811820" w:rsidRPr="005D6722">
        <w:rPr>
          <w:b/>
          <w:szCs w:val="24"/>
          <w:lang w:eastAsia="en-US"/>
        </w:rPr>
        <w:t xml:space="preserve"> [ME 52]</w:t>
      </w:r>
    </w:p>
    <w:p w:rsidR="00F9609E" w:rsidRPr="005D6722" w:rsidRDefault="00F9609E" w:rsidP="00F9609E">
      <w:pPr>
        <w:spacing w:before="120" w:after="120" w:line="360" w:lineRule="auto"/>
        <w:rPr>
          <w:b/>
          <w:szCs w:val="24"/>
          <w:lang w:eastAsia="en-US"/>
        </w:rPr>
      </w:pPr>
      <w:r w:rsidRPr="005D6722">
        <w:rPr>
          <w:b/>
          <w:i/>
          <w:szCs w:val="24"/>
          <w:lang w:eastAsia="en-US"/>
        </w:rPr>
        <w:t>Kui pindaktiivsetesse ainetesse ja detergentidesse satub tahtmatult fosfaate ja muid fosforiühendeid, mis tuleneb koostisosade lisanditest, tootmisprotsessist või ladustamisest või pakendist, lubatakse seda juhul, kui see on head tootmistava kasutades tehniliselt vältimatu ning olenemata sellisest sisaldusest on need pindaktiivsed ained ja detergendid ohutud.</w:t>
      </w:r>
      <w:r w:rsidR="00811820" w:rsidRPr="005D6722">
        <w:rPr>
          <w:b/>
          <w:szCs w:val="24"/>
          <w:lang w:eastAsia="en-US"/>
        </w:rPr>
        <w:t xml:space="preserve"> [ME 53]</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jc w:val="center"/>
        <w:rPr>
          <w:szCs w:val="24"/>
          <w:lang w:eastAsia="en-US"/>
        </w:rPr>
      </w:pPr>
      <w:r w:rsidRPr="005D6722">
        <w:rPr>
          <w:b/>
          <w:i/>
          <w:szCs w:val="24"/>
          <w:lang w:eastAsia="en-US"/>
        </w:rPr>
        <w:lastRenderedPageBreak/>
        <w:t>Artikkel 6a</w:t>
      </w:r>
      <w:r w:rsidRPr="005D6722">
        <w:rPr>
          <w:szCs w:val="24"/>
          <w:lang w:eastAsia="en-US"/>
        </w:rPr>
        <w:br/>
      </w:r>
      <w:r w:rsidRPr="005D6722">
        <w:rPr>
          <w:b/>
          <w:i/>
          <w:szCs w:val="24"/>
          <w:lang w:eastAsia="en-US"/>
        </w:rPr>
        <w:t>Loomkatsed</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1.</w:t>
      </w:r>
      <w:r w:rsidRPr="005D6722">
        <w:rPr>
          <w:szCs w:val="24"/>
          <w:lang w:eastAsia="en-US"/>
        </w:rPr>
        <w:tab/>
      </w:r>
      <w:r w:rsidRPr="005D6722">
        <w:rPr>
          <w:b/>
          <w:i/>
          <w:szCs w:val="24"/>
          <w:lang w:eastAsia="en-US"/>
        </w:rPr>
        <w:t>Detergentide ja pindaktiivsete ainete ohutus ja vastavus käesolevale määrusele määratakse kindlaks loomadega mitteseotud uute lähenemisviiside abil, mida on liidu tasandil valideeritud ja vastu võetud.</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2.</w:t>
      </w:r>
      <w:r w:rsidRPr="005D6722">
        <w:rPr>
          <w:szCs w:val="24"/>
          <w:lang w:eastAsia="en-US"/>
        </w:rPr>
        <w:tab/>
      </w:r>
      <w:r w:rsidRPr="005D6722">
        <w:rPr>
          <w:b/>
          <w:i/>
          <w:szCs w:val="24"/>
          <w:lang w:eastAsia="en-US"/>
        </w:rPr>
        <w:t>Ilma et see piiraks artikli 1 lõike 1 kohaste üldkohustuste täitmist, on keelatud järgmine tegevus:</w:t>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t>a)</w:t>
      </w:r>
      <w:r w:rsidRPr="005D6722">
        <w:rPr>
          <w:szCs w:val="24"/>
          <w:lang w:eastAsia="en-US"/>
        </w:rPr>
        <w:tab/>
      </w:r>
      <w:r w:rsidRPr="005D6722">
        <w:rPr>
          <w:b/>
          <w:i/>
          <w:szCs w:val="24"/>
          <w:lang w:eastAsia="en-US"/>
        </w:rPr>
        <w:t>detergentide ja pindaktiivsete ainete turulelaskmine, kui lõplikku koostist või lõplikke koostisosi või koostisosade kombinatsioone on käesoleva määruse nõuete täitmiseks katsetatud loomade peal;</w:t>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t>b)</w:t>
      </w:r>
      <w:r w:rsidRPr="005D6722">
        <w:rPr>
          <w:szCs w:val="24"/>
          <w:lang w:eastAsia="en-US"/>
        </w:rPr>
        <w:tab/>
      </w:r>
      <w:r w:rsidRPr="005D6722">
        <w:rPr>
          <w:b/>
          <w:i/>
          <w:szCs w:val="24"/>
          <w:lang w:eastAsia="en-US"/>
        </w:rPr>
        <w:t>valmis detergentide ja pindaktiivsete ainete või koostisosade või koostisosade kombinatsioonide katsetamine loomade peal käesoleva määruse nõuete täitmiseks.</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lastRenderedPageBreak/>
        <w:t>3.</w:t>
      </w:r>
      <w:r w:rsidRPr="005D6722">
        <w:rPr>
          <w:szCs w:val="24"/>
          <w:lang w:eastAsia="en-US"/>
        </w:rPr>
        <w:tab/>
      </w:r>
      <w:r w:rsidRPr="005D6722">
        <w:rPr>
          <w:b/>
          <w:i/>
          <w:szCs w:val="24"/>
          <w:lang w:eastAsia="en-US"/>
        </w:rPr>
        <w:t>Lõikeid 1 ja 2 kohaldatakse, ilma et see piiraks asjakohase liidu õiguse kohaldamist ning see ei takista enne … [käesoleva määruse jõustumise kuupäev] saadud andmete kasutamist.</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4.</w:t>
      </w:r>
      <w:r w:rsidRPr="005D6722">
        <w:rPr>
          <w:szCs w:val="24"/>
          <w:lang w:eastAsia="en-US"/>
        </w:rPr>
        <w:tab/>
      </w:r>
      <w:r w:rsidRPr="005D6722">
        <w:rPr>
          <w:b/>
          <w:i/>
          <w:szCs w:val="24"/>
          <w:lang w:eastAsia="en-US"/>
        </w:rPr>
        <w:t>Juhul kui tekib kahtlusi seoses detergentide koostisainete ohutusega, võib komisjon erandlikel asjaoludel võtta vastu otsuse, millega tehakse erand lõigetest 1 ja 2. Komisjon võib tegutseda omal algatusel või ettevõtja või liikmesriigi põhjendatud taotluse alusel.</w:t>
      </w:r>
    </w:p>
    <w:p w:rsidR="00F9609E" w:rsidRPr="005D6722" w:rsidRDefault="00F9609E" w:rsidP="00F9609E">
      <w:pPr>
        <w:spacing w:before="120" w:after="120" w:line="360" w:lineRule="auto"/>
        <w:ind w:left="850"/>
        <w:rPr>
          <w:szCs w:val="24"/>
          <w:lang w:eastAsia="en-US"/>
        </w:rPr>
      </w:pPr>
      <w:r w:rsidRPr="005D6722">
        <w:rPr>
          <w:b/>
          <w:i/>
          <w:szCs w:val="24"/>
          <w:lang w:eastAsia="en-US"/>
        </w:rPr>
        <w:t>Kui komisjon tegutseb ettevõtja või liikmesriigi põhjendatud taotluse alusel, peab see taotlus sisaldama olukorra hinnangut ja osutama vajalikele meetmetele. Selle alusel võib komisjon pärast asjaomase teaduskomitee, ameti või organiga konsulteerimist võtta erandi lubamise kohta vastu otsuse.</w:t>
      </w:r>
    </w:p>
    <w:p w:rsidR="00F9609E" w:rsidRPr="005D6722" w:rsidRDefault="00F9609E" w:rsidP="00F9609E">
      <w:pPr>
        <w:spacing w:before="120" w:after="120" w:line="360" w:lineRule="auto"/>
        <w:ind w:left="850"/>
        <w:rPr>
          <w:szCs w:val="24"/>
          <w:lang w:eastAsia="en-US"/>
        </w:rPr>
      </w:pPr>
      <w:r w:rsidRPr="005D6722">
        <w:rPr>
          <w:b/>
          <w:i/>
          <w:szCs w:val="24"/>
          <w:lang w:eastAsia="en-US"/>
        </w:rPr>
        <w:t>Otsuses sätestatakse erandiga seotud tingimused erandi eesmärkide, kestuse ja tulemuste esitamise kohta. Erand tehakse üksnes juhul, kui:</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lastRenderedPageBreak/>
        <w:t>a)</w:t>
      </w:r>
      <w:r w:rsidRPr="005D6722">
        <w:rPr>
          <w:szCs w:val="24"/>
          <w:lang w:eastAsia="en-US"/>
        </w:rPr>
        <w:tab/>
      </w:r>
      <w:r w:rsidRPr="005D6722">
        <w:rPr>
          <w:b/>
          <w:i/>
          <w:szCs w:val="24"/>
          <w:lang w:eastAsia="en-US"/>
        </w:rPr>
        <w:t>koostisaine on laialdaselt kasutuses ning seda ei ole võimalik asendada ühegi samaväärse toimega koostisainega;</w:t>
      </w:r>
    </w:p>
    <w:p w:rsidR="00F9609E" w:rsidRPr="005D6722" w:rsidRDefault="00F9609E" w:rsidP="00F9609E">
      <w:pPr>
        <w:spacing w:before="120" w:after="120" w:line="360" w:lineRule="auto"/>
        <w:ind w:left="1416" w:hanging="566"/>
        <w:rPr>
          <w:b/>
          <w:szCs w:val="24"/>
          <w:lang w:eastAsia="en-US"/>
        </w:rPr>
      </w:pPr>
      <w:r w:rsidRPr="005D6722">
        <w:rPr>
          <w:b/>
          <w:i/>
          <w:szCs w:val="24"/>
          <w:lang w:eastAsia="en-US"/>
        </w:rPr>
        <w:t>b)</w:t>
      </w:r>
      <w:r w:rsidRPr="005D6722">
        <w:rPr>
          <w:szCs w:val="24"/>
          <w:lang w:eastAsia="en-US"/>
        </w:rPr>
        <w:tab/>
      </w:r>
      <w:r w:rsidRPr="005D6722">
        <w:rPr>
          <w:b/>
          <w:i/>
          <w:szCs w:val="24"/>
          <w:lang w:eastAsia="en-US"/>
        </w:rPr>
        <w:t>inimeste terviseprobleem ja loomkatsete elluviimise vajadus on põhjendatud ning seda kinnitab hinnangu aluseks olev üksikasjalik uurimisprotokoll.</w:t>
      </w:r>
      <w:r w:rsidR="00811820" w:rsidRPr="005D6722">
        <w:rPr>
          <w:b/>
          <w:szCs w:val="24"/>
          <w:lang w:eastAsia="en-US"/>
        </w:rPr>
        <w:t xml:space="preserve"> [ME 54]</w:t>
      </w:r>
    </w:p>
    <w:p w:rsidR="00F9609E" w:rsidRPr="005D6722" w:rsidRDefault="00F9609E" w:rsidP="00F9609E">
      <w:pPr>
        <w:spacing w:before="120" w:after="120" w:line="360" w:lineRule="auto"/>
        <w:jc w:val="center"/>
        <w:rPr>
          <w:szCs w:val="24"/>
          <w:lang w:eastAsia="en-US"/>
        </w:rPr>
      </w:pPr>
      <w:r w:rsidRPr="005D6722">
        <w:rPr>
          <w:szCs w:val="24"/>
          <w:lang w:eastAsia="en-US"/>
        </w:rPr>
        <w:t>III PEATÜKK</w:t>
      </w:r>
      <w:r w:rsidRPr="005D6722">
        <w:rPr>
          <w:szCs w:val="24"/>
          <w:lang w:eastAsia="en-US"/>
        </w:rPr>
        <w:br/>
        <w:t>ETTEVÕTJATE KOHUSTUSED</w:t>
      </w:r>
    </w:p>
    <w:p w:rsidR="00F9609E" w:rsidRPr="005D6722" w:rsidRDefault="00F9609E" w:rsidP="00F9609E">
      <w:pPr>
        <w:spacing w:before="120" w:after="120" w:line="360" w:lineRule="auto"/>
        <w:jc w:val="center"/>
        <w:rPr>
          <w:szCs w:val="24"/>
          <w:lang w:eastAsia="en-US"/>
        </w:rPr>
      </w:pPr>
      <w:r w:rsidRPr="005D6722">
        <w:rPr>
          <w:szCs w:val="24"/>
          <w:lang w:eastAsia="en-US"/>
        </w:rPr>
        <w:t>Artikkel 7</w:t>
      </w:r>
      <w:r w:rsidRPr="005D6722">
        <w:rPr>
          <w:szCs w:val="24"/>
          <w:lang w:eastAsia="en-US"/>
        </w:rPr>
        <w:br/>
        <w:t>Tootja kohustused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Detergentide või pindaktiivsete ainete turule laskmise korral tagab tootja, et need detergendid või pindaktiivsed ained on välja arendatud ja toodetud vastavalt käesolevale määrusele.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Tootja koostab IV lisas osutatud tehnilise dokumentatsiooni ja teeb kõnealuses lisas osutatud vastavushindamise.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Kui detergendi või pindaktiivse aine vastavus kehtestatud nõuetele on tõendatud esimeses lõigus osutatud menetlusega, peab tootja</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koostama tootepassi vastavalt artiklile 18,</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tagama, et andmekandja trükitakse või paigutatakse muul viisil detergendi või pindaktiivse aine märgistusele või pakendile nähtaval ja loetaval viisil vastavalt artikli 18 lõikele 3,</w:t>
      </w:r>
    </w:p>
    <w:p w:rsidR="00F9609E" w:rsidRPr="005D6722" w:rsidRDefault="00F9609E" w:rsidP="00F9609E">
      <w:pPr>
        <w:spacing w:before="120" w:after="120" w:line="360" w:lineRule="auto"/>
        <w:ind w:left="1416" w:hanging="566"/>
        <w:rPr>
          <w:b/>
          <w:szCs w:val="24"/>
          <w:lang w:eastAsia="en-US"/>
        </w:rPr>
      </w:pPr>
      <w:r w:rsidRPr="005D6722">
        <w:rPr>
          <w:strike/>
          <w:szCs w:val="24"/>
          <w:lang w:eastAsia="en-US"/>
        </w:rPr>
        <w:t>c)</w:t>
      </w:r>
      <w:r w:rsidRPr="005D6722">
        <w:rPr>
          <w:szCs w:val="24"/>
          <w:lang w:eastAsia="en-US"/>
        </w:rPr>
        <w:tab/>
      </w:r>
      <w:r w:rsidRPr="005D6722">
        <w:rPr>
          <w:strike/>
          <w:szCs w:val="24"/>
          <w:lang w:eastAsia="en-US"/>
        </w:rPr>
        <w:t>vajaduse korral kinnitama tootele CE-märgise vastavalt artiklile 14,</w:t>
      </w:r>
      <w:r w:rsidR="00811820" w:rsidRPr="005D6722">
        <w:rPr>
          <w:b/>
          <w:szCs w:val="24"/>
          <w:lang w:eastAsia="en-US"/>
        </w:rPr>
        <w:t xml:space="preserve"> [ME 55]</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enne detergentide või pindaktiivsete ainete turule laskmist lisama artikli 20 lõikes 1 osutatud registrisse viite tootepassile.</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w:t>
      </w:r>
      <w:r w:rsidRPr="005D6722">
        <w:rPr>
          <w:szCs w:val="24"/>
          <w:lang w:eastAsia="en-US"/>
        </w:rPr>
        <w:tab/>
        <w:t>Tootja säilitab</w:t>
      </w:r>
      <w:r w:rsidRPr="005D6722">
        <w:rPr>
          <w:b/>
          <w:i/>
          <w:szCs w:val="24"/>
          <w:lang w:eastAsia="en-US"/>
        </w:rPr>
        <w:t xml:space="preserve"> ja vajaduse korral uuendab</w:t>
      </w:r>
      <w:r w:rsidRPr="005D6722">
        <w:rPr>
          <w:szCs w:val="24"/>
          <w:lang w:eastAsia="en-US"/>
        </w:rPr>
        <w:t xml:space="preserve"> tehnilist dokumentatsiooni ja tootepassi kümme aastat alates nimetatud dokumentides või tootepassis märgitud detergendi või pindaktiivse aine turule laskmisest.</w:t>
      </w:r>
      <w:r w:rsidR="00811820" w:rsidRPr="005D6722">
        <w:rPr>
          <w:b/>
          <w:szCs w:val="24"/>
          <w:lang w:eastAsia="en-US"/>
        </w:rPr>
        <w:t xml:space="preserve"> [ME 56]</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4.</w:t>
      </w:r>
      <w:r w:rsidRPr="005D6722">
        <w:rPr>
          <w:szCs w:val="24"/>
          <w:lang w:eastAsia="en-US"/>
        </w:rPr>
        <w:tab/>
        <w:t>Tootja tagab, et on kehtestatud menetlused, millega tagatakse seeriatoodangu püsiv nõuetelevastavus. Arvesse võetakse muudatusi tootedisainis või -omadustes ja neis katsemeetodites, mille põhjal toote vastavust kinnitatakse.</w:t>
      </w:r>
    </w:p>
    <w:p w:rsidR="00F9609E" w:rsidRPr="005D6722" w:rsidRDefault="00F9609E" w:rsidP="00F9609E">
      <w:pPr>
        <w:spacing w:before="120" w:after="120" w:line="360" w:lineRule="auto"/>
        <w:ind w:left="850"/>
        <w:rPr>
          <w:szCs w:val="24"/>
          <w:lang w:eastAsia="en-US"/>
        </w:rPr>
      </w:pPr>
      <w:r w:rsidRPr="005D6722">
        <w:rPr>
          <w:szCs w:val="24"/>
          <w:lang w:eastAsia="en-US"/>
        </w:rPr>
        <w:t>Kui seda peetakse seoses detergendi või pindaktiivse aine toimimisega või sellest tuleneva ohu tõttu vajalikuks, kontrollib tootja selliseid detergente või pindaktiivseid aineid pisteliselt, uurib kaebusi, ning kui see on vajalik, peab registrit kaebuste, nõuetele mittevastavate detergentide või pindaktiivsete ainete ja selliste detergentide või pindaktiivsete ainete tagasivõtmiste kohta ning teavitab turustajaid sellisest järelevalvest.</w:t>
      </w:r>
    </w:p>
    <w:p w:rsidR="00F9609E" w:rsidRPr="005D6722" w:rsidRDefault="00F9609E" w:rsidP="00F9609E">
      <w:pPr>
        <w:spacing w:before="120" w:after="120" w:line="360" w:lineRule="auto"/>
        <w:ind w:left="850" w:hanging="850"/>
        <w:rPr>
          <w:szCs w:val="24"/>
          <w:lang w:eastAsia="en-US"/>
        </w:rPr>
      </w:pPr>
      <w:r w:rsidRPr="005D6722">
        <w:rPr>
          <w:szCs w:val="24"/>
          <w:lang w:eastAsia="en-US"/>
        </w:rPr>
        <w:t>5.</w:t>
      </w:r>
      <w:r w:rsidRPr="005D6722">
        <w:rPr>
          <w:szCs w:val="24"/>
          <w:lang w:eastAsia="en-US"/>
        </w:rPr>
        <w:tab/>
        <w:t>Detergente või pindaktiivseid aineid turule laskev tootja tagab, et need vastavad artiklites 15, 16 ja 17 sätestatud märgistamisnõuetele.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6.</w:t>
      </w:r>
      <w:r w:rsidRPr="005D6722">
        <w:rPr>
          <w:szCs w:val="24"/>
          <w:lang w:eastAsia="en-US"/>
        </w:rPr>
        <w:tab/>
        <w:t>Tootja, kes laseb turule detergente, mis ei vasta määruse (EÜ) nr 1272/2008 kohastele ohtlikuks klassifitseerimise kriteeriumidele, esitab kõnealuse määruse artiklis 45 osutatud liikmesriikide määratud organitele IV lisa punkti 2.2 alapunktis e osutatud koostisosade andmelehe.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Tootja esitab koostisosade andmelehe esimeses lõigus osutatud liikmesriikide määratud organitele järgmistel juhtudel:</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a)</w:t>
      </w:r>
      <w:r w:rsidRPr="005D6722">
        <w:rPr>
          <w:szCs w:val="24"/>
          <w:lang w:eastAsia="en-US"/>
        </w:rPr>
        <w:tab/>
      </w:r>
      <w:r w:rsidRPr="005D6722">
        <w:rPr>
          <w:strike/>
          <w:szCs w:val="24"/>
          <w:lang w:eastAsia="en-US"/>
        </w:rPr>
        <w:t>liikmesriikide määratud organite taotluse korral</w:t>
      </w:r>
      <w:r w:rsidRPr="005D6722">
        <w:rPr>
          <w:b/>
          <w:i/>
          <w:szCs w:val="24"/>
          <w:lang w:eastAsia="en-US"/>
        </w:rPr>
        <w:t>detergendi turule laskmise ajal</w:t>
      </w:r>
      <w:r w:rsidRPr="005D6722">
        <w:rPr>
          <w:szCs w:val="24"/>
          <w:lang w:eastAsia="en-US"/>
        </w:rPr>
        <w:t>;</w:t>
      </w:r>
      <w:r w:rsidR="00811820" w:rsidRPr="005D6722">
        <w:rPr>
          <w:b/>
          <w:szCs w:val="24"/>
          <w:lang w:eastAsia="en-US"/>
        </w:rPr>
        <w:t xml:space="preserve"> [ME 57]</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b)</w:t>
      </w:r>
      <w:r w:rsidRPr="005D6722">
        <w:rPr>
          <w:szCs w:val="24"/>
          <w:lang w:eastAsia="en-US"/>
        </w:rPr>
        <w:tab/>
        <w:t xml:space="preserve">kui detergent, mille kohta </w:t>
      </w:r>
      <w:r w:rsidRPr="005D6722">
        <w:rPr>
          <w:strike/>
          <w:szCs w:val="24"/>
          <w:lang w:eastAsia="en-US"/>
        </w:rPr>
        <w:t>andmelehte</w:t>
      </w:r>
      <w:r w:rsidRPr="005D6722">
        <w:rPr>
          <w:b/>
          <w:i/>
          <w:szCs w:val="24"/>
          <w:lang w:eastAsia="en-US"/>
        </w:rPr>
        <w:t>andmeleht</w:t>
      </w:r>
      <w:r w:rsidRPr="005D6722">
        <w:rPr>
          <w:szCs w:val="24"/>
          <w:lang w:eastAsia="en-US"/>
        </w:rPr>
        <w:t xml:space="preserve"> on juba </w:t>
      </w:r>
      <w:r w:rsidRPr="005D6722">
        <w:rPr>
          <w:strike/>
          <w:szCs w:val="24"/>
          <w:lang w:eastAsia="en-US"/>
        </w:rPr>
        <w:t>taotletud</w:t>
      </w:r>
      <w:r w:rsidRPr="005D6722">
        <w:rPr>
          <w:b/>
          <w:i/>
          <w:szCs w:val="24"/>
          <w:lang w:eastAsia="en-US"/>
        </w:rPr>
        <w:t>antud</w:t>
      </w:r>
      <w:r w:rsidRPr="005D6722">
        <w:rPr>
          <w:szCs w:val="24"/>
          <w:lang w:eastAsia="en-US"/>
        </w:rPr>
        <w:t>, ei vasta enam sellel andmelehel esitatud teabele.</w:t>
      </w:r>
      <w:r w:rsidR="00811820" w:rsidRPr="005D6722">
        <w:rPr>
          <w:b/>
          <w:szCs w:val="24"/>
          <w:lang w:eastAsia="en-US"/>
        </w:rPr>
        <w:t xml:space="preserve"> [ME 58]</w:t>
      </w:r>
    </w:p>
    <w:p w:rsidR="00F9609E" w:rsidRPr="005D6722" w:rsidRDefault="00F9609E" w:rsidP="00F9609E">
      <w:pPr>
        <w:spacing w:before="120" w:after="120" w:line="360" w:lineRule="auto"/>
        <w:ind w:left="850"/>
        <w:rPr>
          <w:szCs w:val="24"/>
          <w:lang w:eastAsia="en-US"/>
        </w:rPr>
      </w:pPr>
      <w:r w:rsidRPr="005D6722">
        <w:rPr>
          <w:szCs w:val="24"/>
          <w:lang w:eastAsia="en-US"/>
        </w:rPr>
        <w:t>Esimeses lõigus osutatud määratud organ ja meditsiinitöötajad, kellele teabelehel sisalduv teave on esitatud, hoiavad seda konfidentsiaalsena ja kasutavad seda üksnes meditsiinilistel eesmärkidel.</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7.</w:t>
      </w:r>
      <w:r w:rsidRPr="005D6722">
        <w:rPr>
          <w:szCs w:val="24"/>
          <w:lang w:eastAsia="en-US"/>
        </w:rPr>
        <w:tab/>
        <w:t>Tootja, kes arvab või kellel on põhjust arvata, et detergent või pindaktiivne aine, mille ta on turule lasknud, ei vasta käesolevale määrusele, võtab viivitamata vajalikud parandusmeetmed, et viia kõnealune detergent või pindaktiivne aine nõuetega vastavusse, või kui see on asjakohane, kõrvaldada toode turult või võtta see tagasi. Kui tootja arvab või kui tal on põhjust arvata, et detergent või pindaktiivne aine, mille ta on turule lasknud, ohustab tervist või keskkonda, teatab ta sellest viivitamata nende liikmesriikide pädevatele asutustele, mille turul ta on detergendi või pindaktiivse aine kättesaadavaks teinud, esitades eelkõige üksikasjad kõigi nõuetele mittevastavuste ja võetud parandusmeetmete kohta.</w:t>
      </w:r>
      <w:r w:rsidR="00811820" w:rsidRPr="005D6722">
        <w:rPr>
          <w:b/>
          <w:szCs w:val="24"/>
          <w:lang w:eastAsia="en-US"/>
        </w:rPr>
        <w:t xml:space="preserve"> [ME 59 ei puuduta eetikeelset versiooni]</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7a.</w:t>
      </w:r>
      <w:r w:rsidRPr="005D6722">
        <w:rPr>
          <w:szCs w:val="24"/>
          <w:lang w:eastAsia="en-US"/>
        </w:rPr>
        <w:tab/>
      </w:r>
      <w:r w:rsidRPr="005D6722">
        <w:rPr>
          <w:b/>
          <w:i/>
          <w:szCs w:val="24"/>
          <w:lang w:eastAsia="en-US"/>
        </w:rPr>
        <w:t>Tootja jagab taotluse korral tarneahela asjaomaste ettevõtjate, sealhulgas turustajate, importijate ja volitatud esindajatega aegsasti asjakohast teavet kõigi tema poolt tuvastatud, oma tootega seotud vastavusprobleemide või tervise- või keskkonnaohtude kohta, samuti mis tahes sellele järgnevate parandusmeetmete, tagasinõudmiste või turult kõrvaldamiste kohta.</w:t>
      </w:r>
      <w:r w:rsidR="00811820" w:rsidRPr="005D6722">
        <w:rPr>
          <w:b/>
          <w:szCs w:val="24"/>
          <w:lang w:eastAsia="en-US"/>
        </w:rPr>
        <w:t xml:space="preserve"> [ME 60]</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8.</w:t>
      </w:r>
      <w:r w:rsidRPr="005D6722">
        <w:rPr>
          <w:szCs w:val="24"/>
          <w:lang w:eastAsia="en-US"/>
        </w:rPr>
        <w:tab/>
        <w:t xml:space="preserve">Riigi pädeva asutuse põhjendatud taotluse korral esitab tootja detergendi või pindaktiivse aine käesolevale määrusele vastavuse tõendamiseks kogu vajaliku teabe ja dokumentatsiooni </w:t>
      </w:r>
      <w:r w:rsidRPr="005D6722">
        <w:rPr>
          <w:strike/>
          <w:szCs w:val="24"/>
          <w:lang w:eastAsia="en-US"/>
        </w:rPr>
        <w:t xml:space="preserve">paberil või </w:t>
      </w:r>
      <w:r w:rsidRPr="005D6722">
        <w:rPr>
          <w:szCs w:val="24"/>
          <w:lang w:eastAsia="en-US"/>
        </w:rPr>
        <w:t>elektrooniliselt</w:t>
      </w:r>
      <w:r w:rsidRPr="005D6722">
        <w:rPr>
          <w:b/>
          <w:i/>
          <w:szCs w:val="24"/>
          <w:lang w:eastAsia="en-US"/>
        </w:rPr>
        <w:t xml:space="preserve"> ja taotluse korral paberkandjal</w:t>
      </w:r>
      <w:r w:rsidRPr="005D6722">
        <w:rPr>
          <w:szCs w:val="24"/>
          <w:lang w:eastAsia="en-US"/>
        </w:rPr>
        <w:t xml:space="preserve"> keeles, mis on kõnealusele asutusele kergesti arusaadav. </w:t>
      </w:r>
      <w:r w:rsidRPr="005D6722">
        <w:rPr>
          <w:b/>
          <w:i/>
          <w:szCs w:val="24"/>
          <w:lang w:eastAsia="en-US"/>
        </w:rPr>
        <w:t xml:space="preserve">Asjakohane teave ja dokumentatsioon esitatakse 20 tööpäeva jooksul alates taotluse saamisest. </w:t>
      </w:r>
      <w:r w:rsidRPr="005D6722">
        <w:rPr>
          <w:szCs w:val="24"/>
          <w:lang w:eastAsia="en-US"/>
        </w:rPr>
        <w:t xml:space="preserve">Kui kõnealune asutus seda taotleb, teeb </w:t>
      </w:r>
      <w:r w:rsidRPr="005D6722">
        <w:rPr>
          <w:strike/>
          <w:szCs w:val="24"/>
          <w:lang w:eastAsia="en-US"/>
        </w:rPr>
        <w:t>tootja</w:t>
      </w:r>
      <w:r w:rsidRPr="005D6722">
        <w:rPr>
          <w:b/>
          <w:i/>
          <w:szCs w:val="24"/>
          <w:lang w:eastAsia="en-US"/>
        </w:rPr>
        <w:t>importija</w:t>
      </w:r>
      <w:r w:rsidRPr="005D6722">
        <w:rPr>
          <w:szCs w:val="24"/>
          <w:lang w:eastAsia="en-US"/>
        </w:rPr>
        <w:t xml:space="preserve"> temaga koostööd mis tahes meetme korral, mis on võetud tema poolt turule lastud detergentidest või pindaktiivsetest ainetest tulenevate ohtude kõrvaldamiseks.</w:t>
      </w:r>
      <w:r w:rsidR="00811820" w:rsidRPr="005D6722">
        <w:rPr>
          <w:b/>
          <w:szCs w:val="24"/>
          <w:lang w:eastAsia="en-US"/>
        </w:rPr>
        <w:t xml:space="preserve"> [ME 61]</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8a.</w:t>
      </w:r>
      <w:r w:rsidRPr="005D6722">
        <w:rPr>
          <w:szCs w:val="24"/>
          <w:lang w:eastAsia="en-US"/>
        </w:rPr>
        <w:tab/>
      </w:r>
      <w:r w:rsidRPr="005D6722">
        <w:rPr>
          <w:b/>
          <w:i/>
          <w:szCs w:val="24"/>
          <w:lang w:eastAsia="en-US"/>
        </w:rPr>
        <w:t>Tootjad teevad üldsusele kättesaadavaks sellised sidekanalid nagu telefoninumber, e-posti aadress või spetsiaalne osa oma veebisaidist, võttes arvesse puuetega inimeste juurdepääsuvajadusi, et võimaldada lõppkasutajatel esitada kaebusi või teatada probleemidest seoses toodete võimaliku nõuetele mittevastavusega või ohutusprobleemidega.</w:t>
      </w:r>
      <w:r w:rsidR="00811820" w:rsidRPr="005D6722">
        <w:rPr>
          <w:b/>
          <w:szCs w:val="24"/>
          <w:lang w:eastAsia="en-US"/>
        </w:rPr>
        <w:t xml:space="preserve"> [ME 62]</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8</w:t>
      </w:r>
      <w:r w:rsidRPr="005D6722">
        <w:rPr>
          <w:szCs w:val="24"/>
          <w:lang w:eastAsia="en-US"/>
        </w:rPr>
        <w:br/>
        <w:t>Volitatud esindaja</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1.</w:t>
      </w:r>
      <w:r w:rsidRPr="005D6722">
        <w:rPr>
          <w:szCs w:val="24"/>
          <w:lang w:eastAsia="en-US"/>
        </w:rPr>
        <w:tab/>
        <w:t>Tootja võib kirjaliku volitusega määrata oma volitatud esindaja.</w:t>
      </w:r>
      <w:r w:rsidRPr="005D6722">
        <w:rPr>
          <w:b/>
          <w:i/>
          <w:szCs w:val="24"/>
          <w:lang w:eastAsia="en-US"/>
        </w:rPr>
        <w:t xml:space="preserve"> Volitatud esindaja volitused kehtivad üksnes siis, kui volitatud esindaja on need kirjalikult heaks kiitnud.</w:t>
      </w:r>
      <w:r w:rsidR="00811820" w:rsidRPr="005D6722">
        <w:rPr>
          <w:b/>
          <w:szCs w:val="24"/>
          <w:lang w:eastAsia="en-US"/>
        </w:rPr>
        <w:t xml:space="preserve"> [ME 63]</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Kui tootja asukoht ei ole liidus, võib detergendi või pindaktiivse aine lasta liidu turule üksnes juhul, kui tootja määrab kirjaliku volitusega volitatud esindaja.</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2a.</w:t>
      </w:r>
      <w:r w:rsidRPr="005D6722">
        <w:rPr>
          <w:szCs w:val="24"/>
          <w:lang w:eastAsia="en-US"/>
        </w:rPr>
        <w:tab/>
      </w:r>
      <w:r w:rsidRPr="005D6722">
        <w:rPr>
          <w:b/>
          <w:i/>
          <w:szCs w:val="24"/>
          <w:lang w:eastAsia="en-US"/>
        </w:rPr>
        <w:t>Tootjad, kes ei ole asutatud liidus, teatavad riiklikele pädevatele asutustele oma volitatud esindaja postiaadressi ja e-posti aadressi.</w:t>
      </w:r>
      <w:r w:rsidR="00811820" w:rsidRPr="005D6722">
        <w:rPr>
          <w:b/>
          <w:szCs w:val="24"/>
          <w:lang w:eastAsia="en-US"/>
        </w:rPr>
        <w:t xml:space="preserve"> [ME 64]</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w:t>
      </w:r>
      <w:r w:rsidRPr="005D6722">
        <w:rPr>
          <w:szCs w:val="24"/>
          <w:lang w:eastAsia="en-US"/>
        </w:rPr>
        <w:tab/>
        <w:t xml:space="preserve">Volitatud esindaja täidab tootjalt saadud volituses kindlaksmääratud ülesandeid. </w:t>
      </w:r>
      <w:r w:rsidRPr="005D6722">
        <w:rPr>
          <w:b/>
          <w:i/>
          <w:szCs w:val="24"/>
          <w:lang w:eastAsia="en-US"/>
        </w:rPr>
        <w:t xml:space="preserve">Volitatud esindajal peavad olema vajalikud vahendid volituses kindlaks määratud ülesannete täitmiseks. </w:t>
      </w:r>
      <w:r w:rsidRPr="005D6722">
        <w:rPr>
          <w:szCs w:val="24"/>
          <w:lang w:eastAsia="en-US"/>
        </w:rPr>
        <w:t>Taotluse korral esitab volitatud esindaja pädevale asutusele volituse koopia.</w:t>
      </w:r>
      <w:r w:rsidR="00811820" w:rsidRPr="005D6722">
        <w:rPr>
          <w:b/>
          <w:szCs w:val="24"/>
          <w:lang w:eastAsia="en-US"/>
        </w:rPr>
        <w:t xml:space="preserve"> [ME 65]</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Volitus võimaldab volitatud esindajal teha vähemalt järgmist: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kontrollida, et tootepass on koostatud vastavalt artikli 7 lõike 2 punktile a, et tootja on koostanud tehnilise dokumentatsiooni ja teinud vastavushindamise vastavalt artikli 7 lõikele 2;</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hoida tootepassi ja tehnilist dokumentatsiooni riiklikule turujärelevalveasutusele esitamiseks alles kümme aastat alates kõnealustes dokumentides märgitud detergendi või pindaktiivse aine turule laskmisest;</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c)</w:t>
      </w:r>
      <w:r w:rsidRPr="005D6722">
        <w:rPr>
          <w:szCs w:val="24"/>
          <w:lang w:eastAsia="en-US"/>
        </w:rPr>
        <w:tab/>
        <w:t>esitada riigi pädeva asutuse põhjendatud taotluse korral sellele asutusele kogu teabe ja dokumentatsiooni, mida on vaja, et tõendada detergendi või pindaktiivse aine vastavust käesolevas määruses esitatud nõuetele</w:t>
      </w:r>
      <w:r w:rsidRPr="005D6722">
        <w:rPr>
          <w:b/>
          <w:i/>
          <w:szCs w:val="24"/>
          <w:lang w:eastAsia="en-US"/>
        </w:rPr>
        <w:t>, 20 tööpäeva jooksul alates taotluse kättesaamisest ning keeles, mis on kõnealuse asutuse jaoks kergesti arusaadav</w:t>
      </w:r>
      <w:r w:rsidRPr="005D6722">
        <w:rPr>
          <w:szCs w:val="24"/>
          <w:lang w:eastAsia="en-US"/>
        </w:rPr>
        <w:t>;</w:t>
      </w:r>
      <w:r w:rsidR="00811820" w:rsidRPr="005D6722">
        <w:rPr>
          <w:b/>
          <w:szCs w:val="24"/>
          <w:lang w:eastAsia="en-US"/>
        </w:rPr>
        <w:t xml:space="preserve"> [ME 66]</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teha riigi pädevate asutustega nende taotluse korral koostööd kõigis meetmetes, mis võetakse volitatud esindaja volitusega hõlmatud detergentide või pindaktiivsete ainete põhjustatud ohtude kõrvaldamiseks;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b/>
          <w:szCs w:val="24"/>
          <w:lang w:eastAsia="en-US"/>
        </w:rPr>
      </w:pPr>
      <w:r w:rsidRPr="005D6722">
        <w:rPr>
          <w:szCs w:val="24"/>
          <w:lang w:eastAsia="en-US"/>
        </w:rPr>
        <w:lastRenderedPageBreak/>
        <w:t>e)</w:t>
      </w:r>
      <w:r w:rsidRPr="005D6722">
        <w:rPr>
          <w:szCs w:val="24"/>
          <w:lang w:eastAsia="en-US"/>
        </w:rPr>
        <w:tab/>
        <w:t>lõpetada volitus, kui tootja ei täida käesolevast määrusest tulenevaid tootja kohustusi</w:t>
      </w:r>
      <w:r w:rsidRPr="005D6722">
        <w:rPr>
          <w:strike/>
          <w:szCs w:val="24"/>
          <w:lang w:eastAsia="en-US"/>
        </w:rPr>
        <w:t>.</w:t>
      </w:r>
      <w:r w:rsidRPr="005D6722">
        <w:rPr>
          <w:b/>
          <w:i/>
          <w:szCs w:val="24"/>
          <w:lang w:eastAsia="en-US"/>
        </w:rPr>
        <w:t>, ja teavitada volituste lõpetamisest 20 tööpäeva jooksul tootja asukohaliikmesriigi turujärelevalveasutust;</w:t>
      </w:r>
      <w:r w:rsidR="00811820" w:rsidRPr="005D6722">
        <w:rPr>
          <w:b/>
          <w:szCs w:val="24"/>
          <w:lang w:eastAsia="en-US"/>
        </w:rPr>
        <w:t xml:space="preserve"> [ME 67]</w:t>
      </w:r>
    </w:p>
    <w:p w:rsidR="00F9609E" w:rsidRPr="005D6722" w:rsidRDefault="00F9609E" w:rsidP="00F9609E">
      <w:pPr>
        <w:spacing w:before="120" w:after="120" w:line="360" w:lineRule="auto"/>
        <w:ind w:left="1416" w:hanging="566"/>
        <w:rPr>
          <w:szCs w:val="24"/>
          <w:lang w:eastAsia="en-US"/>
        </w:rPr>
      </w:pPr>
      <w:r w:rsidRPr="005D6722">
        <w:rPr>
          <w:b/>
          <w:i/>
          <w:szCs w:val="24"/>
          <w:lang w:eastAsia="en-US"/>
        </w:rPr>
        <w:t>ea)</w:t>
      </w:r>
      <w:r w:rsidRPr="005D6722">
        <w:rPr>
          <w:szCs w:val="24"/>
          <w:lang w:eastAsia="en-US"/>
        </w:rPr>
        <w:tab/>
      </w:r>
      <w:r w:rsidRPr="005D6722">
        <w:rPr>
          <w:b/>
          <w:i/>
          <w:szCs w:val="24"/>
          <w:lang w:eastAsia="en-US"/>
        </w:rPr>
        <w:t>kui volitatud esindaja arvab või tal on põhjust arvata, et detergent või pindaktiivne aine on tervisele või keskkonnale ohtlik, teavitada sellest tootjat</w:t>
      </w:r>
      <w:r w:rsidR="00811820" w:rsidRPr="005D6722">
        <w:rPr>
          <w:b/>
          <w:i/>
          <w:szCs w:val="24"/>
          <w:lang w:eastAsia="en-US"/>
        </w:rPr>
        <w:t>.</w:t>
      </w:r>
      <w:r w:rsidR="00811820" w:rsidRPr="005D6722">
        <w:rPr>
          <w:b/>
          <w:szCs w:val="24"/>
          <w:lang w:eastAsia="en-US"/>
        </w:rPr>
        <w:t xml:space="preserve"> [ME 68]</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3a.</w:t>
      </w:r>
      <w:r w:rsidRPr="005D6722">
        <w:rPr>
          <w:szCs w:val="24"/>
          <w:lang w:eastAsia="en-US"/>
        </w:rPr>
        <w:tab/>
      </w:r>
      <w:r w:rsidRPr="005D6722">
        <w:rPr>
          <w:b/>
          <w:i/>
          <w:szCs w:val="24"/>
          <w:lang w:eastAsia="en-US"/>
        </w:rPr>
        <w:t>Kui volitatud esindaja vahetub, sätestatakse volitustes selle vahetumisega seotud üksikasjalik kord kooskõlas lõigetega 1, 2 ja 3.</w:t>
      </w:r>
      <w:r w:rsidR="00811820" w:rsidRPr="005D6722">
        <w:rPr>
          <w:b/>
          <w:szCs w:val="24"/>
          <w:lang w:eastAsia="en-US"/>
        </w:rPr>
        <w:t xml:space="preserve"> [ME 69]</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Artikli 7 lõikes 1 sätestatud kohustused ja artikli 7 lõikes 2 osutatud tehnilise dokumentatsiooni koostamise kohustus ei kuulu volitatud esindaja volituse hulka.</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9</w:t>
      </w:r>
      <w:r w:rsidRPr="005D6722">
        <w:rPr>
          <w:szCs w:val="24"/>
          <w:lang w:eastAsia="en-US"/>
        </w:rPr>
        <w:br/>
        <w:t>Importija kohustused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Importija laseb turule üksnes nõuetele vastavaid detergente või pindaktiivseid aineid.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Enne detergendi või pindaktiivse aine turule laskmist tagab importija, et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tootja on teinud vastavushindamise ja koostanud artikli 7 lõikes 2 osutatud tehnilise dokumentatsiooni;</w:t>
      </w:r>
    </w:p>
    <w:p w:rsidR="00F9609E" w:rsidRPr="005D6722" w:rsidRDefault="00F9609E" w:rsidP="00F9609E">
      <w:pPr>
        <w:spacing w:before="120" w:after="120" w:line="360" w:lineRule="auto"/>
        <w:ind w:left="1416" w:hanging="566"/>
        <w:rPr>
          <w:b/>
          <w:szCs w:val="24"/>
          <w:lang w:eastAsia="en-US"/>
        </w:rPr>
      </w:pPr>
      <w:r w:rsidRPr="005D6722">
        <w:rPr>
          <w:strike/>
          <w:szCs w:val="24"/>
          <w:lang w:eastAsia="en-US"/>
        </w:rPr>
        <w:t>b)</w:t>
      </w:r>
      <w:r w:rsidRPr="005D6722">
        <w:rPr>
          <w:szCs w:val="24"/>
          <w:lang w:eastAsia="en-US"/>
        </w:rPr>
        <w:tab/>
      </w:r>
      <w:r w:rsidRPr="005D6722">
        <w:rPr>
          <w:strike/>
          <w:szCs w:val="24"/>
          <w:lang w:eastAsia="en-US"/>
        </w:rPr>
        <w:t>detergendil on artiklis 14 osutatud CE-märgis;</w:t>
      </w:r>
      <w:r w:rsidR="00811820" w:rsidRPr="005D6722">
        <w:rPr>
          <w:b/>
          <w:szCs w:val="24"/>
          <w:lang w:eastAsia="en-US"/>
        </w:rPr>
        <w:t xml:space="preserve"> [ME 70]</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tootja on koostanud artikli 7 lõikes 2 osutatud tootepassi;</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asjakohane teave tootepassi kohta on kantud artikli 20 lõikes 1 osutatud registrisse.</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Kui importija arvab või kui tal on põhjust arvata, et detergent või pindaktiivne aine ei vasta käesoleva määruse nõuetele, siis ei lase importija detergenti ega pindaktiivset ainet turule enne, kui see on viidud nõuetega vastavusse. Kui detergent või pindaktiivne aine ohustab tervist või keskkonda, siis teatab importija sellest tootjale ja turujärelevalveasutustele.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4.</w:t>
      </w:r>
      <w:r w:rsidRPr="005D6722">
        <w:rPr>
          <w:szCs w:val="24"/>
          <w:lang w:eastAsia="en-US"/>
        </w:rPr>
        <w:tab/>
        <w:t>Importija märgib oma nime, registreeritud kaubanime või registreeritud kaubamärgi ning ühenduse võtmiseks kasutatava postiaadressi</w:t>
      </w:r>
      <w:r w:rsidRPr="005D6722">
        <w:rPr>
          <w:strike/>
          <w:szCs w:val="24"/>
          <w:lang w:eastAsia="en-US"/>
        </w:rPr>
        <w:t xml:space="preserve"> ja</w:t>
      </w:r>
      <w:r w:rsidRPr="005D6722">
        <w:rPr>
          <w:b/>
          <w:i/>
          <w:szCs w:val="24"/>
          <w:lang w:eastAsia="en-US"/>
        </w:rPr>
        <w:t>,</w:t>
      </w:r>
      <w:r w:rsidRPr="005D6722">
        <w:rPr>
          <w:szCs w:val="24"/>
          <w:lang w:eastAsia="en-US"/>
        </w:rPr>
        <w:t xml:space="preserve"> e-posti aadressi</w:t>
      </w:r>
      <w:r w:rsidRPr="005D6722">
        <w:rPr>
          <w:b/>
          <w:i/>
          <w:szCs w:val="24"/>
          <w:lang w:eastAsia="en-US"/>
        </w:rPr>
        <w:t xml:space="preserve"> või telefoninumbri</w:t>
      </w:r>
      <w:r w:rsidRPr="005D6722">
        <w:rPr>
          <w:szCs w:val="24"/>
          <w:lang w:eastAsia="en-US"/>
        </w:rPr>
        <w:t xml:space="preserve"> detergendi või pindaktiivse aine märgistusele. Kontaktandmed esitatakse lõppkasutajale ja turujärelevalveasutustele kergesti arusaadavas keeles</w:t>
      </w:r>
      <w:r w:rsidRPr="005D6722">
        <w:rPr>
          <w:b/>
          <w:i/>
          <w:szCs w:val="24"/>
          <w:lang w:eastAsia="en-US"/>
        </w:rPr>
        <w:t xml:space="preserve"> ning need on selged, arusaadavad ja loetavad</w:t>
      </w:r>
      <w:r w:rsidRPr="005D6722">
        <w:rPr>
          <w:szCs w:val="24"/>
          <w:lang w:eastAsia="en-US"/>
        </w:rPr>
        <w:t>.</w:t>
      </w:r>
      <w:r w:rsidR="00811820" w:rsidRPr="005D6722">
        <w:rPr>
          <w:b/>
          <w:szCs w:val="24"/>
          <w:lang w:eastAsia="en-US"/>
        </w:rPr>
        <w:t xml:space="preserve"> [ME 71]</w:t>
      </w:r>
    </w:p>
    <w:p w:rsidR="00F9609E" w:rsidRPr="005D6722" w:rsidRDefault="00F9609E" w:rsidP="00F9609E">
      <w:pPr>
        <w:spacing w:before="120" w:after="120" w:line="360" w:lineRule="auto"/>
        <w:ind w:left="850" w:hanging="850"/>
        <w:rPr>
          <w:szCs w:val="24"/>
          <w:lang w:eastAsia="en-US"/>
        </w:rPr>
      </w:pPr>
      <w:r w:rsidRPr="005D6722">
        <w:rPr>
          <w:szCs w:val="24"/>
          <w:lang w:eastAsia="en-US"/>
        </w:rPr>
        <w:t>5.</w:t>
      </w:r>
      <w:r w:rsidRPr="005D6722">
        <w:rPr>
          <w:szCs w:val="24"/>
          <w:lang w:eastAsia="en-US"/>
        </w:rPr>
        <w:tab/>
        <w:t>Importija tagab, et tema poolt turule lastavad detergendid ja pindaktiivsed ained vastavad artiklites 15, 16 ja 17 sätestatud märgistamisnõuetele.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6.</w:t>
      </w:r>
      <w:r w:rsidRPr="005D6722">
        <w:rPr>
          <w:szCs w:val="24"/>
          <w:lang w:eastAsia="en-US"/>
        </w:rPr>
        <w:tab/>
        <w:t>Importija tagab, et sel ajal, kui detergent või pindaktiivne aine on tema vastutusel, ei sea selle ladustamise ega transportimise tingimused ohtu toote vastavust käesoleva määruse nõuetele.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7.</w:t>
      </w:r>
      <w:r w:rsidRPr="005D6722">
        <w:rPr>
          <w:szCs w:val="24"/>
          <w:lang w:eastAsia="en-US"/>
        </w:rPr>
        <w:tab/>
        <w:t>Kui seda peetakse detergendi või pindaktiivse aine toimimise või sellest tuleneva ohu tõttu vajalikuks, kontrollib importija selliseid detergente või pindaktiivseid aineid pisteliselt, uurib kaebusi, ning kui see on vajalik, peab registrit kaebuste, nõuetele mittevastavate detergentide või pindaktiivsete ainete ja selliste detergentide või pindaktiivsete ainete tagasivõtmiste kohta ning teavitab turustajaid sellisest järelevalvest.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8.</w:t>
      </w:r>
      <w:r w:rsidRPr="005D6722">
        <w:rPr>
          <w:szCs w:val="24"/>
          <w:lang w:eastAsia="en-US"/>
        </w:rPr>
        <w:tab/>
        <w:t>Importija, kes arvab või kellel on põhjust arvata, et detergent või pindaktiivne aine, mille ta on turule lasknud, ei vasta käesolevale määrusele,</w:t>
      </w:r>
      <w:r w:rsidRPr="005D6722">
        <w:rPr>
          <w:b/>
          <w:i/>
          <w:szCs w:val="24"/>
          <w:lang w:eastAsia="en-US"/>
        </w:rPr>
        <w:t xml:space="preserve"> teatab ta sellest kohe tootjale ja pädevale asutusele ja teeb nendega koostööd ning</w:t>
      </w:r>
      <w:r w:rsidRPr="005D6722">
        <w:rPr>
          <w:szCs w:val="24"/>
          <w:lang w:eastAsia="en-US"/>
        </w:rPr>
        <w:t xml:space="preserve"> võtab viivitamata vajalikud parandusmeetmed, et viia kõnealune detergent või pindaktiivne aine nõuetega vastavusse, või kui see on asjakohane, kõrvaldada toode turult või võtta see tagasi. Kui importija arvab või kui tal on põhjust arvata, et detergent või pindaktiivne aine, mille ta on turule lasknud, ohustab tervist või keskkonda, teatab ta sellest viivitamata </w:t>
      </w:r>
      <w:r w:rsidRPr="005D6722">
        <w:rPr>
          <w:b/>
          <w:i/>
          <w:szCs w:val="24"/>
          <w:lang w:eastAsia="en-US"/>
        </w:rPr>
        <w:t xml:space="preserve">tootajale ja </w:t>
      </w:r>
      <w:r w:rsidRPr="005D6722">
        <w:rPr>
          <w:szCs w:val="24"/>
          <w:lang w:eastAsia="en-US"/>
        </w:rPr>
        <w:t>nende liikmesriikide pädevatele asutustele, mille turul ta on detergendi või pindaktiivse aine kättesaadavaks teinud, esitades eelkõige üksikasjad kõigi nõuetele mittevastavuste ja võetud parandusmeetmete kohta.</w:t>
      </w:r>
      <w:r w:rsidR="00811820" w:rsidRPr="005D6722">
        <w:rPr>
          <w:b/>
          <w:szCs w:val="24"/>
          <w:lang w:eastAsia="en-US"/>
        </w:rPr>
        <w:t xml:space="preserve"> [ME 72]</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8a.</w:t>
      </w:r>
      <w:r w:rsidRPr="005D6722">
        <w:rPr>
          <w:szCs w:val="24"/>
          <w:lang w:eastAsia="en-US"/>
        </w:rPr>
        <w:tab/>
      </w:r>
      <w:r w:rsidRPr="005D6722">
        <w:rPr>
          <w:b/>
          <w:i/>
          <w:szCs w:val="24"/>
          <w:lang w:eastAsia="en-US"/>
        </w:rPr>
        <w:t>Importija jagab turujärelevalveasutuse taotluse korral tarneahela asjaomaste ettevõtjate, sealhulgas turustajate ja volitatud esindajatega aegsasti asjakohast teavet kõigi tema poolt tuvastatud, oma tootega seotud vastavusprobleemide või tervise- või keskkonnaohtude kohta, samuti mis tahes sellele järgnevate parandusmeetmete, tagasinõudmiste või turult kõrvaldamiste kohta.</w:t>
      </w:r>
      <w:r w:rsidR="00811820" w:rsidRPr="005D6722">
        <w:rPr>
          <w:b/>
          <w:szCs w:val="24"/>
          <w:lang w:eastAsia="en-US"/>
        </w:rPr>
        <w:t xml:space="preserve"> [ME 73]</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9.</w:t>
      </w:r>
      <w:r w:rsidRPr="005D6722">
        <w:rPr>
          <w:szCs w:val="24"/>
          <w:lang w:eastAsia="en-US"/>
        </w:rPr>
        <w:tab/>
        <w:t>Importija hoiab viidet toote kordumatule tunnuskoodile turujärelevalveasutustele esitamiseks alles kümme aastat alates detergendi või pindaktiivse aine turule laskmisest ning tagab, et tehniline dokumentatsioon on kõnealustele asutustele taotluse korral kättesaadav.</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10.</w:t>
      </w:r>
      <w:r w:rsidRPr="005D6722">
        <w:rPr>
          <w:szCs w:val="24"/>
          <w:lang w:eastAsia="en-US"/>
        </w:rPr>
        <w:tab/>
        <w:t xml:space="preserve">Riigi pädeva asutuse põhjendatud taotluse korral esitab importija detergendi või pindaktiivse aine käesolevale määrusele vastavuse tõendamiseks kogu vajaliku teabe ja dokumentatsiooni </w:t>
      </w:r>
      <w:r w:rsidRPr="005D6722">
        <w:rPr>
          <w:strike/>
          <w:szCs w:val="24"/>
          <w:lang w:eastAsia="en-US"/>
        </w:rPr>
        <w:t xml:space="preserve">paberil või </w:t>
      </w:r>
      <w:r w:rsidRPr="005D6722">
        <w:rPr>
          <w:szCs w:val="24"/>
          <w:lang w:eastAsia="en-US"/>
        </w:rPr>
        <w:t>elektrooniliselt</w:t>
      </w:r>
      <w:r w:rsidRPr="005D6722">
        <w:rPr>
          <w:b/>
          <w:i/>
          <w:szCs w:val="24"/>
          <w:lang w:eastAsia="en-US"/>
        </w:rPr>
        <w:t xml:space="preserve"> ja taotluse korral paberil</w:t>
      </w:r>
      <w:r w:rsidRPr="005D6722">
        <w:rPr>
          <w:szCs w:val="24"/>
          <w:lang w:eastAsia="en-US"/>
        </w:rPr>
        <w:t xml:space="preserve"> keeles, mis on kõnealusele asutusele kergesti arusaadav</w:t>
      </w:r>
      <w:r w:rsidRPr="005D6722">
        <w:rPr>
          <w:b/>
          <w:i/>
          <w:szCs w:val="24"/>
          <w:lang w:eastAsia="en-US"/>
        </w:rPr>
        <w:t>. Asjakohane teave ja dokumentatsioon esitatakse 20 tööpäeva jooksul alates taotluse saamisest</w:t>
      </w:r>
      <w:r w:rsidRPr="005D6722">
        <w:rPr>
          <w:szCs w:val="24"/>
          <w:lang w:eastAsia="en-US"/>
        </w:rPr>
        <w:t>. Kui kõnealune asutus seda taotleb, teeb importija temaga koostööd mis tahes meetme korral, mis on võetud tema poolt turule lastud detergentidest või pindaktiivsetest ainetest tulenevate ohtude kõrvaldamiseks.</w:t>
      </w:r>
      <w:r w:rsidR="00811820" w:rsidRPr="005D6722">
        <w:rPr>
          <w:b/>
          <w:szCs w:val="24"/>
          <w:lang w:eastAsia="en-US"/>
        </w:rPr>
        <w:t xml:space="preserve"> [ME 74]</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10a.</w:t>
      </w:r>
      <w:r w:rsidRPr="005D6722">
        <w:rPr>
          <w:szCs w:val="24"/>
          <w:lang w:eastAsia="en-US"/>
        </w:rPr>
        <w:tab/>
      </w:r>
      <w:r w:rsidRPr="005D6722">
        <w:rPr>
          <w:b/>
          <w:i/>
          <w:szCs w:val="24"/>
          <w:lang w:eastAsia="en-US"/>
        </w:rPr>
        <w:t>Importija kontrollib, kas artikli 7 lõikes 8a osutatud sidekanalid on tarbijatele avalikult kättesaadavad, et tarbijad saaksid esitada kaebusi või teatada probleemidest, mis on seotud toodete võimaliku nõuetele mittevastavusega. Kui sellised kanalid puuduvad, peab importija need sisse seadma, võttes arvesse puuetega inimeste juurdepääsuvajadusi.</w:t>
      </w:r>
      <w:r w:rsidR="00811820" w:rsidRPr="005D6722">
        <w:rPr>
          <w:b/>
          <w:szCs w:val="24"/>
          <w:lang w:eastAsia="en-US"/>
        </w:rPr>
        <w:t xml:space="preserve"> [ME 75]</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10</w:t>
      </w:r>
      <w:r w:rsidRPr="005D6722">
        <w:rPr>
          <w:szCs w:val="24"/>
          <w:lang w:eastAsia="en-US"/>
        </w:rPr>
        <w:br/>
        <w:t>Turustaja kohustused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Detergenti või pindaktiivset ainet turul kättesaadavaks tehes peab turustaja vajaliku hoolikusega järgima käesoleva määruse nõudeid.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Enne detergendi või pindaktiivse aine turul kättesaadavaks tegemist kontrollib turustaja, et täidetud on järgmised tingimused: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detergendi või pindaktiivse ainega on kaasas ettenähtud dokumendid ning märgistus, mis vastab artiklites 15, 16 ja 17 sätestatud nõuetele;</w:t>
      </w:r>
    </w:p>
    <w:p w:rsidR="00F9609E" w:rsidRPr="005D6722" w:rsidRDefault="00F9609E" w:rsidP="00F9609E">
      <w:pPr>
        <w:spacing w:before="120" w:after="120" w:line="360" w:lineRule="auto"/>
        <w:ind w:left="1416" w:hanging="566"/>
        <w:rPr>
          <w:b/>
          <w:szCs w:val="24"/>
          <w:lang w:eastAsia="en-US"/>
        </w:rPr>
      </w:pPr>
      <w:r w:rsidRPr="005D6722">
        <w:rPr>
          <w:strike/>
          <w:szCs w:val="24"/>
          <w:lang w:eastAsia="en-US"/>
        </w:rPr>
        <w:t>b)</w:t>
      </w:r>
      <w:r w:rsidRPr="005D6722">
        <w:rPr>
          <w:szCs w:val="24"/>
          <w:lang w:eastAsia="en-US"/>
        </w:rPr>
        <w:tab/>
      </w:r>
      <w:r w:rsidRPr="005D6722">
        <w:rPr>
          <w:strike/>
          <w:szCs w:val="24"/>
          <w:lang w:eastAsia="en-US"/>
        </w:rPr>
        <w:t>detergendil on artiklis 14 osutatud CE-märgis;</w:t>
      </w:r>
      <w:r w:rsidR="00811820" w:rsidRPr="005D6722">
        <w:rPr>
          <w:b/>
          <w:szCs w:val="24"/>
          <w:lang w:eastAsia="en-US"/>
        </w:rPr>
        <w:t xml:space="preserve"> [ME 76]</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tootja on täitnud artikli 7 lõigetes 2 ja 3 esitatud nõuded või (kui see on asjakohane) importija on täitnud artikli 9 lõikes 2 esitatud nõuded.</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3.</w:t>
      </w:r>
      <w:r w:rsidRPr="005D6722">
        <w:rPr>
          <w:szCs w:val="24"/>
          <w:lang w:eastAsia="en-US"/>
        </w:rPr>
        <w:tab/>
        <w:t>Kui turustaja arvab või kui tal on põhjust arvata, et detergent või pindaktiivne aine ei vasta käesoleva määruse nõuetele, siis ei tee turustaja detergenti ega pindaktiivset ainet turul kättesaadavaks enne, kui see on viidud nõuetega vastavusse. Kui detergent või pindaktiivne aine ohustab tervist või keskkonda, siis teatab turustaja sellest tootjale ja vajaduse korral volitatud esindajale või importijale ning ka turujärelevalveasutustele.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Turustaja tagab, et sel ajal, kui detergent või pindaktiivne aine on tema vastutusel, ei sea selle ladustamise ega transportimise tingimused ohtu toote vastavust käesoleva määruse nõuetele.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5.</w:t>
      </w:r>
      <w:r w:rsidRPr="005D6722">
        <w:rPr>
          <w:szCs w:val="24"/>
          <w:lang w:eastAsia="en-US"/>
        </w:rPr>
        <w:tab/>
        <w:t xml:space="preserve">Turustaja, kes arvab või kellel on põhjust arvata, et detergent või pindaktiivne aine, mille ta on turul kättesaadavaks teinud, ei vasta käesolevale määrusele, </w:t>
      </w:r>
      <w:r w:rsidRPr="005D6722">
        <w:rPr>
          <w:strike/>
          <w:szCs w:val="24"/>
          <w:lang w:eastAsia="en-US"/>
        </w:rPr>
        <w:t>peab tagama</w:t>
      </w:r>
      <w:r w:rsidRPr="005D6722">
        <w:rPr>
          <w:b/>
          <w:i/>
          <w:szCs w:val="24"/>
          <w:lang w:eastAsia="en-US"/>
        </w:rPr>
        <w:t>teavitab viivitamata tootjat, või kui see on kohaldatav, importijat ja pädevaid asutusi ja teeb nendega koostööd ning tagab</w:t>
      </w:r>
      <w:r w:rsidRPr="005D6722">
        <w:rPr>
          <w:szCs w:val="24"/>
          <w:lang w:eastAsia="en-US"/>
        </w:rPr>
        <w:t>, et detergendi või pindaktiivse aine vastavusse viimiseks võetakse vajalikke parandusmeetmeid, vajaduse korral kõrvaldatakse see turult või võetakse tagasi. Kui turustaja arvab või kui tal on põhjust arvata, et detergent või pindaktiivne aine, mille ta on turul kättesaadavaks teinud, ohustab tervist või keskkonda, teatab ta sellest viivitamata nende liikmesriikide pädevatele asutustele, mille turul ta on detergendi või pindaktiivse aine kättesaadavaks teinud, esitades eelkõige üksikasjad kõigi nõuetele mittevastavuste ja võetud parandusmeetmete kohta.</w:t>
      </w:r>
      <w:r w:rsidR="00811820" w:rsidRPr="005D6722">
        <w:rPr>
          <w:b/>
          <w:szCs w:val="24"/>
          <w:lang w:eastAsia="en-US"/>
        </w:rPr>
        <w:t xml:space="preserve"> [ME 77]</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6.</w:t>
      </w:r>
      <w:r w:rsidRPr="005D6722">
        <w:rPr>
          <w:szCs w:val="24"/>
          <w:lang w:eastAsia="en-US"/>
        </w:rPr>
        <w:tab/>
        <w:t xml:space="preserve">Riigi pädeva asutuse põhjendatud taotluse korral esitab turustaja detergendi või pindaktiivse aine käesolevale määrusele vastavuse tõendamiseks kogu vajaliku teabe ja dokumentatsiooni </w:t>
      </w:r>
      <w:r w:rsidRPr="005D6722">
        <w:rPr>
          <w:strike/>
          <w:szCs w:val="24"/>
          <w:lang w:eastAsia="en-US"/>
        </w:rPr>
        <w:t xml:space="preserve">paberil või </w:t>
      </w:r>
      <w:r w:rsidRPr="005D6722">
        <w:rPr>
          <w:szCs w:val="24"/>
          <w:lang w:eastAsia="en-US"/>
        </w:rPr>
        <w:t>elektrooniliselt</w:t>
      </w:r>
      <w:r w:rsidRPr="005D6722">
        <w:rPr>
          <w:b/>
          <w:i/>
          <w:szCs w:val="24"/>
          <w:lang w:eastAsia="en-US"/>
        </w:rPr>
        <w:t xml:space="preserve"> ja taotluse korral paberil. Asjakohane teave ja dokumentatsioon esitatakse 20 tööpäeva jooksul alates taotluse saamisest</w:t>
      </w:r>
      <w:r w:rsidRPr="005D6722">
        <w:rPr>
          <w:szCs w:val="24"/>
          <w:lang w:eastAsia="en-US"/>
        </w:rPr>
        <w:t>. Kui kõnealune asutus seda taotleb, teeb turustaja temaga koostööd mis tahes meetme korral, mis on võetud tema poolt turul kättesaadavaks tehtud detergentidest või pindaktiivsetest ainetest tulenevate ohtude kõrvaldamiseks.</w:t>
      </w:r>
      <w:r w:rsidR="00811820" w:rsidRPr="005D6722">
        <w:rPr>
          <w:b/>
          <w:szCs w:val="24"/>
          <w:lang w:eastAsia="en-US"/>
        </w:rPr>
        <w:t xml:space="preserve"> [ME 78]</w:t>
      </w:r>
    </w:p>
    <w:p w:rsidR="00F9609E" w:rsidRPr="005D6722" w:rsidRDefault="00F9609E" w:rsidP="00F9609E">
      <w:pPr>
        <w:spacing w:before="120" w:after="120" w:line="360" w:lineRule="auto"/>
        <w:jc w:val="center"/>
        <w:rPr>
          <w:szCs w:val="24"/>
          <w:lang w:eastAsia="en-US"/>
        </w:rPr>
      </w:pPr>
      <w:r w:rsidRPr="005D6722">
        <w:rPr>
          <w:szCs w:val="24"/>
          <w:lang w:eastAsia="en-US"/>
        </w:rPr>
        <w:t>Artikkel 11</w:t>
      </w:r>
      <w:r w:rsidRPr="005D6722">
        <w:rPr>
          <w:szCs w:val="24"/>
          <w:lang w:eastAsia="en-US"/>
        </w:rPr>
        <w:br/>
        <w:t>Juhtumid, kus importijate ja turustajate suhtes kohaldatakse tootja kohustusi</w:t>
      </w:r>
    </w:p>
    <w:p w:rsidR="00F9609E" w:rsidRPr="005D6722" w:rsidRDefault="00F9609E" w:rsidP="00F9609E">
      <w:pPr>
        <w:spacing w:before="120" w:after="120" w:line="360" w:lineRule="auto"/>
        <w:rPr>
          <w:szCs w:val="24"/>
          <w:lang w:eastAsia="en-US"/>
        </w:rPr>
      </w:pPr>
      <w:r w:rsidRPr="005D6722">
        <w:rPr>
          <w:szCs w:val="24"/>
          <w:lang w:eastAsia="en-US"/>
        </w:rPr>
        <w:t>Importijat või turustajat käsitatakse käesoleva määruse tähenduses tootjana ja tema suhtes kohaldatakse artikli 7 alusel tootja kohustusi, kui ta laseb detergendi või pindaktiivse aine turule oma nime või kaubamärgi all või muudab juba turule lastud detergenti või pindaktiivset ainet viisil, mis võib mõjutada selle vastavust käesolevale määrusele.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12</w:t>
      </w:r>
      <w:r w:rsidRPr="005D6722">
        <w:rPr>
          <w:szCs w:val="24"/>
          <w:lang w:eastAsia="en-US"/>
        </w:rPr>
        <w:br/>
        <w:t>Pakendamine ja ümberpakendamine importija või turustaja poolt</w:t>
      </w:r>
    </w:p>
    <w:p w:rsidR="00F9609E" w:rsidRPr="005D6722" w:rsidRDefault="00F9609E" w:rsidP="00F9609E">
      <w:pPr>
        <w:spacing w:before="120" w:after="120" w:line="360" w:lineRule="auto"/>
        <w:rPr>
          <w:szCs w:val="24"/>
          <w:lang w:eastAsia="en-US"/>
        </w:rPr>
      </w:pPr>
      <w:r w:rsidRPr="005D6722">
        <w:rPr>
          <w:szCs w:val="24"/>
          <w:lang w:eastAsia="en-US"/>
        </w:rPr>
        <w:t>Kui detergendi või pindaktiivse aine pakendab või pakendab ümber importija või turustaja, kelle suhtes ei kohaldata artikli 11 kohaselt tootja kohustusi, siis sellel importijal või asjakohasel juhul turustajal on järgmised kohustused:</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a)</w:t>
      </w:r>
      <w:r w:rsidRPr="005D6722">
        <w:rPr>
          <w:szCs w:val="24"/>
          <w:lang w:eastAsia="en-US"/>
        </w:rPr>
        <w:tab/>
        <w:t xml:space="preserve">tagada, et pakendile on märgitud tema nimi, registreeritud </w:t>
      </w:r>
      <w:r w:rsidRPr="005D6722">
        <w:rPr>
          <w:strike/>
          <w:szCs w:val="24"/>
          <w:lang w:eastAsia="en-US"/>
        </w:rPr>
        <w:t>kaubanimi</w:t>
      </w:r>
      <w:r w:rsidRPr="005D6722">
        <w:rPr>
          <w:b/>
          <w:i/>
          <w:szCs w:val="24"/>
          <w:lang w:eastAsia="en-US"/>
        </w:rPr>
        <w:t>käibenimi</w:t>
      </w:r>
      <w:r w:rsidRPr="005D6722">
        <w:rPr>
          <w:szCs w:val="24"/>
          <w:lang w:eastAsia="en-US"/>
        </w:rPr>
        <w:t xml:space="preserve"> või registreeritud kaubamärk </w:t>
      </w:r>
      <w:r w:rsidRPr="005D6722">
        <w:rPr>
          <w:b/>
          <w:i/>
          <w:szCs w:val="24"/>
          <w:lang w:eastAsia="en-US"/>
        </w:rPr>
        <w:t>ning ühenduse võtmiseks kasutatav posti- ja e-posti aadress ning telefoninumber</w:t>
      </w:r>
      <w:r w:rsidRPr="005D6722">
        <w:rPr>
          <w:strike/>
          <w:szCs w:val="24"/>
          <w:lang w:eastAsia="en-US"/>
        </w:rPr>
        <w:t>ja postiaadress</w:t>
      </w:r>
      <w:r w:rsidRPr="005D6722">
        <w:rPr>
          <w:szCs w:val="24"/>
          <w:lang w:eastAsia="en-US"/>
        </w:rPr>
        <w:t>, millele eelnevad sõnad „pakendaja:“ või „ümberpakendaja:“;</w:t>
      </w:r>
      <w:r w:rsidR="00811820" w:rsidRPr="005D6722">
        <w:rPr>
          <w:b/>
          <w:szCs w:val="24"/>
          <w:lang w:eastAsia="en-US"/>
        </w:rPr>
        <w:t xml:space="preserve"> [ME 79]</w:t>
      </w:r>
    </w:p>
    <w:p w:rsidR="00F9609E" w:rsidRPr="005D6722" w:rsidRDefault="00F9609E" w:rsidP="00F9609E">
      <w:pPr>
        <w:spacing w:before="120" w:after="120" w:line="360" w:lineRule="auto"/>
        <w:ind w:left="850" w:hanging="850"/>
        <w:rPr>
          <w:szCs w:val="24"/>
          <w:lang w:eastAsia="en-US"/>
        </w:rPr>
      </w:pPr>
      <w:r w:rsidRPr="005D6722">
        <w:rPr>
          <w:szCs w:val="24"/>
          <w:lang w:eastAsia="en-US"/>
        </w:rPr>
        <w:t>b)</w:t>
      </w:r>
      <w:r w:rsidRPr="005D6722">
        <w:rPr>
          <w:szCs w:val="24"/>
          <w:lang w:eastAsia="en-US"/>
        </w:rPr>
        <w:tab/>
        <w:t>tagada artiklite 14–17 järgimine;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c)</w:t>
      </w:r>
      <w:r w:rsidRPr="005D6722">
        <w:rPr>
          <w:szCs w:val="24"/>
          <w:lang w:eastAsia="en-US"/>
        </w:rPr>
        <w:tab/>
        <w:t>hoida viide toote kordumatule tunnuskoodile turujärelevalveasutustele esitamiseks alles kümme aastat alates detergendi või pindaktiivse aine turul kättesaadavaks tegemisest.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13</w:t>
      </w:r>
      <w:r w:rsidRPr="005D6722">
        <w:rPr>
          <w:szCs w:val="24"/>
          <w:lang w:eastAsia="en-US"/>
        </w:rPr>
        <w:br/>
        <w:t>Ettevõtjate identifitseerimine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Kui turujärelevalveasutus seda taotleb, siis esitavad ettevõtjad talle teabe, mille alusel on võimalik kindlaks teha:</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iga ettevõtja, kes on neile detergenti või pindaktiivset ainet tarninud;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iga ettevõtja, kellele nad on detergenti või pindaktiivset ainet tarninud.</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Ettevõtjad peavad lõikes 1 osutatud teabe hoidma esitamiseks alles kümme aastat alates sellest, kui neile detergenti või pindaktiivset ainet tarniti või kui nad ise detergenti või pindaktiivset ainet tarnisid.</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IV PEATÜKK</w:t>
      </w:r>
      <w:r w:rsidRPr="005D6722">
        <w:rPr>
          <w:szCs w:val="24"/>
          <w:lang w:eastAsia="en-US"/>
        </w:rPr>
        <w:br/>
        <w:t xml:space="preserve">CE-MÄRGIS JA MÄRGISTAMINE </w:t>
      </w:r>
    </w:p>
    <w:p w:rsidR="00F9609E" w:rsidRPr="005D6722" w:rsidRDefault="00F9609E" w:rsidP="00F9609E">
      <w:pPr>
        <w:spacing w:before="120" w:after="120" w:line="360" w:lineRule="auto"/>
        <w:jc w:val="center"/>
        <w:rPr>
          <w:szCs w:val="24"/>
          <w:lang w:eastAsia="en-US"/>
        </w:rPr>
      </w:pPr>
      <w:r w:rsidRPr="005D6722">
        <w:rPr>
          <w:strike/>
          <w:szCs w:val="24"/>
          <w:lang w:eastAsia="en-US"/>
        </w:rPr>
        <w:t>Artikkel 14</w:t>
      </w:r>
      <w:r w:rsidRPr="005D6722">
        <w:rPr>
          <w:szCs w:val="24"/>
          <w:lang w:eastAsia="en-US"/>
        </w:rPr>
        <w:br/>
      </w:r>
      <w:r w:rsidRPr="005D6722">
        <w:rPr>
          <w:strike/>
          <w:szCs w:val="24"/>
          <w:lang w:eastAsia="en-US"/>
        </w:rPr>
        <w:t>CE-märgise kinnitamise nõuded ja tingimused</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1.</w:t>
      </w:r>
      <w:r w:rsidRPr="005D6722">
        <w:rPr>
          <w:szCs w:val="24"/>
          <w:lang w:eastAsia="en-US"/>
        </w:rPr>
        <w:tab/>
      </w:r>
      <w:r w:rsidRPr="005D6722">
        <w:rPr>
          <w:strike/>
          <w:szCs w:val="24"/>
          <w:lang w:eastAsia="en-US"/>
        </w:rPr>
        <w:t>CE-märgise suhtes kohaldatakse määruse (EÜ) nr 765/2008 artiklis 30 sätestatud üldpõhimõtteid.</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2.</w:t>
      </w:r>
      <w:r w:rsidRPr="005D6722">
        <w:rPr>
          <w:szCs w:val="24"/>
          <w:lang w:eastAsia="en-US"/>
        </w:rPr>
        <w:tab/>
      </w:r>
      <w:r w:rsidRPr="005D6722">
        <w:rPr>
          <w:strike/>
          <w:szCs w:val="24"/>
          <w:lang w:eastAsia="en-US"/>
        </w:rPr>
        <w:t>CE-märgis kinnitatakse detergendile enne turule laskmist nii, et see on nähtav, loetav ja kustumatu.</w:t>
      </w:r>
    </w:p>
    <w:p w:rsidR="00F9609E" w:rsidRPr="005D6722" w:rsidRDefault="00F9609E" w:rsidP="00F9609E">
      <w:pPr>
        <w:spacing w:before="120" w:after="120" w:line="360" w:lineRule="auto"/>
        <w:ind w:left="850"/>
        <w:rPr>
          <w:szCs w:val="24"/>
          <w:lang w:eastAsia="en-US"/>
        </w:rPr>
      </w:pPr>
      <w:r w:rsidRPr="005D6722">
        <w:rPr>
          <w:strike/>
          <w:szCs w:val="24"/>
          <w:lang w:eastAsia="en-US"/>
        </w:rPr>
        <w:t>CE-märgis kinnitatakse detergendi märgistusele või pakendile või, kui detergent tarnitakse lahtiselt, detergendiga kaasasolevale dokumendile.</w:t>
      </w:r>
    </w:p>
    <w:p w:rsidR="00F9609E" w:rsidRPr="005D6722" w:rsidRDefault="00F9609E" w:rsidP="00F9609E">
      <w:pPr>
        <w:spacing w:before="120" w:after="120" w:line="360" w:lineRule="auto"/>
        <w:ind w:left="850"/>
        <w:rPr>
          <w:szCs w:val="24"/>
          <w:lang w:eastAsia="en-US"/>
        </w:rPr>
      </w:pPr>
      <w:r w:rsidRPr="005D6722">
        <w:rPr>
          <w:strike/>
          <w:szCs w:val="24"/>
          <w:lang w:eastAsia="en-US"/>
        </w:rPr>
        <w:t>Kui ettevõtja võib vastavalt artikli 16 lõikele 2 esitada ainult digimärgistuse, esitatakse CE-märgis digimärgistusel.</w:t>
      </w:r>
    </w:p>
    <w:p w:rsidR="00F9609E" w:rsidRPr="005D6722" w:rsidRDefault="00F9609E" w:rsidP="00F9609E">
      <w:pPr>
        <w:spacing w:before="120" w:after="120" w:line="360" w:lineRule="auto"/>
        <w:ind w:left="850" w:hanging="850"/>
        <w:rPr>
          <w:b/>
          <w:szCs w:val="24"/>
          <w:lang w:eastAsia="en-US"/>
        </w:rPr>
      </w:pPr>
      <w:r w:rsidRPr="005D6722">
        <w:rPr>
          <w:strike/>
          <w:szCs w:val="24"/>
          <w:lang w:eastAsia="en-US"/>
        </w:rPr>
        <w:t>3.</w:t>
      </w:r>
      <w:r w:rsidRPr="005D6722">
        <w:rPr>
          <w:szCs w:val="24"/>
          <w:lang w:eastAsia="en-US"/>
        </w:rPr>
        <w:tab/>
      </w:r>
      <w:r w:rsidRPr="005D6722">
        <w:rPr>
          <w:strike/>
          <w:szCs w:val="24"/>
          <w:lang w:eastAsia="en-US"/>
        </w:rPr>
        <w:t>Liikmesriigid tuginevad olemasolevatele mehhanismidele, et tagada CE-märgise kasutamise korra nõuetekohane rakendamine, ja võtavad märgistuse vale kasutamise korral asjakohaseid meetmeid.</w:t>
      </w:r>
      <w:r w:rsidR="00811820" w:rsidRPr="005D6722">
        <w:rPr>
          <w:b/>
          <w:szCs w:val="24"/>
          <w:lang w:eastAsia="en-US"/>
        </w:rPr>
        <w:t xml:space="preserve"> [ME 80]</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15</w:t>
      </w:r>
      <w:r w:rsidRPr="005D6722">
        <w:rPr>
          <w:szCs w:val="24"/>
          <w:lang w:eastAsia="en-US"/>
        </w:rPr>
        <w:br/>
        <w:t>Üldised märgistamisnõuded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Selliste detergentide ja pindaktiivsete ainetega, mis on turul kättesaadavaks tehtud üksikpakendis või täitepakendis, peab olema kaasas märgistus.</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w:t>
      </w:r>
      <w:r w:rsidRPr="005D6722">
        <w:rPr>
          <w:szCs w:val="24"/>
          <w:lang w:eastAsia="en-US"/>
        </w:rPr>
        <w:tab/>
        <w:t xml:space="preserve">Ettevõtja, kes teeb detergendi turul kättesaadavaks otse lõppkasutajale täitepakendis, esitab füüsilise märgise </w:t>
      </w:r>
      <w:r w:rsidRPr="005D6722">
        <w:rPr>
          <w:strike/>
          <w:szCs w:val="24"/>
          <w:lang w:eastAsia="en-US"/>
        </w:rPr>
        <w:t>või</w:t>
      </w:r>
      <w:r w:rsidRPr="005D6722">
        <w:rPr>
          <w:b/>
          <w:i/>
          <w:szCs w:val="24"/>
          <w:lang w:eastAsia="en-US"/>
        </w:rPr>
        <w:t>ja</w:t>
      </w:r>
      <w:r w:rsidRPr="005D6722">
        <w:rPr>
          <w:szCs w:val="24"/>
          <w:lang w:eastAsia="en-US"/>
        </w:rPr>
        <w:t xml:space="preserve"> andmekandja, mille kaudu digimärgistus on lõppkasutajale kättesaadav.</w:t>
      </w:r>
      <w:r w:rsidR="00811820" w:rsidRPr="005D6722">
        <w:rPr>
          <w:b/>
          <w:szCs w:val="24"/>
          <w:lang w:eastAsia="en-US"/>
        </w:rPr>
        <w:t xml:space="preserve"> [ME 81]</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Detergentide ja pindaktiivsete ainete märgistus peab sisaldama järgmist teavet:</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a)</w:t>
      </w:r>
      <w:r w:rsidRPr="005D6722">
        <w:rPr>
          <w:szCs w:val="24"/>
          <w:lang w:eastAsia="en-US"/>
        </w:rPr>
        <w:tab/>
        <w:t>tüübinumber</w:t>
      </w:r>
      <w:r w:rsidRPr="005D6722">
        <w:rPr>
          <w:b/>
          <w:i/>
          <w:szCs w:val="24"/>
          <w:lang w:eastAsia="en-US"/>
        </w:rPr>
        <w:t>, mudelinumber</w:t>
      </w:r>
      <w:r w:rsidRPr="005D6722">
        <w:rPr>
          <w:szCs w:val="24"/>
          <w:lang w:eastAsia="en-US"/>
        </w:rPr>
        <w:t>, partiinumber või muu märge, mis võimaldab toote identifitseerida;</w:t>
      </w:r>
      <w:r w:rsidR="00811820" w:rsidRPr="005D6722">
        <w:rPr>
          <w:b/>
          <w:szCs w:val="24"/>
          <w:lang w:eastAsia="en-US"/>
        </w:rPr>
        <w:t xml:space="preserve"> [ME 82]</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b)</w:t>
      </w:r>
      <w:r w:rsidRPr="005D6722">
        <w:rPr>
          <w:szCs w:val="24"/>
          <w:lang w:eastAsia="en-US"/>
        </w:rPr>
        <w:tab/>
        <w:t>tootja</w:t>
      </w:r>
      <w:r w:rsidRPr="005D6722">
        <w:rPr>
          <w:b/>
          <w:i/>
          <w:szCs w:val="24"/>
          <w:lang w:eastAsia="en-US"/>
        </w:rPr>
        <w:t xml:space="preserve"> ja asjakohasel juhul tootja volitatud esindaja</w:t>
      </w:r>
      <w:r w:rsidRPr="005D6722">
        <w:rPr>
          <w:szCs w:val="24"/>
          <w:lang w:eastAsia="en-US"/>
        </w:rPr>
        <w:t xml:space="preserve"> nimi, registreeritud </w:t>
      </w:r>
      <w:r w:rsidRPr="005D6722">
        <w:rPr>
          <w:strike/>
          <w:szCs w:val="24"/>
          <w:lang w:eastAsia="en-US"/>
        </w:rPr>
        <w:t>kaubanimi</w:t>
      </w:r>
      <w:r w:rsidRPr="005D6722">
        <w:rPr>
          <w:b/>
          <w:i/>
          <w:szCs w:val="24"/>
          <w:lang w:eastAsia="en-US"/>
        </w:rPr>
        <w:t>käibenimi</w:t>
      </w:r>
      <w:r w:rsidRPr="005D6722">
        <w:rPr>
          <w:szCs w:val="24"/>
          <w:lang w:eastAsia="en-US"/>
        </w:rPr>
        <w:t xml:space="preserve"> või registreeritud kaubamärk ning ühenduse võtmiseks kasutatav </w:t>
      </w:r>
      <w:r w:rsidRPr="005D6722">
        <w:rPr>
          <w:strike/>
          <w:szCs w:val="24"/>
          <w:lang w:eastAsia="en-US"/>
        </w:rPr>
        <w:t>postiaadress</w:t>
      </w:r>
      <w:r w:rsidRPr="005D6722">
        <w:rPr>
          <w:b/>
          <w:i/>
          <w:szCs w:val="24"/>
          <w:lang w:eastAsia="en-US"/>
        </w:rPr>
        <w:t>posti-</w:t>
      </w:r>
      <w:r w:rsidRPr="005D6722">
        <w:rPr>
          <w:szCs w:val="24"/>
          <w:lang w:eastAsia="en-US"/>
        </w:rPr>
        <w:t xml:space="preserve"> ja e-posti aadress</w:t>
      </w:r>
      <w:r w:rsidRPr="005D6722">
        <w:rPr>
          <w:b/>
          <w:i/>
          <w:szCs w:val="24"/>
          <w:lang w:eastAsia="en-US"/>
        </w:rPr>
        <w:t xml:space="preserve"> ning telefoninumber</w:t>
      </w:r>
      <w:r w:rsidRPr="005D6722">
        <w:rPr>
          <w:szCs w:val="24"/>
          <w:lang w:eastAsia="en-US"/>
        </w:rPr>
        <w:t>. Tootjaga ühenduse võtmiseks antakse ainult üks postiaadress;</w:t>
      </w:r>
      <w:r w:rsidR="00C0022F" w:rsidRPr="005D6722">
        <w:rPr>
          <w:b/>
          <w:szCs w:val="24"/>
          <w:lang w:eastAsia="en-US"/>
        </w:rPr>
        <w:t xml:space="preserve"> [ME 83]</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c)</w:t>
      </w:r>
      <w:r w:rsidRPr="005D6722">
        <w:rPr>
          <w:szCs w:val="24"/>
          <w:lang w:eastAsia="en-US"/>
        </w:rPr>
        <w:tab/>
        <w:t>toote nimetus ja kaubanimi;</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detergendi või pindaktiivse aine sisaldus vastavalt V lisa A osale;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e)</w:t>
      </w:r>
      <w:r w:rsidRPr="005D6722">
        <w:rPr>
          <w:szCs w:val="24"/>
          <w:lang w:eastAsia="en-US"/>
        </w:rPr>
        <w:tab/>
        <w:t>kasutusjuhised ja spetsiifilised ettevaatusmeetmed, kui see on vajalik ja asjakohane.</w:t>
      </w:r>
    </w:p>
    <w:p w:rsidR="00F9609E" w:rsidRPr="005D6722" w:rsidRDefault="00F9609E" w:rsidP="00F9609E">
      <w:pPr>
        <w:spacing w:before="120" w:after="120" w:line="360" w:lineRule="auto"/>
        <w:ind w:left="850"/>
        <w:rPr>
          <w:szCs w:val="24"/>
          <w:lang w:eastAsia="en-US"/>
        </w:rPr>
      </w:pPr>
      <w:r w:rsidRPr="005D6722">
        <w:rPr>
          <w:szCs w:val="24"/>
          <w:lang w:eastAsia="en-US"/>
        </w:rPr>
        <w:t>Esimese lõigu punktides a, b ja c osutatud teave esitatakse kõigis lahtiselt transporditavate detergentide saatedokumentides.</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Peale lõikes 3 osutatud teabe peab kodumajapidamises kasutatavate pesupesemisvahendite ja kodumajapidamises nõudepesumasinas kasutatavate pesuvahendite märgistus sisaldama doseerimisteavet vastavalt V lisa B osale.</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5.</w:t>
      </w:r>
      <w:r w:rsidRPr="005D6722">
        <w:rPr>
          <w:szCs w:val="24"/>
          <w:lang w:eastAsia="en-US"/>
        </w:rPr>
        <w:tab/>
        <w:t>Lõigetes 3 ja 4 osutatud teave esitatakse lõppkasutajatele kergesti arusaadavas, asjaomase liikmesriigi kindlaks määratud keeles</w:t>
      </w:r>
      <w:r w:rsidRPr="005D6722">
        <w:rPr>
          <w:strike/>
          <w:szCs w:val="24"/>
          <w:lang w:eastAsia="en-US"/>
        </w:rPr>
        <w:t xml:space="preserve"> ning</w:t>
      </w:r>
      <w:r w:rsidRPr="005D6722">
        <w:rPr>
          <w:b/>
          <w:i/>
          <w:szCs w:val="24"/>
          <w:lang w:eastAsia="en-US"/>
        </w:rPr>
        <w:t>,</w:t>
      </w:r>
      <w:r w:rsidRPr="005D6722">
        <w:rPr>
          <w:szCs w:val="24"/>
          <w:lang w:eastAsia="en-US"/>
        </w:rPr>
        <w:t xml:space="preserve"> see on selge, arusaadav ja mõistetav</w:t>
      </w:r>
      <w:r w:rsidRPr="005D6722">
        <w:rPr>
          <w:b/>
          <w:i/>
          <w:szCs w:val="24"/>
          <w:lang w:eastAsia="en-US"/>
        </w:rPr>
        <w:t xml:space="preserve"> ning vastab määruse (EÜ) nr 1272/2008 I lisa 1. osa punktides 1.2.1.4 ja 1.2.1.5 sätestatud nõuetele</w:t>
      </w:r>
      <w:r w:rsidRPr="005D6722">
        <w:rPr>
          <w:szCs w:val="24"/>
          <w:lang w:eastAsia="en-US"/>
        </w:rPr>
        <w:t>. Kui detergent või pindaktiivne aine on turul kättesaadavaks tehtud, peab märgistus olema kontrollimiseks kättesaadav.</w:t>
      </w:r>
      <w:r w:rsidR="00C0022F" w:rsidRPr="005D6722">
        <w:rPr>
          <w:b/>
          <w:szCs w:val="24"/>
          <w:lang w:eastAsia="en-US"/>
        </w:rPr>
        <w:t xml:space="preserve"> [ME 84]</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lastRenderedPageBreak/>
        <w:t>5a.</w:t>
      </w:r>
      <w:r w:rsidRPr="005D6722">
        <w:rPr>
          <w:szCs w:val="24"/>
          <w:lang w:eastAsia="en-US"/>
        </w:rPr>
        <w:tab/>
      </w:r>
      <w:r w:rsidRPr="005D6722">
        <w:rPr>
          <w:b/>
          <w:i/>
          <w:szCs w:val="24"/>
          <w:lang w:eastAsia="en-US"/>
        </w:rPr>
        <w:t>Ilma et see piiraks direktiivi .../… [Euroopa Parlamendi ja nõukogu direktiiv sõnaselgete keskkonnaväidete põhjendamise ja edastamise kohta (roheväidete direktiiv) (COM(2023) 166 final)] kohaldamist, tohib detergentide ja pindaktiivsete ainete märgistusel anda teada, et loomkatseid ei ole tehtud, ainult juhul, kui tootja ja tema tarnijad (kui tootja saab selle teabe kõigi mõistlike pingutuste abil kindlaks teha) ei ole teinud ega volitanud kedagi tegema loomkatset valmis detergentide või pindaktiivsete ainete, nende prototüüpide või neis sisalduvate koostisosade suhtes ega ole kasutanud koostisosi, mida on teised uute detergentide ja pindaktiivsete ainete väljatöötamiseks loomade peal katsetanud. Märgistusel võib anda teada üksnes asjaolu, et detergent või pindaktiivne aine on veganlik või ei sisalda loomseid koostisosi, kui detergendi või pindaktiivse aine tootmisel ja arendamisel ei ole kasutatud loomseid koostisosi ega loomseid kõrvalsaadusi.</w:t>
      </w:r>
      <w:r w:rsidR="00C0022F" w:rsidRPr="005D6722">
        <w:rPr>
          <w:b/>
          <w:szCs w:val="24"/>
          <w:lang w:eastAsia="en-US"/>
        </w:rPr>
        <w:t xml:space="preserve"> [ME 85]</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16</w:t>
      </w:r>
      <w:r w:rsidRPr="005D6722">
        <w:rPr>
          <w:szCs w:val="24"/>
          <w:lang w:eastAsia="en-US"/>
        </w:rPr>
        <w:br/>
        <w:t>Märgistuse vorm</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Kui detergendid või pindaktiivsed ained tehakse turul kättesaadavaks, peavad nendega kaasas olema artikli 15 lõikes 3 ja vajaduse korral artikli 15 lõikes 4 sätestatud märgistuselemendid järgmisel kujul:</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a)</w:t>
      </w:r>
      <w:r w:rsidRPr="005D6722">
        <w:rPr>
          <w:szCs w:val="24"/>
          <w:lang w:eastAsia="en-US"/>
        </w:rPr>
        <w:tab/>
        <w:t>füüsilisel märgistusel</w:t>
      </w:r>
      <w:r w:rsidRPr="005D6722">
        <w:rPr>
          <w:strike/>
          <w:szCs w:val="24"/>
          <w:lang w:eastAsia="en-US"/>
        </w:rPr>
        <w:t>;</w:t>
      </w:r>
      <w:r w:rsidRPr="005D6722">
        <w:rPr>
          <w:b/>
          <w:i/>
          <w:szCs w:val="24"/>
          <w:lang w:eastAsia="en-US"/>
        </w:rPr>
        <w:t xml:space="preserve"> või</w:t>
      </w:r>
      <w:r w:rsidR="00C0022F" w:rsidRPr="005D6722">
        <w:rPr>
          <w:b/>
          <w:szCs w:val="24"/>
          <w:lang w:eastAsia="en-US"/>
        </w:rPr>
        <w:t xml:space="preserve"> [ME 86]</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digimärgistusel ja koopiana füüsilisel märgistusel.</w:t>
      </w:r>
    </w:p>
    <w:p w:rsidR="00F9609E" w:rsidRPr="005D6722" w:rsidRDefault="00F9609E" w:rsidP="00F9609E">
      <w:pPr>
        <w:spacing w:before="120" w:after="120" w:line="360" w:lineRule="auto"/>
        <w:ind w:left="850"/>
        <w:rPr>
          <w:b/>
          <w:szCs w:val="24"/>
          <w:lang w:eastAsia="en-US"/>
        </w:rPr>
      </w:pPr>
      <w:r w:rsidRPr="005D6722">
        <w:rPr>
          <w:strike/>
          <w:szCs w:val="24"/>
          <w:lang w:eastAsia="en-US"/>
        </w:rPr>
        <w:t xml:space="preserve">Erandina esimese lõigu punktist b ei pea V lisa C osas nimetatud märgistuselemente füüsilisel märgistusel dubleerima. </w:t>
      </w:r>
      <w:r w:rsidRPr="005D6722">
        <w:rPr>
          <w:szCs w:val="24"/>
          <w:lang w:eastAsia="en-US"/>
        </w:rPr>
        <w:t>Kui digimärgistusel on esitatud kodumajapidamises kasutatava pesupesemisvahendi doseerimisteave vastavalt V lisa B osa punktidele 1 ja 2, võib peale selle füüsilisel märgistusel esitada V lisa D osas esitatud lihtsustatud doseerimistabeli.</w:t>
      </w:r>
      <w:r w:rsidR="00C0022F" w:rsidRPr="005D6722">
        <w:rPr>
          <w:b/>
          <w:szCs w:val="24"/>
          <w:lang w:eastAsia="en-US"/>
        </w:rPr>
        <w:t xml:space="preserve"> [ME 87]</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2.</w:t>
      </w:r>
      <w:r w:rsidRPr="005D6722">
        <w:rPr>
          <w:szCs w:val="24"/>
          <w:lang w:eastAsia="en-US"/>
        </w:rPr>
        <w:tab/>
      </w:r>
      <w:r w:rsidRPr="005D6722">
        <w:rPr>
          <w:strike/>
          <w:szCs w:val="24"/>
          <w:lang w:eastAsia="en-US"/>
        </w:rPr>
        <w:t xml:space="preserve">Erandina lõikest 1, </w:t>
      </w:r>
      <w:r w:rsidRPr="005D6722">
        <w:rPr>
          <w:szCs w:val="24"/>
          <w:lang w:eastAsia="en-US"/>
        </w:rPr>
        <w:t xml:space="preserve">Kui detergendid tehakse turul kättesaadavaks otse lõppkasutajale täitepakendis, </w:t>
      </w:r>
      <w:r w:rsidRPr="005D6722">
        <w:rPr>
          <w:strike/>
          <w:szCs w:val="24"/>
          <w:lang w:eastAsia="en-US"/>
        </w:rPr>
        <w:t>võib</w:t>
      </w:r>
      <w:r w:rsidRPr="005D6722">
        <w:rPr>
          <w:b/>
          <w:i/>
          <w:szCs w:val="24"/>
          <w:lang w:eastAsia="en-US"/>
        </w:rPr>
        <w:t>tagab ettevõtja, et pakendile kinnitatakse</w:t>
      </w:r>
      <w:r w:rsidRPr="005D6722">
        <w:rPr>
          <w:szCs w:val="24"/>
          <w:lang w:eastAsia="en-US"/>
        </w:rPr>
        <w:t xml:space="preserve"> artikli 15 lõigetes</w:t>
      </w:r>
      <w:r w:rsidRPr="005D6722">
        <w:rPr>
          <w:b/>
          <w:i/>
          <w:szCs w:val="24"/>
          <w:lang w:eastAsia="en-US"/>
        </w:rPr>
        <w:t xml:space="preserve"> 2,</w:t>
      </w:r>
      <w:r w:rsidRPr="005D6722">
        <w:rPr>
          <w:szCs w:val="24"/>
          <w:lang w:eastAsia="en-US"/>
        </w:rPr>
        <w:t xml:space="preserve"> 3 ja 4 sätestatud märgistuselemendid</w:t>
      </w:r>
      <w:r w:rsidRPr="005D6722">
        <w:rPr>
          <w:strike/>
          <w:szCs w:val="24"/>
          <w:lang w:eastAsia="en-US"/>
        </w:rPr>
        <w:t xml:space="preserve"> esitada üksnes digimärgistusel, välja arvatud V lisa B osa punktides 1 ja 2 esitatud kodumajapidamises kasutatava pesupesemisvahendi doseerimisteave, mis tuleb esitada ka füüsilisel märgistusel</w:t>
      </w:r>
      <w:r w:rsidRPr="005D6722">
        <w:rPr>
          <w:szCs w:val="24"/>
          <w:lang w:eastAsia="en-US"/>
        </w:rPr>
        <w:t>.</w:t>
      </w:r>
      <w:r w:rsidR="00C0022F" w:rsidRPr="005D6722">
        <w:rPr>
          <w:b/>
          <w:szCs w:val="24"/>
          <w:lang w:eastAsia="en-US"/>
        </w:rPr>
        <w:t xml:space="preserve"> [ME 88]</w:t>
      </w:r>
    </w:p>
    <w:p w:rsidR="00F9609E" w:rsidRPr="005D6722" w:rsidRDefault="00F9609E" w:rsidP="00F9609E">
      <w:pPr>
        <w:spacing w:before="120" w:after="120" w:line="360" w:lineRule="auto"/>
        <w:jc w:val="center"/>
        <w:rPr>
          <w:szCs w:val="24"/>
          <w:lang w:eastAsia="en-US"/>
        </w:rPr>
      </w:pPr>
      <w:r w:rsidRPr="005D6722">
        <w:rPr>
          <w:szCs w:val="24"/>
          <w:lang w:eastAsia="en-US"/>
        </w:rPr>
        <w:t>Artikkel 17</w:t>
      </w:r>
      <w:r w:rsidRPr="005D6722">
        <w:rPr>
          <w:szCs w:val="24"/>
          <w:lang w:eastAsia="en-US"/>
        </w:rPr>
        <w:br/>
        <w:t>Digimärgistusele esitatavad nõuded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Kui detergentidel ja pindaktiivsetel ainetel on vastavalt artiklile 16 digimärgistus, kohaldatakse selle märgistuse suhtes järgmisi nõudeid: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kõik artikli 15 lõikes 3 ja vajaduse korral artikli 15 lõikes 4 osutatud märgistuselemendid esitatakse ühes kohas ja eraldatakse muust teabest;</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b)</w:t>
      </w:r>
      <w:r w:rsidRPr="005D6722">
        <w:rPr>
          <w:szCs w:val="24"/>
          <w:lang w:eastAsia="en-US"/>
        </w:rPr>
        <w:tab/>
        <w:t xml:space="preserve">digimärgistusel esitatud teave on otsingu abil </w:t>
      </w:r>
      <w:r w:rsidRPr="005D6722">
        <w:rPr>
          <w:b/>
          <w:i/>
          <w:szCs w:val="24"/>
          <w:lang w:eastAsia="en-US"/>
        </w:rPr>
        <w:t xml:space="preserve">hõlpsasti </w:t>
      </w:r>
      <w:r w:rsidRPr="005D6722">
        <w:rPr>
          <w:szCs w:val="24"/>
          <w:lang w:eastAsia="en-US"/>
        </w:rPr>
        <w:t>leitav;</w:t>
      </w:r>
      <w:r w:rsidR="00C0022F" w:rsidRPr="005D6722">
        <w:rPr>
          <w:b/>
          <w:szCs w:val="24"/>
          <w:lang w:eastAsia="en-US"/>
        </w:rPr>
        <w:t xml:space="preserve"> [ME 89]</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digimärgistusel esitatud teave on kättesaadav kõigile kasutajatele liidus;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d)</w:t>
      </w:r>
      <w:r w:rsidRPr="005D6722">
        <w:rPr>
          <w:szCs w:val="24"/>
          <w:lang w:eastAsia="en-US"/>
        </w:rPr>
        <w:tab/>
        <w:t>digimärgistus on tasuta kättesaadav ilma eelneva registreerimiseta, ilma vajaduseta rakendusi alla laadida või installida või kasutada salasõna;</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e)</w:t>
      </w:r>
      <w:r w:rsidRPr="005D6722">
        <w:rPr>
          <w:szCs w:val="24"/>
          <w:lang w:eastAsia="en-US"/>
        </w:rPr>
        <w:tab/>
        <w:t xml:space="preserve">digimärgistusel </w:t>
      </w:r>
      <w:r w:rsidRPr="005D6722">
        <w:rPr>
          <w:strike/>
          <w:szCs w:val="24"/>
          <w:lang w:eastAsia="en-US"/>
        </w:rPr>
        <w:t>esitatud</w:t>
      </w:r>
      <w:r w:rsidRPr="005D6722">
        <w:rPr>
          <w:b/>
          <w:i/>
          <w:szCs w:val="24"/>
          <w:lang w:eastAsia="en-US"/>
        </w:rPr>
        <w:t>esitatakse</w:t>
      </w:r>
      <w:r w:rsidRPr="005D6722">
        <w:rPr>
          <w:szCs w:val="24"/>
          <w:lang w:eastAsia="en-US"/>
        </w:rPr>
        <w:t xml:space="preserve"> teave</w:t>
      </w:r>
      <w:r w:rsidRPr="005D6722">
        <w:rPr>
          <w:b/>
          <w:i/>
          <w:szCs w:val="24"/>
          <w:lang w:eastAsia="en-US"/>
        </w:rPr>
        <w:t xml:space="preserve"> vormingus, mis</w:t>
      </w:r>
      <w:r w:rsidRPr="005D6722">
        <w:rPr>
          <w:szCs w:val="24"/>
          <w:lang w:eastAsia="en-US"/>
        </w:rPr>
        <w:t xml:space="preserve"> vastab ka haavatavate rühmade</w:t>
      </w:r>
      <w:r w:rsidRPr="005D6722">
        <w:rPr>
          <w:b/>
          <w:i/>
          <w:szCs w:val="24"/>
          <w:lang w:eastAsia="en-US"/>
        </w:rPr>
        <w:t>, sealhulgas puuetega inimeste</w:t>
      </w:r>
      <w:r w:rsidRPr="005D6722">
        <w:rPr>
          <w:szCs w:val="24"/>
          <w:lang w:eastAsia="en-US"/>
        </w:rPr>
        <w:t xml:space="preserve"> vajadustele ja vajaduse korral toetab vajalikke kohandusi, et lihtsustada teabe kättesaadavust nende rühmade jaoks;</w:t>
      </w:r>
      <w:r w:rsidR="00C0022F" w:rsidRPr="005D6722">
        <w:rPr>
          <w:b/>
          <w:szCs w:val="24"/>
          <w:lang w:eastAsia="en-US"/>
        </w:rPr>
        <w:t xml:space="preserve"> [ME 90]</w:t>
      </w:r>
    </w:p>
    <w:p w:rsidR="00F9609E" w:rsidRPr="005D6722" w:rsidRDefault="00F9609E" w:rsidP="00F9609E">
      <w:pPr>
        <w:spacing w:before="120" w:after="120" w:line="360" w:lineRule="auto"/>
        <w:ind w:left="1416" w:hanging="566"/>
        <w:rPr>
          <w:szCs w:val="24"/>
          <w:lang w:eastAsia="en-US"/>
        </w:rPr>
      </w:pPr>
      <w:r w:rsidRPr="005D6722">
        <w:rPr>
          <w:szCs w:val="24"/>
          <w:lang w:eastAsia="en-US"/>
        </w:rPr>
        <w:t>f)</w:t>
      </w:r>
      <w:r w:rsidRPr="005D6722">
        <w:rPr>
          <w:szCs w:val="24"/>
          <w:lang w:eastAsia="en-US"/>
        </w:rPr>
        <w:tab/>
        <w:t>digimärgistus on kättesaadav laialdaselt kasutatava digitehnoloogiaga ning ühildub kõigi peamiste operatsioonisüsteemide ja veebibrauseritega;</w:t>
      </w:r>
    </w:p>
    <w:p w:rsidR="00F9609E" w:rsidRPr="005D6722" w:rsidRDefault="00F9609E" w:rsidP="00F9609E">
      <w:pPr>
        <w:spacing w:before="120" w:after="120" w:line="360" w:lineRule="auto"/>
        <w:ind w:left="1416" w:hanging="566"/>
        <w:rPr>
          <w:szCs w:val="24"/>
          <w:lang w:eastAsia="en-US"/>
        </w:rPr>
      </w:pPr>
      <w:r w:rsidRPr="005D6722">
        <w:rPr>
          <w:szCs w:val="24"/>
          <w:lang w:eastAsia="en-US"/>
        </w:rPr>
        <w:t>g)</w:t>
      </w:r>
      <w:r w:rsidRPr="005D6722">
        <w:rPr>
          <w:szCs w:val="24"/>
          <w:lang w:eastAsia="en-US"/>
        </w:rPr>
        <w:tab/>
        <w:t>kui digimärgistus on kättesaadav rohkem kui ühes keeles, ei sõltu keele valik lõppkasutaja geograafilisest asukohast;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h)</w:t>
      </w:r>
      <w:r w:rsidRPr="005D6722">
        <w:rPr>
          <w:szCs w:val="24"/>
          <w:lang w:eastAsia="en-US"/>
        </w:rPr>
        <w:tab/>
        <w:t>digimärgistus jääb kättesaadavaks kümneks aastaks alates detergendi või pindaktiivse aine turule laskmisest, seda ka märgistuse loonud ettevõtja maksejõuetuse, likvideerimise või tegevuse lõpetamise korral liidus, või pikemaks ajavahemikuks, nagu on nõutud muudes liidu õigusaktides, mis hõlmavad selles sisalduvat teavet;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b/>
          <w:szCs w:val="24"/>
          <w:lang w:eastAsia="en-US"/>
        </w:rPr>
      </w:pPr>
      <w:r w:rsidRPr="005D6722">
        <w:rPr>
          <w:szCs w:val="24"/>
          <w:lang w:eastAsia="en-US"/>
        </w:rPr>
        <w:lastRenderedPageBreak/>
        <w:t>i)</w:t>
      </w:r>
      <w:r w:rsidRPr="005D6722">
        <w:rPr>
          <w:szCs w:val="24"/>
          <w:lang w:eastAsia="en-US"/>
        </w:rPr>
        <w:tab/>
        <w:t xml:space="preserve">digimärgistusel esitatud teave on </w:t>
      </w:r>
      <w:r w:rsidRPr="005D6722">
        <w:rPr>
          <w:b/>
          <w:i/>
          <w:szCs w:val="24"/>
          <w:lang w:eastAsia="en-US"/>
        </w:rPr>
        <w:t xml:space="preserve">hõlpsasti </w:t>
      </w:r>
      <w:r w:rsidRPr="005D6722">
        <w:rPr>
          <w:szCs w:val="24"/>
          <w:lang w:eastAsia="en-US"/>
        </w:rPr>
        <w:t>kättesaadav andmekandjal.</w:t>
      </w:r>
      <w:r w:rsidR="00C0022F" w:rsidRPr="005D6722">
        <w:rPr>
          <w:b/>
          <w:szCs w:val="24"/>
          <w:lang w:eastAsia="en-US"/>
        </w:rPr>
        <w:t xml:space="preserve"> [ME 91]</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2.</w:t>
      </w:r>
      <w:r w:rsidRPr="005D6722">
        <w:rPr>
          <w:szCs w:val="24"/>
          <w:lang w:eastAsia="en-US"/>
        </w:rPr>
        <w:tab/>
        <w:t>Andmekandja peab olema</w:t>
      </w:r>
      <w:r w:rsidRPr="005D6722">
        <w:rPr>
          <w:strike/>
          <w:szCs w:val="24"/>
          <w:lang w:eastAsia="en-US"/>
        </w:rPr>
        <w:t xml:space="preserve"> füüsiliselt olemas</w:t>
      </w:r>
      <w:r w:rsidRPr="005D6722">
        <w:rPr>
          <w:szCs w:val="24"/>
          <w:lang w:eastAsia="en-US"/>
        </w:rPr>
        <w:t xml:space="preserve"> detergendil või pindaktiivsel ainel, selle pakendil või sellega kaasas olevatel dokumentidel</w:t>
      </w:r>
      <w:r w:rsidRPr="005D6722">
        <w:rPr>
          <w:b/>
          <w:i/>
          <w:szCs w:val="24"/>
          <w:lang w:eastAsia="en-US"/>
        </w:rPr>
        <w:t xml:space="preserve"> olemas füüsiliselt, see peab olema kustutamatu, nähtav ja loetav ning seda peab olema võimalik digitaalsete vahenditega automaatselt töödelda</w:t>
      </w:r>
      <w:r w:rsidRPr="005D6722">
        <w:rPr>
          <w:szCs w:val="24"/>
          <w:lang w:eastAsia="en-US"/>
        </w:rPr>
        <w:t>.</w:t>
      </w:r>
      <w:r w:rsidR="00C0022F" w:rsidRPr="005D6722">
        <w:rPr>
          <w:b/>
          <w:szCs w:val="24"/>
          <w:lang w:eastAsia="en-US"/>
        </w:rPr>
        <w:t xml:space="preserve"> [ME 92]</w:t>
      </w:r>
    </w:p>
    <w:p w:rsidR="00F9609E" w:rsidRPr="005D6722" w:rsidRDefault="00F9609E" w:rsidP="00F9609E">
      <w:pPr>
        <w:spacing w:before="120" w:after="120" w:line="360" w:lineRule="auto"/>
        <w:ind w:left="850"/>
        <w:rPr>
          <w:szCs w:val="24"/>
          <w:lang w:eastAsia="en-US"/>
        </w:rPr>
      </w:pPr>
      <w:r w:rsidRPr="005D6722">
        <w:rPr>
          <w:szCs w:val="24"/>
          <w:lang w:eastAsia="en-US"/>
        </w:rPr>
        <w:t>Peale esimeses lõigus sätestatud nõude peab juhul, kui detergendid ja pindaktiivsed ained tehakse turul kättesaadavaks täitepakendis, andmekandja olema taastäitmiskohas.</w:t>
      </w:r>
    </w:p>
    <w:p w:rsidR="00F9609E" w:rsidRPr="005D6722" w:rsidRDefault="00F9609E" w:rsidP="00F9609E">
      <w:pPr>
        <w:spacing w:before="120" w:after="120" w:line="360" w:lineRule="auto"/>
        <w:ind w:left="850"/>
        <w:rPr>
          <w:szCs w:val="24"/>
          <w:lang w:eastAsia="en-US"/>
        </w:rPr>
      </w:pPr>
      <w:r w:rsidRPr="005D6722">
        <w:rPr>
          <w:szCs w:val="24"/>
          <w:lang w:eastAsia="en-US"/>
        </w:rPr>
        <w:t>Andmekandja peab olema lõppkasutajale enne ostmist ja turujärelevalveasutustele selgelt nähtav, sealhulgas vajaduse korral juhul, kui detergent või pindaktiivne aine tehakse kättesaadavaks kaugmüügi teel.</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w:t>
      </w:r>
      <w:r w:rsidRPr="005D6722">
        <w:rPr>
          <w:szCs w:val="24"/>
          <w:lang w:eastAsia="en-US"/>
        </w:rPr>
        <w:tab/>
        <w:t>Kui ettevõtjad esitavad digimärgistuse, lisatakse andmekandjale märge „</w:t>
      </w:r>
      <w:r w:rsidRPr="005D6722">
        <w:rPr>
          <w:strike/>
          <w:szCs w:val="24"/>
          <w:lang w:eastAsia="en-US"/>
        </w:rPr>
        <w:t>Põhjalikum teave</w:t>
      </w:r>
      <w:r w:rsidRPr="005D6722">
        <w:rPr>
          <w:b/>
          <w:i/>
          <w:szCs w:val="24"/>
          <w:lang w:eastAsia="en-US"/>
        </w:rPr>
        <w:t>Skaneerige</w:t>
      </w:r>
      <w:r w:rsidRPr="005D6722">
        <w:rPr>
          <w:szCs w:val="24"/>
          <w:lang w:eastAsia="en-US"/>
        </w:rPr>
        <w:t xml:space="preserve"> toote kohta </w:t>
      </w:r>
      <w:r w:rsidRPr="005D6722">
        <w:rPr>
          <w:strike/>
          <w:szCs w:val="24"/>
          <w:lang w:eastAsia="en-US"/>
        </w:rPr>
        <w:t>on kättesaadav veebis</w:t>
      </w:r>
      <w:r w:rsidRPr="005D6722">
        <w:rPr>
          <w:b/>
          <w:i/>
          <w:szCs w:val="24"/>
          <w:lang w:eastAsia="en-US"/>
        </w:rPr>
        <w:t>lisateabe saamiseks</w:t>
      </w:r>
      <w:r w:rsidRPr="005D6722">
        <w:rPr>
          <w:szCs w:val="24"/>
          <w:lang w:eastAsia="en-US"/>
        </w:rPr>
        <w:t>“ või muu samalaadne märge.</w:t>
      </w:r>
      <w:r w:rsidR="00C0022F" w:rsidRPr="005D6722">
        <w:rPr>
          <w:b/>
          <w:szCs w:val="24"/>
          <w:lang w:eastAsia="en-US"/>
        </w:rPr>
        <w:t xml:space="preserve"> [ME 93]</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4.</w:t>
      </w:r>
      <w:r w:rsidRPr="005D6722">
        <w:rPr>
          <w:szCs w:val="24"/>
          <w:lang w:eastAsia="en-US"/>
        </w:rPr>
        <w:tab/>
      </w:r>
      <w:r w:rsidRPr="005D6722">
        <w:rPr>
          <w:strike/>
          <w:szCs w:val="24"/>
          <w:lang w:eastAsia="en-US"/>
        </w:rPr>
        <w:t xml:space="preserve">Digimärgistust pakkuvad </w:t>
      </w:r>
      <w:r w:rsidRPr="005D6722">
        <w:rPr>
          <w:szCs w:val="24"/>
          <w:lang w:eastAsia="en-US"/>
        </w:rPr>
        <w:t>Ettevõtjad ei jälgi, analüüsi ega kasuta kasutusteavet muul eesmärgil kui see, mis on tingimata vajalik digimärgistusel oleva teabe esitamiseks veebis.</w:t>
      </w:r>
      <w:r w:rsidR="00C0022F" w:rsidRPr="005D6722">
        <w:rPr>
          <w:b/>
          <w:szCs w:val="24"/>
          <w:lang w:eastAsia="en-US"/>
        </w:rPr>
        <w:t xml:space="preserve"> [ME 94]</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5.</w:t>
      </w:r>
      <w:r w:rsidRPr="005D6722">
        <w:rPr>
          <w:szCs w:val="24"/>
          <w:lang w:eastAsia="en-US"/>
        </w:rPr>
        <w:tab/>
      </w:r>
      <w:r w:rsidRPr="005D6722">
        <w:rPr>
          <w:strike/>
          <w:szCs w:val="24"/>
          <w:lang w:eastAsia="en-US"/>
        </w:rPr>
        <w:t xml:space="preserve">Digimärgistust pakkuvad </w:t>
      </w:r>
      <w:r w:rsidRPr="005D6722">
        <w:rPr>
          <w:szCs w:val="24"/>
          <w:lang w:eastAsia="en-US"/>
        </w:rPr>
        <w:t xml:space="preserve">Ettevõtjad esitavad digimärgistusel oleva teabe muul viisil </w:t>
      </w:r>
      <w:r w:rsidRPr="005D6722">
        <w:rPr>
          <w:b/>
          <w:i/>
          <w:szCs w:val="24"/>
          <w:lang w:eastAsia="en-US"/>
        </w:rPr>
        <w:t xml:space="preserve">ja tasuta </w:t>
      </w:r>
      <w:r w:rsidRPr="005D6722">
        <w:rPr>
          <w:szCs w:val="24"/>
          <w:lang w:eastAsia="en-US"/>
        </w:rPr>
        <w:t>järgmistel juhtudel:</w:t>
      </w:r>
      <w:r w:rsidR="00C0022F" w:rsidRPr="005D6722">
        <w:rPr>
          <w:b/>
          <w:szCs w:val="24"/>
          <w:lang w:eastAsia="en-US"/>
        </w:rPr>
        <w:t xml:space="preserve"> [ME 95]</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lõppkasutaja suulise või kirjaliku taotluse korral;</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kui digimärgistus ei ole ajutiselt kättesaadav, sealhulgas ostmise ajal.</w:t>
      </w:r>
    </w:p>
    <w:p w:rsidR="00F9609E" w:rsidRPr="005D6722" w:rsidRDefault="00F9609E" w:rsidP="00F9609E">
      <w:pPr>
        <w:spacing w:before="120" w:after="120" w:line="360" w:lineRule="auto"/>
        <w:ind w:left="850"/>
        <w:rPr>
          <w:szCs w:val="24"/>
          <w:lang w:eastAsia="en-US"/>
        </w:rPr>
      </w:pPr>
      <w:r w:rsidRPr="005D6722">
        <w:rPr>
          <w:szCs w:val="24"/>
          <w:lang w:eastAsia="en-US"/>
        </w:rPr>
        <w:t>Ettevõtjad esitavad esimeses lõigus osutatud teabe detergendi või pindaktiivse aine ostmisest sõltumatult ja tasuta.</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V PEATÜKK</w:t>
      </w:r>
      <w:r w:rsidRPr="005D6722">
        <w:rPr>
          <w:szCs w:val="24"/>
          <w:lang w:eastAsia="en-US"/>
        </w:rPr>
        <w:br/>
        <w:t>TOOTEPASS</w:t>
      </w:r>
    </w:p>
    <w:p w:rsidR="00F9609E" w:rsidRPr="005D6722" w:rsidRDefault="00F9609E" w:rsidP="00F9609E">
      <w:pPr>
        <w:spacing w:before="120" w:after="120" w:line="360" w:lineRule="auto"/>
        <w:jc w:val="center"/>
        <w:rPr>
          <w:szCs w:val="24"/>
          <w:lang w:eastAsia="en-US"/>
        </w:rPr>
      </w:pPr>
      <w:r w:rsidRPr="005D6722">
        <w:rPr>
          <w:szCs w:val="24"/>
          <w:lang w:eastAsia="en-US"/>
        </w:rPr>
        <w:t>Artikkel 18</w:t>
      </w:r>
      <w:r w:rsidRPr="005D6722">
        <w:rPr>
          <w:szCs w:val="24"/>
          <w:lang w:eastAsia="en-US"/>
        </w:rPr>
        <w:br/>
        <w:t xml:space="preserve">Tootepass </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Enne detergendi või pindaktiivse aine turule laskmist koostavad tootjad nende toodete jaoks tootepassi. Tootepass peab vastama käesolevas artiklis ja artiklis 19 esitatud nõuetele.</w:t>
      </w:r>
    </w:p>
    <w:p w:rsidR="00F9609E" w:rsidRPr="005D6722" w:rsidRDefault="00F9609E" w:rsidP="00F9609E">
      <w:pPr>
        <w:spacing w:before="120" w:after="120" w:line="360" w:lineRule="auto"/>
        <w:ind w:left="850"/>
        <w:rPr>
          <w:b/>
          <w:szCs w:val="24"/>
          <w:lang w:eastAsia="en-US"/>
        </w:rPr>
      </w:pPr>
      <w:r w:rsidRPr="005D6722">
        <w:rPr>
          <w:b/>
          <w:i/>
          <w:szCs w:val="24"/>
          <w:lang w:eastAsia="en-US"/>
        </w:rPr>
        <w:t>Seda kohustust hakatakse kohaldama 18 kuud pärast lõike 9 kohaselt vastu võetud rakendusakti jõustumist.</w:t>
      </w:r>
      <w:r w:rsidR="00C0022F" w:rsidRPr="005D6722">
        <w:rPr>
          <w:b/>
          <w:szCs w:val="24"/>
          <w:lang w:eastAsia="en-US"/>
        </w:rPr>
        <w:t xml:space="preserve"> [ME 96]</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Tootepass peab vastama järgmistele nõuetele:</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a)</w:t>
      </w:r>
      <w:r w:rsidRPr="005D6722">
        <w:rPr>
          <w:szCs w:val="24"/>
          <w:lang w:eastAsia="en-US"/>
        </w:rPr>
        <w:tab/>
        <w:t>see peab vastama</w:t>
      </w:r>
      <w:r w:rsidRPr="005D6722">
        <w:rPr>
          <w:b/>
          <w:i/>
          <w:szCs w:val="24"/>
          <w:lang w:eastAsia="en-US"/>
        </w:rPr>
        <w:t xml:space="preserve"> konkreetsele mudelile, mida ajakohastatakse koostisosade loetelu muutmise korral, või asjakohasel juhul</w:t>
      </w:r>
      <w:r w:rsidRPr="005D6722">
        <w:rPr>
          <w:szCs w:val="24"/>
          <w:lang w:eastAsia="en-US"/>
        </w:rPr>
        <w:t xml:space="preserve"> detergendi või pindaktiivse aine konkreetsele partiile;</w:t>
      </w:r>
      <w:r w:rsidR="00C0022F" w:rsidRPr="005D6722">
        <w:rPr>
          <w:b/>
          <w:szCs w:val="24"/>
          <w:lang w:eastAsia="en-US"/>
        </w:rPr>
        <w:t xml:space="preserve"> [ME 97]</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b)</w:t>
      </w:r>
      <w:r w:rsidRPr="005D6722">
        <w:rPr>
          <w:szCs w:val="24"/>
          <w:lang w:eastAsia="en-US"/>
        </w:rPr>
        <w:tab/>
        <w:t>selles märgitakse, et detergendi või pindaktiivse aine vastavus käesolevas määruses sätestatud nõuetele on tõendatud, ning vajaduse korral märgitakse kasutatud katsemeetodid;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see sisaldab vähemalt VI lisas esitatud teavet;</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d)</w:t>
      </w:r>
      <w:r w:rsidRPr="005D6722">
        <w:rPr>
          <w:szCs w:val="24"/>
          <w:lang w:eastAsia="en-US"/>
        </w:rPr>
        <w:tab/>
        <w:t>see on ajakohane</w:t>
      </w:r>
      <w:r w:rsidRPr="005D6722">
        <w:rPr>
          <w:b/>
          <w:i/>
          <w:szCs w:val="24"/>
          <w:lang w:eastAsia="en-US"/>
        </w:rPr>
        <w:t>, täpne ja täielik</w:t>
      </w:r>
      <w:r w:rsidRPr="005D6722">
        <w:rPr>
          <w:szCs w:val="24"/>
          <w:lang w:eastAsia="en-US"/>
        </w:rPr>
        <w:t>;</w:t>
      </w:r>
      <w:r w:rsidR="00C0022F" w:rsidRPr="005D6722">
        <w:rPr>
          <w:b/>
          <w:szCs w:val="24"/>
          <w:lang w:eastAsia="en-US"/>
        </w:rPr>
        <w:t xml:space="preserve"> [ME 98]</w:t>
      </w:r>
    </w:p>
    <w:p w:rsidR="00F9609E" w:rsidRPr="005D6722" w:rsidRDefault="00F9609E" w:rsidP="00F9609E">
      <w:pPr>
        <w:spacing w:before="120" w:after="120" w:line="360" w:lineRule="auto"/>
        <w:ind w:left="1416" w:hanging="566"/>
        <w:rPr>
          <w:szCs w:val="24"/>
          <w:lang w:eastAsia="en-US"/>
        </w:rPr>
      </w:pPr>
      <w:r w:rsidRPr="005D6722">
        <w:rPr>
          <w:szCs w:val="24"/>
          <w:lang w:eastAsia="en-US"/>
        </w:rPr>
        <w:t>e)</w:t>
      </w:r>
      <w:r w:rsidRPr="005D6722">
        <w:rPr>
          <w:szCs w:val="24"/>
          <w:lang w:eastAsia="en-US"/>
        </w:rPr>
        <w:tab/>
        <w:t>see on kättesaadav keeles või keeltes, mida nõuab liikmesriik, kus detergent või pindaktiivne aine turule lastakse või turul kättesaadavaks tehakse;</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f)</w:t>
      </w:r>
      <w:r w:rsidRPr="005D6722">
        <w:rPr>
          <w:szCs w:val="24"/>
          <w:lang w:eastAsia="en-US"/>
        </w:rPr>
        <w:tab/>
        <w:t>see on</w:t>
      </w:r>
      <w:r w:rsidRPr="005D6722">
        <w:rPr>
          <w:b/>
          <w:i/>
          <w:szCs w:val="24"/>
          <w:lang w:eastAsia="en-US"/>
        </w:rPr>
        <w:t xml:space="preserve"> hõlpsasti</w:t>
      </w:r>
      <w:r w:rsidRPr="005D6722">
        <w:rPr>
          <w:szCs w:val="24"/>
          <w:lang w:eastAsia="en-US"/>
        </w:rPr>
        <w:t xml:space="preserve"> kättesaadav</w:t>
      </w:r>
      <w:r w:rsidRPr="005D6722">
        <w:rPr>
          <w:b/>
          <w:i/>
          <w:szCs w:val="24"/>
          <w:lang w:eastAsia="en-US"/>
        </w:rPr>
        <w:t xml:space="preserve"> klientidele,</w:t>
      </w:r>
      <w:r w:rsidRPr="005D6722">
        <w:rPr>
          <w:szCs w:val="24"/>
          <w:lang w:eastAsia="en-US"/>
        </w:rPr>
        <w:t xml:space="preserve"> lõppkasutajatele</w:t>
      </w:r>
      <w:r w:rsidRPr="005D6722">
        <w:rPr>
          <w:b/>
          <w:i/>
          <w:szCs w:val="24"/>
          <w:lang w:eastAsia="en-US"/>
        </w:rPr>
        <w:t>, tootjatele, importijatele, turustajatele, riikide pädevatele asutustele</w:t>
      </w:r>
      <w:r w:rsidRPr="005D6722">
        <w:rPr>
          <w:szCs w:val="24"/>
          <w:lang w:eastAsia="en-US"/>
        </w:rPr>
        <w:t>, turujärelevalveasutustele, tollile, komisjonile</w:t>
      </w:r>
      <w:r w:rsidRPr="005D6722">
        <w:rPr>
          <w:strike/>
          <w:szCs w:val="24"/>
          <w:lang w:eastAsia="en-US"/>
        </w:rPr>
        <w:t xml:space="preserve"> ja</w:t>
      </w:r>
      <w:r w:rsidRPr="005D6722">
        <w:rPr>
          <w:b/>
          <w:i/>
          <w:szCs w:val="24"/>
          <w:lang w:eastAsia="en-US"/>
        </w:rPr>
        <w:t>,</w:t>
      </w:r>
      <w:r w:rsidRPr="005D6722">
        <w:rPr>
          <w:szCs w:val="24"/>
          <w:lang w:eastAsia="en-US"/>
        </w:rPr>
        <w:t xml:space="preserve"> teistele ettevõtjatele</w:t>
      </w:r>
      <w:r w:rsidRPr="005D6722">
        <w:rPr>
          <w:b/>
          <w:i/>
          <w:szCs w:val="24"/>
          <w:lang w:eastAsia="en-US"/>
        </w:rPr>
        <w:t xml:space="preserve"> ja asjaomastele sidusrühmadele, näiteks kodanikuühiskonna organisatsioonidele ja teadlastele</w:t>
      </w:r>
      <w:r w:rsidRPr="005D6722">
        <w:rPr>
          <w:szCs w:val="24"/>
          <w:lang w:eastAsia="en-US"/>
        </w:rPr>
        <w:t>;</w:t>
      </w:r>
      <w:r w:rsidR="00C0022F" w:rsidRPr="005D6722">
        <w:rPr>
          <w:b/>
          <w:szCs w:val="24"/>
          <w:lang w:eastAsia="en-US"/>
        </w:rPr>
        <w:t xml:space="preserve"> [ME 99]</w:t>
      </w:r>
    </w:p>
    <w:p w:rsidR="00F9609E" w:rsidRPr="005D6722" w:rsidRDefault="00F9609E" w:rsidP="00F9609E">
      <w:pPr>
        <w:spacing w:before="120" w:after="120" w:line="360" w:lineRule="auto"/>
        <w:ind w:left="1416" w:hanging="566"/>
        <w:rPr>
          <w:szCs w:val="24"/>
          <w:lang w:eastAsia="en-US"/>
        </w:rPr>
      </w:pPr>
      <w:r w:rsidRPr="005D6722">
        <w:rPr>
          <w:szCs w:val="24"/>
          <w:lang w:eastAsia="en-US"/>
        </w:rPr>
        <w:t>g)</w:t>
      </w:r>
      <w:r w:rsidRPr="005D6722">
        <w:rPr>
          <w:szCs w:val="24"/>
          <w:lang w:eastAsia="en-US"/>
        </w:rPr>
        <w:tab/>
        <w:t>see on kättesaadav kümne aasta jooksul pärast detergendi või pindaktiivse aine turule laskmist, seda ka tootepassi koostanud ettevõtja maksejõuetuse, likvideerimise või tegevuse lõpetamise korral liidus;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h)</w:t>
      </w:r>
      <w:r w:rsidRPr="005D6722">
        <w:rPr>
          <w:szCs w:val="24"/>
          <w:lang w:eastAsia="en-US"/>
        </w:rPr>
        <w:tab/>
        <w:t>see on kättesaadav andmekandja kaudu;</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i)</w:t>
      </w:r>
      <w:r w:rsidRPr="005D6722">
        <w:rPr>
          <w:szCs w:val="24"/>
          <w:lang w:eastAsia="en-US"/>
        </w:rPr>
        <w:tab/>
        <w:t xml:space="preserve">see peab vastama lõike </w:t>
      </w:r>
      <w:r w:rsidRPr="005D6722">
        <w:rPr>
          <w:strike/>
          <w:szCs w:val="24"/>
          <w:lang w:eastAsia="en-US"/>
        </w:rPr>
        <w:t>8</w:t>
      </w:r>
      <w:r w:rsidRPr="005D6722">
        <w:rPr>
          <w:b/>
          <w:i/>
          <w:szCs w:val="24"/>
          <w:lang w:eastAsia="en-US"/>
        </w:rPr>
        <w:t>9</w:t>
      </w:r>
      <w:r w:rsidRPr="005D6722">
        <w:rPr>
          <w:szCs w:val="24"/>
          <w:lang w:eastAsia="en-US"/>
        </w:rPr>
        <w:t xml:space="preserve"> kohaselt sätestatud eri- ja tehnilistele nõuetele.</w:t>
      </w:r>
      <w:r w:rsidR="00C0022F" w:rsidRPr="005D6722">
        <w:rPr>
          <w:b/>
          <w:szCs w:val="24"/>
          <w:lang w:eastAsia="en-US"/>
        </w:rPr>
        <w:t xml:space="preserve"> [ME 100]</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w:t>
      </w:r>
      <w:r w:rsidRPr="005D6722">
        <w:rPr>
          <w:szCs w:val="24"/>
          <w:lang w:eastAsia="en-US"/>
        </w:rPr>
        <w:tab/>
        <w:t xml:space="preserve">Andmekandja peab olema füüsiliselt olemas detergendil või pindaktiivsel ainel, selle pakendil või sellega kaasas olevatel dokumentidel vastavalt lõikes </w:t>
      </w:r>
      <w:r w:rsidRPr="005D6722">
        <w:rPr>
          <w:strike/>
          <w:szCs w:val="24"/>
          <w:lang w:eastAsia="en-US"/>
        </w:rPr>
        <w:t>8</w:t>
      </w:r>
      <w:r w:rsidRPr="005D6722">
        <w:rPr>
          <w:b/>
          <w:i/>
          <w:szCs w:val="24"/>
          <w:lang w:eastAsia="en-US"/>
        </w:rPr>
        <w:t>9</w:t>
      </w:r>
      <w:r w:rsidRPr="005D6722">
        <w:rPr>
          <w:szCs w:val="24"/>
          <w:lang w:eastAsia="en-US"/>
        </w:rPr>
        <w:t xml:space="preserve"> osutatud rakendusaktile.</w:t>
      </w:r>
      <w:r w:rsidR="00C0022F" w:rsidRPr="005D6722">
        <w:rPr>
          <w:b/>
          <w:szCs w:val="24"/>
          <w:lang w:eastAsia="en-US"/>
        </w:rPr>
        <w:t xml:space="preserve"> [ME 101]</w:t>
      </w:r>
    </w:p>
    <w:p w:rsidR="00F9609E" w:rsidRPr="005D6722" w:rsidRDefault="00F9609E" w:rsidP="00F9609E">
      <w:pPr>
        <w:spacing w:before="120" w:after="120" w:line="360" w:lineRule="auto"/>
        <w:ind w:left="850"/>
        <w:rPr>
          <w:szCs w:val="24"/>
          <w:lang w:eastAsia="en-US"/>
        </w:rPr>
      </w:pPr>
      <w:r w:rsidRPr="005D6722">
        <w:rPr>
          <w:szCs w:val="24"/>
          <w:lang w:eastAsia="en-US"/>
        </w:rPr>
        <w:t>Peale esimeses lõigus sätestatud nõude peab juhul, kui detergendid ja pindaktiivsed ained tehakse turul kättesaadavaks täitepakendis, andmekandja olema taastäitmiskohas.</w:t>
      </w:r>
    </w:p>
    <w:p w:rsidR="00F9609E" w:rsidRPr="005D6722" w:rsidRDefault="00F9609E" w:rsidP="00F9609E">
      <w:pPr>
        <w:spacing w:before="120" w:after="120" w:line="360" w:lineRule="auto"/>
        <w:ind w:left="850"/>
        <w:rPr>
          <w:b/>
          <w:szCs w:val="24"/>
          <w:lang w:eastAsia="en-US"/>
        </w:rPr>
      </w:pPr>
      <w:r w:rsidRPr="005D6722">
        <w:rPr>
          <w:szCs w:val="24"/>
          <w:lang w:eastAsia="en-US"/>
        </w:rPr>
        <w:t xml:space="preserve">Andmekandja peab olema lõppkasutajale enne ostmist ja turujärelevalveasutustele selgelt nähtav, sealhulgas </w:t>
      </w:r>
      <w:r w:rsidRPr="005D6722">
        <w:rPr>
          <w:strike/>
          <w:szCs w:val="24"/>
          <w:lang w:eastAsia="en-US"/>
        </w:rPr>
        <w:t>vajaduse korral</w:t>
      </w:r>
      <w:r w:rsidRPr="005D6722">
        <w:rPr>
          <w:b/>
          <w:i/>
          <w:szCs w:val="24"/>
          <w:lang w:eastAsia="en-US"/>
        </w:rPr>
        <w:t>kohaldataval</w:t>
      </w:r>
      <w:r w:rsidRPr="005D6722">
        <w:rPr>
          <w:szCs w:val="24"/>
          <w:lang w:eastAsia="en-US"/>
        </w:rPr>
        <w:t xml:space="preserve"> juhul</w:t>
      </w:r>
      <w:r w:rsidRPr="005D6722">
        <w:rPr>
          <w:b/>
          <w:i/>
          <w:szCs w:val="24"/>
          <w:lang w:eastAsia="en-US"/>
        </w:rPr>
        <w:t xml:space="preserve"> toote veebisaidi pealehel</w:t>
      </w:r>
      <w:r w:rsidRPr="005D6722">
        <w:rPr>
          <w:szCs w:val="24"/>
          <w:lang w:eastAsia="en-US"/>
        </w:rPr>
        <w:t>, kui detergent või pindaktiivne aine tehakse kättesaadavaks kaugmüügi teel.</w:t>
      </w:r>
      <w:r w:rsidR="00C0022F" w:rsidRPr="005D6722">
        <w:rPr>
          <w:b/>
          <w:szCs w:val="24"/>
          <w:lang w:eastAsia="en-US"/>
        </w:rPr>
        <w:t xml:space="preserve"> [ME 102]</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Kui ettevõtjad pakuvad digimärgistust, kasutatakse tootepassile ja digimärgistusele juurdepääsuks sama andmekandjat.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w:t>
      </w:r>
      <w:r w:rsidRPr="005D6722">
        <w:rPr>
          <w:szCs w:val="24"/>
          <w:lang w:eastAsia="en-US"/>
        </w:rPr>
        <w:tab/>
        <w:t>Kui muude liidu õigusaktidega on ette nähtud, et teave detergendi või pindaktiivse aine kohta peab olema kättesaadav andmekandja kaudu, kasutatakse käesoleva määruse ja muude liidu õigusaktide kohaselt nõutava teabe esitamiseks sama andmekandjat.</w:t>
      </w:r>
    </w:p>
    <w:p w:rsidR="00F9609E" w:rsidRPr="005D6722" w:rsidRDefault="00F9609E" w:rsidP="00F9609E">
      <w:pPr>
        <w:spacing w:before="120" w:after="120" w:line="360" w:lineRule="auto"/>
        <w:ind w:left="850" w:hanging="850"/>
        <w:rPr>
          <w:szCs w:val="24"/>
          <w:lang w:eastAsia="en-US"/>
        </w:rPr>
      </w:pPr>
      <w:r w:rsidRPr="005D6722">
        <w:rPr>
          <w:szCs w:val="24"/>
          <w:lang w:eastAsia="en-US"/>
        </w:rPr>
        <w:t>6.</w:t>
      </w:r>
      <w:r w:rsidRPr="005D6722">
        <w:rPr>
          <w:szCs w:val="24"/>
          <w:lang w:eastAsia="en-US"/>
        </w:rPr>
        <w:tab/>
        <w:t>Kui detergentide ja pindaktiivsete ainete suhtes kohaldatavate muude liidu õigusaktide kohaselt on nõutav tootepass, koostatakse detergentide ja pindaktiivsete ainete jaoks ühtne tootepass, mis sisaldab lõikes 2 sätestatud teavet ja mis tahes muud teavet, mida nõutakse tootepassi jaoks nimetatud muude liidu õigusaktidega.</w:t>
      </w:r>
    </w:p>
    <w:p w:rsidR="00F9609E" w:rsidRPr="005D6722" w:rsidRDefault="00F9609E" w:rsidP="00F9609E">
      <w:pPr>
        <w:spacing w:before="120" w:after="120" w:line="360" w:lineRule="auto"/>
        <w:ind w:left="850" w:hanging="850"/>
        <w:rPr>
          <w:szCs w:val="24"/>
          <w:lang w:eastAsia="en-US"/>
        </w:rPr>
      </w:pPr>
      <w:r w:rsidRPr="005D6722">
        <w:rPr>
          <w:szCs w:val="24"/>
          <w:lang w:eastAsia="en-US"/>
        </w:rPr>
        <w:t>7.</w:t>
      </w:r>
      <w:r w:rsidRPr="005D6722">
        <w:rPr>
          <w:szCs w:val="24"/>
          <w:lang w:eastAsia="en-US"/>
        </w:rPr>
        <w:tab/>
        <w:t>Ettevõtjad võivad peale lõigetes 5 ja 6 osutatud teabe teha muu teabe kättesaadavaks lõikes 6 osutatud andmekandja kaudu. Sellisel juhul eraldatakse see teave selgelt käesoleva määruse ja vajaduse korral muude liidu õigusaktide alusel nõutavast teabest.</w:t>
      </w:r>
    </w:p>
    <w:p w:rsidR="00F9609E" w:rsidRPr="005D6722" w:rsidRDefault="00F9609E" w:rsidP="00F9609E">
      <w:pPr>
        <w:spacing w:before="120" w:after="120" w:line="360" w:lineRule="auto"/>
        <w:ind w:left="850" w:hanging="850"/>
        <w:rPr>
          <w:szCs w:val="24"/>
          <w:lang w:eastAsia="en-US"/>
        </w:rPr>
      </w:pPr>
      <w:r w:rsidRPr="005D6722">
        <w:rPr>
          <w:szCs w:val="24"/>
          <w:lang w:eastAsia="en-US"/>
        </w:rPr>
        <w:t>8.</w:t>
      </w:r>
      <w:r w:rsidRPr="005D6722">
        <w:rPr>
          <w:szCs w:val="24"/>
          <w:lang w:eastAsia="en-US"/>
        </w:rPr>
        <w:tab/>
        <w:t>Tootepassi koostamisega võtab tootja endale vastutuse detergendi või pindaktiivse aine vastavuse eest käesolevale määrusele.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9.</w:t>
      </w:r>
      <w:r w:rsidRPr="005D6722">
        <w:rPr>
          <w:szCs w:val="24"/>
          <w:lang w:eastAsia="en-US"/>
        </w:rPr>
        <w:tab/>
        <w:t>Komisjon võtab</w:t>
      </w:r>
      <w:r w:rsidRPr="005D6722">
        <w:rPr>
          <w:b/>
          <w:i/>
          <w:szCs w:val="24"/>
          <w:lang w:eastAsia="en-US"/>
        </w:rPr>
        <w:t xml:space="preserve"> hiljemalt ... [12 kuud pärast käesoleva määruse jõustumist]</w:t>
      </w:r>
      <w:r w:rsidRPr="005D6722">
        <w:rPr>
          <w:szCs w:val="24"/>
          <w:lang w:eastAsia="en-US"/>
        </w:rPr>
        <w:t xml:space="preserve"> vastu rakendusakti, millega määratakse kindlaks detergentide ja pindaktiivsete ainete tootepassiga seotud eri- ja tehnilised nõuded. Nendes nõuetes sätestatakse vähemalt järgmine:</w:t>
      </w:r>
      <w:r w:rsidR="00C0022F" w:rsidRPr="005D6722">
        <w:rPr>
          <w:b/>
          <w:szCs w:val="24"/>
          <w:lang w:eastAsia="en-US"/>
        </w:rPr>
        <w:t xml:space="preserve"> [ME 103]</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kasutatavate andmekandjate tüübid;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andmekandja paigutus ja asukoht;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passi tehnilised elemendid, mille kohta kasutatakse kindlaks määratud Euroopa või rahvusvahelisi standardeid;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osalejad, kes võivad tootepassi teavet lisada või seda ajakohastada, sealhulgas vajaduse korral uue tootepassi koostamine, sealhulgas tootjad, riigi pädevad asutused ja komisjon või nende nimel tegutsevad organisatsioonid, ning teabe liigid, mida nad võivad esitada või ajakohastada.</w:t>
      </w:r>
    </w:p>
    <w:p w:rsidR="00F9609E" w:rsidRPr="005D6722" w:rsidRDefault="00F9609E" w:rsidP="00F9609E">
      <w:pPr>
        <w:spacing w:before="120" w:after="120" w:line="360" w:lineRule="auto"/>
        <w:ind w:left="850"/>
        <w:rPr>
          <w:szCs w:val="24"/>
          <w:lang w:eastAsia="en-US"/>
        </w:rPr>
      </w:pPr>
      <w:r w:rsidRPr="005D6722">
        <w:rPr>
          <w:szCs w:val="24"/>
          <w:lang w:eastAsia="en-US"/>
        </w:rPr>
        <w:t>Need rakendusaktid võetakse vastu kooskõlas artikli 28 lõikes 2 osutatud kontrollimenetlusega.</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19</w:t>
      </w:r>
      <w:r w:rsidRPr="005D6722">
        <w:rPr>
          <w:szCs w:val="24"/>
          <w:lang w:eastAsia="en-US"/>
        </w:rPr>
        <w:br/>
        <w:t>Tootepassi tehniline teostus ja käitamine</w:t>
      </w:r>
    </w:p>
    <w:p w:rsidR="00F9609E" w:rsidRPr="005D6722" w:rsidRDefault="00F9609E" w:rsidP="00F9609E">
      <w:pPr>
        <w:spacing w:before="120" w:after="120" w:line="360" w:lineRule="auto"/>
        <w:rPr>
          <w:szCs w:val="24"/>
          <w:lang w:eastAsia="en-US"/>
        </w:rPr>
      </w:pPr>
      <w:r w:rsidRPr="005D6722">
        <w:rPr>
          <w:szCs w:val="24"/>
          <w:lang w:eastAsia="en-US"/>
        </w:rPr>
        <w:t>Tootepassi tehniline teostus ja käitamine peavad vastama järgmistele nõuetele: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a)</w:t>
      </w:r>
      <w:r w:rsidRPr="005D6722">
        <w:rPr>
          <w:szCs w:val="24"/>
          <w:lang w:eastAsia="en-US"/>
        </w:rPr>
        <w:tab/>
        <w:t>käesoleva määruse kohaselt koostatud tootepassid on muude liidu õigusaktidega nõutavate tootepassidega otspunktside ja andmeedastuse tehniliste, semantiliste ja korralduslike aspektide poolest täiesti koostalitlusvõimelised;</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b)</w:t>
      </w:r>
      <w:r w:rsidRPr="005D6722">
        <w:rPr>
          <w:szCs w:val="24"/>
          <w:lang w:eastAsia="en-US"/>
        </w:rPr>
        <w:tab/>
        <w:t xml:space="preserve">kogu tootepassis sisalduv teave peab põhinema koostalitlusvõimelises vormingus välja töötatud avatud standarditel ning olema </w:t>
      </w:r>
      <w:r w:rsidRPr="005D6722">
        <w:rPr>
          <w:b/>
          <w:i/>
          <w:szCs w:val="24"/>
          <w:lang w:eastAsia="en-US"/>
        </w:rPr>
        <w:t xml:space="preserve">asjakohasel juhul </w:t>
      </w:r>
      <w:r w:rsidRPr="005D6722">
        <w:rPr>
          <w:szCs w:val="24"/>
          <w:lang w:eastAsia="en-US"/>
        </w:rPr>
        <w:t>masinloetav, struktureeritud</w:t>
      </w:r>
      <w:r w:rsidRPr="005D6722">
        <w:rPr>
          <w:strike/>
          <w:szCs w:val="24"/>
          <w:lang w:eastAsia="en-US"/>
        </w:rPr>
        <w:t xml:space="preserve"> ja</w:t>
      </w:r>
      <w:r w:rsidRPr="005D6722">
        <w:rPr>
          <w:b/>
          <w:i/>
          <w:szCs w:val="24"/>
          <w:lang w:eastAsia="en-US"/>
        </w:rPr>
        <w:t>,</w:t>
      </w:r>
      <w:r w:rsidRPr="005D6722">
        <w:rPr>
          <w:szCs w:val="24"/>
          <w:lang w:eastAsia="en-US"/>
        </w:rPr>
        <w:t xml:space="preserve"> otsingu abil leitav</w:t>
      </w:r>
      <w:r w:rsidRPr="005D6722">
        <w:rPr>
          <w:b/>
          <w:i/>
          <w:szCs w:val="24"/>
          <w:lang w:eastAsia="en-US"/>
        </w:rPr>
        <w:t xml:space="preserve"> ja edastatav müüjast sõltumatu avatud koostalitlusvõimelise andmevahetusvõrgu kaudu</w:t>
      </w:r>
      <w:r w:rsidRPr="005D6722">
        <w:rPr>
          <w:szCs w:val="24"/>
          <w:lang w:eastAsia="en-US"/>
        </w:rPr>
        <w:t>;</w:t>
      </w:r>
      <w:r w:rsidR="00C0022F" w:rsidRPr="005D6722">
        <w:rPr>
          <w:b/>
          <w:szCs w:val="24"/>
          <w:lang w:eastAsia="en-US"/>
        </w:rPr>
        <w:t xml:space="preserve"> [ME 104]</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ba)</w:t>
      </w:r>
      <w:r w:rsidRPr="005D6722">
        <w:rPr>
          <w:szCs w:val="24"/>
          <w:lang w:eastAsia="en-US"/>
        </w:rPr>
        <w:tab/>
      </w:r>
      <w:r w:rsidRPr="005D6722">
        <w:rPr>
          <w:b/>
          <w:i/>
          <w:szCs w:val="24"/>
          <w:lang w:eastAsia="en-US"/>
        </w:rPr>
        <w:t>tootepass töötatakse välja ja seda käitatakse nii, et see oleks kasutusmugav;</w:t>
      </w:r>
      <w:r w:rsidR="00C0022F" w:rsidRPr="005D6722">
        <w:rPr>
          <w:b/>
          <w:szCs w:val="24"/>
          <w:lang w:eastAsia="en-US"/>
        </w:rPr>
        <w:t xml:space="preserve"> [ME 105]</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c)</w:t>
      </w:r>
      <w:r w:rsidRPr="005D6722">
        <w:rPr>
          <w:szCs w:val="24"/>
          <w:lang w:eastAsia="en-US"/>
        </w:rPr>
        <w:tab/>
        <w:t xml:space="preserve">lõppkasutajatel, ettevõtjatel ja muudel asjaomastel osalejatel </w:t>
      </w:r>
      <w:r w:rsidRPr="005D6722">
        <w:rPr>
          <w:strike/>
          <w:szCs w:val="24"/>
          <w:lang w:eastAsia="en-US"/>
        </w:rPr>
        <w:t>on</w:t>
      </w:r>
      <w:r w:rsidRPr="005D6722">
        <w:rPr>
          <w:b/>
          <w:i/>
          <w:szCs w:val="24"/>
          <w:lang w:eastAsia="en-US"/>
        </w:rPr>
        <w:t>peab olema</w:t>
      </w:r>
      <w:r w:rsidRPr="005D6722">
        <w:rPr>
          <w:szCs w:val="24"/>
          <w:lang w:eastAsia="en-US"/>
        </w:rPr>
        <w:t xml:space="preserve"> tootepassile</w:t>
      </w:r>
      <w:r w:rsidRPr="005D6722">
        <w:rPr>
          <w:b/>
          <w:i/>
          <w:szCs w:val="24"/>
          <w:lang w:eastAsia="en-US"/>
        </w:rPr>
        <w:t xml:space="preserve"> hõlbus ja</w:t>
      </w:r>
      <w:r w:rsidRPr="005D6722">
        <w:rPr>
          <w:szCs w:val="24"/>
          <w:lang w:eastAsia="en-US"/>
        </w:rPr>
        <w:t xml:space="preserve"> tasuta juurdepääs</w:t>
      </w:r>
      <w:r w:rsidRPr="005D6722">
        <w:rPr>
          <w:b/>
          <w:i/>
          <w:szCs w:val="24"/>
          <w:lang w:eastAsia="en-US"/>
        </w:rPr>
        <w:t>, mis ei tohi olla piiratud üksnes olemasolevate kasutajatega</w:t>
      </w:r>
      <w:r w:rsidRPr="005D6722">
        <w:rPr>
          <w:szCs w:val="24"/>
          <w:lang w:eastAsia="en-US"/>
        </w:rPr>
        <w:t>;</w:t>
      </w:r>
      <w:r w:rsidR="00C0022F" w:rsidRPr="005D6722">
        <w:rPr>
          <w:b/>
          <w:szCs w:val="24"/>
          <w:lang w:eastAsia="en-US"/>
        </w:rPr>
        <w:t xml:space="preserve"> [ME 106]</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d)</w:t>
      </w:r>
      <w:r w:rsidRPr="005D6722">
        <w:rPr>
          <w:szCs w:val="24"/>
          <w:lang w:eastAsia="en-US"/>
        </w:rPr>
        <w:tab/>
        <w:t xml:space="preserve">tootepassis </w:t>
      </w:r>
      <w:r w:rsidRPr="005D6722">
        <w:rPr>
          <w:strike/>
          <w:szCs w:val="24"/>
          <w:lang w:eastAsia="en-US"/>
        </w:rPr>
        <w:t>sisalduvad andmed</w:t>
      </w:r>
      <w:r w:rsidRPr="005D6722">
        <w:rPr>
          <w:b/>
          <w:i/>
          <w:szCs w:val="24"/>
          <w:lang w:eastAsia="en-US"/>
        </w:rPr>
        <w:t>sisalduvaid andmeid</w:t>
      </w:r>
      <w:r w:rsidRPr="005D6722">
        <w:rPr>
          <w:szCs w:val="24"/>
          <w:lang w:eastAsia="en-US"/>
        </w:rPr>
        <w:t xml:space="preserve"> säilitab</w:t>
      </w:r>
      <w:r w:rsidRPr="005D6722">
        <w:rPr>
          <w:b/>
          <w:i/>
          <w:szCs w:val="24"/>
          <w:lang w:eastAsia="en-US"/>
        </w:rPr>
        <w:t xml:space="preserve"> ja ajakohastab</w:t>
      </w:r>
      <w:r w:rsidRPr="005D6722">
        <w:rPr>
          <w:szCs w:val="24"/>
          <w:lang w:eastAsia="en-US"/>
        </w:rPr>
        <w:t xml:space="preserve"> tootepassi koostamise eest vastutav ettevõtja või teevad seda tema nimel tegutsema volitatud ettevõtjad;</w:t>
      </w:r>
      <w:r w:rsidR="00C0022F" w:rsidRPr="005D6722">
        <w:rPr>
          <w:b/>
          <w:szCs w:val="24"/>
          <w:lang w:eastAsia="en-US"/>
        </w:rPr>
        <w:t xml:space="preserve"> [ME 107]</w:t>
      </w:r>
    </w:p>
    <w:p w:rsidR="00F9609E" w:rsidRPr="005D6722" w:rsidRDefault="00F9609E" w:rsidP="00F9609E">
      <w:pPr>
        <w:spacing w:before="120" w:after="120" w:line="360" w:lineRule="auto"/>
        <w:ind w:left="850" w:hanging="850"/>
        <w:rPr>
          <w:szCs w:val="24"/>
          <w:lang w:eastAsia="en-US"/>
        </w:rPr>
      </w:pPr>
      <w:r w:rsidRPr="005D6722">
        <w:rPr>
          <w:szCs w:val="24"/>
          <w:lang w:eastAsia="en-US"/>
        </w:rPr>
        <w:t>e)</w:t>
      </w:r>
      <w:r w:rsidRPr="005D6722">
        <w:rPr>
          <w:szCs w:val="24"/>
          <w:lang w:eastAsia="en-US"/>
        </w:rPr>
        <w:tab/>
        <w:t>kui tootepassis sisalduvaid andmeid säilitavad või töötlevad muul viisil ettevõtjad, kes on volitatud tegutsema detergenti või pindaktiivset ainet turule laskvate ettevõtjate nimel, ei tohi kõnealused ettevõtjad selliseid andmeid tervikuna või osaliselt müüa, taaskasutada ega töödelda rohkem, kui on vaja asjaomaste säilitamis- või töötlemisteenuste osutamiseks;</w:t>
      </w:r>
    </w:p>
    <w:p w:rsidR="00F9609E" w:rsidRPr="005D6722" w:rsidRDefault="00F9609E" w:rsidP="00F9609E">
      <w:pPr>
        <w:spacing w:before="120" w:after="120" w:line="360" w:lineRule="auto"/>
        <w:ind w:left="850" w:hanging="850"/>
        <w:rPr>
          <w:szCs w:val="24"/>
          <w:lang w:eastAsia="en-US"/>
        </w:rPr>
      </w:pPr>
      <w:r w:rsidRPr="005D6722">
        <w:rPr>
          <w:szCs w:val="24"/>
          <w:lang w:eastAsia="en-US"/>
        </w:rPr>
        <w:t>f)</w:t>
      </w:r>
      <w:r w:rsidRPr="005D6722">
        <w:rPr>
          <w:szCs w:val="24"/>
          <w:lang w:eastAsia="en-US"/>
        </w:rPr>
        <w:tab/>
        <w:t>ettevõtjad ei tohi jälgida, analüüsida ega kasutada kasutusteavet muul eesmärgil kui see, mis on tingimata vajalik tootepassis sisalduva teabe esitamiseks veebis.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20</w:t>
      </w:r>
      <w:r w:rsidRPr="005D6722">
        <w:rPr>
          <w:szCs w:val="24"/>
          <w:lang w:eastAsia="en-US"/>
        </w:rPr>
        <w:br/>
        <w:t>Tootepassiregister</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Enne detergendi või pindaktiivse aine turule laskmist laadivad ettevõtjad määruse (EL).../... (kestlike toodete ökodisaini kohta) artikli 12 lõike 1 kohaselt loodud registrisse üles detergendi või pindaktiivse aine toote kordumatu tunnuskoodi ja ettevõtja kordumatu tunnuskoodi.</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Komisjonil, turujärelevalveasutustel ja tollil on oma käesolevast määrusest tulenevate ülesannete täitmiseks juurdepääs lõikes 1 osutatud registrile.</w:t>
      </w:r>
    </w:p>
    <w:p w:rsidR="00F9609E" w:rsidRPr="005D6722" w:rsidRDefault="00F9609E" w:rsidP="00F9609E">
      <w:pPr>
        <w:spacing w:before="120" w:after="120" w:line="360" w:lineRule="auto"/>
        <w:jc w:val="center"/>
        <w:rPr>
          <w:szCs w:val="24"/>
          <w:lang w:eastAsia="en-US"/>
        </w:rPr>
      </w:pPr>
      <w:r w:rsidRPr="005D6722">
        <w:rPr>
          <w:szCs w:val="24"/>
          <w:lang w:eastAsia="en-US"/>
        </w:rPr>
        <w:t>Artikkel 21</w:t>
      </w:r>
      <w:r w:rsidRPr="005D6722">
        <w:rPr>
          <w:szCs w:val="24"/>
          <w:lang w:eastAsia="en-US"/>
        </w:rPr>
        <w:br/>
        <w:t>Tootepassiga seotud tollikontroll</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Liidu turule tulevate detergentide ja pindaktiivsete ainete suhtes kohaldatakse käesolevas artiklis sätestatud kontrollimisi ja muid meetmeid.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Määruse (EL) 952/2013 artikli 5 punktis 15 määratletud deklarandid lisavad iga detergendi või pindaktiivse aine vabasse ringlusse lubamise tollideklaratsiooni toote kordumatu tunnuskoodi.</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3.</w:t>
      </w:r>
      <w:r w:rsidRPr="005D6722">
        <w:rPr>
          <w:szCs w:val="24"/>
          <w:lang w:eastAsia="en-US"/>
        </w:rPr>
        <w:tab/>
        <w:t>Toll kontrollib, kas deklarandi poolt käesoleva artikli lõike 2 kohaselt esitatud toote kordumatu tunnuskood vastab artikli 20 lõike 1 kohaselt registrisse kantud toote kordumatule tunnuskoodile.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Peale lõikes 3 osutatud kontrollimise kontrollib toll, kas deklarantide poolt tollile kättesaadavaks tehtud teave on kooskõlas artikli 20 lõikes 1 osutatud registris säilitatava muu teabega, mis on loetletud artikli 26 lõikes 3 osutatud delegeeritud õigusaktis.</w:t>
      </w:r>
    </w:p>
    <w:p w:rsidR="00F9609E" w:rsidRPr="005D6722" w:rsidRDefault="00F9609E" w:rsidP="00F9609E">
      <w:pPr>
        <w:spacing w:before="120" w:after="120" w:line="360" w:lineRule="auto"/>
        <w:ind w:left="850" w:hanging="850"/>
        <w:rPr>
          <w:szCs w:val="24"/>
          <w:lang w:eastAsia="en-US"/>
        </w:rPr>
      </w:pPr>
      <w:r w:rsidRPr="005D6722">
        <w:rPr>
          <w:szCs w:val="24"/>
          <w:lang w:eastAsia="en-US"/>
        </w:rPr>
        <w:t>5.</w:t>
      </w:r>
      <w:r w:rsidRPr="005D6722">
        <w:rPr>
          <w:szCs w:val="24"/>
          <w:lang w:eastAsia="en-US"/>
        </w:rPr>
        <w:tab/>
        <w:t>Lõigetes 3 ja 4 osutatud kontrollimised toimuvad elektrooniliselt ja automaatselt enne vabasse ringlusse lubamist.</w:t>
      </w:r>
    </w:p>
    <w:p w:rsidR="00F9609E" w:rsidRPr="005D6722" w:rsidRDefault="00F9609E" w:rsidP="00F9609E">
      <w:pPr>
        <w:spacing w:before="120" w:after="120" w:line="360" w:lineRule="auto"/>
        <w:ind w:left="850" w:hanging="850"/>
        <w:rPr>
          <w:szCs w:val="24"/>
          <w:lang w:eastAsia="en-US"/>
        </w:rPr>
      </w:pPr>
      <w:r w:rsidRPr="005D6722">
        <w:rPr>
          <w:szCs w:val="24"/>
          <w:lang w:eastAsia="en-US"/>
        </w:rPr>
        <w:t>6.</w:t>
      </w:r>
      <w:r w:rsidRPr="005D6722">
        <w:rPr>
          <w:szCs w:val="24"/>
          <w:lang w:eastAsia="en-US"/>
        </w:rPr>
        <w:tab/>
        <w:t>Lõigete 3–5 kohaldamisel kasutatakse artikli 20 lõikes 1 osutatud registri ja [kestlike toodete ökodisaini määruse (EL).../... artiklis 13] osutatud ELi tollivaldkonna ühtse teeninduskeskkonna sertifikaate käsitleva teabe vahetamise süsteemi omavahelisi ühendusi.</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7.</w:t>
      </w:r>
      <w:r w:rsidRPr="005D6722">
        <w:rPr>
          <w:szCs w:val="24"/>
          <w:lang w:eastAsia="en-US"/>
        </w:rPr>
        <w:tab/>
        <w:t>Lõikeid 3, 4 ja 5 kohaldatakse alates päevast, mil registri ja [kestlike toodete ökodisaini määruse (EL).../... artiklis 13] osutatud ELi tollivaldkonna ühtse teeninduskeskkonna sertifikaate käsitleva teabe vahetamise süsteemi vaheline ühendus toimima hakkab.</w:t>
      </w:r>
    </w:p>
    <w:p w:rsidR="00F9609E" w:rsidRPr="005D6722" w:rsidRDefault="00F9609E" w:rsidP="00F9609E">
      <w:pPr>
        <w:spacing w:before="120" w:after="120" w:line="360" w:lineRule="auto"/>
        <w:ind w:left="850"/>
        <w:rPr>
          <w:szCs w:val="24"/>
          <w:lang w:eastAsia="en-US"/>
        </w:rPr>
      </w:pPr>
      <w:r w:rsidRPr="005D6722">
        <w:rPr>
          <w:szCs w:val="24"/>
          <w:lang w:eastAsia="en-US"/>
        </w:rPr>
        <w:t xml:space="preserve">Komisjon avaldab sellekohase teate </w:t>
      </w:r>
      <w:r w:rsidRPr="005D6722">
        <w:rPr>
          <w:i/>
          <w:szCs w:val="24"/>
          <w:lang w:eastAsia="en-US"/>
        </w:rPr>
        <w:t>Euroopa Liidu Teatajas</w:t>
      </w:r>
      <w:r w:rsidRPr="005D6722">
        <w:rPr>
          <w:szCs w:val="24"/>
          <w:lang w:eastAsia="en-US"/>
        </w:rPr>
        <w:t>, märkides ära võrkudevahelise ühenduse toimima hakkamise kuupäeva.</w:t>
      </w:r>
    </w:p>
    <w:p w:rsidR="00F9609E" w:rsidRPr="005D6722" w:rsidRDefault="00F9609E" w:rsidP="00F9609E">
      <w:pPr>
        <w:spacing w:before="120" w:after="120" w:line="360" w:lineRule="auto"/>
        <w:ind w:left="850" w:hanging="850"/>
        <w:rPr>
          <w:szCs w:val="24"/>
          <w:lang w:eastAsia="en-US"/>
        </w:rPr>
      </w:pPr>
      <w:r w:rsidRPr="005D6722">
        <w:rPr>
          <w:szCs w:val="24"/>
          <w:lang w:eastAsia="en-US"/>
        </w:rPr>
        <w:t>8.</w:t>
      </w:r>
      <w:r w:rsidRPr="005D6722">
        <w:rPr>
          <w:szCs w:val="24"/>
          <w:lang w:eastAsia="en-US"/>
        </w:rPr>
        <w:tab/>
        <w:t>Toll võib võtta ja kasutada tootepassis ja artikli 20 lõikes 1 osutatud registris sisalduvat teavet oma ülesannete täitmiseks vastavalt liidu õigusaktidele, sealhulgas riskijuhtimiseks vastavalt määruse (EL) nr 952/2013 artiklitele 46 ja 47.</w:t>
      </w:r>
    </w:p>
    <w:p w:rsidR="00F9609E" w:rsidRPr="005D6722" w:rsidRDefault="00F9609E" w:rsidP="00F9609E">
      <w:pPr>
        <w:spacing w:before="120" w:after="120" w:line="360" w:lineRule="auto"/>
        <w:ind w:left="850" w:hanging="850"/>
        <w:rPr>
          <w:szCs w:val="24"/>
          <w:lang w:eastAsia="en-US"/>
        </w:rPr>
      </w:pPr>
      <w:r w:rsidRPr="005D6722">
        <w:rPr>
          <w:szCs w:val="24"/>
          <w:lang w:eastAsia="en-US"/>
        </w:rPr>
        <w:t>9.</w:t>
      </w:r>
      <w:r w:rsidRPr="005D6722">
        <w:rPr>
          <w:szCs w:val="24"/>
          <w:lang w:eastAsia="en-US"/>
        </w:rPr>
        <w:tab/>
        <w:t>Käesolevas artiklis sätestatud kontrollimised ja muud meetmed tehakse määruse (EMÜ) nr 2658/87 I lisas esitatud kombineeritud nomenklatuuri koodide loetelu alusel, milles detergendid ja pindaktiivsed ained on klassifitseeritud, ning nende detergentide ja pindaktiivsete ainete tootekirjelduste alusel.</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10.</w:t>
      </w:r>
      <w:r w:rsidRPr="005D6722">
        <w:rPr>
          <w:szCs w:val="24"/>
          <w:lang w:eastAsia="en-US"/>
        </w:rPr>
        <w:tab/>
        <w:t>Käesolevas artiklis sätestatud kontrollimised ja meetmed ei mõjuta toodete vabasse ringlusse lubamist reguleerivate muude liidu õigusaktide, sealhulgas määruse (EL) nr 952/2013 artiklite 46, 47 ja 134 kohaldamist ega määruse (EL) 2019/1020 VII peatükis osutatud kontrolle.</w:t>
      </w:r>
    </w:p>
    <w:p w:rsidR="00F9609E" w:rsidRPr="005D6722" w:rsidRDefault="00F9609E" w:rsidP="00F9609E">
      <w:pPr>
        <w:spacing w:before="120" w:after="120" w:line="360" w:lineRule="auto"/>
        <w:jc w:val="center"/>
        <w:rPr>
          <w:szCs w:val="24"/>
          <w:lang w:eastAsia="en-US"/>
        </w:rPr>
      </w:pPr>
      <w:r w:rsidRPr="005D6722">
        <w:rPr>
          <w:szCs w:val="24"/>
          <w:lang w:eastAsia="en-US"/>
        </w:rPr>
        <w:t>VI PEATÜKK</w:t>
      </w:r>
      <w:r w:rsidRPr="005D6722">
        <w:rPr>
          <w:szCs w:val="24"/>
          <w:lang w:eastAsia="en-US"/>
        </w:rPr>
        <w:br/>
        <w:t xml:space="preserve">TURUJÄRELEVALVE </w:t>
      </w:r>
    </w:p>
    <w:p w:rsidR="00F9609E" w:rsidRPr="005D6722" w:rsidRDefault="00F9609E" w:rsidP="00F9609E">
      <w:pPr>
        <w:spacing w:before="120" w:after="120" w:line="360" w:lineRule="auto"/>
        <w:jc w:val="center"/>
        <w:rPr>
          <w:szCs w:val="24"/>
          <w:lang w:eastAsia="en-US"/>
        </w:rPr>
      </w:pPr>
      <w:r w:rsidRPr="005D6722">
        <w:rPr>
          <w:szCs w:val="24"/>
          <w:lang w:eastAsia="en-US"/>
        </w:rPr>
        <w:t>Artikkel 22</w:t>
      </w:r>
      <w:r w:rsidRPr="005D6722">
        <w:rPr>
          <w:szCs w:val="24"/>
          <w:lang w:eastAsia="en-US"/>
        </w:rPr>
        <w:br/>
        <w:t xml:space="preserve">Siseriiklik menetlus ohtlike detergentide ja pindaktiivsete ainetega tegelemiseks </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1.</w:t>
      </w:r>
      <w:r w:rsidRPr="005D6722">
        <w:rPr>
          <w:szCs w:val="24"/>
          <w:lang w:eastAsia="en-US"/>
        </w:rPr>
        <w:tab/>
        <w:t xml:space="preserve">Kui ühe liikmesriigi turujärelevalveasutustel on piisavalt põhjust arvata, et detergent või pindaktiivne aine </w:t>
      </w:r>
      <w:r w:rsidRPr="005D6722">
        <w:rPr>
          <w:strike/>
          <w:szCs w:val="24"/>
          <w:lang w:eastAsia="en-US"/>
        </w:rPr>
        <w:t>ohustab inimeste tervist või keskkonda</w:t>
      </w:r>
      <w:r w:rsidRPr="005D6722">
        <w:rPr>
          <w:b/>
          <w:i/>
          <w:szCs w:val="24"/>
          <w:lang w:eastAsia="en-US"/>
        </w:rPr>
        <w:t>kujutab endast ohtu tervisele, ohutusele või keskkonnale</w:t>
      </w:r>
      <w:r w:rsidRPr="005D6722">
        <w:rPr>
          <w:szCs w:val="24"/>
          <w:lang w:eastAsia="en-US"/>
        </w:rPr>
        <w:t>, siis korraldavad nad selle detergendi või pindaktiivse aine hindamise, mis hõlmab kõiki käesoleva määruse asjakohaseid nõudeid. Asjaomased ettevõtjad teevad turujärelevalveasutustega sel eesmärgil vajaduse korral koostööd.</w:t>
      </w:r>
      <w:r w:rsidR="00C0022F" w:rsidRPr="005D6722">
        <w:rPr>
          <w:b/>
          <w:szCs w:val="24"/>
          <w:lang w:eastAsia="en-US"/>
        </w:rPr>
        <w:t xml:space="preserve"> [ME 108]</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w:t>
      </w:r>
      <w:r w:rsidRPr="005D6722">
        <w:rPr>
          <w:szCs w:val="24"/>
          <w:lang w:eastAsia="en-US"/>
        </w:rPr>
        <w:tab/>
        <w:t>Kui ühe liikmesriigi turujärelevalveasutustel on piisavalt põhjust arvata, et I või II lisas loetletud meetodite kohaselt tehtud katse on andnud valesid tulemusi, kontrollivad nad detergendi või pindaktiivse aine vastavust käesolevale määrusele vastavalt I, II ja VII lisas esitatud võrdlusmeetoditele. Ettevõtjad ei ole kohustatud maksma ühegi kordus- või täiendava katse eest, eeldusel et algne katse on näidanud detergentide või pindaktiivsete ainete vastavust käesoleva määruse nõuetele.</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3.</w:t>
      </w:r>
      <w:r w:rsidRPr="005D6722">
        <w:rPr>
          <w:szCs w:val="24"/>
          <w:lang w:eastAsia="en-US"/>
        </w:rPr>
        <w:tab/>
        <w:t xml:space="preserve">Kui turujärelevalveasutused leiavad lõikes 1 või 2 osutatud kontrollimisel, et detergent või pindaktiivne aine ei vasta käesoleva määruse nõuetele, siis nõuavad nad viivitamata, et asjaomane ettevõtja võtaks kõik vajalikud parandusmeetmed detergendi või pindaktiivse aine vastavusse viimiseks nende nõuetega, kõrvaldaks selle turult või võtaks selle tagasi mõistliku aja jooksul, </w:t>
      </w:r>
      <w:r w:rsidRPr="005D6722">
        <w:rPr>
          <w:b/>
          <w:i/>
          <w:szCs w:val="24"/>
          <w:lang w:eastAsia="en-US"/>
        </w:rPr>
        <w:t xml:space="preserve">mille määrab turujärelevalveasutus ja </w:t>
      </w:r>
      <w:r w:rsidRPr="005D6722">
        <w:rPr>
          <w:szCs w:val="24"/>
          <w:lang w:eastAsia="en-US"/>
        </w:rPr>
        <w:t>mis vastab lõikes 1 osutatud ohu laadile.</w:t>
      </w:r>
      <w:r w:rsidR="00C0022F" w:rsidRPr="005D6722">
        <w:rPr>
          <w:b/>
          <w:szCs w:val="24"/>
          <w:lang w:eastAsia="en-US"/>
        </w:rPr>
        <w:t xml:space="preserve"> [ME 109]</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4.</w:t>
      </w:r>
      <w:r w:rsidRPr="005D6722">
        <w:rPr>
          <w:szCs w:val="24"/>
          <w:lang w:eastAsia="en-US"/>
        </w:rPr>
        <w:tab/>
        <w:t>Kui turujärelevalveasutused on seisukohal, et nõuetele mittevastavus ei piirdu üksnes nende liikmesriigi territooriumiga, siis teavitavad nad komisjoni ja teiste liikmesriikide turujärelevalveasutusi hindamise tulemustest ja meetmetest, mille võtmist nad on ettevõtjalt nõudnud.</w:t>
      </w:r>
    </w:p>
    <w:p w:rsidR="00F9609E" w:rsidRPr="005D6722" w:rsidRDefault="00F9609E" w:rsidP="00F9609E">
      <w:pPr>
        <w:spacing w:before="120" w:after="120" w:line="360" w:lineRule="auto"/>
        <w:ind w:left="850" w:hanging="850"/>
        <w:rPr>
          <w:szCs w:val="24"/>
          <w:lang w:eastAsia="en-US"/>
        </w:rPr>
      </w:pPr>
      <w:r w:rsidRPr="005D6722">
        <w:rPr>
          <w:szCs w:val="24"/>
          <w:lang w:eastAsia="en-US"/>
        </w:rPr>
        <w:t>5.</w:t>
      </w:r>
      <w:r w:rsidRPr="005D6722">
        <w:rPr>
          <w:szCs w:val="24"/>
          <w:lang w:eastAsia="en-US"/>
        </w:rPr>
        <w:tab/>
        <w:t>Ettevõtja tagab, et kõik vajalikud parandusmeetmed võetakse kõigi asjakohaste detergentide või pindaktiivsete ainete korral, mille ta on liidu turul kättesaadavaks teinud.</w:t>
      </w:r>
    </w:p>
    <w:p w:rsidR="00F9609E" w:rsidRPr="005D6722" w:rsidRDefault="00F9609E" w:rsidP="00F9609E">
      <w:pPr>
        <w:spacing w:before="120" w:after="120" w:line="360" w:lineRule="auto"/>
        <w:ind w:left="850" w:hanging="850"/>
        <w:rPr>
          <w:szCs w:val="24"/>
          <w:lang w:eastAsia="en-US"/>
        </w:rPr>
      </w:pPr>
      <w:r w:rsidRPr="005D6722">
        <w:rPr>
          <w:szCs w:val="24"/>
          <w:lang w:eastAsia="en-US"/>
        </w:rPr>
        <w:t>6.</w:t>
      </w:r>
      <w:r w:rsidRPr="005D6722">
        <w:rPr>
          <w:szCs w:val="24"/>
          <w:lang w:eastAsia="en-US"/>
        </w:rPr>
        <w:tab/>
        <w:t>Kui asjaomane ettevõtja ei võta lõikes 3 osutatud ajavahemiku jooksul piisavaid parandusmeetmeid, rakendavad turujärelevalveasutused kõiki sobivaid ajutisi meetmeid, et keelata või piirata detergendi või pindaktiivse aine kättesaadavaks tegemist oma riigi turul või et detergent või pindaktiivne aine turult kõrvaldada või tagasi võtta.</w:t>
      </w:r>
    </w:p>
    <w:p w:rsidR="00F9609E" w:rsidRPr="005D6722" w:rsidRDefault="00F9609E" w:rsidP="00F9609E">
      <w:pPr>
        <w:spacing w:before="120" w:after="120" w:line="360" w:lineRule="auto"/>
        <w:ind w:left="850"/>
        <w:rPr>
          <w:szCs w:val="24"/>
          <w:lang w:eastAsia="en-US"/>
        </w:rPr>
      </w:pPr>
      <w:r w:rsidRPr="005D6722">
        <w:rPr>
          <w:szCs w:val="24"/>
          <w:lang w:eastAsia="en-US"/>
        </w:rPr>
        <w:t>Turujärelevalveasutused teatavad nendest meetmetest viivitamata komisjonile ja teiste liikmesriikide turujärelevalveasutustele.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Teises lõigus osutatud teave hõlmab kõiki kasutadaolevaid andmeid: eelkõige nõuetele mittevastava detergendi või pindaktiivse aine identifitseerimiseks vajalikud andmed, detergendi või pindaktiivse aine päritolu, leitud mittevastavuse ja kaasneva riski laad, liikmesriigis võetud meetmete laad ja kestus, samuti asjaomase ettevõtja esitatud seisukohad.</w:t>
      </w:r>
    </w:p>
    <w:p w:rsidR="00F9609E" w:rsidRPr="005D6722" w:rsidRDefault="00F9609E" w:rsidP="00F9609E">
      <w:pPr>
        <w:spacing w:before="120" w:after="120" w:line="360" w:lineRule="auto"/>
        <w:ind w:left="850" w:hanging="850"/>
        <w:rPr>
          <w:szCs w:val="24"/>
          <w:lang w:eastAsia="en-US"/>
        </w:rPr>
      </w:pPr>
      <w:r w:rsidRPr="005D6722">
        <w:rPr>
          <w:szCs w:val="24"/>
          <w:lang w:eastAsia="en-US"/>
        </w:rPr>
        <w:t>7.</w:t>
      </w:r>
      <w:r w:rsidRPr="005D6722">
        <w:rPr>
          <w:szCs w:val="24"/>
          <w:lang w:eastAsia="en-US"/>
        </w:rPr>
        <w:tab/>
        <w:t>Nende liikmesriikide turujärelevalveasutused, kes ei ole käesoleva artikli kohase menetluse algatajad, teatavad viivitamata komisjonile ja teiste liikmesriikide turujärelevalveasutustele nende võetud meetmetest ja mis tahes muust asjakohase detergendi või pindaktiivse aine nõuetele mittevastavusega seotud teabest, mis neil on, ning oma vastuväidetest, juhul kui nad ei ole nõus liikmesriigis võetud meetmega.</w:t>
      </w:r>
    </w:p>
    <w:p w:rsidR="00F9609E" w:rsidRPr="005D6722" w:rsidRDefault="00F9609E" w:rsidP="00F9609E">
      <w:pPr>
        <w:spacing w:before="120" w:after="120" w:line="360" w:lineRule="auto"/>
        <w:ind w:left="850" w:hanging="850"/>
        <w:rPr>
          <w:szCs w:val="24"/>
          <w:lang w:eastAsia="en-US"/>
        </w:rPr>
      </w:pPr>
      <w:r w:rsidRPr="005D6722">
        <w:rPr>
          <w:szCs w:val="24"/>
          <w:lang w:eastAsia="en-US"/>
        </w:rPr>
        <w:t>8.</w:t>
      </w:r>
      <w:r w:rsidRPr="005D6722">
        <w:rPr>
          <w:szCs w:val="24"/>
          <w:lang w:eastAsia="en-US"/>
        </w:rPr>
        <w:tab/>
        <w:t>Kui turujärelevalveasutus või komisjon ei ole kolme kuu jooksul alates lõike 6 teises lõigus osutatud teabe kättesaamisest esitanud vastuväiteid liikmesriigi võetud ajutise meetme kohta, loetakse see meede põhjendatuks.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9.</w:t>
      </w:r>
      <w:r w:rsidRPr="005D6722">
        <w:rPr>
          <w:szCs w:val="24"/>
          <w:lang w:eastAsia="en-US"/>
        </w:rPr>
        <w:tab/>
        <w:t>Turujärelevalveasutused tagavad, et asjakohase detergendi või pindaktiivse aine suhtes võetakse viivitamata vajalikke piiravaid meetmeid, nagu detergendi või pindaktiivse aine turult kõrvaldamine.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10.</w:t>
      </w:r>
      <w:r w:rsidRPr="005D6722">
        <w:rPr>
          <w:szCs w:val="24"/>
          <w:lang w:eastAsia="en-US"/>
        </w:rPr>
        <w:tab/>
        <w:t>Kui lõigete 4, 6, 7 ja 8 kohaldamisel edastatakse komisjonile või muudele turujärelevalveasutustele teavet, siis see teave tuleb edastada määruse (EL) 2019/1020 artikli 34 lõikes 1 osutatud info- ja teavitussüsteemi kaudu.</w:t>
      </w:r>
    </w:p>
    <w:p w:rsidR="00F9609E" w:rsidRPr="005D6722" w:rsidRDefault="00F9609E" w:rsidP="00F9609E">
      <w:pPr>
        <w:spacing w:before="120" w:after="120" w:line="360" w:lineRule="auto"/>
        <w:jc w:val="center"/>
        <w:rPr>
          <w:szCs w:val="24"/>
          <w:lang w:eastAsia="en-US"/>
        </w:rPr>
      </w:pPr>
      <w:r w:rsidRPr="005D6722">
        <w:rPr>
          <w:szCs w:val="24"/>
          <w:lang w:eastAsia="en-US"/>
        </w:rPr>
        <w:t>Artikkel 23</w:t>
      </w:r>
      <w:r w:rsidRPr="005D6722">
        <w:rPr>
          <w:szCs w:val="24"/>
          <w:lang w:eastAsia="en-US"/>
        </w:rPr>
        <w:br/>
        <w:t>Liidu kaitsemeetmete menetlus</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Kui artikli 22 lõigetes 3, 4 ja 5 sätestatud menetluse lõppedes esitatakse turujärelevalveasutuse võetud meetmele vastuväiteid või kui komisjon arvab, et liikmesriigi meede on liidu õigusaktidega vastuolus, siis algatab komisjon viivitamata konsulteerimise turujärelevalveasutustega ja asjaomase ettevõtja või asjaomaste ettevõtjatega ning hindab liikmesriigi meedet. Hindamise tulemuste põhjal võtab komisjon vastu rakendusakti, milles tehakse kindlaks, kas liikmesriigi meede on õigustatud või mitte.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Komisjon adresseerib oma otsuse kõigile liikmesriikidele ning edastab selle viivitamata neile ja asjaomasele ettevõtjale või asjaomastele ettevõtjatele.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Kui liikmesriigi meede loetakse põhjendatuks, siis võtavad kõik liikmesriigid vajalikke meetmeid, et tagada nõuetele mittevastava detergendi või pindaktiivse aine kõrvaldamine oma turult, ja teatavad sellest komisjonile.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Kui liikmesriigi meedet peetakse põhjendamatuks, siis liikmesriik tühistab selle meetme.</w:t>
      </w:r>
    </w:p>
    <w:p w:rsidR="00F9609E" w:rsidRPr="005D6722" w:rsidRDefault="00F9609E" w:rsidP="00F9609E">
      <w:pPr>
        <w:spacing w:before="120" w:after="120" w:line="360" w:lineRule="auto"/>
        <w:jc w:val="center"/>
        <w:rPr>
          <w:szCs w:val="24"/>
          <w:lang w:eastAsia="en-US"/>
        </w:rPr>
      </w:pPr>
      <w:r w:rsidRPr="005D6722">
        <w:rPr>
          <w:szCs w:val="24"/>
          <w:lang w:eastAsia="en-US"/>
        </w:rPr>
        <w:t>Artikkel 24</w:t>
      </w:r>
      <w:r w:rsidRPr="005D6722">
        <w:rPr>
          <w:szCs w:val="24"/>
          <w:lang w:eastAsia="en-US"/>
        </w:rPr>
        <w:br/>
        <w:t>Nõuetele vastavad detergendid ja pindaktiivsed ained, mis ohustavad tervist või keskkonda</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1.</w:t>
      </w:r>
      <w:r w:rsidRPr="005D6722">
        <w:rPr>
          <w:szCs w:val="24"/>
          <w:lang w:eastAsia="en-US"/>
        </w:rPr>
        <w:tab/>
        <w:t>Kui turujärelevalveasutus leiab pärast artikli 22 lõike 1 kohast hindamist, et käesoleva määruse nõuetele vastav detergent või pindaktiivne aine ohustab siiski tervist või keskkonda, nõuab ta, et asjaomane ettevõtja võtaks asjakohased meetmed, mis tagavad, et see detergent või pindaktiivne aine ei kujuta endast turule laskmise korral enam ohtu, kõrvaldaks selle turult või võtaks selle tagasi ohu laadile vastava mõistliku aja jooksul</w:t>
      </w:r>
      <w:r w:rsidRPr="005D6722">
        <w:rPr>
          <w:b/>
          <w:i/>
          <w:szCs w:val="24"/>
          <w:lang w:eastAsia="en-US"/>
        </w:rPr>
        <w:t>, mille määrab turujärelevalveasutus</w:t>
      </w:r>
      <w:r w:rsidRPr="005D6722">
        <w:rPr>
          <w:szCs w:val="24"/>
          <w:lang w:eastAsia="en-US"/>
        </w:rPr>
        <w:t>.</w:t>
      </w:r>
      <w:r w:rsidR="00C0022F" w:rsidRPr="005D6722">
        <w:rPr>
          <w:b/>
          <w:szCs w:val="24"/>
          <w:lang w:eastAsia="en-US"/>
        </w:rPr>
        <w:t xml:space="preserve"> [ME 110]</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w:t>
      </w:r>
      <w:r w:rsidRPr="005D6722">
        <w:rPr>
          <w:szCs w:val="24"/>
          <w:lang w:eastAsia="en-US"/>
        </w:rPr>
        <w:tab/>
        <w:t>Ettevõtja tagab, et parandusmeetmed võetakse kõigi asjakohaste detergentide või pindaktiivsete ainete korral, mille ta on liidu turul kättesaadavaks teinud.</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Turujärelevalveasutus teatab sellest viivitamata komisjonile ja teiste liikmesriikide turujärelevalveasutustele. Kõnealune teave hõlmab kõiki kasutadaolevaid andmeid: eelkõige kõnealuse detergendi või pindaktiivse aine identifitseerimiseks vajalikud andmed, detergendi või pindaktiivse aine päritolu ja tarneahel, kaasneva riski laad ning liikmesriigis võetud meetmete laad ja kestus.</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Komisjon algatab viivitamata konsulteerimise turujärelevalveasutustega ja asjaomase ettevõtja või asjaomaste ettevõtjatega ning hindab liikmesriigi meedet. Selle hindamise tulemuste põhjal võtab komisjon rakendusaktiga vastu otsuse, kas liikmesriigi meede on põhjendatud, ning esitab vajaduse korral ettepaneku sobivate meetmete võtmiseks.</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Komisjon adresseerib oma otsuse kõigile liikmesriikidele ning edastab selle viivitamata neile ja asjaomasele ettevõtjale või asjaomastele ettevõtjatele.</w:t>
      </w:r>
    </w:p>
    <w:p w:rsidR="00F9609E" w:rsidRPr="005D6722" w:rsidRDefault="00F9609E" w:rsidP="00F9609E">
      <w:pPr>
        <w:spacing w:before="120" w:after="120" w:line="360" w:lineRule="auto"/>
        <w:ind w:left="850"/>
        <w:rPr>
          <w:b/>
          <w:szCs w:val="24"/>
          <w:lang w:eastAsia="en-US"/>
        </w:rPr>
      </w:pPr>
      <w:r w:rsidRPr="005D6722">
        <w:rPr>
          <w:b/>
          <w:i/>
          <w:szCs w:val="24"/>
          <w:lang w:eastAsia="en-US"/>
        </w:rPr>
        <w:t>Igakülgselt põhjendatud tungiva kiireloomulisuse tõttu, mis on seotud tervise või keskkonna kaitsmisega, võtab komisjon kooskõlas artikli 28 lõikes 2a osutatud menetlusega vastu rakendusakti ja tagab, et see rakendusakt on viivitamata kohaldatav.</w:t>
      </w:r>
      <w:r w:rsidR="00C0022F" w:rsidRPr="005D6722">
        <w:rPr>
          <w:b/>
          <w:szCs w:val="24"/>
          <w:lang w:eastAsia="en-US"/>
        </w:rPr>
        <w:t xml:space="preserve"> [ME 111]</w:t>
      </w:r>
    </w:p>
    <w:p w:rsidR="00F9609E" w:rsidRPr="005D6722" w:rsidRDefault="00F9609E" w:rsidP="00F9609E">
      <w:pPr>
        <w:spacing w:before="120" w:after="120" w:line="360" w:lineRule="auto"/>
        <w:jc w:val="center"/>
        <w:rPr>
          <w:szCs w:val="24"/>
          <w:lang w:eastAsia="en-US"/>
        </w:rPr>
      </w:pPr>
      <w:r w:rsidRPr="005D6722">
        <w:rPr>
          <w:szCs w:val="24"/>
          <w:lang w:eastAsia="en-US"/>
        </w:rPr>
        <w:t>Artikkel 25</w:t>
      </w:r>
      <w:r w:rsidRPr="005D6722">
        <w:rPr>
          <w:szCs w:val="24"/>
          <w:lang w:eastAsia="en-US"/>
        </w:rPr>
        <w:br/>
        <w:t>Vormiline mittevastavus</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Ilma et see piiraks artikli 22 kohaldamist, nõuab turujärelevalveasutus asjaomaselt ettevõtjalt asjakohase nõuetele mittevastavuse kõrvaldamist pärast seda, kui ta on avastanud ühe järgmisest:</w:t>
      </w:r>
    </w:p>
    <w:p w:rsidR="00F9609E" w:rsidRPr="005D6722" w:rsidRDefault="00F9609E" w:rsidP="00F9609E">
      <w:pPr>
        <w:spacing w:before="120" w:after="120" w:line="360" w:lineRule="auto"/>
        <w:ind w:left="1416" w:hanging="566"/>
        <w:rPr>
          <w:b/>
          <w:szCs w:val="24"/>
          <w:lang w:eastAsia="en-US"/>
        </w:rPr>
      </w:pPr>
      <w:r w:rsidRPr="005D6722">
        <w:rPr>
          <w:strike/>
          <w:szCs w:val="24"/>
          <w:lang w:eastAsia="en-US"/>
        </w:rPr>
        <w:t>a)</w:t>
      </w:r>
      <w:r w:rsidRPr="005D6722">
        <w:rPr>
          <w:szCs w:val="24"/>
          <w:lang w:eastAsia="en-US"/>
        </w:rPr>
        <w:tab/>
      </w:r>
      <w:r w:rsidRPr="005D6722">
        <w:rPr>
          <w:strike/>
          <w:szCs w:val="24"/>
          <w:lang w:eastAsia="en-US"/>
        </w:rPr>
        <w:t>CE-märgis ei ole kinnitatud artikli 14 kohaselt või CE-märgis puudub;</w:t>
      </w:r>
      <w:r w:rsidR="00C0022F" w:rsidRPr="005D6722">
        <w:rPr>
          <w:b/>
          <w:strike/>
          <w:szCs w:val="24"/>
          <w:lang w:eastAsia="en-US"/>
        </w:rPr>
        <w:t xml:space="preserve"> </w:t>
      </w:r>
      <w:r w:rsidR="00C0022F" w:rsidRPr="005D6722">
        <w:rPr>
          <w:b/>
          <w:szCs w:val="24"/>
          <w:lang w:eastAsia="en-US"/>
        </w:rPr>
        <w:t>[ME 112]</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b)</w:t>
      </w:r>
      <w:r w:rsidRPr="005D6722">
        <w:rPr>
          <w:szCs w:val="24"/>
          <w:lang w:eastAsia="en-US"/>
        </w:rPr>
        <w:tab/>
        <w:t>tootepass ei ole koostatud artiklite 18 ja 19 kohaselt;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artikli 7 lõikes 2 osutatud tehniline dokumentatsioon ei ole kättesaadav või on puudulik;</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andmekandjat, mille kaudu tootepass ja vajaduse korral digimärgistus on kättesaadav, ei ole esitatud detergendil või pindaktiivsel ainel, selle pakendil, sellega kaasas olevatel dokumentidel ega taastäitmiskohas;</w:t>
      </w:r>
    </w:p>
    <w:p w:rsidR="00F9609E" w:rsidRPr="005D6722" w:rsidRDefault="00F9609E" w:rsidP="00F9609E">
      <w:pPr>
        <w:spacing w:before="120" w:after="120" w:line="360" w:lineRule="auto"/>
        <w:ind w:left="1416" w:hanging="566"/>
        <w:rPr>
          <w:szCs w:val="24"/>
          <w:lang w:eastAsia="en-US"/>
        </w:rPr>
      </w:pPr>
      <w:r w:rsidRPr="005D6722">
        <w:rPr>
          <w:szCs w:val="24"/>
          <w:lang w:eastAsia="en-US"/>
        </w:rPr>
        <w:t>e)</w:t>
      </w:r>
      <w:r w:rsidRPr="005D6722">
        <w:rPr>
          <w:szCs w:val="24"/>
          <w:lang w:eastAsia="en-US"/>
        </w:rPr>
        <w:tab/>
        <w:t>märgistust ei ole esitatud või artiklis 15 ja V lisas osutatud märgistusteave on vale või puudulik.</w:t>
      </w:r>
    </w:p>
    <w:p w:rsidR="00F9609E" w:rsidRPr="005D6722" w:rsidRDefault="00F9609E" w:rsidP="00F9609E">
      <w:pPr>
        <w:spacing w:before="120" w:after="120" w:line="360" w:lineRule="auto"/>
        <w:ind w:left="1416" w:hanging="566"/>
        <w:rPr>
          <w:b/>
          <w:szCs w:val="24"/>
          <w:lang w:eastAsia="en-US"/>
        </w:rPr>
      </w:pPr>
      <w:r w:rsidRPr="005D6722">
        <w:rPr>
          <w:b/>
          <w:i/>
          <w:szCs w:val="24"/>
          <w:lang w:eastAsia="en-US"/>
        </w:rPr>
        <w:t>ea)</w:t>
      </w:r>
      <w:r w:rsidRPr="005D6722">
        <w:rPr>
          <w:szCs w:val="24"/>
          <w:lang w:eastAsia="en-US"/>
        </w:rPr>
        <w:tab/>
      </w:r>
      <w:r w:rsidRPr="005D6722">
        <w:rPr>
          <w:b/>
          <w:i/>
          <w:szCs w:val="24"/>
          <w:lang w:eastAsia="en-US"/>
        </w:rPr>
        <w:t>ei täideta mõnda muud määrusega ette nähtud halduskohustust.</w:t>
      </w:r>
      <w:r w:rsidR="00C0022F" w:rsidRPr="005D6722">
        <w:rPr>
          <w:b/>
          <w:szCs w:val="24"/>
          <w:lang w:eastAsia="en-US"/>
        </w:rPr>
        <w:t xml:space="preserve"> [ME </w:t>
      </w:r>
      <w:r w:rsidR="00C0022F" w:rsidRPr="005D6722">
        <w:rPr>
          <w:rFonts w:ascii="Symbol" w:hAnsi="Symbol"/>
          <w:b/>
          <w:szCs w:val="24"/>
          <w:lang w:eastAsia="en-US"/>
        </w:rPr>
        <w:t></w:t>
      </w:r>
      <w:r w:rsidR="00C0022F" w:rsidRPr="005D6722">
        <w:rPr>
          <w:b/>
          <w:szCs w:val="24"/>
          <w:lang w:eastAsia="en-US"/>
        </w:rPr>
        <w:t>13]</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Kui lõikes 1 osutatud mittevastavust ei kõrvaldata, võtab asjaomane liikmesriik kõik asjakohased meetmed, et piirata detergendi või pindaktiivse aine turul kättesaadavaks tegemist või see keelata või tagada, et toode võetakse tagasi või kõrvaldatakse turult.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VII PEATÜKK</w:t>
      </w:r>
      <w:r w:rsidRPr="005D6722">
        <w:rPr>
          <w:szCs w:val="24"/>
          <w:lang w:eastAsia="en-US"/>
        </w:rPr>
        <w:br/>
        <w:t>DELEGEERITUD VOLITUSED JA KOMITEEMENETLUS</w:t>
      </w:r>
    </w:p>
    <w:p w:rsidR="00F9609E" w:rsidRPr="005D6722" w:rsidRDefault="00F9609E" w:rsidP="00F9609E">
      <w:pPr>
        <w:spacing w:before="120" w:after="120" w:line="360" w:lineRule="auto"/>
        <w:jc w:val="center"/>
        <w:rPr>
          <w:szCs w:val="24"/>
          <w:lang w:eastAsia="en-US"/>
        </w:rPr>
      </w:pPr>
      <w:r w:rsidRPr="005D6722">
        <w:rPr>
          <w:szCs w:val="24"/>
          <w:lang w:eastAsia="en-US"/>
        </w:rPr>
        <w:t>Artikkel 26</w:t>
      </w:r>
      <w:r w:rsidRPr="005D6722">
        <w:rPr>
          <w:szCs w:val="24"/>
          <w:lang w:eastAsia="en-US"/>
        </w:rPr>
        <w:br/>
        <w:t>Delegeeritud volitused</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1.</w:t>
      </w:r>
      <w:r w:rsidRPr="005D6722">
        <w:rPr>
          <w:szCs w:val="24"/>
          <w:lang w:eastAsia="en-US"/>
        </w:rPr>
        <w:tab/>
        <w:t>Komisjonil on õigus võtta artikli 27 kohaselt vastu delegeeritud õigusakte, millega muudetakse VI lisa seoses tootepassis esitatava teabega, et kohandada seda tehnika ja teaduse arenguga ning turujärelevalveasutuste ja lõppkasutajate digivalmiduse tasemega</w:t>
      </w:r>
      <w:r w:rsidRPr="005D6722">
        <w:rPr>
          <w:b/>
          <w:i/>
          <w:szCs w:val="24"/>
          <w:lang w:eastAsia="en-US"/>
        </w:rPr>
        <w:t>, võttes arvesse kohaldatavaid liidu õigusnorme, mis käsitlevad avalikustamata äriteabe kaitset ning keskkonnateabele avalikku juurdepääsu</w:t>
      </w:r>
      <w:r w:rsidRPr="005D6722">
        <w:rPr>
          <w:szCs w:val="24"/>
          <w:lang w:eastAsia="en-US"/>
        </w:rPr>
        <w:t>.</w:t>
      </w:r>
      <w:r w:rsidR="00C0022F" w:rsidRPr="005D6722">
        <w:rPr>
          <w:b/>
          <w:szCs w:val="24"/>
          <w:lang w:eastAsia="en-US"/>
        </w:rPr>
        <w:t xml:space="preserve"> [ME 114]</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Komisjonil on õigus võtta artikli 27 kohaselt vastu delegeeritud õigusakte, et muuta artikli 20 lõiget 1, nõudes VI lisas loetletud teabe hulka kuuluva täiendava teabe säilitamist registris.</w:t>
      </w:r>
    </w:p>
    <w:p w:rsidR="00F9609E" w:rsidRPr="005D6722" w:rsidRDefault="00F9609E" w:rsidP="00F9609E">
      <w:pPr>
        <w:spacing w:before="120" w:after="120" w:line="360" w:lineRule="auto"/>
        <w:ind w:left="850"/>
        <w:rPr>
          <w:szCs w:val="24"/>
          <w:lang w:eastAsia="en-US"/>
        </w:rPr>
      </w:pPr>
      <w:r w:rsidRPr="005D6722">
        <w:rPr>
          <w:szCs w:val="24"/>
          <w:lang w:eastAsia="en-US"/>
        </w:rPr>
        <w:t>Delegeeritud õigusaktide vastuvõtmisel esimese lõigu kohaselt võtab komisjon arvesse järgmisi kriteeriume: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kooskõla muude asjakohaste liidu õigusaktidega, kui see on asjakohane;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b)</w:t>
      </w:r>
      <w:r w:rsidRPr="005D6722">
        <w:rPr>
          <w:szCs w:val="24"/>
          <w:lang w:eastAsia="en-US"/>
        </w:rPr>
        <w:tab/>
        <w:t>vajadus võimaldada tootepassi autentsuse kontrollimist;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teabe asjakohasus detergentide ja pindaktiivsete ainete turujärelevalve tehtava kontrolli ja tollikontrolli tõhususe ning tulemuslikkuse parandamiseks;</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vajadus vältida ettevõtjatele ebaproportsionaalse halduskoormuse tekitamist.</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Komisjonil on õigus võtta artikli 27 kohaselt vastu delegeeritud õigusakte, millega täiendatakse käesolevat määrust, määrates kindlaks artikli 20 lõikes 1 osutatud registris säilitatava lisateabe, mida kontrollib toll.</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Komisjonil on õigus võtta artikli 27 kohaselt vastu delegeeritud õigusakte, millega muudetakse käesolevat määrust, koostades lisa, mis sisaldab määruse (EMÜ) nr 2658/87 I lisas sätestatud kombineeritud nomenklatuuri koodide loetelu ning detergentide ja pindaktiivsete ainete tootekirjeldusi, ning ajakohastades seda lisa.</w:t>
      </w:r>
    </w:p>
    <w:p w:rsidR="00F9609E" w:rsidRPr="005D6722" w:rsidRDefault="00F9609E" w:rsidP="00F9609E">
      <w:pPr>
        <w:spacing w:before="120" w:after="120" w:line="360" w:lineRule="auto"/>
        <w:ind w:left="850" w:hanging="850"/>
        <w:rPr>
          <w:szCs w:val="24"/>
          <w:lang w:eastAsia="en-US"/>
        </w:rPr>
      </w:pPr>
      <w:r w:rsidRPr="005D6722">
        <w:rPr>
          <w:szCs w:val="24"/>
          <w:lang w:eastAsia="en-US"/>
        </w:rPr>
        <w:t>5.</w:t>
      </w:r>
      <w:r w:rsidRPr="005D6722">
        <w:rPr>
          <w:szCs w:val="24"/>
          <w:lang w:eastAsia="en-US"/>
        </w:rPr>
        <w:tab/>
        <w:t>Komisjonil on õigus võtta artikli 27 kohaselt vastu delegeeritud õigusakte I–VII lisa muutmiseks, et võtta arvesse teaduse ja tehnika arengut.</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6.</w:t>
      </w:r>
      <w:r w:rsidRPr="005D6722">
        <w:rPr>
          <w:szCs w:val="24"/>
          <w:lang w:eastAsia="en-US"/>
        </w:rPr>
        <w:tab/>
        <w:t>Kui uued teaduslikud tõendid osutavad vajadusele kehtestada detergentides (sealhulgas detergentide kapslites) sisalduvate ainete ja segude (mis ei ole pindaktiivsed ained) biolagundatavuse nõuded, on komisjonil õigus võtta artikli 27 kohaselt vastu delegeeritud õigusakte, millega muudetakse I lisa, et kehtestada nende ainete ja segude biolagundatavuse kriteeriumid ning katsemeetodid nende täitmise kontrollimiseks.</w:t>
      </w:r>
    </w:p>
    <w:p w:rsidR="00F9609E" w:rsidRPr="005D6722" w:rsidRDefault="00F9609E" w:rsidP="00F9609E">
      <w:pPr>
        <w:spacing w:before="120" w:after="120" w:line="360" w:lineRule="auto"/>
        <w:ind w:left="850"/>
        <w:rPr>
          <w:szCs w:val="24"/>
          <w:lang w:eastAsia="en-US"/>
        </w:rPr>
      </w:pPr>
      <w:r w:rsidRPr="005D6722">
        <w:rPr>
          <w:szCs w:val="24"/>
          <w:lang w:eastAsia="en-US"/>
        </w:rPr>
        <w:t>Delegeeritud õigusaktide vastuvõtmisel esimese lõigu kohaselt võtab komisjon arvesse praegusi tootmistavasid, tehniliselt ja majanduslikult teostatavate alternatiivide kättesaadavust ning mõju väikestele ja keskmise suurusega ettevõtjatele.</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6a.</w:t>
      </w:r>
      <w:r w:rsidRPr="005D6722">
        <w:rPr>
          <w:szCs w:val="24"/>
          <w:lang w:eastAsia="en-US"/>
        </w:rPr>
        <w:tab/>
      </w:r>
      <w:r w:rsidRPr="005D6722">
        <w:rPr>
          <w:b/>
          <w:i/>
          <w:szCs w:val="24"/>
          <w:lang w:eastAsia="en-US"/>
        </w:rPr>
        <w:t>Kui komisjoni määruses (EÜ) nr 440/2008</w:t>
      </w:r>
      <w:r w:rsidRPr="005D6722">
        <w:rPr>
          <w:szCs w:val="24"/>
          <w:vertAlign w:val="superscript"/>
          <w:lang w:eastAsia="en-US"/>
        </w:rPr>
        <w:footnoteReference w:id="24"/>
      </w:r>
      <w:r w:rsidRPr="005D6722">
        <w:rPr>
          <w:b/>
          <w:i/>
          <w:szCs w:val="24"/>
          <w:lang w:eastAsia="en-US"/>
        </w:rPr>
        <w:t xml:space="preserve"> on ette nähtud, et hingamiselundite sensibiliseerimise omaduste katsetamiseks seoses mikroorganismidega kasutatakse loomadega mitteseotud lähenemisviise, võtab komisjon põhjendamatu viivituseta kooskõlas artikliga 27 vastu delegeeritud õigusaktid, et muuta käesoleva määruse II lisa ja määrata kindlaks pihustatavate mikroorganisme sisaldavate detergentide turulelaskmise nõuded.</w:t>
      </w:r>
      <w:r w:rsidR="00C0022F" w:rsidRPr="005D6722">
        <w:rPr>
          <w:b/>
          <w:szCs w:val="24"/>
          <w:lang w:eastAsia="en-US"/>
        </w:rPr>
        <w:t xml:space="preserve"> [ME 115]</w:t>
      </w:r>
    </w:p>
    <w:p w:rsidR="00BF0A86" w:rsidRPr="005D6722" w:rsidRDefault="00BF0A86">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lastRenderedPageBreak/>
        <w:t>6b.</w:t>
      </w:r>
      <w:r w:rsidRPr="005D6722">
        <w:rPr>
          <w:szCs w:val="24"/>
          <w:lang w:eastAsia="en-US"/>
        </w:rPr>
        <w:tab/>
      </w:r>
      <w:r w:rsidRPr="005D6722">
        <w:rPr>
          <w:b/>
          <w:i/>
          <w:szCs w:val="24"/>
          <w:lang w:eastAsia="en-US"/>
        </w:rPr>
        <w:t>Komisjonil on õigus võtta kooskõlas artikliga 27 vastu delegeeritud õigusakte, et muuta II lisa ja ajakohastada mikroorganismide loendamisele kohaldatavaid nõudeid vastavalt teaduse ja tehnika arengule.</w:t>
      </w:r>
      <w:r w:rsidR="00C0022F" w:rsidRPr="005D6722">
        <w:rPr>
          <w:b/>
          <w:szCs w:val="24"/>
          <w:lang w:eastAsia="en-US"/>
        </w:rPr>
        <w:t xml:space="preserve"> [ME 116]</w:t>
      </w:r>
    </w:p>
    <w:p w:rsidR="00F9609E" w:rsidRPr="005D6722" w:rsidRDefault="00F9609E" w:rsidP="00F9609E">
      <w:pPr>
        <w:spacing w:before="120" w:after="120" w:line="360" w:lineRule="auto"/>
        <w:ind w:left="850" w:hanging="850"/>
        <w:rPr>
          <w:szCs w:val="24"/>
          <w:lang w:eastAsia="en-US"/>
        </w:rPr>
      </w:pPr>
      <w:r w:rsidRPr="005D6722">
        <w:rPr>
          <w:szCs w:val="24"/>
          <w:lang w:eastAsia="en-US"/>
        </w:rPr>
        <w:t>7.</w:t>
      </w:r>
      <w:r w:rsidRPr="005D6722">
        <w:rPr>
          <w:szCs w:val="24"/>
          <w:lang w:eastAsia="en-US"/>
        </w:rPr>
        <w:tab/>
        <w:t>Kui Euroopa Parlamendi ja nõukogu määruses (EÜ) nr 1223/2009</w:t>
      </w:r>
      <w:r w:rsidRPr="005D6722">
        <w:rPr>
          <w:szCs w:val="24"/>
          <w:vertAlign w:val="superscript"/>
          <w:lang w:eastAsia="en-US"/>
        </w:rPr>
        <w:footnoteReference w:id="25"/>
      </w:r>
      <w:r w:rsidRPr="005D6722">
        <w:rPr>
          <w:szCs w:val="24"/>
          <w:lang w:eastAsia="en-US"/>
        </w:rPr>
        <w:t xml:space="preserve"> on kehtestatud lõhnaainetest allergeenide kohta individuaalsed riskipõhised sisalduse piirväärtused, võtab komisjon kooskõlas artikliga 27 vastu delegeeritud õigusaktid, millega muudetakse V lisa, et kohandada vastavalt kõnealuse määruse III lisas loetletud allergeensete lõhnaainete piirväärtusi.</w:t>
      </w:r>
    </w:p>
    <w:p w:rsidR="00F9609E" w:rsidRPr="005D6722" w:rsidRDefault="00F9609E" w:rsidP="00F9609E">
      <w:pPr>
        <w:spacing w:before="120" w:after="120" w:line="360" w:lineRule="auto"/>
        <w:ind w:left="850" w:hanging="850"/>
        <w:rPr>
          <w:szCs w:val="24"/>
          <w:lang w:eastAsia="en-US"/>
        </w:rPr>
      </w:pPr>
      <w:r w:rsidRPr="005D6722">
        <w:rPr>
          <w:szCs w:val="24"/>
          <w:lang w:eastAsia="en-US"/>
        </w:rPr>
        <w:t>8.</w:t>
      </w:r>
      <w:r w:rsidRPr="005D6722">
        <w:rPr>
          <w:szCs w:val="24"/>
          <w:lang w:eastAsia="en-US"/>
        </w:rPr>
        <w:tab/>
        <w:t>Hiljemalt [väljaannete talitus: palun lisada kuupäev – selle kuu esimene päev, mis järgneb 30 kuule alates käesoleva määruse jõustumise kuupäevast] võtab komisjon artikli 27 kohaselt vastu delegeeritud õigusaktid, et täiendada käesolevat määrust, määrates kindlaks detergentide digimärgistamise konkreetsed nõuded. Nende nõuetega kehtestatakse vähemalt IT-lahenduste liigid, mida ettevõtjad võivad kasutada, ja alternatiivsed vahendid teabe esitamiseks artiklis 17 osutatud digimärgistusel.</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Esimeses lõigus osutatud delegeeritud õigusakti vastuvõtmisel võtab komisjon arvesse järgmisi kriteeriume: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kooskõla muude asjakohaste liidu õigusaktidega, kui see on asjakohane;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vajadus soodustada innovatsiooni;</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tehnoloogia neutraalsus, tegemata tehnoloogia või seadmete valiku piiranguid ega ettekirjutusi, kuni valik tagab ühilduvuse ja võimaldab vältida häireid;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vajadus tagada, et digimärgistamine ei ohustaks lõppkasutajate ohutust ega keskkonda;</w:t>
      </w:r>
    </w:p>
    <w:p w:rsidR="00F9609E" w:rsidRPr="005D6722" w:rsidRDefault="00F9609E" w:rsidP="00F9609E">
      <w:pPr>
        <w:spacing w:before="120" w:after="120" w:line="360" w:lineRule="auto"/>
        <w:ind w:left="1416" w:hanging="566"/>
        <w:rPr>
          <w:szCs w:val="24"/>
          <w:lang w:eastAsia="en-US"/>
        </w:rPr>
      </w:pPr>
      <w:r w:rsidRPr="005D6722">
        <w:rPr>
          <w:szCs w:val="24"/>
          <w:lang w:eastAsia="en-US"/>
        </w:rPr>
        <w:t>e)</w:t>
      </w:r>
      <w:r w:rsidRPr="005D6722">
        <w:rPr>
          <w:szCs w:val="24"/>
          <w:lang w:eastAsia="en-US"/>
        </w:rPr>
        <w:tab/>
        <w:t>digivalmiduse tase liidu kõigi elanikkonnarühmade seas.</w:t>
      </w:r>
    </w:p>
    <w:p w:rsidR="00F9609E" w:rsidRPr="005D6722" w:rsidRDefault="00F9609E" w:rsidP="00F9609E">
      <w:pPr>
        <w:spacing w:before="120" w:after="120" w:line="360" w:lineRule="auto"/>
        <w:ind w:left="850" w:hanging="850"/>
        <w:rPr>
          <w:szCs w:val="24"/>
          <w:lang w:eastAsia="en-US"/>
        </w:rPr>
      </w:pPr>
      <w:r w:rsidRPr="005D6722">
        <w:rPr>
          <w:szCs w:val="24"/>
          <w:lang w:eastAsia="en-US"/>
        </w:rPr>
        <w:t>9.</w:t>
      </w:r>
      <w:r w:rsidRPr="005D6722">
        <w:rPr>
          <w:szCs w:val="24"/>
          <w:lang w:eastAsia="en-US"/>
        </w:rPr>
        <w:tab/>
        <w:t>Komisjonil on õigus võtta artikli 27 kohaselt vastu delegeeritud õigusakte, millega muudetakse V lisa seoses märgistusteabega, mida ettevõtjatel on lubatud esitada üksnes digitaalselt vastavalt artiklile 16, et kohandada seda tehnika ja teaduse arenguga ning detergentide lõppkasutajate digivalmiduse tasemega. Kõnealuste delegeeritud õigusaktide vastuvõtmisel võtab komisjon arvesse vajadust tagada tervise ja keskkonna kõrgetasemeline kaitse.</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27</w:t>
      </w:r>
      <w:r w:rsidRPr="005D6722">
        <w:rPr>
          <w:szCs w:val="24"/>
          <w:lang w:eastAsia="en-US"/>
        </w:rPr>
        <w:br/>
        <w:t>Delegeeritud volituste rakendamine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Komisjonile antakse õigus võtta vastu delegeeritud õigusakte käesolevas artiklis sätestatud tingimustel.</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Artiklis 26 osutatud õigus võtta vastu delegeeritud õigusakte antakse komisjonile määramata ajaks.</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 xml:space="preserve">Euroopa Parlament või nõukogu võivad artiklis 26 osutatud volituste delegeerimise igal ajal tagasi võtta. Tagasivõtmise otsusega lõpetatakse selles otsuses nimetatud volituste delegeerimine. Otsus jõustub järgmisel päeval pärast selle avaldamist </w:t>
      </w:r>
      <w:r w:rsidRPr="005D6722">
        <w:rPr>
          <w:i/>
          <w:szCs w:val="24"/>
          <w:lang w:eastAsia="en-US"/>
        </w:rPr>
        <w:t>Euroopa Liidu Teatajas</w:t>
      </w:r>
      <w:r w:rsidRPr="005D6722">
        <w:rPr>
          <w:szCs w:val="24"/>
          <w:lang w:eastAsia="en-US"/>
        </w:rPr>
        <w:t xml:space="preserve"> või otsuses nimetatud hilisemal kuupäeval. See ei mõjuta juba jõustunud delegeeritud õigusaktide kehtivust.</w:t>
      </w:r>
    </w:p>
    <w:p w:rsidR="00BF0A86"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Kooskõlas 13. aprilli 2016. aasta institutsioonidevahelises parema õigusloome kokkuleppes sätestatud põhimõtetega konsulteerib komisjon enne delegeeritud õigusakti vastuvõtmist iga liikmesriigi määratud ekspertidega.</w:t>
      </w:r>
    </w:p>
    <w:p w:rsidR="00BF0A86" w:rsidRPr="005D6722" w:rsidRDefault="00BF0A86">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p>
    <w:p w:rsidR="00F9609E" w:rsidRPr="005D6722" w:rsidRDefault="00F9609E" w:rsidP="00F9609E">
      <w:pPr>
        <w:spacing w:before="120" w:after="120" w:line="360" w:lineRule="auto"/>
        <w:ind w:left="850" w:hanging="850"/>
        <w:rPr>
          <w:szCs w:val="24"/>
          <w:lang w:eastAsia="en-US"/>
        </w:rPr>
      </w:pPr>
      <w:r w:rsidRPr="005D6722">
        <w:rPr>
          <w:szCs w:val="24"/>
          <w:lang w:eastAsia="en-US"/>
        </w:rPr>
        <w:t>5.</w:t>
      </w:r>
      <w:r w:rsidRPr="005D6722">
        <w:rPr>
          <w:szCs w:val="24"/>
          <w:lang w:eastAsia="en-US"/>
        </w:rPr>
        <w:tab/>
        <w:t>Niipea kui komisjon on delegeeritud õigusakti vastu võtnud, teeb ta selle samal ajal teatavaks Euroopa Parlamendile ja nõukogule.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6.</w:t>
      </w:r>
      <w:r w:rsidRPr="005D6722">
        <w:rPr>
          <w:szCs w:val="24"/>
          <w:lang w:eastAsia="en-US"/>
        </w:rPr>
        <w:tab/>
        <w:t>Artikli 26 alusel vastu võetud delegeeritud õigusakt jõustub üksnes juhul, kui Euroopa Parlament ega nõukogu ei ole kolme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p w:rsidR="00F9609E" w:rsidRPr="005D6722" w:rsidRDefault="00F9609E" w:rsidP="00F9609E">
      <w:pPr>
        <w:spacing w:before="120" w:after="120" w:line="360" w:lineRule="auto"/>
        <w:jc w:val="center"/>
        <w:rPr>
          <w:szCs w:val="24"/>
          <w:lang w:eastAsia="en-US"/>
        </w:rPr>
      </w:pPr>
      <w:r w:rsidRPr="005D6722">
        <w:rPr>
          <w:szCs w:val="24"/>
          <w:lang w:eastAsia="en-US"/>
        </w:rPr>
        <w:t>Artikkel 28</w:t>
      </w:r>
      <w:r w:rsidRPr="005D6722">
        <w:rPr>
          <w:szCs w:val="24"/>
          <w:lang w:eastAsia="en-US"/>
        </w:rPr>
        <w:br/>
        <w:t>Komiteemenetlus</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Komisjoni abistab detergentide komitee. Nimetatud komitee on komitee määruse (EL) nr 182/2011 tähenduses.</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Käesolevale lõikele viitamise korral kohaldatakse määruse (EL) nr 182/2011 artiklit 5.</w:t>
      </w:r>
    </w:p>
    <w:p w:rsidR="00EA6C65" w:rsidRPr="005D6722" w:rsidRDefault="00EA6C65">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lastRenderedPageBreak/>
        <w:t>2a.</w:t>
      </w:r>
      <w:r w:rsidRPr="005D6722">
        <w:rPr>
          <w:szCs w:val="24"/>
          <w:lang w:eastAsia="en-US"/>
        </w:rPr>
        <w:tab/>
      </w:r>
      <w:r w:rsidRPr="005D6722">
        <w:rPr>
          <w:b/>
          <w:i/>
          <w:szCs w:val="24"/>
          <w:lang w:eastAsia="en-US"/>
        </w:rPr>
        <w:t>Käesolevale lõikele viitamisel kohaldatakse määruse (EL) nr 182/2011</w:t>
      </w:r>
      <w:r w:rsidRPr="005D6722">
        <w:rPr>
          <w:szCs w:val="24"/>
          <w:vertAlign w:val="superscript"/>
          <w:lang w:eastAsia="en-US"/>
        </w:rPr>
        <w:footnoteReference w:id="26"/>
      </w:r>
      <w:r w:rsidRPr="005D6722">
        <w:rPr>
          <w:b/>
          <w:i/>
          <w:szCs w:val="24"/>
          <w:lang w:eastAsia="en-US"/>
        </w:rPr>
        <w:t xml:space="preserve"> artiklit 8, koostoimes artikliga 5.</w:t>
      </w:r>
      <w:r w:rsidR="00C0022F" w:rsidRPr="005D6722">
        <w:rPr>
          <w:b/>
          <w:szCs w:val="24"/>
          <w:lang w:eastAsia="en-US"/>
        </w:rPr>
        <w:t xml:space="preserve"> [ME 117]</w:t>
      </w:r>
    </w:p>
    <w:p w:rsidR="00F9609E" w:rsidRPr="005D6722" w:rsidRDefault="00F9609E" w:rsidP="00F9609E">
      <w:pPr>
        <w:spacing w:before="120" w:after="120" w:line="360" w:lineRule="auto"/>
        <w:jc w:val="center"/>
        <w:rPr>
          <w:szCs w:val="24"/>
          <w:lang w:eastAsia="en-US"/>
        </w:rPr>
      </w:pPr>
      <w:r w:rsidRPr="005D6722">
        <w:rPr>
          <w:szCs w:val="24"/>
          <w:lang w:eastAsia="en-US"/>
        </w:rPr>
        <w:t>VIII PEATÜKK</w:t>
      </w:r>
      <w:r w:rsidRPr="005D6722">
        <w:rPr>
          <w:szCs w:val="24"/>
          <w:lang w:eastAsia="en-US"/>
        </w:rPr>
        <w:br/>
        <w:t xml:space="preserve">ÜLEMINEKU- JA LÕPPSÄTTED </w:t>
      </w:r>
    </w:p>
    <w:p w:rsidR="00F9609E" w:rsidRPr="005D6722" w:rsidRDefault="00F9609E" w:rsidP="00F9609E">
      <w:pPr>
        <w:spacing w:before="120" w:after="120" w:line="360" w:lineRule="auto"/>
        <w:jc w:val="center"/>
        <w:rPr>
          <w:szCs w:val="24"/>
          <w:lang w:eastAsia="en-US"/>
        </w:rPr>
      </w:pPr>
      <w:r w:rsidRPr="005D6722">
        <w:rPr>
          <w:szCs w:val="24"/>
          <w:lang w:eastAsia="en-US"/>
        </w:rPr>
        <w:t>Artikkel 29</w:t>
      </w:r>
      <w:r w:rsidRPr="005D6722">
        <w:rPr>
          <w:szCs w:val="24"/>
          <w:lang w:eastAsia="en-US"/>
        </w:rPr>
        <w:br/>
        <w:t>Karistused</w:t>
      </w:r>
    </w:p>
    <w:p w:rsidR="00F9609E" w:rsidRPr="005D6722" w:rsidRDefault="00F9609E" w:rsidP="00F9609E">
      <w:pPr>
        <w:spacing w:before="120" w:after="120" w:line="360" w:lineRule="auto"/>
        <w:rPr>
          <w:b/>
          <w:szCs w:val="24"/>
          <w:lang w:eastAsia="en-US"/>
        </w:rPr>
      </w:pPr>
      <w:r w:rsidRPr="005D6722">
        <w:rPr>
          <w:szCs w:val="24"/>
          <w:lang w:eastAsia="en-US"/>
        </w:rPr>
        <w:t xml:space="preserve">Liikmesriigid kehtestavad käesoleva määruse rikkumise korral kohaldatavad karistusnormid ja võtavad kõik vajalikud meetmed nende rakendamise tagamiseks. Kehtestatud karistused </w:t>
      </w:r>
      <w:r w:rsidRPr="005D6722">
        <w:rPr>
          <w:strike/>
          <w:szCs w:val="24"/>
          <w:lang w:eastAsia="en-US"/>
        </w:rPr>
        <w:t>on tõhusad</w:t>
      </w:r>
      <w:r w:rsidRPr="005D6722">
        <w:rPr>
          <w:b/>
          <w:i/>
          <w:szCs w:val="24"/>
          <w:lang w:eastAsia="en-US"/>
        </w:rPr>
        <w:t>peavad olema mõjusad</w:t>
      </w:r>
      <w:r w:rsidRPr="005D6722">
        <w:rPr>
          <w:szCs w:val="24"/>
          <w:lang w:eastAsia="en-US"/>
        </w:rPr>
        <w:t>, proportsionaalsed ja hoiatavad</w:t>
      </w:r>
      <w:r w:rsidRPr="005D6722">
        <w:rPr>
          <w:b/>
          <w:i/>
          <w:szCs w:val="24"/>
          <w:lang w:eastAsia="en-US"/>
        </w:rPr>
        <w:t>. Need võivad hõlmata asjakohasel juhul rahalisi karistusi, mis on proportsionaalsed rikkumise toime pannud juriidilise isiku käibega, võttes arvesse väikeste ja keskmise suurusega ettevõtjate eripära</w:t>
      </w:r>
      <w:r w:rsidRPr="005D6722">
        <w:rPr>
          <w:szCs w:val="24"/>
          <w:lang w:eastAsia="en-US"/>
        </w:rPr>
        <w:t xml:space="preserve">. Liikmesriigid teavitavad komisjoni viivitamata nimetatud </w:t>
      </w:r>
      <w:r w:rsidRPr="005D6722">
        <w:rPr>
          <w:b/>
          <w:i/>
          <w:szCs w:val="24"/>
          <w:lang w:eastAsia="en-US"/>
        </w:rPr>
        <w:t xml:space="preserve">normidest ja </w:t>
      </w:r>
      <w:r w:rsidRPr="005D6722">
        <w:rPr>
          <w:szCs w:val="24"/>
          <w:lang w:eastAsia="en-US"/>
        </w:rPr>
        <w:t>meetmetest ning</w:t>
      </w:r>
      <w:r w:rsidR="00E674F7" w:rsidRPr="005D6722">
        <w:rPr>
          <w:b/>
          <w:i/>
          <w:szCs w:val="24"/>
          <w:lang w:eastAsia="en-US"/>
        </w:rPr>
        <w:t xml:space="preserve"> </w:t>
      </w:r>
      <w:r w:rsidRPr="005D6722">
        <w:rPr>
          <w:b/>
          <w:i/>
          <w:szCs w:val="24"/>
          <w:lang w:eastAsia="en-US"/>
        </w:rPr>
        <w:t>teavitavad teda</w:t>
      </w:r>
      <w:r w:rsidRPr="005D6722">
        <w:rPr>
          <w:strike/>
          <w:szCs w:val="24"/>
          <w:lang w:eastAsia="en-US"/>
        </w:rPr>
        <w:t xml:space="preserve"> kõigist</w:t>
      </w:r>
      <w:r w:rsidRPr="005D6722">
        <w:rPr>
          <w:szCs w:val="24"/>
          <w:lang w:eastAsia="en-US"/>
        </w:rPr>
        <w:t xml:space="preserve"> nende hilisematest muudatustest.</w:t>
      </w:r>
      <w:r w:rsidR="00C0022F" w:rsidRPr="005D6722">
        <w:rPr>
          <w:b/>
          <w:szCs w:val="24"/>
          <w:lang w:eastAsia="en-US"/>
        </w:rPr>
        <w:t xml:space="preserve"> [ME 118]</w:t>
      </w:r>
    </w:p>
    <w:p w:rsidR="00F9609E" w:rsidRPr="005D6722" w:rsidRDefault="00F9609E" w:rsidP="00F9609E">
      <w:pPr>
        <w:spacing w:before="120" w:after="120" w:line="360" w:lineRule="auto"/>
        <w:rPr>
          <w:szCs w:val="24"/>
          <w:lang w:eastAsia="en-US"/>
        </w:rPr>
      </w:pPr>
      <w:r w:rsidRPr="005D6722">
        <w:rPr>
          <w:b/>
          <w:i/>
          <w:szCs w:val="24"/>
          <w:lang w:eastAsia="en-US"/>
        </w:rPr>
        <w:t>Liikmesriigid tagavad, et käesoleva artikli kohaselt kehtestatud karistustes on kohaldataval juhul võetud igakülgselt arvesse järgmist:</w:t>
      </w:r>
    </w:p>
    <w:p w:rsidR="00EA6C65" w:rsidRPr="005D6722" w:rsidRDefault="00EA6C65">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lastRenderedPageBreak/>
        <w:t>a)</w:t>
      </w:r>
      <w:r w:rsidRPr="005D6722">
        <w:rPr>
          <w:szCs w:val="24"/>
          <w:lang w:eastAsia="en-US"/>
        </w:rPr>
        <w:tab/>
      </w:r>
      <w:r w:rsidRPr="005D6722">
        <w:rPr>
          <w:b/>
          <w:i/>
          <w:szCs w:val="24"/>
          <w:lang w:eastAsia="en-US"/>
        </w:rPr>
        <w:t>rikkumise laad, raskusaste ja ulatus;</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b)</w:t>
      </w:r>
      <w:r w:rsidRPr="005D6722">
        <w:rPr>
          <w:szCs w:val="24"/>
          <w:lang w:eastAsia="en-US"/>
        </w:rPr>
        <w:tab/>
      </w:r>
      <w:r w:rsidRPr="005D6722">
        <w:rPr>
          <w:b/>
          <w:i/>
          <w:szCs w:val="24"/>
          <w:lang w:eastAsia="en-US"/>
        </w:rPr>
        <w:t>asjaolu, kas rikkumine oli tahtlik või tulenes hooletusest;</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c)</w:t>
      </w:r>
      <w:r w:rsidRPr="005D6722">
        <w:rPr>
          <w:szCs w:val="24"/>
          <w:lang w:eastAsia="en-US"/>
        </w:rPr>
        <w:tab/>
      </w:r>
      <w:r w:rsidRPr="005D6722">
        <w:rPr>
          <w:b/>
          <w:i/>
          <w:szCs w:val="24"/>
          <w:lang w:eastAsia="en-US"/>
        </w:rPr>
        <w:t>rikkumisega inimeste tervisele või keskkonnale tekitatud kahju, kui seda on võimalik kindlaks teha;</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d)</w:t>
      </w:r>
      <w:r w:rsidRPr="005D6722">
        <w:rPr>
          <w:szCs w:val="24"/>
          <w:lang w:eastAsia="en-US"/>
        </w:rPr>
        <w:tab/>
      </w:r>
      <w:r w:rsidRPr="005D6722">
        <w:rPr>
          <w:b/>
          <w:i/>
          <w:szCs w:val="24"/>
          <w:lang w:eastAsia="en-US"/>
        </w:rPr>
        <w:t>asjaolu, mil määral teeb vastutav füüsiline või juriidiline isik pädeva asutusega koostööd.</w:t>
      </w:r>
      <w:r w:rsidR="00C0022F" w:rsidRPr="005D6722">
        <w:rPr>
          <w:b/>
          <w:szCs w:val="24"/>
          <w:lang w:eastAsia="en-US"/>
        </w:rPr>
        <w:t xml:space="preserve"> [ME 119]</w:t>
      </w:r>
    </w:p>
    <w:p w:rsidR="00F9609E" w:rsidRPr="005D6722" w:rsidRDefault="00F9609E" w:rsidP="00F9609E">
      <w:pPr>
        <w:spacing w:before="120" w:after="120" w:line="360" w:lineRule="auto"/>
        <w:jc w:val="center"/>
        <w:rPr>
          <w:szCs w:val="24"/>
          <w:lang w:eastAsia="en-US"/>
        </w:rPr>
      </w:pPr>
      <w:r w:rsidRPr="005D6722">
        <w:rPr>
          <w:szCs w:val="24"/>
          <w:lang w:eastAsia="en-US"/>
        </w:rPr>
        <w:t>Artikkel 30</w:t>
      </w:r>
      <w:r w:rsidRPr="005D6722">
        <w:rPr>
          <w:szCs w:val="24"/>
          <w:lang w:eastAsia="en-US"/>
        </w:rPr>
        <w:br/>
        <w:t>Määruse (EL) 2019/1020 muutmine</w:t>
      </w:r>
    </w:p>
    <w:p w:rsidR="00F9609E" w:rsidRPr="005D6722" w:rsidRDefault="00F9609E" w:rsidP="00F9609E">
      <w:pPr>
        <w:spacing w:before="120" w:after="120" w:line="360" w:lineRule="auto"/>
        <w:ind w:left="850" w:hanging="850"/>
        <w:rPr>
          <w:szCs w:val="24"/>
          <w:lang w:eastAsia="en-US"/>
        </w:rPr>
      </w:pPr>
      <w:r w:rsidRPr="005D6722">
        <w:rPr>
          <w:szCs w:val="24"/>
          <w:lang w:eastAsia="en-US"/>
        </w:rPr>
        <w:t>Määruse (EL) 2019/1020 I lisa punkt 15 asendatakse järgmisega:</w:t>
      </w:r>
    </w:p>
    <w:p w:rsidR="00F9609E" w:rsidRPr="005D6722" w:rsidRDefault="00F9609E" w:rsidP="005D6722">
      <w:pPr>
        <w:spacing w:before="120" w:after="120" w:line="360" w:lineRule="auto"/>
        <w:ind w:left="851" w:hanging="851"/>
        <w:rPr>
          <w:szCs w:val="24"/>
          <w:lang w:eastAsia="en-US"/>
        </w:rPr>
      </w:pPr>
      <w:r w:rsidRPr="005D6722">
        <w:rPr>
          <w:szCs w:val="24"/>
          <w:lang w:eastAsia="en-US"/>
        </w:rPr>
        <w:t>„15.</w:t>
      </w:r>
      <w:r w:rsidRPr="005D6722">
        <w:rPr>
          <w:szCs w:val="24"/>
          <w:lang w:eastAsia="en-US"/>
        </w:rPr>
        <w:tab/>
        <w:t>Euroopa Parlamendi ja nõukogu ... määrus (EL) .../... detergentide ja pindaktiivsete ainete turul kättesaadavaks tegemise kohta (ELT L ...).“</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31</w:t>
      </w:r>
      <w:r w:rsidRPr="005D6722">
        <w:rPr>
          <w:szCs w:val="24"/>
          <w:lang w:eastAsia="en-US"/>
        </w:rPr>
        <w:br/>
        <w:t xml:space="preserve">Aruanne </w:t>
      </w:r>
    </w:p>
    <w:p w:rsidR="00F9609E" w:rsidRPr="005D6722" w:rsidRDefault="00F9609E" w:rsidP="00F9609E">
      <w:pPr>
        <w:spacing w:before="120" w:after="120" w:line="360" w:lineRule="auto"/>
        <w:rPr>
          <w:szCs w:val="24"/>
          <w:lang w:eastAsia="en-US"/>
        </w:rPr>
      </w:pPr>
      <w:r w:rsidRPr="005D6722">
        <w:rPr>
          <w:szCs w:val="24"/>
          <w:lang w:eastAsia="en-US"/>
        </w:rPr>
        <w:t>Hiljemalt</w:t>
      </w:r>
      <w:r w:rsidRPr="005D6722">
        <w:rPr>
          <w:b/>
          <w:i/>
          <w:szCs w:val="24"/>
          <w:lang w:eastAsia="en-US"/>
        </w:rPr>
        <w:t xml:space="preserve"> ...</w:t>
      </w:r>
      <w:r w:rsidRPr="005D6722">
        <w:rPr>
          <w:szCs w:val="24"/>
          <w:lang w:eastAsia="en-US"/>
        </w:rPr>
        <w:t xml:space="preserve"> [väljaannete talitus</w:t>
      </w:r>
      <w:r w:rsidRPr="005D6722">
        <w:rPr>
          <w:strike/>
          <w:szCs w:val="24"/>
          <w:lang w:eastAsia="en-US"/>
        </w:rPr>
        <w:t>:</w:t>
      </w:r>
      <w:r w:rsidRPr="005D6722">
        <w:rPr>
          <w:b/>
          <w:i/>
          <w:szCs w:val="24"/>
          <w:lang w:eastAsia="en-US"/>
        </w:rPr>
        <w:t>,</w:t>
      </w:r>
      <w:r w:rsidRPr="005D6722">
        <w:rPr>
          <w:szCs w:val="24"/>
          <w:lang w:eastAsia="en-US"/>
        </w:rPr>
        <w:t xml:space="preserve"> palun sisestada kuupäev</w:t>
      </w:r>
      <w:r w:rsidRPr="005D6722">
        <w:rPr>
          <w:strike/>
          <w:szCs w:val="24"/>
          <w:lang w:eastAsia="en-US"/>
        </w:rPr>
        <w:t>, mil täitub</w:t>
      </w:r>
      <w:r w:rsidRPr="005D6722">
        <w:rPr>
          <w:b/>
          <w:i/>
          <w:szCs w:val="24"/>
          <w:lang w:eastAsia="en-US"/>
        </w:rPr>
        <w:t>:</w:t>
      </w:r>
      <w:r w:rsidRPr="005D6722">
        <w:rPr>
          <w:szCs w:val="24"/>
          <w:lang w:eastAsia="en-US"/>
        </w:rPr>
        <w:t xml:space="preserve"> viis aastat</w:t>
      </w:r>
      <w:r w:rsidRPr="005D6722">
        <w:rPr>
          <w:b/>
          <w:i/>
          <w:szCs w:val="24"/>
          <w:lang w:eastAsia="en-US"/>
        </w:rPr>
        <w:t xml:space="preserve"> pärast</w:t>
      </w:r>
      <w:r w:rsidRPr="005D6722">
        <w:rPr>
          <w:szCs w:val="24"/>
          <w:lang w:eastAsia="en-US"/>
        </w:rPr>
        <w:t xml:space="preserve"> käesoleva määruse kohaldamise </w:t>
      </w:r>
      <w:r w:rsidRPr="005D6722">
        <w:rPr>
          <w:strike/>
          <w:szCs w:val="24"/>
          <w:lang w:eastAsia="en-US"/>
        </w:rPr>
        <w:t>alguskuupäevast</w:t>
      </w:r>
      <w:r w:rsidRPr="005D6722">
        <w:rPr>
          <w:b/>
          <w:i/>
          <w:szCs w:val="24"/>
          <w:lang w:eastAsia="en-US"/>
        </w:rPr>
        <w:t>alguskuupäeva</w:t>
      </w:r>
      <w:r w:rsidRPr="005D6722">
        <w:rPr>
          <w:szCs w:val="24"/>
          <w:lang w:eastAsia="en-US"/>
        </w:rPr>
        <w:t xml:space="preserve">] esitab komisjon Euroopa Parlamendile ja nõukogule aruande käesoleva määruse kohaldamise kohta. Aruanne sisaldab hinnangut </w:t>
      </w:r>
      <w:r w:rsidRPr="005D6722">
        <w:rPr>
          <w:strike/>
          <w:szCs w:val="24"/>
          <w:lang w:eastAsia="en-US"/>
        </w:rPr>
        <w:t>selle</w:t>
      </w:r>
      <w:r w:rsidRPr="005D6722">
        <w:rPr>
          <w:b/>
          <w:i/>
          <w:szCs w:val="24"/>
          <w:lang w:eastAsia="en-US"/>
        </w:rPr>
        <w:t>järgmise</w:t>
      </w:r>
      <w:r w:rsidRPr="005D6722">
        <w:rPr>
          <w:szCs w:val="24"/>
          <w:lang w:eastAsia="en-US"/>
        </w:rPr>
        <w:t xml:space="preserve"> kohta</w:t>
      </w:r>
      <w:r w:rsidRPr="005D6722">
        <w:rPr>
          <w:strike/>
          <w:szCs w:val="24"/>
          <w:lang w:eastAsia="en-US"/>
        </w:rPr>
        <w:t>, kuidas käesolev määrus oma eesmärke saavutab, sealhulgas hinnangut väikestele ja keskmise suurusega ettevõtjatele avalduva mõju kohta.</w:t>
      </w:r>
      <w:r w:rsidRPr="005D6722">
        <w:rPr>
          <w:b/>
          <w:i/>
          <w:szCs w:val="24"/>
          <w:lang w:eastAsia="en-US"/>
        </w:rPr>
        <w:t>:</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a)</w:t>
      </w:r>
      <w:r w:rsidRPr="005D6722">
        <w:rPr>
          <w:szCs w:val="24"/>
          <w:lang w:eastAsia="en-US"/>
        </w:rPr>
        <w:tab/>
      </w:r>
      <w:r w:rsidRPr="005D6722">
        <w:rPr>
          <w:b/>
          <w:i/>
          <w:szCs w:val="24"/>
          <w:lang w:eastAsia="en-US"/>
        </w:rPr>
        <w:t>käesoleva määruse eesmärkide saavutamine, sealhulgas hinnang väikestele ja keskmise suurusega ettevõtjatele avalduva mõju kohta;</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b)</w:t>
      </w:r>
      <w:r w:rsidRPr="005D6722">
        <w:rPr>
          <w:szCs w:val="24"/>
          <w:lang w:eastAsia="en-US"/>
        </w:rPr>
        <w:tab/>
      </w:r>
      <w:r w:rsidRPr="005D6722">
        <w:rPr>
          <w:b/>
          <w:i/>
          <w:szCs w:val="24"/>
          <w:lang w:eastAsia="en-US"/>
        </w:rPr>
        <w:t>antimikroobikumiresistentsuse kujunemise risk seoses biotsiidsete omadustega detergentide või pindaktiivsete ainete kasutamisega;</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c)</w:t>
      </w:r>
      <w:r w:rsidRPr="005D6722">
        <w:rPr>
          <w:szCs w:val="24"/>
          <w:lang w:eastAsia="en-US"/>
        </w:rPr>
        <w:tab/>
      </w:r>
      <w:r w:rsidRPr="005D6722">
        <w:rPr>
          <w:b/>
          <w:i/>
          <w:szCs w:val="24"/>
          <w:lang w:eastAsia="en-US"/>
        </w:rPr>
        <w:t>selliste põhjendamatute turundusväidete, reklaamide ja pakendidisainide esinemine, mis tarbijaid eksitavad või võivad eksitada, jättes mulje, et tegemist on tervislikuma või keskkonnahoidlikuma detergendi või pindaktiivse ainega;</w:t>
      </w:r>
    </w:p>
    <w:p w:rsidR="00EA6C65" w:rsidRPr="005D6722" w:rsidRDefault="00EA6C65">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lastRenderedPageBreak/>
        <w:t>d)</w:t>
      </w:r>
      <w:r w:rsidRPr="005D6722">
        <w:rPr>
          <w:szCs w:val="24"/>
          <w:lang w:eastAsia="en-US"/>
        </w:rPr>
        <w:tab/>
      </w:r>
      <w:r w:rsidRPr="005D6722">
        <w:rPr>
          <w:b/>
          <w:i/>
          <w:szCs w:val="24"/>
          <w:lang w:eastAsia="en-US"/>
        </w:rPr>
        <w:t>detergentide füüsilise ja digitaalse märgistamise nõuded, võttes arvesse lõppkasutajate ja keskkonna ohutust ning kõigi liidu elanikkonnarühmade digivalmiduse taset;</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e)</w:t>
      </w:r>
      <w:r w:rsidRPr="005D6722">
        <w:rPr>
          <w:szCs w:val="24"/>
          <w:lang w:eastAsia="en-US"/>
        </w:rPr>
        <w:tab/>
      </w:r>
      <w:r w:rsidRPr="005D6722">
        <w:rPr>
          <w:b/>
          <w:i/>
          <w:szCs w:val="24"/>
          <w:lang w:eastAsia="en-US"/>
        </w:rPr>
        <w:t>vastavalt Läänemere tegevuskava raames võetud kohustustele kodumajapidamistes kasutatavates detergentides fosfori järkjärgulise kaotamise ning tööstuses ja asutustes kasutatavates detergentides fosforisisalduse vähendamise ja võimaluse korral järkjärgulise kaotamise teostatavus ning sellega seotud keskkonna- ja sotsiaal-majanduslikud kulud ja tulud;</w:t>
      </w:r>
    </w:p>
    <w:p w:rsidR="00F9609E" w:rsidRPr="005D6722" w:rsidRDefault="00F9609E" w:rsidP="00F9609E">
      <w:pPr>
        <w:spacing w:before="120" w:after="120" w:line="360" w:lineRule="auto"/>
        <w:ind w:left="850" w:hanging="850"/>
        <w:rPr>
          <w:szCs w:val="24"/>
          <w:lang w:eastAsia="en-US"/>
        </w:rPr>
      </w:pPr>
      <w:r w:rsidRPr="005D6722">
        <w:rPr>
          <w:b/>
          <w:i/>
          <w:szCs w:val="24"/>
          <w:lang w:eastAsia="en-US"/>
        </w:rPr>
        <w:t>f)</w:t>
      </w:r>
      <w:r w:rsidRPr="005D6722">
        <w:rPr>
          <w:szCs w:val="24"/>
          <w:lang w:eastAsia="en-US"/>
        </w:rPr>
        <w:tab/>
      </w:r>
      <w:r w:rsidRPr="005D6722">
        <w:rPr>
          <w:b/>
          <w:i/>
          <w:szCs w:val="24"/>
          <w:lang w:eastAsia="en-US"/>
        </w:rPr>
        <w:t>keskkonna-, tervise- ja sotsiaal-majanduslikud kulud ja tulud, mis tulenevad riskijuhtimise üldise lähenemisviisi laiendamisest detergentidele ja pindaktiivsetele ainetele ning probleemsete ainete järkjärgulisest kasutuselt kõrvaldamisest, sealhulgas sellised ained, mis põhjustavad vähki või geenimutatsioone, mõjutavad reproduktiiv- või endokriinsüsteemi, on püsivad ja bioakumuleeruvad, mõjutavad immuun- või närvisüsteemi või hingamiselundeid või on mürgised mõne elundi suhtes kombineeritud toimet arvesse võttes, et saavutada mürgivaba keskkond.</w:t>
      </w:r>
    </w:p>
    <w:p w:rsidR="00F9609E" w:rsidRPr="005D6722" w:rsidRDefault="00F9609E" w:rsidP="00F9609E">
      <w:pPr>
        <w:spacing w:before="120" w:after="120" w:line="360" w:lineRule="auto"/>
        <w:rPr>
          <w:b/>
          <w:szCs w:val="24"/>
          <w:lang w:eastAsia="en-US"/>
        </w:rPr>
      </w:pPr>
      <w:r w:rsidRPr="005D6722">
        <w:rPr>
          <w:b/>
          <w:i/>
          <w:szCs w:val="24"/>
          <w:lang w:eastAsia="en-US"/>
        </w:rPr>
        <w:t>Asjakohasel juhul lisatakse aruandele seadusandlik ettepanek.</w:t>
      </w:r>
      <w:r w:rsidR="00C0022F" w:rsidRPr="005D6722">
        <w:rPr>
          <w:b/>
          <w:szCs w:val="24"/>
          <w:lang w:eastAsia="en-US"/>
        </w:rPr>
        <w:t xml:space="preserve"> [ME 120]</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32</w:t>
      </w:r>
      <w:r w:rsidRPr="005D6722">
        <w:rPr>
          <w:szCs w:val="24"/>
          <w:lang w:eastAsia="en-US"/>
        </w:rPr>
        <w:br/>
        <w:t>Mikroorganisme käsitlev läbivaatamine</w:t>
      </w:r>
    </w:p>
    <w:p w:rsidR="00F9609E" w:rsidRPr="005D6722" w:rsidRDefault="00F9609E" w:rsidP="00F9609E">
      <w:pPr>
        <w:spacing w:before="120" w:after="120" w:line="360" w:lineRule="auto"/>
        <w:rPr>
          <w:b/>
          <w:szCs w:val="24"/>
          <w:lang w:eastAsia="en-US"/>
        </w:rPr>
      </w:pPr>
      <w:r w:rsidRPr="005D6722">
        <w:rPr>
          <w:szCs w:val="24"/>
          <w:lang w:eastAsia="en-US"/>
        </w:rPr>
        <w:t>Hiljemalt</w:t>
      </w:r>
      <w:r w:rsidRPr="005D6722">
        <w:rPr>
          <w:b/>
          <w:i/>
          <w:szCs w:val="24"/>
          <w:lang w:eastAsia="en-US"/>
        </w:rPr>
        <w:t xml:space="preserve"> ...</w:t>
      </w:r>
      <w:r w:rsidRPr="005D6722">
        <w:rPr>
          <w:szCs w:val="24"/>
          <w:lang w:eastAsia="en-US"/>
        </w:rPr>
        <w:t xml:space="preserve"> [väljaannete talitus</w:t>
      </w:r>
      <w:r w:rsidRPr="005D6722">
        <w:rPr>
          <w:strike/>
          <w:szCs w:val="24"/>
          <w:lang w:eastAsia="en-US"/>
        </w:rPr>
        <w:t>:</w:t>
      </w:r>
      <w:r w:rsidRPr="005D6722">
        <w:rPr>
          <w:b/>
          <w:i/>
          <w:szCs w:val="24"/>
          <w:lang w:eastAsia="en-US"/>
        </w:rPr>
        <w:t>,</w:t>
      </w:r>
      <w:r w:rsidRPr="005D6722">
        <w:rPr>
          <w:szCs w:val="24"/>
          <w:lang w:eastAsia="en-US"/>
        </w:rPr>
        <w:t xml:space="preserve"> palun sisestada kuupäev</w:t>
      </w:r>
      <w:r w:rsidRPr="005D6722">
        <w:rPr>
          <w:strike/>
          <w:szCs w:val="24"/>
          <w:lang w:eastAsia="en-US"/>
        </w:rPr>
        <w:t>, mil täitub</w:t>
      </w:r>
      <w:r w:rsidRPr="005D6722">
        <w:rPr>
          <w:b/>
          <w:i/>
          <w:szCs w:val="24"/>
          <w:lang w:eastAsia="en-US"/>
        </w:rPr>
        <w:t>:</w:t>
      </w:r>
      <w:r w:rsidRPr="005D6722">
        <w:rPr>
          <w:szCs w:val="24"/>
          <w:lang w:eastAsia="en-US"/>
        </w:rPr>
        <w:t xml:space="preserve"> kolm aastat</w:t>
      </w:r>
      <w:r w:rsidRPr="005D6722">
        <w:rPr>
          <w:b/>
          <w:i/>
          <w:szCs w:val="24"/>
          <w:lang w:eastAsia="en-US"/>
        </w:rPr>
        <w:t xml:space="preserve"> pärast</w:t>
      </w:r>
      <w:r w:rsidRPr="005D6722">
        <w:rPr>
          <w:szCs w:val="24"/>
          <w:lang w:eastAsia="en-US"/>
        </w:rPr>
        <w:t xml:space="preserve"> käesoleva määruse kohaldamise </w:t>
      </w:r>
      <w:r w:rsidRPr="005D6722">
        <w:rPr>
          <w:strike/>
          <w:szCs w:val="24"/>
          <w:lang w:eastAsia="en-US"/>
        </w:rPr>
        <w:t>alguskuupäevast</w:t>
      </w:r>
      <w:r w:rsidRPr="005D6722">
        <w:rPr>
          <w:b/>
          <w:i/>
          <w:szCs w:val="24"/>
          <w:lang w:eastAsia="en-US"/>
        </w:rPr>
        <w:t>alguskuupäeva</w:t>
      </w:r>
      <w:r w:rsidRPr="005D6722">
        <w:rPr>
          <w:szCs w:val="24"/>
          <w:lang w:eastAsia="en-US"/>
        </w:rPr>
        <w:t>] hindab komisjon käesoleva määruse nõuete tulemuslikkust ja asjakohasust mikroorganisme sisaldavate detergentide suhtes</w:t>
      </w:r>
      <w:r w:rsidRPr="005D6722">
        <w:rPr>
          <w:b/>
          <w:i/>
          <w:szCs w:val="24"/>
          <w:lang w:eastAsia="en-US"/>
        </w:rPr>
        <w:t>, eelkõige II lisa punktis 2 esitatud patogeensete mikroorganismide loetelu ja detergentidele tahtlikult lisatud mikroorganismide mõju asulareovee puhastamise protsessidele,</w:t>
      </w:r>
      <w:r w:rsidRPr="005D6722">
        <w:rPr>
          <w:szCs w:val="24"/>
          <w:lang w:eastAsia="en-US"/>
        </w:rPr>
        <w:t xml:space="preserve"> ning võimalust lisada II lisasse uusi mikroorganisme või mikroorganismide tüvesid, mida on lubatud detergentides kasutada.</w:t>
      </w:r>
      <w:r w:rsidR="00C0022F" w:rsidRPr="005D6722">
        <w:rPr>
          <w:b/>
          <w:szCs w:val="24"/>
          <w:lang w:eastAsia="en-US"/>
        </w:rPr>
        <w:t xml:space="preserve"> [ME 121]</w:t>
      </w:r>
    </w:p>
    <w:p w:rsidR="00F9609E" w:rsidRPr="005D6722" w:rsidRDefault="00F9609E" w:rsidP="00F9609E">
      <w:pPr>
        <w:spacing w:before="120" w:after="120" w:line="360" w:lineRule="auto"/>
        <w:rPr>
          <w:b/>
          <w:szCs w:val="24"/>
          <w:lang w:eastAsia="en-US"/>
        </w:rPr>
      </w:pPr>
      <w:r w:rsidRPr="005D6722">
        <w:rPr>
          <w:b/>
          <w:i/>
          <w:szCs w:val="24"/>
          <w:lang w:eastAsia="en-US"/>
        </w:rPr>
        <w:t>Komisjon vaatab hiljemalt ... [väljaannete talitus, palun sisestada kuupäev: kolm aastat pärast käesoleva määruse kohaldamise alguskuupäeva] ja seejärel iga kolme aasta tagant läbi II lisa punktis 2 sätestatud patogeensete mikroorganismide loetelu ja võtab vajaduse korral kooskõlas artikliga 27 vastu delegeeritud õigusaktid, et muuta II lisa teaduse ja tehnika arengu arvesse võtmiseks.</w:t>
      </w:r>
      <w:r w:rsidR="00C0022F" w:rsidRPr="005D6722">
        <w:rPr>
          <w:b/>
          <w:szCs w:val="24"/>
          <w:lang w:eastAsia="en-US"/>
        </w:rPr>
        <w:t xml:space="preserve"> [ME 122]</w:t>
      </w:r>
    </w:p>
    <w:p w:rsidR="00EA6C65" w:rsidRPr="005D6722" w:rsidRDefault="00EA6C65">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jc w:val="center"/>
        <w:rPr>
          <w:szCs w:val="24"/>
          <w:lang w:eastAsia="en-US"/>
        </w:rPr>
      </w:pPr>
      <w:r w:rsidRPr="005D6722">
        <w:rPr>
          <w:b/>
          <w:i/>
          <w:szCs w:val="24"/>
          <w:lang w:eastAsia="en-US"/>
        </w:rPr>
        <w:lastRenderedPageBreak/>
        <w:t>Artikkel 32a</w:t>
      </w:r>
      <w:r w:rsidRPr="005D6722">
        <w:rPr>
          <w:szCs w:val="24"/>
          <w:lang w:eastAsia="en-US"/>
        </w:rPr>
        <w:br/>
      </w:r>
      <w:r w:rsidRPr="005D6722">
        <w:rPr>
          <w:b/>
          <w:i/>
          <w:szCs w:val="24"/>
          <w:lang w:eastAsia="en-US"/>
        </w:rPr>
        <w:t>Taastuvate lähteainete sisalduse kohustuse läbivaatamine</w:t>
      </w:r>
    </w:p>
    <w:p w:rsidR="00F9609E" w:rsidRPr="005D6722" w:rsidRDefault="00F9609E" w:rsidP="00F9609E">
      <w:pPr>
        <w:spacing w:before="120" w:after="120" w:line="360" w:lineRule="auto"/>
        <w:rPr>
          <w:b/>
          <w:szCs w:val="24"/>
          <w:lang w:eastAsia="en-US"/>
        </w:rPr>
      </w:pPr>
      <w:r w:rsidRPr="005D6722">
        <w:rPr>
          <w:b/>
          <w:i/>
          <w:szCs w:val="24"/>
          <w:lang w:eastAsia="en-US"/>
        </w:rPr>
        <w:t>Komisjon esitab hiljemalt ... [väljaannete talitus, palun sisestada kuupäev: kolm aastat pärast käesoleva määruse kohaldamise alguskuupäeva] Euroopa Parlamendile ja nõukogule aruande, milles hinnatakse detergentides ja pindaktiivsetes ainetes taastuvate toorainete ja ringlussevõetud materjali sisalduse kohustuslike eesmärkide kehtestamise vajadust, teostatavust, tehnilist mõju ning kasu tervisele ja keskkonnale. Aruandes võtab komisjon eelkõige arvesse sotsiaal-majanduslikku mõju, liidu ettevõtjate konkurentsivõimet, kestlikku hankimist, globaalse soojendamise potentsiaali, toidujäätmete detergentides kasutamise potentsiaali ning alternatiivsete lähteainete ja toiduga kindlustatusega seotud võimalikke maakasutuse muutusi liidus. Asjakohasel juhul lisatakse aruandele seadusandlik ettepanek.</w:t>
      </w:r>
      <w:r w:rsidR="00C0022F" w:rsidRPr="005D6722">
        <w:rPr>
          <w:b/>
          <w:szCs w:val="24"/>
          <w:lang w:eastAsia="en-US"/>
        </w:rPr>
        <w:t xml:space="preserve"> [ME 123]</w:t>
      </w:r>
    </w:p>
    <w:p w:rsidR="00F9609E" w:rsidRPr="005D6722" w:rsidRDefault="00F9609E" w:rsidP="00F9609E">
      <w:pPr>
        <w:spacing w:before="120" w:after="120" w:line="360" w:lineRule="auto"/>
        <w:jc w:val="center"/>
        <w:rPr>
          <w:szCs w:val="24"/>
          <w:lang w:eastAsia="en-US"/>
        </w:rPr>
      </w:pPr>
      <w:r w:rsidRPr="005D6722">
        <w:rPr>
          <w:szCs w:val="24"/>
          <w:lang w:eastAsia="en-US"/>
        </w:rPr>
        <w:t>Artikkel 33</w:t>
      </w:r>
      <w:r w:rsidRPr="005D6722">
        <w:rPr>
          <w:szCs w:val="24"/>
          <w:lang w:eastAsia="en-US"/>
        </w:rPr>
        <w:br/>
        <w:t>Määruse (EÜ) nr 648/2004 kehtetuks tunnistamine</w:t>
      </w:r>
    </w:p>
    <w:p w:rsidR="00F9609E" w:rsidRPr="005D6722" w:rsidRDefault="00F9609E" w:rsidP="00F9609E">
      <w:pPr>
        <w:spacing w:before="120" w:after="120" w:line="360" w:lineRule="auto"/>
        <w:rPr>
          <w:szCs w:val="24"/>
          <w:lang w:eastAsia="en-US"/>
        </w:rPr>
      </w:pPr>
      <w:r w:rsidRPr="005D6722">
        <w:rPr>
          <w:szCs w:val="24"/>
          <w:lang w:eastAsia="en-US"/>
        </w:rPr>
        <w:t>Määrus (EÜ) nr 648/2004 tunnistatakse kehtetuks.</w:t>
      </w:r>
    </w:p>
    <w:p w:rsidR="00F9609E" w:rsidRPr="005D6722" w:rsidRDefault="00F9609E" w:rsidP="00F9609E">
      <w:pPr>
        <w:spacing w:before="120" w:after="120" w:line="360" w:lineRule="auto"/>
        <w:rPr>
          <w:szCs w:val="24"/>
          <w:lang w:eastAsia="en-US"/>
        </w:rPr>
      </w:pPr>
      <w:r w:rsidRPr="005D6722">
        <w:rPr>
          <w:szCs w:val="24"/>
          <w:lang w:eastAsia="en-US"/>
        </w:rPr>
        <w:t>Viiteid kehtetuks tunnistatud määrusele käsitatakse viidetena käesolevale määrusele ning neid loetakse vastavalt VIII lisas esitatud vastavustabelile.</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34</w:t>
      </w:r>
      <w:r w:rsidRPr="005D6722">
        <w:rPr>
          <w:szCs w:val="24"/>
          <w:lang w:eastAsia="en-US"/>
        </w:rPr>
        <w:br/>
        <w:t xml:space="preserve">Üleminekusätted </w:t>
      </w:r>
    </w:p>
    <w:p w:rsidR="00F9609E" w:rsidRPr="005D6722" w:rsidRDefault="00F9609E" w:rsidP="00F9609E">
      <w:pPr>
        <w:spacing w:before="120" w:after="120" w:line="360" w:lineRule="auto"/>
        <w:rPr>
          <w:szCs w:val="24"/>
          <w:lang w:eastAsia="en-US"/>
        </w:rPr>
      </w:pPr>
      <w:r w:rsidRPr="005D6722">
        <w:rPr>
          <w:szCs w:val="24"/>
          <w:lang w:eastAsia="en-US"/>
        </w:rPr>
        <w:t>Liikmesriigid ei takista selliste detergentide ja pindaktiivsete ainete turul kättesaadavaks tegemist, mis on turule lastud enne [väljaannete talitus: palun lisada kuupäev, mil täitub 30 kuud alates käesoleva määruse jõustumise kuupäevast] kooskõlas määrusega (EÜ) nr 648/2004, nagu seda kohaldatakse ... [väljaannete talitus: palun lisada kuupäev, mis on üks päev enne 30 kuu möödumist alates käesoleva määruse jõustumise kuupäevast].</w:t>
      </w:r>
    </w:p>
    <w:p w:rsidR="00F9609E" w:rsidRPr="005D6722" w:rsidRDefault="00F9609E" w:rsidP="00F9609E">
      <w:pPr>
        <w:spacing w:before="120" w:after="120" w:line="360" w:lineRule="auto"/>
        <w:rPr>
          <w:szCs w:val="24"/>
          <w:lang w:eastAsia="en-US"/>
        </w:rPr>
      </w:pPr>
      <w:r w:rsidRPr="005D6722">
        <w:rPr>
          <w:szCs w:val="24"/>
          <w:lang w:eastAsia="en-US"/>
        </w:rPr>
        <w:t>Detergendid ja pindaktiivsed ained, mis lastakse turule pärast [väljaannete talitus: palun lisada kohaldamise kuupäev, mis on üks päev enne 30 kuu möödumist käesoleva määruse jõustumise kuupäevast] ja mis nende turule laskmise ajal vastavad määruse (EÜ) nr 648/2004 nõuetele, nagu seda kohaldatakse [väljaannete talitus: palun lisada kohaldamise kuupäev, mis on üks päev enne 30 kuu möödumist käesoleva määruse jõustumise kuupäevast], võib teha turul kättesaadavaks kuni [väljaannete talitus: palun lisada kuupäev, mil täitub 36 kuud alates käesoleva määruse jõustumise kuupäevast].</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jc w:val="center"/>
        <w:rPr>
          <w:szCs w:val="24"/>
          <w:lang w:eastAsia="en-US"/>
        </w:rPr>
      </w:pPr>
      <w:r w:rsidRPr="005D6722">
        <w:rPr>
          <w:szCs w:val="24"/>
          <w:lang w:eastAsia="en-US"/>
        </w:rPr>
        <w:lastRenderedPageBreak/>
        <w:t>Artikkel 35</w:t>
      </w:r>
      <w:r w:rsidRPr="005D6722">
        <w:rPr>
          <w:szCs w:val="24"/>
          <w:lang w:eastAsia="en-US"/>
        </w:rPr>
        <w:br/>
        <w:t xml:space="preserve">Jõustumine ja kohaldamine </w:t>
      </w:r>
    </w:p>
    <w:p w:rsidR="00F9609E" w:rsidRPr="005D6722" w:rsidRDefault="00F9609E" w:rsidP="00F9609E">
      <w:pPr>
        <w:spacing w:before="120" w:after="120" w:line="360" w:lineRule="auto"/>
        <w:rPr>
          <w:szCs w:val="24"/>
          <w:lang w:eastAsia="en-US"/>
        </w:rPr>
      </w:pPr>
      <w:r w:rsidRPr="005D6722">
        <w:rPr>
          <w:szCs w:val="24"/>
          <w:lang w:eastAsia="en-US"/>
        </w:rPr>
        <w:t xml:space="preserve">Käesolev määrus jõustub kahekümnendal päeval pärast selle avaldamist </w:t>
      </w:r>
      <w:r w:rsidRPr="005D6722">
        <w:rPr>
          <w:i/>
          <w:szCs w:val="24"/>
          <w:lang w:eastAsia="en-US"/>
        </w:rPr>
        <w:t>Euroopa Liidu Teatajas</w:t>
      </w:r>
      <w:r w:rsidRPr="005D6722">
        <w:rPr>
          <w:szCs w:val="24"/>
          <w:lang w:eastAsia="en-US"/>
        </w:rPr>
        <w:t>.</w:t>
      </w:r>
    </w:p>
    <w:p w:rsidR="00F9609E" w:rsidRPr="005D6722" w:rsidRDefault="00F9609E" w:rsidP="00F9609E">
      <w:pPr>
        <w:spacing w:before="120" w:after="120" w:line="360" w:lineRule="auto"/>
        <w:rPr>
          <w:szCs w:val="24"/>
          <w:lang w:eastAsia="en-US"/>
        </w:rPr>
      </w:pPr>
      <w:r w:rsidRPr="005D6722">
        <w:rPr>
          <w:szCs w:val="24"/>
          <w:lang w:eastAsia="en-US"/>
        </w:rPr>
        <w:t>Käesolevat määrust kohaldatakse alates [väljaannete talitus: palun lisada kuupäev, mil täitub 30 kuud alates käesoleva määruse jõustumise kuupäevast].</w:t>
      </w:r>
    </w:p>
    <w:p w:rsidR="00F9609E" w:rsidRPr="005D6722" w:rsidRDefault="00F9609E" w:rsidP="00F2288E">
      <w:pPr>
        <w:spacing w:before="480" w:after="120" w:line="360" w:lineRule="auto"/>
        <w:rPr>
          <w:szCs w:val="24"/>
          <w:lang w:eastAsia="en-US"/>
        </w:rPr>
      </w:pPr>
      <w:r w:rsidRPr="005D6722">
        <w:rPr>
          <w:szCs w:val="24"/>
          <w:lang w:eastAsia="en-US"/>
        </w:rPr>
        <w:t>Käesolev määrus on tervikuna siduv ja vahetult kohaldatav kõikides liikmesriikides.</w:t>
      </w:r>
    </w:p>
    <w:p w:rsidR="00F9609E" w:rsidRPr="005D6722" w:rsidRDefault="00E24635" w:rsidP="00F9609E">
      <w:pPr>
        <w:keepNext/>
        <w:widowControl/>
        <w:spacing w:before="120" w:line="360" w:lineRule="auto"/>
        <w:rPr>
          <w:szCs w:val="24"/>
          <w:lang w:eastAsia="en-US"/>
        </w:rPr>
      </w:pPr>
      <w:r>
        <w:rPr>
          <w:szCs w:val="24"/>
          <w:lang w:eastAsia="en-US"/>
        </w:rPr>
        <w:t>…</w:t>
      </w:r>
      <w:r w:rsidR="00F9609E" w:rsidRPr="005D6722">
        <w:rPr>
          <w:szCs w:val="24"/>
          <w:lang w:eastAsia="en-US"/>
        </w:rPr>
        <w:t>,</w:t>
      </w:r>
    </w:p>
    <w:p w:rsidR="00F9609E" w:rsidRPr="005D6722" w:rsidRDefault="00F9609E" w:rsidP="00F9609E">
      <w:pPr>
        <w:keepNext/>
        <w:widowControl/>
        <w:tabs>
          <w:tab w:val="left" w:pos="4252"/>
        </w:tabs>
        <w:spacing w:before="720" w:after="100" w:line="360" w:lineRule="auto"/>
        <w:jc w:val="both"/>
        <w:rPr>
          <w:i/>
          <w:szCs w:val="24"/>
          <w:lang w:eastAsia="en-US"/>
        </w:rPr>
      </w:pPr>
      <w:r w:rsidRPr="005D6722">
        <w:rPr>
          <w:i/>
          <w:szCs w:val="24"/>
          <w:lang w:eastAsia="en-US"/>
        </w:rPr>
        <w:t>Euroopa Parlamendi nimel</w:t>
      </w:r>
      <w:r w:rsidRPr="005D6722">
        <w:rPr>
          <w:i/>
          <w:szCs w:val="24"/>
          <w:lang w:eastAsia="en-US"/>
        </w:rPr>
        <w:tab/>
        <w:t>Nõukogu nimel</w:t>
      </w:r>
    </w:p>
    <w:p w:rsidR="00F9609E" w:rsidRPr="005D6722" w:rsidRDefault="00F9609E" w:rsidP="00F9609E">
      <w:pPr>
        <w:widowControl/>
        <w:tabs>
          <w:tab w:val="left" w:pos="4252"/>
        </w:tabs>
        <w:spacing w:line="360" w:lineRule="auto"/>
        <w:rPr>
          <w:i/>
          <w:szCs w:val="24"/>
          <w:lang w:eastAsia="en-US"/>
        </w:rPr>
      </w:pPr>
      <w:r w:rsidRPr="005D6722">
        <w:rPr>
          <w:i/>
          <w:szCs w:val="24"/>
          <w:lang w:eastAsia="en-US"/>
        </w:rPr>
        <w:t>president</w:t>
      </w:r>
      <w:r w:rsidRPr="005D6722">
        <w:rPr>
          <w:i/>
          <w:szCs w:val="24"/>
          <w:lang w:eastAsia="en-US"/>
        </w:rPr>
        <w:tab/>
        <w:t>eesistuja</w:t>
      </w:r>
    </w:p>
    <w:p w:rsidR="00F9609E" w:rsidRPr="005D6722" w:rsidRDefault="00F9609E" w:rsidP="00F9609E">
      <w:pPr>
        <w:spacing w:before="120" w:after="120" w:line="360" w:lineRule="auto"/>
        <w:rPr>
          <w:szCs w:val="24"/>
          <w:lang w:eastAsia="en-US"/>
        </w:rPr>
        <w:sectPr w:rsidR="00F9609E" w:rsidRPr="005D6722">
          <w:footerReference w:type="even" r:id="rId15"/>
          <w:footerReference w:type="first" r:id="rId16"/>
          <w:footnotePr>
            <w:numRestart w:val="eachSect"/>
          </w:footnotePr>
          <w:pgSz w:w="11909" w:h="16834"/>
          <w:pgMar w:top="1134" w:right="1417" w:bottom="1417" w:left="1417" w:header="1134" w:footer="567" w:gutter="0"/>
          <w:cols w:space="720"/>
        </w:sectPr>
      </w:pPr>
    </w:p>
    <w:p w:rsidR="00F9609E" w:rsidRPr="005D6722" w:rsidRDefault="00F9609E" w:rsidP="00F9609E">
      <w:pPr>
        <w:spacing w:before="120" w:after="120" w:line="360" w:lineRule="auto"/>
        <w:rPr>
          <w:szCs w:val="24"/>
          <w:lang w:eastAsia="en-US"/>
        </w:rPr>
      </w:pPr>
    </w:p>
    <w:p w:rsidR="00F9609E" w:rsidRPr="005D6722" w:rsidRDefault="00F9609E" w:rsidP="00F9609E">
      <w:pPr>
        <w:spacing w:before="120" w:after="120" w:line="360" w:lineRule="auto"/>
        <w:jc w:val="center"/>
        <w:rPr>
          <w:lang w:eastAsia="en-US"/>
        </w:rPr>
      </w:pPr>
      <w:r w:rsidRPr="005D6722">
        <w:rPr>
          <w:lang w:eastAsia="en-US"/>
        </w:rPr>
        <w:t>I LISA</w:t>
      </w:r>
    </w:p>
    <w:p w:rsidR="00F9609E" w:rsidRPr="005D6722" w:rsidRDefault="00F9609E" w:rsidP="00F9609E">
      <w:pPr>
        <w:spacing w:before="120" w:after="120" w:line="360" w:lineRule="auto"/>
        <w:rPr>
          <w:szCs w:val="24"/>
          <w:lang w:eastAsia="en-US"/>
        </w:rPr>
      </w:pPr>
      <w:r w:rsidRPr="005D6722">
        <w:rPr>
          <w:szCs w:val="24"/>
          <w:lang w:eastAsia="en-US"/>
        </w:rPr>
        <w:t>ARTIKLIS 4 OSUTATUD BIOLAGUNDATAVUSE NÕUDED</w:t>
      </w:r>
    </w:p>
    <w:p w:rsidR="00F9609E" w:rsidRPr="005D6722" w:rsidRDefault="00F9609E" w:rsidP="00F9609E">
      <w:pPr>
        <w:spacing w:before="120" w:after="120" w:line="360" w:lineRule="auto"/>
        <w:rPr>
          <w:szCs w:val="24"/>
          <w:lang w:eastAsia="en-US"/>
        </w:rPr>
      </w:pPr>
      <w:r w:rsidRPr="005D6722">
        <w:rPr>
          <w:szCs w:val="24"/>
          <w:lang w:eastAsia="en-US"/>
        </w:rPr>
        <w:t>PINDAKTIIVSETE AINETE JA DETERGENTIDES SISALDUVATE PINDAKTIIVSETE AINETE LÕPLIKU BIOLAGUNDATAVUSE KRITEERIUMID JA KATSEMEETODID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Käesolevas määruses sätestatud võrdlusmeetod pindaktiivse aine lõpliku biolagundatavuse laboratoorseks katsetamiseks põhineb standardil EN ISO 14593: 1999 (CO</w:t>
      </w:r>
      <w:r w:rsidRPr="005D6722">
        <w:rPr>
          <w:szCs w:val="24"/>
          <w:vertAlign w:val="subscript"/>
          <w:lang w:eastAsia="en-US"/>
        </w:rPr>
        <w:t>2</w:t>
      </w:r>
      <w:r w:rsidRPr="005D6722">
        <w:rPr>
          <w:szCs w:val="24"/>
          <w:lang w:eastAsia="en-US"/>
        </w:rPr>
        <w:t xml:space="preserve"> vabaruumi katse).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Pindaktiivsed ained ja detergentides sisalduvad pindaktiivsed ained peavad olema lõplikult biolagundatavad, nagu on kindlaks määratud vastavalt punktis 3 sätestatud kriteeriumidele.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Pindaktiivsed ained ja detergentides sisalduvad pindaktiivsed ained loetakse lõplikult biolagundatavateks, kui need vastavad ühele järgmistest kriteeriumidest.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Biolagundatavus (mineralisatsioon) on 28 päeva jooksul vähemalt 60 % mõõdetuna vastavalt ühele järgmistest katsemeetoditest:</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w:t>
      </w:r>
      <w:r w:rsidRPr="005D6722">
        <w:rPr>
          <w:szCs w:val="24"/>
          <w:lang w:eastAsia="en-US"/>
        </w:rPr>
        <w:tab/>
        <w:t>standard EN ISO 14593: 1999. Vee kvaliteet. Orgaaniliste ühendite lõpliku aeroobse biolagundatavuse hindamine vesikeskkonnas. Anorgaanilise süsiniku analüüsimeetod hermeetilistes anumates (CO</w:t>
      </w:r>
      <w:r w:rsidRPr="005D6722">
        <w:rPr>
          <w:szCs w:val="24"/>
          <w:vertAlign w:val="subscript"/>
          <w:lang w:eastAsia="en-US"/>
        </w:rPr>
        <w:t>2</w:t>
      </w:r>
      <w:r w:rsidRPr="005D6722">
        <w:rPr>
          <w:szCs w:val="24"/>
          <w:lang w:eastAsia="en-US"/>
        </w:rPr>
        <w:t xml:space="preserve"> vabaruumi katse);</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982" w:hanging="566"/>
        <w:rPr>
          <w:szCs w:val="24"/>
          <w:lang w:eastAsia="en-US"/>
        </w:rPr>
      </w:pPr>
      <w:r w:rsidRPr="005D6722">
        <w:rPr>
          <w:szCs w:val="24"/>
          <w:lang w:eastAsia="en-US"/>
        </w:rPr>
        <w:lastRenderedPageBreak/>
        <w:t>ii)</w:t>
      </w:r>
      <w:r w:rsidRPr="005D6722">
        <w:rPr>
          <w:szCs w:val="24"/>
          <w:lang w:eastAsia="en-US"/>
        </w:rPr>
        <w:tab/>
        <w:t>meetod C.4.-C, süsinikdioksiidi (CO</w:t>
      </w:r>
      <w:r w:rsidRPr="005D6722">
        <w:rPr>
          <w:szCs w:val="24"/>
          <w:vertAlign w:val="subscript"/>
          <w:lang w:eastAsia="en-US"/>
        </w:rPr>
        <w:t>2</w:t>
      </w:r>
      <w:r w:rsidRPr="005D6722">
        <w:rPr>
          <w:szCs w:val="24"/>
          <w:lang w:eastAsia="en-US"/>
        </w:rPr>
        <w:t>) eraldumise katse (muudetud Sturmi katse), mida on kirjeldatud komisjoni määruse (EÜ) nr 440/2008 lisa C osa IV osas</w:t>
      </w:r>
      <w:r w:rsidRPr="005D6722">
        <w:rPr>
          <w:szCs w:val="24"/>
          <w:vertAlign w:val="superscript"/>
          <w:lang w:eastAsia="en-US"/>
        </w:rPr>
        <w:footnoteReference w:customMarkFollows="1" w:id="27"/>
        <w:t>1</w:t>
      </w:r>
      <w:r w:rsidRPr="005D6722">
        <w:rPr>
          <w:szCs w:val="24"/>
          <w:lang w:eastAsia="en-US"/>
        </w:rPr>
        <w:t>;</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iii)</w:t>
      </w:r>
      <w:r w:rsidRPr="005D6722">
        <w:rPr>
          <w:szCs w:val="24"/>
          <w:lang w:eastAsia="en-US"/>
        </w:rPr>
        <w:tab/>
        <w:t>meetod C.4-D, manomeetrilise respiromeetria katse, mida on kirjeldatud määruse (EÜ) nr 440/2008 lisa C osa V osas;</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iv)</w:t>
      </w:r>
      <w:r w:rsidRPr="005D6722">
        <w:rPr>
          <w:szCs w:val="24"/>
          <w:lang w:eastAsia="en-US"/>
        </w:rPr>
        <w:tab/>
        <w:t>meetod C.4-E, suletud pudeli katse, mida on kirjeldatud määruse (EÜ) nr 440/2008 lisa C osa VI osas;</w:t>
      </w:r>
    </w:p>
    <w:p w:rsidR="00F9609E" w:rsidRPr="005D6722" w:rsidRDefault="00F9609E" w:rsidP="00F9609E">
      <w:pPr>
        <w:spacing w:before="120" w:after="120" w:line="360" w:lineRule="auto"/>
        <w:ind w:left="1982" w:hanging="566"/>
        <w:rPr>
          <w:szCs w:val="24"/>
          <w:lang w:eastAsia="en-US"/>
        </w:rPr>
      </w:pPr>
      <w:r w:rsidRPr="005D6722">
        <w:rPr>
          <w:szCs w:val="24"/>
          <w:lang w:eastAsia="en-US"/>
        </w:rPr>
        <w:t>v)</w:t>
      </w:r>
      <w:r w:rsidRPr="005D6722">
        <w:rPr>
          <w:szCs w:val="24"/>
          <w:lang w:eastAsia="en-US"/>
        </w:rPr>
        <w:tab/>
        <w:t>meetod C.4-F, MITI (Jaapani väliskaubandus- ja tööstusministeeriumi) katse, mida on kirjeldatud määruse (EÜ) nr 440/2008 lisa C osa VII osas;</w:t>
      </w:r>
    </w:p>
    <w:p w:rsidR="00F9609E" w:rsidRPr="005D6722" w:rsidRDefault="00F9609E" w:rsidP="00F9609E">
      <w:pPr>
        <w:spacing w:before="120" w:after="120" w:line="360" w:lineRule="auto"/>
        <w:ind w:left="1982" w:hanging="566"/>
        <w:rPr>
          <w:szCs w:val="24"/>
          <w:lang w:eastAsia="en-US"/>
        </w:rPr>
      </w:pPr>
      <w:r w:rsidRPr="005D6722">
        <w:rPr>
          <w:szCs w:val="24"/>
          <w:lang w:eastAsia="en-US"/>
        </w:rPr>
        <w:t>vi)</w:t>
      </w:r>
      <w:r w:rsidRPr="005D6722">
        <w:rPr>
          <w:szCs w:val="24"/>
          <w:lang w:eastAsia="en-US"/>
        </w:rPr>
        <w:tab/>
        <w:t>ISO 10708: 1997. Vee kvaliteet. Orgaaniliste ühendite lõpliku aeroobse biolagundatavuse hindamine vesikeskkonnas. Biokeemilise hapnikutarbe määramine suletud pudeli kahefaasilise katsega.</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b)</w:t>
      </w:r>
      <w:r w:rsidRPr="005D6722">
        <w:rPr>
          <w:szCs w:val="24"/>
          <w:lang w:eastAsia="en-US"/>
        </w:rPr>
        <w:tab/>
        <w:t>Biolagundatavus (mineralisatsioon) on 28 päeva jooksul vähemalt 70 % mõõdetuna vastavalt ühele järgmistest katsemeetoditest:</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w:t>
      </w:r>
      <w:r w:rsidRPr="005D6722">
        <w:rPr>
          <w:szCs w:val="24"/>
          <w:lang w:eastAsia="en-US"/>
        </w:rPr>
        <w:tab/>
        <w:t>meetod C.4-A, lahustunud orgaanilise süsiniku (DOC) vähenemise katse, mida on kirjeldatud määruse (EÜ) nr 440/2008 lisa C osa II osas;</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ii)</w:t>
      </w:r>
      <w:r w:rsidRPr="005D6722">
        <w:rPr>
          <w:szCs w:val="24"/>
          <w:lang w:eastAsia="en-US"/>
        </w:rPr>
        <w:tab/>
        <w:t>meetod C.4-B, muudetud OECD sõelkatse, mida on kirjeldatud määruse (EÜ) nr 440/2008 lisa C osa III osas.</w:t>
      </w:r>
    </w:p>
    <w:p w:rsidR="00F9609E" w:rsidRPr="005D6722" w:rsidRDefault="00F9609E" w:rsidP="00F9609E">
      <w:pPr>
        <w:spacing w:before="120" w:after="120" w:line="360" w:lineRule="auto"/>
        <w:ind w:left="1416"/>
        <w:rPr>
          <w:szCs w:val="24"/>
          <w:lang w:eastAsia="en-US"/>
        </w:rPr>
      </w:pPr>
      <w:r w:rsidRPr="005D6722">
        <w:rPr>
          <w:szCs w:val="24"/>
          <w:lang w:eastAsia="en-US"/>
        </w:rPr>
        <w:t>Üheski punktides a ja b osutatud katsemeetodis ei kasutata eelnevat kohandamist ega kohaldata 10-päevase akna põhimõtet.</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Punktis 3 osutatud katsed tehakse laborites, mis vastavad ühele järgmistest tingimustest: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laborid järgivad Euroopa Parlamendi ja nõukogu direktiivis 2004/10/EÜ</w:t>
      </w:r>
      <w:r w:rsidRPr="005D6722">
        <w:rPr>
          <w:szCs w:val="24"/>
          <w:vertAlign w:val="superscript"/>
          <w:lang w:eastAsia="en-US"/>
        </w:rPr>
        <w:footnoteReference w:customMarkFollows="1" w:id="28"/>
        <w:t>2</w:t>
      </w:r>
      <w:r w:rsidRPr="005D6722">
        <w:rPr>
          <w:szCs w:val="24"/>
          <w:lang w:eastAsia="en-US"/>
        </w:rPr>
        <w:t xml:space="preserve"> sätestatud heade laboritavade põhimõtteid või samaväärseks tunnistatud rahvusvahelisi standardeid;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laborid on akrediteeritud vastavalt laboristandardile, millele on osutatud määruses (EÜ) nr 765/2008.</w:t>
      </w:r>
    </w:p>
    <w:p w:rsidR="00F9609E" w:rsidRPr="005D6722" w:rsidRDefault="00F9609E" w:rsidP="00F9609E">
      <w:pPr>
        <w:spacing w:before="120" w:after="120" w:line="360" w:lineRule="auto"/>
        <w:rPr>
          <w:szCs w:val="24"/>
          <w:lang w:eastAsia="en-US"/>
        </w:rPr>
        <w:sectPr w:rsidR="00F9609E" w:rsidRPr="005D6722">
          <w:footnotePr>
            <w:numRestart w:val="eachSect"/>
          </w:footnotePr>
          <w:pgSz w:w="11909" w:h="16834"/>
          <w:pgMar w:top="1134" w:right="1417" w:bottom="1417" w:left="1417" w:header="1134" w:footer="567" w:gutter="0"/>
          <w:cols w:space="720"/>
        </w:sectPr>
      </w:pPr>
    </w:p>
    <w:p w:rsidR="00F9609E" w:rsidRPr="005D6722" w:rsidRDefault="00F9609E" w:rsidP="00F9609E">
      <w:pPr>
        <w:spacing w:before="120" w:after="120" w:line="360" w:lineRule="auto"/>
        <w:jc w:val="center"/>
        <w:rPr>
          <w:lang w:eastAsia="en-US"/>
        </w:rPr>
      </w:pPr>
      <w:r w:rsidRPr="005D6722">
        <w:rPr>
          <w:lang w:eastAsia="en-US"/>
        </w:rPr>
        <w:lastRenderedPageBreak/>
        <w:t>II LISA</w:t>
      </w:r>
    </w:p>
    <w:p w:rsidR="00F9609E" w:rsidRPr="005D6722" w:rsidRDefault="00F9609E" w:rsidP="00EA6C65">
      <w:pPr>
        <w:spacing w:before="120" w:after="120" w:line="360" w:lineRule="auto"/>
        <w:jc w:val="center"/>
        <w:rPr>
          <w:szCs w:val="24"/>
          <w:lang w:eastAsia="en-US"/>
        </w:rPr>
      </w:pPr>
      <w:r w:rsidRPr="005D6722">
        <w:rPr>
          <w:szCs w:val="24"/>
          <w:lang w:eastAsia="en-US"/>
        </w:rPr>
        <w:t>NÕUDED ARTIKLIS 5 OSUTATUD MIKROORGANISME SISALDAVATELE DETERGENTIDE KOHTA</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Detergentidele tahtlikult lisatud mikroorganismid peavad vastama järgmistele tingimustele:</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a)</w:t>
      </w:r>
      <w:r w:rsidRPr="005D6722">
        <w:rPr>
          <w:szCs w:val="24"/>
          <w:lang w:eastAsia="en-US"/>
        </w:rPr>
        <w:tab/>
      </w:r>
      <w:r w:rsidRPr="005D6722">
        <w:rPr>
          <w:strike/>
          <w:szCs w:val="24"/>
          <w:lang w:eastAsia="en-US"/>
        </w:rPr>
        <w:t xml:space="preserve">neil on Ameerika Tüüpkultuuride Kollektsiooni (ATCC) number, </w:t>
      </w:r>
      <w:r w:rsidRPr="005D6722">
        <w:rPr>
          <w:szCs w:val="24"/>
          <w:lang w:eastAsia="en-US"/>
        </w:rPr>
        <w:t>need kuuluvad rahvusvahelise deponeerimisasutuse (IDA) kogusse või nende DNA on identifitseeritud vastavalt tüve identifitseerimise protseduurile (16S ribosomaalse DNA järjendamise või samaväärse meetodi kasutamise abil);</w:t>
      </w:r>
      <w:r w:rsidR="00C0022F" w:rsidRPr="005D6722">
        <w:rPr>
          <w:b/>
          <w:szCs w:val="24"/>
          <w:lang w:eastAsia="en-US"/>
        </w:rPr>
        <w:t xml:space="preserve"> [ME 124]</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need kuuluvad mõlemasse järgmisse rühma:</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w:t>
      </w:r>
      <w:r w:rsidRPr="005D6722">
        <w:rPr>
          <w:szCs w:val="24"/>
          <w:lang w:eastAsia="en-US"/>
        </w:rPr>
        <w:tab/>
        <w:t>tööl esinevate bioloogiliste mõjurite 1. riskirühm, mis on määratletud direktiivis 2000/54/EÜ;</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ii)</w:t>
      </w:r>
      <w:r w:rsidRPr="005D6722">
        <w:rPr>
          <w:szCs w:val="24"/>
          <w:lang w:eastAsia="en-US"/>
        </w:rPr>
        <w:tab/>
        <w:t>Euroopa Toiduohutusameti (EFSA) välja antud ohutuse eeldusele vastavaks kvalifitseeritud (QPS) bioloogiliste mõjurite loend.</w:t>
      </w:r>
    </w:p>
    <w:p w:rsidR="00F9609E" w:rsidRPr="005D6722" w:rsidRDefault="00F9609E" w:rsidP="00F9609E">
      <w:pPr>
        <w:spacing w:before="120" w:after="120" w:line="360" w:lineRule="auto"/>
        <w:ind w:left="850"/>
        <w:rPr>
          <w:szCs w:val="24"/>
          <w:lang w:eastAsia="en-US"/>
        </w:rPr>
      </w:pPr>
      <w:r w:rsidRPr="005D6722">
        <w:rPr>
          <w:szCs w:val="24"/>
          <w:lang w:eastAsia="en-US"/>
        </w:rPr>
        <w:t>Käesolevat punkti ei kohaldata teadus- ja arendustegevuse eesmärgil turule lastavatele detergentidele tahtlikult lisatud mikroorganismide suhtes.</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w:t>
      </w:r>
      <w:r w:rsidRPr="005D6722">
        <w:rPr>
          <w:szCs w:val="24"/>
          <w:lang w:eastAsia="en-US"/>
        </w:rPr>
        <w:tab/>
        <w:t>Osutatud katsemeetodite või samaväärsete meetoditega kontrollimisel ei tohi valmistootes esineda järgmiste patogeensete mikroorganismide tüvesid: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E. coli, katsemeetod ISO 16649-3:2005;</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Streptococcus (Enterococcus), katsemeetod ISO 21528-1:2004;</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Staphylococcus aureus, katsemeetod ISO 6888-1;</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Bacillus cereus, katsemeetod ISO 7932:2004 või ISO 21871;</w:t>
      </w:r>
    </w:p>
    <w:p w:rsidR="00F9609E" w:rsidRPr="005D6722" w:rsidRDefault="00F9609E" w:rsidP="00F9609E">
      <w:pPr>
        <w:spacing w:before="120" w:after="120" w:line="360" w:lineRule="auto"/>
        <w:ind w:left="1416" w:hanging="566"/>
        <w:rPr>
          <w:szCs w:val="24"/>
          <w:lang w:eastAsia="en-US"/>
        </w:rPr>
      </w:pPr>
      <w:r w:rsidRPr="005D6722">
        <w:rPr>
          <w:szCs w:val="24"/>
          <w:lang w:eastAsia="en-US"/>
        </w:rPr>
        <w:t>e)</w:t>
      </w:r>
      <w:r w:rsidRPr="005D6722">
        <w:rPr>
          <w:szCs w:val="24"/>
          <w:lang w:eastAsia="en-US"/>
        </w:rPr>
        <w:tab/>
        <w:t>Salmonella, katsemeetod ISO 6579:2002 või ISO 19250.</w:t>
      </w:r>
    </w:p>
    <w:p w:rsidR="00F9609E" w:rsidRPr="005D6722" w:rsidRDefault="00F9609E" w:rsidP="00F9609E">
      <w:pPr>
        <w:spacing w:before="120" w:after="120" w:line="360" w:lineRule="auto"/>
        <w:ind w:left="1416" w:hanging="566"/>
        <w:rPr>
          <w:b/>
          <w:szCs w:val="24"/>
          <w:lang w:eastAsia="en-US"/>
        </w:rPr>
      </w:pPr>
      <w:r w:rsidRPr="005D6722">
        <w:rPr>
          <w:b/>
          <w:i/>
          <w:szCs w:val="24"/>
          <w:lang w:eastAsia="en-US"/>
        </w:rPr>
        <w:t>ea)</w:t>
      </w:r>
      <w:r w:rsidRPr="005D6722">
        <w:rPr>
          <w:szCs w:val="24"/>
          <w:lang w:eastAsia="en-US"/>
        </w:rPr>
        <w:tab/>
      </w:r>
      <w:r w:rsidRPr="005D6722">
        <w:rPr>
          <w:b/>
          <w:i/>
          <w:szCs w:val="24"/>
          <w:lang w:eastAsia="en-US"/>
        </w:rPr>
        <w:t>Pseudomonas aeruginosa, katsemeetod ISO 22717:2015;</w:t>
      </w:r>
      <w:r w:rsidR="00C0022F" w:rsidRPr="005D6722">
        <w:rPr>
          <w:b/>
          <w:szCs w:val="24"/>
          <w:lang w:eastAsia="en-US"/>
        </w:rPr>
        <w:t xml:space="preserve"> [ME 125]</w:t>
      </w:r>
    </w:p>
    <w:p w:rsidR="00F9609E" w:rsidRPr="005D6722" w:rsidRDefault="00F9609E" w:rsidP="00F9609E">
      <w:pPr>
        <w:spacing w:before="120" w:after="120" w:line="360" w:lineRule="auto"/>
        <w:ind w:left="1416" w:hanging="566"/>
        <w:rPr>
          <w:b/>
          <w:szCs w:val="24"/>
          <w:lang w:eastAsia="en-US"/>
        </w:rPr>
      </w:pPr>
      <w:r w:rsidRPr="005D6722">
        <w:rPr>
          <w:b/>
          <w:i/>
          <w:szCs w:val="24"/>
          <w:lang w:eastAsia="en-US"/>
        </w:rPr>
        <w:t>eb)</w:t>
      </w:r>
      <w:r w:rsidRPr="005D6722">
        <w:rPr>
          <w:szCs w:val="24"/>
          <w:lang w:eastAsia="en-US"/>
        </w:rPr>
        <w:tab/>
      </w:r>
      <w:r w:rsidRPr="005D6722">
        <w:rPr>
          <w:b/>
          <w:i/>
          <w:szCs w:val="24"/>
          <w:lang w:eastAsia="en-US"/>
        </w:rPr>
        <w:t>Candida albicans, katsemeetod ISO 18416:2015;</w:t>
      </w:r>
      <w:r w:rsidR="00C0022F" w:rsidRPr="005D6722">
        <w:rPr>
          <w:b/>
          <w:szCs w:val="24"/>
          <w:lang w:eastAsia="en-US"/>
        </w:rPr>
        <w:t xml:space="preserve"> [ME 126]</w:t>
      </w:r>
    </w:p>
    <w:p w:rsidR="00F9609E" w:rsidRPr="005D6722" w:rsidRDefault="00F9609E" w:rsidP="00F9609E">
      <w:pPr>
        <w:spacing w:before="120" w:after="120" w:line="360" w:lineRule="auto"/>
        <w:ind w:left="1416" w:hanging="566"/>
        <w:rPr>
          <w:b/>
          <w:szCs w:val="24"/>
          <w:lang w:eastAsia="en-US"/>
        </w:rPr>
      </w:pPr>
      <w:r w:rsidRPr="005D6722">
        <w:rPr>
          <w:b/>
          <w:i/>
          <w:szCs w:val="24"/>
          <w:lang w:eastAsia="en-US"/>
        </w:rPr>
        <w:t>ec)</w:t>
      </w:r>
      <w:r w:rsidRPr="005D6722">
        <w:rPr>
          <w:szCs w:val="24"/>
          <w:lang w:eastAsia="en-US"/>
        </w:rPr>
        <w:tab/>
      </w:r>
      <w:r w:rsidRPr="005D6722">
        <w:rPr>
          <w:b/>
          <w:i/>
          <w:szCs w:val="24"/>
          <w:lang w:eastAsia="en-US"/>
        </w:rPr>
        <w:t>muud määruse (EL) 2020/741</w:t>
      </w:r>
      <w:r w:rsidRPr="005D6722">
        <w:rPr>
          <w:szCs w:val="24"/>
          <w:vertAlign w:val="superscript"/>
          <w:lang w:eastAsia="en-US"/>
        </w:rPr>
        <w:footnoteReference w:customMarkFollows="1" w:id="29"/>
        <w:t>1</w:t>
      </w:r>
      <w:r w:rsidRPr="005D6722">
        <w:rPr>
          <w:b/>
          <w:i/>
          <w:szCs w:val="24"/>
          <w:lang w:eastAsia="en-US"/>
        </w:rPr>
        <w:t xml:space="preserve"> I lisa tabelis 4 loetletud mikroorganismid.</w:t>
      </w:r>
      <w:r w:rsidR="00C0022F" w:rsidRPr="005D6722">
        <w:rPr>
          <w:b/>
          <w:szCs w:val="24"/>
          <w:lang w:eastAsia="en-US"/>
        </w:rPr>
        <w:t xml:space="preserve"> [ME 127]</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3.</w:t>
      </w:r>
      <w:r w:rsidRPr="005D6722">
        <w:rPr>
          <w:szCs w:val="24"/>
          <w:lang w:eastAsia="en-US"/>
        </w:rPr>
        <w:tab/>
        <w:t>Tahtlikult lisatud mikroorganismid ei tohi olla geneetiliselt muundatud mikroorganismid.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Tahtlikult lisatud mikroorganismid (välja arvatud need, millel on loomulik resistentsus) peavad antimikroobikumitundlikkuse määramise Euroopa komitee (EUCAST) diskdifusioonimeetodi või samaväärse meetodi kohaselt olema vastuvõtlikud kõigile peamistele antibiootikumiklassidele, nimelt aminoglükosiididele, makroliididele, beetalaktaamidele, tetratsükliinidele ja fluorokinoloonidele.</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5.</w:t>
      </w:r>
      <w:r w:rsidRPr="005D6722">
        <w:rPr>
          <w:szCs w:val="24"/>
          <w:lang w:eastAsia="en-US"/>
        </w:rPr>
        <w:tab/>
        <w:t>Turule laskmisel peab mikroobide üldarv mikroorganisme sisaldavates detergentides olema võrdne või suurem kui 1 × 10</w:t>
      </w:r>
      <w:r w:rsidRPr="005D6722">
        <w:rPr>
          <w:szCs w:val="24"/>
          <w:vertAlign w:val="superscript"/>
          <w:lang w:eastAsia="en-US"/>
        </w:rPr>
        <w:t>5</w:t>
      </w:r>
      <w:r w:rsidRPr="005D6722">
        <w:rPr>
          <w:szCs w:val="24"/>
          <w:lang w:eastAsia="en-US"/>
        </w:rPr>
        <w:t xml:space="preserve"> kolooniat moodustavat ühikut ml kohta vastavalt standardile ISO </w:t>
      </w:r>
      <w:r w:rsidRPr="005D6722">
        <w:rPr>
          <w:b/>
          <w:i/>
          <w:szCs w:val="24"/>
          <w:lang w:eastAsia="en-US"/>
        </w:rPr>
        <w:t xml:space="preserve">21149 või ISO </w:t>
      </w:r>
      <w:r w:rsidRPr="005D6722">
        <w:rPr>
          <w:szCs w:val="24"/>
          <w:lang w:eastAsia="en-US"/>
        </w:rPr>
        <w:t>4833-1:2014.</w:t>
      </w:r>
      <w:r w:rsidR="00C0022F" w:rsidRPr="005D6722">
        <w:rPr>
          <w:b/>
          <w:szCs w:val="24"/>
          <w:lang w:eastAsia="en-US"/>
        </w:rPr>
        <w:t xml:space="preserve"> [ME 128]</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6.</w:t>
      </w:r>
      <w:r w:rsidRPr="005D6722">
        <w:rPr>
          <w:szCs w:val="24"/>
          <w:lang w:eastAsia="en-US"/>
        </w:rPr>
        <w:tab/>
        <w:t xml:space="preserve">Mikroorganisme sisaldava detergendi minimaalne säilivusaeg ei tohi olla lühem kui 24 kuud ja vastavalt standardile ISO </w:t>
      </w:r>
      <w:r w:rsidRPr="005D6722">
        <w:rPr>
          <w:b/>
          <w:i/>
          <w:szCs w:val="24"/>
          <w:lang w:eastAsia="en-US"/>
        </w:rPr>
        <w:t xml:space="preserve">21149 või ISO </w:t>
      </w:r>
      <w:r w:rsidRPr="005D6722">
        <w:rPr>
          <w:szCs w:val="24"/>
          <w:lang w:eastAsia="en-US"/>
        </w:rPr>
        <w:t>4833-1:2014 ei tohi mikroobide arv väheneda rohkem kui 10 % iga 12 kuu jooksul.</w:t>
      </w:r>
      <w:r w:rsidR="00C0022F" w:rsidRPr="005D6722">
        <w:rPr>
          <w:b/>
          <w:szCs w:val="24"/>
          <w:lang w:eastAsia="en-US"/>
        </w:rPr>
        <w:t xml:space="preserve"> [ME 129]</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7.</w:t>
      </w:r>
      <w:r w:rsidRPr="005D6722">
        <w:rPr>
          <w:szCs w:val="24"/>
          <w:lang w:eastAsia="en-US"/>
        </w:rPr>
        <w:tab/>
      </w:r>
      <w:r w:rsidRPr="005D6722">
        <w:rPr>
          <w:b/>
          <w:i/>
          <w:szCs w:val="24"/>
          <w:lang w:eastAsia="en-US"/>
        </w:rPr>
        <w:t xml:space="preserve">Mikroorganisme sisaldavaid detergente lubatakse turule lasta </w:t>
      </w:r>
      <w:r w:rsidRPr="005D6722">
        <w:rPr>
          <w:szCs w:val="24"/>
          <w:lang w:eastAsia="en-US"/>
        </w:rPr>
        <w:t xml:space="preserve">pihustatava vahendina </w:t>
      </w:r>
      <w:r w:rsidRPr="005D6722">
        <w:rPr>
          <w:strike/>
          <w:szCs w:val="24"/>
          <w:lang w:eastAsia="en-US"/>
        </w:rPr>
        <w:t>turule lastavates detergentides sisalduvad mikroorganismid peavad läbima sissehingamisel avalduva ägeda mürgisuse katse vastavalt määruse (EÜ) nr 440/2008 lisa B osas kirjeldatud katsemeetodile B.2</w:t>
      </w:r>
      <w:r w:rsidRPr="005D6722">
        <w:rPr>
          <w:b/>
          <w:i/>
          <w:szCs w:val="24"/>
          <w:lang w:eastAsia="en-US"/>
        </w:rPr>
        <w:t>pärast seda, kui artikli 26 lõike 6a kohaselt on kindlaks määratud asjakohased loomadega mitteseotud lähenemisviisid hingamiselundite sensibiliseerimise omaduste katsetamiseks seoses mikroorganismidega</w:t>
      </w:r>
      <w:r w:rsidRPr="005D6722">
        <w:rPr>
          <w:szCs w:val="24"/>
          <w:lang w:eastAsia="en-US"/>
        </w:rPr>
        <w:t>.</w:t>
      </w:r>
      <w:r w:rsidR="00C0022F" w:rsidRPr="005D6722">
        <w:rPr>
          <w:b/>
          <w:szCs w:val="24"/>
          <w:lang w:eastAsia="en-US"/>
        </w:rPr>
        <w:t xml:space="preserve"> [ME 130]</w:t>
      </w:r>
    </w:p>
    <w:p w:rsidR="00F9609E" w:rsidRPr="005D6722" w:rsidRDefault="00F9609E" w:rsidP="00F9609E">
      <w:pPr>
        <w:spacing w:before="120" w:after="120" w:line="360" w:lineRule="auto"/>
        <w:ind w:left="850" w:hanging="850"/>
        <w:rPr>
          <w:szCs w:val="24"/>
          <w:lang w:eastAsia="en-US"/>
        </w:rPr>
      </w:pPr>
      <w:r w:rsidRPr="005D6722">
        <w:rPr>
          <w:szCs w:val="24"/>
          <w:lang w:eastAsia="en-US"/>
        </w:rPr>
        <w:t>8.</w:t>
      </w:r>
      <w:r w:rsidRPr="005D6722">
        <w:rPr>
          <w:szCs w:val="24"/>
          <w:lang w:eastAsia="en-US"/>
        </w:rPr>
        <w:tab/>
        <w:t>Mikroorganisme sisaldavaid detergente ei tohi turule lasta täitepakendis.</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9.</w:t>
      </w:r>
      <w:r w:rsidRPr="005D6722">
        <w:rPr>
          <w:szCs w:val="24"/>
          <w:lang w:eastAsia="en-US"/>
        </w:rPr>
        <w:tab/>
      </w:r>
      <w:r w:rsidRPr="005D6722">
        <w:rPr>
          <w:strike/>
          <w:szCs w:val="24"/>
          <w:lang w:eastAsia="en-US"/>
        </w:rPr>
        <w:t xml:space="preserve">Kõiki </w:t>
      </w:r>
      <w:r w:rsidRPr="005D6722">
        <w:rPr>
          <w:szCs w:val="24"/>
          <w:lang w:eastAsia="en-US"/>
        </w:rPr>
        <w:t xml:space="preserve">Tootja </w:t>
      </w:r>
      <w:r w:rsidRPr="005D6722">
        <w:rPr>
          <w:strike/>
          <w:szCs w:val="24"/>
          <w:lang w:eastAsia="en-US"/>
        </w:rPr>
        <w:t>väiteid</w:t>
      </w:r>
      <w:r w:rsidRPr="005D6722">
        <w:rPr>
          <w:b/>
          <w:i/>
          <w:szCs w:val="24"/>
          <w:lang w:eastAsia="en-US"/>
        </w:rPr>
        <w:t>põhjendab kõiki</w:t>
      </w:r>
      <w:r w:rsidRPr="005D6722">
        <w:rPr>
          <w:szCs w:val="24"/>
          <w:lang w:eastAsia="en-US"/>
        </w:rPr>
        <w:t xml:space="preserve"> tootes sisalduvate mikroorganismide toime </w:t>
      </w:r>
      <w:r w:rsidRPr="005D6722">
        <w:rPr>
          <w:b/>
          <w:i/>
          <w:szCs w:val="24"/>
          <w:lang w:eastAsia="en-US"/>
        </w:rPr>
        <w:t xml:space="preserve">või toimimise </w:t>
      </w:r>
      <w:r w:rsidRPr="005D6722">
        <w:rPr>
          <w:szCs w:val="24"/>
          <w:lang w:eastAsia="en-US"/>
        </w:rPr>
        <w:t xml:space="preserve">kohta </w:t>
      </w:r>
      <w:r w:rsidRPr="005D6722">
        <w:rPr>
          <w:strike/>
          <w:szCs w:val="24"/>
          <w:lang w:eastAsia="en-US"/>
        </w:rPr>
        <w:t>tuleb toetada kolmandate isikute tehtavate</w:t>
      </w:r>
      <w:r w:rsidRPr="005D6722">
        <w:rPr>
          <w:b/>
          <w:i/>
          <w:szCs w:val="24"/>
          <w:lang w:eastAsia="en-US"/>
        </w:rPr>
        <w:t>esitatud väiteid asjakohaste</w:t>
      </w:r>
      <w:r w:rsidRPr="005D6722">
        <w:rPr>
          <w:szCs w:val="24"/>
          <w:lang w:eastAsia="en-US"/>
        </w:rPr>
        <w:t xml:space="preserve"> katsetega.</w:t>
      </w:r>
      <w:r w:rsidRPr="005D6722">
        <w:rPr>
          <w:b/>
          <w:i/>
          <w:szCs w:val="24"/>
          <w:lang w:eastAsia="en-US"/>
        </w:rPr>
        <w:t xml:space="preserve"> Katseid kontrollib sõltumatu kolmas isik.</w:t>
      </w:r>
      <w:r w:rsidR="00C0022F" w:rsidRPr="005D6722">
        <w:rPr>
          <w:b/>
          <w:szCs w:val="24"/>
          <w:lang w:eastAsia="en-US"/>
        </w:rPr>
        <w:t xml:space="preserve"> [ME 131]</w:t>
      </w:r>
    </w:p>
    <w:p w:rsidR="00F9609E" w:rsidRPr="005D6722" w:rsidRDefault="00F9609E" w:rsidP="00F9609E">
      <w:pPr>
        <w:spacing w:before="120" w:after="120" w:line="360" w:lineRule="auto"/>
        <w:ind w:left="850" w:hanging="850"/>
        <w:rPr>
          <w:szCs w:val="24"/>
          <w:lang w:eastAsia="en-US"/>
        </w:rPr>
      </w:pPr>
      <w:r w:rsidRPr="005D6722">
        <w:rPr>
          <w:szCs w:val="24"/>
          <w:lang w:eastAsia="en-US"/>
        </w:rPr>
        <w:t>10.</w:t>
      </w:r>
      <w:r w:rsidRPr="005D6722">
        <w:rPr>
          <w:szCs w:val="24"/>
          <w:lang w:eastAsia="en-US"/>
        </w:rPr>
        <w:tab/>
        <w:t>Märgistusel või mis tahes muus teates on keelatud väita või vihjata, et detergendil on mikroobivastane või desinfitseeriv toime, välja arvatud juhul, kui detergent vastab määrusele (EL) nr 528/2012.</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11.</w:t>
      </w:r>
      <w:r w:rsidRPr="005D6722">
        <w:rPr>
          <w:szCs w:val="24"/>
          <w:lang w:eastAsia="en-US"/>
        </w:rPr>
        <w:tab/>
        <w:t>Punktides 2, 5, 6, 7 ja 9 osutatud katsed tehakse laborites, mis vastavad ühele järgmistest tingimustest: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laborid järgivad Euroopa Parlamendi ja nõukogu direktiivis 2004/10/EÜ</w:t>
      </w:r>
      <w:r w:rsidRPr="005D6722">
        <w:rPr>
          <w:szCs w:val="24"/>
          <w:vertAlign w:val="superscript"/>
          <w:lang w:eastAsia="en-US"/>
        </w:rPr>
        <w:footnoteReference w:customMarkFollows="1" w:id="30"/>
        <w:t>2</w:t>
      </w:r>
      <w:r w:rsidRPr="005D6722">
        <w:rPr>
          <w:szCs w:val="24"/>
          <w:lang w:eastAsia="en-US"/>
        </w:rPr>
        <w:t xml:space="preserve"> sätestatud heade laboritavade põhimõtteid või samaväärseks tunnistatud rahvusvahelisi standardeid;</w:t>
      </w:r>
    </w:p>
    <w:p w:rsidR="00F9609E" w:rsidRPr="005D6722" w:rsidRDefault="00F9609E" w:rsidP="005D6722">
      <w:pPr>
        <w:spacing w:before="120" w:after="120" w:line="360" w:lineRule="auto"/>
        <w:ind w:left="1418" w:hanging="568"/>
        <w:rPr>
          <w:szCs w:val="24"/>
          <w:lang w:eastAsia="en-US"/>
        </w:rPr>
      </w:pPr>
      <w:r w:rsidRPr="005D6722">
        <w:rPr>
          <w:szCs w:val="24"/>
          <w:lang w:eastAsia="en-US"/>
        </w:rPr>
        <w:t>(b)</w:t>
      </w:r>
      <w:r w:rsidRPr="005D6722">
        <w:rPr>
          <w:szCs w:val="24"/>
          <w:lang w:eastAsia="en-US"/>
        </w:rPr>
        <w:tab/>
        <w:t>laborid on akrediteeritud vastavalt laboristandardile, millele on osutatud määruses (EÜ) nr 765/2008.</w:t>
      </w:r>
    </w:p>
    <w:p w:rsidR="00F2288E" w:rsidRPr="005D6722" w:rsidRDefault="00F2288E" w:rsidP="005D6722">
      <w:pPr>
        <w:spacing w:before="120" w:after="120" w:line="360" w:lineRule="auto"/>
        <w:ind w:left="1418" w:hanging="568"/>
        <w:rPr>
          <w:szCs w:val="24"/>
          <w:lang w:eastAsia="en-US"/>
        </w:rPr>
      </w:pPr>
    </w:p>
    <w:p w:rsidR="00F9609E" w:rsidRPr="005D6722" w:rsidRDefault="00F9609E" w:rsidP="00F9609E">
      <w:pPr>
        <w:spacing w:before="120" w:after="120" w:line="360" w:lineRule="auto"/>
        <w:rPr>
          <w:szCs w:val="24"/>
          <w:lang w:eastAsia="en-US"/>
        </w:rPr>
        <w:sectPr w:rsidR="00F9609E" w:rsidRPr="005D6722">
          <w:footnotePr>
            <w:numRestart w:val="eachSect"/>
          </w:footnotePr>
          <w:pgSz w:w="11909" w:h="16834"/>
          <w:pgMar w:top="1134" w:right="1417" w:bottom="1417" w:left="1417" w:header="1134" w:footer="567" w:gutter="0"/>
          <w:cols w:space="720"/>
        </w:sectPr>
      </w:pPr>
    </w:p>
    <w:p w:rsidR="00F9609E" w:rsidRPr="005D6722" w:rsidRDefault="00F9609E" w:rsidP="00F9609E">
      <w:pPr>
        <w:spacing w:before="120" w:after="120" w:line="360" w:lineRule="auto"/>
        <w:rPr>
          <w:szCs w:val="24"/>
          <w:lang w:eastAsia="en-US"/>
        </w:rPr>
      </w:pPr>
    </w:p>
    <w:p w:rsidR="00F9609E" w:rsidRPr="005D6722" w:rsidRDefault="00F9609E" w:rsidP="00F9609E">
      <w:pPr>
        <w:spacing w:before="120" w:after="120" w:line="360" w:lineRule="auto"/>
        <w:jc w:val="center"/>
        <w:rPr>
          <w:lang w:eastAsia="en-US"/>
        </w:rPr>
      </w:pPr>
      <w:r w:rsidRPr="005D6722">
        <w:rPr>
          <w:lang w:eastAsia="en-US"/>
        </w:rPr>
        <w:t>III LISA</w:t>
      </w:r>
    </w:p>
    <w:p w:rsidR="00F9609E" w:rsidRPr="005D6722" w:rsidRDefault="00F9609E" w:rsidP="00F9609E">
      <w:pPr>
        <w:spacing w:before="120" w:after="120" w:line="360" w:lineRule="auto"/>
        <w:rPr>
          <w:szCs w:val="24"/>
          <w:lang w:eastAsia="en-US"/>
        </w:rPr>
      </w:pPr>
      <w:r w:rsidRPr="005D6722">
        <w:rPr>
          <w:szCs w:val="24"/>
          <w:lang w:eastAsia="en-US"/>
        </w:rPr>
        <w:t>ARTIKLIS 6 OSUTATUD FOSFAATIDE JA MUUDE FOSFORIÜHENDITE SISALDUSE PIIRANGUD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00"/>
        <w:gridCol w:w="5465"/>
      </w:tblGrid>
      <w:tr w:rsidR="00F9609E" w:rsidRPr="005D6722" w:rsidTr="00F9609E">
        <w:trPr>
          <w:tblHeader/>
        </w:trPr>
        <w:tc>
          <w:tcPr>
            <w:tcW w:w="0" w:type="auto"/>
          </w:tcPr>
          <w:p w:rsidR="00F9609E" w:rsidRPr="005D6722" w:rsidRDefault="00F9609E" w:rsidP="00F9609E">
            <w:pPr>
              <w:spacing w:before="120" w:after="120" w:line="360" w:lineRule="auto"/>
              <w:rPr>
                <w:szCs w:val="24"/>
                <w:lang w:eastAsia="en-US"/>
              </w:rPr>
            </w:pPr>
            <w:r w:rsidRPr="005D6722">
              <w:rPr>
                <w:szCs w:val="24"/>
                <w:lang w:eastAsia="en-US"/>
              </w:rPr>
              <w:t>Detergent</w:t>
            </w:r>
          </w:p>
        </w:tc>
        <w:tc>
          <w:tcPr>
            <w:tcW w:w="0" w:type="auto"/>
          </w:tcPr>
          <w:p w:rsidR="00F9609E" w:rsidRPr="005D6722" w:rsidRDefault="00F9609E" w:rsidP="00F9609E">
            <w:pPr>
              <w:spacing w:before="120" w:after="120" w:line="360" w:lineRule="auto"/>
              <w:rPr>
                <w:szCs w:val="24"/>
                <w:lang w:eastAsia="en-US"/>
              </w:rPr>
            </w:pPr>
            <w:r w:rsidRPr="005D6722">
              <w:rPr>
                <w:szCs w:val="24"/>
                <w:lang w:eastAsia="en-US"/>
              </w:rPr>
              <w:t>Piirangud</w:t>
            </w:r>
          </w:p>
        </w:tc>
      </w:tr>
      <w:tr w:rsidR="00F9609E" w:rsidRPr="005D6722" w:rsidTr="00F9609E">
        <w:tc>
          <w:tcPr>
            <w:tcW w:w="0" w:type="auto"/>
          </w:tcPr>
          <w:p w:rsidR="00F9609E" w:rsidRPr="005D6722" w:rsidRDefault="00F9609E" w:rsidP="00F9609E">
            <w:pPr>
              <w:spacing w:before="120" w:after="120" w:line="360" w:lineRule="auto"/>
              <w:rPr>
                <w:szCs w:val="24"/>
                <w:lang w:eastAsia="en-US"/>
              </w:rPr>
            </w:pPr>
            <w:r w:rsidRPr="005D6722">
              <w:rPr>
                <w:szCs w:val="24"/>
                <w:lang w:eastAsia="en-US"/>
              </w:rPr>
              <w:t>Kodumajapidamises kasutatavad pesupesemisvahendid</w:t>
            </w:r>
          </w:p>
        </w:tc>
        <w:tc>
          <w:tcPr>
            <w:tcW w:w="0" w:type="auto"/>
          </w:tcPr>
          <w:p w:rsidR="00F2288E" w:rsidRPr="005D6722" w:rsidRDefault="00F2288E" w:rsidP="00F9609E">
            <w:pPr>
              <w:spacing w:before="120" w:after="120" w:line="360" w:lineRule="auto"/>
              <w:rPr>
                <w:szCs w:val="24"/>
                <w:lang w:eastAsia="en-US"/>
              </w:rPr>
            </w:pPr>
            <w:r w:rsidRPr="005D6722">
              <w:rPr>
                <w:b/>
                <w:i/>
              </w:rPr>
              <w:t xml:space="preserve">1. </w:t>
            </w:r>
            <w:r w:rsidR="00F9609E" w:rsidRPr="005D6722">
              <w:rPr>
                <w:szCs w:val="24"/>
                <w:lang w:eastAsia="en-US"/>
              </w:rPr>
              <w:t xml:space="preserve">Ei lasta turule, kui fosfori kogusisaldus on 0,5 grammi või rohkem detergendi soovitatud koguse kohta pesumasina põhitsüklis kareda veega tavalise töökorra jaoks, nagu on määratletud V lisa B osas: </w:t>
            </w:r>
          </w:p>
          <w:p w:rsidR="00F2288E" w:rsidRPr="005D6722" w:rsidRDefault="00F9609E" w:rsidP="00F9609E">
            <w:pPr>
              <w:spacing w:before="120" w:after="120" w:line="360" w:lineRule="auto"/>
              <w:rPr>
                <w:szCs w:val="24"/>
                <w:lang w:eastAsia="en-US"/>
              </w:rPr>
            </w:pPr>
            <w:r w:rsidRPr="005D6722">
              <w:rPr>
                <w:szCs w:val="24"/>
                <w:lang w:eastAsia="en-US"/>
              </w:rPr>
              <w:t>– „normaalselt määrdunud“ pesu jaoks tugevatoimeliste detergentide puhul;</w:t>
            </w:r>
          </w:p>
          <w:p w:rsidR="00F9609E" w:rsidRPr="005D6722" w:rsidRDefault="00F9609E" w:rsidP="00F9609E">
            <w:pPr>
              <w:spacing w:before="120" w:after="120" w:line="360" w:lineRule="auto"/>
              <w:rPr>
                <w:szCs w:val="24"/>
                <w:lang w:eastAsia="en-US"/>
              </w:rPr>
            </w:pPr>
            <w:r w:rsidRPr="005D6722">
              <w:rPr>
                <w:szCs w:val="24"/>
                <w:lang w:eastAsia="en-US"/>
              </w:rPr>
              <w:t xml:space="preserve"> – „kergelt määrdunud“ pesu jaoks õrnade kangaste detergentide puhul.</w:t>
            </w:r>
          </w:p>
          <w:p w:rsidR="00F2288E" w:rsidRPr="005D6722" w:rsidRDefault="00F2288E" w:rsidP="00F2288E">
            <w:pPr>
              <w:pStyle w:val="Normal6a"/>
              <w:rPr>
                <w:b/>
                <w:i/>
              </w:rPr>
            </w:pPr>
            <w:r w:rsidRPr="005D6722">
              <w:rPr>
                <w:b/>
                <w:i/>
              </w:rPr>
              <w:t>2. Ei tohi sisaldada fosfaati.</w:t>
            </w:r>
          </w:p>
          <w:p w:rsidR="00F2288E" w:rsidRPr="005D6722" w:rsidRDefault="00F2288E" w:rsidP="00F2288E">
            <w:pPr>
              <w:pStyle w:val="Normal6a"/>
              <w:rPr>
                <w:b/>
                <w:i/>
              </w:rPr>
            </w:pPr>
            <w:r w:rsidRPr="005D6722">
              <w:rPr>
                <w:b/>
                <w:i/>
              </w:rPr>
              <w:t>3. Ei lasta turule, kui hiljemalt ... [neli aastat pärast käesoleva määruse jõustumist] on fosfori kogusisaldus</w:t>
            </w:r>
          </w:p>
          <w:p w:rsidR="00F2288E" w:rsidRPr="005D6722" w:rsidRDefault="00F2288E" w:rsidP="00F2288E">
            <w:pPr>
              <w:pStyle w:val="Normal6a"/>
              <w:rPr>
                <w:b/>
                <w:i/>
              </w:rPr>
            </w:pPr>
            <w:r w:rsidRPr="005D6722">
              <w:rPr>
                <w:b/>
                <w:i/>
              </w:rPr>
              <w:t>– „kergelt määrdunud“ pesu jaoks õrnatoimeliste detergentide puhul 0,1 g või rohkem,</w:t>
            </w:r>
          </w:p>
          <w:p w:rsidR="00F2288E" w:rsidRPr="005D6722" w:rsidRDefault="00F2288E" w:rsidP="00F2288E">
            <w:pPr>
              <w:pStyle w:val="Normal6a"/>
              <w:rPr>
                <w:b/>
                <w:i/>
              </w:rPr>
            </w:pPr>
            <w:r w:rsidRPr="005D6722">
              <w:rPr>
                <w:b/>
                <w:i/>
              </w:rPr>
              <w:t>– „normaalselt määrdunud“ pesu jaoks tugevatoimeliste detergentide puhul 0,25 g või rohkem,</w:t>
            </w:r>
          </w:p>
          <w:p w:rsidR="00F2288E" w:rsidRPr="005D6722" w:rsidRDefault="00F2288E" w:rsidP="00F2288E">
            <w:pPr>
              <w:pStyle w:val="Normal6a"/>
              <w:rPr>
                <w:b/>
                <w:i/>
              </w:rPr>
            </w:pPr>
            <w:r w:rsidRPr="005D6722">
              <w:rPr>
                <w:b/>
                <w:i/>
              </w:rPr>
              <w:t>– pesuprotsessis kasutatavate plekieemaldite puhul 0,045 g või rohkem,</w:t>
            </w:r>
          </w:p>
          <w:p w:rsidR="00F2288E" w:rsidRPr="005D6722" w:rsidRDefault="00F2288E" w:rsidP="00F2288E">
            <w:pPr>
              <w:pStyle w:val="Normal6a"/>
              <w:rPr>
                <w:b/>
                <w:i/>
              </w:rPr>
            </w:pPr>
            <w:r w:rsidRPr="005D6722">
              <w:rPr>
                <w:b/>
                <w:i/>
              </w:rPr>
              <w:t>– pesueelsete plekieemaldite puhul 0,023 g või rohkem</w:t>
            </w:r>
          </w:p>
          <w:p w:rsidR="00F2288E" w:rsidRPr="005D6722" w:rsidRDefault="00F2288E" w:rsidP="00F2288E">
            <w:pPr>
              <w:spacing w:before="120" w:after="120" w:line="360" w:lineRule="auto"/>
              <w:rPr>
                <w:szCs w:val="24"/>
                <w:lang w:eastAsia="en-US"/>
              </w:rPr>
            </w:pPr>
            <w:r w:rsidRPr="005D6722">
              <w:rPr>
                <w:b/>
                <w:i/>
              </w:rPr>
              <w:t>detergendi soovitatud koguse kohta pesumasina põhitsüklis tavalise töökorra jaoks, nagu on määratletud V lisa B osas.</w:t>
            </w:r>
          </w:p>
        </w:tc>
      </w:tr>
      <w:tr w:rsidR="00F9609E" w:rsidRPr="005D6722" w:rsidTr="00F9609E">
        <w:tc>
          <w:tcPr>
            <w:tcW w:w="0" w:type="auto"/>
          </w:tcPr>
          <w:p w:rsidR="00F9609E" w:rsidRPr="005D6722" w:rsidRDefault="00F9609E" w:rsidP="00F9609E">
            <w:pPr>
              <w:spacing w:before="120" w:after="120" w:line="360" w:lineRule="auto"/>
              <w:rPr>
                <w:szCs w:val="24"/>
                <w:lang w:eastAsia="en-US"/>
              </w:rPr>
            </w:pPr>
            <w:r w:rsidRPr="005D6722">
              <w:rPr>
                <w:szCs w:val="24"/>
                <w:lang w:eastAsia="en-US"/>
              </w:rPr>
              <w:t xml:space="preserve">Kodumajapidamises nõudepesumasinas </w:t>
            </w:r>
            <w:r w:rsidRPr="005D6722">
              <w:rPr>
                <w:szCs w:val="24"/>
                <w:lang w:eastAsia="en-US"/>
              </w:rPr>
              <w:lastRenderedPageBreak/>
              <w:t>kasutatavad pesuvahendid</w:t>
            </w:r>
          </w:p>
        </w:tc>
        <w:tc>
          <w:tcPr>
            <w:tcW w:w="0" w:type="auto"/>
          </w:tcPr>
          <w:p w:rsidR="00F9609E" w:rsidRPr="005D6722" w:rsidRDefault="00F2288E" w:rsidP="00F9609E">
            <w:pPr>
              <w:spacing w:before="120" w:after="120" w:line="360" w:lineRule="auto"/>
              <w:rPr>
                <w:szCs w:val="24"/>
                <w:lang w:eastAsia="en-US"/>
              </w:rPr>
            </w:pPr>
            <w:r w:rsidRPr="005D6722">
              <w:rPr>
                <w:b/>
                <w:i/>
              </w:rPr>
              <w:lastRenderedPageBreak/>
              <w:t xml:space="preserve">1. </w:t>
            </w:r>
            <w:r w:rsidR="00F9609E" w:rsidRPr="005D6722">
              <w:rPr>
                <w:szCs w:val="24"/>
                <w:lang w:eastAsia="en-US"/>
              </w:rPr>
              <w:t xml:space="preserve">Ei lasta turule, kui fosfori kogusisaldus on 0,3 grammi või rohkem standarddoosi kohta, nagu on </w:t>
            </w:r>
            <w:r w:rsidR="00F9609E" w:rsidRPr="005D6722">
              <w:rPr>
                <w:szCs w:val="24"/>
                <w:lang w:eastAsia="en-US"/>
              </w:rPr>
              <w:lastRenderedPageBreak/>
              <w:t>määratletud V lisa B osas.</w:t>
            </w:r>
          </w:p>
          <w:p w:rsidR="00F2288E" w:rsidRPr="005D6722" w:rsidRDefault="00F2288E" w:rsidP="00F2288E">
            <w:pPr>
              <w:pStyle w:val="Normal6a"/>
              <w:rPr>
                <w:b/>
                <w:i/>
              </w:rPr>
            </w:pPr>
            <w:r w:rsidRPr="005D6722">
              <w:rPr>
                <w:b/>
                <w:i/>
              </w:rPr>
              <w:t>2. Ei tohi sisaldada fosfaati.</w:t>
            </w:r>
          </w:p>
          <w:p w:rsidR="00F2288E" w:rsidRPr="005D6722" w:rsidRDefault="00F2288E" w:rsidP="00F2288E">
            <w:pPr>
              <w:pStyle w:val="Normal6a"/>
              <w:rPr>
                <w:b/>
                <w:i/>
              </w:rPr>
            </w:pPr>
            <w:r w:rsidRPr="005D6722">
              <w:rPr>
                <w:b/>
                <w:i/>
              </w:rPr>
              <w:t>3. Ei lasta turule, kui hiljemalt ... [neli aastat pärast käesoleva määruse jõustumist] on fosfori kogusisaldus</w:t>
            </w:r>
          </w:p>
          <w:p w:rsidR="00F2288E" w:rsidRPr="005D6722" w:rsidRDefault="00F2288E" w:rsidP="00F2288E">
            <w:pPr>
              <w:pStyle w:val="Normal6a"/>
              <w:rPr>
                <w:b/>
                <w:i/>
              </w:rPr>
            </w:pPr>
            <w:r w:rsidRPr="005D6722">
              <w:rPr>
                <w:b/>
                <w:i/>
              </w:rPr>
              <w:t>– nõudepesumasinas kasutatavas pesuvahendis 0,2 g või rohkem pesukorra kohta,</w:t>
            </w:r>
          </w:p>
          <w:p w:rsidR="00F2288E" w:rsidRPr="005D6722" w:rsidRDefault="00F2288E" w:rsidP="00F2288E">
            <w:pPr>
              <w:spacing w:before="120" w:after="120" w:line="360" w:lineRule="auto"/>
              <w:rPr>
                <w:szCs w:val="24"/>
                <w:lang w:eastAsia="en-US"/>
              </w:rPr>
            </w:pPr>
            <w:r w:rsidRPr="005D6722">
              <w:rPr>
                <w:b/>
                <w:i/>
              </w:rPr>
              <w:t>– loputusvahendis 0,03 g või rohkem pesukorra kohta.</w:t>
            </w:r>
          </w:p>
        </w:tc>
      </w:tr>
      <w:tr w:rsidR="00F2288E" w:rsidRPr="005D6722" w:rsidTr="00F9609E">
        <w:tc>
          <w:tcPr>
            <w:tcW w:w="0" w:type="auto"/>
          </w:tcPr>
          <w:p w:rsidR="00F2288E" w:rsidRPr="005D6722" w:rsidRDefault="00F2288E" w:rsidP="00F9609E">
            <w:pPr>
              <w:spacing w:before="120" w:after="120" w:line="360" w:lineRule="auto"/>
              <w:rPr>
                <w:szCs w:val="24"/>
                <w:lang w:eastAsia="en-US"/>
              </w:rPr>
            </w:pPr>
            <w:r w:rsidRPr="005D6722">
              <w:rPr>
                <w:b/>
                <w:i/>
              </w:rPr>
              <w:lastRenderedPageBreak/>
              <w:t>Kodumajapidamises kasutatavad käsinõudepesuvahendid</w:t>
            </w:r>
          </w:p>
        </w:tc>
        <w:tc>
          <w:tcPr>
            <w:tcW w:w="0" w:type="auto"/>
          </w:tcPr>
          <w:p w:rsidR="00F2288E" w:rsidRPr="005D6722" w:rsidRDefault="00F2288E" w:rsidP="00F9609E">
            <w:pPr>
              <w:spacing w:before="120" w:after="120" w:line="360" w:lineRule="auto"/>
              <w:rPr>
                <w:b/>
                <w:i/>
              </w:rPr>
            </w:pPr>
            <w:r w:rsidRPr="005D6722">
              <w:rPr>
                <w:b/>
                <w:i/>
              </w:rPr>
              <w:t>Hiljemalt ... [neli aastat pärast käesoleva määruse jõustumise kuupäeva] ei sisalda fosfaate ega fosforit muul kujul.</w:t>
            </w:r>
          </w:p>
        </w:tc>
      </w:tr>
      <w:tr w:rsidR="00F2288E" w:rsidRPr="005D6722" w:rsidTr="00F9609E">
        <w:tc>
          <w:tcPr>
            <w:tcW w:w="0" w:type="auto"/>
          </w:tcPr>
          <w:p w:rsidR="00F2288E" w:rsidRPr="005D6722" w:rsidRDefault="00F2288E" w:rsidP="00F9609E">
            <w:pPr>
              <w:spacing w:before="120" w:after="120" w:line="360" w:lineRule="auto"/>
              <w:rPr>
                <w:szCs w:val="24"/>
                <w:lang w:eastAsia="en-US"/>
              </w:rPr>
            </w:pPr>
            <w:r w:rsidRPr="005D6722">
              <w:rPr>
                <w:b/>
                <w:i/>
              </w:rPr>
              <w:t>Kodumajapidamises kasutatavad kõvade pindade puhastamise vahendid</w:t>
            </w:r>
          </w:p>
        </w:tc>
        <w:tc>
          <w:tcPr>
            <w:tcW w:w="0" w:type="auto"/>
          </w:tcPr>
          <w:p w:rsidR="00F2288E" w:rsidRPr="005D6722" w:rsidRDefault="00F2288E" w:rsidP="00F2288E">
            <w:pPr>
              <w:pStyle w:val="Normal6a"/>
              <w:rPr>
                <w:b/>
                <w:i/>
              </w:rPr>
            </w:pPr>
            <w:r w:rsidRPr="005D6722">
              <w:rPr>
                <w:b/>
                <w:i/>
              </w:rPr>
              <w:t>1. Ei tohi sisaldada fosfaati.</w:t>
            </w:r>
          </w:p>
          <w:p w:rsidR="00F2288E" w:rsidRPr="005D6722" w:rsidRDefault="00F2288E" w:rsidP="00F2288E">
            <w:pPr>
              <w:pStyle w:val="Normal6a"/>
              <w:rPr>
                <w:b/>
                <w:i/>
              </w:rPr>
            </w:pPr>
            <w:r w:rsidRPr="005D6722">
              <w:rPr>
                <w:b/>
                <w:i/>
              </w:rPr>
              <w:t>2. Universaalpuhastusvahendid ja aknapuhastusvahendid ei sisalda hiljemalt ... [neli aastat pärast käesoleva määruse jõustumist] fosforit.</w:t>
            </w:r>
          </w:p>
          <w:p w:rsidR="00F2288E" w:rsidRPr="005D6722" w:rsidRDefault="00F2288E" w:rsidP="00F2288E">
            <w:pPr>
              <w:pStyle w:val="Normal6a"/>
              <w:rPr>
                <w:b/>
                <w:i/>
              </w:rPr>
            </w:pPr>
            <w:r w:rsidRPr="005D6722">
              <w:rPr>
                <w:b/>
                <w:i/>
              </w:rPr>
              <w:t>3. Köögipuhastusvahendeid ja sanitaarpuhastusvahendeid ei lasta turule, kui fosfori kogusisaldus on </w:t>
            </w:r>
          </w:p>
          <w:p w:rsidR="00F2288E" w:rsidRPr="005D6722" w:rsidRDefault="00F2288E" w:rsidP="00F2288E">
            <w:pPr>
              <w:pStyle w:val="Normal6a"/>
              <w:rPr>
                <w:b/>
                <w:i/>
              </w:rPr>
            </w:pPr>
            <w:r w:rsidRPr="005D6722">
              <w:rPr>
                <w:b/>
                <w:i/>
              </w:rPr>
              <w:t>2 g või rohkem 1 l puhastuslahuse kohta hiljemalt ... [neli aastat pärast käesoleva määruse jõustumist] ja </w:t>
            </w:r>
          </w:p>
          <w:p w:rsidR="00F2288E" w:rsidRPr="005D6722" w:rsidRDefault="00F2288E" w:rsidP="00F2288E">
            <w:pPr>
              <w:spacing w:before="120" w:after="120" w:line="360" w:lineRule="auto"/>
              <w:rPr>
                <w:b/>
                <w:i/>
              </w:rPr>
            </w:pPr>
            <w:r w:rsidRPr="005D6722">
              <w:rPr>
                <w:b/>
                <w:i/>
              </w:rPr>
              <w:t>1 g või rohkem 1 l puhastuslahuse kohta hiljemalt ... [seitse aastat pärast käesoleva määruse jõustumist].</w:t>
            </w:r>
          </w:p>
        </w:tc>
      </w:tr>
      <w:tr w:rsidR="00F2288E" w:rsidRPr="005D6722" w:rsidTr="00F9609E">
        <w:tc>
          <w:tcPr>
            <w:tcW w:w="0" w:type="auto"/>
          </w:tcPr>
          <w:p w:rsidR="00F2288E" w:rsidRPr="005D6722" w:rsidRDefault="00F2288E" w:rsidP="00F9609E">
            <w:pPr>
              <w:spacing w:before="120" w:after="120" w:line="360" w:lineRule="auto"/>
              <w:rPr>
                <w:szCs w:val="24"/>
                <w:lang w:eastAsia="en-US"/>
              </w:rPr>
            </w:pPr>
            <w:r w:rsidRPr="005D6722">
              <w:rPr>
                <w:b/>
                <w:i/>
              </w:rPr>
              <w:t>Tööstuses ja asutustes kasutatavad pesupesemisvahendid</w:t>
            </w:r>
          </w:p>
        </w:tc>
        <w:tc>
          <w:tcPr>
            <w:tcW w:w="0" w:type="auto"/>
          </w:tcPr>
          <w:p w:rsidR="00F2288E" w:rsidRPr="005D6722" w:rsidRDefault="00F2288E" w:rsidP="00F2288E">
            <w:pPr>
              <w:pStyle w:val="Normal6a"/>
              <w:rPr>
                <w:b/>
                <w:i/>
              </w:rPr>
            </w:pPr>
            <w:r w:rsidRPr="005D6722">
              <w:rPr>
                <w:b/>
                <w:i/>
              </w:rPr>
              <w:t>Ei lasta turule, kui hiljemalt ... [neli aastat pärast käesoleva määruse jõustumist] on fosfori kogusisaldus</w:t>
            </w:r>
          </w:p>
          <w:p w:rsidR="00F2288E" w:rsidRPr="005D6722" w:rsidRDefault="00F2288E" w:rsidP="00F2288E">
            <w:pPr>
              <w:pStyle w:val="Normal6a"/>
              <w:rPr>
                <w:b/>
                <w:i/>
              </w:rPr>
            </w:pPr>
            <w:r w:rsidRPr="005D6722">
              <w:rPr>
                <w:b/>
                <w:i/>
              </w:rPr>
              <w:t>0,5 g või rohkem 1 kg kergelt määrdunud pesu kohta,</w:t>
            </w:r>
          </w:p>
          <w:p w:rsidR="00F2288E" w:rsidRPr="005D6722" w:rsidRDefault="00F2288E" w:rsidP="00F2288E">
            <w:pPr>
              <w:pStyle w:val="Normal6a"/>
              <w:rPr>
                <w:b/>
                <w:i/>
              </w:rPr>
            </w:pPr>
            <w:r w:rsidRPr="005D6722">
              <w:rPr>
                <w:b/>
                <w:i/>
              </w:rPr>
              <w:t>1 g või rohkem 1 kg keskmiselt määrdunud pesu kohta,</w:t>
            </w:r>
          </w:p>
          <w:p w:rsidR="00F2288E" w:rsidRPr="005D6722" w:rsidRDefault="00F2288E" w:rsidP="00F2288E">
            <w:pPr>
              <w:spacing w:before="120" w:after="120" w:line="360" w:lineRule="auto"/>
              <w:rPr>
                <w:b/>
                <w:i/>
              </w:rPr>
            </w:pPr>
            <w:r w:rsidRPr="005D6722">
              <w:rPr>
                <w:b/>
                <w:i/>
              </w:rPr>
              <w:t>1,5 g või rohkem 1 kg tugevalt määrdunud pesu kohta</w:t>
            </w:r>
          </w:p>
        </w:tc>
      </w:tr>
      <w:tr w:rsidR="00F2288E" w:rsidRPr="005D6722" w:rsidTr="00F9609E">
        <w:tc>
          <w:tcPr>
            <w:tcW w:w="0" w:type="auto"/>
          </w:tcPr>
          <w:p w:rsidR="00F2288E" w:rsidRPr="005D6722" w:rsidRDefault="00F2288E" w:rsidP="00F9609E">
            <w:pPr>
              <w:spacing w:before="120" w:after="120" w:line="360" w:lineRule="auto"/>
              <w:rPr>
                <w:szCs w:val="24"/>
                <w:lang w:eastAsia="en-US"/>
              </w:rPr>
            </w:pPr>
            <w:r w:rsidRPr="005D6722">
              <w:rPr>
                <w:b/>
                <w:i/>
              </w:rPr>
              <w:lastRenderedPageBreak/>
              <w:t>Tööstuses ja asutustes nõudepesumasinas kasutatavad pesuvahendid</w:t>
            </w:r>
          </w:p>
        </w:tc>
        <w:tc>
          <w:tcPr>
            <w:tcW w:w="0" w:type="auto"/>
          </w:tcPr>
          <w:p w:rsidR="00F2288E" w:rsidRPr="005D6722" w:rsidRDefault="00F2288E" w:rsidP="00F2288E">
            <w:pPr>
              <w:pStyle w:val="Normal6a"/>
              <w:rPr>
                <w:b/>
                <w:i/>
              </w:rPr>
            </w:pPr>
            <w:r w:rsidRPr="005D6722">
              <w:rPr>
                <w:b/>
                <w:i/>
              </w:rPr>
              <w:t>Ei lasta turule, kui hiljemalt ... [seitse aastat pärast käesoleva määruse jõustumist] on fosfori kogusisaldus</w:t>
            </w:r>
          </w:p>
          <w:p w:rsidR="00F2288E" w:rsidRPr="005D6722" w:rsidRDefault="00F2288E" w:rsidP="00F2288E">
            <w:pPr>
              <w:pStyle w:val="Normal6a"/>
              <w:rPr>
                <w:b/>
                <w:i/>
              </w:rPr>
            </w:pPr>
            <w:r w:rsidRPr="005D6722">
              <w:rPr>
                <w:b/>
                <w:i/>
              </w:rPr>
              <w:t>– nõudepesumasinas kasutatava pesuvahendi ja mitmeosalise süsteemi puhul</w:t>
            </w:r>
          </w:p>
          <w:p w:rsidR="00F2288E" w:rsidRPr="005D6722" w:rsidRDefault="00F2288E" w:rsidP="00F2288E">
            <w:pPr>
              <w:pStyle w:val="Normal6a"/>
              <w:rPr>
                <w:b/>
                <w:i/>
              </w:rPr>
            </w:pPr>
            <w:r w:rsidRPr="005D6722">
              <w:rPr>
                <w:b/>
                <w:i/>
              </w:rPr>
              <w:t>– 0,3 g või rohkem 1 l pesulahuse kohta pehme vee korral,</w:t>
            </w:r>
          </w:p>
          <w:p w:rsidR="00F2288E" w:rsidRPr="005D6722" w:rsidRDefault="00F2288E" w:rsidP="00F2288E">
            <w:pPr>
              <w:pStyle w:val="Normal6a"/>
              <w:rPr>
                <w:b/>
                <w:i/>
              </w:rPr>
            </w:pPr>
            <w:r w:rsidRPr="005D6722">
              <w:rPr>
                <w:b/>
                <w:i/>
              </w:rPr>
              <w:t>– 0,4 g või rohkem 1 l pesulahuse kohta keskmise karedusega vee korral,</w:t>
            </w:r>
          </w:p>
          <w:p w:rsidR="00F2288E" w:rsidRPr="005D6722" w:rsidRDefault="00F2288E" w:rsidP="00F2288E">
            <w:pPr>
              <w:pStyle w:val="Normal6a"/>
              <w:rPr>
                <w:b/>
                <w:i/>
              </w:rPr>
            </w:pPr>
            <w:r w:rsidRPr="005D6722">
              <w:rPr>
                <w:b/>
                <w:i/>
              </w:rPr>
              <w:t>– 0,75 g või rohkem 1 l pesulahuse kohta kareda vee korral,</w:t>
            </w:r>
          </w:p>
          <w:p w:rsidR="00F2288E" w:rsidRPr="005D6722" w:rsidRDefault="00F2288E" w:rsidP="00F2288E">
            <w:pPr>
              <w:pStyle w:val="Normal6a"/>
              <w:rPr>
                <w:b/>
                <w:i/>
              </w:rPr>
            </w:pPr>
            <w:r w:rsidRPr="005D6722">
              <w:rPr>
                <w:b/>
                <w:i/>
              </w:rPr>
              <w:t>– eelleotusvahendi puhul 1 g või rohkem 1 l pesulahuse kohta,</w:t>
            </w:r>
          </w:p>
          <w:p w:rsidR="00F2288E" w:rsidRPr="005D6722" w:rsidRDefault="00F2288E" w:rsidP="00F2288E">
            <w:pPr>
              <w:spacing w:before="120" w:after="120" w:line="360" w:lineRule="auto"/>
              <w:rPr>
                <w:b/>
                <w:i/>
              </w:rPr>
            </w:pPr>
            <w:r w:rsidRPr="005D6722">
              <w:rPr>
                <w:b/>
                <w:i/>
              </w:rPr>
              <w:t>– loputusvahendi puhul 0,02 g või rohkem 1 l pesulahuse kohta.</w:t>
            </w:r>
          </w:p>
        </w:tc>
      </w:tr>
    </w:tbl>
    <w:p w:rsidR="00F2288E" w:rsidRPr="005D6722" w:rsidRDefault="00C0022F" w:rsidP="00C0022F">
      <w:pPr>
        <w:spacing w:before="120" w:after="120" w:line="360" w:lineRule="auto"/>
        <w:jc w:val="right"/>
        <w:rPr>
          <w:b/>
          <w:szCs w:val="24"/>
          <w:lang w:eastAsia="en-US"/>
        </w:rPr>
        <w:sectPr w:rsidR="00F2288E" w:rsidRPr="005D6722">
          <w:footnotePr>
            <w:numRestart w:val="eachSect"/>
          </w:footnotePr>
          <w:pgSz w:w="11909" w:h="16834"/>
          <w:pgMar w:top="1134" w:right="1417" w:bottom="1417" w:left="1417" w:header="1134" w:footer="567" w:gutter="0"/>
          <w:cols w:space="720"/>
        </w:sectPr>
      </w:pPr>
      <w:r w:rsidRPr="005D6722">
        <w:rPr>
          <w:b/>
          <w:szCs w:val="24"/>
          <w:lang w:eastAsia="en-US"/>
        </w:rPr>
        <w:t>[ME 132]</w:t>
      </w:r>
    </w:p>
    <w:p w:rsidR="00F9609E" w:rsidRPr="005D6722" w:rsidRDefault="00F9609E" w:rsidP="00F9609E">
      <w:pPr>
        <w:spacing w:before="120" w:after="120" w:line="360" w:lineRule="auto"/>
        <w:rPr>
          <w:szCs w:val="24"/>
          <w:lang w:eastAsia="en-US"/>
        </w:rPr>
      </w:pPr>
    </w:p>
    <w:p w:rsidR="00F9609E" w:rsidRPr="005D6722" w:rsidRDefault="00F9609E" w:rsidP="00F9609E">
      <w:pPr>
        <w:spacing w:before="120" w:after="120" w:line="360" w:lineRule="auto"/>
        <w:jc w:val="center"/>
        <w:rPr>
          <w:lang w:eastAsia="en-US"/>
        </w:rPr>
      </w:pPr>
      <w:r w:rsidRPr="005D6722">
        <w:rPr>
          <w:lang w:eastAsia="en-US"/>
        </w:rPr>
        <w:t>IV LISA</w:t>
      </w:r>
    </w:p>
    <w:p w:rsidR="00F9609E" w:rsidRPr="005D6722" w:rsidRDefault="00F9609E" w:rsidP="00F9609E">
      <w:pPr>
        <w:spacing w:before="120" w:after="120" w:line="360" w:lineRule="auto"/>
        <w:rPr>
          <w:szCs w:val="24"/>
          <w:lang w:eastAsia="en-US"/>
        </w:rPr>
      </w:pPr>
      <w:r w:rsidRPr="005D6722">
        <w:rPr>
          <w:szCs w:val="24"/>
          <w:lang w:eastAsia="en-US"/>
        </w:rPr>
        <w:t xml:space="preserve">ARTIKLI 7 LÕIKES 2 OSUTATUD VASTAVUSHINDAMINE </w:t>
      </w:r>
    </w:p>
    <w:p w:rsidR="00F9609E" w:rsidRPr="005D6722" w:rsidRDefault="00F9609E" w:rsidP="00F9609E">
      <w:pPr>
        <w:spacing w:before="120" w:after="120" w:line="360" w:lineRule="auto"/>
        <w:rPr>
          <w:szCs w:val="24"/>
          <w:lang w:eastAsia="en-US"/>
        </w:rPr>
      </w:pPr>
      <w:r w:rsidRPr="005D6722">
        <w:rPr>
          <w:szCs w:val="24"/>
          <w:lang w:eastAsia="en-US"/>
        </w:rPr>
        <w:t xml:space="preserve">Moodul A. Tootmise sisekontroll </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Mooduli kirjeldus</w:t>
      </w:r>
    </w:p>
    <w:p w:rsidR="00F9609E" w:rsidRPr="005D6722" w:rsidRDefault="00F9609E" w:rsidP="00F9609E">
      <w:pPr>
        <w:spacing w:before="120" w:after="120" w:line="360" w:lineRule="auto"/>
        <w:ind w:left="850"/>
        <w:rPr>
          <w:szCs w:val="24"/>
          <w:lang w:eastAsia="en-US"/>
        </w:rPr>
      </w:pPr>
      <w:r w:rsidRPr="005D6722">
        <w:rPr>
          <w:szCs w:val="24"/>
          <w:lang w:eastAsia="en-US"/>
        </w:rPr>
        <w:t>Tootmise sisekontroll on vastavushindamise osa, millega tootja täidab punktides 2, 3 ja 4 sätestatud kohustusi ning tagab ja kinnitab oma ainuvastutusel, et detergent või pindaktiivne aine vastab selle suhtes kohaldatavatele käesoleva määruse nõuetele.</w:t>
      </w:r>
    </w:p>
    <w:p w:rsidR="00F9609E" w:rsidRPr="005D6722" w:rsidRDefault="00F9609E" w:rsidP="00F9609E">
      <w:pPr>
        <w:spacing w:before="120" w:after="120" w:line="360" w:lineRule="auto"/>
        <w:ind w:left="850" w:hanging="850"/>
        <w:rPr>
          <w:szCs w:val="24"/>
          <w:lang w:eastAsia="en-US"/>
        </w:rPr>
      </w:pPr>
      <w:r w:rsidRPr="005D6722">
        <w:rPr>
          <w:szCs w:val="24"/>
          <w:lang w:eastAsia="en-US"/>
        </w:rPr>
        <w:t>2.</w:t>
      </w:r>
      <w:r w:rsidRPr="005D6722">
        <w:rPr>
          <w:szCs w:val="24"/>
          <w:lang w:eastAsia="en-US"/>
        </w:rPr>
        <w:tab/>
        <w:t>Tehniline dokumentatsioon</w:t>
      </w:r>
    </w:p>
    <w:p w:rsidR="00F9609E" w:rsidRPr="005D6722" w:rsidRDefault="00F9609E" w:rsidP="00F9609E">
      <w:pPr>
        <w:spacing w:before="120" w:after="120" w:line="360" w:lineRule="auto"/>
        <w:ind w:left="850" w:hanging="850"/>
        <w:rPr>
          <w:szCs w:val="24"/>
          <w:lang w:eastAsia="en-US"/>
        </w:rPr>
      </w:pPr>
      <w:r w:rsidRPr="005D6722">
        <w:rPr>
          <w:szCs w:val="24"/>
          <w:lang w:eastAsia="en-US"/>
        </w:rPr>
        <w:t>2.1.</w:t>
      </w:r>
      <w:r w:rsidRPr="005D6722">
        <w:rPr>
          <w:szCs w:val="24"/>
          <w:lang w:eastAsia="en-US"/>
        </w:rPr>
        <w:tab/>
        <w:t>Tootja koostab tehnilise dokumentatsiooni. Dokumentatsioon peab võimaldama hinnata detergendi või pindaktiivse aine vastavust asjakohastele nõuetele ning sisaldama riskide nõuetekohast analüüsi ja hinnangut.</w:t>
      </w:r>
    </w:p>
    <w:p w:rsidR="00EA6C65" w:rsidRPr="005D6722" w:rsidRDefault="00EA6C65">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2.2.</w:t>
      </w:r>
      <w:r w:rsidRPr="005D6722">
        <w:rPr>
          <w:szCs w:val="24"/>
          <w:lang w:eastAsia="en-US"/>
        </w:rPr>
        <w:tab/>
        <w:t>Tehnilises dokumentatsioonis määratakse kindlaks kohaldatavad nõuded ja käsitletakse detergendi või pindaktiivse aine kavandamist, tootmist ja otstarbekohast kasutamist selle hindamiseks vajalikul määral. Tehniline dokumentatsioon peab võimaluse korral sisaldama vähemalt järgmist:</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detergendi või pindaktiivse aine üldine kirjeldus ja ettenähtud kasutamise kirjeldus;</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katseprotokollid, mis tõendavad vastavust I lisale ja vajaduse korral II ja III lisale;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käesoleva määruse nõuetele vastavuse tõendamiseks kasutatud katsemeetodite loetelu;</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tehtud arvutuste ja kontrollimiste tulemused;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e)</w:t>
      </w:r>
      <w:r w:rsidRPr="005D6722">
        <w:rPr>
          <w:szCs w:val="24"/>
          <w:lang w:eastAsia="en-US"/>
        </w:rPr>
        <w:tab/>
        <w:t>koostisosade andmeleht, mis vastab järgmistele nõuetele:</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w:t>
      </w:r>
      <w:r w:rsidRPr="005D6722">
        <w:rPr>
          <w:szCs w:val="24"/>
          <w:lang w:eastAsia="en-US"/>
        </w:rPr>
        <w:tab/>
        <w:t>selles loetletakse kõik V lisa A osas osutatud tahtlikult lisatud ained ja säilitusained;</w:t>
      </w:r>
    </w:p>
    <w:p w:rsidR="00F9609E" w:rsidRPr="005D6722" w:rsidRDefault="00F9609E" w:rsidP="00F9609E">
      <w:pPr>
        <w:spacing w:before="120" w:after="120" w:line="360" w:lineRule="auto"/>
        <w:ind w:left="1982" w:hanging="566"/>
        <w:rPr>
          <w:szCs w:val="24"/>
          <w:lang w:eastAsia="en-US"/>
        </w:rPr>
      </w:pPr>
      <w:r w:rsidRPr="005D6722">
        <w:rPr>
          <w:szCs w:val="24"/>
          <w:lang w:eastAsia="en-US"/>
        </w:rPr>
        <w:t>ii)</w:t>
      </w:r>
      <w:r w:rsidRPr="005D6722">
        <w:rPr>
          <w:szCs w:val="24"/>
          <w:lang w:eastAsia="en-US"/>
        </w:rPr>
        <w:tab/>
        <w:t>selles esitatakse iga koostisosa tavapärane keemiline nimetus või IUPACi nimetus ja olemasolu korral INCI nimetus, CASi number ja Euroopa farmakopöa nimetus;</w:t>
      </w:r>
    </w:p>
    <w:p w:rsidR="00AF7C19" w:rsidRPr="005D6722" w:rsidRDefault="00AF7C19">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982" w:hanging="566"/>
        <w:rPr>
          <w:szCs w:val="24"/>
          <w:lang w:eastAsia="en-US"/>
        </w:rPr>
      </w:pPr>
      <w:r w:rsidRPr="005D6722">
        <w:rPr>
          <w:szCs w:val="24"/>
          <w:lang w:eastAsia="en-US"/>
        </w:rPr>
        <w:lastRenderedPageBreak/>
        <w:t>iii)</w:t>
      </w:r>
      <w:r w:rsidRPr="005D6722">
        <w:rPr>
          <w:szCs w:val="24"/>
          <w:lang w:eastAsia="en-US"/>
        </w:rPr>
        <w:tab/>
        <w:t>kõik ained loetletakse massi vähenemise järjekorras, ning loetelu jaotatakse järgmisteks massiprotsentides väljendatud vahemikeks:</w:t>
      </w:r>
    </w:p>
    <w:p w:rsidR="00F9609E" w:rsidRPr="005D6722" w:rsidRDefault="00F9609E" w:rsidP="00F9609E">
      <w:pPr>
        <w:spacing w:before="120" w:after="120" w:line="360" w:lineRule="auto"/>
        <w:ind w:left="2548" w:hanging="566"/>
        <w:rPr>
          <w:szCs w:val="24"/>
          <w:lang w:eastAsia="en-US"/>
        </w:rPr>
      </w:pPr>
      <w:r w:rsidRPr="005D6722">
        <w:rPr>
          <w:szCs w:val="24"/>
          <w:lang w:eastAsia="en-US"/>
        </w:rPr>
        <w:t>1)</w:t>
      </w:r>
      <w:r w:rsidRPr="005D6722">
        <w:rPr>
          <w:szCs w:val="24"/>
          <w:lang w:eastAsia="en-US"/>
        </w:rPr>
        <w:tab/>
        <w:t>10 % või rohkem,</w:t>
      </w:r>
    </w:p>
    <w:p w:rsidR="00F9609E" w:rsidRPr="005D6722" w:rsidRDefault="00F9609E" w:rsidP="00F9609E">
      <w:pPr>
        <w:spacing w:before="120" w:after="120" w:line="360" w:lineRule="auto"/>
        <w:ind w:left="2548" w:hanging="566"/>
        <w:rPr>
          <w:szCs w:val="24"/>
          <w:lang w:eastAsia="en-US"/>
        </w:rPr>
      </w:pPr>
      <w:r w:rsidRPr="005D6722">
        <w:rPr>
          <w:szCs w:val="24"/>
          <w:lang w:eastAsia="en-US"/>
        </w:rPr>
        <w:t>2)</w:t>
      </w:r>
      <w:r w:rsidRPr="005D6722">
        <w:rPr>
          <w:szCs w:val="24"/>
          <w:lang w:eastAsia="en-US"/>
        </w:rPr>
        <w:tab/>
        <w:t>1 % või rohkem, kuid alla 10 %,</w:t>
      </w:r>
    </w:p>
    <w:p w:rsidR="00F9609E" w:rsidRPr="005D6722" w:rsidRDefault="00F9609E" w:rsidP="00F9609E">
      <w:pPr>
        <w:spacing w:before="120" w:after="120" w:line="360" w:lineRule="auto"/>
        <w:ind w:left="2548" w:hanging="566"/>
        <w:rPr>
          <w:szCs w:val="24"/>
          <w:lang w:eastAsia="en-US"/>
        </w:rPr>
      </w:pPr>
      <w:r w:rsidRPr="005D6722">
        <w:rPr>
          <w:szCs w:val="24"/>
          <w:lang w:eastAsia="en-US"/>
        </w:rPr>
        <w:t>3)</w:t>
      </w:r>
      <w:r w:rsidRPr="005D6722">
        <w:rPr>
          <w:szCs w:val="24"/>
          <w:lang w:eastAsia="en-US"/>
        </w:rPr>
        <w:tab/>
        <w:t>0,1 % või rohkem, kuid alla 1 %,</w:t>
      </w:r>
    </w:p>
    <w:p w:rsidR="00F9609E" w:rsidRPr="005D6722" w:rsidRDefault="00F9609E" w:rsidP="00F9609E">
      <w:pPr>
        <w:spacing w:before="120" w:after="120" w:line="360" w:lineRule="auto"/>
        <w:ind w:left="2548" w:hanging="566"/>
        <w:rPr>
          <w:szCs w:val="24"/>
          <w:lang w:eastAsia="en-US"/>
        </w:rPr>
      </w:pPr>
      <w:r w:rsidRPr="005D6722">
        <w:rPr>
          <w:szCs w:val="24"/>
          <w:lang w:eastAsia="en-US"/>
        </w:rPr>
        <w:t>4)</w:t>
      </w:r>
      <w:r w:rsidRPr="005D6722">
        <w:rPr>
          <w:szCs w:val="24"/>
          <w:lang w:eastAsia="en-US"/>
        </w:rPr>
        <w:tab/>
        <w:t>vähem kui 0,1 %.</w:t>
      </w:r>
    </w:p>
    <w:p w:rsidR="00F9609E" w:rsidRPr="005D6722" w:rsidRDefault="00F9609E" w:rsidP="00F9609E">
      <w:pPr>
        <w:spacing w:before="120" w:after="120" w:line="360" w:lineRule="auto"/>
        <w:rPr>
          <w:szCs w:val="24"/>
          <w:lang w:eastAsia="en-US"/>
        </w:rPr>
      </w:pPr>
      <w:r w:rsidRPr="005D6722">
        <w:rPr>
          <w:szCs w:val="24"/>
          <w:lang w:eastAsia="en-US"/>
        </w:rPr>
        <w:t>Punkti e kohaldamisel käsitatakse parfüümi, eeterlikku õli või värvainet ühe komponendina.</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Tootmine</w:t>
      </w:r>
    </w:p>
    <w:p w:rsidR="00F9609E" w:rsidRPr="005D6722" w:rsidRDefault="00F9609E" w:rsidP="00F9609E">
      <w:pPr>
        <w:spacing w:before="120" w:after="120" w:line="360" w:lineRule="auto"/>
        <w:ind w:left="850"/>
        <w:rPr>
          <w:szCs w:val="24"/>
          <w:lang w:eastAsia="en-US"/>
        </w:rPr>
      </w:pPr>
      <w:r w:rsidRPr="005D6722">
        <w:rPr>
          <w:szCs w:val="24"/>
          <w:lang w:eastAsia="en-US"/>
        </w:rPr>
        <w:t>Tootja võtab kõik vajalikud meetmed, et tootmisprotsess ja selle järelevalve tagaksid detergendi või pindaktiivse aine vastavuse punktis 2 osutatud tehnilisele dokumentatsioonile ja selle suhtes käesoleva määrusega kohaldatavatele nõuetele.</w:t>
      </w:r>
    </w:p>
    <w:p w:rsidR="00F9609E" w:rsidRPr="005D6722" w:rsidRDefault="00F9609E" w:rsidP="00F9609E">
      <w:pPr>
        <w:spacing w:before="120" w:after="120" w:line="360" w:lineRule="auto"/>
        <w:rPr>
          <w:szCs w:val="24"/>
          <w:lang w:eastAsia="en-US"/>
        </w:rPr>
        <w:sectPr w:rsidR="00F9609E" w:rsidRPr="005D6722">
          <w:footnotePr>
            <w:numRestart w:val="eachSect"/>
          </w:footnotePr>
          <w:pgSz w:w="11909" w:h="16834"/>
          <w:pgMar w:top="1134" w:right="1417" w:bottom="1417" w:left="1417" w:header="1134" w:footer="567" w:gutter="0"/>
          <w:cols w:space="720"/>
        </w:sectPr>
      </w:pPr>
    </w:p>
    <w:p w:rsidR="00F9609E" w:rsidRPr="005D6722" w:rsidRDefault="00F9609E" w:rsidP="00F9609E">
      <w:pPr>
        <w:spacing w:before="120" w:after="120" w:line="360" w:lineRule="auto"/>
        <w:jc w:val="center"/>
        <w:rPr>
          <w:lang w:eastAsia="en-US"/>
        </w:rPr>
      </w:pPr>
      <w:r w:rsidRPr="005D6722">
        <w:rPr>
          <w:lang w:eastAsia="en-US"/>
        </w:rPr>
        <w:lastRenderedPageBreak/>
        <w:t>V LISA</w:t>
      </w:r>
    </w:p>
    <w:p w:rsidR="00F9609E" w:rsidRPr="005D6722" w:rsidRDefault="00F9609E" w:rsidP="00AF7C19">
      <w:pPr>
        <w:spacing w:before="120" w:after="120" w:line="360" w:lineRule="auto"/>
        <w:jc w:val="center"/>
        <w:rPr>
          <w:szCs w:val="24"/>
          <w:lang w:eastAsia="en-US"/>
        </w:rPr>
      </w:pPr>
      <w:r w:rsidRPr="005D6722">
        <w:rPr>
          <w:szCs w:val="24"/>
          <w:lang w:eastAsia="en-US"/>
        </w:rPr>
        <w:t>MÄRGISTAMISNÕUDED</w:t>
      </w:r>
    </w:p>
    <w:p w:rsidR="00F9609E" w:rsidRPr="005D6722" w:rsidRDefault="00F9609E" w:rsidP="00AF7C19">
      <w:pPr>
        <w:spacing w:before="120" w:after="120" w:line="360" w:lineRule="auto"/>
        <w:rPr>
          <w:szCs w:val="24"/>
          <w:lang w:eastAsia="en-US"/>
        </w:rPr>
      </w:pPr>
      <w:r w:rsidRPr="005D6722">
        <w:rPr>
          <w:szCs w:val="24"/>
          <w:lang w:eastAsia="en-US"/>
        </w:rPr>
        <w:t>A OSA. SISU MÄRGISTUSEL</w:t>
      </w:r>
    </w:p>
    <w:p w:rsidR="00F9609E" w:rsidRPr="005D6722" w:rsidRDefault="00F9609E" w:rsidP="00F9609E">
      <w:pPr>
        <w:spacing w:before="120" w:after="120" w:line="360" w:lineRule="auto"/>
        <w:rPr>
          <w:szCs w:val="24"/>
          <w:lang w:eastAsia="en-US"/>
        </w:rPr>
      </w:pPr>
      <w:r w:rsidRPr="005D6722">
        <w:rPr>
          <w:szCs w:val="24"/>
          <w:lang w:eastAsia="en-US"/>
        </w:rPr>
        <w:t>Turul kättesaadavaks tehtud detergentide ja pindaktiivsete ainete märgistusel esitatav teave</w:t>
      </w:r>
    </w:p>
    <w:p w:rsidR="00F9609E" w:rsidRPr="005D6722" w:rsidRDefault="00F9609E" w:rsidP="00F9609E">
      <w:pPr>
        <w:spacing w:before="120" w:after="120" w:line="360" w:lineRule="auto"/>
        <w:ind w:left="850" w:hanging="850"/>
        <w:rPr>
          <w:szCs w:val="24"/>
          <w:lang w:eastAsia="en-US"/>
        </w:rPr>
      </w:pPr>
      <w:r w:rsidRPr="005D6722">
        <w:rPr>
          <w:szCs w:val="24"/>
          <w:lang w:eastAsia="en-US"/>
        </w:rPr>
        <w:t>1.</w:t>
      </w:r>
      <w:r w:rsidRPr="005D6722">
        <w:rPr>
          <w:szCs w:val="24"/>
          <w:lang w:eastAsia="en-US"/>
        </w:rPr>
        <w:tab/>
        <w:t>Massiprotsentides väljendatud vahemikke „alla 5 %“, „5 % või rohkem, kuid alla 15 %“, „15 % või rohkem, kuid alla 30 %“, „30 % ja rohkem“ kasutatakse järgmiste allpool loetletud koostisosade sisalduse näitamiseks, kui neid on lisatud kontsentratsioonis üle 0,2 massiprotsendi:</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fosfaadid,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fosfonaadid,</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c)</w:t>
      </w:r>
      <w:r w:rsidRPr="005D6722">
        <w:rPr>
          <w:szCs w:val="24"/>
          <w:lang w:eastAsia="en-US"/>
        </w:rPr>
        <w:tab/>
      </w:r>
      <w:r w:rsidRPr="005D6722">
        <w:rPr>
          <w:strike/>
          <w:szCs w:val="24"/>
          <w:lang w:eastAsia="en-US"/>
        </w:rPr>
        <w:t xml:space="preserve">anioonsed </w:t>
      </w:r>
      <w:r w:rsidRPr="005D6722">
        <w:rPr>
          <w:szCs w:val="24"/>
          <w:lang w:eastAsia="en-US"/>
        </w:rPr>
        <w:t>pindaktiivsed ained,</w:t>
      </w:r>
      <w:r w:rsidR="00C0022F" w:rsidRPr="005D6722">
        <w:rPr>
          <w:b/>
          <w:szCs w:val="24"/>
          <w:lang w:eastAsia="en-US"/>
        </w:rPr>
        <w:t xml:space="preserve"> [ME 133]</w:t>
      </w:r>
    </w:p>
    <w:p w:rsidR="00F9609E" w:rsidRPr="005D6722" w:rsidRDefault="00F9609E" w:rsidP="00F9609E">
      <w:pPr>
        <w:spacing w:before="120" w:after="120" w:line="360" w:lineRule="auto"/>
        <w:ind w:left="1416" w:hanging="566"/>
        <w:rPr>
          <w:b/>
          <w:szCs w:val="24"/>
          <w:lang w:eastAsia="en-US"/>
        </w:rPr>
      </w:pPr>
      <w:r w:rsidRPr="005D6722">
        <w:rPr>
          <w:strike/>
          <w:szCs w:val="24"/>
          <w:lang w:eastAsia="en-US"/>
        </w:rPr>
        <w:t>d)</w:t>
      </w:r>
      <w:r w:rsidRPr="005D6722">
        <w:rPr>
          <w:szCs w:val="24"/>
          <w:lang w:eastAsia="en-US"/>
        </w:rPr>
        <w:tab/>
      </w:r>
      <w:r w:rsidRPr="005D6722">
        <w:rPr>
          <w:strike/>
          <w:szCs w:val="24"/>
          <w:lang w:eastAsia="en-US"/>
        </w:rPr>
        <w:t>katioonsed pindaktiivsed ained,</w:t>
      </w:r>
      <w:r w:rsidR="00C0022F" w:rsidRPr="005D6722">
        <w:rPr>
          <w:b/>
          <w:szCs w:val="24"/>
          <w:lang w:eastAsia="en-US"/>
        </w:rPr>
        <w:t xml:space="preserve"> [ME 134]</w:t>
      </w:r>
    </w:p>
    <w:p w:rsidR="00F9609E" w:rsidRPr="005D6722" w:rsidRDefault="00F9609E" w:rsidP="00F9609E">
      <w:pPr>
        <w:spacing w:before="120" w:after="120" w:line="360" w:lineRule="auto"/>
        <w:ind w:left="1416" w:hanging="566"/>
        <w:rPr>
          <w:b/>
          <w:szCs w:val="24"/>
          <w:lang w:eastAsia="en-US"/>
        </w:rPr>
      </w:pPr>
      <w:r w:rsidRPr="005D6722">
        <w:rPr>
          <w:strike/>
          <w:szCs w:val="24"/>
          <w:lang w:eastAsia="en-US"/>
        </w:rPr>
        <w:t>e)</w:t>
      </w:r>
      <w:r w:rsidRPr="005D6722">
        <w:rPr>
          <w:szCs w:val="24"/>
          <w:lang w:eastAsia="en-US"/>
        </w:rPr>
        <w:tab/>
      </w:r>
      <w:r w:rsidRPr="005D6722">
        <w:rPr>
          <w:strike/>
          <w:szCs w:val="24"/>
          <w:lang w:eastAsia="en-US"/>
        </w:rPr>
        <w:t>amfoteersed pindaktiivsed ained,</w:t>
      </w:r>
      <w:r w:rsidR="00C0022F" w:rsidRPr="005D6722">
        <w:rPr>
          <w:b/>
          <w:szCs w:val="24"/>
          <w:lang w:eastAsia="en-US"/>
        </w:rPr>
        <w:t xml:space="preserve"> [ME 135]</w:t>
      </w:r>
    </w:p>
    <w:p w:rsidR="00F9609E" w:rsidRPr="005D6722" w:rsidRDefault="00F9609E" w:rsidP="00F9609E">
      <w:pPr>
        <w:spacing w:before="120" w:after="120" w:line="360" w:lineRule="auto"/>
        <w:ind w:left="1416" w:hanging="566"/>
        <w:rPr>
          <w:b/>
          <w:szCs w:val="24"/>
          <w:lang w:eastAsia="en-US"/>
        </w:rPr>
      </w:pPr>
      <w:r w:rsidRPr="005D6722">
        <w:rPr>
          <w:strike/>
          <w:szCs w:val="24"/>
          <w:lang w:eastAsia="en-US"/>
        </w:rPr>
        <w:t>f)</w:t>
      </w:r>
      <w:r w:rsidRPr="005D6722">
        <w:rPr>
          <w:szCs w:val="24"/>
          <w:lang w:eastAsia="en-US"/>
        </w:rPr>
        <w:tab/>
      </w:r>
      <w:r w:rsidRPr="005D6722">
        <w:rPr>
          <w:strike/>
          <w:szCs w:val="24"/>
          <w:lang w:eastAsia="en-US"/>
        </w:rPr>
        <w:t>mitteioonsed pindaktiivsed ained,</w:t>
      </w:r>
      <w:r w:rsidR="00C0022F" w:rsidRPr="005D6722">
        <w:rPr>
          <w:b/>
          <w:szCs w:val="24"/>
          <w:lang w:eastAsia="en-US"/>
        </w:rPr>
        <w:t xml:space="preserve"> [ME 136]</w:t>
      </w:r>
    </w:p>
    <w:p w:rsidR="00AF7C19" w:rsidRPr="005D6722" w:rsidRDefault="00AF7C19">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1416" w:hanging="566"/>
        <w:rPr>
          <w:szCs w:val="24"/>
          <w:lang w:eastAsia="en-US"/>
        </w:rPr>
      </w:pPr>
      <w:r w:rsidRPr="005D6722">
        <w:rPr>
          <w:szCs w:val="24"/>
          <w:lang w:eastAsia="en-US"/>
        </w:rPr>
        <w:lastRenderedPageBreak/>
        <w:t>g)</w:t>
      </w:r>
      <w:r w:rsidRPr="005D6722">
        <w:rPr>
          <w:szCs w:val="24"/>
          <w:lang w:eastAsia="en-US"/>
        </w:rPr>
        <w:tab/>
        <w:t>hapnikupõhised pleegitusained,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h)</w:t>
      </w:r>
      <w:r w:rsidRPr="005D6722">
        <w:rPr>
          <w:szCs w:val="24"/>
          <w:lang w:eastAsia="en-US"/>
        </w:rPr>
        <w:tab/>
        <w:t>klooripõhised pleegitusained,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i)</w:t>
      </w:r>
      <w:r w:rsidRPr="005D6722">
        <w:rPr>
          <w:szCs w:val="24"/>
          <w:lang w:eastAsia="en-US"/>
        </w:rPr>
        <w:tab/>
        <w:t>EDTA (etüleendiamiintetraäädikhape) ja selle soolad,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j)</w:t>
      </w:r>
      <w:r w:rsidRPr="005D6722">
        <w:rPr>
          <w:szCs w:val="24"/>
          <w:lang w:eastAsia="en-US"/>
        </w:rPr>
        <w:tab/>
        <w:t>NTA (nitrilotriäädikhape) ja selle soolad,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k)</w:t>
      </w:r>
      <w:r w:rsidRPr="005D6722">
        <w:rPr>
          <w:szCs w:val="24"/>
          <w:lang w:eastAsia="en-US"/>
        </w:rPr>
        <w:tab/>
        <w:t>fenoolid ja halogeenitud fenoolid,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l)</w:t>
      </w:r>
      <w:r w:rsidRPr="005D6722">
        <w:rPr>
          <w:szCs w:val="24"/>
          <w:lang w:eastAsia="en-US"/>
        </w:rPr>
        <w:tab/>
        <w:t>paradiklorobenseen,</w:t>
      </w:r>
    </w:p>
    <w:p w:rsidR="00F9609E" w:rsidRPr="005D6722" w:rsidRDefault="00F9609E" w:rsidP="00F9609E">
      <w:pPr>
        <w:spacing w:before="120" w:after="120" w:line="360" w:lineRule="auto"/>
        <w:ind w:left="1416" w:hanging="566"/>
        <w:rPr>
          <w:szCs w:val="24"/>
          <w:lang w:eastAsia="en-US"/>
        </w:rPr>
      </w:pPr>
      <w:r w:rsidRPr="005D6722">
        <w:rPr>
          <w:szCs w:val="24"/>
          <w:lang w:eastAsia="en-US"/>
        </w:rPr>
        <w:t>m)</w:t>
      </w:r>
      <w:r w:rsidRPr="005D6722">
        <w:rPr>
          <w:szCs w:val="24"/>
          <w:lang w:eastAsia="en-US"/>
        </w:rPr>
        <w:tab/>
        <w:t>aromaatsed süsivesinikud,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n)</w:t>
      </w:r>
      <w:r w:rsidRPr="005D6722">
        <w:rPr>
          <w:szCs w:val="24"/>
          <w:lang w:eastAsia="en-US"/>
        </w:rPr>
        <w:tab/>
        <w:t>alifaatsed süsivesinikud,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o)</w:t>
      </w:r>
      <w:r w:rsidRPr="005D6722">
        <w:rPr>
          <w:szCs w:val="24"/>
          <w:lang w:eastAsia="en-US"/>
        </w:rPr>
        <w:tab/>
        <w:t>halogeenitud süsivesinikud,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p)</w:t>
      </w:r>
      <w:r w:rsidRPr="005D6722">
        <w:rPr>
          <w:szCs w:val="24"/>
          <w:lang w:eastAsia="en-US"/>
        </w:rPr>
        <w:tab/>
        <w:t>seep,</w:t>
      </w:r>
    </w:p>
    <w:p w:rsidR="00F9609E" w:rsidRPr="005D6722" w:rsidRDefault="00F9609E" w:rsidP="00F9609E">
      <w:pPr>
        <w:spacing w:before="120" w:after="120" w:line="360" w:lineRule="auto"/>
        <w:ind w:left="1416" w:hanging="566"/>
        <w:rPr>
          <w:szCs w:val="24"/>
          <w:lang w:eastAsia="en-US"/>
        </w:rPr>
      </w:pPr>
      <w:r w:rsidRPr="005D6722">
        <w:rPr>
          <w:szCs w:val="24"/>
          <w:lang w:eastAsia="en-US"/>
        </w:rPr>
        <w:t>q)</w:t>
      </w:r>
      <w:r w:rsidRPr="005D6722">
        <w:rPr>
          <w:szCs w:val="24"/>
          <w:lang w:eastAsia="en-US"/>
        </w:rPr>
        <w:tab/>
        <w:t>tseoliidid,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r)</w:t>
      </w:r>
      <w:r w:rsidRPr="005D6722">
        <w:rPr>
          <w:szCs w:val="24"/>
          <w:lang w:eastAsia="en-US"/>
        </w:rPr>
        <w:tab/>
        <w:t>polükarboksülaadid.</w:t>
      </w:r>
    </w:p>
    <w:p w:rsidR="00AF7C19" w:rsidRPr="005D6722" w:rsidRDefault="00AF7C19">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2.</w:t>
      </w:r>
      <w:r w:rsidRPr="005D6722">
        <w:rPr>
          <w:szCs w:val="24"/>
          <w:lang w:eastAsia="en-US"/>
        </w:rPr>
        <w:tab/>
        <w:t>Olenemata nende kontsentratsioonist loetletakse järgmised koostisosade klassid, kui need on lisatud: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ensüümid,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mikroorganismid,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optilised valgendid,</w:t>
      </w:r>
    </w:p>
    <w:p w:rsidR="00F9609E" w:rsidRPr="005D6722" w:rsidRDefault="00F9609E" w:rsidP="00F9609E">
      <w:pPr>
        <w:spacing w:before="120" w:after="120" w:line="360" w:lineRule="auto"/>
        <w:ind w:left="1416" w:hanging="566"/>
        <w:rPr>
          <w:szCs w:val="24"/>
          <w:lang w:eastAsia="en-US"/>
        </w:rPr>
      </w:pPr>
      <w:r w:rsidRPr="005D6722">
        <w:rPr>
          <w:szCs w:val="24"/>
          <w:lang w:eastAsia="en-US"/>
        </w:rPr>
        <w:t>d)</w:t>
      </w:r>
      <w:r w:rsidRPr="005D6722">
        <w:rPr>
          <w:szCs w:val="24"/>
          <w:lang w:eastAsia="en-US"/>
        </w:rPr>
        <w:tab/>
        <w:t>parfüümid.</w:t>
      </w:r>
    </w:p>
    <w:p w:rsidR="00F9609E" w:rsidRPr="005D6722" w:rsidRDefault="00F9609E" w:rsidP="00F9609E">
      <w:pPr>
        <w:spacing w:before="120" w:after="120" w:line="360" w:lineRule="auto"/>
        <w:ind w:left="850" w:hanging="850"/>
        <w:rPr>
          <w:szCs w:val="24"/>
          <w:lang w:eastAsia="en-US"/>
        </w:rPr>
      </w:pPr>
      <w:r w:rsidRPr="005D6722">
        <w:rPr>
          <w:szCs w:val="24"/>
          <w:lang w:eastAsia="en-US"/>
        </w:rPr>
        <w:t>3.</w:t>
      </w:r>
      <w:r w:rsidRPr="005D6722">
        <w:rPr>
          <w:szCs w:val="24"/>
          <w:lang w:eastAsia="en-US"/>
        </w:rPr>
        <w:tab/>
        <w:t>Olenemata kontsentratsioonist loetletakse säilitusained, kasutades võimaluse korral määruse (EÜ) nr 1223/2009 artiklis 33 osutatud süsteemi, kui need vastavad järgmistele tingimustele: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need aitavad kaasa detergendi liigitamisele töödeldud tooteks määruse (EL) nr 528/2012 artikli 3 lõike 1 punkti l) tähenduses;</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need on kantud detergendi koostisosal märgistusele.</w:t>
      </w:r>
    </w:p>
    <w:p w:rsidR="00AF7C19" w:rsidRPr="005D6722" w:rsidRDefault="00AF7C19">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rPr>
          <w:szCs w:val="24"/>
          <w:lang w:eastAsia="en-US"/>
        </w:rPr>
      </w:pPr>
      <w:r w:rsidRPr="005D6722">
        <w:rPr>
          <w:szCs w:val="24"/>
          <w:lang w:eastAsia="en-US"/>
        </w:rPr>
        <w:lastRenderedPageBreak/>
        <w:t>Esimese lõigu punktis b loetletud tingimus ei pea olema täidetud, kui säilitusained ei ületa määruse (EÜ) nr 1272/2008 I lisa punktis 3.4.3.3 / tabelis 3.4.6 osutatud esilekutsumiskünniseid või neil ei ole enam lõpptootes säilitusfunktsiooni isegi koostoimes muude säilitusainetega.</w:t>
      </w:r>
    </w:p>
    <w:p w:rsidR="00F9609E" w:rsidRPr="005D6722" w:rsidRDefault="00F9609E" w:rsidP="00F9609E">
      <w:pPr>
        <w:spacing w:before="120" w:after="120" w:line="360" w:lineRule="auto"/>
        <w:ind w:left="850"/>
        <w:rPr>
          <w:b/>
          <w:szCs w:val="24"/>
          <w:lang w:eastAsia="en-US"/>
        </w:rPr>
      </w:pPr>
      <w:r w:rsidRPr="005D6722">
        <w:rPr>
          <w:b/>
          <w:i/>
          <w:szCs w:val="24"/>
          <w:lang w:eastAsia="en-US"/>
        </w:rPr>
        <w:t>Digimärgise kasutamise korral kooskõlas käesoleva määruse artikli 16 lõikega 1 loetletakse säilitusained olenemata nende kontsentratsioonist, kasutades võimaluse korral määruse (EÜ) nr 1223/2009 artiklis 33 osutatud süsteemi.</w:t>
      </w:r>
      <w:r w:rsidR="00C0022F" w:rsidRPr="005D6722">
        <w:rPr>
          <w:b/>
          <w:szCs w:val="24"/>
          <w:lang w:eastAsia="en-US"/>
        </w:rPr>
        <w:t xml:space="preserve"> [ME 137]</w:t>
      </w:r>
    </w:p>
    <w:p w:rsidR="00F9609E" w:rsidRPr="005D6722" w:rsidRDefault="00F9609E" w:rsidP="00F9609E">
      <w:pPr>
        <w:spacing w:before="120" w:after="120" w:line="360" w:lineRule="auto"/>
        <w:ind w:left="850" w:hanging="850"/>
        <w:rPr>
          <w:szCs w:val="24"/>
          <w:lang w:eastAsia="en-US"/>
        </w:rPr>
      </w:pPr>
      <w:r w:rsidRPr="005D6722">
        <w:rPr>
          <w:szCs w:val="24"/>
          <w:lang w:eastAsia="en-US"/>
        </w:rPr>
        <w:t>4.</w:t>
      </w:r>
      <w:r w:rsidRPr="005D6722">
        <w:rPr>
          <w:szCs w:val="24"/>
          <w:lang w:eastAsia="en-US"/>
        </w:rPr>
        <w:tab/>
        <w:t>Kui määruse (EÜ) nr 1223/2009 III lisa kannetes 45, 67–92 ja [X] kuni [X] loetletud allergeenseid lõhnaaineid lisatakse suuremas kontsentratsioonis kui 0,01 massiprotsenti, siis märgistatakse need kõnealuse määruse artiklis 33 osutatud süsteemi kasutades. Esimeses lauses sätestatut ei kohaldata allergeensete lõhnaainete suhtes, mis ei ületa määruses (EÜ) nr 1272/2008 sätestatud märgistamiskünnist.</w:t>
      </w:r>
    </w:p>
    <w:p w:rsidR="00AF7C19" w:rsidRPr="005D6722" w:rsidRDefault="00AF7C19">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szCs w:val="24"/>
          <w:lang w:eastAsia="en-US"/>
        </w:rPr>
      </w:pPr>
      <w:r w:rsidRPr="005D6722">
        <w:rPr>
          <w:szCs w:val="24"/>
          <w:lang w:eastAsia="en-US"/>
        </w:rPr>
        <w:lastRenderedPageBreak/>
        <w:t>5.</w:t>
      </w:r>
      <w:r w:rsidRPr="005D6722">
        <w:rPr>
          <w:szCs w:val="24"/>
          <w:lang w:eastAsia="en-US"/>
        </w:rPr>
        <w:tab/>
        <w:t>Punktides 1–4 osutatud nõudeid ei kohaldata erialaselt kasutatavate detergentide ja pindaktiivsete ainete suhtes, tingimusel et nendes punktides nõutud teabega samaväärne teave on esitatud määruse (EÜ) nr 1907/2006 artikli 31 kohaselt koostatud ohutuskaardi punktis 15.</w:t>
      </w:r>
    </w:p>
    <w:p w:rsidR="00F9609E" w:rsidRPr="005D6722" w:rsidRDefault="00F9609E" w:rsidP="00F9609E">
      <w:pPr>
        <w:spacing w:before="120" w:after="120" w:line="360" w:lineRule="auto"/>
        <w:ind w:left="850" w:hanging="850"/>
        <w:rPr>
          <w:szCs w:val="24"/>
          <w:lang w:eastAsia="en-US"/>
        </w:rPr>
      </w:pPr>
      <w:r w:rsidRPr="005D6722">
        <w:rPr>
          <w:szCs w:val="24"/>
          <w:lang w:eastAsia="en-US"/>
        </w:rPr>
        <w:t>6.</w:t>
      </w:r>
      <w:r w:rsidRPr="005D6722">
        <w:rPr>
          <w:szCs w:val="24"/>
          <w:lang w:eastAsia="en-US"/>
        </w:rPr>
        <w:tab/>
        <w:t>Peale punktides 1–5 loetletud teabe peab mikroorganisme sisaldavate detergentide märgistusel olema vastavalt vajadusele järgmine teave:</w:t>
      </w:r>
    </w:p>
    <w:p w:rsidR="00F9609E" w:rsidRPr="005D6722" w:rsidRDefault="00F9609E" w:rsidP="00F9609E">
      <w:pPr>
        <w:spacing w:before="120" w:after="120" w:line="360" w:lineRule="auto"/>
        <w:ind w:left="1416" w:hanging="566"/>
        <w:rPr>
          <w:szCs w:val="24"/>
          <w:lang w:eastAsia="en-US"/>
        </w:rPr>
      </w:pPr>
      <w:r w:rsidRPr="005D6722">
        <w:rPr>
          <w:szCs w:val="24"/>
          <w:lang w:eastAsia="en-US"/>
        </w:rPr>
        <w:t>a)</w:t>
      </w:r>
      <w:r w:rsidRPr="005D6722">
        <w:rPr>
          <w:szCs w:val="24"/>
          <w:lang w:eastAsia="en-US"/>
        </w:rPr>
        <w:tab/>
        <w:t>märge või hoiatuslause selle kohta, et toodet ei tohi kasutada toiduga kokkupuutuvatel pindadel;</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märge toote säilivusaja kohta;</w:t>
      </w:r>
    </w:p>
    <w:p w:rsidR="00F9609E" w:rsidRPr="005D6722" w:rsidRDefault="00F9609E" w:rsidP="00F9609E">
      <w:pPr>
        <w:spacing w:before="120" w:after="120" w:line="360" w:lineRule="auto"/>
        <w:ind w:left="1416" w:hanging="566"/>
        <w:rPr>
          <w:szCs w:val="24"/>
          <w:lang w:eastAsia="en-US"/>
        </w:rPr>
      </w:pPr>
      <w:r w:rsidRPr="005D6722">
        <w:rPr>
          <w:szCs w:val="24"/>
          <w:lang w:eastAsia="en-US"/>
        </w:rPr>
        <w:t>c)</w:t>
      </w:r>
      <w:r w:rsidRPr="005D6722">
        <w:rPr>
          <w:szCs w:val="24"/>
          <w:lang w:eastAsia="en-US"/>
        </w:rPr>
        <w:tab/>
        <w:t>vajaduse korral kasutusjuhend või spetsiifilised ettevaatusmeetmed.</w:t>
      </w:r>
    </w:p>
    <w:p w:rsidR="00F9609E" w:rsidRPr="005D6722" w:rsidRDefault="00F9609E" w:rsidP="00AF7C19">
      <w:pPr>
        <w:spacing w:before="120" w:after="120" w:line="360" w:lineRule="auto"/>
        <w:rPr>
          <w:szCs w:val="24"/>
          <w:lang w:eastAsia="en-US"/>
        </w:rPr>
      </w:pPr>
      <w:r w:rsidRPr="005D6722">
        <w:rPr>
          <w:szCs w:val="24"/>
          <w:lang w:eastAsia="en-US"/>
        </w:rPr>
        <w:t>B OSA. DOSEERIMISTEAVE MÄRGISTUSEL</w:t>
      </w:r>
    </w:p>
    <w:p w:rsidR="00F9609E" w:rsidRPr="005D6722" w:rsidRDefault="00F9609E" w:rsidP="00F9609E">
      <w:pPr>
        <w:spacing w:before="120" w:after="120" w:line="360" w:lineRule="auto"/>
        <w:rPr>
          <w:szCs w:val="24"/>
          <w:lang w:eastAsia="en-US"/>
        </w:rPr>
      </w:pPr>
      <w:r w:rsidRPr="005D6722">
        <w:rPr>
          <w:szCs w:val="24"/>
          <w:lang w:eastAsia="en-US"/>
        </w:rPr>
        <w:t>Kodumajapidamises kasutatavate pesupesemisvahendite ja kodumajapidamises nõudepesumasinas kasutatavate pesuvahendite märgistusel esitatav teave</w:t>
      </w:r>
    </w:p>
    <w:p w:rsidR="00AF7C19" w:rsidRPr="005D6722" w:rsidRDefault="00AF7C19">
      <w:pPr>
        <w:widowControl/>
        <w:rPr>
          <w:szCs w:val="24"/>
          <w:lang w:eastAsia="en-US"/>
        </w:rPr>
      </w:pPr>
      <w:r w:rsidRPr="005D6722">
        <w:rPr>
          <w:szCs w:val="24"/>
          <w:lang w:eastAsia="en-US"/>
        </w:rPr>
        <w:br w:type="page"/>
      </w:r>
    </w:p>
    <w:p w:rsidR="00F9609E" w:rsidRPr="005D6722" w:rsidRDefault="00F2288E" w:rsidP="00F9609E">
      <w:pPr>
        <w:spacing w:before="120" w:after="120" w:line="360" w:lineRule="auto"/>
        <w:ind w:left="850" w:hanging="850"/>
        <w:rPr>
          <w:szCs w:val="24"/>
          <w:lang w:eastAsia="en-US"/>
        </w:rPr>
      </w:pPr>
      <w:r w:rsidRPr="005D6722">
        <w:rPr>
          <w:szCs w:val="24"/>
          <w:lang w:eastAsia="en-US"/>
        </w:rPr>
        <w:lastRenderedPageBreak/>
        <w:t>1</w:t>
      </w:r>
      <w:r w:rsidR="00F9609E" w:rsidRPr="005D6722">
        <w:rPr>
          <w:szCs w:val="24"/>
          <w:lang w:eastAsia="en-US"/>
        </w:rPr>
        <w:t>.</w:t>
      </w:r>
      <w:r w:rsidR="00F9609E" w:rsidRPr="005D6722">
        <w:rPr>
          <w:szCs w:val="24"/>
          <w:lang w:eastAsia="en-US"/>
        </w:rPr>
        <w:tab/>
        <w:t>Kodumajapidamises kasutatavate pesupesemisvahendite märgistus peab sisaldama järgmist teavet:</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a)</w:t>
      </w:r>
      <w:r w:rsidRPr="005D6722">
        <w:rPr>
          <w:szCs w:val="24"/>
          <w:lang w:eastAsia="en-US"/>
        </w:rPr>
        <w:tab/>
        <w:t xml:space="preserve">pesumasina ühe tavalise töökorra jaoks soovitatav kogus ja/või doseerimisjuhised milliliitrites või grammides </w:t>
      </w:r>
      <w:r w:rsidRPr="005D6722">
        <w:rPr>
          <w:b/>
          <w:i/>
          <w:szCs w:val="24"/>
          <w:lang w:eastAsia="en-US"/>
        </w:rPr>
        <w:t xml:space="preserve">või asjakohasel juhul ühikute arvuna </w:t>
      </w:r>
      <w:r w:rsidRPr="005D6722">
        <w:rPr>
          <w:szCs w:val="24"/>
          <w:lang w:eastAsia="en-US"/>
        </w:rPr>
        <w:t>pehme, keskmise karedusega ja kareda vee korral, kusjuures nähakse ette ühe- või kahetsükliline pesemine;</w:t>
      </w:r>
      <w:r w:rsidR="00C0022F" w:rsidRPr="005D6722">
        <w:rPr>
          <w:b/>
          <w:szCs w:val="24"/>
          <w:lang w:eastAsia="en-US"/>
        </w:rPr>
        <w:t xml:space="preserve"> [ME 138]</w:t>
      </w:r>
    </w:p>
    <w:p w:rsidR="00F9609E" w:rsidRPr="005D6722" w:rsidRDefault="00F9609E" w:rsidP="00F9609E">
      <w:pPr>
        <w:spacing w:before="120" w:after="120" w:line="360" w:lineRule="auto"/>
        <w:ind w:left="1416" w:hanging="566"/>
        <w:rPr>
          <w:szCs w:val="24"/>
          <w:lang w:eastAsia="en-US"/>
        </w:rPr>
      </w:pPr>
      <w:r w:rsidRPr="005D6722">
        <w:rPr>
          <w:szCs w:val="24"/>
          <w:lang w:eastAsia="en-US"/>
        </w:rPr>
        <w:t>b)</w:t>
      </w:r>
      <w:r w:rsidRPr="005D6722">
        <w:rPr>
          <w:szCs w:val="24"/>
          <w:lang w:eastAsia="en-US"/>
        </w:rPr>
        <w:tab/>
        <w:t>pesumasina tavaliste töökordade arv tugevatoimeliste detergentide jaoks normaalselt määrdunud pesu pesemisel ja pesumasina tavaliste töökordade arv õrnast riidest esemetele ettenähtud detergentide jaoks kergelt määrdunud pesu pesemisel, mille jaoks jätkub pakendi sisust, kui kasutada keskmise karedusega vett, mis vastab 2,5 millimoolile CaCO</w:t>
      </w:r>
      <w:r w:rsidRPr="005D6722">
        <w:rPr>
          <w:szCs w:val="24"/>
          <w:vertAlign w:val="subscript"/>
          <w:lang w:eastAsia="en-US"/>
        </w:rPr>
        <w:t>3</w:t>
      </w:r>
      <w:r w:rsidRPr="005D6722">
        <w:rPr>
          <w:szCs w:val="24"/>
          <w:lang w:eastAsia="en-US"/>
        </w:rPr>
        <w:t>/l;</w:t>
      </w:r>
    </w:p>
    <w:p w:rsidR="00F9609E" w:rsidRPr="005D6722" w:rsidRDefault="00F9609E" w:rsidP="00F9609E">
      <w:pPr>
        <w:spacing w:before="120" w:after="120" w:line="360" w:lineRule="auto"/>
        <w:ind w:left="1416" w:hanging="566"/>
        <w:rPr>
          <w:b/>
          <w:szCs w:val="24"/>
          <w:lang w:eastAsia="en-US"/>
        </w:rPr>
      </w:pPr>
      <w:r w:rsidRPr="005D6722">
        <w:rPr>
          <w:szCs w:val="24"/>
          <w:lang w:eastAsia="en-US"/>
        </w:rPr>
        <w:t>c)</w:t>
      </w:r>
      <w:r w:rsidRPr="005D6722">
        <w:rPr>
          <w:szCs w:val="24"/>
          <w:lang w:eastAsia="en-US"/>
        </w:rPr>
        <w:tab/>
        <w:t>kui on lisatud mõõteanum, peab olema näidatud selle maht milliliitrites või grammides ning tähistatud</w:t>
      </w:r>
      <w:r w:rsidRPr="005D6722">
        <w:rPr>
          <w:b/>
          <w:i/>
          <w:szCs w:val="24"/>
          <w:lang w:eastAsia="en-US"/>
        </w:rPr>
        <w:t xml:space="preserve"> selgesti nähtavalt ja mõõteanuma värvusest selgelt eristuva värvusega</w:t>
      </w:r>
      <w:r w:rsidRPr="005D6722">
        <w:rPr>
          <w:szCs w:val="24"/>
          <w:lang w:eastAsia="en-US"/>
        </w:rPr>
        <w:t xml:space="preserve"> pesumasina tavalise töökorra jaoks sobivad detergendidoosid pehme, keskmise karedusega või kareda vee korral.</w:t>
      </w:r>
      <w:r w:rsidR="00C0022F" w:rsidRPr="005D6722">
        <w:rPr>
          <w:b/>
          <w:szCs w:val="24"/>
          <w:lang w:eastAsia="en-US"/>
        </w:rPr>
        <w:t xml:space="preserve"> [ME 139]</w:t>
      </w:r>
    </w:p>
    <w:p w:rsidR="00AF7C19" w:rsidRPr="005D6722" w:rsidRDefault="00AF7C19">
      <w:pPr>
        <w:widowControl/>
        <w:rPr>
          <w:b/>
          <w:i/>
          <w:szCs w:val="24"/>
          <w:lang w:eastAsia="en-US"/>
        </w:rPr>
      </w:pPr>
      <w:r w:rsidRPr="005D6722">
        <w:rPr>
          <w:b/>
          <w:i/>
          <w:szCs w:val="24"/>
          <w:lang w:eastAsia="en-US"/>
        </w:rPr>
        <w:br w:type="page"/>
      </w:r>
    </w:p>
    <w:p w:rsidR="00F9609E" w:rsidRPr="005D6722" w:rsidRDefault="00F9609E" w:rsidP="00F9609E">
      <w:pPr>
        <w:spacing w:before="120" w:after="120" w:line="360" w:lineRule="auto"/>
        <w:ind w:left="1416" w:hanging="566"/>
        <w:rPr>
          <w:b/>
          <w:szCs w:val="24"/>
          <w:lang w:eastAsia="en-US"/>
        </w:rPr>
      </w:pPr>
      <w:r w:rsidRPr="005D6722">
        <w:rPr>
          <w:b/>
          <w:i/>
          <w:szCs w:val="24"/>
          <w:lang w:eastAsia="en-US"/>
        </w:rPr>
        <w:lastRenderedPageBreak/>
        <w:t>ca)</w:t>
      </w:r>
      <w:r w:rsidRPr="005D6722">
        <w:rPr>
          <w:szCs w:val="24"/>
          <w:lang w:eastAsia="en-US"/>
        </w:rPr>
        <w:tab/>
      </w:r>
      <w:r w:rsidRPr="005D6722">
        <w:rPr>
          <w:b/>
          <w:i/>
          <w:szCs w:val="24"/>
          <w:lang w:eastAsia="en-US"/>
        </w:rPr>
        <w:t>pudelisse pakendatud detergentide puhul peavad pesumasina tavalise töökorra jaoks sobivad detergendidoosid vähemalt pehme ja keskmise karedusega vee korral olema tähistatud korgil selgesti nähtavalt ja korgi värvusest selgelt eristuva värvusega.</w:t>
      </w:r>
      <w:r w:rsidR="00C0022F" w:rsidRPr="005D6722">
        <w:rPr>
          <w:b/>
          <w:szCs w:val="24"/>
          <w:lang w:eastAsia="en-US"/>
        </w:rPr>
        <w:t xml:space="preserve"> [ME 140]</w:t>
      </w:r>
    </w:p>
    <w:p w:rsidR="00F9609E" w:rsidRPr="005D6722" w:rsidRDefault="00F2288E" w:rsidP="00F9609E">
      <w:pPr>
        <w:spacing w:before="120" w:after="120" w:line="360" w:lineRule="auto"/>
        <w:ind w:left="850" w:hanging="850"/>
        <w:rPr>
          <w:szCs w:val="24"/>
          <w:lang w:eastAsia="en-US"/>
        </w:rPr>
      </w:pPr>
      <w:r w:rsidRPr="005D6722">
        <w:rPr>
          <w:szCs w:val="24"/>
          <w:lang w:eastAsia="en-US"/>
        </w:rPr>
        <w:t>2</w:t>
      </w:r>
      <w:r w:rsidR="00F9609E" w:rsidRPr="005D6722">
        <w:rPr>
          <w:szCs w:val="24"/>
          <w:lang w:eastAsia="en-US"/>
        </w:rPr>
        <w:t>.</w:t>
      </w:r>
      <w:r w:rsidR="00F9609E" w:rsidRPr="005D6722">
        <w:rPr>
          <w:szCs w:val="24"/>
          <w:lang w:eastAsia="en-US"/>
        </w:rPr>
        <w:tab/>
        <w:t>Punkti 1 kohaldamisel on pesumasina tavalise töökorra koormus 4,5 kg kuiva pesu tugevatoimeliste detergentide korral ja 2,5 kg kuiva pesu õrnatoimeliste detergentide korral. Detergenti käsitatakse tugevatoimelisena, välja arvatud juhul, kui tootja väidab, et detergent on ette nähtud erihoolt vajava pesu pesemiseks (nt madalatemperatuuriline pesemine, õrnad kiud ja värvid).</w:t>
      </w:r>
    </w:p>
    <w:p w:rsidR="00F9609E" w:rsidRPr="005D6722" w:rsidRDefault="00F2288E" w:rsidP="00F9609E">
      <w:pPr>
        <w:spacing w:before="120" w:after="120" w:line="360" w:lineRule="auto"/>
        <w:ind w:left="850" w:hanging="850"/>
        <w:rPr>
          <w:b/>
          <w:szCs w:val="24"/>
          <w:lang w:eastAsia="en-US"/>
        </w:rPr>
      </w:pPr>
      <w:r w:rsidRPr="005D6722">
        <w:rPr>
          <w:szCs w:val="24"/>
          <w:lang w:eastAsia="en-US"/>
        </w:rPr>
        <w:t>3</w:t>
      </w:r>
      <w:r w:rsidR="00F9609E" w:rsidRPr="005D6722">
        <w:rPr>
          <w:szCs w:val="24"/>
          <w:lang w:eastAsia="en-US"/>
        </w:rPr>
        <w:t>.</w:t>
      </w:r>
      <w:r w:rsidR="00F9609E" w:rsidRPr="005D6722">
        <w:rPr>
          <w:szCs w:val="24"/>
          <w:lang w:eastAsia="en-US"/>
        </w:rPr>
        <w:tab/>
        <w:t xml:space="preserve">Kodumajapidamises nõudepesumasinas kasutatava pesuvahendi märgistusel esitatakse standarddoos grammides või milliliitrites või </w:t>
      </w:r>
      <w:r w:rsidR="00F9609E" w:rsidRPr="005D6722">
        <w:rPr>
          <w:strike/>
          <w:szCs w:val="24"/>
          <w:lang w:eastAsia="en-US"/>
        </w:rPr>
        <w:t>tablettide arvus</w:t>
      </w:r>
      <w:r w:rsidR="00F9609E" w:rsidRPr="005D6722">
        <w:rPr>
          <w:b/>
          <w:i/>
          <w:szCs w:val="24"/>
          <w:lang w:eastAsia="en-US"/>
        </w:rPr>
        <w:t>ühikute arvuna</w:t>
      </w:r>
      <w:r w:rsidR="00F9609E" w:rsidRPr="005D6722">
        <w:rPr>
          <w:szCs w:val="24"/>
          <w:lang w:eastAsia="en-US"/>
        </w:rPr>
        <w:t xml:space="preserve"> tavalise pesutsükli kohta tavalise määrdumusega nõude korral 12 nõudekomplekti mahutava täiesti täis nõudepesumasina jaoks, vajaduse korral täpsustustega pehme, keskmise karedusega ja kareda vee jaoks.</w:t>
      </w:r>
      <w:r w:rsidR="00C0022F" w:rsidRPr="005D6722">
        <w:rPr>
          <w:b/>
          <w:szCs w:val="24"/>
          <w:lang w:eastAsia="en-US"/>
        </w:rPr>
        <w:t xml:space="preserve"> [ME 141]</w:t>
      </w:r>
    </w:p>
    <w:p w:rsidR="00AF7C19" w:rsidRPr="005D6722" w:rsidRDefault="00AF7C19">
      <w:pPr>
        <w:widowControl/>
        <w:rPr>
          <w:strike/>
          <w:szCs w:val="24"/>
          <w:lang w:eastAsia="en-US"/>
        </w:rPr>
      </w:pPr>
      <w:r w:rsidRPr="005D6722">
        <w:rPr>
          <w:strike/>
          <w:szCs w:val="24"/>
          <w:lang w:eastAsia="en-US"/>
        </w:rPr>
        <w:br w:type="page"/>
      </w:r>
    </w:p>
    <w:p w:rsidR="00F9609E" w:rsidRPr="005D6722" w:rsidRDefault="00F9609E" w:rsidP="00AF7C19">
      <w:pPr>
        <w:spacing w:before="120" w:after="120" w:line="360" w:lineRule="auto"/>
        <w:rPr>
          <w:szCs w:val="24"/>
          <w:lang w:eastAsia="en-US"/>
        </w:rPr>
      </w:pPr>
      <w:r w:rsidRPr="005D6722">
        <w:rPr>
          <w:strike/>
          <w:szCs w:val="24"/>
          <w:lang w:eastAsia="en-US"/>
        </w:rPr>
        <w:lastRenderedPageBreak/>
        <w:t>C OSA. DIGIMÄRGISTAMINE</w:t>
      </w:r>
    </w:p>
    <w:p w:rsidR="00F9609E" w:rsidRPr="005D6722" w:rsidRDefault="00F9609E" w:rsidP="00F9609E">
      <w:pPr>
        <w:spacing w:before="120" w:after="120" w:line="360" w:lineRule="auto"/>
        <w:rPr>
          <w:szCs w:val="24"/>
          <w:lang w:eastAsia="en-US"/>
        </w:rPr>
      </w:pPr>
      <w:r w:rsidRPr="005D6722">
        <w:rPr>
          <w:strike/>
          <w:szCs w:val="24"/>
          <w:lang w:eastAsia="en-US"/>
        </w:rPr>
        <w:t>A osas osutatud järgmist sisu käsitlevat teavet võib esitada üksnes digimärgistusel kooskõlas artikli 16 lõike 1 teise lõiguga selles osas täpsustatud viisil:</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a)</w:t>
      </w:r>
      <w:r w:rsidRPr="005D6722">
        <w:rPr>
          <w:szCs w:val="24"/>
          <w:lang w:eastAsia="en-US"/>
        </w:rPr>
        <w:tab/>
      </w:r>
      <w:r w:rsidRPr="005D6722">
        <w:rPr>
          <w:strike/>
          <w:szCs w:val="24"/>
          <w:lang w:eastAsia="en-US"/>
        </w:rPr>
        <w:t>anioonsed pindaktiivsed ained;</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b)</w:t>
      </w:r>
      <w:r w:rsidRPr="005D6722">
        <w:rPr>
          <w:szCs w:val="24"/>
          <w:lang w:eastAsia="en-US"/>
        </w:rPr>
        <w:tab/>
      </w:r>
      <w:r w:rsidRPr="005D6722">
        <w:rPr>
          <w:strike/>
          <w:szCs w:val="24"/>
          <w:lang w:eastAsia="en-US"/>
        </w:rPr>
        <w:t>katioonsed pindaktiivsed ained;</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c)</w:t>
      </w:r>
      <w:r w:rsidRPr="005D6722">
        <w:rPr>
          <w:szCs w:val="24"/>
          <w:lang w:eastAsia="en-US"/>
        </w:rPr>
        <w:tab/>
      </w:r>
      <w:r w:rsidRPr="005D6722">
        <w:rPr>
          <w:strike/>
          <w:szCs w:val="24"/>
          <w:lang w:eastAsia="en-US"/>
        </w:rPr>
        <w:t>amfoteersed pindaktiivsed ained;</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d)</w:t>
      </w:r>
      <w:r w:rsidRPr="005D6722">
        <w:rPr>
          <w:szCs w:val="24"/>
          <w:lang w:eastAsia="en-US"/>
        </w:rPr>
        <w:tab/>
      </w:r>
      <w:r w:rsidRPr="005D6722">
        <w:rPr>
          <w:strike/>
          <w:szCs w:val="24"/>
          <w:lang w:eastAsia="en-US"/>
        </w:rPr>
        <w:t>mitteioonsed pindaktiivsed ained;</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e)</w:t>
      </w:r>
      <w:r w:rsidRPr="005D6722">
        <w:rPr>
          <w:szCs w:val="24"/>
          <w:lang w:eastAsia="en-US"/>
        </w:rPr>
        <w:tab/>
      </w:r>
      <w:r w:rsidRPr="005D6722">
        <w:rPr>
          <w:strike/>
          <w:szCs w:val="24"/>
          <w:lang w:eastAsia="en-US"/>
        </w:rPr>
        <w:t>fosfaadid;</w:t>
      </w:r>
    </w:p>
    <w:p w:rsidR="00F9609E" w:rsidRPr="005D6722" w:rsidRDefault="00F9609E" w:rsidP="00F9609E">
      <w:pPr>
        <w:spacing w:before="120" w:after="120" w:line="360" w:lineRule="auto"/>
        <w:ind w:left="850" w:hanging="850"/>
        <w:rPr>
          <w:szCs w:val="24"/>
          <w:lang w:eastAsia="en-US"/>
        </w:rPr>
      </w:pPr>
      <w:r w:rsidRPr="005D6722">
        <w:rPr>
          <w:strike/>
          <w:szCs w:val="24"/>
          <w:lang w:eastAsia="en-US"/>
        </w:rPr>
        <w:t>f)</w:t>
      </w:r>
      <w:r w:rsidRPr="005D6722">
        <w:rPr>
          <w:szCs w:val="24"/>
          <w:lang w:eastAsia="en-US"/>
        </w:rPr>
        <w:tab/>
      </w:r>
      <w:r w:rsidRPr="005D6722">
        <w:rPr>
          <w:strike/>
          <w:szCs w:val="24"/>
          <w:lang w:eastAsia="en-US"/>
        </w:rPr>
        <w:t>fosfonaadid;</w:t>
      </w:r>
    </w:p>
    <w:p w:rsidR="00F9609E" w:rsidRPr="005D6722" w:rsidRDefault="00F9609E" w:rsidP="00F9609E">
      <w:pPr>
        <w:spacing w:before="120" w:after="120" w:line="360" w:lineRule="auto"/>
        <w:ind w:left="850" w:hanging="850"/>
        <w:rPr>
          <w:b/>
          <w:szCs w:val="24"/>
          <w:lang w:eastAsia="en-US"/>
        </w:rPr>
      </w:pPr>
      <w:r w:rsidRPr="005D6722">
        <w:rPr>
          <w:strike/>
          <w:szCs w:val="24"/>
          <w:lang w:eastAsia="en-US"/>
        </w:rPr>
        <w:t>g)</w:t>
      </w:r>
      <w:r w:rsidRPr="005D6722">
        <w:rPr>
          <w:szCs w:val="24"/>
          <w:lang w:eastAsia="en-US"/>
        </w:rPr>
        <w:tab/>
      </w:r>
      <w:r w:rsidRPr="005D6722">
        <w:rPr>
          <w:strike/>
          <w:szCs w:val="24"/>
          <w:lang w:eastAsia="en-US"/>
        </w:rPr>
        <w:t>seep.</w:t>
      </w:r>
      <w:r w:rsidR="00C0022F" w:rsidRPr="005D6722">
        <w:rPr>
          <w:b/>
          <w:szCs w:val="24"/>
          <w:lang w:eastAsia="en-US"/>
        </w:rPr>
        <w:t xml:space="preserve"> [ME 142]</w:t>
      </w:r>
    </w:p>
    <w:p w:rsidR="00AF7C19" w:rsidRPr="005D6722" w:rsidRDefault="00AF7C19">
      <w:pPr>
        <w:widowControl/>
        <w:rPr>
          <w:strike/>
          <w:szCs w:val="24"/>
          <w:lang w:eastAsia="en-US"/>
        </w:rPr>
      </w:pPr>
      <w:r w:rsidRPr="005D6722">
        <w:rPr>
          <w:strike/>
          <w:szCs w:val="24"/>
          <w:lang w:eastAsia="en-US"/>
        </w:rPr>
        <w:br w:type="page"/>
      </w:r>
    </w:p>
    <w:p w:rsidR="00F9609E" w:rsidRPr="005D6722" w:rsidRDefault="00F9609E" w:rsidP="00AF7C19">
      <w:pPr>
        <w:spacing w:before="120" w:after="120" w:line="360" w:lineRule="auto"/>
        <w:rPr>
          <w:szCs w:val="24"/>
          <w:lang w:eastAsia="en-US"/>
        </w:rPr>
      </w:pPr>
      <w:r w:rsidRPr="005D6722">
        <w:rPr>
          <w:szCs w:val="24"/>
          <w:lang w:eastAsia="en-US"/>
        </w:rPr>
        <w:lastRenderedPageBreak/>
        <w:t>D OSA. KODUMAJAPIDAMISES KASUTATAVATE PESUPESEMISVAHENDITE LIHTSUSTATUD DOSEERIMISTEAVE</w:t>
      </w:r>
    </w:p>
    <w:p w:rsidR="00F9609E" w:rsidRPr="005D6722" w:rsidRDefault="00F9609E" w:rsidP="00F9609E">
      <w:pPr>
        <w:spacing w:before="120" w:after="120" w:line="360" w:lineRule="auto"/>
        <w:rPr>
          <w:szCs w:val="24"/>
          <w:lang w:eastAsia="en-US"/>
        </w:rPr>
      </w:pPr>
      <w:r w:rsidRPr="005D6722">
        <w:rPr>
          <w:szCs w:val="24"/>
          <w:lang w:eastAsia="en-US"/>
        </w:rPr>
        <w:t>Lihtsustatud doseerimistabel peab sisaldama järgmist teavet:</w:t>
      </w:r>
    </w:p>
    <w:p w:rsidR="00F9609E" w:rsidRPr="005D6722" w:rsidRDefault="00F9609E" w:rsidP="00F9609E">
      <w:pPr>
        <w:spacing w:before="120" w:after="120" w:line="360" w:lineRule="auto"/>
        <w:ind w:left="850" w:hanging="850"/>
        <w:rPr>
          <w:szCs w:val="24"/>
          <w:lang w:eastAsia="en-US"/>
        </w:rPr>
      </w:pPr>
      <w:r w:rsidRPr="005D6722">
        <w:rPr>
          <w:szCs w:val="24"/>
          <w:lang w:eastAsia="en-US"/>
        </w:rPr>
        <w:t>a)</w:t>
      </w:r>
      <w:r w:rsidRPr="005D6722">
        <w:rPr>
          <w:szCs w:val="24"/>
          <w:lang w:eastAsia="en-US"/>
        </w:rPr>
        <w:tab/>
        <w:t>põhikasutusjuhend, kui see on asjakohane;</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b)</w:t>
      </w:r>
      <w:r w:rsidRPr="005D6722">
        <w:rPr>
          <w:szCs w:val="24"/>
          <w:lang w:eastAsia="en-US"/>
        </w:rPr>
        <w:tab/>
        <w:t xml:space="preserve">soovitatavad kogused, mis põhinevad keskmise karedusega veel </w:t>
      </w:r>
      <w:r w:rsidRPr="005D6722">
        <w:rPr>
          <w:strike/>
          <w:szCs w:val="24"/>
          <w:lang w:eastAsia="en-US"/>
        </w:rPr>
        <w:t xml:space="preserve">või vee kareduse keskväärtusel </w:t>
      </w:r>
      <w:r w:rsidRPr="005D6722">
        <w:rPr>
          <w:szCs w:val="24"/>
          <w:lang w:eastAsia="en-US"/>
        </w:rPr>
        <w:t>ja pesu eri määrdumisastmetel, ja</w:t>
      </w:r>
      <w:r w:rsidR="00C0022F" w:rsidRPr="005D6722">
        <w:rPr>
          <w:b/>
          <w:szCs w:val="24"/>
          <w:lang w:eastAsia="en-US"/>
        </w:rPr>
        <w:t xml:space="preserve"> [ME 143]</w:t>
      </w:r>
    </w:p>
    <w:p w:rsidR="00F9609E" w:rsidRPr="005D6722" w:rsidRDefault="00F9609E" w:rsidP="00F9609E">
      <w:pPr>
        <w:spacing w:before="120" w:after="120" w:line="360" w:lineRule="auto"/>
        <w:ind w:left="850" w:hanging="850"/>
        <w:rPr>
          <w:szCs w:val="24"/>
          <w:lang w:eastAsia="en-US"/>
        </w:rPr>
      </w:pPr>
      <w:r w:rsidRPr="005D6722">
        <w:rPr>
          <w:szCs w:val="24"/>
          <w:lang w:eastAsia="en-US"/>
        </w:rPr>
        <w:t>c)</w:t>
      </w:r>
      <w:r w:rsidRPr="005D6722">
        <w:rPr>
          <w:szCs w:val="24"/>
          <w:lang w:eastAsia="en-US"/>
        </w:rPr>
        <w:tab/>
        <w:t>märge pesumasinasse pandava pesukoguse kohta.</w:t>
      </w:r>
    </w:p>
    <w:p w:rsidR="00F9609E" w:rsidRPr="005D6722" w:rsidRDefault="00F9609E" w:rsidP="00F9609E">
      <w:pPr>
        <w:spacing w:before="120" w:after="120" w:line="360" w:lineRule="auto"/>
        <w:rPr>
          <w:b/>
          <w:szCs w:val="24"/>
          <w:lang w:eastAsia="en-US"/>
        </w:rPr>
      </w:pPr>
      <w:r w:rsidRPr="005D6722">
        <w:rPr>
          <w:b/>
          <w:i/>
          <w:szCs w:val="24"/>
          <w:lang w:eastAsia="en-US"/>
        </w:rPr>
        <w:t>B osa punkti 1 alapunkte c ja d kohaldatakse ka juhul, kui esitatakse lihtsustatud doseerimisteave.</w:t>
      </w:r>
      <w:r w:rsidR="00C0022F" w:rsidRPr="005D6722">
        <w:rPr>
          <w:b/>
          <w:szCs w:val="24"/>
          <w:lang w:eastAsia="en-US"/>
        </w:rPr>
        <w:t xml:space="preserve"> [ME 144]</w:t>
      </w:r>
    </w:p>
    <w:p w:rsidR="00F9609E" w:rsidRPr="005D6722" w:rsidRDefault="00F9609E" w:rsidP="00F9609E">
      <w:pPr>
        <w:spacing w:before="120" w:after="120" w:line="360" w:lineRule="auto"/>
        <w:rPr>
          <w:szCs w:val="24"/>
          <w:lang w:eastAsia="en-US"/>
        </w:rPr>
        <w:sectPr w:rsidR="00F9609E" w:rsidRPr="005D6722">
          <w:footnotePr>
            <w:numRestart w:val="eachSect"/>
          </w:footnotePr>
          <w:pgSz w:w="11909" w:h="16834"/>
          <w:pgMar w:top="1134" w:right="1417" w:bottom="1417" w:left="1417" w:header="1134" w:footer="567" w:gutter="0"/>
          <w:cols w:space="720"/>
        </w:sectPr>
      </w:pPr>
    </w:p>
    <w:p w:rsidR="00F9609E" w:rsidRPr="005D6722" w:rsidRDefault="00F9609E" w:rsidP="00F9609E">
      <w:pPr>
        <w:spacing w:before="120" w:after="120" w:line="360" w:lineRule="auto"/>
        <w:jc w:val="center"/>
        <w:rPr>
          <w:lang w:eastAsia="en-US"/>
        </w:rPr>
      </w:pPr>
      <w:r w:rsidRPr="005D6722">
        <w:rPr>
          <w:lang w:eastAsia="en-US"/>
        </w:rPr>
        <w:lastRenderedPageBreak/>
        <w:t>VI LISA</w:t>
      </w:r>
    </w:p>
    <w:p w:rsidR="00F9609E" w:rsidRPr="005D6722" w:rsidRDefault="00F9609E" w:rsidP="00AF7C19">
      <w:pPr>
        <w:spacing w:before="120" w:after="120" w:line="360" w:lineRule="auto"/>
        <w:jc w:val="center"/>
        <w:rPr>
          <w:szCs w:val="24"/>
          <w:lang w:eastAsia="en-US"/>
        </w:rPr>
      </w:pPr>
      <w:r w:rsidRPr="005D6722">
        <w:rPr>
          <w:szCs w:val="24"/>
          <w:lang w:eastAsia="en-US"/>
        </w:rPr>
        <w:t>TOOTEPASS</w:t>
      </w:r>
    </w:p>
    <w:p w:rsidR="00F9609E" w:rsidRPr="005D6722" w:rsidRDefault="00F9609E" w:rsidP="00F9609E">
      <w:pPr>
        <w:spacing w:before="120" w:after="120" w:line="360" w:lineRule="auto"/>
        <w:rPr>
          <w:szCs w:val="24"/>
          <w:lang w:eastAsia="en-US"/>
        </w:rPr>
      </w:pPr>
      <w:r w:rsidRPr="005D6722">
        <w:rPr>
          <w:szCs w:val="24"/>
          <w:lang w:eastAsia="en-US"/>
        </w:rPr>
        <w:t>Tootepass peab sisaldama järgmist teavet:</w:t>
      </w:r>
    </w:p>
    <w:p w:rsidR="00F9609E" w:rsidRPr="005D6722" w:rsidRDefault="00F9609E" w:rsidP="00F9609E">
      <w:pPr>
        <w:spacing w:before="120" w:after="120" w:line="360" w:lineRule="auto"/>
        <w:ind w:left="850" w:hanging="850"/>
        <w:rPr>
          <w:szCs w:val="24"/>
          <w:lang w:eastAsia="en-US"/>
        </w:rPr>
      </w:pPr>
      <w:r w:rsidRPr="005D6722">
        <w:rPr>
          <w:szCs w:val="24"/>
          <w:lang w:eastAsia="en-US"/>
        </w:rPr>
        <w:t>a)</w:t>
      </w:r>
      <w:r w:rsidRPr="005D6722">
        <w:rPr>
          <w:szCs w:val="24"/>
          <w:lang w:eastAsia="en-US"/>
        </w:rPr>
        <w:tab/>
        <w:t>detergendi või pindaktiivse aine toote kordumatu tunnuskood;</w:t>
      </w:r>
    </w:p>
    <w:p w:rsidR="00F9609E" w:rsidRPr="005D6722" w:rsidRDefault="00F9609E" w:rsidP="00F9609E">
      <w:pPr>
        <w:spacing w:before="120" w:after="120" w:line="360" w:lineRule="auto"/>
        <w:ind w:left="850" w:hanging="850"/>
        <w:rPr>
          <w:b/>
          <w:szCs w:val="24"/>
          <w:lang w:eastAsia="en-US"/>
        </w:rPr>
      </w:pPr>
      <w:r w:rsidRPr="005D6722">
        <w:rPr>
          <w:szCs w:val="24"/>
          <w:lang w:eastAsia="en-US"/>
        </w:rPr>
        <w:t>b)</w:t>
      </w:r>
      <w:r w:rsidRPr="005D6722">
        <w:rPr>
          <w:szCs w:val="24"/>
          <w:lang w:eastAsia="en-US"/>
        </w:rPr>
        <w:tab/>
        <w:t xml:space="preserve">tootja või tootja volitatud esindaja nimi </w:t>
      </w:r>
      <w:r w:rsidRPr="005D6722">
        <w:rPr>
          <w:b/>
          <w:i/>
          <w:szCs w:val="24"/>
          <w:lang w:eastAsia="en-US"/>
        </w:rPr>
        <w:t>ning posti- ja e-posti</w:t>
      </w:r>
      <w:r w:rsidRPr="005D6722">
        <w:rPr>
          <w:strike/>
          <w:szCs w:val="24"/>
          <w:lang w:eastAsia="en-US"/>
        </w:rPr>
        <w:t>ja</w:t>
      </w:r>
      <w:r w:rsidRPr="005D6722">
        <w:rPr>
          <w:szCs w:val="24"/>
          <w:lang w:eastAsia="en-US"/>
        </w:rPr>
        <w:t xml:space="preserve"> aadress ning tootja kohta ettevõtja kordumatu tunnuskood;</w:t>
      </w:r>
      <w:r w:rsidR="00E674F7" w:rsidRPr="005D6722">
        <w:rPr>
          <w:b/>
          <w:szCs w:val="24"/>
          <w:lang w:eastAsia="en-US"/>
        </w:rPr>
        <w:t xml:space="preserve"> [ME 145]</w:t>
      </w:r>
    </w:p>
    <w:p w:rsidR="00F9609E" w:rsidRPr="005D6722" w:rsidRDefault="00F9609E" w:rsidP="00F9609E">
      <w:pPr>
        <w:spacing w:before="120" w:after="120" w:line="360" w:lineRule="auto"/>
        <w:ind w:left="850" w:hanging="850"/>
        <w:rPr>
          <w:szCs w:val="24"/>
          <w:lang w:eastAsia="en-US"/>
        </w:rPr>
      </w:pPr>
      <w:r w:rsidRPr="005D6722">
        <w:rPr>
          <w:szCs w:val="24"/>
          <w:lang w:eastAsia="en-US"/>
        </w:rPr>
        <w:t>c)</w:t>
      </w:r>
      <w:r w:rsidRPr="005D6722">
        <w:rPr>
          <w:szCs w:val="24"/>
          <w:lang w:eastAsia="en-US"/>
        </w:rPr>
        <w:tab/>
        <w:t>detergendi või pindaktiivse aine identifitseerimisandmed, mis võimaldavad jälgitavust, sealhulgas piisavalt selge värvipilt, mis võimaldab detergenti või pindaktiivset ainet tuvastada;</w:t>
      </w:r>
    </w:p>
    <w:p w:rsidR="00F9609E" w:rsidRPr="005D6722" w:rsidRDefault="00F9609E" w:rsidP="00F9609E">
      <w:pPr>
        <w:spacing w:before="120" w:after="120" w:line="360" w:lineRule="auto"/>
        <w:ind w:left="850" w:hanging="850"/>
        <w:rPr>
          <w:szCs w:val="24"/>
          <w:lang w:eastAsia="en-US"/>
        </w:rPr>
      </w:pPr>
      <w:r w:rsidRPr="005D6722">
        <w:rPr>
          <w:szCs w:val="24"/>
          <w:lang w:eastAsia="en-US"/>
        </w:rPr>
        <w:t>d)</w:t>
      </w:r>
      <w:r w:rsidRPr="005D6722">
        <w:rPr>
          <w:szCs w:val="24"/>
          <w:lang w:eastAsia="en-US"/>
        </w:rPr>
        <w:tab/>
        <w:t>nõukogu määruses (EMÜ) nr 2658/87</w:t>
      </w:r>
      <w:r w:rsidRPr="005D6722">
        <w:rPr>
          <w:szCs w:val="24"/>
          <w:vertAlign w:val="superscript"/>
          <w:lang w:eastAsia="en-US"/>
        </w:rPr>
        <w:footnoteReference w:customMarkFollows="1" w:id="31"/>
        <w:t>1</w:t>
      </w:r>
      <w:r w:rsidRPr="005D6722">
        <w:rPr>
          <w:szCs w:val="24"/>
          <w:lang w:eastAsia="en-US"/>
        </w:rPr>
        <w:t xml:space="preserve"> ettenähtud kaubakood, mille alla detergent või pindaktiivne aine tootepassi koostamise hetkel liigitatakse;</w:t>
      </w:r>
    </w:p>
    <w:p w:rsidR="00F9609E" w:rsidRPr="005D6722" w:rsidRDefault="00F9609E" w:rsidP="00F9609E">
      <w:pPr>
        <w:spacing w:before="120" w:after="120" w:line="360" w:lineRule="auto"/>
        <w:ind w:left="850" w:hanging="850"/>
        <w:rPr>
          <w:szCs w:val="24"/>
          <w:lang w:eastAsia="en-US"/>
        </w:rPr>
      </w:pPr>
      <w:r w:rsidRPr="005D6722">
        <w:rPr>
          <w:szCs w:val="24"/>
          <w:lang w:eastAsia="en-US"/>
        </w:rPr>
        <w:t>e)</w:t>
      </w:r>
      <w:r w:rsidRPr="005D6722">
        <w:rPr>
          <w:szCs w:val="24"/>
          <w:lang w:eastAsia="en-US"/>
        </w:rPr>
        <w:tab/>
        <w:t>viited liidu õigusaktidele, millele detergent või pindaktiivne aine vastab;</w:t>
      </w:r>
    </w:p>
    <w:p w:rsidR="00AF7C19" w:rsidRPr="005D6722" w:rsidRDefault="00AF7C19">
      <w:pPr>
        <w:widowControl/>
        <w:rPr>
          <w:szCs w:val="24"/>
          <w:lang w:eastAsia="en-US"/>
        </w:rPr>
      </w:pPr>
      <w:r w:rsidRPr="005D6722">
        <w:rPr>
          <w:szCs w:val="24"/>
          <w:lang w:eastAsia="en-US"/>
        </w:rPr>
        <w:br w:type="page"/>
      </w:r>
    </w:p>
    <w:p w:rsidR="00F9609E" w:rsidRPr="005D6722" w:rsidRDefault="00F9609E" w:rsidP="00F9609E">
      <w:pPr>
        <w:spacing w:before="120" w:after="120" w:line="360" w:lineRule="auto"/>
        <w:ind w:left="850" w:hanging="850"/>
        <w:rPr>
          <w:b/>
          <w:szCs w:val="24"/>
          <w:lang w:eastAsia="en-US"/>
        </w:rPr>
      </w:pPr>
      <w:r w:rsidRPr="005D6722">
        <w:rPr>
          <w:szCs w:val="24"/>
          <w:lang w:eastAsia="en-US"/>
        </w:rPr>
        <w:lastRenderedPageBreak/>
        <w:t>f)</w:t>
      </w:r>
      <w:r w:rsidRPr="005D6722">
        <w:rPr>
          <w:szCs w:val="24"/>
          <w:lang w:eastAsia="en-US"/>
        </w:rPr>
        <w:tab/>
        <w:t>täielik loetelu detergenti või pindaktiivsesse ainesse tahtlikult lisatud ainetest</w:t>
      </w:r>
      <w:r w:rsidRPr="005D6722">
        <w:rPr>
          <w:strike/>
          <w:szCs w:val="24"/>
          <w:lang w:eastAsia="en-US"/>
        </w:rPr>
        <w:t>,</w:t>
      </w:r>
      <w:r w:rsidRPr="005D6722">
        <w:rPr>
          <w:szCs w:val="24"/>
          <w:lang w:eastAsia="en-US"/>
        </w:rPr>
        <w:t xml:space="preserve"> ja säilitusainetest</w:t>
      </w:r>
      <w:r w:rsidRPr="005D6722">
        <w:rPr>
          <w:strike/>
          <w:szCs w:val="24"/>
          <w:lang w:eastAsia="en-US"/>
        </w:rPr>
        <w:t>, mis on märgistatud vastavalt V lisa A osa punkti 3 esimese lõigu punktile b</w:t>
      </w:r>
      <w:r w:rsidRPr="005D6722">
        <w:rPr>
          <w:szCs w:val="24"/>
          <w:lang w:eastAsia="en-US"/>
        </w:rPr>
        <w:t>, kasutades kosmeetikatoodete koostisainete rahvusvahelist nomenklatuuri</w:t>
      </w:r>
      <w:r w:rsidRPr="005D6722">
        <w:rPr>
          <w:b/>
          <w:i/>
          <w:szCs w:val="24"/>
          <w:lang w:eastAsia="en-US"/>
        </w:rPr>
        <w:t>,</w:t>
      </w:r>
      <w:r w:rsidRPr="005D6722">
        <w:rPr>
          <w:szCs w:val="24"/>
          <w:lang w:eastAsia="en-US"/>
        </w:rPr>
        <w:t xml:space="preserve"> või kui see ei ole kättesaadav</w:t>
      </w:r>
      <w:r w:rsidRPr="005D6722">
        <w:rPr>
          <w:strike/>
          <w:szCs w:val="24"/>
          <w:lang w:eastAsia="en-US"/>
        </w:rPr>
        <w:t>, Euroopa farmakopöa nimetusi ja kui need ei ole kättesaadavad</w:t>
      </w:r>
      <w:r w:rsidRPr="005D6722">
        <w:rPr>
          <w:szCs w:val="24"/>
          <w:lang w:eastAsia="en-US"/>
        </w:rPr>
        <w:t>, siis tavapäraseid keemilisi nimetusi või Rahvusvahelise Puhta Keemia ja Rakenduskeemia Liidu nimetusi.</w:t>
      </w:r>
      <w:r w:rsidR="00E674F7" w:rsidRPr="005D6722">
        <w:rPr>
          <w:b/>
          <w:szCs w:val="24"/>
          <w:lang w:eastAsia="en-US"/>
        </w:rPr>
        <w:t xml:space="preserve"> [ME 146]</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fa)</w:t>
      </w:r>
      <w:r w:rsidRPr="005D6722">
        <w:rPr>
          <w:szCs w:val="24"/>
          <w:lang w:eastAsia="en-US"/>
        </w:rPr>
        <w:tab/>
      </w:r>
      <w:r w:rsidRPr="005D6722">
        <w:rPr>
          <w:b/>
          <w:i/>
          <w:szCs w:val="24"/>
          <w:lang w:eastAsia="en-US"/>
        </w:rPr>
        <w:t xml:space="preserve">artikli 7 lõikes 2 osutatud tehniline dokumentatsioon ja vastavushindamise tulemused; </w:t>
      </w:r>
      <w:r w:rsidR="00E674F7" w:rsidRPr="005D6722">
        <w:rPr>
          <w:b/>
          <w:szCs w:val="24"/>
          <w:lang w:eastAsia="en-US"/>
        </w:rPr>
        <w:t>[ME 147]</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fb)</w:t>
      </w:r>
      <w:r w:rsidRPr="005D6722">
        <w:rPr>
          <w:szCs w:val="24"/>
          <w:lang w:eastAsia="en-US"/>
        </w:rPr>
        <w:tab/>
      </w:r>
      <w:r w:rsidRPr="005D6722">
        <w:rPr>
          <w:b/>
          <w:i/>
          <w:szCs w:val="24"/>
          <w:lang w:eastAsia="en-US"/>
        </w:rPr>
        <w:t>kui see on kohaldatav, tootja poolt II lisa punkti 9 kohaselt tehtud katse tulemused ja kolmanda isiku kontrolliaruanne nende katsete kohta;</w:t>
      </w:r>
      <w:r w:rsidR="00E674F7" w:rsidRPr="005D6722">
        <w:rPr>
          <w:b/>
          <w:szCs w:val="24"/>
          <w:lang w:eastAsia="en-US"/>
        </w:rPr>
        <w:t xml:space="preserve"> [ME 148]</w:t>
      </w:r>
    </w:p>
    <w:p w:rsidR="00F9609E" w:rsidRPr="005D6722" w:rsidRDefault="00F9609E" w:rsidP="00F9609E">
      <w:pPr>
        <w:spacing w:before="120" w:after="120" w:line="360" w:lineRule="auto"/>
        <w:ind w:left="850" w:hanging="850"/>
        <w:rPr>
          <w:b/>
          <w:szCs w:val="24"/>
          <w:lang w:eastAsia="en-US"/>
        </w:rPr>
      </w:pPr>
      <w:r w:rsidRPr="005D6722">
        <w:rPr>
          <w:b/>
          <w:i/>
          <w:szCs w:val="24"/>
          <w:lang w:eastAsia="en-US"/>
        </w:rPr>
        <w:t>fc)</w:t>
      </w:r>
      <w:r w:rsidRPr="005D6722">
        <w:rPr>
          <w:szCs w:val="24"/>
          <w:lang w:eastAsia="en-US"/>
        </w:rPr>
        <w:tab/>
      </w:r>
      <w:r w:rsidRPr="005D6722">
        <w:rPr>
          <w:b/>
          <w:i/>
          <w:szCs w:val="24"/>
          <w:lang w:eastAsia="en-US"/>
        </w:rPr>
        <w:t>kui see on kohaldatav, link artikli 16 lõikes 1 osutatud digimärgistusele.</w:t>
      </w:r>
      <w:r w:rsidR="00E674F7" w:rsidRPr="005D6722">
        <w:rPr>
          <w:b/>
          <w:szCs w:val="24"/>
          <w:lang w:eastAsia="en-US"/>
        </w:rPr>
        <w:t xml:space="preserve"> [ME 149]</w:t>
      </w:r>
    </w:p>
    <w:p w:rsidR="00F9609E" w:rsidRPr="005D6722" w:rsidRDefault="00F9609E" w:rsidP="00F9609E">
      <w:pPr>
        <w:spacing w:before="120" w:after="120" w:line="360" w:lineRule="auto"/>
        <w:rPr>
          <w:b/>
          <w:szCs w:val="24"/>
          <w:lang w:eastAsia="en-US"/>
        </w:rPr>
      </w:pPr>
      <w:r w:rsidRPr="005D6722">
        <w:rPr>
          <w:b/>
          <w:i/>
          <w:szCs w:val="24"/>
          <w:lang w:eastAsia="en-US"/>
        </w:rPr>
        <w:t>Punktis fa osutatud teave on kättesaadav üksnes liikmesriikide turujärelevalveasutustele ja komisjonile.</w:t>
      </w:r>
      <w:r w:rsidR="00E674F7" w:rsidRPr="005D6722">
        <w:rPr>
          <w:b/>
          <w:szCs w:val="24"/>
          <w:lang w:eastAsia="en-US"/>
        </w:rPr>
        <w:t xml:space="preserve"> [ME 150]</w:t>
      </w:r>
    </w:p>
    <w:p w:rsidR="00F9609E" w:rsidRPr="005D6722" w:rsidRDefault="00F9609E" w:rsidP="00F9609E">
      <w:pPr>
        <w:spacing w:before="120" w:after="120" w:line="360" w:lineRule="auto"/>
        <w:rPr>
          <w:szCs w:val="24"/>
          <w:lang w:eastAsia="en-US"/>
        </w:rPr>
      </w:pPr>
      <w:r w:rsidRPr="005D6722">
        <w:rPr>
          <w:szCs w:val="24"/>
          <w:lang w:eastAsia="en-US"/>
        </w:rPr>
        <w:t>Punktis f osutatud kohustust ei kohaldata erialaselt kasutatavate detergentide ega erialaselt kasutatavate detergentide jaoks ettenähtud pindaktiivsete ainete suhtes, mille kohta on olemas määruse (EÜ) nr 1907/2006 artiklis 31 osutatud ohutuskaart.</w:t>
      </w:r>
    </w:p>
    <w:p w:rsidR="00F9609E" w:rsidRPr="005D6722" w:rsidRDefault="00F9609E" w:rsidP="00F9609E">
      <w:pPr>
        <w:spacing w:before="120" w:after="120" w:line="360" w:lineRule="auto"/>
        <w:rPr>
          <w:szCs w:val="24"/>
          <w:lang w:eastAsia="en-US"/>
        </w:rPr>
      </w:pPr>
    </w:p>
    <w:p w:rsidR="00F2288E" w:rsidRPr="005D6722" w:rsidRDefault="00F2288E" w:rsidP="00F9609E">
      <w:pPr>
        <w:spacing w:before="120" w:after="120" w:line="360" w:lineRule="auto"/>
        <w:rPr>
          <w:szCs w:val="24"/>
          <w:lang w:eastAsia="en-US"/>
        </w:rPr>
        <w:sectPr w:rsidR="00F2288E" w:rsidRPr="005D6722">
          <w:footnotePr>
            <w:numRestart w:val="eachSect"/>
          </w:footnotePr>
          <w:pgSz w:w="11909" w:h="16834"/>
          <w:pgMar w:top="1134" w:right="1417" w:bottom="1417" w:left="1417" w:header="1134" w:footer="567" w:gutter="0"/>
          <w:cols w:space="720"/>
        </w:sectPr>
      </w:pPr>
    </w:p>
    <w:p w:rsidR="00F9609E" w:rsidRPr="005D6722" w:rsidRDefault="00F9609E" w:rsidP="00F9609E">
      <w:pPr>
        <w:spacing w:before="120" w:after="120" w:line="360" w:lineRule="auto"/>
        <w:jc w:val="center"/>
        <w:rPr>
          <w:lang w:eastAsia="en-US"/>
        </w:rPr>
      </w:pPr>
      <w:r w:rsidRPr="005D6722">
        <w:rPr>
          <w:lang w:eastAsia="en-US"/>
        </w:rPr>
        <w:lastRenderedPageBreak/>
        <w:t>VII LISA</w:t>
      </w:r>
    </w:p>
    <w:p w:rsidR="00F9609E" w:rsidRPr="005D6722" w:rsidRDefault="00F9609E" w:rsidP="00AF7C19">
      <w:pPr>
        <w:spacing w:before="120" w:after="120" w:line="360" w:lineRule="auto"/>
        <w:jc w:val="center"/>
        <w:rPr>
          <w:szCs w:val="24"/>
          <w:lang w:eastAsia="en-US"/>
        </w:rPr>
      </w:pPr>
      <w:r w:rsidRPr="005D6722">
        <w:rPr>
          <w:szCs w:val="24"/>
          <w:lang w:eastAsia="en-US"/>
        </w:rPr>
        <w:t>ARTIKLI 22 LÕIKES 2 OSUTATUD KATSEMEETODID</w:t>
      </w:r>
    </w:p>
    <w:p w:rsidR="00984F2E" w:rsidRPr="005D6722" w:rsidRDefault="00984F2E" w:rsidP="00984F2E">
      <w:pPr>
        <w:keepNext/>
        <w:widowControl/>
        <w:tabs>
          <w:tab w:val="left" w:pos="850"/>
        </w:tabs>
        <w:spacing w:before="360" w:after="120"/>
        <w:ind w:left="851" w:hanging="851"/>
        <w:jc w:val="both"/>
        <w:outlineLvl w:val="0"/>
        <w:rPr>
          <w:rFonts w:eastAsia="Calibri"/>
          <w:b/>
          <w:smallCaps/>
          <w:noProof/>
          <w:szCs w:val="22"/>
          <w:lang w:eastAsia="en-US"/>
        </w:rPr>
      </w:pPr>
      <w:r w:rsidRPr="005D6722">
        <w:rPr>
          <w:rFonts w:eastAsia="Calibri"/>
          <w:b/>
          <w:smallCaps/>
          <w:noProof/>
          <w:szCs w:val="22"/>
          <w:lang w:eastAsia="en-US"/>
        </w:rPr>
        <w:t>1.</w:t>
      </w:r>
      <w:r w:rsidRPr="005D6722">
        <w:rPr>
          <w:rFonts w:eastAsia="Calibri"/>
          <w:b/>
          <w:smallCaps/>
          <w:noProof/>
          <w:szCs w:val="22"/>
          <w:lang w:eastAsia="en-US"/>
        </w:rPr>
        <w:tab/>
        <w:t>Võrdlusmeetod (kinnitav katse)</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1.1.</w:t>
      </w:r>
      <w:r w:rsidRPr="005D6722">
        <w:rPr>
          <w:rFonts w:eastAsia="Calibri"/>
          <w:b/>
          <w:noProof/>
          <w:szCs w:val="22"/>
          <w:lang w:eastAsia="en-US"/>
        </w:rPr>
        <w:tab/>
        <w:t>Määratlus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Käesolev meetod kirjeldab aktiivmuda ja sekundaarse setiti laborimudelit, mis on ette nähtud munitsipaalreovee puhastamise jäljendamiseks. Kõnealuse katsemeetodiga võib rakendada tänapäevasele tehnikatasemele vastavaid töötingimusi, nagu on kirjeldatud standardis EN ISO 11733.</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1.2.</w:t>
      </w:r>
      <w:r w:rsidRPr="005D6722">
        <w:rPr>
          <w:rFonts w:eastAsia="Calibri"/>
          <w:b/>
          <w:noProof/>
          <w:szCs w:val="22"/>
          <w:lang w:eastAsia="en-US"/>
        </w:rPr>
        <w:tab/>
        <w:t>Mõõtmiseks vajalikud seadmed</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Mõõtemeetodiga kasutatakse väikest aktiivmudapuhastit, mis on esitatud joonisel 1 ning üksikasjalikumalt joonisel 2. Seade koosneb tehisreovee kogumise anumast A, annustuspumbast B, õhustusanumast C, setitist D, aktiivmuda ringlussevõtuks ettenähtud õhktõstukist E ja töödeldud heitvee kogumisanumast F.</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Anumad A ja F peavad olema valmistatud klaasist või sobivast plastist ning nende mahutavus peab olema vähemalt 24 liitrit. Pump B peab tagama tehisreovee püsiva juurdevoolu õhustusanumasse; kõnealune anum sisaldab tavapärasel töötamisel kolm liitrit aktiivmudasegu. Anuma C põhja koonilisse tippu riputatakse poorne õhustuskuubik G. Õhustist vette puhutava õhu kogust mõõdetakse vooluhulgamõõturi H abil.</w:t>
      </w:r>
    </w:p>
    <w:p w:rsidR="00984F2E" w:rsidRPr="005D6722" w:rsidRDefault="00984F2E">
      <w:pPr>
        <w:widowControl/>
        <w:rPr>
          <w:rFonts w:eastAsia="Calibri"/>
          <w:b/>
          <w:noProof/>
          <w:szCs w:val="22"/>
          <w:lang w:eastAsia="en-US"/>
        </w:rPr>
      </w:pPr>
      <w:r w:rsidRPr="005D6722">
        <w:rPr>
          <w:rFonts w:eastAsia="Calibri"/>
          <w:b/>
          <w:noProof/>
          <w:szCs w:val="22"/>
          <w:lang w:eastAsia="en-US"/>
        </w:rPr>
        <w:br w:type="page"/>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lastRenderedPageBreak/>
        <w:t>1.3.</w:t>
      </w:r>
      <w:r w:rsidRPr="005D6722">
        <w:rPr>
          <w:rFonts w:eastAsia="Calibri"/>
          <w:b/>
          <w:noProof/>
          <w:szCs w:val="22"/>
          <w:lang w:eastAsia="en-US"/>
        </w:rPr>
        <w:tab/>
        <w:t>Tehisreovesi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Katses kasutatakse tehisreovett. Iga liitri kraanivee kohta lahustatakse:</w:t>
      </w:r>
    </w:p>
    <w:p w:rsidR="00984F2E" w:rsidRPr="005D6722" w:rsidRDefault="00E674F7" w:rsidP="00984F2E">
      <w:pPr>
        <w:widowControl/>
        <w:tabs>
          <w:tab w:val="num"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160 mg peptooni,</w:t>
      </w:r>
    </w:p>
    <w:p w:rsidR="00984F2E" w:rsidRPr="005D6722" w:rsidRDefault="00E674F7" w:rsidP="00E674F7">
      <w:pPr>
        <w:widowControl/>
        <w:tabs>
          <w:tab w:val="left"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110 mg lihaekstrakti,</w:t>
      </w:r>
    </w:p>
    <w:p w:rsidR="00984F2E" w:rsidRPr="005D6722" w:rsidRDefault="00E674F7" w:rsidP="00E674F7">
      <w:pPr>
        <w:widowControl/>
        <w:tabs>
          <w:tab w:val="left"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30 mg karbamiidi (CO(NH</w:t>
      </w:r>
      <w:r w:rsidR="00984F2E" w:rsidRPr="005D6722">
        <w:rPr>
          <w:rFonts w:eastAsia="Calibri"/>
          <w:noProof/>
          <w:szCs w:val="22"/>
          <w:vertAlign w:val="subscript"/>
          <w:lang w:eastAsia="en-US"/>
        </w:rPr>
        <w:t>2</w:t>
      </w:r>
      <w:r w:rsidR="00984F2E" w:rsidRPr="005D6722">
        <w:rPr>
          <w:rFonts w:eastAsia="Calibri"/>
          <w:noProof/>
          <w:szCs w:val="22"/>
          <w:lang w:eastAsia="en-US"/>
        </w:rPr>
        <w:t>)</w:t>
      </w:r>
      <w:r w:rsidR="00984F2E" w:rsidRPr="005D6722">
        <w:rPr>
          <w:rFonts w:eastAsia="Calibri"/>
          <w:noProof/>
          <w:szCs w:val="22"/>
          <w:vertAlign w:val="subscript"/>
          <w:lang w:eastAsia="en-US"/>
        </w:rPr>
        <w:t>2</w:t>
      </w:r>
      <w:r w:rsidR="00984F2E" w:rsidRPr="005D6722">
        <w:rPr>
          <w:rFonts w:eastAsia="Calibri"/>
          <w:noProof/>
          <w:szCs w:val="22"/>
          <w:lang w:eastAsia="en-US"/>
        </w:rPr>
        <w:t>),</w:t>
      </w:r>
    </w:p>
    <w:p w:rsidR="00984F2E" w:rsidRPr="005D6722" w:rsidRDefault="00E674F7" w:rsidP="00E674F7">
      <w:pPr>
        <w:widowControl/>
        <w:tabs>
          <w:tab w:val="left"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7 mg naatriumkloriidi (NaCl),</w:t>
      </w:r>
    </w:p>
    <w:p w:rsidR="00984F2E" w:rsidRPr="005D6722" w:rsidRDefault="00E674F7" w:rsidP="00E674F7">
      <w:pPr>
        <w:widowControl/>
        <w:tabs>
          <w:tab w:val="left"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4 mg kaltsiumkloriidi (CaCl</w:t>
      </w:r>
      <w:r w:rsidR="00984F2E" w:rsidRPr="005D6722">
        <w:rPr>
          <w:rFonts w:eastAsia="Calibri"/>
          <w:noProof/>
          <w:szCs w:val="22"/>
          <w:vertAlign w:val="subscript"/>
          <w:lang w:eastAsia="en-US"/>
        </w:rPr>
        <w:t>2</w:t>
      </w:r>
      <w:r w:rsidR="00984F2E" w:rsidRPr="005D6722">
        <w:rPr>
          <w:rFonts w:eastAsia="Calibri"/>
          <w:noProof/>
          <w:szCs w:val="22"/>
          <w:lang w:eastAsia="en-US"/>
        </w:rPr>
        <w:t>·2H</w:t>
      </w:r>
      <w:r w:rsidR="00984F2E" w:rsidRPr="005D6722">
        <w:rPr>
          <w:rFonts w:eastAsia="Calibri"/>
          <w:noProof/>
          <w:szCs w:val="22"/>
          <w:vertAlign w:val="subscript"/>
          <w:lang w:eastAsia="en-US"/>
        </w:rPr>
        <w:t>2</w:t>
      </w:r>
      <w:r w:rsidR="00984F2E" w:rsidRPr="005D6722">
        <w:rPr>
          <w:rFonts w:eastAsia="Calibri"/>
          <w:noProof/>
          <w:szCs w:val="22"/>
          <w:lang w:eastAsia="en-US"/>
        </w:rPr>
        <w:t>O),</w:t>
      </w:r>
    </w:p>
    <w:p w:rsidR="00984F2E" w:rsidRPr="005D6722" w:rsidRDefault="00E674F7" w:rsidP="00E674F7">
      <w:pPr>
        <w:widowControl/>
        <w:tabs>
          <w:tab w:val="left"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2 mg magneesiumsulfaati (MgSO</w:t>
      </w:r>
      <w:r w:rsidR="00984F2E" w:rsidRPr="005D6722">
        <w:rPr>
          <w:rFonts w:eastAsia="Calibri"/>
          <w:noProof/>
          <w:szCs w:val="22"/>
          <w:vertAlign w:val="subscript"/>
          <w:lang w:eastAsia="en-US"/>
        </w:rPr>
        <w:t>4</w:t>
      </w:r>
      <w:r w:rsidR="00984F2E" w:rsidRPr="005D6722">
        <w:rPr>
          <w:rFonts w:eastAsia="Calibri"/>
          <w:noProof/>
          <w:szCs w:val="22"/>
          <w:lang w:eastAsia="en-US"/>
        </w:rPr>
        <w:t>·7H</w:t>
      </w:r>
      <w:r w:rsidR="00984F2E" w:rsidRPr="005D6722">
        <w:rPr>
          <w:rFonts w:eastAsia="Calibri"/>
          <w:noProof/>
          <w:szCs w:val="22"/>
          <w:vertAlign w:val="subscript"/>
          <w:lang w:eastAsia="en-US"/>
        </w:rPr>
        <w:t>2</w:t>
      </w:r>
      <w:r w:rsidR="00984F2E" w:rsidRPr="005D6722">
        <w:rPr>
          <w:rFonts w:eastAsia="Calibri"/>
          <w:noProof/>
          <w:szCs w:val="22"/>
          <w:lang w:eastAsia="en-US"/>
        </w:rPr>
        <w:t>O),</w:t>
      </w:r>
    </w:p>
    <w:p w:rsidR="00984F2E" w:rsidRPr="005D6722" w:rsidRDefault="00E674F7" w:rsidP="00E674F7">
      <w:pPr>
        <w:widowControl/>
        <w:tabs>
          <w:tab w:val="left"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28 mg dikaaliumvesinikfosfaati (K</w:t>
      </w:r>
      <w:r w:rsidR="00984F2E" w:rsidRPr="005D6722">
        <w:rPr>
          <w:rFonts w:eastAsia="Calibri"/>
          <w:noProof/>
          <w:szCs w:val="22"/>
          <w:vertAlign w:val="subscript"/>
          <w:lang w:eastAsia="en-US"/>
        </w:rPr>
        <w:t>2</w:t>
      </w:r>
      <w:r w:rsidR="00984F2E" w:rsidRPr="005D6722">
        <w:rPr>
          <w:rFonts w:eastAsia="Calibri"/>
          <w:noProof/>
          <w:szCs w:val="22"/>
          <w:lang w:eastAsia="en-US"/>
        </w:rPr>
        <w:t>HPO</w:t>
      </w:r>
      <w:r w:rsidR="00984F2E" w:rsidRPr="005D6722">
        <w:rPr>
          <w:rFonts w:eastAsia="Calibri"/>
          <w:noProof/>
          <w:szCs w:val="22"/>
          <w:vertAlign w:val="subscript"/>
          <w:lang w:eastAsia="en-US"/>
        </w:rPr>
        <w:t>4</w:t>
      </w:r>
      <w:r w:rsidR="00984F2E" w:rsidRPr="005D6722">
        <w:rPr>
          <w:rFonts w:eastAsia="Calibri"/>
          <w:noProof/>
          <w:szCs w:val="22"/>
          <w:lang w:eastAsia="en-US"/>
        </w:rPr>
        <w:t>)</w:t>
      </w:r>
    </w:p>
    <w:p w:rsidR="00984F2E" w:rsidRPr="005D6722" w:rsidRDefault="00E674F7" w:rsidP="00E674F7">
      <w:pPr>
        <w:widowControl/>
        <w:tabs>
          <w:tab w:val="left" w:pos="1417"/>
        </w:tabs>
        <w:spacing w:before="120" w:after="120"/>
        <w:ind w:left="1417" w:hanging="567"/>
        <w:jc w:val="both"/>
        <w:rPr>
          <w:rFonts w:eastAsia="Calibri"/>
          <w:noProof/>
          <w:szCs w:val="22"/>
          <w:lang w:eastAsia="en-US"/>
        </w:rPr>
      </w:pPr>
      <w:r w:rsidRPr="005D6722">
        <w:rPr>
          <w:rFonts w:eastAsia="Calibri"/>
          <w:noProof/>
          <w:szCs w:val="22"/>
          <w:lang w:eastAsia="en-US"/>
        </w:rPr>
        <w:t>–</w:t>
      </w:r>
      <w:r w:rsidRPr="005D6722">
        <w:rPr>
          <w:rFonts w:eastAsia="Calibri"/>
          <w:noProof/>
          <w:szCs w:val="22"/>
          <w:lang w:eastAsia="en-US"/>
        </w:rPr>
        <w:tab/>
      </w:r>
      <w:r w:rsidR="00984F2E" w:rsidRPr="005D6722">
        <w:rPr>
          <w:rFonts w:eastAsia="Calibri"/>
          <w:noProof/>
          <w:szCs w:val="22"/>
          <w:lang w:eastAsia="en-US"/>
        </w:rPr>
        <w:t>ja 10 ± 1 mg pindaktiivset ainet.</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Iga päev valmistatakse värske tehisreovesi.</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1.4.</w:t>
      </w:r>
      <w:r w:rsidRPr="005D6722">
        <w:rPr>
          <w:rFonts w:eastAsia="Calibri"/>
          <w:b/>
          <w:noProof/>
          <w:szCs w:val="22"/>
          <w:lang w:eastAsia="en-US"/>
        </w:rPr>
        <w:tab/>
        <w:t>Proovide ettevalmistamine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Puhtaid pindaktiivseid aineid uuritakse algupärases olekus. Tehisreovee (1.3) valmistamiseks on vaja kindlaks määrata aktiivaine sisaldus pindaktiivse aine proovides.</w:t>
      </w:r>
    </w:p>
    <w:p w:rsidR="00984F2E" w:rsidRPr="005D6722" w:rsidRDefault="00984F2E">
      <w:pPr>
        <w:widowControl/>
        <w:rPr>
          <w:rFonts w:eastAsia="Calibri"/>
          <w:b/>
          <w:noProof/>
          <w:szCs w:val="22"/>
          <w:lang w:eastAsia="en-US"/>
        </w:rPr>
      </w:pPr>
      <w:r w:rsidRPr="005D6722">
        <w:rPr>
          <w:rFonts w:eastAsia="Calibri"/>
          <w:b/>
          <w:noProof/>
          <w:szCs w:val="22"/>
          <w:lang w:eastAsia="en-US"/>
        </w:rPr>
        <w:br w:type="page"/>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lastRenderedPageBreak/>
        <w:t>1.5.</w:t>
      </w:r>
      <w:r w:rsidRPr="005D6722">
        <w:rPr>
          <w:rFonts w:eastAsia="Calibri"/>
          <w:b/>
          <w:noProof/>
          <w:szCs w:val="22"/>
          <w:lang w:eastAsia="en-US"/>
        </w:rPr>
        <w:tab/>
        <w:t>Seadmete kasutamine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Kõigepealt täidetakse õhustusanum C ja setiti D tehisreoveega. Anum D peaks olema kinnitatud sellisele kõrgusele, et õhustusanumas C oleks kolm liitrit tehisreovett. Reovesi inokuleeritakse 3 ml puhastatud heitveega, mis on vahetult kogutud peamiselt olmereovett puhastavast aktiivmudapuhastist. Heitvesi tuleb proovivõtust kasutamiseni hoida aeroobsena. Seejärel pannakse tööle õhusti G, õhktõstuk E ja annustuspump B. Tehisreovesi peab voolama läbi õhustusanuma C kiirusega üks liiter tunnis; sellisel juhul on keskmine viibeaeg kolm tundi.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Õhustuskiirust tuleks reguleerida nii, et anuma C sisu hoitakse pidevalt suspensioonis ja lahustunud hapniku sisaldus on vähemalt 2 mg/l. Vahutamine tuleb asjakohaste vahendite abil ära hoida. Aktiivmuda inhibeerivaid või pindaktiivseid aineid sisaldavaid vahutamisvastaseid aineid ei tohi kasutada. Õhktõstuk E tuleb reguleerida nii, et taaskasutatav aktiivmuda liigub setitist pidevalt ja regulaarselt õhustusanumasse C. Muda, mis koguneb ümber õhustusanuma C tipu, setiti D põhjale või ringlustorustikku, tuleb vähemalt kord päevas harjamise abil või mõnel muul asjakohasel viisil ringlusse tagasi viia. Kui muda ei setti, võib selle settivust suurendada, lisades (vajaduse korral korduvalt) 2 ml kaupa 5 % raudtrikloriidi lahust.</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Setitist D tulev heitvesi kogutakse anumasse F kahekümne neljaks tunniks, seejärel segatakse põhjalikult ning võetakse proov. Anum F tuleb seejärel hoolikalt puhastada.</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1.6.</w:t>
      </w:r>
      <w:r w:rsidRPr="005D6722">
        <w:rPr>
          <w:rFonts w:eastAsia="Calibri"/>
          <w:b/>
          <w:noProof/>
          <w:szCs w:val="22"/>
          <w:lang w:eastAsia="en-US"/>
        </w:rPr>
        <w:tab/>
        <w:t>Mõõteseadmete kontrollimine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Tehisreovee pindaktiivse aine sisaldus (mg/l) määratakse vahetult enne kasutamist.</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Anumasse F kahekümne nelja tunni jooksul kogunenud heitvee pindaktiivse aine sisaldus (mg/l) tuleks sama meetodi abil analüütiliselt määrata vahetult pärast kogumist; kui see ei ole võimalik, tuleb proovid konserveerida, eelistatavalt külmutada. Kontsentratsioonid tuleb määrata täpsusega 0,1 mg pindaktiivset ainet liitri kohta.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Protsessi tõhususe kontrollimiseks määratakse vähemalt kaks korda nädalas anumasse F kogunenud, klaaskiudfiltri läbinud heitvee ning anumas A oleva filtreeritud tehisreovee keemiline hapnikutarve (KHT) või lahustunud orgaanilise süsiniku sisaldus (DOC).</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KHT või DOC vähenemine peaks ühtlustuma siis, kui joonisel 3 esitatud sissetöötamisaja lõpuks saavutatakse ligikaudu korrapärane ööpäevane pindaktiivse aine lagunemine.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Õhustusanumas sisalduva aktiivmuda kuivainesisaldus tuleks määrata kaks korda nädalas grammides liitri kohta. Kui see on suurem kui 2,5 g/l, tuleb üleliigne aktiivmuda kõrvaldada.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Lagunemiskatse tehakse toatemperatuuril; see peab olema püsiv ja vahemikus 19–24 °C.</w:t>
      </w:r>
    </w:p>
    <w:p w:rsidR="00984F2E" w:rsidRPr="005D6722" w:rsidRDefault="00984F2E">
      <w:pPr>
        <w:widowControl/>
        <w:rPr>
          <w:rFonts w:eastAsia="Calibri"/>
          <w:b/>
          <w:noProof/>
          <w:szCs w:val="22"/>
          <w:lang w:eastAsia="en-US"/>
        </w:rPr>
      </w:pPr>
      <w:r w:rsidRPr="005D6722">
        <w:rPr>
          <w:rFonts w:eastAsia="Calibri"/>
          <w:b/>
          <w:noProof/>
          <w:szCs w:val="22"/>
          <w:lang w:eastAsia="en-US"/>
        </w:rPr>
        <w:br w:type="page"/>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lastRenderedPageBreak/>
        <w:t>1.7.</w:t>
      </w:r>
      <w:r w:rsidRPr="005D6722">
        <w:rPr>
          <w:rFonts w:eastAsia="Calibri"/>
          <w:b/>
          <w:noProof/>
          <w:szCs w:val="22"/>
          <w:lang w:eastAsia="en-US"/>
        </w:rPr>
        <w:tab/>
        <w:t>Biolagundatavuse arvutamine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Pindaktiivse aine lagunemise määr protsentides tuleb arvutada iga päev, võttes aluseks pindaktiivse aine sisalduse (mg/l) tehisreovees ja anumasse F kogunenud vastavas heitvees.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Nii saadud lagundatavuse väärtused tuleks esitada graafiliselt, nagu joonisel 3.</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Pindaktiivse aine lagundatavus tuleks arvutada nende väärtuste aritmeetilise keskmisena, mis on saadud sissetöötamisele ja aklimatiseerimisperioodile järgneva 21 päeva jooksul, mil lagunemine on olnud korrapärane ning puhasti on töötanud tõrgeteta. Sissetöötamisaeg ei tohiks ühelgi juhul olla üle kuue nädala.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Ööpäevased lagunemisväärtused arvutatakse täpsusega 0,1 %, kuid lõpptulemus väljendatakse täisarvu täpsusega.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Mõnel juhul võib olla lubatud vähendada proovide võtmise sagedust, kuid keskmise arvutamiseks tuleks kasutada vähemalt 14 tulemust, mis on kogutud sissetöötamisajale järgneva 21 päeva jooksul.</w:t>
      </w:r>
    </w:p>
    <w:p w:rsidR="00984F2E" w:rsidRPr="005D6722" w:rsidRDefault="00984F2E">
      <w:pPr>
        <w:widowControl/>
        <w:rPr>
          <w:rFonts w:eastAsia="Calibri"/>
          <w:b/>
          <w:smallCaps/>
          <w:noProof/>
          <w:szCs w:val="22"/>
          <w:lang w:eastAsia="en-US"/>
        </w:rPr>
      </w:pPr>
      <w:r w:rsidRPr="005D6722">
        <w:rPr>
          <w:rFonts w:eastAsia="Calibri"/>
          <w:b/>
          <w:smallCaps/>
          <w:noProof/>
          <w:szCs w:val="22"/>
          <w:lang w:eastAsia="en-US"/>
        </w:rPr>
        <w:br w:type="page"/>
      </w:r>
    </w:p>
    <w:p w:rsidR="00984F2E" w:rsidRPr="005D6722" w:rsidRDefault="00984F2E" w:rsidP="00984F2E">
      <w:pPr>
        <w:keepNext/>
        <w:widowControl/>
        <w:tabs>
          <w:tab w:val="left" w:pos="850"/>
        </w:tabs>
        <w:spacing w:before="360" w:after="120"/>
        <w:ind w:left="851" w:hanging="851"/>
        <w:jc w:val="both"/>
        <w:outlineLvl w:val="0"/>
        <w:rPr>
          <w:rFonts w:eastAsia="Calibri"/>
          <w:b/>
          <w:smallCaps/>
          <w:noProof/>
          <w:szCs w:val="22"/>
          <w:lang w:eastAsia="en-US"/>
        </w:rPr>
      </w:pPr>
      <w:r w:rsidRPr="005D6722">
        <w:rPr>
          <w:rFonts w:eastAsia="Calibri"/>
          <w:b/>
          <w:smallCaps/>
          <w:noProof/>
          <w:szCs w:val="22"/>
          <w:lang w:eastAsia="en-US"/>
        </w:rPr>
        <w:lastRenderedPageBreak/>
        <w:t>2.</w:t>
      </w:r>
      <w:r w:rsidRPr="005D6722">
        <w:rPr>
          <w:rFonts w:eastAsia="Calibri"/>
          <w:b/>
          <w:smallCaps/>
          <w:noProof/>
          <w:szCs w:val="22"/>
          <w:lang w:eastAsia="en-US"/>
        </w:rPr>
        <w:tab/>
        <w:t>Anioonsete pindaktiivsete ainete määramine biolagundatavuse katsetes</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2.1.</w:t>
      </w:r>
      <w:r w:rsidRPr="005D6722">
        <w:rPr>
          <w:rFonts w:eastAsia="Calibri"/>
          <w:b/>
          <w:noProof/>
          <w:szCs w:val="22"/>
          <w:lang w:eastAsia="en-US"/>
        </w:rPr>
        <w:tab/>
        <w:t>Põhimõte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Meetodi aluseks on asjaolu, et katioonne värvaine metüleensinine moodustab anioonsete pindaktiivsete ainetega sinise värvusega sooli (MBAS), mida saab ekstraheerida kloroformiga. Häirivate tegurite kõrvaldamiseks toimub ekstraheerimine kõigepealt leeliselahusest, seejärel segatakse ekstrakt happelise metüleensinise lahusega. Eraldatud orgaanilise faasi neelduvust mõõdetakse fotomeetriliselt suurima neeldumise lainepikkusel 650 nm.</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2.2.</w:t>
      </w:r>
      <w:r w:rsidRPr="005D6722">
        <w:rPr>
          <w:rFonts w:eastAsia="Calibri"/>
          <w:b/>
          <w:noProof/>
          <w:szCs w:val="22"/>
          <w:lang w:eastAsia="en-US"/>
        </w:rPr>
        <w:tab/>
        <w:t>Reaktiivid ja seadmed</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w:t>
      </w:r>
      <w:r w:rsidRPr="005D6722">
        <w:rPr>
          <w:rFonts w:eastAsia="Calibri"/>
          <w:i/>
          <w:noProof/>
          <w:szCs w:val="22"/>
          <w:lang w:eastAsia="en-US"/>
        </w:rPr>
        <w:tab/>
        <w:t>Puhverlahus, pH 10</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Deioniseeritud vees lahustatakse 24 g naatriumvesinikkarbonaati (NaHCO</w:t>
      </w:r>
      <w:r w:rsidRPr="005D6722">
        <w:rPr>
          <w:rFonts w:eastAsia="Calibri"/>
          <w:noProof/>
          <w:szCs w:val="22"/>
          <w:vertAlign w:val="subscript"/>
          <w:lang w:eastAsia="en-US"/>
        </w:rPr>
        <w:t>3</w:t>
      </w:r>
      <w:r w:rsidRPr="005D6722">
        <w:rPr>
          <w:rFonts w:eastAsia="Calibri"/>
          <w:noProof/>
          <w:szCs w:val="22"/>
          <w:lang w:eastAsia="en-US"/>
        </w:rPr>
        <w:t>, analüütiliselt puhas reaktiiv) ning 27 g veevaba naatriumkarbonaati (Na</w:t>
      </w:r>
      <w:r w:rsidRPr="005D6722">
        <w:rPr>
          <w:rFonts w:eastAsia="Calibri"/>
          <w:noProof/>
          <w:szCs w:val="22"/>
          <w:vertAlign w:val="subscript"/>
          <w:lang w:eastAsia="en-US"/>
        </w:rPr>
        <w:t>2</w:t>
      </w:r>
      <w:r w:rsidRPr="005D6722">
        <w:rPr>
          <w:rFonts w:eastAsia="Calibri"/>
          <w:noProof/>
          <w:szCs w:val="22"/>
          <w:lang w:eastAsia="en-US"/>
        </w:rPr>
        <w:t>CO</w:t>
      </w:r>
      <w:r w:rsidRPr="005D6722">
        <w:rPr>
          <w:rFonts w:eastAsia="Calibri"/>
          <w:noProof/>
          <w:szCs w:val="22"/>
          <w:vertAlign w:val="subscript"/>
          <w:lang w:eastAsia="en-US"/>
        </w:rPr>
        <w:t>3</w:t>
      </w:r>
      <w:r w:rsidRPr="005D6722">
        <w:rPr>
          <w:rFonts w:eastAsia="Calibri"/>
          <w:noProof/>
          <w:szCs w:val="22"/>
          <w:lang w:eastAsia="en-US"/>
        </w:rPr>
        <w:t>, analüütiliselt puhas reaktiiv) ning lahjendatakse 1 000 milliliitrini.</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2.2.2.</w:t>
      </w:r>
      <w:r w:rsidRPr="005D6722">
        <w:rPr>
          <w:rFonts w:eastAsia="Calibri"/>
          <w:i/>
          <w:noProof/>
          <w:szCs w:val="22"/>
          <w:lang w:eastAsia="en-US"/>
        </w:rPr>
        <w:tab/>
        <w:t>Neutraalne metüleensinise lahus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Deioniseeritud vees lahustatakse 0,35 g metüleensinist (analüütiliselt puhas reaktiiv) ning lahjendatakse 1 000 milliliitrini. Lahus valmistatakse vähemalt 24 tundi enne kasutamist. Tühikatsel ei tohi kloroformifaasi neelduvus 1 cm paksusega kihis olla suurem kui 0,015 mõõdetuna kloroformi suhtes lainepikkusel 650 nm.</w:t>
      </w:r>
    </w:p>
    <w:p w:rsidR="00984F2E" w:rsidRPr="005D6722" w:rsidRDefault="00984F2E">
      <w:pPr>
        <w:widowControl/>
        <w:rPr>
          <w:rFonts w:eastAsia="Calibri"/>
          <w:i/>
          <w:noProof/>
          <w:szCs w:val="22"/>
          <w:lang w:eastAsia="en-US"/>
        </w:rPr>
      </w:pPr>
      <w:r w:rsidRPr="005D6722">
        <w:rPr>
          <w:rFonts w:eastAsia="Calibri"/>
          <w:i/>
          <w:noProof/>
          <w:szCs w:val="22"/>
          <w:lang w:eastAsia="en-US"/>
        </w:rPr>
        <w:br w:type="page"/>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lastRenderedPageBreak/>
        <w:t>2.2.3.</w:t>
      </w:r>
      <w:r w:rsidRPr="005D6722">
        <w:rPr>
          <w:rFonts w:eastAsia="Calibri"/>
          <w:i/>
          <w:noProof/>
          <w:szCs w:val="22"/>
          <w:lang w:eastAsia="en-US"/>
        </w:rPr>
        <w:tab/>
        <w:t>Happeline metüleensinise lahus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500 milliliitris deioniseeritud vees lahustatakse 0,35 g metüleensinist (analüütiliselt puhas reaktiiv) ning segatakse 6,5 ml H</w:t>
      </w:r>
      <w:r w:rsidRPr="005D6722">
        <w:rPr>
          <w:rFonts w:eastAsia="Calibri"/>
          <w:noProof/>
          <w:szCs w:val="22"/>
          <w:vertAlign w:val="subscript"/>
          <w:lang w:eastAsia="en-US"/>
        </w:rPr>
        <w:t>2</w:t>
      </w:r>
      <w:r w:rsidRPr="005D6722">
        <w:rPr>
          <w:rFonts w:eastAsia="Calibri"/>
          <w:noProof/>
          <w:szCs w:val="22"/>
          <w:lang w:eastAsia="en-US"/>
        </w:rPr>
        <w:t>SO</w:t>
      </w:r>
      <w:r w:rsidRPr="005D6722">
        <w:rPr>
          <w:rFonts w:eastAsia="Calibri"/>
          <w:noProof/>
          <w:szCs w:val="22"/>
          <w:vertAlign w:val="subscript"/>
          <w:lang w:eastAsia="en-US"/>
        </w:rPr>
        <w:t>4</w:t>
      </w:r>
      <w:r w:rsidRPr="005D6722">
        <w:rPr>
          <w:rFonts w:eastAsia="Calibri"/>
          <w:noProof/>
          <w:szCs w:val="22"/>
          <w:lang w:eastAsia="en-US"/>
        </w:rPr>
        <w:t>-ga (d = 1,84 g/ml). Lahjendatakse deioniseeritud veega 1 000 milliliitrini. Lahus valmistatakse vähemalt 24 tundi enne kasutamist. Tühikatsel ei tohi kloroformifaasi neelduvus 1 cm paksusega kihis olla suurem kui 0,015 mõõdetuna kloroformi suhtes lainepikkusel 650 nm.</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2.2.4.</w:t>
      </w:r>
      <w:r w:rsidRPr="005D6722">
        <w:rPr>
          <w:rFonts w:eastAsia="Calibri"/>
          <w:i/>
          <w:noProof/>
          <w:szCs w:val="22"/>
          <w:lang w:eastAsia="en-US"/>
        </w:rPr>
        <w:tab/>
        <w:t>Kloroform (triklorometaan), analüütiliselt puhas reaktiiv, vahetult enne destilleeritud</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2.2.5.</w:t>
      </w:r>
      <w:r w:rsidRPr="005D6722">
        <w:rPr>
          <w:rFonts w:eastAsia="Calibri"/>
          <w:i/>
          <w:noProof/>
          <w:szCs w:val="22"/>
          <w:lang w:eastAsia="en-US"/>
        </w:rPr>
        <w:tab/>
        <w:t>Dodetsüülbenseensulfoonhappe metüülester</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2.2.6.</w:t>
      </w:r>
      <w:r w:rsidRPr="005D6722">
        <w:rPr>
          <w:rFonts w:eastAsia="Calibri"/>
          <w:i/>
          <w:noProof/>
          <w:szCs w:val="22"/>
          <w:lang w:eastAsia="en-US"/>
        </w:rPr>
        <w:tab/>
        <w:t>Kaaliumhüdroksiidi etanoollahus, KOH 0,1 M</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2.2.7.</w:t>
      </w:r>
      <w:r w:rsidRPr="005D6722">
        <w:rPr>
          <w:rFonts w:eastAsia="Calibri"/>
          <w:i/>
          <w:noProof/>
          <w:szCs w:val="22"/>
          <w:lang w:eastAsia="en-US"/>
        </w:rPr>
        <w:tab/>
        <w:t>Puhas etanool, C</w:t>
      </w:r>
      <w:r w:rsidRPr="005D6722">
        <w:rPr>
          <w:rFonts w:eastAsia="Calibri"/>
          <w:i/>
          <w:noProof/>
          <w:szCs w:val="22"/>
          <w:vertAlign w:val="subscript"/>
          <w:lang w:eastAsia="en-US"/>
        </w:rPr>
        <w:t>2</w:t>
      </w:r>
      <w:r w:rsidRPr="005D6722">
        <w:rPr>
          <w:rFonts w:eastAsia="Calibri"/>
          <w:i/>
          <w:noProof/>
          <w:szCs w:val="22"/>
          <w:lang w:eastAsia="en-US"/>
        </w:rPr>
        <w:t>H</w:t>
      </w:r>
      <w:r w:rsidRPr="005D6722">
        <w:rPr>
          <w:rFonts w:eastAsia="Calibri"/>
          <w:i/>
          <w:noProof/>
          <w:szCs w:val="22"/>
          <w:vertAlign w:val="subscript"/>
          <w:lang w:eastAsia="en-US"/>
        </w:rPr>
        <w:t>5</w:t>
      </w:r>
      <w:r w:rsidRPr="005D6722">
        <w:rPr>
          <w:rFonts w:eastAsia="Calibri"/>
          <w:i/>
          <w:noProof/>
          <w:szCs w:val="22"/>
          <w:lang w:eastAsia="en-US"/>
        </w:rPr>
        <w:t>OH</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2.2.8.</w:t>
      </w:r>
      <w:r w:rsidRPr="005D6722">
        <w:rPr>
          <w:rFonts w:eastAsia="Calibri"/>
          <w:i/>
          <w:noProof/>
          <w:szCs w:val="22"/>
          <w:lang w:eastAsia="en-US"/>
        </w:rPr>
        <w:tab/>
        <w:t>Väävelhape, H</w:t>
      </w:r>
      <w:r w:rsidRPr="005D6722">
        <w:rPr>
          <w:rFonts w:eastAsia="Calibri"/>
          <w:i/>
          <w:noProof/>
          <w:szCs w:val="22"/>
          <w:vertAlign w:val="subscript"/>
          <w:lang w:eastAsia="en-US"/>
        </w:rPr>
        <w:t>2</w:t>
      </w:r>
      <w:r w:rsidRPr="005D6722">
        <w:rPr>
          <w:rFonts w:eastAsia="Calibri"/>
          <w:i/>
          <w:noProof/>
          <w:szCs w:val="22"/>
          <w:lang w:eastAsia="en-US"/>
        </w:rPr>
        <w:t>SO</w:t>
      </w:r>
      <w:r w:rsidRPr="005D6722">
        <w:rPr>
          <w:rFonts w:eastAsia="Calibri"/>
          <w:i/>
          <w:noProof/>
          <w:szCs w:val="22"/>
          <w:vertAlign w:val="subscript"/>
          <w:lang w:eastAsia="en-US"/>
        </w:rPr>
        <w:t>4</w:t>
      </w:r>
      <w:r w:rsidRPr="005D6722">
        <w:rPr>
          <w:rFonts w:eastAsia="Calibri"/>
          <w:i/>
          <w:noProof/>
          <w:szCs w:val="22"/>
          <w:lang w:eastAsia="en-US"/>
        </w:rPr>
        <w:t>, 0,5 M</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2.2.9.</w:t>
      </w:r>
      <w:r w:rsidRPr="005D6722">
        <w:rPr>
          <w:rFonts w:eastAsia="Calibri"/>
          <w:i/>
          <w:noProof/>
          <w:szCs w:val="22"/>
          <w:lang w:eastAsia="en-US"/>
        </w:rPr>
        <w:tab/>
        <w:t>Fenoolftaleiini lahus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1 g fenoolftaleiini lahustatakse 50 milliliitris etanoolis ja lisatakse pidevalt segades 50 ml deioniseeritud vett. Filtritakse välja kogu tekkinud sade.</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2.2.10.</w:t>
      </w:r>
      <w:r w:rsidRPr="005D6722">
        <w:rPr>
          <w:rFonts w:eastAsia="Calibri"/>
          <w:i/>
          <w:noProof/>
          <w:szCs w:val="22"/>
          <w:lang w:eastAsia="en-US"/>
        </w:rPr>
        <w:tab/>
        <w:t>Soolhappe metanoolilahus: 250 ml soolhapet (analüütiliselt puhas reaktiiv) ja 750 ml metanooli</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2.2.11.</w:t>
      </w:r>
      <w:r w:rsidRPr="005D6722">
        <w:rPr>
          <w:rFonts w:eastAsia="Calibri"/>
          <w:i/>
          <w:noProof/>
          <w:szCs w:val="22"/>
          <w:lang w:eastAsia="en-US"/>
        </w:rPr>
        <w:tab/>
        <w:t>Jaotuslehter, 250 ml</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2.2.12.</w:t>
      </w:r>
      <w:r w:rsidRPr="005D6722">
        <w:rPr>
          <w:rFonts w:eastAsia="Calibri"/>
          <w:i/>
          <w:noProof/>
          <w:szCs w:val="22"/>
          <w:lang w:eastAsia="en-US"/>
        </w:rPr>
        <w:tab/>
        <w:t>Mõõtkolb, 50 ml</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2.2.13.</w:t>
      </w:r>
      <w:r w:rsidRPr="005D6722">
        <w:rPr>
          <w:rFonts w:eastAsia="Calibri"/>
          <w:i/>
          <w:noProof/>
          <w:szCs w:val="22"/>
          <w:lang w:eastAsia="en-US"/>
        </w:rPr>
        <w:tab/>
        <w:t>Mõõtkolb, 500 ml</w:t>
      </w:r>
    </w:p>
    <w:p w:rsidR="00984F2E" w:rsidRPr="005D6722" w:rsidRDefault="00984F2E">
      <w:pPr>
        <w:widowControl/>
        <w:rPr>
          <w:rFonts w:eastAsia="Calibri"/>
          <w:i/>
          <w:noProof/>
          <w:szCs w:val="22"/>
          <w:lang w:eastAsia="en-US"/>
        </w:rPr>
      </w:pPr>
      <w:r w:rsidRPr="005D6722">
        <w:rPr>
          <w:rFonts w:eastAsia="Calibri"/>
          <w:i/>
          <w:noProof/>
          <w:szCs w:val="22"/>
          <w:lang w:eastAsia="en-US"/>
        </w:rPr>
        <w:br w:type="page"/>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lastRenderedPageBreak/>
        <w:t>2.2.14.</w:t>
      </w:r>
      <w:r w:rsidRPr="005D6722">
        <w:rPr>
          <w:rFonts w:eastAsia="Calibri"/>
          <w:i/>
          <w:noProof/>
          <w:szCs w:val="22"/>
          <w:lang w:eastAsia="en-US"/>
        </w:rPr>
        <w:tab/>
        <w:t>Mõõtkolb, 1 000 ml</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2.2.15.</w:t>
      </w:r>
      <w:r w:rsidRPr="005D6722">
        <w:rPr>
          <w:rFonts w:eastAsia="Calibri"/>
          <w:i/>
          <w:noProof/>
          <w:szCs w:val="22"/>
          <w:lang w:eastAsia="en-US"/>
        </w:rPr>
        <w:tab/>
        <w:t>Lihvkorgiga ja püstjahutiga ümarkolb, 250 ml; keedugraanulid</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2.2.16.</w:t>
      </w:r>
      <w:r w:rsidRPr="005D6722">
        <w:rPr>
          <w:rFonts w:eastAsia="Calibri"/>
          <w:i/>
          <w:noProof/>
          <w:szCs w:val="22"/>
          <w:lang w:eastAsia="en-US"/>
        </w:rPr>
        <w:tab/>
        <w:t>pH-meeter</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2.2.17.</w:t>
      </w:r>
      <w:r w:rsidRPr="005D6722">
        <w:rPr>
          <w:rFonts w:eastAsia="Calibri"/>
          <w:i/>
          <w:noProof/>
          <w:szCs w:val="22"/>
          <w:lang w:eastAsia="en-US"/>
        </w:rPr>
        <w:tab/>
        <w:t>Fotomeeter mõõtmiseks lainepikkusel 650 nm, 1–5 cm küvettidega</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2.2.18.</w:t>
      </w:r>
      <w:r w:rsidRPr="005D6722">
        <w:rPr>
          <w:rFonts w:eastAsia="Calibri"/>
          <w:i/>
          <w:noProof/>
          <w:szCs w:val="22"/>
          <w:lang w:eastAsia="en-US"/>
        </w:rPr>
        <w:tab/>
        <w:t>Kvalitatiivseks analüüsiks sobiv filterpaber</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2.3.</w:t>
      </w:r>
      <w:r w:rsidRPr="005D6722">
        <w:rPr>
          <w:rFonts w:eastAsia="Calibri"/>
          <w:b/>
          <w:noProof/>
          <w:szCs w:val="22"/>
          <w:lang w:eastAsia="en-US"/>
        </w:rPr>
        <w:tab/>
        <w:t>Analüüsi käik</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Analüüsitavaid proove ei tohi võtta läbi vahukihi.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Pärast hoolikat puhastamist veega tuleb analüüsiseadmed põhjalikult loputada soolhappe metanoolilahusega (2.2.10) ning seejärel, enne kasutamist, deioniseeritud veega.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Aktiivmudapuhastisse sissevoolav ja sealt väljavoolav uuritav heitvesi filtritakse vahetult proovi võtmisel. Filtraadi esimesed 100 ml kõrvaldatakse.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Mõõdetud proovikogus, mis on vajaduse korral neutraliseeritud, valatakse 250 ml jaotuslehtrisse (2.2.11). Proovikoguse MBASi sisaldus peaks olema vahemikus 20–150 g. Väiksema MBASi sisalduse korral võib ära kasutada kuni 100 ml proovist. Kui kasutatakse ära vähem kui 100 ml, tuleb võetud kogus lahjendada deioniseeritud veega 100 milliliitrini. Proovile lisatakse 10 ml puhverlahust (2.2.1), 5 ml neutraalset metüleensinise lahust (2.2.2) ja 15 ml kloroformi (2.2.4). Segu loksutatakse minuti jooksul ühtlaselt ja mitte liiga tugevasti. Pärast faaside eraldumist viiakse kloroformikiht teise jaotuslehtrisse, milles on 110 ml deioniseeritud vett ja 5 ml happelist metüleensinise lahust (2.2.3). Segu loksutatakse ühe minuti jooksul. Kloroformikiht juhitakse läbi eelnevalt puhastatud ja kloroformiga niisutatud vatifiltri mõõtkolbi (2.2.12).</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Leeliselisi ja happelisi lahuseid ekstraheeritakse kolm korda, ning teisel ja kolmandal ekstraheerimisel kasutatakse 10 ml kloroformi. Kloroformiekstraktide segu filtritakse läbi sama vatifiltri ja lahjendatakse 50 ml kolvil (2.2.12) oleva märgini sama kloroformiga, mida kasutati vati ülepesemisel. Kloroformilahuse neeldumist mõõdetakse kloroformi suhtes fotomeetriliselt lainepikkusel 650 nm 1–5 cm küvettides. Kogu toimingut korratakse tühikatses.</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2.4.</w:t>
      </w:r>
      <w:r w:rsidRPr="005D6722">
        <w:rPr>
          <w:rFonts w:eastAsia="Calibri"/>
          <w:b/>
          <w:noProof/>
          <w:szCs w:val="22"/>
          <w:lang w:eastAsia="en-US"/>
        </w:rPr>
        <w:tab/>
        <w:t>Kaliibrimiskõver</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Valmistatakse kaliibrimislahus standardainest dodetsüülbenseensulfoonhappe metüülestrist (tetrapropüleeni tüüp, molekulmass 340), kui see on seebistatud kaaliumisoolaks. MBAS arvutatakse naatriumdodetsüülbenseensulfonaadina (molekulmass 348).</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Kaalumispipetist kaalutakse umbes 0,1 mg täpsusega ümarkolbi 400–450 mg dodetsüülbenseensulfoonhappe metüülestrit (2.2.5) ning lisatakse 50 ml kaaliumhüdroksiidi etanoolilahust (2.2.6) ja mõned keedugraanulid. Paigaldatakse püstjahuti ja keedetakse ühe tunni jooksul. Pärast jahutamist pestakse jahuti ja lihvühendus umbes 30 ml etanooliga ning pesuvedelik lisatakse kolbi. Lahust tiitritakse väävelhappega fenoolftaleiini kasutades, kuni see muutub värvituks. Lahus valatakse 1 000 ml mõõtkolbi (2.2.14), lahjendatakse deioniseeritud veega kuni märgini ning segatakse.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Seejärel lahjendatakse sellest pindaktiivse aine põhilahusest veel üks osa. Lahusest võetakse 25 ml, valatakse 500 ml mõõtkolbi (2.2.13), lahjendatakse deioniseeritud veega kuni märgini ning segatakse.</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See standardlahus sisaldab:</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val="en-GB"/>
        </w:rPr>
        <w:drawing>
          <wp:inline distT="0" distB="0" distL="0" distR="0" wp14:anchorId="020808D2" wp14:editId="48239DE7">
            <wp:extent cx="3870325" cy="7550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0325" cy="755015"/>
                    </a:xfrm>
                    <a:prstGeom prst="rect">
                      <a:avLst/>
                    </a:prstGeom>
                    <a:noFill/>
                    <a:ln>
                      <a:noFill/>
                    </a:ln>
                  </pic:spPr>
                </pic:pic>
              </a:graphicData>
            </a:graphic>
          </wp:inline>
        </w:drawing>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kus E on proovi mass milligrammides.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Kaliibrimiskõvera koostamiseks võetakse standardlahusest 1, 2, 4, 6, 8 ml ja lahjendatakse iga kogust deioniseeritud veega 100 milliliitrini. Seejärel jätkatakse punktis 2.3 kirjeldatud viisil, sealhulgas tehakse tühikatse.</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2.5.</w:t>
      </w:r>
      <w:r w:rsidRPr="005D6722">
        <w:rPr>
          <w:rFonts w:eastAsia="Calibri"/>
          <w:b/>
          <w:noProof/>
          <w:szCs w:val="22"/>
          <w:lang w:eastAsia="en-US"/>
        </w:rPr>
        <w:tab/>
        <w:t>Tulemuste arvutamine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Anioonse pindaktiivse aine kogus (MBAS) proovis loetakse kaliibrimiskõveralt (2.4). Proovi MBASi sisaldus arvutatakse valemist:</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val="en-GB"/>
        </w:rPr>
        <w:drawing>
          <wp:inline distT="0" distB="0" distL="0" distR="0" wp14:anchorId="0947036F" wp14:editId="6117837B">
            <wp:extent cx="4773930" cy="755015"/>
            <wp:effectExtent l="0" t="0" r="762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3930" cy="755015"/>
                    </a:xfrm>
                    <a:prstGeom prst="rect">
                      <a:avLst/>
                    </a:prstGeom>
                    <a:noFill/>
                    <a:ln>
                      <a:noFill/>
                    </a:ln>
                  </pic:spPr>
                </pic:pic>
              </a:graphicData>
            </a:graphic>
          </wp:inline>
        </w:drawing>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kus V = kasutatud proovi maht (ml).</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Tulemused väljendatakse naatriumdodetsüülbenseensulfonaadina (molekulmass 348).</w:t>
      </w:r>
    </w:p>
    <w:p w:rsidR="00984F2E" w:rsidRPr="005D6722" w:rsidRDefault="00984F2E">
      <w:pPr>
        <w:widowControl/>
        <w:rPr>
          <w:rFonts w:eastAsia="Calibri"/>
          <w:b/>
          <w:noProof/>
          <w:szCs w:val="22"/>
          <w:lang w:eastAsia="en-US"/>
        </w:rPr>
      </w:pPr>
      <w:r w:rsidRPr="005D6722">
        <w:rPr>
          <w:rFonts w:eastAsia="Calibri"/>
          <w:b/>
          <w:noProof/>
          <w:szCs w:val="22"/>
          <w:lang w:eastAsia="en-US"/>
        </w:rPr>
        <w:br w:type="page"/>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lastRenderedPageBreak/>
        <w:t>2.6.</w:t>
      </w:r>
      <w:r w:rsidRPr="005D6722">
        <w:rPr>
          <w:rFonts w:eastAsia="Calibri"/>
          <w:b/>
          <w:noProof/>
          <w:szCs w:val="22"/>
          <w:lang w:eastAsia="en-US"/>
        </w:rPr>
        <w:tab/>
        <w:t>Tulemuste esitamine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Tulemused esitatakse MBASina mg/l, täpsusega 0,1 mg/l.</w:t>
      </w:r>
    </w:p>
    <w:p w:rsidR="00984F2E" w:rsidRPr="005D6722" w:rsidRDefault="00984F2E" w:rsidP="00984F2E">
      <w:pPr>
        <w:keepNext/>
        <w:widowControl/>
        <w:tabs>
          <w:tab w:val="left" w:pos="850"/>
        </w:tabs>
        <w:spacing w:before="360" w:after="120"/>
        <w:ind w:left="851" w:hanging="851"/>
        <w:jc w:val="both"/>
        <w:outlineLvl w:val="0"/>
        <w:rPr>
          <w:rFonts w:eastAsia="Calibri"/>
          <w:b/>
          <w:smallCaps/>
          <w:noProof/>
          <w:szCs w:val="22"/>
          <w:lang w:eastAsia="en-US"/>
        </w:rPr>
      </w:pPr>
      <w:r w:rsidRPr="005D6722">
        <w:rPr>
          <w:rFonts w:eastAsia="Calibri"/>
          <w:b/>
          <w:smallCaps/>
          <w:noProof/>
          <w:szCs w:val="22"/>
          <w:lang w:eastAsia="en-US"/>
        </w:rPr>
        <w:t>3.</w:t>
      </w:r>
      <w:r w:rsidRPr="005D6722">
        <w:rPr>
          <w:rFonts w:eastAsia="Calibri"/>
          <w:b/>
          <w:smallCaps/>
          <w:noProof/>
          <w:szCs w:val="22"/>
          <w:lang w:eastAsia="en-US"/>
        </w:rPr>
        <w:tab/>
        <w:t>Mitteioonsete pindaktiivsete ainete määramine biolagunemise katsevedelikes</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3.1.</w:t>
      </w:r>
      <w:r w:rsidRPr="005D6722">
        <w:rPr>
          <w:rFonts w:eastAsia="Calibri"/>
          <w:b/>
          <w:noProof/>
          <w:szCs w:val="22"/>
          <w:lang w:eastAsia="en-US"/>
        </w:rPr>
        <w:tab/>
        <w:t>Põhimõte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Pindaktiivsed ained kontsentreeritakse ja eraldatakse gaasidesorptsiooniga. Kasutatavas proovis peab mitteioonsete pindaktiivsete ainete kogus olema vahemikus 250–800 g.</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Desorbeeritud pindaktiivne aine lahustatakse etüülatsetaadis.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Pärast faaside eraldumist ja lahusti aurustamist sadestatakse mitteioonne pindaktiivne aine vesilahuses modifitseeritud Dragendorffi reaktiiviga (KBiI</w:t>
      </w:r>
      <w:r w:rsidRPr="005D6722">
        <w:rPr>
          <w:rFonts w:eastAsia="Calibri"/>
          <w:noProof/>
          <w:szCs w:val="22"/>
          <w:vertAlign w:val="subscript"/>
          <w:lang w:eastAsia="en-US"/>
        </w:rPr>
        <w:t>4</w:t>
      </w:r>
      <w:r w:rsidRPr="005D6722">
        <w:rPr>
          <w:rFonts w:eastAsia="Calibri"/>
          <w:noProof/>
          <w:szCs w:val="22"/>
          <w:lang w:eastAsia="en-US"/>
        </w:rPr>
        <w:t xml:space="preserve"> + BaCl</w:t>
      </w:r>
      <w:r w:rsidRPr="005D6722">
        <w:rPr>
          <w:rFonts w:eastAsia="Calibri"/>
          <w:noProof/>
          <w:szCs w:val="22"/>
          <w:vertAlign w:val="subscript"/>
          <w:lang w:eastAsia="en-US"/>
        </w:rPr>
        <w:t>2</w:t>
      </w:r>
      <w:r w:rsidRPr="005D6722">
        <w:rPr>
          <w:rFonts w:eastAsia="Calibri"/>
          <w:noProof/>
          <w:szCs w:val="22"/>
          <w:lang w:eastAsia="en-US"/>
        </w:rPr>
        <w:t xml:space="preserve"> + jää-äädikhape).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Sade filtritakse, pestakse jää-äädikhappega ja lahustatakse ammooniumtartraadi lahuses. Lahuses olev vismut tiitritakse potentsiomeetriliselt pürrolidiinkarbamaadi lahusega pH väärtusel 4–5, kasutades läikplaatinast indikaatorelektroodi ja võrdluselektroodina kalomel- või hõbe/hõbekloriidelektroodi. Meetodit saab kasutada mitteioonsete pindaktiivsete ainete korral, mis sisaldavad 6–30 alküleenoksiidrühma.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Võrdlusainena kasutatavale 10 mooli etüleenoksiidiga kondenseeritud nonüülfenoolile (NP 10) teisendamiseks korrutatakse tiitrimistulemus empiirilise teguriga 54.</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3.2.</w:t>
      </w:r>
      <w:r w:rsidRPr="005D6722">
        <w:rPr>
          <w:rFonts w:eastAsia="Calibri"/>
          <w:b/>
          <w:noProof/>
          <w:szCs w:val="22"/>
          <w:lang w:eastAsia="en-US"/>
        </w:rPr>
        <w:tab/>
        <w:t>Reaktiivid ja seadmed</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Reaktiivid tuleb valmistada deioniseeritud vees.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w:t>
      </w:r>
      <w:r w:rsidRPr="005D6722">
        <w:rPr>
          <w:rFonts w:eastAsia="Calibri"/>
          <w:noProof/>
          <w:szCs w:val="22"/>
          <w:lang w:eastAsia="en-US"/>
        </w:rPr>
        <w:tab/>
        <w:t>Puhas etüülatsetaat, vahetult enne destilleeritud.</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3.2.2.</w:t>
      </w:r>
      <w:r w:rsidRPr="005D6722">
        <w:rPr>
          <w:rFonts w:eastAsia="Calibri"/>
          <w:noProof/>
          <w:szCs w:val="22"/>
          <w:lang w:eastAsia="en-US"/>
        </w:rPr>
        <w:tab/>
        <w:t>Naatriumvesinikkarbonaat NaHCO</w:t>
      </w:r>
      <w:r w:rsidRPr="005D6722">
        <w:rPr>
          <w:rFonts w:eastAsia="Calibri"/>
          <w:noProof/>
          <w:szCs w:val="22"/>
          <w:vertAlign w:val="subscript"/>
          <w:lang w:eastAsia="en-US"/>
        </w:rPr>
        <w:t>3</w:t>
      </w:r>
      <w:r w:rsidRPr="005D6722">
        <w:rPr>
          <w:rFonts w:eastAsia="Calibri"/>
          <w:noProof/>
          <w:szCs w:val="22"/>
          <w:lang w:eastAsia="en-US"/>
        </w:rPr>
        <w:t>, analüütiliselt puhas reaktiiv.</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3.2.3.</w:t>
      </w:r>
      <w:r w:rsidRPr="005D6722">
        <w:rPr>
          <w:rFonts w:eastAsia="Calibri"/>
          <w:noProof/>
          <w:szCs w:val="22"/>
          <w:lang w:eastAsia="en-US"/>
        </w:rPr>
        <w:tab/>
        <w:t>Lahjendatud soolhape (20 ml kontsentreeritud hapet (HCl) lahjendatakse veega 1 000 milliliitrini).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3.2.4.</w:t>
      </w:r>
      <w:r w:rsidRPr="005D6722">
        <w:rPr>
          <w:rFonts w:eastAsia="Calibri"/>
          <w:noProof/>
          <w:szCs w:val="22"/>
          <w:lang w:eastAsia="en-US"/>
        </w:rPr>
        <w:tab/>
        <w:t>Metanool, analüütiliselt puhas reaktiiv, vahetult enne destilleeritud, säilitatakse klaaspudelis.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3.2.5.</w:t>
      </w:r>
      <w:r w:rsidRPr="005D6722">
        <w:rPr>
          <w:rFonts w:eastAsia="Calibri"/>
          <w:noProof/>
          <w:szCs w:val="22"/>
          <w:lang w:eastAsia="en-US"/>
        </w:rPr>
        <w:tab/>
        <w:t>Bromokresoolpurpur, 0,1 g 100 ml metanoolis.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3.2.6.</w:t>
      </w:r>
      <w:r w:rsidRPr="005D6722">
        <w:rPr>
          <w:rFonts w:eastAsia="Calibri"/>
          <w:noProof/>
          <w:szCs w:val="22"/>
          <w:lang w:eastAsia="en-US"/>
        </w:rPr>
        <w:tab/>
        <w:t>Sadesti: sadesti on segu kahest osast lahusest A ja ühest osast lahusest B. Segu säilitatakse pruunis pudelis ja seda saab kasutada kuni ühe nädala jooksul pärast segamist.</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3.2.6.1.</w:t>
      </w:r>
      <w:r w:rsidRPr="005D6722">
        <w:rPr>
          <w:rFonts w:eastAsia="Calibri"/>
          <w:noProof/>
          <w:szCs w:val="22"/>
          <w:lang w:eastAsia="en-US"/>
        </w:rPr>
        <w:tab/>
        <w:t>Lahus 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20 milliliitris jää-äädikhappes lahustatakse 1,7 g vismutnitraati BiONO</w:t>
      </w:r>
      <w:r w:rsidRPr="005D6722">
        <w:rPr>
          <w:rFonts w:eastAsia="Calibri"/>
          <w:noProof/>
          <w:szCs w:val="22"/>
          <w:vertAlign w:val="subscript"/>
          <w:lang w:eastAsia="en-US"/>
        </w:rPr>
        <w:t>3</w:t>
      </w:r>
      <w:r w:rsidRPr="005D6722">
        <w:rPr>
          <w:rFonts w:eastAsia="Calibri"/>
          <w:noProof/>
          <w:szCs w:val="22"/>
          <w:lang w:eastAsia="en-US"/>
        </w:rPr>
        <w:t>·H</w:t>
      </w:r>
      <w:r w:rsidRPr="005D6722">
        <w:rPr>
          <w:rFonts w:eastAsia="Calibri"/>
          <w:noProof/>
          <w:szCs w:val="22"/>
          <w:vertAlign w:val="subscript"/>
          <w:lang w:eastAsia="en-US"/>
        </w:rPr>
        <w:t>2</w:t>
      </w:r>
      <w:r w:rsidRPr="005D6722">
        <w:rPr>
          <w:rFonts w:eastAsia="Calibri"/>
          <w:noProof/>
          <w:szCs w:val="22"/>
          <w:lang w:eastAsia="en-US"/>
        </w:rPr>
        <w:t>O (analüütiliselt puhas reaktiiv) ning lisatakse vett kuni 100 milliliitrini. Seejärel lahustatakse 200 milliliitris vees 65 g kaaliumjodiidi (analüütiliselt puhas reaktiiv). Need kaks lahust segatakse 1 000 ml mõõtkolvis, lisatakse 200 ml jää-äädikhapet (3.2.7) ja lisatakse vett kuni 1 000 milliliitrini.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3.2.6.2.</w:t>
      </w:r>
      <w:r w:rsidRPr="005D6722">
        <w:rPr>
          <w:rFonts w:eastAsia="Calibri"/>
          <w:noProof/>
          <w:szCs w:val="22"/>
          <w:lang w:eastAsia="en-US"/>
        </w:rPr>
        <w:tab/>
        <w:t>Lahus B</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1 000 milliliitris vees lahustatakse 290 g baariumkloriidi BaCl</w:t>
      </w:r>
      <w:r w:rsidRPr="005D6722">
        <w:rPr>
          <w:rFonts w:eastAsia="Calibri"/>
          <w:noProof/>
          <w:szCs w:val="22"/>
          <w:vertAlign w:val="subscript"/>
          <w:lang w:eastAsia="en-US"/>
        </w:rPr>
        <w:t>2</w:t>
      </w:r>
      <w:r w:rsidRPr="005D6722">
        <w:rPr>
          <w:rFonts w:eastAsia="Calibri"/>
          <w:noProof/>
          <w:szCs w:val="22"/>
          <w:lang w:eastAsia="en-US"/>
        </w:rPr>
        <w:t>·2H</w:t>
      </w:r>
      <w:r w:rsidRPr="005D6722">
        <w:rPr>
          <w:rFonts w:eastAsia="Calibri"/>
          <w:noProof/>
          <w:szCs w:val="22"/>
          <w:vertAlign w:val="subscript"/>
          <w:lang w:eastAsia="en-US"/>
        </w:rPr>
        <w:t>2</w:t>
      </w:r>
      <w:r w:rsidRPr="005D6722">
        <w:rPr>
          <w:rFonts w:eastAsia="Calibri"/>
          <w:noProof/>
          <w:szCs w:val="22"/>
          <w:lang w:eastAsia="en-US"/>
        </w:rPr>
        <w:t>O (analüütiliselt puhas reaktiiv).</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3.2.7.</w:t>
      </w:r>
      <w:r w:rsidRPr="005D6722">
        <w:rPr>
          <w:rFonts w:eastAsia="Calibri"/>
          <w:noProof/>
          <w:szCs w:val="22"/>
          <w:lang w:eastAsia="en-US"/>
        </w:rPr>
        <w:tab/>
        <w:t>Jää-äädikhape 99–100 % (väiksem kontsentratsioon ei sobi).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3.2.8.</w:t>
      </w:r>
      <w:r w:rsidRPr="005D6722">
        <w:rPr>
          <w:rFonts w:eastAsia="Calibri"/>
          <w:noProof/>
          <w:szCs w:val="22"/>
          <w:lang w:eastAsia="en-US"/>
        </w:rPr>
        <w:tab/>
        <w:t>Ammooniumtartraadi lahus: segatakse 12,4 g viinhapet (analüütiliselt puhas reaktiiv) ja 12,4 ml ammoniaagilahust [analüütiliselt puhas reaktiiv, d = 0,910 g/ml] ning lisatakse vett kuni 1 000 milliliitrini [või kasutatakse samaväärset kogust ammooniumtartraati (analüütiliselt puhas reaktiiv)].</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3.2.9.</w:t>
      </w:r>
      <w:r w:rsidRPr="005D6722">
        <w:rPr>
          <w:rFonts w:eastAsia="Calibri"/>
          <w:noProof/>
          <w:szCs w:val="22"/>
          <w:lang w:eastAsia="en-US"/>
        </w:rPr>
        <w:tab/>
        <w:t>Lahjendatud ammoniaagilahus: 40 ml ammoniaagilahust [analüütiliselt puhas reaktiiv, d = 0,910 g/ml] lahjendatakse veega 1 000 milliliitrini.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3.2.10.</w:t>
      </w:r>
      <w:r w:rsidRPr="005D6722">
        <w:rPr>
          <w:rFonts w:eastAsia="Calibri"/>
          <w:noProof/>
          <w:szCs w:val="22"/>
          <w:lang w:eastAsia="en-US"/>
        </w:rPr>
        <w:tab/>
        <w:t>Standardne atsetaatpuhver: keeduklaasis lahustatakse 500 milliliitris vees 40 g tahket naatriumhüdroksiidi (analüütiliselt puhas reaktiiv) ning lastakse jahtuda. Lisatakse 120 ml jää-äädikhapet (3.2.7). Segatakse põhjalikult, jahutatakse ning valatakse 1 000 ml mõõtkolbi. Lisatakse vett kuni märgini.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3.2.11.</w:t>
      </w:r>
      <w:r w:rsidRPr="005D6722">
        <w:rPr>
          <w:rFonts w:eastAsia="Calibri"/>
          <w:noProof/>
          <w:szCs w:val="22"/>
          <w:lang w:eastAsia="en-US"/>
        </w:rPr>
        <w:tab/>
        <w:t>Pürrolidiinditiokarbamaadi lahus (tuntakse karbaadilahusena): 103 mg naatriumpürrolidiinditiokarbamaati C</w:t>
      </w:r>
      <w:r w:rsidRPr="005D6722">
        <w:rPr>
          <w:rFonts w:eastAsia="Calibri"/>
          <w:noProof/>
          <w:szCs w:val="22"/>
          <w:vertAlign w:val="subscript"/>
          <w:lang w:eastAsia="en-US"/>
        </w:rPr>
        <w:t>5</w:t>
      </w:r>
      <w:r w:rsidRPr="005D6722">
        <w:rPr>
          <w:rFonts w:eastAsia="Calibri"/>
          <w:noProof/>
          <w:szCs w:val="22"/>
          <w:lang w:eastAsia="en-US"/>
        </w:rPr>
        <w:t>H</w:t>
      </w:r>
      <w:r w:rsidRPr="005D6722">
        <w:rPr>
          <w:rFonts w:eastAsia="Calibri"/>
          <w:noProof/>
          <w:szCs w:val="22"/>
          <w:vertAlign w:val="subscript"/>
          <w:lang w:eastAsia="en-US"/>
        </w:rPr>
        <w:t>8</w:t>
      </w:r>
      <w:r w:rsidRPr="005D6722">
        <w:rPr>
          <w:rFonts w:eastAsia="Calibri"/>
          <w:noProof/>
          <w:szCs w:val="22"/>
          <w:lang w:eastAsia="en-US"/>
        </w:rPr>
        <w:t>NNaS</w:t>
      </w:r>
      <w:r w:rsidRPr="005D6722">
        <w:rPr>
          <w:rFonts w:eastAsia="Calibri"/>
          <w:noProof/>
          <w:szCs w:val="22"/>
          <w:vertAlign w:val="subscript"/>
          <w:lang w:eastAsia="en-US"/>
        </w:rPr>
        <w:t>2</w:t>
      </w:r>
      <w:r w:rsidRPr="005D6722">
        <w:rPr>
          <w:rFonts w:eastAsia="Calibri"/>
          <w:noProof/>
          <w:szCs w:val="22"/>
          <w:lang w:eastAsia="en-US"/>
        </w:rPr>
        <w:t>·2H</w:t>
      </w:r>
      <w:r w:rsidRPr="005D6722">
        <w:rPr>
          <w:rFonts w:eastAsia="Calibri"/>
          <w:noProof/>
          <w:szCs w:val="22"/>
          <w:vertAlign w:val="subscript"/>
          <w:lang w:eastAsia="en-US"/>
        </w:rPr>
        <w:t>2</w:t>
      </w:r>
      <w:r w:rsidRPr="005D6722">
        <w:rPr>
          <w:rFonts w:eastAsia="Calibri"/>
          <w:noProof/>
          <w:szCs w:val="22"/>
          <w:lang w:eastAsia="en-US"/>
        </w:rPr>
        <w:t>O lahustatakse umbes 500 ml vees, lisatakse 10 ml n-amüülalkoholi (analüütiliselt puhas reaktiiv) ja 0,5 g NaHCO</w:t>
      </w:r>
      <w:r w:rsidRPr="005D6722">
        <w:rPr>
          <w:rFonts w:eastAsia="Calibri"/>
          <w:noProof/>
          <w:szCs w:val="22"/>
          <w:vertAlign w:val="subscript"/>
          <w:lang w:eastAsia="en-US"/>
        </w:rPr>
        <w:t>3</w:t>
      </w:r>
      <w:r w:rsidRPr="005D6722">
        <w:rPr>
          <w:rFonts w:eastAsia="Calibri"/>
          <w:noProof/>
          <w:szCs w:val="22"/>
          <w:lang w:eastAsia="en-US"/>
        </w:rPr>
        <w:t xml:space="preserve"> (analüütiliselt puhas reaktiiv) ning lisatakse vett 1 000 milliliitrini.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3.2.12.</w:t>
      </w:r>
      <w:r w:rsidRPr="005D6722">
        <w:rPr>
          <w:rFonts w:eastAsia="Calibri"/>
          <w:noProof/>
          <w:szCs w:val="22"/>
          <w:lang w:eastAsia="en-US"/>
        </w:rPr>
        <w:tab/>
        <w:t>Vasksulfaadi lahus (punktis 3.2.11 osutatud lahuse standardimiseks).</w:t>
      </w:r>
    </w:p>
    <w:p w:rsidR="00984F2E" w:rsidRPr="005D6722" w:rsidRDefault="00984F2E" w:rsidP="00984F2E">
      <w:pPr>
        <w:widowControl/>
        <w:spacing w:before="120" w:after="120"/>
        <w:ind w:left="1417"/>
        <w:jc w:val="both"/>
        <w:rPr>
          <w:rFonts w:eastAsia="Calibri"/>
          <w:noProof/>
          <w:szCs w:val="22"/>
          <w:lang w:eastAsia="en-US"/>
        </w:rPr>
      </w:pPr>
      <w:r w:rsidRPr="005D6722">
        <w:rPr>
          <w:rFonts w:eastAsia="Calibri"/>
          <w:noProof/>
          <w:szCs w:val="22"/>
          <w:lang w:eastAsia="en-US"/>
        </w:rPr>
        <w:t>PÕHILAHUS</w:t>
      </w:r>
    </w:p>
    <w:p w:rsidR="00984F2E" w:rsidRPr="005D6722" w:rsidRDefault="00984F2E" w:rsidP="00984F2E">
      <w:pPr>
        <w:widowControl/>
        <w:spacing w:before="120" w:after="120"/>
        <w:ind w:left="1417"/>
        <w:jc w:val="both"/>
        <w:rPr>
          <w:rFonts w:eastAsia="Calibri"/>
          <w:noProof/>
          <w:szCs w:val="22"/>
          <w:lang w:eastAsia="en-US"/>
        </w:rPr>
      </w:pPr>
      <w:r w:rsidRPr="005D6722">
        <w:rPr>
          <w:rFonts w:eastAsia="Calibri"/>
          <w:noProof/>
          <w:szCs w:val="22"/>
          <w:lang w:eastAsia="en-US"/>
        </w:rPr>
        <w:t>Segatakse 1,249 g vasksulfaati CuSO</w:t>
      </w:r>
      <w:r w:rsidRPr="005D6722">
        <w:rPr>
          <w:rFonts w:eastAsia="Calibri"/>
          <w:noProof/>
          <w:szCs w:val="22"/>
          <w:vertAlign w:val="subscript"/>
          <w:lang w:eastAsia="en-US"/>
        </w:rPr>
        <w:t>4</w:t>
      </w:r>
      <w:r w:rsidRPr="005D6722">
        <w:rPr>
          <w:rFonts w:eastAsia="Calibri"/>
          <w:noProof/>
          <w:szCs w:val="22"/>
          <w:lang w:eastAsia="en-US"/>
        </w:rPr>
        <w:t>·5H</w:t>
      </w:r>
      <w:r w:rsidRPr="005D6722">
        <w:rPr>
          <w:rFonts w:eastAsia="Calibri"/>
          <w:noProof/>
          <w:szCs w:val="22"/>
          <w:vertAlign w:val="subscript"/>
          <w:lang w:eastAsia="en-US"/>
        </w:rPr>
        <w:t>2</w:t>
      </w:r>
      <w:r w:rsidRPr="005D6722">
        <w:rPr>
          <w:rFonts w:eastAsia="Calibri"/>
          <w:noProof/>
          <w:szCs w:val="22"/>
          <w:lang w:eastAsia="en-US"/>
        </w:rPr>
        <w:t>O (analüütiliselt puhas reaktiiv) 50 ml 0,5 M väävelhappega ning lisatakse vett kuni 1 000 milliliitrini.</w:t>
      </w:r>
    </w:p>
    <w:p w:rsidR="00984F2E" w:rsidRPr="005D6722" w:rsidRDefault="00984F2E" w:rsidP="00984F2E">
      <w:pPr>
        <w:widowControl/>
        <w:spacing w:before="120" w:after="120"/>
        <w:ind w:left="1417"/>
        <w:jc w:val="both"/>
        <w:rPr>
          <w:rFonts w:eastAsia="Calibri"/>
          <w:noProof/>
          <w:szCs w:val="22"/>
          <w:lang w:eastAsia="en-US"/>
        </w:rPr>
      </w:pPr>
      <w:r w:rsidRPr="005D6722">
        <w:rPr>
          <w:rFonts w:eastAsia="Calibri"/>
          <w:noProof/>
          <w:szCs w:val="22"/>
          <w:lang w:eastAsia="en-US"/>
        </w:rPr>
        <w:t>STANDARDLAHUS</w:t>
      </w:r>
    </w:p>
    <w:p w:rsidR="00984F2E" w:rsidRPr="005D6722" w:rsidRDefault="00984F2E" w:rsidP="00984F2E">
      <w:pPr>
        <w:widowControl/>
        <w:spacing w:before="120" w:after="120"/>
        <w:ind w:left="1417"/>
        <w:jc w:val="both"/>
        <w:rPr>
          <w:rFonts w:eastAsia="Calibri"/>
          <w:noProof/>
          <w:szCs w:val="22"/>
          <w:lang w:eastAsia="en-US"/>
        </w:rPr>
      </w:pPr>
      <w:r w:rsidRPr="005D6722">
        <w:rPr>
          <w:rFonts w:eastAsia="Calibri"/>
          <w:noProof/>
          <w:szCs w:val="22"/>
          <w:lang w:eastAsia="en-US"/>
        </w:rPr>
        <w:t>50 ml põhilahust segatakse 10 ml 0,5 M H</w:t>
      </w:r>
      <w:r w:rsidRPr="005D6722">
        <w:rPr>
          <w:rFonts w:eastAsia="Calibri"/>
          <w:noProof/>
          <w:szCs w:val="22"/>
          <w:vertAlign w:val="subscript"/>
          <w:lang w:eastAsia="en-US"/>
        </w:rPr>
        <w:t>2</w:t>
      </w:r>
      <w:r w:rsidRPr="005D6722">
        <w:rPr>
          <w:rFonts w:eastAsia="Calibri"/>
          <w:noProof/>
          <w:szCs w:val="22"/>
          <w:lang w:eastAsia="en-US"/>
        </w:rPr>
        <w:t>SO</w:t>
      </w:r>
      <w:r w:rsidRPr="005D6722">
        <w:rPr>
          <w:rFonts w:eastAsia="Calibri"/>
          <w:noProof/>
          <w:szCs w:val="22"/>
          <w:vertAlign w:val="subscript"/>
          <w:lang w:eastAsia="en-US"/>
        </w:rPr>
        <w:t>4</w:t>
      </w:r>
      <w:r w:rsidRPr="005D6722">
        <w:rPr>
          <w:rFonts w:eastAsia="Calibri"/>
          <w:noProof/>
          <w:szCs w:val="22"/>
          <w:lang w:eastAsia="en-US"/>
        </w:rPr>
        <w:t>-ga ning lisatakse vett kuni 1 000 milliliitrini.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3.2.13.</w:t>
      </w:r>
      <w:r w:rsidRPr="005D6722">
        <w:rPr>
          <w:rFonts w:eastAsia="Calibri"/>
          <w:noProof/>
          <w:szCs w:val="22"/>
          <w:lang w:eastAsia="en-US"/>
        </w:rPr>
        <w:tab/>
        <w:t>Naatriumkloriid (analüütiliselt puhas reaktiiv).</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3.2.14.</w:t>
      </w:r>
      <w:r w:rsidRPr="005D6722">
        <w:rPr>
          <w:rFonts w:eastAsia="Calibri"/>
          <w:noProof/>
          <w:szCs w:val="22"/>
          <w:lang w:eastAsia="en-US"/>
        </w:rPr>
        <w:tab/>
        <w:t>Gaasidesorptsioonseade (vt. joonist 5). Poorse ketta diameeter peab olema sama nagu silindri sisemine diameeter.</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3.2.15.</w:t>
      </w:r>
      <w:r w:rsidRPr="005D6722">
        <w:rPr>
          <w:rFonts w:eastAsia="Calibri"/>
          <w:noProof/>
          <w:szCs w:val="22"/>
          <w:lang w:eastAsia="en-US"/>
        </w:rPr>
        <w:tab/>
        <w:t>Jaotuslehter, 250 ml.</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3.2.16.</w:t>
      </w:r>
      <w:r w:rsidRPr="005D6722">
        <w:rPr>
          <w:rFonts w:eastAsia="Calibri"/>
          <w:noProof/>
          <w:szCs w:val="22"/>
          <w:lang w:eastAsia="en-US"/>
        </w:rPr>
        <w:tab/>
        <w:t>Magnetsegur, 25–30 mm magnetiga.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3.2.17.</w:t>
      </w:r>
      <w:r w:rsidRPr="005D6722">
        <w:rPr>
          <w:rFonts w:eastAsia="Calibri"/>
          <w:noProof/>
          <w:szCs w:val="22"/>
          <w:lang w:eastAsia="en-US"/>
        </w:rPr>
        <w:tab/>
        <w:t>Goochi tiigel, perforeeritud aluse diameeter = 25 mm, tüüp G4.</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3.2.18.</w:t>
      </w:r>
      <w:r w:rsidRPr="005D6722">
        <w:rPr>
          <w:rFonts w:eastAsia="Calibri"/>
          <w:noProof/>
          <w:szCs w:val="22"/>
          <w:lang w:eastAsia="en-US"/>
        </w:rPr>
        <w:tab/>
        <w:t>Ümmargused klaaskiust filterpaberid, diameetriga 27 mm, kiu diameetriga 0,3–1,5 m.</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3.2.19.</w:t>
      </w:r>
      <w:r w:rsidRPr="005D6722">
        <w:rPr>
          <w:rFonts w:eastAsia="Calibri"/>
          <w:noProof/>
          <w:szCs w:val="22"/>
          <w:lang w:eastAsia="en-US"/>
        </w:rPr>
        <w:tab/>
        <w:t>Kaks filtrimiskolbi adapteritega ja kummist kraedega, vastavalt 500 ja 250 ml.</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3.2.20.</w:t>
      </w:r>
      <w:r w:rsidRPr="005D6722">
        <w:rPr>
          <w:rFonts w:eastAsia="Calibri"/>
          <w:noProof/>
          <w:szCs w:val="22"/>
          <w:lang w:eastAsia="en-US"/>
        </w:rPr>
        <w:tab/>
        <w:t>Registreeriv potentsiomeeter, mis on varustatud läikplaatinaindikaatorelektroodiga ja kalomel- või hõbe/hõbekloriidvõrdluselektroodiga mõõtepiirkonnaga 250 mV, 20–25 ml automaatbüretiga, või alternatiivne manuaalne seade.</w:t>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t>3.3.</w:t>
      </w:r>
      <w:r w:rsidRPr="005D6722">
        <w:rPr>
          <w:rFonts w:eastAsia="Calibri"/>
          <w:b/>
          <w:noProof/>
          <w:szCs w:val="22"/>
          <w:lang w:eastAsia="en-US"/>
        </w:rPr>
        <w:tab/>
        <w:t>Meetod</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3.3.1.</w:t>
      </w:r>
      <w:r w:rsidRPr="005D6722">
        <w:rPr>
          <w:rFonts w:eastAsia="Calibri"/>
          <w:i/>
          <w:noProof/>
          <w:szCs w:val="22"/>
          <w:lang w:eastAsia="en-US"/>
        </w:rPr>
        <w:tab/>
        <w:t>Pindaktiivse aine kontsentreerimine ja eraldamine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Vesilahuses proov filtritakse läbi kvalitatiivseks analüüsiks sobiva filterpaberi. Filtraadi esimesed 100 ml kõrvaldatakse.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Eelnevalt etüülatsetaadiga loputatud desorptsiooniseadmesse viiakse mõõdetud kogus proovi, mis sisaldab 250–800 g mitteioonset pindaktiivset ainet.</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Paremaks eraldumiseks lisatakse 100 g naatriumkloriidi ja 5 g naatriumvesinikkarbonaati.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Kui proovi maht ületab 500 ml, siis lisatakse nimetatud soolad desorptsiooniseadmesse tahkes olekus ja lahustatakse lämmastiku või õhu läbijuhtimisega.</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Kui kasutatakse väiksema suurusega proovi, lahustatakse soolad 400 ml vees ning viiakse seejärel desorptsiooniseadmesse.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Lisatakse vett, et viia tase ülemise korkkraanini.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Vee peale lisatakse ettevaatlikult 100 ml etüülatsetaati.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Gaasitoruga (lämmastiku või õhuga) ühendatud pesupudel täidetakse kahe kolmandiku ulatuses etüülatsetaadiga.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Seadmest juhitakse läbi gaasivoog vooluhulgaga 30–60 l tunnis; soovitatav on kasutada vooluhulgamõõturit. Õhustamise kiirust tuleb alguses järgukaupa suurendada. Faaside segunemise ja etüülatsetaadi vees lahustumise minimeerimiseks tuleb gaasi vooluhulk reguleerida selliseks, et faasid jääksid märgatavalt eraldi. Gaasivool peatatakse viie minuti pärast.</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Kui orgaanilise faasi maht väheneb vees lahustumise tõttu rohkem kui 20 %, tuleb sublatsiooni korrata, pöörates erilist tähelepanu gaasi vooluhulgale.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Orgaaniline faas viiakse üle jaotuslehtrisse. Jaotuslehtrisse vesifaasist tulev vesi (seda peaks olema vaid mõni milliliiter) viiakse tagasi desorptsiooniseadmesse. Etüülatsetaadi faas filtritakse läbi kvalitatiivseks analüüsiks sobiva kuiva filterpaberi 250 ml keeduklaasi.</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Desorptsiooniseadmesse lisatakse veel 100 ml etüülatsetaati ja sellest juhitakse veel viis minutit läbi lämmastikku või õhku. Orgaaniline faas viiakse esimeseks eraldamiseks kasutatud jaotuslehtrisse, vesifaas eemaldatakse ja orgaaniline faas filtritakse läbi sama filtri, mida kasutati esimese etüülatsetaadikoguse korral. Nii jaotuslehtrit kui ka filtrit loputatakse umbes 20 ml etüülatsetaadiga.</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Etüülatsetaadi ekstrakt aurutatakse veevannil (tõmbekapis) kuivaks. Aurustumise kiirendamiseks suunatakse lahuse pinnale nõrk õhuvoog.</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3.3.2.</w:t>
      </w:r>
      <w:r w:rsidRPr="005D6722">
        <w:rPr>
          <w:rFonts w:eastAsia="Calibri"/>
          <w:i/>
          <w:noProof/>
          <w:szCs w:val="22"/>
          <w:lang w:eastAsia="en-US"/>
        </w:rPr>
        <w:tab/>
        <w:t>Sadestamine ja filtrimine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Punktis 3.3.1 saadud kuivjääk lahustatakse 5 ml metanoolis, lisatakse 40 ml vett ja 0,5 ml lahjendatud HCl (3.2.3) ning segatakse segu magnetseguriga.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Sellele lahusele lisatakse mõõtsilindrist 30 ml sadestit (3.2.6). Sade moodustub pärast korduvat segamist. Pärast segamist kümne minuti jooksul jäetakse segu vähemalt viieks minutiks seisma.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Segu filtritakse läbi Goochi tiigli, mille põhi on kaetud klaaskiust filterpaberiga. Kõigepealt pestakse filtrit imamise abil ligikaudu 2 ml jää-äädikhappega. Seejärel pestakse keeduklaas, magnet ja tiigel põhjalikult jää-äädikhappega, mida on vaja umbes 40–50 ml. Kogu keeduklaasi seintele kleepuvat sadet ei ole vaja kvantitatiivselt filtrile kanda, sest tiitrimiseks kasutatav sademe lahus viiakse uuesti sadestamiskeeduklaasi ning allesjäänud sade lahustub seejärel.</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3.3.3.</w:t>
      </w:r>
      <w:r w:rsidRPr="005D6722">
        <w:rPr>
          <w:rFonts w:eastAsia="Calibri"/>
          <w:i/>
          <w:noProof/>
          <w:szCs w:val="22"/>
          <w:lang w:eastAsia="en-US"/>
        </w:rPr>
        <w:tab/>
        <w:t>Sademe lahustamine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Sade lahustatakse filtertiiglis kuuma ammooniumtartraadi lahuse (umbes 80 °C) (3.2.8) lisamisega kolme 10 ml kogusena. Igal kogusel lastakse tiiglis mõni minut seista ja filtritakse siis vaakumi abil kolbi.</w:t>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lastRenderedPageBreak/>
        <w:t>Filtrimiskolvi sisu viiakse sadestamiseks kasutatud keeduklaasi. Keeduklaasi seinu loputatakse allesjäänud sademe lahustamiseks veel 20 ml tartraadilahusega.</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Tiigel, adapter ja filtrimiskolb pestakse hoolikalt 150–200 ml veega ning loputusvesi viiakse sadestamiseks kasutatud keeduklaasi.</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3.3.4.</w:t>
      </w:r>
      <w:r w:rsidRPr="005D6722">
        <w:rPr>
          <w:rFonts w:eastAsia="Calibri"/>
          <w:i/>
          <w:noProof/>
          <w:szCs w:val="22"/>
          <w:lang w:eastAsia="en-US"/>
        </w:rPr>
        <w:tab/>
        <w:t>Tiitrimine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Lahust segatakse magnetseguriga (3.2.16), lisatakse mõni tilk bromokresoolpurpurit (3.2.5) ja lisatakse lahjendatud ammoniaagilahust (3.2.9), kuni värvus muutub violetseks (loputamiseks kasutatud äädikhappe jäägi tõttu on lahus algselt nõrgalt happeline).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Seejärel lisatakse 10 ml standardset atsetaatpuhvrit (3.2.10), sukeldatakse elektroodid lahusesse ja tiitritakse potentsiomeetriliselt standardse karbaadilahusega (3.2.11), kusjuures büreti ots peab olema lahuses.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Tiitrimiskiirus ei tohiks ületada 2 ml/min.</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Lõpp-punkt on potentsiaalikõvera kahe haru puutujate lõikepunktis.</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Mõnel juhul muutub potentsiaalikõvera käänukoht laugemaks, seda saab kõrvaldada plaatinaelektroodi ettevaatliku puhastamisega (poleerides seda smirgelpaberiga).</w:t>
      </w:r>
    </w:p>
    <w:p w:rsidR="00984F2E" w:rsidRPr="005D6722" w:rsidRDefault="00984F2E">
      <w:pPr>
        <w:widowControl/>
        <w:rPr>
          <w:rFonts w:eastAsia="Calibri"/>
          <w:i/>
          <w:noProof/>
          <w:szCs w:val="22"/>
          <w:lang w:eastAsia="en-US"/>
        </w:rPr>
      </w:pPr>
      <w:r w:rsidRPr="005D6722">
        <w:rPr>
          <w:rFonts w:eastAsia="Calibri"/>
          <w:i/>
          <w:noProof/>
          <w:szCs w:val="22"/>
          <w:lang w:eastAsia="en-US"/>
        </w:rPr>
        <w:br w:type="page"/>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lastRenderedPageBreak/>
        <w:t>3.3.5.</w:t>
      </w:r>
      <w:r w:rsidRPr="005D6722">
        <w:rPr>
          <w:rFonts w:eastAsia="Calibri"/>
          <w:i/>
          <w:noProof/>
          <w:szCs w:val="22"/>
          <w:lang w:eastAsia="en-US"/>
        </w:rPr>
        <w:tab/>
        <w:t>Tühikatsed</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Samal ajal tehakse kogu toiming läbi tühikatsel 5 ml metanooliga ja 40 ml veega vastavalt punktis 3.3.2 esitatud juhistele. Tühikatsel peaks tiitrimiseks kuluma alla 1 ml, vastasel juhul on reaktiivide (3.2.3, 3.2.7, 3.2.8, 3.2.9, 3.2.10) puhtus ja eriti nende raskmetallide sisaldus kaheldav ning need tuleb asendada. Tühikatsed tuleb tulemuste arvutamisel arvesse võtta.</w:t>
      </w:r>
    </w:p>
    <w:p w:rsidR="00984F2E" w:rsidRPr="005D6722" w:rsidRDefault="00984F2E" w:rsidP="00984F2E">
      <w:pPr>
        <w:keepNext/>
        <w:widowControl/>
        <w:tabs>
          <w:tab w:val="left" w:pos="850"/>
        </w:tabs>
        <w:spacing w:before="120" w:after="120"/>
        <w:ind w:left="850" w:hanging="850"/>
        <w:jc w:val="both"/>
        <w:outlineLvl w:val="2"/>
        <w:rPr>
          <w:rFonts w:eastAsia="Calibri"/>
          <w:i/>
          <w:noProof/>
          <w:szCs w:val="22"/>
          <w:lang w:eastAsia="en-US"/>
        </w:rPr>
      </w:pPr>
      <w:r w:rsidRPr="005D6722">
        <w:rPr>
          <w:rFonts w:eastAsia="Calibri"/>
          <w:i/>
          <w:noProof/>
          <w:szCs w:val="22"/>
          <w:lang w:eastAsia="en-US"/>
        </w:rPr>
        <w:t>3.3.6.</w:t>
      </w:r>
      <w:r w:rsidRPr="005D6722">
        <w:rPr>
          <w:rFonts w:eastAsia="Calibri"/>
          <w:i/>
          <w:noProof/>
          <w:szCs w:val="22"/>
          <w:lang w:eastAsia="en-US"/>
        </w:rPr>
        <w:tab/>
        <w:t>Karbaadilahuse teguri kontroll</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Karbaadilahuse tegur määratakse kasutamispäeval. Selleks tiitritakse 10 ml vasksulfaadi lahust (3.2.12) karbaadilahusega pärast 100 ml vee ja 10 ml standardse atsetaatpuhvri (3.2.10) lisamist. Kui kasutatud kogust mõõdetakse milliliitrites, on tegur f järgmine: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val="en-GB"/>
        </w:rPr>
        <w:drawing>
          <wp:inline distT="0" distB="0" distL="0" distR="0" wp14:anchorId="045B7413" wp14:editId="36152600">
            <wp:extent cx="967740" cy="7442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67740" cy="744220"/>
                    </a:xfrm>
                    <a:prstGeom prst="rect">
                      <a:avLst/>
                    </a:prstGeom>
                    <a:noFill/>
                    <a:ln>
                      <a:noFill/>
                    </a:ln>
                  </pic:spPr>
                </pic:pic>
              </a:graphicData>
            </a:graphic>
          </wp:inline>
        </w:drawing>
      </w:r>
    </w:p>
    <w:p w:rsidR="00984F2E" w:rsidRPr="005D6722" w:rsidRDefault="00984F2E" w:rsidP="00984F2E">
      <w:pPr>
        <w:widowControl/>
        <w:spacing w:before="120" w:after="120"/>
        <w:ind w:left="850"/>
        <w:jc w:val="both"/>
        <w:rPr>
          <w:rFonts w:eastAsia="Calibri"/>
          <w:noProof/>
          <w:szCs w:val="22"/>
          <w:lang w:eastAsia="en-US"/>
        </w:rPr>
      </w:pP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ja kõik tiitrimistulemused korrutatakse selle teguriga.</w:t>
      </w:r>
    </w:p>
    <w:p w:rsidR="00984F2E" w:rsidRPr="005D6722" w:rsidRDefault="00984F2E">
      <w:pPr>
        <w:widowControl/>
        <w:rPr>
          <w:rFonts w:eastAsia="Calibri"/>
          <w:b/>
          <w:noProof/>
          <w:szCs w:val="22"/>
          <w:lang w:eastAsia="en-US"/>
        </w:rPr>
      </w:pPr>
      <w:r w:rsidRPr="005D6722">
        <w:rPr>
          <w:rFonts w:eastAsia="Calibri"/>
          <w:b/>
          <w:noProof/>
          <w:szCs w:val="22"/>
          <w:lang w:eastAsia="en-US"/>
        </w:rPr>
        <w:br w:type="page"/>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lastRenderedPageBreak/>
        <w:t>3.4.</w:t>
      </w:r>
      <w:r w:rsidRPr="005D6722">
        <w:rPr>
          <w:rFonts w:eastAsia="Calibri"/>
          <w:b/>
          <w:noProof/>
          <w:szCs w:val="22"/>
          <w:lang w:eastAsia="en-US"/>
        </w:rPr>
        <w:tab/>
        <w:t>Tulemuste arvutamine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Igal mitteioonsel pindaktiivsel ainel on oma tegur, mis sõltub selle koostisest ning eriti alkeenoksiidahela pikkusest. Mitteioonse pindaktiivse aine kontsentratsioon väljendatakse standardaine (kümne etüleenoksiidlüliga nonüülfenooli NP 10) suhtes, mille korral on teisendustegur 0,054.</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Seda tegurit kasutades leitakse proovis sisalduva pindaktiivse aine kogus milligrammides NP 10 ekvivalendina järgmiselt:</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(b–c) × f × 0,054 = mg mitteioonset pindaktiivset ainet väljendatuna kui NP 10,</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kus</w:t>
      </w:r>
    </w:p>
    <w:tbl>
      <w:tblPr>
        <w:tblW w:w="0" w:type="auto"/>
        <w:tblInd w:w="1532" w:type="dxa"/>
        <w:tblLayout w:type="fixed"/>
        <w:tblLook w:val="04A0" w:firstRow="1" w:lastRow="0" w:firstColumn="1" w:lastColumn="0" w:noHBand="0" w:noVBand="1"/>
      </w:tblPr>
      <w:tblGrid>
        <w:gridCol w:w="560"/>
        <w:gridCol w:w="560"/>
        <w:gridCol w:w="5102"/>
      </w:tblGrid>
      <w:tr w:rsidR="00984F2E" w:rsidRPr="005D6722" w:rsidTr="00984F2E">
        <w:tc>
          <w:tcPr>
            <w:tcW w:w="5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proovis kasutatud karbaadilahuse ruumala (ml),</w:t>
            </w:r>
          </w:p>
        </w:tc>
      </w:tr>
      <w:tr w:rsidR="00984F2E" w:rsidRPr="005D6722" w:rsidTr="00984F2E">
        <w:tc>
          <w:tcPr>
            <w:tcW w:w="5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tühikatses kasutatud karbaadilahuse ruumala (ml),</w:t>
            </w:r>
          </w:p>
        </w:tc>
      </w:tr>
      <w:tr w:rsidR="00984F2E" w:rsidRPr="005D6722" w:rsidTr="00984F2E">
        <w:tc>
          <w:tcPr>
            <w:tcW w:w="5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spacing w:before="120" w:after="120" w:line="276" w:lineRule="auto"/>
              <w:rPr>
                <w:rFonts w:eastAsia="Calibri"/>
                <w:noProof/>
                <w:szCs w:val="22"/>
                <w:lang w:eastAsia="en-US"/>
              </w:rPr>
            </w:pPr>
            <w:r w:rsidRPr="005D6722">
              <w:rPr>
                <w:rFonts w:eastAsia="Calibri"/>
                <w:noProof/>
                <w:szCs w:val="22"/>
                <w:lang w:eastAsia="en-US"/>
              </w:rPr>
              <w:t>karbaadilahuse tegur.</w:t>
            </w:r>
          </w:p>
        </w:tc>
      </w:tr>
    </w:tbl>
    <w:p w:rsidR="00984F2E" w:rsidRPr="005D6722" w:rsidRDefault="00984F2E" w:rsidP="00984F2E">
      <w:pPr>
        <w:widowControl/>
        <w:spacing w:before="120" w:after="120"/>
        <w:jc w:val="both"/>
        <w:rPr>
          <w:rFonts w:eastAsia="Calibri"/>
          <w:noProof/>
          <w:szCs w:val="22"/>
          <w:lang w:eastAsia="en-US"/>
        </w:rPr>
      </w:pPr>
    </w:p>
    <w:p w:rsidR="00984F2E" w:rsidRPr="005D6722" w:rsidRDefault="00984F2E">
      <w:pPr>
        <w:widowControl/>
        <w:rPr>
          <w:rFonts w:eastAsia="Calibri"/>
          <w:b/>
          <w:noProof/>
          <w:szCs w:val="22"/>
          <w:lang w:eastAsia="en-US"/>
        </w:rPr>
      </w:pPr>
      <w:r w:rsidRPr="005D6722">
        <w:rPr>
          <w:rFonts w:eastAsia="Calibri"/>
          <w:b/>
          <w:noProof/>
          <w:szCs w:val="22"/>
          <w:lang w:eastAsia="en-US"/>
        </w:rPr>
        <w:br w:type="page"/>
      </w:r>
    </w:p>
    <w:p w:rsidR="00984F2E" w:rsidRPr="005D6722" w:rsidRDefault="00984F2E" w:rsidP="00984F2E">
      <w:pPr>
        <w:keepNext/>
        <w:widowControl/>
        <w:tabs>
          <w:tab w:val="left" w:pos="850"/>
        </w:tabs>
        <w:spacing w:before="120" w:after="120"/>
        <w:ind w:left="851" w:hanging="851"/>
        <w:jc w:val="both"/>
        <w:outlineLvl w:val="1"/>
        <w:rPr>
          <w:rFonts w:eastAsia="Calibri"/>
          <w:b/>
          <w:noProof/>
          <w:szCs w:val="22"/>
          <w:lang w:eastAsia="en-US"/>
        </w:rPr>
      </w:pPr>
      <w:r w:rsidRPr="005D6722">
        <w:rPr>
          <w:rFonts w:eastAsia="Calibri"/>
          <w:b/>
          <w:noProof/>
          <w:szCs w:val="22"/>
          <w:lang w:eastAsia="en-US"/>
        </w:rPr>
        <w:lastRenderedPageBreak/>
        <w:t>3.5.</w:t>
      </w:r>
      <w:r w:rsidRPr="005D6722">
        <w:rPr>
          <w:rFonts w:eastAsia="Calibri"/>
          <w:b/>
          <w:noProof/>
          <w:szCs w:val="22"/>
          <w:lang w:eastAsia="en-US"/>
        </w:rPr>
        <w:tab/>
        <w:t>Tulemuste esitamine</w:t>
      </w:r>
    </w:p>
    <w:p w:rsidR="00984F2E" w:rsidRPr="005D6722" w:rsidRDefault="00984F2E" w:rsidP="00984F2E">
      <w:pPr>
        <w:widowControl/>
        <w:spacing w:before="120" w:after="120"/>
        <w:ind w:left="850"/>
        <w:jc w:val="both"/>
        <w:rPr>
          <w:rFonts w:eastAsia="Calibri"/>
          <w:noProof/>
          <w:szCs w:val="22"/>
          <w:lang w:eastAsia="en-US"/>
        </w:rPr>
      </w:pPr>
      <w:r w:rsidRPr="005D6722">
        <w:rPr>
          <w:rFonts w:eastAsia="Calibri"/>
          <w:noProof/>
          <w:szCs w:val="22"/>
          <w:lang w:eastAsia="en-US"/>
        </w:rPr>
        <w:t>Tulemused esitatakse ühe kümnendkoha täpsusega mg/l väljendatuna kui NP 10.</w:t>
      </w:r>
    </w:p>
    <w:p w:rsidR="00984F2E" w:rsidRPr="005D6722" w:rsidRDefault="00984F2E" w:rsidP="00984F2E">
      <w:pPr>
        <w:widowControl/>
        <w:spacing w:before="120" w:after="120"/>
        <w:jc w:val="both"/>
        <w:rPr>
          <w:rFonts w:eastAsia="Calibri"/>
          <w:noProof/>
          <w:szCs w:val="22"/>
          <w:lang w:eastAsia="en-US"/>
        </w:rPr>
      </w:pPr>
    </w:p>
    <w:p w:rsidR="00984F2E" w:rsidRPr="005D6722" w:rsidRDefault="00984F2E" w:rsidP="00984F2E">
      <w:pPr>
        <w:keepNext/>
        <w:widowControl/>
        <w:spacing w:after="200"/>
        <w:jc w:val="center"/>
        <w:rPr>
          <w:rFonts w:eastAsia="Calibri"/>
          <w:i/>
          <w:iCs/>
          <w:noProof/>
          <w:sz w:val="18"/>
          <w:szCs w:val="18"/>
          <w:lang w:eastAsia="en-US"/>
        </w:rPr>
      </w:pPr>
      <w:r w:rsidRPr="005D6722">
        <w:rPr>
          <w:rFonts w:eastAsia="Calibri"/>
          <w:i/>
          <w:iCs/>
          <w:noProof/>
          <w:sz w:val="18"/>
          <w:szCs w:val="18"/>
          <w:lang w:eastAsia="en-US"/>
        </w:rPr>
        <w:t xml:space="preserve">Joonis </w:t>
      </w:r>
      <w:r w:rsidRPr="005D6722">
        <w:rPr>
          <w:rFonts w:eastAsia="Calibri"/>
          <w:i/>
          <w:iCs/>
          <w:noProof/>
          <w:sz w:val="18"/>
          <w:szCs w:val="18"/>
          <w:lang w:eastAsia="en-US"/>
        </w:rPr>
        <w:fldChar w:fldCharType="begin"/>
      </w:r>
      <w:r w:rsidRPr="005D6722">
        <w:rPr>
          <w:rFonts w:eastAsia="Calibri"/>
          <w:i/>
          <w:iCs/>
          <w:noProof/>
          <w:sz w:val="18"/>
          <w:szCs w:val="18"/>
          <w:lang w:eastAsia="en-US"/>
        </w:rPr>
        <w:instrText xml:space="preserve"> SEQ Figure \* ARABIC </w:instrText>
      </w:r>
      <w:r w:rsidRPr="005D6722">
        <w:rPr>
          <w:rFonts w:eastAsia="Calibri"/>
          <w:i/>
          <w:iCs/>
          <w:noProof/>
          <w:sz w:val="18"/>
          <w:szCs w:val="18"/>
          <w:lang w:eastAsia="en-US"/>
        </w:rPr>
        <w:fldChar w:fldCharType="separate"/>
      </w:r>
      <w:r w:rsidRPr="005D6722">
        <w:rPr>
          <w:rFonts w:eastAsia="Calibri"/>
          <w:i/>
          <w:iCs/>
          <w:noProof/>
          <w:sz w:val="18"/>
          <w:szCs w:val="18"/>
          <w:lang w:eastAsia="en-US"/>
        </w:rPr>
        <w:t>1</w:t>
      </w:r>
      <w:r w:rsidRPr="005D6722">
        <w:rPr>
          <w:rFonts w:eastAsia="Calibri"/>
          <w:i/>
          <w:iCs/>
          <w:noProof/>
          <w:sz w:val="18"/>
          <w:szCs w:val="18"/>
          <w:lang w:eastAsia="en-US"/>
        </w:rPr>
        <w:fldChar w:fldCharType="end"/>
      </w:r>
      <w:r w:rsidRPr="005D6722">
        <w:rPr>
          <w:rFonts w:eastAsia="Calibri"/>
          <w:i/>
          <w:iCs/>
          <w:noProof/>
          <w:sz w:val="18"/>
          <w:szCs w:val="18"/>
          <w:lang w:eastAsia="en-US"/>
        </w:rPr>
        <w:t>. Aktiivmudapuhasti: ülevaatejoonis</w:t>
      </w:r>
    </w:p>
    <w:p w:rsidR="00984F2E" w:rsidRPr="005D6722" w:rsidRDefault="00984F2E" w:rsidP="00984F2E">
      <w:pPr>
        <w:widowControl/>
        <w:spacing w:before="120" w:after="120"/>
        <w:jc w:val="center"/>
        <w:rPr>
          <w:rFonts w:eastAsia="Calibri"/>
          <w:noProof/>
          <w:szCs w:val="22"/>
          <w:lang w:eastAsia="en-US"/>
        </w:rPr>
      </w:pPr>
      <w:r w:rsidRPr="005D6722">
        <w:rPr>
          <w:rFonts w:eastAsia="Calibri"/>
          <w:noProof/>
          <w:szCs w:val="22"/>
          <w:lang w:val="en-GB"/>
        </w:rPr>
        <w:drawing>
          <wp:inline distT="0" distB="0" distL="0" distR="0" wp14:anchorId="4380B098" wp14:editId="4FBC1452">
            <wp:extent cx="5762625" cy="4104005"/>
            <wp:effectExtent l="0" t="0" r="9525"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4104005"/>
                    </a:xfrm>
                    <a:prstGeom prst="rect">
                      <a:avLst/>
                    </a:prstGeom>
                    <a:noFill/>
                    <a:ln>
                      <a:noFill/>
                    </a:ln>
                  </pic:spPr>
                </pic:pic>
              </a:graphicData>
            </a:graphic>
          </wp:inline>
        </w:drawing>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jc w:val="center"/>
        <w:rPr>
          <w:rFonts w:eastAsia="Calibri"/>
          <w:noProof/>
          <w:szCs w:val="22"/>
          <w:lang w:eastAsia="en-US"/>
        </w:rPr>
      </w:pPr>
    </w:p>
    <w:tbl>
      <w:tblPr>
        <w:tblW w:w="0" w:type="auto"/>
        <w:tblInd w:w="2043" w:type="dxa"/>
        <w:tblLayout w:type="fixed"/>
        <w:tblLook w:val="04A0" w:firstRow="1" w:lastRow="0" w:firstColumn="1" w:lastColumn="0" w:noHBand="0" w:noVBand="1"/>
      </w:tblPr>
      <w:tblGrid>
        <w:gridCol w:w="624"/>
        <w:gridCol w:w="4160"/>
      </w:tblGrid>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Reovee kogumisanum</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Annustuspump</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Õhustusanum (maht kolm liitrit)</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Setiti</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Õhktõstuk</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Heitvee kogumisanum</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Poorne õhusti</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Õhu vooluhulgamõõtur</w:t>
            </w:r>
          </w:p>
        </w:tc>
      </w:tr>
      <w:tr w:rsidR="00984F2E" w:rsidRPr="005D6722" w:rsidTr="00984F2E">
        <w:tc>
          <w:tcPr>
            <w:tcW w:w="62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Õhk</w:t>
            </w:r>
          </w:p>
        </w:tc>
      </w:tr>
    </w:tbl>
    <w:p w:rsidR="00984F2E" w:rsidRPr="005D6722" w:rsidRDefault="00984F2E" w:rsidP="00984F2E">
      <w:pPr>
        <w:widowControl/>
        <w:autoSpaceDE w:val="0"/>
        <w:autoSpaceDN w:val="0"/>
        <w:adjustRightInd w:val="0"/>
        <w:spacing w:before="60" w:after="60"/>
        <w:rPr>
          <w:rFonts w:eastAsia="Calibri"/>
          <w:noProof/>
          <w:color w:val="000000"/>
          <w:szCs w:val="24"/>
          <w:lang w:eastAsia="en-US"/>
        </w:rPr>
      </w:pPr>
    </w:p>
    <w:p w:rsidR="00984F2E" w:rsidRPr="005D6722" w:rsidRDefault="00984F2E" w:rsidP="00984F2E">
      <w:pPr>
        <w:keepNext/>
        <w:widowControl/>
        <w:spacing w:after="200"/>
        <w:jc w:val="center"/>
        <w:rPr>
          <w:rFonts w:eastAsia="Calibri"/>
          <w:i/>
          <w:iCs/>
          <w:noProof/>
          <w:sz w:val="18"/>
          <w:szCs w:val="18"/>
          <w:lang w:eastAsia="en-US"/>
        </w:rPr>
      </w:pPr>
      <w:r w:rsidRPr="005D6722">
        <w:rPr>
          <w:rFonts w:eastAsia="Calibri"/>
          <w:i/>
          <w:iCs/>
          <w:noProof/>
          <w:sz w:val="18"/>
          <w:szCs w:val="18"/>
          <w:lang w:eastAsia="en-US"/>
        </w:rPr>
        <w:lastRenderedPageBreak/>
        <w:t xml:space="preserve">Joonis </w:t>
      </w:r>
      <w:r w:rsidRPr="005D6722">
        <w:rPr>
          <w:rFonts w:eastAsia="Calibri"/>
          <w:i/>
          <w:iCs/>
          <w:noProof/>
          <w:sz w:val="18"/>
          <w:szCs w:val="18"/>
          <w:lang w:eastAsia="en-US"/>
        </w:rPr>
        <w:fldChar w:fldCharType="begin"/>
      </w:r>
      <w:r w:rsidRPr="005D6722">
        <w:rPr>
          <w:rFonts w:eastAsia="Calibri"/>
          <w:i/>
          <w:iCs/>
          <w:noProof/>
          <w:sz w:val="18"/>
          <w:szCs w:val="18"/>
          <w:lang w:eastAsia="en-US"/>
        </w:rPr>
        <w:instrText xml:space="preserve"> SEQ Figure \* ARABIC </w:instrText>
      </w:r>
      <w:r w:rsidRPr="005D6722">
        <w:rPr>
          <w:rFonts w:eastAsia="Calibri"/>
          <w:i/>
          <w:iCs/>
          <w:noProof/>
          <w:sz w:val="18"/>
          <w:szCs w:val="18"/>
          <w:lang w:eastAsia="en-US"/>
        </w:rPr>
        <w:fldChar w:fldCharType="separate"/>
      </w:r>
      <w:r w:rsidRPr="005D6722">
        <w:rPr>
          <w:rFonts w:eastAsia="Calibri"/>
          <w:i/>
          <w:iCs/>
          <w:noProof/>
          <w:sz w:val="18"/>
          <w:szCs w:val="18"/>
          <w:lang w:eastAsia="en-US"/>
        </w:rPr>
        <w:t>2</w:t>
      </w:r>
      <w:r w:rsidRPr="005D6722">
        <w:rPr>
          <w:rFonts w:eastAsia="Calibri"/>
          <w:i/>
          <w:iCs/>
          <w:noProof/>
          <w:sz w:val="18"/>
          <w:szCs w:val="18"/>
          <w:lang w:eastAsia="en-US"/>
        </w:rPr>
        <w:fldChar w:fldCharType="end"/>
      </w:r>
      <w:r w:rsidRPr="005D6722">
        <w:rPr>
          <w:rFonts w:eastAsia="Calibri"/>
          <w:i/>
          <w:iCs/>
          <w:noProof/>
          <w:sz w:val="18"/>
          <w:szCs w:val="18"/>
          <w:lang w:eastAsia="en-US"/>
        </w:rPr>
        <w:t>. Aktiivmudapuhasti: detailjoonis (mõõtmed millimeetrites)</w:t>
      </w:r>
    </w:p>
    <w:p w:rsidR="00984F2E" w:rsidRPr="005D6722" w:rsidRDefault="00984F2E" w:rsidP="00984F2E">
      <w:pPr>
        <w:widowControl/>
        <w:spacing w:before="120" w:after="120"/>
        <w:jc w:val="center"/>
        <w:rPr>
          <w:rFonts w:eastAsia="Calibri"/>
          <w:noProof/>
          <w:szCs w:val="22"/>
          <w:lang w:eastAsia="en-US"/>
        </w:rPr>
      </w:pPr>
      <w:r w:rsidRPr="005D6722">
        <w:rPr>
          <w:rFonts w:eastAsia="Calibri"/>
          <w:noProof/>
          <w:szCs w:val="22"/>
          <w:lang w:val="en-GB"/>
        </w:rPr>
        <w:drawing>
          <wp:inline distT="0" distB="0" distL="0" distR="0" wp14:anchorId="3B038E8A" wp14:editId="3760EE60">
            <wp:extent cx="4540250" cy="5614035"/>
            <wp:effectExtent l="0" t="0" r="0" b="5715"/>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40250" cy="5614035"/>
                    </a:xfrm>
                    <a:prstGeom prst="rect">
                      <a:avLst/>
                    </a:prstGeom>
                    <a:noFill/>
                    <a:ln>
                      <a:noFill/>
                    </a:ln>
                  </pic:spPr>
                </pic:pic>
              </a:graphicData>
            </a:graphic>
          </wp:inline>
        </w:drawing>
      </w:r>
    </w:p>
    <w:p w:rsidR="00984F2E" w:rsidRPr="005D6722" w:rsidRDefault="00984F2E" w:rsidP="00984F2E">
      <w:pPr>
        <w:widowControl/>
        <w:spacing w:before="120" w:after="120"/>
        <w:jc w:val="center"/>
        <w:rPr>
          <w:rFonts w:eastAsia="Calibri"/>
          <w:noProof/>
          <w:szCs w:val="22"/>
          <w:lang w:eastAsia="en-US"/>
        </w:rPr>
      </w:pP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jc w:val="center"/>
        <w:rPr>
          <w:rFonts w:eastAsia="Calibri"/>
          <w:noProof/>
          <w:szCs w:val="22"/>
          <w:lang w:eastAsia="en-US"/>
        </w:rPr>
      </w:pPr>
    </w:p>
    <w:tbl>
      <w:tblPr>
        <w:tblW w:w="0" w:type="auto"/>
        <w:tblInd w:w="2089" w:type="dxa"/>
        <w:tblLayout w:type="fixed"/>
        <w:tblLook w:val="04A0" w:firstRow="1" w:lastRow="0" w:firstColumn="1" w:lastColumn="0" w:noHBand="0" w:noVBand="1"/>
      </w:tblPr>
      <w:tblGrid>
        <w:gridCol w:w="613"/>
        <w:gridCol w:w="4086"/>
      </w:tblGrid>
      <w:tr w:rsidR="00984F2E" w:rsidRPr="005D6722" w:rsidTr="00984F2E">
        <w:tc>
          <w:tcPr>
            <w:tcW w:w="61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Vedelikutase</w:t>
            </w:r>
          </w:p>
        </w:tc>
      </w:tr>
      <w:tr w:rsidR="00984F2E" w:rsidRPr="005D6722" w:rsidTr="00984F2E">
        <w:tc>
          <w:tcPr>
            <w:tcW w:w="61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Kõva PVC</w:t>
            </w:r>
          </w:p>
        </w:tc>
      </w:tr>
      <w:tr w:rsidR="00984F2E" w:rsidRPr="005D6722" w:rsidTr="00984F2E">
        <w:tc>
          <w:tcPr>
            <w:tcW w:w="61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Klaas või veekindel plast (kõva PVC)</w:t>
            </w:r>
          </w:p>
        </w:tc>
      </w:tr>
    </w:tbl>
    <w:p w:rsidR="00984F2E" w:rsidRPr="005D6722" w:rsidRDefault="00984F2E" w:rsidP="00984F2E">
      <w:pPr>
        <w:widowControl/>
        <w:spacing w:before="120" w:after="120"/>
        <w:jc w:val="center"/>
        <w:rPr>
          <w:rFonts w:eastAsia="Calibri"/>
          <w:noProof/>
          <w:szCs w:val="22"/>
          <w:lang w:eastAsia="en-US"/>
        </w:rPr>
      </w:pPr>
    </w:p>
    <w:p w:rsidR="00984F2E" w:rsidRPr="005D6722" w:rsidRDefault="00984F2E">
      <w:pPr>
        <w:widowControl/>
        <w:rPr>
          <w:rFonts w:eastAsia="Calibri"/>
          <w:i/>
          <w:iCs/>
          <w:noProof/>
          <w:sz w:val="18"/>
          <w:szCs w:val="18"/>
          <w:lang w:eastAsia="en-US"/>
        </w:rPr>
      </w:pPr>
      <w:r w:rsidRPr="005D6722">
        <w:rPr>
          <w:rFonts w:eastAsia="Calibri"/>
          <w:i/>
          <w:iCs/>
          <w:noProof/>
          <w:sz w:val="18"/>
          <w:szCs w:val="18"/>
          <w:lang w:eastAsia="en-US"/>
        </w:rPr>
        <w:br w:type="page"/>
      </w:r>
    </w:p>
    <w:p w:rsidR="00984F2E" w:rsidRPr="005D6722" w:rsidRDefault="00984F2E" w:rsidP="00984F2E">
      <w:pPr>
        <w:keepNext/>
        <w:widowControl/>
        <w:spacing w:after="200"/>
        <w:jc w:val="center"/>
        <w:rPr>
          <w:rFonts w:eastAsia="Calibri"/>
          <w:i/>
          <w:iCs/>
          <w:noProof/>
          <w:sz w:val="18"/>
          <w:szCs w:val="18"/>
          <w:lang w:eastAsia="en-US"/>
        </w:rPr>
      </w:pPr>
      <w:r w:rsidRPr="005D6722">
        <w:rPr>
          <w:rFonts w:eastAsia="Calibri"/>
          <w:i/>
          <w:iCs/>
          <w:noProof/>
          <w:sz w:val="18"/>
          <w:szCs w:val="18"/>
          <w:lang w:eastAsia="en-US"/>
        </w:rPr>
        <w:lastRenderedPageBreak/>
        <w:t xml:space="preserve">Joonis </w:t>
      </w:r>
      <w:r w:rsidRPr="005D6722">
        <w:rPr>
          <w:rFonts w:eastAsia="Calibri"/>
          <w:i/>
          <w:iCs/>
          <w:noProof/>
          <w:sz w:val="18"/>
          <w:szCs w:val="18"/>
          <w:lang w:eastAsia="en-US"/>
        </w:rPr>
        <w:fldChar w:fldCharType="begin"/>
      </w:r>
      <w:r w:rsidRPr="005D6722">
        <w:rPr>
          <w:rFonts w:eastAsia="Calibri"/>
          <w:i/>
          <w:iCs/>
          <w:noProof/>
          <w:sz w:val="18"/>
          <w:szCs w:val="18"/>
          <w:lang w:eastAsia="en-US"/>
        </w:rPr>
        <w:instrText xml:space="preserve"> SEQ Figure \* ARABIC </w:instrText>
      </w:r>
      <w:r w:rsidRPr="005D6722">
        <w:rPr>
          <w:rFonts w:eastAsia="Calibri"/>
          <w:i/>
          <w:iCs/>
          <w:noProof/>
          <w:sz w:val="18"/>
          <w:szCs w:val="18"/>
          <w:lang w:eastAsia="en-US"/>
        </w:rPr>
        <w:fldChar w:fldCharType="separate"/>
      </w:r>
      <w:r w:rsidRPr="005D6722">
        <w:rPr>
          <w:rFonts w:eastAsia="Calibri"/>
          <w:i/>
          <w:iCs/>
          <w:noProof/>
          <w:sz w:val="18"/>
          <w:szCs w:val="18"/>
          <w:lang w:eastAsia="en-US"/>
        </w:rPr>
        <w:t>3</w:t>
      </w:r>
      <w:r w:rsidRPr="005D6722">
        <w:rPr>
          <w:rFonts w:eastAsia="Calibri"/>
          <w:i/>
          <w:iCs/>
          <w:noProof/>
          <w:sz w:val="18"/>
          <w:szCs w:val="18"/>
          <w:lang w:eastAsia="en-US"/>
        </w:rPr>
        <w:fldChar w:fldCharType="end"/>
      </w:r>
      <w:r w:rsidRPr="005D6722">
        <w:rPr>
          <w:rFonts w:eastAsia="Calibri"/>
          <w:i/>
          <w:iCs/>
          <w:noProof/>
          <w:sz w:val="18"/>
          <w:szCs w:val="18"/>
          <w:lang w:eastAsia="en-US"/>
        </w:rPr>
        <w:t>. Biolagundatavuse arvutamine. Kinnitav katse</w:t>
      </w:r>
    </w:p>
    <w:p w:rsidR="00984F2E" w:rsidRPr="005D6722" w:rsidRDefault="00984F2E" w:rsidP="00984F2E">
      <w:pPr>
        <w:widowControl/>
        <w:spacing w:before="120" w:after="120"/>
        <w:jc w:val="center"/>
        <w:rPr>
          <w:rFonts w:eastAsia="Calibri"/>
          <w:noProof/>
          <w:szCs w:val="22"/>
          <w:lang w:eastAsia="en-US"/>
        </w:rPr>
      </w:pPr>
      <w:r w:rsidRPr="005D6722">
        <w:rPr>
          <w:rFonts w:eastAsia="Calibri"/>
          <w:noProof/>
          <w:szCs w:val="22"/>
          <w:lang w:val="en-GB"/>
        </w:rPr>
        <w:drawing>
          <wp:inline distT="0" distB="0" distL="0" distR="0" wp14:anchorId="1280167B" wp14:editId="794980EE">
            <wp:extent cx="3466465" cy="6188075"/>
            <wp:effectExtent l="0" t="0" r="635" b="3175"/>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66465" cy="6188075"/>
                    </a:xfrm>
                    <a:prstGeom prst="rect">
                      <a:avLst/>
                    </a:prstGeom>
                    <a:noFill/>
                    <a:ln>
                      <a:noFill/>
                    </a:ln>
                  </pic:spPr>
                </pic:pic>
              </a:graphicData>
            </a:graphic>
          </wp:inline>
        </w:drawing>
      </w:r>
    </w:p>
    <w:p w:rsidR="00984F2E" w:rsidRPr="005D6722" w:rsidRDefault="00984F2E">
      <w:pPr>
        <w:widowControl/>
        <w:rPr>
          <w:rFonts w:eastAsia="Calibri"/>
          <w:noProof/>
          <w:szCs w:val="22"/>
          <w:lang w:eastAsia="en-US"/>
        </w:rPr>
      </w:pPr>
      <w:r w:rsidRPr="005D6722">
        <w:rPr>
          <w:rFonts w:eastAsia="Calibri"/>
          <w:noProof/>
          <w:szCs w:val="22"/>
          <w:lang w:eastAsia="en-US"/>
        </w:rPr>
        <w:br w:type="page"/>
      </w:r>
    </w:p>
    <w:p w:rsidR="00984F2E" w:rsidRPr="005D6722" w:rsidRDefault="00984F2E" w:rsidP="00984F2E">
      <w:pPr>
        <w:widowControl/>
        <w:spacing w:before="120" w:after="120"/>
        <w:jc w:val="center"/>
        <w:rPr>
          <w:rFonts w:eastAsia="Calibri"/>
          <w:noProof/>
          <w:szCs w:val="22"/>
          <w:lang w:eastAsia="en-US"/>
        </w:rPr>
      </w:pPr>
    </w:p>
    <w:tbl>
      <w:tblPr>
        <w:tblW w:w="0" w:type="auto"/>
        <w:tblInd w:w="1811" w:type="dxa"/>
        <w:tblLayout w:type="fixed"/>
        <w:tblLook w:val="04A0" w:firstRow="1" w:lastRow="0" w:firstColumn="1" w:lastColumn="0" w:noHBand="0" w:noVBand="1"/>
      </w:tblPr>
      <w:tblGrid>
        <w:gridCol w:w="623"/>
        <w:gridCol w:w="4644"/>
      </w:tblGrid>
      <w:tr w:rsidR="00984F2E" w:rsidRPr="005D6722" w:rsidTr="00984F2E">
        <w:tc>
          <w:tcPr>
            <w:tcW w:w="62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Sissetöötamisperiood</w:t>
            </w:r>
          </w:p>
        </w:tc>
      </w:tr>
      <w:tr w:rsidR="00984F2E" w:rsidRPr="005D6722" w:rsidTr="00984F2E">
        <w:tc>
          <w:tcPr>
            <w:tcW w:w="62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Arvutamisel arvesse võetav periood (21 päeva)</w:t>
            </w:r>
          </w:p>
        </w:tc>
      </w:tr>
      <w:tr w:rsidR="00984F2E" w:rsidRPr="005D6722" w:rsidTr="00984F2E">
        <w:tc>
          <w:tcPr>
            <w:tcW w:w="62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Kergesti biolagunduv pindaktiivne aine</w:t>
            </w:r>
          </w:p>
        </w:tc>
      </w:tr>
      <w:tr w:rsidR="00984F2E" w:rsidRPr="005D6722" w:rsidTr="00984F2E">
        <w:tc>
          <w:tcPr>
            <w:tcW w:w="62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Raskesti biolagunduv pindaktiivne aine</w:t>
            </w:r>
          </w:p>
        </w:tc>
      </w:tr>
      <w:tr w:rsidR="00984F2E" w:rsidRPr="005D6722" w:rsidTr="00984F2E">
        <w:tc>
          <w:tcPr>
            <w:tcW w:w="62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Biolagunduvus (%)</w:t>
            </w:r>
          </w:p>
        </w:tc>
      </w:tr>
      <w:tr w:rsidR="00984F2E" w:rsidRPr="005D6722" w:rsidTr="00984F2E">
        <w:tc>
          <w:tcPr>
            <w:tcW w:w="623"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hideMark/>
          </w:tcPr>
          <w:p w:rsidR="00984F2E" w:rsidRPr="005D6722" w:rsidRDefault="00984F2E" w:rsidP="00984F2E">
            <w:pPr>
              <w:widowControl/>
              <w:autoSpaceDE w:val="0"/>
              <w:autoSpaceDN w:val="0"/>
              <w:spacing w:before="120" w:after="120" w:line="276" w:lineRule="auto"/>
              <w:rPr>
                <w:noProof/>
                <w:szCs w:val="24"/>
                <w:lang w:eastAsia="en-US"/>
              </w:rPr>
            </w:pPr>
            <w:r w:rsidRPr="005D6722">
              <w:rPr>
                <w:rFonts w:eastAsia="Calibri"/>
                <w:noProof/>
                <w:szCs w:val="22"/>
                <w:lang w:eastAsia="en-US"/>
              </w:rPr>
              <w:t>Aeg (päevad)</w:t>
            </w:r>
          </w:p>
        </w:tc>
      </w:tr>
    </w:tbl>
    <w:p w:rsidR="00984F2E" w:rsidRPr="005D6722" w:rsidRDefault="00984F2E" w:rsidP="00984F2E">
      <w:pPr>
        <w:widowControl/>
        <w:spacing w:before="120" w:after="120"/>
        <w:jc w:val="center"/>
        <w:rPr>
          <w:rFonts w:eastAsia="Calibri"/>
          <w:noProof/>
          <w:szCs w:val="22"/>
          <w:lang w:eastAsia="en-US"/>
        </w:rPr>
      </w:pPr>
    </w:p>
    <w:p w:rsidR="00F9609E" w:rsidRPr="005D6722" w:rsidRDefault="00F9609E" w:rsidP="00F9609E">
      <w:pPr>
        <w:spacing w:before="120" w:after="120" w:line="360" w:lineRule="auto"/>
        <w:rPr>
          <w:szCs w:val="24"/>
          <w:lang w:eastAsia="en-US"/>
        </w:rPr>
        <w:sectPr w:rsidR="00F9609E" w:rsidRPr="005D6722">
          <w:pgSz w:w="11909" w:h="16834"/>
          <w:pgMar w:top="1134" w:right="1417" w:bottom="1417" w:left="1417" w:header="1134" w:footer="567" w:gutter="0"/>
          <w:cols w:space="720"/>
        </w:sectPr>
      </w:pPr>
    </w:p>
    <w:p w:rsidR="00F9609E" w:rsidRPr="005D6722" w:rsidRDefault="00F9609E" w:rsidP="00F9609E">
      <w:pPr>
        <w:spacing w:before="120" w:after="120" w:line="360" w:lineRule="auto"/>
        <w:jc w:val="center"/>
        <w:rPr>
          <w:lang w:eastAsia="en-US"/>
        </w:rPr>
      </w:pPr>
      <w:r w:rsidRPr="005D6722">
        <w:rPr>
          <w:lang w:eastAsia="en-US"/>
        </w:rPr>
        <w:lastRenderedPageBreak/>
        <w:t>VIII LISA</w:t>
      </w:r>
    </w:p>
    <w:p w:rsidR="003476D5" w:rsidRPr="005D6722" w:rsidRDefault="003476D5" w:rsidP="003476D5">
      <w:pPr>
        <w:widowControl/>
        <w:spacing w:before="120" w:after="120"/>
        <w:jc w:val="center"/>
        <w:rPr>
          <w:rFonts w:eastAsia="Calibri"/>
          <w:noProof/>
          <w:szCs w:val="22"/>
          <w:lang w:eastAsia="en-US"/>
        </w:rPr>
      </w:pPr>
      <w:r w:rsidRPr="005D6722">
        <w:rPr>
          <w:rFonts w:eastAsia="Calibri"/>
          <w:noProof/>
          <w:szCs w:val="22"/>
          <w:lang w:eastAsia="en-US"/>
        </w:rPr>
        <w:t>VASTAVUSTABEL</w:t>
      </w:r>
    </w:p>
    <w:tbl>
      <w:tblPr>
        <w:tblStyle w:val="PlainTable21"/>
        <w:tblW w:w="9868" w:type="dxa"/>
        <w:tblLook w:val="04A0" w:firstRow="1" w:lastRow="0" w:firstColumn="1" w:lastColumn="0" w:noHBand="0" w:noVBand="1"/>
      </w:tblPr>
      <w:tblGrid>
        <w:gridCol w:w="9646"/>
        <w:gridCol w:w="222"/>
      </w:tblGrid>
      <w:tr w:rsidR="003476D5" w:rsidRPr="003476D5" w:rsidTr="006304DE">
        <w:trPr>
          <w:cnfStyle w:val="100000000000" w:firstRow="1" w:lastRow="0" w:firstColumn="0" w:lastColumn="0" w:oddVBand="0" w:evenVBand="0" w:oddHBand="0" w:evenHBand="0" w:firstRowFirstColumn="0" w:firstRowLastColumn="0" w:lastRowFirstColumn="0" w:lastRowLastColumn="0"/>
          <w:trHeight w:val="5943"/>
        </w:trPr>
        <w:tc>
          <w:tcPr>
            <w:cnfStyle w:val="001000000000" w:firstRow="0" w:lastRow="0" w:firstColumn="1" w:lastColumn="0" w:oddVBand="0" w:evenVBand="0" w:oddHBand="0" w:evenHBand="0" w:firstRowFirstColumn="0" w:firstRowLastColumn="0" w:lastRowFirstColumn="0" w:lastRowLastColumn="0"/>
            <w:tcW w:w="9646" w:type="dxa"/>
          </w:tcPr>
          <w:tbl>
            <w:tblPr>
              <w:tblStyle w:val="PlainTable21"/>
              <w:tblW w:w="9430" w:type="dxa"/>
              <w:tblLook w:val="04A0" w:firstRow="1" w:lastRow="0" w:firstColumn="1" w:lastColumn="0" w:noHBand="0" w:noVBand="1"/>
            </w:tblPr>
            <w:tblGrid>
              <w:gridCol w:w="4606"/>
              <w:gridCol w:w="4824"/>
            </w:tblGrid>
            <w:tr w:rsidR="003476D5" w:rsidRPr="005D6722" w:rsidTr="00630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Määrus (EÜ) nr 648/2004</w:t>
                  </w:r>
                </w:p>
              </w:tc>
              <w:tc>
                <w:tcPr>
                  <w:tcW w:w="4824" w:type="dxa"/>
                </w:tcPr>
                <w:p w:rsidR="003476D5" w:rsidRPr="005D6722" w:rsidRDefault="003476D5" w:rsidP="00984F2E">
                  <w:pPr>
                    <w:widowControl/>
                    <w:spacing w:before="12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noProof/>
                      <w:szCs w:val="24"/>
                    </w:rPr>
                  </w:pPr>
                  <w:r w:rsidRPr="005D6722">
                    <w:rPr>
                      <w:rFonts w:ascii="Times New Roman" w:hAnsi="Times New Roman"/>
                      <w:b w:val="0"/>
                      <w:noProof/>
                      <w:szCs w:val="24"/>
                    </w:rPr>
                    <w:t>Käesolev määrus</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1 lõige 1</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1</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1a</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2</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1b</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3</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3</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6</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4</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7</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5</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8</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6</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11</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7</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8</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12</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9</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14</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9a</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13</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10</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15</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11</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2 lõige 12</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 punkt 5</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3 lõige 1</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3 lõige 1 ja artikli 4 lõige 2</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3 lõige 2</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3 lõige 3</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7 lõige 1</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4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4 lõige 1</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4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4 lõige 3</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lastRenderedPageBreak/>
                    <w:t>Artikkel 4a</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Artikkel 6</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5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5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5 lõige 3</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5 lõige 4</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5 lõige 5</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5 lõige 6</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6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6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6 lõige 3</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6 lõige 4</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Artikkel 7</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8 lõige 1</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8 lõige 2</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8 lõige 3</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8 lõige 4</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9 lõige 1</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8 lõige 2</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9 lõige 2</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9 lõige 3</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7 lõige 6</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 xml:space="preserve">Artikli 10 lõige 1 </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10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22 lõige 2</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11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1 lõike 2 punkt b</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11 lõiked 2 ja 3</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15 lõige 3</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11 lõige 4</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15 lõige 4</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11 lõige 5</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15 lõige 5</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lastRenderedPageBreak/>
                    <w:t>Artikli 11 lõige 6</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Artikkel 12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Artikkel 28</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Artikkel 13</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Artikkel 26</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13a lõige 1</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27 lõige 1</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13a lõige 2</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27 lõige 2</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13a lõige 3</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27 lõige 3</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13a lõige 4</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27 lõige 5</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13a lõige 5</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27 lõige 6</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14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3 lõige 2</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14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14 lõige 3</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14 lõige 4</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14 lõige 5</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15 lõike 1 esimene lõik</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24 lõige 1</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15 lõike 1 teine lõik</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Artikli 24 lõige 3</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15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 xml:space="preserve">Artikli 25 lõige 4 </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16 lõige 1</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Artikli 16 lõige 2</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w:t>
                  </w:r>
                </w:p>
              </w:tc>
            </w:tr>
            <w:tr w:rsidR="003476D5" w:rsidRPr="005D6722"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Artikkel 17</w:t>
                  </w:r>
                </w:p>
              </w:tc>
              <w:tc>
                <w:tcPr>
                  <w:tcW w:w="4824" w:type="dxa"/>
                </w:tcPr>
                <w:p w:rsidR="003476D5" w:rsidRPr="005D6722"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Artikkel 33</w:t>
                  </w:r>
                </w:p>
              </w:tc>
            </w:tr>
            <w:tr w:rsidR="003476D5" w:rsidRPr="005D6722" w:rsidTr="006304DE">
              <w:trPr>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Artikkel 18</w:t>
                  </w:r>
                </w:p>
              </w:tc>
              <w:tc>
                <w:tcPr>
                  <w:tcW w:w="4824" w:type="dxa"/>
                </w:tcPr>
                <w:p w:rsidR="003476D5" w:rsidRPr="005D6722" w:rsidRDefault="003476D5" w:rsidP="00984F2E">
                  <w:pPr>
                    <w:widowControl/>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Artikkel 29</w:t>
                  </w:r>
                </w:p>
              </w:tc>
            </w:tr>
            <w:tr w:rsidR="003476D5" w:rsidRPr="003476D5" w:rsidTr="006304DE">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606" w:type="dxa"/>
                </w:tcPr>
                <w:p w:rsidR="003476D5" w:rsidRPr="005D6722" w:rsidRDefault="003476D5" w:rsidP="00984F2E">
                  <w:pPr>
                    <w:widowControl/>
                    <w:spacing w:before="120" w:after="120"/>
                    <w:jc w:val="both"/>
                    <w:rPr>
                      <w:rFonts w:ascii="Times New Roman" w:hAnsi="Times New Roman"/>
                      <w:b w:val="0"/>
                      <w:noProof/>
                      <w:szCs w:val="24"/>
                    </w:rPr>
                  </w:pPr>
                  <w:r w:rsidRPr="005D6722">
                    <w:rPr>
                      <w:rFonts w:ascii="Times New Roman" w:hAnsi="Times New Roman"/>
                      <w:b w:val="0"/>
                      <w:noProof/>
                      <w:szCs w:val="24"/>
                    </w:rPr>
                    <w:t>Artikkel 19</w:t>
                  </w:r>
                </w:p>
              </w:tc>
              <w:tc>
                <w:tcPr>
                  <w:tcW w:w="4824" w:type="dxa"/>
                </w:tcPr>
                <w:p w:rsidR="003476D5" w:rsidRPr="003476D5" w:rsidRDefault="003476D5" w:rsidP="00984F2E">
                  <w:pPr>
                    <w:widowControl/>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noProof/>
                      <w:szCs w:val="24"/>
                    </w:rPr>
                  </w:pPr>
                  <w:r w:rsidRPr="005D6722">
                    <w:rPr>
                      <w:rFonts w:ascii="Times New Roman" w:hAnsi="Times New Roman"/>
                      <w:noProof/>
                      <w:szCs w:val="24"/>
                    </w:rPr>
                    <w:t>Artikkel 35</w:t>
                  </w:r>
                </w:p>
              </w:tc>
            </w:tr>
          </w:tbl>
          <w:p w:rsidR="003476D5" w:rsidRPr="003476D5" w:rsidRDefault="003476D5" w:rsidP="003476D5">
            <w:pPr>
              <w:widowControl/>
              <w:spacing w:before="120" w:after="120"/>
              <w:contextualSpacing/>
              <w:jc w:val="both"/>
              <w:rPr>
                <w:noProof/>
              </w:rPr>
            </w:pPr>
          </w:p>
        </w:tc>
        <w:tc>
          <w:tcPr>
            <w:tcW w:w="222" w:type="dxa"/>
          </w:tcPr>
          <w:p w:rsidR="003476D5" w:rsidRPr="003476D5" w:rsidRDefault="003476D5" w:rsidP="003476D5">
            <w:pPr>
              <w:widowControl/>
              <w:spacing w:before="120" w:after="120"/>
              <w:contextualSpacing/>
              <w:jc w:val="both"/>
              <w:cnfStyle w:val="100000000000" w:firstRow="1" w:lastRow="0" w:firstColumn="0" w:lastColumn="0" w:oddVBand="0" w:evenVBand="0" w:oddHBand="0" w:evenHBand="0" w:firstRowFirstColumn="0" w:firstRowLastColumn="0" w:lastRowFirstColumn="0" w:lastRowLastColumn="0"/>
              <w:rPr>
                <w:noProof/>
              </w:rPr>
            </w:pPr>
          </w:p>
        </w:tc>
      </w:tr>
    </w:tbl>
    <w:p w:rsidR="003476D5" w:rsidRPr="00F9609E" w:rsidRDefault="003476D5" w:rsidP="00F9609E">
      <w:pPr>
        <w:spacing w:before="120" w:after="120" w:line="360" w:lineRule="auto"/>
        <w:jc w:val="center"/>
        <w:rPr>
          <w:lang w:eastAsia="en-US"/>
        </w:rPr>
      </w:pPr>
      <w:bookmarkStart w:id="8" w:name="_GoBack"/>
      <w:bookmarkEnd w:id="8"/>
    </w:p>
    <w:sectPr w:rsidR="003476D5" w:rsidRPr="00F9609E" w:rsidSect="00AF742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E65" w:rsidRPr="00AF7423" w:rsidRDefault="00586E65">
      <w:r w:rsidRPr="00AF7423">
        <w:separator/>
      </w:r>
    </w:p>
  </w:endnote>
  <w:endnote w:type="continuationSeparator" w:id="0">
    <w:p w:rsidR="00586E65" w:rsidRPr="00AF7423" w:rsidRDefault="00586E65">
      <w:r w:rsidRPr="00AF74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Pr="00AF7423" w:rsidRDefault="00586E6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Pr="00AF7423" w:rsidRDefault="00586E6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Pr="00AF7423" w:rsidRDefault="00586E6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Default="00586E6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Default="00586E6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E65" w:rsidRPr="00AF7423" w:rsidRDefault="00586E65">
      <w:r w:rsidRPr="00AF7423">
        <w:separator/>
      </w:r>
    </w:p>
  </w:footnote>
  <w:footnote w:type="continuationSeparator" w:id="0">
    <w:p w:rsidR="00586E65" w:rsidRPr="00AF7423" w:rsidRDefault="00586E65">
      <w:r w:rsidRPr="00AF7423">
        <w:continuationSeparator/>
      </w:r>
    </w:p>
  </w:footnote>
  <w:footnote w:id="1">
    <w:p w:rsidR="00586E65" w:rsidRPr="00AF7423" w:rsidRDefault="00586E65" w:rsidP="00AF7423">
      <w:pPr>
        <w:pStyle w:val="FootnoteText"/>
        <w:ind w:left="567" w:hanging="567"/>
        <w:rPr>
          <w:i/>
          <w:sz w:val="24"/>
          <w:lang w:val="et-EE"/>
        </w:rPr>
      </w:pPr>
      <w:r w:rsidRPr="00AF7423">
        <w:rPr>
          <w:rStyle w:val="FootnoteReference"/>
          <w:sz w:val="24"/>
          <w:lang w:val="et-EE"/>
        </w:rPr>
        <w:footnoteRef/>
      </w:r>
      <w:r w:rsidRPr="00AF7423">
        <w:rPr>
          <w:rStyle w:val="Emphasis"/>
          <w:color w:val="333333"/>
          <w:sz w:val="24"/>
          <w:shd w:val="clear" w:color="auto" w:fill="FFFFFF"/>
          <w:lang w:val="et-EE"/>
        </w:rPr>
        <w:t xml:space="preserve"> </w:t>
      </w:r>
      <w:r w:rsidRPr="00AF7423">
        <w:rPr>
          <w:rStyle w:val="Emphasis"/>
          <w:color w:val="333333"/>
          <w:sz w:val="24"/>
          <w:shd w:val="clear" w:color="auto" w:fill="FFFFFF"/>
          <w:lang w:val="et-EE"/>
        </w:rPr>
        <w:tab/>
      </w:r>
      <w:r>
        <w:rPr>
          <w:rStyle w:val="Emphasis"/>
          <w:i w:val="0"/>
          <w:color w:val="333333"/>
          <w:sz w:val="24"/>
          <w:shd w:val="clear" w:color="auto" w:fill="FFFFFF"/>
          <w:lang w:val="et-EE"/>
        </w:rPr>
        <w:t>ELT </w:t>
      </w:r>
      <w:r w:rsidRPr="00FC57D6">
        <w:rPr>
          <w:rStyle w:val="Emphasis"/>
          <w:i w:val="0"/>
          <w:color w:val="333333"/>
          <w:sz w:val="24"/>
          <w:shd w:val="clear" w:color="auto" w:fill="FFFFFF"/>
          <w:lang w:val="et-EE"/>
        </w:rPr>
        <w:t>C 349, 29.9.2023, lk 121.</w:t>
      </w:r>
    </w:p>
  </w:footnote>
  <w:footnote w:id="2">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ELT C ..., ..., lk …</w:t>
      </w:r>
    </w:p>
  </w:footnote>
  <w:footnote w:id="3">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31. märtsi 2004. aasta määrus (EÜ) nr 648/2004 detergentide kohta (ELT L 104, 8.4.2004, lk 1).</w:t>
      </w:r>
    </w:p>
  </w:footnote>
  <w:footnote w:id="4">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31. märtsi 2004. aasta määruse (EÜ) nr 648/2004 (detergentide kohta) hindamine, SWD(2019) 298.</w:t>
      </w:r>
    </w:p>
  </w:footnote>
  <w:footnote w:id="5">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Kõige asjakohasemate kemikaale käsitlevate õigusaktide (v.a REACHi määrus) toimivuskontroll, SWD(2019)199.</w:t>
      </w:r>
    </w:p>
  </w:footnote>
  <w:footnote w:id="6">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18. detsembri 2006. aasta määrus (EÜ) nr 1907/2006,mis käsitleb kemikaalide registreerimist, hindamist, autoriseerimist ja piiramist (REACH)ning millega asutatakse Euroopa Kemikaaliamet, muudetakse direktiivi 1999/45/EÜ ja tunnistatakse kehtetuks nõukogumäärus (EMÜ) nr 793/93 ja komisjoni määrus (EÜ) nr 1488/94 ning samuti nõukogudirektiiv 76/769/EMÜ ja komisjoni direktiivid 91/155/EMÜ, 93/67/EMÜ, 93/105/EÜ ja2000/21/EÜ (ELT L 396, 30.12.2006, lk 1).</w:t>
      </w:r>
    </w:p>
  </w:footnote>
  <w:footnote w:id="7">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9. juuli 2008. aasta otsus nr 768/2008/EÜ toodete turustamise ühise raamistiku kohta ja millega tunnistatakse kehtetuks nõukogu otsus 93/465/EMÜ (ELT L 218, 13.8.2008, lk 82).</w:t>
      </w:r>
    </w:p>
  </w:footnote>
  <w:footnote w:id="8">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22. mai 2012. aasta määrus (EL) nr 528/2012, milles käsitletakse biotsiidide turul kättesaadavaks tegemist ja kasutamist (ELT L 167, 27.6.2012, lk 1).</w:t>
      </w:r>
    </w:p>
  </w:footnote>
  <w:footnote w:id="9">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lk 1).</w:t>
      </w:r>
    </w:p>
  </w:footnote>
  <w:footnote w:id="10">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b/>
          <w:i/>
          <w:lang w:val="et-EE"/>
        </w:rPr>
        <w:t>Euroopa Parlamendi ja nõukogu 22. septembri 2010. aasta direktiiv 2010/63/EL teaduslikel eesmärkidel kasutatavate loomade kaitse kohta (ELT L 276, 20.10.2010, lk 33).</w:t>
      </w:r>
    </w:p>
  </w:footnote>
  <w:footnote w:id="11">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strike/>
          <w:lang w:val="et-EE"/>
        </w:rPr>
        <w:t>Euroopa Parlamendi ja nõukogu 9. juuli 2008. aasta määrus (EÜ) nr 765/2008, millega sätestatakse akrediteerimise nõuded ja tunnistatakse kehtetuks määrus (EMÜ) nr 339/93 (ELT L 218, 13.8.2008, lk 30).</w:t>
      </w:r>
    </w:p>
  </w:footnote>
  <w:footnote w:id="12">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20. juuni 2019. aasta määrus (EL) 2019/1020 turujärelevalve ja toodete vastavuse kohta ning millega muudetakse direktiivi 2004/42/EÜ ja määruseid (EÜ) nr 765/2008 ja (EL) nr 305/2011 (ELT L 169, 25.6.2019, lk 1).</w:t>
      </w:r>
    </w:p>
  </w:footnote>
  <w:footnote w:id="13">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9. oktoobri 2013. aasta määrus (EL) nr 952/2013, millega kehtestatakse liidu tolliseadustik (ELT L 269, 10.10.2013, lk 1).</w:t>
      </w:r>
    </w:p>
  </w:footnote>
  <w:footnote w:id="14">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ELT L 123, 12.5.2016, lk 1.</w:t>
      </w:r>
    </w:p>
  </w:footnote>
  <w:footnote w:id="15">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16">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18. detsembri 2006. aasta määrus (EÜ) nr 1907/2006, mis käsitleb kemikaalide registreerimist, hindamist, autoriseerimist ja piiramist (REACH) ning millega asutatakse Euroopa Kemikaaliamet, muudetakse direktiivi 1999/45/EÜ ja tunnistatakse kehtetuks nõukogu määrus (EMÜ) nr 793/93 ja komisjoni määrus (EÜ) nr 1488/94 ning samuti nõukogu direktiiv 76/769/EMÜ ja komisjoni direktiivid 91/155/EMÜ, 93/67/EMÜ, 93/105/EÜ ja 2000/21/EÜ (ELT L 396, 30.12.2006, lk 1).</w:t>
      </w:r>
    </w:p>
  </w:footnote>
  <w:footnote w:id="17">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16. detsembri 2008. aasta määrus (EÜ) nr 1272/2008, mis käsitleb ainete ja segude klassifitseerimist, märgistamist ja pakendamist ning millega muudetakse direktiive 67/548/EMÜ ja 1999/45/EÜ ja tunnistatakse need kehtetuks ning muudetakse määrust (EÜ) nr 1907/2006 (ELT L 353, 31.12.2008, lk 1).</w:t>
      </w:r>
    </w:p>
  </w:footnote>
  <w:footnote w:id="18">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22. mai 2012. aasta määrus (EL) nr 528/2012, milles käsitletakse biotsiidide turul kättesaadavaks tegemist ja kasutamist (ELT L 167, 27.6.2012, lk 1).</w:t>
      </w:r>
    </w:p>
  </w:footnote>
  <w:footnote w:id="19">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b/>
          <w:i/>
          <w:lang w:val="et-EE"/>
        </w:rPr>
        <w:t>Euroopa Parlamendi ja nõukogu 20. juuni 2019. aasta määrus (EL) 2019/1020 turujärelevalve ja toodete vastavuse kohta ning millega muudetakse direktiivi 2004/42/EÜ ja määruseid (EÜ) nr 765/2008 ja (EL) nr 305/2011 (ELT L 169, 25.6.2019, lk 1).</w:t>
      </w:r>
    </w:p>
  </w:footnote>
  <w:footnote w:id="20">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23. novembri 2022. aasta määrus (EL) 2022/2399, millega luuakse Euroopa Liidu tollivaldkonna ühtne teeninduskeskkond ja muudetakse määrust (EL) nr 952/2013 (ELT L 317, 9.12.2022, lk 1).</w:t>
      </w:r>
    </w:p>
  </w:footnote>
  <w:footnote w:id="21">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strike/>
          <w:lang w:val="et-EE"/>
        </w:rPr>
        <w:t>Komisjoni 4. augusti 2014. aasta delegeeritud määrus (EL) nr 1062/2014 Euroopa Parlamendi ja nõukogu määruses (EL) nr 528/2012 osutatud tööprogrammi kohta, milles käsitletakse kõigi biotsiidides sisalduvate olemasolevate toimeainete süstemaatilist läbivaatamist (ELT L 294, 10.10.2014, lk 1).</w:t>
      </w:r>
    </w:p>
  </w:footnote>
  <w:footnote w:id="22">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b/>
          <w:i/>
          <w:lang w:val="et-EE"/>
        </w:rPr>
        <w:t>Komisjoni 4. augusti 2014. aasta delegeeritud määrus (EL) nr 1062/2014 Euroopa Parlamendi ja nõukogu määruses (EL) nr 528/2012 osutatud tööprogrammi kohta, milles käsitletakse kõigi biotsiidides sisalduvate olemasolevate toimeainete süstemaatilist läbivaatamist (ELT L 294, 10.10.2014, lk 1).</w:t>
      </w:r>
    </w:p>
  </w:footnote>
  <w:footnote w:id="23">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b/>
          <w:i/>
          <w:lang w:val="et-EE"/>
        </w:rPr>
        <w:t>Euroopa Parlamendi ja nõukogu 5. aprilli 2017. aasta määrus (EL) 2017/745, milles käsitletakse meditsiiniseadmeid, millega muudetakse direktiivi 2001/83/EÜ, määrust (EÜ) nr 178/2002 ja määrust (EÜ) nr 1223/2009 ning millega tunnistatakse kehtetuks nõukogu direktiivid 90/385/EMÜ ja 93/42/EMÜ (ELT L 117, 5.5.2017, lk 1).</w:t>
      </w:r>
    </w:p>
  </w:footnote>
  <w:footnote w:id="24">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b/>
          <w:i/>
          <w:lang w:val="et-EE"/>
        </w:rPr>
        <w:t>Komisjoni 30. mai 2008. aasta määrus (EÜ) nr 440/2008, millega kehtestatakse katsemeetodid vastavalt Euroopa Parlamendi ja nõukogu määrusele (EÜ) nr 1907/2006, mis käsitleb kemikaalide registreerimist, hindamist, autoriseerimist ja piiramist (REACH) (ELT L 142, 31.5.2008, lk 1).</w:t>
      </w:r>
    </w:p>
  </w:footnote>
  <w:footnote w:id="25">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t>Euroopa Parlamendi ja nõukogu 30. novembri 2009. aasta määrus (EÜ) nr 1223/2009 kosmeetikatoodete kohta (ELT L 342, 22.12.2009, lk 59).</w:t>
      </w:r>
    </w:p>
  </w:footnote>
  <w:footnote w:id="26">
    <w:p w:rsidR="00586E65" w:rsidRPr="00331AEE" w:rsidRDefault="00586E65" w:rsidP="00F9609E">
      <w:pPr>
        <w:pStyle w:val="FootnoteTextForceStyle"/>
        <w:rPr>
          <w:lang w:val="et-EE"/>
        </w:rPr>
      </w:pPr>
      <w:r w:rsidRPr="00331AEE">
        <w:rPr>
          <w:vertAlign w:val="superscript"/>
          <w:lang w:val="et-EE"/>
        </w:rPr>
        <w:footnoteRef/>
      </w:r>
      <w:r w:rsidRPr="00331AEE">
        <w:rPr>
          <w:lang w:val="et-EE"/>
        </w:rPr>
        <w:tab/>
      </w:r>
      <w:r w:rsidRPr="00331AEE">
        <w:rPr>
          <w:b/>
          <w:i/>
          <w:lang w:val="et-EE"/>
        </w:rPr>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27">
    <w:p w:rsidR="00586E65" w:rsidRPr="00331AEE" w:rsidRDefault="00586E65" w:rsidP="00F9609E">
      <w:pPr>
        <w:pStyle w:val="FootnoteTextForceStyle"/>
        <w:rPr>
          <w:lang w:val="et-EE"/>
        </w:rPr>
      </w:pPr>
      <w:r w:rsidRPr="00331AEE">
        <w:rPr>
          <w:vertAlign w:val="superscript"/>
          <w:lang w:val="et-EE"/>
        </w:rPr>
        <w:t>1</w:t>
      </w:r>
      <w:r w:rsidRPr="00331AEE">
        <w:rPr>
          <w:lang w:val="et-EE"/>
        </w:rPr>
        <w:tab/>
        <w:t>Komisjoni 30. mai 2008. aasta määrus (EÜ) nr 440/2008, millega kehtestatakse katsemeetodid vastavalt Euroopa Parlamendi ja nõukogu määrusele (EÜ) nr 1907/2006, mis käsitleb kemikaalide registreerimist, hindamist, autoriseerimist ja piiramist (REACH) (ELT L 142, 31.5.2008, lk 1).</w:t>
      </w:r>
    </w:p>
  </w:footnote>
  <w:footnote w:id="28">
    <w:p w:rsidR="00586E65" w:rsidRPr="00331AEE" w:rsidRDefault="00586E65" w:rsidP="00F9609E">
      <w:pPr>
        <w:pStyle w:val="FootnoteTextForceStyle"/>
        <w:rPr>
          <w:lang w:val="et-EE"/>
        </w:rPr>
      </w:pPr>
      <w:r w:rsidRPr="00331AEE">
        <w:rPr>
          <w:vertAlign w:val="superscript"/>
          <w:lang w:val="et-EE"/>
        </w:rPr>
        <w:t>2</w:t>
      </w:r>
      <w:r w:rsidRPr="00331AEE">
        <w:rPr>
          <w:lang w:val="et-EE"/>
        </w:rPr>
        <w:tab/>
        <w:t>Euroopa Parlamendi ja nõukogu 11. veebruari 2004. aasta direktiiv 2004/10/EÜ, mis käsitleb keemiliste ainetega katsete tegemisel heade laboritavade põhimõtete rakendamist ja nende rakendamise tõendamist puudutavate õigusnormide ühtlustamist (ELT L 50, 20.2.2004, lk 44).</w:t>
      </w:r>
    </w:p>
  </w:footnote>
  <w:footnote w:id="29">
    <w:p w:rsidR="00586E65" w:rsidRPr="00331AEE" w:rsidRDefault="00586E65" w:rsidP="00F9609E">
      <w:pPr>
        <w:pStyle w:val="FootnoteTextForceStyle"/>
        <w:rPr>
          <w:lang w:val="et-EE"/>
        </w:rPr>
      </w:pPr>
      <w:r w:rsidRPr="00331AEE">
        <w:rPr>
          <w:vertAlign w:val="superscript"/>
          <w:lang w:val="et-EE"/>
        </w:rPr>
        <w:t>1</w:t>
      </w:r>
      <w:r w:rsidRPr="00331AEE">
        <w:rPr>
          <w:lang w:val="et-EE"/>
        </w:rPr>
        <w:tab/>
      </w:r>
      <w:r w:rsidRPr="00331AEE">
        <w:rPr>
          <w:b/>
          <w:i/>
          <w:lang w:val="et-EE"/>
        </w:rPr>
        <w:t>Euroopa Parlamendi ja nõukogu 25. mai 2020. aasta määrus (EL) 2020/741, mis käsitleb vee taaskasutuse miinimumnõudeid (ELT L 177, 5.6.2020, lk 32).</w:t>
      </w:r>
    </w:p>
  </w:footnote>
  <w:footnote w:id="30">
    <w:p w:rsidR="00586E65" w:rsidRPr="00331AEE" w:rsidRDefault="00586E65" w:rsidP="00F9609E">
      <w:pPr>
        <w:pStyle w:val="FootnoteTextForceStyle"/>
        <w:rPr>
          <w:lang w:val="et-EE"/>
        </w:rPr>
      </w:pPr>
      <w:r w:rsidRPr="00331AEE">
        <w:rPr>
          <w:vertAlign w:val="superscript"/>
          <w:lang w:val="et-EE"/>
        </w:rPr>
        <w:t>2</w:t>
      </w:r>
      <w:r w:rsidRPr="00331AEE">
        <w:rPr>
          <w:lang w:val="et-EE"/>
        </w:rPr>
        <w:tab/>
        <w:t>Euroopa Parlamendi ja nõukogu 11. veebruari 2004. aasta direktiiv 2004/10/EÜ, mis käsitleb keemiliste ainetega katsete tegemisel heade laboritavade põhimõtete rakendamist ja nende rakendamise tõendamist puudutavate õigusnormide ühtlustamist (ELT L 50, 20.2.2004, lk 44).</w:t>
      </w:r>
    </w:p>
  </w:footnote>
  <w:footnote w:id="31">
    <w:p w:rsidR="00586E65" w:rsidRPr="00331AEE" w:rsidRDefault="00586E65" w:rsidP="00F9609E">
      <w:pPr>
        <w:pStyle w:val="FootnoteTextForceStyle"/>
        <w:rPr>
          <w:lang w:val="et-EE"/>
        </w:rPr>
      </w:pPr>
      <w:r w:rsidRPr="00331AEE">
        <w:rPr>
          <w:vertAlign w:val="superscript"/>
          <w:lang w:val="et-EE"/>
        </w:rPr>
        <w:t>1</w:t>
      </w:r>
      <w:r w:rsidRPr="00331AEE">
        <w:rPr>
          <w:lang w:val="et-EE"/>
        </w:rPr>
        <w:tab/>
        <w:t>Nõukogu 23. juuli 1987. aasta määrus (EMÜ) nr 2658/87 tariifi- ja statistikanomenklatuuri ning ühise tollitariifistiku kohta (ELT L 256, 7.9.1987,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Pr="00AF7423" w:rsidRDefault="00586E6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Pr="00AF7423" w:rsidRDefault="00586E6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E65" w:rsidRPr="00AF7423" w:rsidRDefault="00586E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ET"/>
    <w:docVar w:name="dvnumam" w:val="0"/>
    <w:docVar w:name="dvpe" w:val="753.691"/>
    <w:docVar w:name="dvrapporteur" w:val="Raportöör: "/>
    <w:docVar w:name="dvstar" w:val="***I"/>
    <w:docVar w:name="dvtitre" w:val="Euroopa Parlamendi .... 2024. aasta seadusandlik resolutsioon ettepaneku kohta võtta vastu Euroopa Parlamendi ja nõukogu määrus, milles käsitletakse detergente ja pindaktiivseid aineid ning millega muudetakse määrust (EL) 2019/1020 ja tunnistatakse kehtetuks määrus (EÜ) nr 648/2004(COM(2023)0217 – C9-0154/2023 – 2023/0124(COD))"/>
  </w:docVars>
  <w:rsids>
    <w:rsidRoot w:val="00EB6B68"/>
    <w:rsid w:val="00002272"/>
    <w:rsid w:val="00055B46"/>
    <w:rsid w:val="00064002"/>
    <w:rsid w:val="000677B9"/>
    <w:rsid w:val="000831BA"/>
    <w:rsid w:val="000A42CC"/>
    <w:rsid w:val="000E7DD9"/>
    <w:rsid w:val="0010095E"/>
    <w:rsid w:val="00125B37"/>
    <w:rsid w:val="0018287F"/>
    <w:rsid w:val="00187494"/>
    <w:rsid w:val="001F32AE"/>
    <w:rsid w:val="002767FF"/>
    <w:rsid w:val="002B18FE"/>
    <w:rsid w:val="002B5493"/>
    <w:rsid w:val="00343214"/>
    <w:rsid w:val="003476D5"/>
    <w:rsid w:val="00361C00"/>
    <w:rsid w:val="00395FA1"/>
    <w:rsid w:val="003A4A6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E65"/>
    <w:rsid w:val="005C2568"/>
    <w:rsid w:val="005D6722"/>
    <w:rsid w:val="006037C0"/>
    <w:rsid w:val="006304DE"/>
    <w:rsid w:val="006631B6"/>
    <w:rsid w:val="00680577"/>
    <w:rsid w:val="006A0113"/>
    <w:rsid w:val="006F74FA"/>
    <w:rsid w:val="00731ADD"/>
    <w:rsid w:val="00734777"/>
    <w:rsid w:val="00747932"/>
    <w:rsid w:val="00751A4A"/>
    <w:rsid w:val="00756632"/>
    <w:rsid w:val="00762C74"/>
    <w:rsid w:val="00786EC0"/>
    <w:rsid w:val="007D1690"/>
    <w:rsid w:val="007E22AD"/>
    <w:rsid w:val="00811820"/>
    <w:rsid w:val="00817416"/>
    <w:rsid w:val="00842779"/>
    <w:rsid w:val="00865F67"/>
    <w:rsid w:val="00881A7B"/>
    <w:rsid w:val="008840E5"/>
    <w:rsid w:val="00887B3E"/>
    <w:rsid w:val="008C2AC6"/>
    <w:rsid w:val="00930C23"/>
    <w:rsid w:val="0093193B"/>
    <w:rsid w:val="0094643B"/>
    <w:rsid w:val="009509D8"/>
    <w:rsid w:val="00950B64"/>
    <w:rsid w:val="00981893"/>
    <w:rsid w:val="00984F2E"/>
    <w:rsid w:val="00A1687D"/>
    <w:rsid w:val="00A43E52"/>
    <w:rsid w:val="00A4678D"/>
    <w:rsid w:val="00A778C7"/>
    <w:rsid w:val="00AB441E"/>
    <w:rsid w:val="00AB6293"/>
    <w:rsid w:val="00AE0928"/>
    <w:rsid w:val="00AF3B82"/>
    <w:rsid w:val="00AF7423"/>
    <w:rsid w:val="00AF7C19"/>
    <w:rsid w:val="00B12E95"/>
    <w:rsid w:val="00B22876"/>
    <w:rsid w:val="00B558F0"/>
    <w:rsid w:val="00BD48FE"/>
    <w:rsid w:val="00BD7BD8"/>
    <w:rsid w:val="00BE6ADC"/>
    <w:rsid w:val="00BF0A86"/>
    <w:rsid w:val="00C0022F"/>
    <w:rsid w:val="00C05BFE"/>
    <w:rsid w:val="00C23CD4"/>
    <w:rsid w:val="00C61C0C"/>
    <w:rsid w:val="00C941CB"/>
    <w:rsid w:val="00CC2357"/>
    <w:rsid w:val="00CD2DD8"/>
    <w:rsid w:val="00CF071A"/>
    <w:rsid w:val="00D058B8"/>
    <w:rsid w:val="00D13793"/>
    <w:rsid w:val="00D56C11"/>
    <w:rsid w:val="00D834A0"/>
    <w:rsid w:val="00D872DF"/>
    <w:rsid w:val="00D91E21"/>
    <w:rsid w:val="00DA7FCD"/>
    <w:rsid w:val="00E24635"/>
    <w:rsid w:val="00E365E1"/>
    <w:rsid w:val="00E674F7"/>
    <w:rsid w:val="00E820A4"/>
    <w:rsid w:val="00EA6C65"/>
    <w:rsid w:val="00EB006A"/>
    <w:rsid w:val="00EB4772"/>
    <w:rsid w:val="00EB6B68"/>
    <w:rsid w:val="00ED169E"/>
    <w:rsid w:val="00ED4235"/>
    <w:rsid w:val="00F04346"/>
    <w:rsid w:val="00F075DC"/>
    <w:rsid w:val="00F149E9"/>
    <w:rsid w:val="00F2288E"/>
    <w:rsid w:val="00F5134D"/>
    <w:rsid w:val="00F74202"/>
    <w:rsid w:val="00F87713"/>
    <w:rsid w:val="00F9609E"/>
    <w:rsid w:val="00FB4360"/>
    <w:rsid w:val="00FC57D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2F1A"/>
  <w15:chartTrackingRefBased/>
  <w15:docId w15:val="{531FB53D-FAFA-4F7B-84E3-BE768AAF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643B"/>
    <w:rPr>
      <w:b/>
      <w:kern w:val="28"/>
      <w:sz w:val="28"/>
      <w:lang w:val="fr-FR" w:eastAsia="fr-FR"/>
    </w:rPr>
  </w:style>
  <w:style w:type="character" w:customStyle="1" w:styleId="Heading2Char">
    <w:name w:val="Heading 2 Char"/>
    <w:basedOn w:val="DefaultParagraphFont"/>
    <w:link w:val="Heading2"/>
    <w:semiHidden/>
    <w:rsid w:val="0094643B"/>
    <w:rPr>
      <w:sz w:val="24"/>
      <w:lang w:val="fr-FR" w:eastAsia="fr-FR"/>
    </w:rPr>
  </w:style>
  <w:style w:type="character" w:customStyle="1" w:styleId="Heading3Char">
    <w:name w:val="Heading 3 Char"/>
    <w:basedOn w:val="DefaultParagraphFont"/>
    <w:link w:val="Heading3"/>
    <w:semiHidden/>
    <w:rsid w:val="0094643B"/>
    <w:rPr>
      <w:rFonts w:ascii="Arial" w:hAnsi="Arial"/>
      <w:sz w:val="24"/>
      <w:lang w:val="fr-FR" w:eastAsia="fr-FR"/>
    </w:rPr>
  </w:style>
  <w:style w:type="character" w:customStyle="1" w:styleId="Heading4Char">
    <w:name w:val="Heading 4 Char"/>
    <w:basedOn w:val="DefaultParagraphFont"/>
    <w:link w:val="Heading4"/>
    <w:semiHidden/>
    <w:rsid w:val="0094643B"/>
    <w:rPr>
      <w:sz w:val="24"/>
      <w:lang w:val="en-US" w:eastAsia="fr-FR"/>
    </w:rPr>
  </w:style>
  <w:style w:type="character" w:customStyle="1" w:styleId="Heading5Char">
    <w:name w:val="Heading 5 Char"/>
    <w:basedOn w:val="DefaultParagraphFont"/>
    <w:link w:val="Heading5"/>
    <w:semiHidden/>
    <w:rsid w:val="0094643B"/>
    <w:rPr>
      <w:sz w:val="24"/>
      <w:lang w:val="en-US" w:eastAsia="fr-FR"/>
    </w:rPr>
  </w:style>
  <w:style w:type="character" w:customStyle="1" w:styleId="Heading6Char">
    <w:name w:val="Heading 6 Char"/>
    <w:basedOn w:val="DefaultParagraphFont"/>
    <w:link w:val="Heading6"/>
    <w:semiHidden/>
    <w:rsid w:val="0094643B"/>
    <w:rPr>
      <w:i/>
      <w:sz w:val="22"/>
      <w:lang w:val="et-EE"/>
    </w:rPr>
  </w:style>
  <w:style w:type="character" w:customStyle="1" w:styleId="Heading7Char">
    <w:name w:val="Heading 7 Char"/>
    <w:basedOn w:val="DefaultParagraphFont"/>
    <w:link w:val="Heading7"/>
    <w:semiHidden/>
    <w:rsid w:val="0094643B"/>
    <w:rPr>
      <w:rFonts w:ascii="Arial" w:hAnsi="Arial"/>
      <w:sz w:val="24"/>
      <w:lang w:val="et-EE"/>
    </w:rPr>
  </w:style>
  <w:style w:type="character" w:customStyle="1" w:styleId="Heading8Char">
    <w:name w:val="Heading 8 Char"/>
    <w:basedOn w:val="DefaultParagraphFont"/>
    <w:link w:val="Heading8"/>
    <w:semiHidden/>
    <w:rsid w:val="0094643B"/>
    <w:rPr>
      <w:rFonts w:ascii="Arial" w:hAnsi="Arial"/>
      <w:i/>
      <w:sz w:val="24"/>
      <w:lang w:val="et-EE"/>
    </w:rPr>
  </w:style>
  <w:style w:type="character" w:customStyle="1" w:styleId="Heading9Char">
    <w:name w:val="Heading 9 Char"/>
    <w:basedOn w:val="DefaultParagraphFont"/>
    <w:link w:val="Heading9"/>
    <w:semiHidden/>
    <w:rsid w:val="0094643B"/>
    <w:rPr>
      <w:rFonts w:ascii="Arial" w:hAnsi="Arial"/>
      <w:b/>
      <w:i/>
      <w:sz w:val="18"/>
      <w:lang w:val="et-EE"/>
    </w:rPr>
  </w:style>
  <w:style w:type="paragraph" w:styleId="TOCHeading">
    <w:name w:val="TOC Heading"/>
    <w:basedOn w:val="Normal"/>
    <w:next w:val="Normal"/>
    <w:uiPriority w:val="39"/>
    <w:unhideWhenUsed/>
    <w:qFormat/>
    <w:rsid w:val="0094643B"/>
    <w:pPr>
      <w:widowControl/>
      <w:spacing w:after="240"/>
    </w:pPr>
    <w:rPr>
      <w:lang w:val="en-GB"/>
    </w:rPr>
  </w:style>
  <w:style w:type="paragraph" w:customStyle="1" w:styleId="EPFooter2">
    <w:name w:val="EPFooter2"/>
    <w:basedOn w:val="Normal"/>
    <w:next w:val="Normal"/>
    <w:rsid w:val="0094643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4643B"/>
    <w:pPr>
      <w:keepNext/>
      <w:spacing w:after="240"/>
      <w:jc w:val="right"/>
    </w:pPr>
    <w:rPr>
      <w:rFonts w:ascii="Arial" w:hAnsi="Arial"/>
      <w:b/>
    </w:rPr>
  </w:style>
  <w:style w:type="paragraph" w:customStyle="1" w:styleId="Normal6a">
    <w:name w:val="Normal6a"/>
    <w:basedOn w:val="Normal"/>
    <w:rsid w:val="0094643B"/>
    <w:pPr>
      <w:spacing w:after="120"/>
    </w:pPr>
  </w:style>
  <w:style w:type="paragraph" w:customStyle="1" w:styleId="PageHeading">
    <w:name w:val="PageHeading"/>
    <w:basedOn w:val="Normal"/>
    <w:rsid w:val="0094643B"/>
    <w:pPr>
      <w:keepNext/>
      <w:spacing w:after="480"/>
      <w:jc w:val="center"/>
    </w:pPr>
    <w:rPr>
      <w:rFonts w:ascii="Arial" w:hAnsi="Arial" w:cs="Arial"/>
      <w:b/>
    </w:rPr>
  </w:style>
  <w:style w:type="paragraph" w:customStyle="1" w:styleId="NormalBold">
    <w:name w:val="NormalBold"/>
    <w:basedOn w:val="Normal"/>
    <w:link w:val="NormalBoldChar"/>
    <w:rsid w:val="0094643B"/>
    <w:rPr>
      <w:b/>
    </w:rPr>
  </w:style>
  <w:style w:type="paragraph" w:customStyle="1" w:styleId="NormalBold12a">
    <w:name w:val="NormalBold12a"/>
    <w:basedOn w:val="Normal"/>
    <w:rsid w:val="0094643B"/>
    <w:pPr>
      <w:spacing w:after="240"/>
    </w:pPr>
    <w:rPr>
      <w:b/>
    </w:rPr>
  </w:style>
  <w:style w:type="paragraph" w:customStyle="1" w:styleId="AmJustText">
    <w:name w:val="AmJustText"/>
    <w:basedOn w:val="Normal"/>
    <w:rsid w:val="0094643B"/>
    <w:pPr>
      <w:spacing w:after="240"/>
    </w:pPr>
    <w:rPr>
      <w:i/>
    </w:rPr>
  </w:style>
  <w:style w:type="paragraph" w:customStyle="1" w:styleId="NormalHanging12a">
    <w:name w:val="NormalHanging12a"/>
    <w:basedOn w:val="Normal"/>
    <w:rsid w:val="0094643B"/>
    <w:pPr>
      <w:spacing w:after="240"/>
      <w:ind w:left="567" w:hanging="567"/>
    </w:pPr>
  </w:style>
  <w:style w:type="paragraph" w:customStyle="1" w:styleId="CoverNormal24a">
    <w:name w:val="CoverNormal24a"/>
    <w:basedOn w:val="Normal"/>
    <w:rsid w:val="0094643B"/>
    <w:pPr>
      <w:spacing w:after="480"/>
      <w:ind w:left="1417"/>
    </w:pPr>
  </w:style>
  <w:style w:type="paragraph" w:customStyle="1" w:styleId="CoverNormal">
    <w:name w:val="CoverNormal"/>
    <w:basedOn w:val="Normal"/>
    <w:rsid w:val="0094643B"/>
    <w:pPr>
      <w:ind w:left="1418"/>
    </w:pPr>
  </w:style>
  <w:style w:type="paragraph" w:customStyle="1" w:styleId="AmCrossRef">
    <w:name w:val="AmCrossRef"/>
    <w:basedOn w:val="Normal"/>
    <w:rsid w:val="0094643B"/>
    <w:pPr>
      <w:spacing w:before="240" w:after="240"/>
      <w:jc w:val="center"/>
    </w:pPr>
    <w:rPr>
      <w:i/>
    </w:rPr>
  </w:style>
  <w:style w:type="paragraph" w:customStyle="1" w:styleId="AmJustTitle">
    <w:name w:val="AmJustTitle"/>
    <w:basedOn w:val="Normal"/>
    <w:next w:val="AmJustText"/>
    <w:rsid w:val="0094643B"/>
    <w:pPr>
      <w:keepNext/>
      <w:spacing w:before="240" w:after="240"/>
      <w:jc w:val="center"/>
    </w:pPr>
    <w:rPr>
      <w:i/>
    </w:rPr>
  </w:style>
  <w:style w:type="paragraph" w:customStyle="1" w:styleId="CoverReference">
    <w:name w:val="CoverReference"/>
    <w:basedOn w:val="Normal"/>
    <w:rsid w:val="0094643B"/>
    <w:pPr>
      <w:spacing w:before="1080"/>
      <w:jc w:val="right"/>
    </w:pPr>
    <w:rPr>
      <w:rFonts w:ascii="Arial" w:hAnsi="Arial" w:cs="Arial"/>
      <w:b/>
    </w:rPr>
  </w:style>
  <w:style w:type="paragraph" w:customStyle="1" w:styleId="CoverDocType">
    <w:name w:val="CoverDocType"/>
    <w:basedOn w:val="Normal"/>
    <w:rsid w:val="0094643B"/>
    <w:pPr>
      <w:ind w:left="1418"/>
    </w:pPr>
    <w:rPr>
      <w:rFonts w:ascii="Arial" w:hAnsi="Arial"/>
      <w:b/>
      <w:sz w:val="48"/>
    </w:rPr>
  </w:style>
  <w:style w:type="paragraph" w:customStyle="1" w:styleId="CoverDocType24a">
    <w:name w:val="CoverDocType24a"/>
    <w:basedOn w:val="Normal"/>
    <w:rsid w:val="0094643B"/>
    <w:pPr>
      <w:spacing w:after="480"/>
      <w:ind w:left="1418"/>
    </w:pPr>
    <w:rPr>
      <w:rFonts w:ascii="Arial" w:hAnsi="Arial"/>
      <w:b/>
      <w:sz w:val="48"/>
    </w:rPr>
  </w:style>
  <w:style w:type="paragraph" w:customStyle="1" w:styleId="CoverDate">
    <w:name w:val="CoverDate"/>
    <w:basedOn w:val="Normal"/>
    <w:rsid w:val="0094643B"/>
    <w:pPr>
      <w:spacing w:before="240" w:after="1200"/>
    </w:pPr>
  </w:style>
  <w:style w:type="paragraph" w:styleId="Header">
    <w:name w:val="header"/>
    <w:basedOn w:val="Normal"/>
    <w:link w:val="HeaderChar"/>
    <w:rsid w:val="0094643B"/>
    <w:pPr>
      <w:tabs>
        <w:tab w:val="center" w:pos="4513"/>
        <w:tab w:val="right" w:pos="9026"/>
      </w:tabs>
    </w:pPr>
  </w:style>
  <w:style w:type="character" w:customStyle="1" w:styleId="HeaderChar">
    <w:name w:val="Header Char"/>
    <w:basedOn w:val="DefaultParagraphFont"/>
    <w:link w:val="Header"/>
    <w:rsid w:val="0094643B"/>
    <w:rPr>
      <w:sz w:val="24"/>
      <w:lang w:val="et-EE"/>
    </w:rPr>
  </w:style>
  <w:style w:type="paragraph" w:customStyle="1" w:styleId="AmOrLang">
    <w:name w:val="AmOrLang"/>
    <w:basedOn w:val="Normal"/>
    <w:rsid w:val="0094643B"/>
    <w:pPr>
      <w:spacing w:before="240" w:after="240"/>
      <w:jc w:val="right"/>
    </w:pPr>
  </w:style>
  <w:style w:type="paragraph" w:customStyle="1" w:styleId="AmColumnHeading">
    <w:name w:val="AmColumnHeading"/>
    <w:basedOn w:val="Normal"/>
    <w:rsid w:val="0094643B"/>
    <w:pPr>
      <w:spacing w:after="240"/>
      <w:jc w:val="center"/>
    </w:pPr>
    <w:rPr>
      <w:i/>
    </w:rPr>
  </w:style>
  <w:style w:type="paragraph" w:customStyle="1" w:styleId="AmNumberTabs">
    <w:name w:val="AmNumberTabs"/>
    <w:basedOn w:val="Normal"/>
    <w:link w:val="AmNumberTabsChar"/>
    <w:rsid w:val="009464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4643B"/>
    <w:pPr>
      <w:spacing w:before="240"/>
    </w:pPr>
    <w:rPr>
      <w:b/>
    </w:rPr>
  </w:style>
  <w:style w:type="paragraph" w:customStyle="1" w:styleId="EPBody">
    <w:name w:val="EPBody"/>
    <w:basedOn w:val="Normal"/>
    <w:rsid w:val="0094643B"/>
    <w:pPr>
      <w:jc w:val="center"/>
    </w:pPr>
    <w:rPr>
      <w:rFonts w:ascii="Arial" w:hAnsi="Arial" w:cs="Arial"/>
      <w:i/>
      <w:sz w:val="22"/>
      <w:szCs w:val="22"/>
    </w:rPr>
  </w:style>
  <w:style w:type="paragraph" w:customStyle="1" w:styleId="EPFooter">
    <w:name w:val="EPFooter"/>
    <w:basedOn w:val="Normal"/>
    <w:rsid w:val="0094643B"/>
    <w:pPr>
      <w:tabs>
        <w:tab w:val="center" w:pos="4535"/>
        <w:tab w:val="right" w:pos="9071"/>
      </w:tabs>
      <w:spacing w:before="240" w:after="240"/>
    </w:pPr>
    <w:rPr>
      <w:color w:val="010000"/>
      <w:sz w:val="22"/>
    </w:rPr>
  </w:style>
  <w:style w:type="paragraph" w:customStyle="1" w:styleId="EPComma">
    <w:name w:val="EPComma"/>
    <w:basedOn w:val="Normal"/>
    <w:rsid w:val="0094643B"/>
    <w:pPr>
      <w:spacing w:before="480" w:after="240"/>
    </w:pPr>
  </w:style>
  <w:style w:type="paragraph" w:customStyle="1" w:styleId="Lgendesigne">
    <w:name w:val="Légende signe"/>
    <w:basedOn w:val="Normal"/>
    <w:rsid w:val="0094643B"/>
    <w:pPr>
      <w:tabs>
        <w:tab w:val="right" w:pos="454"/>
        <w:tab w:val="left" w:pos="737"/>
      </w:tabs>
      <w:snapToGrid w:val="0"/>
      <w:ind w:left="737" w:hanging="737"/>
    </w:pPr>
    <w:rPr>
      <w:sz w:val="18"/>
      <w:lang w:eastAsia="en-US"/>
    </w:rPr>
  </w:style>
  <w:style w:type="paragraph" w:customStyle="1" w:styleId="Lgendetitre">
    <w:name w:val="Légende titre"/>
    <w:basedOn w:val="Normal"/>
    <w:rsid w:val="0094643B"/>
    <w:pPr>
      <w:snapToGrid w:val="0"/>
      <w:spacing w:before="240" w:after="240"/>
    </w:pPr>
    <w:rPr>
      <w:b/>
      <w:i/>
      <w:lang w:eastAsia="en-US"/>
    </w:rPr>
  </w:style>
  <w:style w:type="paragraph" w:customStyle="1" w:styleId="Lgendestandard">
    <w:name w:val="Légende standard"/>
    <w:basedOn w:val="Normal"/>
    <w:rsid w:val="0094643B"/>
    <w:rPr>
      <w:sz w:val="18"/>
    </w:rPr>
  </w:style>
  <w:style w:type="paragraph" w:customStyle="1" w:styleId="Normal24a">
    <w:name w:val="Normal24a"/>
    <w:basedOn w:val="Normal"/>
    <w:rsid w:val="0094643B"/>
    <w:pPr>
      <w:spacing w:after="480"/>
    </w:pPr>
  </w:style>
  <w:style w:type="paragraph" w:customStyle="1" w:styleId="NormalBoldCenter">
    <w:name w:val="NormalBoldCenter"/>
    <w:basedOn w:val="Normal"/>
    <w:rsid w:val="0094643B"/>
    <w:pPr>
      <w:jc w:val="center"/>
    </w:pPr>
    <w:rPr>
      <w:b/>
    </w:rPr>
  </w:style>
  <w:style w:type="paragraph" w:styleId="Footer">
    <w:name w:val="footer"/>
    <w:basedOn w:val="Normal"/>
    <w:link w:val="FooterChar"/>
    <w:rsid w:val="0094643B"/>
    <w:pPr>
      <w:tabs>
        <w:tab w:val="center" w:pos="4513"/>
        <w:tab w:val="right" w:pos="9026"/>
      </w:tabs>
    </w:pPr>
  </w:style>
  <w:style w:type="character" w:customStyle="1" w:styleId="FooterChar">
    <w:name w:val="Footer Char"/>
    <w:basedOn w:val="DefaultParagraphFont"/>
    <w:link w:val="Footer"/>
    <w:rsid w:val="0094643B"/>
    <w:rPr>
      <w:sz w:val="24"/>
      <w:lang w:val="et-EE"/>
    </w:rPr>
  </w:style>
  <w:style w:type="paragraph" w:customStyle="1" w:styleId="msonormal0">
    <w:name w:val="msonormal"/>
    <w:basedOn w:val="Normal"/>
    <w:rsid w:val="0094643B"/>
    <w:pPr>
      <w:widowControl/>
      <w:spacing w:before="100" w:beforeAutospacing="1" w:after="100" w:afterAutospacing="1"/>
    </w:pPr>
    <w:rPr>
      <w:szCs w:val="24"/>
    </w:rPr>
  </w:style>
  <w:style w:type="character" w:customStyle="1" w:styleId="Normal12Char">
    <w:name w:val="Normal12 Char"/>
    <w:basedOn w:val="DefaultParagraphFont"/>
    <w:link w:val="Normal12"/>
    <w:locked/>
    <w:rsid w:val="0094643B"/>
    <w:rPr>
      <w:noProof/>
      <w:sz w:val="24"/>
    </w:rPr>
  </w:style>
  <w:style w:type="paragraph" w:customStyle="1" w:styleId="Normal12">
    <w:name w:val="Normal12"/>
    <w:basedOn w:val="Normal"/>
    <w:link w:val="Normal12Char"/>
    <w:rsid w:val="0094643B"/>
    <w:pPr>
      <w:spacing w:after="240"/>
    </w:pPr>
    <w:rPr>
      <w:noProof/>
      <w:lang w:val="en-GB"/>
    </w:rPr>
  </w:style>
  <w:style w:type="paragraph" w:customStyle="1" w:styleId="CommitteeAM">
    <w:name w:val="CommitteeAM"/>
    <w:basedOn w:val="Normal"/>
    <w:rsid w:val="0094643B"/>
    <w:pPr>
      <w:spacing w:before="240" w:after="600"/>
      <w:jc w:val="center"/>
    </w:pPr>
    <w:rPr>
      <w:i/>
    </w:rPr>
  </w:style>
  <w:style w:type="paragraph" w:customStyle="1" w:styleId="ZDateAM">
    <w:name w:val="ZDateAM"/>
    <w:basedOn w:val="Normal"/>
    <w:rsid w:val="0094643B"/>
    <w:pPr>
      <w:tabs>
        <w:tab w:val="right" w:pos="9356"/>
      </w:tabs>
      <w:spacing w:after="480"/>
    </w:pPr>
    <w:rPr>
      <w:noProof/>
    </w:rPr>
  </w:style>
  <w:style w:type="paragraph" w:customStyle="1" w:styleId="ProjRap">
    <w:name w:val="ProjRap"/>
    <w:basedOn w:val="Normal"/>
    <w:rsid w:val="0094643B"/>
    <w:pPr>
      <w:tabs>
        <w:tab w:val="right" w:pos="9356"/>
      </w:tabs>
    </w:pPr>
    <w:rPr>
      <w:b/>
      <w:noProof/>
    </w:rPr>
  </w:style>
  <w:style w:type="paragraph" w:customStyle="1" w:styleId="PELeft">
    <w:name w:val="PELeft"/>
    <w:basedOn w:val="Normal"/>
    <w:rsid w:val="0094643B"/>
    <w:pPr>
      <w:spacing w:before="40" w:after="40"/>
    </w:pPr>
    <w:rPr>
      <w:rFonts w:ascii="Arial" w:hAnsi="Arial" w:cs="Arial"/>
      <w:sz w:val="22"/>
      <w:szCs w:val="22"/>
      <w:lang w:val="fr-FR"/>
    </w:rPr>
  </w:style>
  <w:style w:type="paragraph" w:customStyle="1" w:styleId="PERight">
    <w:name w:val="PERight"/>
    <w:basedOn w:val="Normal"/>
    <w:next w:val="Normal"/>
    <w:rsid w:val="0094643B"/>
    <w:pPr>
      <w:jc w:val="right"/>
    </w:pPr>
    <w:rPr>
      <w:rFonts w:ascii="Arial" w:hAnsi="Arial" w:cs="Arial"/>
      <w:sz w:val="22"/>
      <w:szCs w:val="22"/>
      <w:lang w:val="fr-FR"/>
    </w:rPr>
  </w:style>
  <w:style w:type="character" w:customStyle="1" w:styleId="Normal6Char">
    <w:name w:val="Normal6 Char"/>
    <w:basedOn w:val="DefaultParagraphFont"/>
    <w:link w:val="Normal6"/>
    <w:locked/>
    <w:rsid w:val="0094643B"/>
    <w:rPr>
      <w:sz w:val="24"/>
      <w:lang w:val="fr-FR"/>
    </w:rPr>
  </w:style>
  <w:style w:type="paragraph" w:customStyle="1" w:styleId="Normal6">
    <w:name w:val="Normal6"/>
    <w:basedOn w:val="Normal"/>
    <w:link w:val="Normal6Char"/>
    <w:rsid w:val="0094643B"/>
    <w:pPr>
      <w:spacing w:after="120"/>
    </w:pPr>
    <w:rPr>
      <w:lang w:val="fr-FR"/>
    </w:rPr>
  </w:style>
  <w:style w:type="character" w:customStyle="1" w:styleId="NormalBoldChar">
    <w:name w:val="NormalBold Char"/>
    <w:basedOn w:val="DefaultParagraphFont"/>
    <w:link w:val="NormalBold"/>
    <w:locked/>
    <w:rsid w:val="0094643B"/>
    <w:rPr>
      <w:b/>
      <w:sz w:val="24"/>
      <w:lang w:val="et-EE"/>
    </w:rPr>
  </w:style>
  <w:style w:type="paragraph" w:customStyle="1" w:styleId="Normal12Italic">
    <w:name w:val="Normal12Italic"/>
    <w:basedOn w:val="Normal12"/>
    <w:rsid w:val="0094643B"/>
    <w:rPr>
      <w:i/>
      <w:lang w:val="fr-FR"/>
    </w:rPr>
  </w:style>
  <w:style w:type="paragraph" w:customStyle="1" w:styleId="JustificationTitle">
    <w:name w:val="JustificationTitle"/>
    <w:basedOn w:val="Normal"/>
    <w:next w:val="Normal12"/>
    <w:rsid w:val="0094643B"/>
    <w:pPr>
      <w:keepNext/>
      <w:spacing w:before="240" w:after="240"/>
      <w:jc w:val="center"/>
    </w:pPr>
    <w:rPr>
      <w:i/>
      <w:noProof/>
      <w:lang w:val="fr-FR"/>
    </w:rPr>
  </w:style>
  <w:style w:type="paragraph" w:customStyle="1" w:styleId="Olang">
    <w:name w:val="Olang"/>
    <w:basedOn w:val="Normal"/>
    <w:rsid w:val="0094643B"/>
    <w:pPr>
      <w:spacing w:before="240" w:after="240"/>
      <w:jc w:val="right"/>
    </w:pPr>
    <w:rPr>
      <w:noProof/>
      <w:szCs w:val="24"/>
      <w:lang w:val="fr-FR"/>
    </w:rPr>
  </w:style>
  <w:style w:type="paragraph" w:customStyle="1" w:styleId="ColumnHeading">
    <w:name w:val="ColumnHeading"/>
    <w:basedOn w:val="Normal"/>
    <w:rsid w:val="0094643B"/>
    <w:pPr>
      <w:spacing w:after="240"/>
      <w:jc w:val="center"/>
    </w:pPr>
    <w:rPr>
      <w:i/>
      <w:lang w:val="fr-FR"/>
    </w:rPr>
  </w:style>
  <w:style w:type="paragraph" w:customStyle="1" w:styleId="AMNumberTabs0">
    <w:name w:val="AMNumberTabs"/>
    <w:basedOn w:val="Normal"/>
    <w:rsid w:val="009464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94643B"/>
    <w:pPr>
      <w:spacing w:before="240"/>
      <w:jc w:val="center"/>
    </w:pPr>
    <w:rPr>
      <w:i/>
      <w:lang w:val="fr-FR"/>
    </w:rPr>
  </w:style>
  <w:style w:type="character" w:customStyle="1" w:styleId="Footer2Middle">
    <w:name w:val="Footer2Middle"/>
    <w:rsid w:val="0094643B"/>
    <w:rPr>
      <w:rFonts w:ascii="Arial" w:hAnsi="Arial" w:cs="Arial" w:hint="default"/>
      <w:b w:val="0"/>
      <w:bCs w:val="0"/>
      <w:i/>
      <w:iCs w:val="0"/>
      <w:color w:val="C0C0C0"/>
      <w:sz w:val="22"/>
    </w:rPr>
  </w:style>
  <w:style w:type="paragraph" w:customStyle="1" w:styleId="EntPE">
    <w:name w:val="EntPE"/>
    <w:basedOn w:val="Normal12"/>
    <w:rsid w:val="0094643B"/>
    <w:pPr>
      <w:jc w:val="center"/>
    </w:pPr>
    <w:rPr>
      <w:noProof w:val="0"/>
      <w:sz w:val="56"/>
    </w:rPr>
  </w:style>
  <w:style w:type="paragraph" w:styleId="NormalWeb">
    <w:name w:val="Normal (Web)"/>
    <w:basedOn w:val="Normal"/>
    <w:uiPriority w:val="99"/>
    <w:unhideWhenUsed/>
    <w:rsid w:val="0094643B"/>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94643B"/>
    <w:rPr>
      <w:sz w:val="20"/>
    </w:rPr>
  </w:style>
  <w:style w:type="character" w:customStyle="1" w:styleId="CommentTextChar">
    <w:name w:val="Comment Text Char"/>
    <w:basedOn w:val="DefaultParagraphFont"/>
    <w:link w:val="CommentText"/>
    <w:uiPriority w:val="99"/>
    <w:rsid w:val="0094643B"/>
    <w:rPr>
      <w:lang w:val="et-EE"/>
    </w:rPr>
  </w:style>
  <w:style w:type="paragraph" w:customStyle="1" w:styleId="Tiret0">
    <w:name w:val="Tiret 0"/>
    <w:basedOn w:val="Normal"/>
    <w:uiPriority w:val="99"/>
    <w:rsid w:val="0094643B"/>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unhideWhenUsed/>
    <w:rsid w:val="0094643B"/>
    <w:rPr>
      <w:sz w:val="16"/>
      <w:szCs w:val="16"/>
    </w:rPr>
  </w:style>
  <w:style w:type="paragraph" w:styleId="BalloonText">
    <w:name w:val="Balloon Text"/>
    <w:basedOn w:val="Normal"/>
    <w:link w:val="BalloonTextChar"/>
    <w:unhideWhenUsed/>
    <w:rsid w:val="0094643B"/>
    <w:rPr>
      <w:rFonts w:ascii="Segoe UI" w:hAnsi="Segoe UI" w:cs="Segoe UI"/>
      <w:sz w:val="18"/>
      <w:szCs w:val="18"/>
    </w:rPr>
  </w:style>
  <w:style w:type="character" w:customStyle="1" w:styleId="BalloonTextChar">
    <w:name w:val="Balloon Text Char"/>
    <w:basedOn w:val="DefaultParagraphFont"/>
    <w:link w:val="BalloonText"/>
    <w:rsid w:val="0094643B"/>
    <w:rPr>
      <w:rFonts w:ascii="Segoe UI" w:hAnsi="Segoe UI" w:cs="Segoe UI"/>
      <w:sz w:val="18"/>
      <w:szCs w:val="18"/>
      <w:lang w:val="et-EE"/>
    </w:rPr>
  </w:style>
  <w:style w:type="character" w:styleId="Hyperlink">
    <w:name w:val="Hyperlink"/>
    <w:basedOn w:val="DefaultParagraphFont"/>
    <w:uiPriority w:val="99"/>
    <w:unhideWhenUsed/>
    <w:rsid w:val="0094643B"/>
    <w:rPr>
      <w:color w:val="0563C1" w:themeColor="hyperlink"/>
      <w:u w:val="single"/>
    </w:rPr>
  </w:style>
  <w:style w:type="paragraph" w:styleId="CommentSubject">
    <w:name w:val="annotation subject"/>
    <w:basedOn w:val="CommentText"/>
    <w:next w:val="CommentText"/>
    <w:link w:val="CommentSubjectChar"/>
    <w:unhideWhenUsed/>
    <w:rsid w:val="0094643B"/>
    <w:rPr>
      <w:b/>
      <w:bCs/>
    </w:rPr>
  </w:style>
  <w:style w:type="character" w:customStyle="1" w:styleId="CommentSubjectChar">
    <w:name w:val="Comment Subject Char"/>
    <w:basedOn w:val="CommentTextChar"/>
    <w:link w:val="CommentSubject"/>
    <w:rsid w:val="0094643B"/>
    <w:rPr>
      <w:b/>
      <w:bCs/>
      <w:lang w:val="et-EE"/>
    </w:rPr>
  </w:style>
  <w:style w:type="character" w:styleId="Emphasis">
    <w:name w:val="Emphasis"/>
    <w:basedOn w:val="DefaultParagraphFont"/>
    <w:uiPriority w:val="20"/>
    <w:qFormat/>
    <w:rsid w:val="0094643B"/>
    <w:rPr>
      <w:i/>
      <w:iCs/>
    </w:rPr>
  </w:style>
  <w:style w:type="character" w:customStyle="1" w:styleId="AmNumberTabsChar">
    <w:name w:val="AmNumberTabs Char"/>
    <w:basedOn w:val="DefaultParagraphFont"/>
    <w:link w:val="AmNumberTabs"/>
    <w:rsid w:val="0094643B"/>
    <w:rPr>
      <w:b/>
      <w:sz w:val="24"/>
      <w:lang w:val="et-EE"/>
    </w:rPr>
  </w:style>
  <w:style w:type="character" w:customStyle="1" w:styleId="NormalBold12bChar">
    <w:name w:val="NormalBold12b Char"/>
    <w:basedOn w:val="AmNumberTabsChar"/>
    <w:link w:val="NormalBold12b"/>
    <w:rsid w:val="0094643B"/>
    <w:rPr>
      <w:b/>
      <w:sz w:val="24"/>
      <w:lang w:val="et-EE"/>
    </w:rPr>
  </w:style>
  <w:style w:type="paragraph" w:customStyle="1" w:styleId="Normal12a">
    <w:name w:val="Normal12a"/>
    <w:basedOn w:val="Normal"/>
    <w:rsid w:val="0094643B"/>
    <w:pPr>
      <w:spacing w:after="240"/>
    </w:pPr>
    <w:rPr>
      <w:lang w:val="en-GB"/>
    </w:rPr>
  </w:style>
  <w:style w:type="paragraph" w:customStyle="1" w:styleId="RollCallVotes">
    <w:name w:val="RollCallVotes"/>
    <w:basedOn w:val="Normal"/>
    <w:rsid w:val="0094643B"/>
    <w:pPr>
      <w:spacing w:before="120" w:after="120"/>
      <w:jc w:val="center"/>
    </w:pPr>
    <w:rPr>
      <w:b/>
      <w:bCs/>
      <w:snapToGrid w:val="0"/>
      <w:sz w:val="16"/>
      <w:lang w:val="en-GB" w:eastAsia="en-US"/>
    </w:rPr>
  </w:style>
  <w:style w:type="paragraph" w:customStyle="1" w:styleId="RollCallTabs">
    <w:name w:val="RollCallTabs"/>
    <w:basedOn w:val="Normal"/>
    <w:qFormat/>
    <w:rsid w:val="0094643B"/>
    <w:pPr>
      <w:tabs>
        <w:tab w:val="center" w:pos="284"/>
        <w:tab w:val="left" w:pos="426"/>
      </w:tabs>
    </w:pPr>
    <w:rPr>
      <w:snapToGrid w:val="0"/>
      <w:lang w:val="en-GB" w:eastAsia="en-US"/>
    </w:rPr>
  </w:style>
  <w:style w:type="paragraph" w:customStyle="1" w:styleId="RollCallSymbols14pt">
    <w:name w:val="RollCallSymbols14pt"/>
    <w:basedOn w:val="Normal"/>
    <w:rsid w:val="0094643B"/>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4643B"/>
    <w:pPr>
      <w:spacing w:before="120" w:after="120"/>
    </w:pPr>
    <w:rPr>
      <w:snapToGrid w:val="0"/>
      <w:sz w:val="16"/>
      <w:lang w:val="en-GB" w:eastAsia="en-US"/>
    </w:rPr>
  </w:style>
  <w:style w:type="paragraph" w:customStyle="1" w:styleId="PageHeadingNotTOC">
    <w:name w:val="PageHeadingNotTOC"/>
    <w:basedOn w:val="Normal"/>
    <w:rsid w:val="0094643B"/>
    <w:pPr>
      <w:keepNext/>
      <w:spacing w:after="480"/>
      <w:jc w:val="center"/>
    </w:pPr>
    <w:rPr>
      <w:rFonts w:ascii="Arial" w:hAnsi="Arial" w:cs="Arial"/>
      <w:b/>
      <w:lang w:val="en-GB"/>
    </w:rPr>
  </w:style>
  <w:style w:type="paragraph" w:customStyle="1" w:styleId="AmHeadingPA">
    <w:name w:val="AmHeadingPA"/>
    <w:basedOn w:val="Normal"/>
    <w:next w:val="Normal"/>
    <w:rsid w:val="0094643B"/>
    <w:pPr>
      <w:spacing w:before="480" w:after="240"/>
      <w:jc w:val="center"/>
    </w:pPr>
    <w:rPr>
      <w:rFonts w:ascii="Arial" w:hAnsi="Arial"/>
      <w:b/>
      <w:caps/>
      <w:snapToGrid w:val="0"/>
      <w:szCs w:val="24"/>
      <w:lang w:val="en-GB" w:eastAsia="en-US"/>
    </w:rPr>
  </w:style>
  <w:style w:type="paragraph" w:styleId="PlainText">
    <w:name w:val="Plain Text"/>
    <w:basedOn w:val="Normal"/>
    <w:link w:val="PlainTextChar"/>
    <w:uiPriority w:val="99"/>
    <w:unhideWhenUsed/>
    <w:rsid w:val="0094643B"/>
    <w:pPr>
      <w:widowControl/>
    </w:pPr>
    <w:rPr>
      <w:rFonts w:ascii="Calibri" w:eastAsiaTheme="minorHAnsi" w:hAnsi="Calibri" w:cstheme="minorBidi"/>
      <w:sz w:val="22"/>
      <w:szCs w:val="21"/>
      <w:lang w:val="pt-PT" w:eastAsia="en-US"/>
    </w:rPr>
  </w:style>
  <w:style w:type="character" w:customStyle="1" w:styleId="PlainTextChar">
    <w:name w:val="Plain Text Char"/>
    <w:basedOn w:val="DefaultParagraphFont"/>
    <w:link w:val="PlainText"/>
    <w:uiPriority w:val="99"/>
    <w:rsid w:val="0094643B"/>
    <w:rPr>
      <w:rFonts w:ascii="Calibri" w:eastAsiaTheme="minorHAnsi" w:hAnsi="Calibri" w:cstheme="minorBidi"/>
      <w:sz w:val="22"/>
      <w:szCs w:val="21"/>
      <w:lang w:val="pt-PT" w:eastAsia="en-US"/>
    </w:rPr>
  </w:style>
  <w:style w:type="paragraph" w:customStyle="1" w:styleId="Statut">
    <w:name w:val="Statut"/>
    <w:basedOn w:val="Normal"/>
    <w:next w:val="Normal"/>
    <w:rsid w:val="00F9609E"/>
    <w:pPr>
      <w:widowControl/>
      <w:spacing w:before="360"/>
      <w:jc w:val="center"/>
    </w:pPr>
    <w:rPr>
      <w:szCs w:val="24"/>
      <w:lang w:eastAsia="de-DE"/>
    </w:rPr>
  </w:style>
  <w:style w:type="numbering" w:customStyle="1" w:styleId="NoList1">
    <w:name w:val="No List1"/>
    <w:next w:val="NoList"/>
    <w:uiPriority w:val="99"/>
    <w:semiHidden/>
    <w:unhideWhenUsed/>
    <w:rsid w:val="00F9609E"/>
  </w:style>
  <w:style w:type="paragraph" w:customStyle="1" w:styleId="SignaturePersonne">
    <w:name w:val="Signature Personne"/>
    <w:basedOn w:val="Normal"/>
    <w:rsid w:val="00F9609E"/>
    <w:pPr>
      <w:widowControl/>
      <w:tabs>
        <w:tab w:val="left" w:pos="4252"/>
      </w:tabs>
      <w:spacing w:line="360" w:lineRule="auto"/>
    </w:pPr>
    <w:rPr>
      <w:i/>
      <w:szCs w:val="24"/>
      <w:lang w:val="en-GB" w:eastAsia="en-US"/>
    </w:rPr>
  </w:style>
  <w:style w:type="paragraph" w:customStyle="1" w:styleId="Considrant">
    <w:name w:val="Considérant"/>
    <w:basedOn w:val="Normal"/>
    <w:rsid w:val="00F9609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9609E"/>
    <w:pPr>
      <w:keepNext/>
      <w:spacing w:before="600" w:after="120" w:line="360" w:lineRule="auto"/>
    </w:pPr>
    <w:rPr>
      <w:szCs w:val="24"/>
      <w:lang w:val="en-GB" w:eastAsia="en-US"/>
    </w:rPr>
  </w:style>
  <w:style w:type="paragraph" w:customStyle="1" w:styleId="Institutionquisigne">
    <w:name w:val="Institution qui signe"/>
    <w:basedOn w:val="Normal"/>
    <w:next w:val="Normal"/>
    <w:rsid w:val="00F9609E"/>
    <w:pPr>
      <w:keepNext/>
      <w:tabs>
        <w:tab w:val="left" w:pos="4252"/>
      </w:tabs>
      <w:spacing w:before="720" w:line="360" w:lineRule="auto"/>
    </w:pPr>
    <w:rPr>
      <w:i/>
      <w:szCs w:val="24"/>
      <w:lang w:val="en-GB" w:eastAsia="en-US"/>
    </w:rPr>
  </w:style>
  <w:style w:type="paragraph" w:customStyle="1" w:styleId="Fait">
    <w:name w:val="Fait à"/>
    <w:basedOn w:val="Normal"/>
    <w:rsid w:val="00F9609E"/>
    <w:pPr>
      <w:keepNext/>
      <w:widowControl/>
      <w:spacing w:before="120" w:line="360" w:lineRule="auto"/>
    </w:pPr>
    <w:rPr>
      <w:szCs w:val="24"/>
      <w:lang w:val="en-GB" w:eastAsia="en-US"/>
    </w:rPr>
  </w:style>
  <w:style w:type="paragraph" w:customStyle="1" w:styleId="FootnoteTextForceStyle">
    <w:name w:val="Footnote Text ForceStyle"/>
    <w:rsid w:val="00F9609E"/>
    <w:pPr>
      <w:keepLines/>
      <w:widowControl w:val="0"/>
      <w:ind w:left="850" w:hanging="850"/>
    </w:pPr>
    <w:rPr>
      <w:sz w:val="24"/>
      <w:lang w:eastAsia="en-US"/>
    </w:rPr>
  </w:style>
  <w:style w:type="character" w:customStyle="1" w:styleId="Footer2">
    <w:name w:val="Footer2"/>
    <w:rsid w:val="00F9609E"/>
    <w:rPr>
      <w:rFonts w:ascii="Arial" w:hAnsi="Arial"/>
      <w:b/>
      <w:sz w:val="48"/>
    </w:rPr>
  </w:style>
  <w:style w:type="paragraph" w:customStyle="1" w:styleId="Applicationdirecte">
    <w:name w:val="Application directe"/>
    <w:basedOn w:val="Normal"/>
    <w:next w:val="Normal"/>
    <w:rsid w:val="00F9609E"/>
    <w:pPr>
      <w:spacing w:before="120" w:after="120" w:line="360" w:lineRule="auto"/>
    </w:pPr>
    <w:rPr>
      <w:szCs w:val="24"/>
      <w:lang w:val="en-GB" w:eastAsia="en-US"/>
    </w:rPr>
  </w:style>
  <w:style w:type="paragraph" w:customStyle="1" w:styleId="Normale">
    <w:name w:val="Normale"/>
    <w:rsid w:val="00F9609E"/>
    <w:pPr>
      <w:widowControl w:val="0"/>
      <w:spacing w:before="120" w:after="120" w:line="360" w:lineRule="auto"/>
    </w:pPr>
    <w:rPr>
      <w:sz w:val="24"/>
      <w:lang w:eastAsia="en-US"/>
    </w:rPr>
  </w:style>
  <w:style w:type="paragraph" w:customStyle="1" w:styleId="Formuledadoption">
    <w:name w:val="Formule d'adoption"/>
    <w:basedOn w:val="Normal"/>
    <w:next w:val="Normal"/>
    <w:rsid w:val="00F9609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F9609E"/>
    <w:pPr>
      <w:widowControl/>
      <w:spacing w:after="240" w:line="360" w:lineRule="auto"/>
      <w:ind w:left="5102"/>
    </w:pPr>
    <w:rPr>
      <w:szCs w:val="24"/>
      <w:lang w:val="en-GB" w:eastAsia="en-US"/>
    </w:rPr>
  </w:style>
  <w:style w:type="paragraph" w:customStyle="1" w:styleId="Footer1">
    <w:name w:val="Footer1"/>
    <w:basedOn w:val="Normal"/>
    <w:rsid w:val="00F9609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9609E"/>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F9609E"/>
    <w:pPr>
      <w:widowControl/>
      <w:spacing w:before="360" w:line="360" w:lineRule="auto"/>
      <w:jc w:val="center"/>
    </w:pPr>
    <w:rPr>
      <w:b/>
      <w:szCs w:val="24"/>
      <w:lang w:val="en-GB" w:eastAsia="en-US"/>
    </w:rPr>
  </w:style>
  <w:style w:type="paragraph" w:customStyle="1" w:styleId="Titreobjet">
    <w:name w:val="Titre objet"/>
    <w:basedOn w:val="Normal"/>
    <w:next w:val="Normal"/>
    <w:rsid w:val="00F9609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9609E"/>
    <w:pPr>
      <w:widowControl/>
      <w:spacing w:before="360" w:after="240" w:line="360" w:lineRule="auto"/>
      <w:jc w:val="center"/>
    </w:pPr>
    <w:rPr>
      <w:szCs w:val="24"/>
      <w:lang w:val="en-GB" w:eastAsia="en-US"/>
    </w:rPr>
  </w:style>
  <w:style w:type="character" w:customStyle="1" w:styleId="CMissingStyle">
    <w:name w:val="C_MissingStyle"/>
    <w:rsid w:val="00F9609E"/>
    <w:rPr>
      <w:color w:val="FFFFFF"/>
      <w:sz w:val="22"/>
      <w:shd w:val="clear" w:color="000000" w:fill="000000"/>
    </w:rPr>
  </w:style>
  <w:style w:type="paragraph" w:customStyle="1" w:styleId="PMissingStyle">
    <w:name w:val="P_MissingStyle"/>
    <w:basedOn w:val="Normal"/>
    <w:rsid w:val="00F9609E"/>
    <w:pPr>
      <w:spacing w:before="120" w:after="120" w:line="360" w:lineRule="auto"/>
    </w:pPr>
    <w:rPr>
      <w:color w:val="FFFFFF"/>
      <w:szCs w:val="24"/>
      <w:shd w:val="clear" w:color="000000" w:fill="000000"/>
      <w:lang w:val="en-GB" w:eastAsia="en-US"/>
    </w:rPr>
  </w:style>
  <w:style w:type="paragraph" w:customStyle="1" w:styleId="Warning">
    <w:name w:val="Warning"/>
    <w:rsid w:val="00F9609E"/>
    <w:rPr>
      <w:lang w:eastAsia="en-US"/>
    </w:rPr>
  </w:style>
  <w:style w:type="character" w:customStyle="1" w:styleId="FooterChar1">
    <w:name w:val="Footer Char1"/>
    <w:basedOn w:val="DefaultParagraphFont"/>
    <w:semiHidden/>
    <w:rsid w:val="00F9609E"/>
    <w:rPr>
      <w:sz w:val="24"/>
      <w:szCs w:val="24"/>
    </w:rPr>
  </w:style>
  <w:style w:type="table" w:customStyle="1" w:styleId="PlainTable21">
    <w:name w:val="Plain Table 21"/>
    <w:basedOn w:val="TableNormal"/>
    <w:next w:val="PlainTable2"/>
    <w:uiPriority w:val="42"/>
    <w:rsid w:val="003476D5"/>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3476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iret1">
    <w:name w:val="Tiret 1"/>
    <w:basedOn w:val="Normal"/>
    <w:rsid w:val="00984F2E"/>
    <w:pPr>
      <w:widowControl/>
      <w:numPr>
        <w:numId w:val="4"/>
      </w:numPr>
      <w:spacing w:before="120" w:after="120"/>
      <w:jc w:val="both"/>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70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F4985-84B1-423A-807F-7605C37EE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18895</Words>
  <Characters>135884</Characters>
  <Application>Microsoft Office Word</Application>
  <DocSecurity>0</DocSecurity>
  <Lines>1132</Lines>
  <Paragraphs>308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2024-10-18T14:03:00Z</dcterms:created>
  <dcterms:modified xsi:type="dcterms:W3CDTF">2024-10-18T14:03:00Z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P9_TA(2024)0091_</vt:lpwstr>
  </property>
  <property fmtid="{D5CDD505-2E9C-101B-9397-08002B2CF9AE}" pid="4" name="&lt;Type&gt;">
    <vt:lpwstr>RR</vt:lpwstr>
  </property>
</Properties>
</file>