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448" w:rsidTr="0010095E">
        <w:trPr>
          <w:trHeight w:hRule="exact" w:val="1418"/>
        </w:trPr>
        <w:tc>
          <w:tcPr>
            <w:tcW w:w="6804" w:type="dxa"/>
            <w:shd w:val="clear" w:color="auto" w:fill="auto"/>
            <w:vAlign w:val="center"/>
          </w:tcPr>
          <w:p w:rsidR="00751A4A" w:rsidRPr="00BC3448" w:rsidRDefault="00154697" w:rsidP="0010095E">
            <w:pPr>
              <w:pStyle w:val="EPName"/>
            </w:pPr>
            <w:r w:rsidRPr="00BC3448">
              <w:t>Europski parlament</w:t>
            </w:r>
          </w:p>
          <w:p w:rsidR="00751A4A" w:rsidRPr="00BC3448" w:rsidRDefault="00817416" w:rsidP="00756632">
            <w:pPr>
              <w:pStyle w:val="EPTerm"/>
              <w:rPr>
                <w:rStyle w:val="HideTWBExt"/>
                <w:noProof w:val="0"/>
                <w:vanish w:val="0"/>
                <w:color w:val="auto"/>
              </w:rPr>
            </w:pPr>
            <w:r w:rsidRPr="00BC3448">
              <w:t>2019-2024</w:t>
            </w:r>
          </w:p>
        </w:tc>
        <w:tc>
          <w:tcPr>
            <w:tcW w:w="2268" w:type="dxa"/>
            <w:shd w:val="clear" w:color="auto" w:fill="auto"/>
          </w:tcPr>
          <w:p w:rsidR="00751A4A" w:rsidRPr="00BC3448" w:rsidRDefault="00187494" w:rsidP="0010095E">
            <w:pPr>
              <w:pStyle w:val="EPLogo"/>
            </w:pPr>
            <w:r w:rsidRPr="00BC34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3448" w:rsidRDefault="00D058B8" w:rsidP="004C5D52">
      <w:pPr>
        <w:pStyle w:val="LineTop"/>
      </w:pPr>
    </w:p>
    <w:p w:rsidR="00680577" w:rsidRPr="00BC3448" w:rsidRDefault="00154697" w:rsidP="00680577">
      <w:pPr>
        <w:pStyle w:val="EPBodyTA1"/>
      </w:pPr>
      <w:r w:rsidRPr="00BC3448">
        <w:t>USVOJENI TEKSTOVI</w:t>
      </w:r>
    </w:p>
    <w:p w:rsidR="00D058B8" w:rsidRPr="00BC3448" w:rsidRDefault="00D058B8" w:rsidP="00D058B8">
      <w:pPr>
        <w:pStyle w:val="LineBottom"/>
      </w:pPr>
    </w:p>
    <w:p w:rsidR="00154697" w:rsidRPr="00BC3448" w:rsidRDefault="00154697" w:rsidP="00154697">
      <w:pPr>
        <w:pStyle w:val="ATHeading1"/>
      </w:pPr>
      <w:bookmarkStart w:id="0" w:name="TANumber"/>
      <w:r w:rsidRPr="00BC3448">
        <w:t>P9_TA(2024)00</w:t>
      </w:r>
      <w:r w:rsidR="00D07299" w:rsidRPr="00BC3448">
        <w:t>91</w:t>
      </w:r>
      <w:bookmarkEnd w:id="0"/>
    </w:p>
    <w:p w:rsidR="00154697" w:rsidRPr="00BC3448" w:rsidRDefault="00154697" w:rsidP="00154697">
      <w:pPr>
        <w:pStyle w:val="ATHeading2"/>
      </w:pPr>
      <w:bookmarkStart w:id="1" w:name="title"/>
      <w:r w:rsidRPr="00BC3448">
        <w:t>Deterdženti i površinski aktivne tvari</w:t>
      </w:r>
      <w:bookmarkEnd w:id="1"/>
    </w:p>
    <w:p w:rsidR="00154697" w:rsidRPr="00BC3448" w:rsidRDefault="00154697" w:rsidP="00154697">
      <w:pPr>
        <w:rPr>
          <w:i/>
          <w:vanish/>
        </w:rPr>
      </w:pPr>
      <w:r w:rsidRPr="00BC3448">
        <w:rPr>
          <w:i/>
        </w:rPr>
        <w:fldChar w:fldCharType="begin"/>
      </w:r>
      <w:r w:rsidRPr="00BC3448">
        <w:rPr>
          <w:i/>
        </w:rPr>
        <w:instrText xml:space="preserve"> TC"(</w:instrText>
      </w:r>
      <w:bookmarkStart w:id="2" w:name="DocNumber"/>
      <w:r w:rsidRPr="00BC3448">
        <w:rPr>
          <w:i/>
        </w:rPr>
        <w:instrText>A9-0039/2024</w:instrText>
      </w:r>
      <w:bookmarkEnd w:id="2"/>
      <w:r w:rsidRPr="00BC3448">
        <w:rPr>
          <w:i/>
        </w:rPr>
        <w:instrText xml:space="preserve"> - Izvjestiteljica: Manuela </w:instrText>
      </w:r>
      <w:proofErr w:type="spellStart"/>
      <w:r w:rsidRPr="00BC3448">
        <w:rPr>
          <w:i/>
        </w:rPr>
        <w:instrText>Ripa</w:instrText>
      </w:r>
      <w:proofErr w:type="spellEnd"/>
      <w:r w:rsidRPr="00BC3448">
        <w:rPr>
          <w:i/>
        </w:rPr>
        <w:instrText xml:space="preserve">)"\l3 \n&gt; \* MERGEFORMAT </w:instrText>
      </w:r>
      <w:r w:rsidRPr="00BC3448">
        <w:rPr>
          <w:i/>
        </w:rPr>
        <w:fldChar w:fldCharType="end"/>
      </w:r>
    </w:p>
    <w:p w:rsidR="00154697" w:rsidRPr="00BC3448" w:rsidRDefault="00154697" w:rsidP="00154697">
      <w:pPr>
        <w:rPr>
          <w:vanish/>
        </w:rPr>
      </w:pPr>
      <w:bookmarkStart w:id="3" w:name="Commission"/>
      <w:r w:rsidRPr="00BC3448">
        <w:rPr>
          <w:vanish/>
        </w:rPr>
        <w:t>Odbor za okoliš, javno zdravlje i sigurnost hrane</w:t>
      </w:r>
      <w:bookmarkEnd w:id="3"/>
    </w:p>
    <w:p w:rsidR="00154697" w:rsidRPr="00BC3448" w:rsidRDefault="00154697" w:rsidP="00154697">
      <w:pPr>
        <w:rPr>
          <w:vanish/>
        </w:rPr>
      </w:pPr>
      <w:bookmarkStart w:id="4" w:name="PE"/>
      <w:r w:rsidRPr="00BC3448">
        <w:rPr>
          <w:vanish/>
        </w:rPr>
        <w:t>PE753.691</w:t>
      </w:r>
      <w:bookmarkEnd w:id="4"/>
    </w:p>
    <w:p w:rsidR="00154697" w:rsidRPr="00BC3448" w:rsidRDefault="00154697" w:rsidP="00154697">
      <w:pPr>
        <w:pStyle w:val="ATHeading3"/>
      </w:pPr>
      <w:bookmarkStart w:id="5" w:name="Sujet"/>
      <w:r w:rsidRPr="00BC3448">
        <w:t>Zakonodavna rezolu</w:t>
      </w:r>
      <w:r w:rsidR="001374E9" w:rsidRPr="00BC3448">
        <w:t>cija Europskog parlamenta od 27</w:t>
      </w:r>
      <w:r w:rsidRPr="00BC3448">
        <w:t xml:space="preserve">. </w:t>
      </w:r>
      <w:r w:rsidR="001374E9" w:rsidRPr="00BC3448">
        <w:t xml:space="preserve">veljače </w:t>
      </w:r>
      <w:r w:rsidRPr="00BC3448">
        <w:t>2024. o Prijedlogu uredbe Europskog parlamenta i Vijeća o deterdžentima i površinski aktivnim tvarima, izmjeni Uredbe (EU) 2019/1020 i stavljanju izvan snage Uredbe (EZ) br. 648/2004</w:t>
      </w:r>
      <w:bookmarkEnd w:id="5"/>
      <w:r w:rsidRPr="00BC3448">
        <w:t xml:space="preserve"> </w:t>
      </w:r>
      <w:bookmarkStart w:id="6" w:name="References"/>
      <w:r w:rsidRPr="00BC3448">
        <w:t>(COM(2023)0217 – C9-0154/2023 – 2023/0124(COD))</w:t>
      </w:r>
      <w:bookmarkEnd w:id="6"/>
    </w:p>
    <w:p w:rsidR="009E572A" w:rsidRPr="00BC3448" w:rsidRDefault="009E572A" w:rsidP="009E572A">
      <w:pPr>
        <w:pStyle w:val="NormalBold"/>
      </w:pPr>
      <w:bookmarkStart w:id="7" w:name="TextBodyBegin"/>
      <w:bookmarkEnd w:id="7"/>
      <w:r w:rsidRPr="00BC3448">
        <w:t>(Redovni zakonodavni postupak: prvo čitanje)</w:t>
      </w:r>
    </w:p>
    <w:p w:rsidR="009E572A" w:rsidRPr="00BC3448" w:rsidRDefault="009E572A" w:rsidP="009E572A">
      <w:pPr>
        <w:pStyle w:val="EPComma"/>
      </w:pPr>
      <w:r w:rsidRPr="00BC3448">
        <w:rPr>
          <w:i/>
        </w:rPr>
        <w:t>Europski parlament</w:t>
      </w:r>
      <w:r w:rsidRPr="00BC3448">
        <w:t>,</w:t>
      </w:r>
    </w:p>
    <w:p w:rsidR="009E572A" w:rsidRPr="00BC3448" w:rsidRDefault="009E572A" w:rsidP="009E572A">
      <w:pPr>
        <w:pStyle w:val="NormalHanging12a"/>
      </w:pPr>
      <w:r w:rsidRPr="00BC3448">
        <w:t>–</w:t>
      </w:r>
      <w:r w:rsidRPr="00BC3448">
        <w:tab/>
        <w:t>uzimajući u obzir Prijedlog Komisije upućen Europskom parlamentu i Vijeću (COM(2023)0217),</w:t>
      </w:r>
    </w:p>
    <w:p w:rsidR="009E572A" w:rsidRPr="00BC3448" w:rsidRDefault="009E572A" w:rsidP="009E572A">
      <w:pPr>
        <w:pStyle w:val="NormalHanging12a"/>
      </w:pPr>
      <w:r w:rsidRPr="00BC3448">
        <w:t>–</w:t>
      </w:r>
      <w:r w:rsidRPr="00BC3448">
        <w:tab/>
        <w:t>uzimajući u obzir članak 294. stavak 2. i članak 114. Ugovora o funkcioniranju Europske unije, u skladu s kojima je Komisija podnijela Prijedlog Parlamentu (C9</w:t>
      </w:r>
      <w:r w:rsidRPr="00BC3448">
        <w:noBreakHyphen/>
        <w:t>0154/2023),</w:t>
      </w:r>
    </w:p>
    <w:p w:rsidR="009E572A" w:rsidRPr="00BC3448" w:rsidRDefault="009E572A" w:rsidP="009E572A">
      <w:pPr>
        <w:pStyle w:val="NormalHanging12a"/>
        <w:jc w:val="both"/>
      </w:pPr>
      <w:r w:rsidRPr="00BC3448">
        <w:t>–</w:t>
      </w:r>
      <w:r w:rsidRPr="00BC3448">
        <w:tab/>
        <w:t>uzimajući u obzir članak 294. stavak 3. Ugovora o funkcioniranju Europske unije,</w:t>
      </w:r>
    </w:p>
    <w:p w:rsidR="009E572A" w:rsidRPr="00BC3448" w:rsidRDefault="009E572A" w:rsidP="009E572A">
      <w:pPr>
        <w:pStyle w:val="NormalHanging12a"/>
        <w:jc w:val="both"/>
      </w:pPr>
      <w:r w:rsidRPr="00BC3448">
        <w:t>–</w:t>
      </w:r>
      <w:r w:rsidRPr="00BC3448">
        <w:tab/>
        <w:t>uzimajući u obzir mišljenje Europskoga gospodarskog i socijalnog odbora od 12. srpnja 2023.</w:t>
      </w:r>
      <w:r w:rsidRPr="00BC3448">
        <w:rPr>
          <w:vertAlign w:val="superscript"/>
        </w:rPr>
        <w:footnoteReference w:id="1"/>
      </w:r>
      <w:r w:rsidRPr="00BC3448">
        <w:t>,</w:t>
      </w:r>
    </w:p>
    <w:p w:rsidR="009E572A" w:rsidRPr="00BC3448" w:rsidRDefault="009E572A" w:rsidP="009E572A">
      <w:pPr>
        <w:pStyle w:val="NormalHanging12a"/>
      </w:pPr>
      <w:r w:rsidRPr="00BC3448">
        <w:t>–</w:t>
      </w:r>
      <w:r w:rsidRPr="00BC3448">
        <w:tab/>
        <w:t>uzimajući u obzir članak 59. Poslovnika,</w:t>
      </w:r>
    </w:p>
    <w:p w:rsidR="009E572A" w:rsidRPr="00BC3448" w:rsidRDefault="009E572A" w:rsidP="009E572A">
      <w:pPr>
        <w:pStyle w:val="NormalHanging12a"/>
      </w:pPr>
      <w:r w:rsidRPr="00BC3448">
        <w:t>–</w:t>
      </w:r>
      <w:r w:rsidRPr="00BC3448">
        <w:tab/>
        <w:t>uzimajući u obzir mišljenje Odbora za unutarnje tržište i zaštitu potrošača,</w:t>
      </w:r>
    </w:p>
    <w:p w:rsidR="009E572A" w:rsidRPr="00BC3448" w:rsidRDefault="009E572A" w:rsidP="009E572A">
      <w:pPr>
        <w:pStyle w:val="NormalHanging12a"/>
      </w:pPr>
      <w:r w:rsidRPr="00BC3448">
        <w:t>–</w:t>
      </w:r>
      <w:r w:rsidRPr="00BC3448">
        <w:tab/>
        <w:t>uzimajući u obzir izvješće Odbora za okoliš, javno zdravlje i sigurnost hrane (A9</w:t>
      </w:r>
      <w:r w:rsidRPr="00BC3448">
        <w:noBreakHyphen/>
        <w:t>0039/2024),</w:t>
      </w:r>
    </w:p>
    <w:p w:rsidR="009E572A" w:rsidRPr="00BC3448" w:rsidRDefault="009E572A" w:rsidP="009E572A">
      <w:pPr>
        <w:pStyle w:val="NormalHanging12a"/>
      </w:pPr>
      <w:r w:rsidRPr="00BC3448">
        <w:t>1.</w:t>
      </w:r>
      <w:r w:rsidRPr="00BC3448">
        <w:tab/>
        <w:t>usvaja sljedeće stajalište u prvom čitanju;</w:t>
      </w:r>
    </w:p>
    <w:p w:rsidR="009E572A" w:rsidRPr="00BC3448" w:rsidRDefault="009E572A" w:rsidP="009E572A">
      <w:pPr>
        <w:pStyle w:val="NormalHanging12a"/>
      </w:pPr>
      <w:r w:rsidRPr="00BC3448">
        <w:t>2.</w:t>
      </w:r>
      <w:r w:rsidRPr="00BC3448">
        <w:tab/>
        <w:t>poziva Komisiju da predmet ponovno uputi Parlamentu ako zamijeni, bitno izmijeni ili namjerava bitno izmijeniti svoj Prijedlog;</w:t>
      </w:r>
    </w:p>
    <w:p w:rsidR="009E572A" w:rsidRPr="00BC3448" w:rsidRDefault="009E572A" w:rsidP="009E572A">
      <w:pPr>
        <w:pStyle w:val="NormalHanging12a"/>
      </w:pPr>
      <w:r w:rsidRPr="00BC3448">
        <w:lastRenderedPageBreak/>
        <w:t>3.</w:t>
      </w:r>
      <w:r w:rsidRPr="00BC3448">
        <w:tab/>
        <w:t>nalaže svojoj predsjednici da stajalište Parlamenta proslijedi Vijeću, Komisiji i nacionalnim parlamentima.</w:t>
      </w:r>
    </w:p>
    <w:p w:rsidR="001169ED" w:rsidRPr="00BC3448" w:rsidRDefault="001169ED" w:rsidP="009E572A">
      <w:pPr>
        <w:widowControl/>
        <w:sectPr w:rsidR="001169ED" w:rsidRPr="00BC3448" w:rsidSect="005D3E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69ED" w:rsidRPr="00BC3448" w:rsidRDefault="001169ED" w:rsidP="001169ED">
      <w:pPr>
        <w:widowControl/>
        <w:spacing w:after="120" w:line="360" w:lineRule="auto"/>
        <w:rPr>
          <w:rFonts w:eastAsia="Calibri"/>
          <w:b/>
          <w:bCs/>
          <w:color w:val="000000"/>
          <w:szCs w:val="24"/>
        </w:rPr>
      </w:pPr>
      <w:r w:rsidRPr="00BC3448">
        <w:rPr>
          <w:rFonts w:eastAsia="Calibri"/>
          <w:b/>
          <w:bCs/>
          <w:color w:val="000000"/>
          <w:szCs w:val="24"/>
        </w:rPr>
        <w:lastRenderedPageBreak/>
        <w:t>P9_TC1-COD(2023)0124</w:t>
      </w:r>
    </w:p>
    <w:p w:rsidR="001169ED" w:rsidRPr="00BC3448" w:rsidRDefault="001169ED" w:rsidP="001169ED">
      <w:pPr>
        <w:widowControl/>
        <w:rPr>
          <w:b/>
          <w:szCs w:val="24"/>
          <w:lang w:eastAsia="en-US"/>
        </w:rPr>
      </w:pPr>
      <w:r w:rsidRPr="00BC3448">
        <w:rPr>
          <w:b/>
        </w:rPr>
        <w:t xml:space="preserve">Stajalište Europskog parlamenta usvojeno u prvom čitanju 27. veljače 2024. radi donošenja Uredbe (EU) 2024/... Europskog parlamenta i Vijeća </w:t>
      </w:r>
      <w:r w:rsidRPr="00BC3448">
        <w:rPr>
          <w:b/>
          <w:szCs w:val="24"/>
          <w:lang w:eastAsia="en-US"/>
        </w:rPr>
        <w:t>o deterdžentima i površinski aktivnim tvarima, izmjeni Uredbe (EU) 2019/1020 i stavljanju izvan snage Uredbe (EZ) br. 648/2004</w:t>
      </w:r>
    </w:p>
    <w:p w:rsidR="001169ED" w:rsidRPr="00BC3448" w:rsidRDefault="001169ED" w:rsidP="001169ED">
      <w:pPr>
        <w:widowControl/>
        <w:spacing w:before="360" w:after="240" w:line="360" w:lineRule="auto"/>
        <w:jc w:val="center"/>
        <w:rPr>
          <w:szCs w:val="24"/>
          <w:lang w:eastAsia="en-US"/>
        </w:rPr>
      </w:pPr>
      <w:r w:rsidRPr="00BC3448">
        <w:rPr>
          <w:szCs w:val="24"/>
          <w:lang w:eastAsia="en-US"/>
        </w:rPr>
        <w:t>(Tekst značajan za EGP)</w:t>
      </w:r>
    </w:p>
    <w:p w:rsidR="001169ED" w:rsidRPr="00BC3448" w:rsidRDefault="001169ED" w:rsidP="001169ED">
      <w:pPr>
        <w:keepNext/>
        <w:spacing w:before="600" w:after="120" w:line="360" w:lineRule="auto"/>
        <w:rPr>
          <w:szCs w:val="24"/>
          <w:lang w:eastAsia="en-US"/>
        </w:rPr>
      </w:pPr>
      <w:r w:rsidRPr="00BC3448">
        <w:rPr>
          <w:szCs w:val="24"/>
          <w:lang w:eastAsia="en-US"/>
        </w:rPr>
        <w:t>EUROPSKI PARLAMENT I VIJEĆE EUROPSKE UNIJE,</w:t>
      </w:r>
    </w:p>
    <w:p w:rsidR="001169ED" w:rsidRPr="00BC3448" w:rsidRDefault="001169ED" w:rsidP="001169ED">
      <w:pPr>
        <w:spacing w:before="120" w:after="120" w:line="360" w:lineRule="auto"/>
        <w:rPr>
          <w:lang w:eastAsia="en-US"/>
        </w:rPr>
      </w:pPr>
      <w:r w:rsidRPr="00BC3448">
        <w:rPr>
          <w:lang w:eastAsia="en-US"/>
        </w:rPr>
        <w:t>uzimajući u obzir Ugovor o funkcioniranju Europske Unije, a posebno njegov članak 114.,</w:t>
      </w:r>
    </w:p>
    <w:p w:rsidR="001169ED" w:rsidRPr="00BC3448" w:rsidRDefault="001169ED" w:rsidP="001169ED">
      <w:pPr>
        <w:spacing w:before="120" w:after="120" w:line="360" w:lineRule="auto"/>
        <w:rPr>
          <w:lang w:eastAsia="en-US"/>
        </w:rPr>
      </w:pPr>
      <w:r w:rsidRPr="00BC3448">
        <w:rPr>
          <w:lang w:eastAsia="en-US"/>
        </w:rPr>
        <w:t>uzimajući u obzir prijedlog Europske komisije,</w:t>
      </w:r>
    </w:p>
    <w:p w:rsidR="001169ED" w:rsidRPr="00BC3448" w:rsidRDefault="001169ED" w:rsidP="001169ED">
      <w:pPr>
        <w:spacing w:before="120" w:after="120" w:line="360" w:lineRule="auto"/>
        <w:rPr>
          <w:lang w:eastAsia="en-US"/>
        </w:rPr>
      </w:pPr>
      <w:r w:rsidRPr="00BC3448">
        <w:rPr>
          <w:lang w:eastAsia="en-US"/>
        </w:rPr>
        <w:t>nakon prosljeđivanja nacrta zakonodavnog akta nacionalnim parlamentima,</w:t>
      </w:r>
    </w:p>
    <w:p w:rsidR="001169ED" w:rsidRPr="00BC3448" w:rsidRDefault="001169ED" w:rsidP="001169ED">
      <w:pPr>
        <w:spacing w:before="120" w:after="120" w:line="360" w:lineRule="auto"/>
        <w:rPr>
          <w:lang w:eastAsia="en-US"/>
        </w:rPr>
      </w:pPr>
      <w:r w:rsidRPr="00BC3448">
        <w:rPr>
          <w:lang w:eastAsia="en-US"/>
        </w:rPr>
        <w:t>uzimajući u obzir mišljenje Europskog gospodarskog i socijalnog odbora</w:t>
      </w:r>
      <w:r w:rsidRPr="00BC3448">
        <w:rPr>
          <w:vertAlign w:val="superscript"/>
          <w:lang w:eastAsia="en-US"/>
        </w:rPr>
        <w:footnoteReference w:id="2"/>
      </w:r>
      <w:r w:rsidRPr="00BC3448">
        <w:rPr>
          <w:lang w:eastAsia="en-US"/>
        </w:rPr>
        <w:t>,</w:t>
      </w:r>
    </w:p>
    <w:p w:rsidR="001169ED" w:rsidRPr="00BC3448" w:rsidRDefault="001169ED" w:rsidP="001169ED">
      <w:pPr>
        <w:spacing w:before="120" w:after="120" w:line="360" w:lineRule="auto"/>
        <w:rPr>
          <w:lang w:eastAsia="en-US"/>
        </w:rPr>
      </w:pPr>
      <w:r w:rsidRPr="00BC3448">
        <w:rPr>
          <w:lang w:eastAsia="en-US"/>
        </w:rPr>
        <w:t>u skladu s redovnim zakonodavnim postupkom,</w:t>
      </w:r>
    </w:p>
    <w:p w:rsidR="001169ED" w:rsidRPr="00BC3448" w:rsidRDefault="001169ED" w:rsidP="001169ED">
      <w:pPr>
        <w:spacing w:before="120" w:after="120" w:line="360" w:lineRule="auto"/>
        <w:rPr>
          <w:lang w:eastAsia="en-US"/>
        </w:rPr>
      </w:pPr>
      <w:r w:rsidRPr="00BC3448">
        <w:rPr>
          <w:lang w:eastAsia="en-US"/>
        </w:rPr>
        <w:br w:type="page"/>
      </w:r>
    </w:p>
    <w:p w:rsidR="001169ED" w:rsidRPr="00BC3448" w:rsidRDefault="001169ED" w:rsidP="001169ED">
      <w:pPr>
        <w:spacing w:before="120" w:after="120" w:line="360" w:lineRule="auto"/>
        <w:rPr>
          <w:lang w:eastAsia="en-US"/>
        </w:rPr>
      </w:pPr>
      <w:r w:rsidRPr="00BC3448">
        <w:rPr>
          <w:lang w:eastAsia="en-US"/>
        </w:rPr>
        <w:t>budući da: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Uvjeti za stavljanje na tržište i na raspolaganje na tržištu deterdženata i površinski aktivnih tvari za deterdžente usklađeni su Uredbom (EZ) br. 648/2004 Europskog parlamenta i Vijeća</w:t>
      </w:r>
      <w:r w:rsidRPr="00BC3448">
        <w:rPr>
          <w:szCs w:val="24"/>
          <w:vertAlign w:val="superscript"/>
          <w:lang w:eastAsia="en-US"/>
        </w:rPr>
        <w:footnoteReference w:id="3"/>
      </w:r>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U Komisijinoj evaluaciji Uredbe (EZ) br. 648/2004</w:t>
      </w:r>
      <w:r w:rsidRPr="00BC3448">
        <w:rPr>
          <w:szCs w:val="24"/>
          <w:vertAlign w:val="superscript"/>
          <w:lang w:eastAsia="en-US"/>
        </w:rPr>
        <w:footnoteReference w:id="4"/>
      </w:r>
      <w:r w:rsidRPr="00BC3448">
        <w:rPr>
          <w:szCs w:val="24"/>
          <w:lang w:eastAsia="en-US"/>
        </w:rPr>
        <w:t xml:space="preserve"> zaključeno je da su sveukupno gledano ciljevi te uredbe u velikoj mjeri ostvareni. Međutim, evaluacijom su utvrđeni brojni nedostaci i područja u kojima su potrebna poboljšanja. Posljednjih se godina regulatorni okvir za kemikalije radikalno promijenio, što je dovelo do nedostatka usklađenosti i udvostručavanja pravila koja se primjenjuju na deterdžente, a posebno na zahtjeve za informiranje. Stoga je potrebno osigurati dosljednost i ukloniti dvostruke zahtjeve za informiranje.</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Pojavila su se nova kretanja na tržištu, posebno razvoj deterdženata koji sadržavaju mikroorganizme i prodaja ponovnog punjenja za deterdžente, koja ili u cijelosti ili djelomično nisu obuhvaćena Uredbom (EZ) br. 648/2004. S druge strane, digitalizacija pruža mogućnosti za pojednostavnjenje, smanjenje opterećenja i lakšu upotrebu i razumljivost informacija o sigurnosti i upotrebi koje trenutačno nedostaju. Stoga je potrebno uzeti u obzir nove proizvode i praksu i još intenzivnije raditi na digitalizaciji u skladu s općim ciljevima Unije koji se posebno odnose na održivost te zelenu i digitalnu tranziciju.</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Provjerom primjerenosti najrelevantnijeg zakonodavstva o kemikalijama</w:t>
      </w:r>
      <w:r w:rsidRPr="00BC3448">
        <w:rPr>
          <w:szCs w:val="24"/>
          <w:vertAlign w:val="superscript"/>
          <w:lang w:eastAsia="en-US"/>
        </w:rPr>
        <w:footnoteReference w:id="5"/>
      </w:r>
      <w:r w:rsidRPr="00BC3448">
        <w:rPr>
          <w:szCs w:val="24"/>
          <w:lang w:eastAsia="en-US"/>
        </w:rPr>
        <w:t xml:space="preserve"> (osim Uredbe (EZ) br. 1907/2006 Europskog parlamenta i Vijeća</w:t>
      </w:r>
      <w:r w:rsidRPr="00BC3448">
        <w:rPr>
          <w:szCs w:val="24"/>
          <w:vertAlign w:val="superscript"/>
          <w:lang w:eastAsia="en-US"/>
        </w:rPr>
        <w:footnoteReference w:id="6"/>
      </w:r>
      <w:r w:rsidRPr="00BC3448">
        <w:rPr>
          <w:szCs w:val="24"/>
          <w:lang w:eastAsia="en-US"/>
        </w:rPr>
        <w:t>) izašla je na vidjelo složenost regulatornog okvira Unije za kemikalije zbog velikog broja propisa za proizvode i sektorskih propisa koji su međusobno povezani. Istaknuto je i da je moguće pojednostavniti informiranje korisnika proizvoda koje se sad provodi oznakama na kojima je previše informacija i utvrđeno da se upotreba inovativnih alata za priopćavanje informacija o proizvodima trenutačno ne iskorištava. Stoga je potrebno pojednostavniti postojeća pravila kako bi se smanjilo opterećenje gospodarskih subjekata, poboljšalo njihovo razumijevanje kod potrošača i olakšao nadzor tržišta. Uredbu (EZ) br. 648/2004 trebalo bi stoga zamijeniti.</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Odlukom br. 768/2008/EZ Europskog parlamenta i Vijeća</w:t>
      </w:r>
      <w:r w:rsidRPr="00BC3448">
        <w:rPr>
          <w:szCs w:val="24"/>
          <w:vertAlign w:val="superscript"/>
          <w:lang w:eastAsia="en-US"/>
        </w:rPr>
        <w:footnoteReference w:id="7"/>
      </w:r>
      <w:r w:rsidRPr="00BC3448">
        <w:rPr>
          <w:szCs w:val="24"/>
          <w:lang w:eastAsia="en-US"/>
        </w:rPr>
        <w:t xml:space="preserve"> utvrđuju se zajednička načela i referentne odredbe za primjenu u sektorskom zakonodavstvu kako bi se osigurala usklađena osnova za reviziju tog zakonodavstva. Novi pravni okvir za deterdžente i površinski aktivne tvari trebalo bi u najvećoj mogućoj mjeri uskladiti s tim zajedničkim načelima i referentnim odredbama.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 xml:space="preserve">Kako bi se osigurala pravna sigurnost i jednaki uvjeti za gospodarske subjekte, definicija deterdženta trebala bi obuhvaćati sve proizvode obuhvaćene područjem primjene usklađivanja, uključujući </w:t>
      </w:r>
      <w:proofErr w:type="spellStart"/>
      <w:r w:rsidRPr="00BC3448">
        <w:rPr>
          <w:szCs w:val="24"/>
          <w:lang w:eastAsia="en-US"/>
        </w:rPr>
        <w:t>novorazvijene</w:t>
      </w:r>
      <w:proofErr w:type="spellEnd"/>
      <w:r w:rsidRPr="00BC3448">
        <w:rPr>
          <w:szCs w:val="24"/>
          <w:lang w:eastAsia="en-US"/>
        </w:rPr>
        <w:t xml:space="preserve"> deterdžente koji sadržavaju namjerno dodane mikroorganizme. Definicija bi trebala obuhvaćati i proizvode za čišćenje površine voća i povrća.</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Budući da se površinski aktivne tvari prvenstveno prodaju u transakcijama među poduzećima kako bi se upotrebljavale u proizvodnji deterdženata, ne moraju podlijegati istim zahtjevima kao i deterdženti. Stoga bi trebalo utvrditi minimalna pravila za površinski aktivne tvari, odnosno pravila o konačnoj biorazgradivosti, minimalni skup informacija na oznakama i obvezu gospodarskih subjekata da sastave tehničku dokumentaciju i izrade putovnicu za proizvode.</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Ova Uredba, kojom bi se trebala dopuniti postojeća pravila utvrđena drugim zakonodavnim instrumentima, ne bi trebala utjecati na primjenu postojećeg zakonodavstva Unije koje se odnosi na aspekte zaštite zdravlja, sigurnosti i okoliša koji nisu obuhvaćeni ovom Uredbom. Konkretno, ova bi se Uredba trebala primjenjivati ne dovodeći u pitanje Uredbu (EZ) br. 1907/2006, Uredbu (EU) br. 528/2012 Europskog parlamenta i Vijeća</w:t>
      </w:r>
      <w:r w:rsidRPr="00BC3448">
        <w:rPr>
          <w:szCs w:val="24"/>
          <w:vertAlign w:val="superscript"/>
          <w:lang w:eastAsia="en-US"/>
        </w:rPr>
        <w:footnoteReference w:id="8"/>
      </w:r>
      <w:r w:rsidRPr="00BC3448">
        <w:rPr>
          <w:szCs w:val="24"/>
          <w:lang w:eastAsia="en-US"/>
        </w:rPr>
        <w:t xml:space="preserve"> i Uredbu (EZ) br. 1272/2008 Europskog parlamenta i Vijeća</w:t>
      </w:r>
      <w:r w:rsidRPr="00BC3448">
        <w:rPr>
          <w:szCs w:val="24"/>
          <w:vertAlign w:val="superscript"/>
          <w:lang w:eastAsia="en-US"/>
        </w:rPr>
        <w:footnoteReference w:id="9"/>
      </w:r>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Površinski aktivne tvari su one koje imaju svojstvo površinskog djelovanja i pomažu u razgradnji barijere između vode i ulja ili prljavštine. Jedan su od glavnih sastojaka deterdženata. Međutim, površinski aktivne tvari mogu predstavljati rizik za okoliš jer se ispuštaju u kanalizacijske sustave ili izravno u površinske vode. Kako bi se spriječili potencijalni štetni učinci površinski aktivnih tvari na okoliš, potrebno je utvrditi zahtjeve za njihovu potpunu biorazgradivost i u slučajevima kad se na tržište stavljaju pojedinačno i za upotrebu u deterdžentima i kad su u sastavu deterdženata.</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(9a)</w:t>
      </w:r>
      <w:r w:rsidRPr="00BC3448">
        <w:rPr>
          <w:szCs w:val="24"/>
          <w:lang w:eastAsia="en-US"/>
        </w:rPr>
        <w:tab/>
      </w:r>
      <w:r w:rsidRPr="00BC3448">
        <w:rPr>
          <w:b/>
          <w:i/>
          <w:szCs w:val="24"/>
          <w:lang w:eastAsia="en-US"/>
        </w:rPr>
        <w:t>Postoje tvari koje se upotrebljavaju u deterdžentima koje nisu površinski aktivne tvari i koje bi mogle ostati u otpadnim vodama nakon uporabe, a ako ih poduzeća za odvodnju ne uklone skupim procesima, ostaju i gomilaju se u okolišu. Kako bi se olakšale inovacije i uklonili potencijalni rizici za zdravlje i okoliš, potrebno je postaviti srednjoročni cilj kojim se osigurava da su deterdženti u cjelini inherentno biorazgradivi. Kako bi se proizvođačima dalo dovoljno vremena za prilagodbu formulacija proizvoda, potrebno je dovoljno unaprijed odrediti dovoljno duga prijelazna razdoblja i relevantne kriterije ispitivanja.</w:t>
      </w:r>
      <w:r w:rsidR="0067391F" w:rsidRPr="00BC3448">
        <w:rPr>
          <w:b/>
          <w:szCs w:val="24"/>
          <w:lang w:eastAsia="en-US"/>
        </w:rPr>
        <w:t xml:space="preserve"> [Am. 1.]</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(10)</w:t>
      </w:r>
      <w:r w:rsidRPr="00BC3448">
        <w:rPr>
          <w:szCs w:val="24"/>
          <w:lang w:eastAsia="en-US"/>
        </w:rPr>
        <w:tab/>
        <w:t>Fosfor je</w:t>
      </w:r>
      <w:r w:rsidRPr="00BC3448">
        <w:rPr>
          <w:strike/>
          <w:szCs w:val="24"/>
          <w:lang w:eastAsia="en-US"/>
        </w:rPr>
        <w:t xml:space="preserve"> ključni</w:t>
      </w:r>
      <w:r w:rsidRPr="00BC3448">
        <w:rPr>
          <w:szCs w:val="24"/>
          <w:lang w:eastAsia="en-US"/>
        </w:rPr>
        <w:t xml:space="preserve"> sastojak koji se upotrebljava u deterdžentima. Međutim, fosfor i njegovi spojevi </w:t>
      </w:r>
      <w:r w:rsidRPr="00BC3448">
        <w:rPr>
          <w:strike/>
          <w:szCs w:val="24"/>
          <w:lang w:eastAsia="en-US"/>
        </w:rPr>
        <w:t xml:space="preserve">mogu </w:t>
      </w:r>
      <w:proofErr w:type="spellStart"/>
      <w:r w:rsidRPr="00BC3448">
        <w:rPr>
          <w:strike/>
          <w:szCs w:val="24"/>
          <w:lang w:eastAsia="en-US"/>
        </w:rPr>
        <w:t>naštetiti</w:t>
      </w:r>
      <w:r w:rsidRPr="00BC3448">
        <w:rPr>
          <w:b/>
          <w:i/>
          <w:szCs w:val="24"/>
          <w:lang w:eastAsia="en-US"/>
        </w:rPr>
        <w:t>u</w:t>
      </w:r>
      <w:proofErr w:type="spellEnd"/>
      <w:r w:rsidRPr="00BC3448">
        <w:rPr>
          <w:b/>
          <w:i/>
          <w:szCs w:val="24"/>
          <w:lang w:eastAsia="en-US"/>
        </w:rPr>
        <w:t xml:space="preserve"> znatnoj mjeri štete</w:t>
      </w:r>
      <w:r w:rsidRPr="00BC3448">
        <w:rPr>
          <w:szCs w:val="24"/>
          <w:lang w:eastAsia="en-US"/>
        </w:rPr>
        <w:t xml:space="preserve"> ekosustavima i vodenim okolišima jer pridonose eutrofikaciji. Kako bi se dodatno osigurala visoka razina zaštite okoliša i smanjio doprinos deterdženata toj pojavi, potrebno je utvrditi usklađene granične vrijednosti za udio fosfata i spojeva fosfora u </w:t>
      </w:r>
      <w:r w:rsidRPr="00BC3448">
        <w:rPr>
          <w:strike/>
          <w:szCs w:val="24"/>
          <w:lang w:eastAsia="en-US"/>
        </w:rPr>
        <w:t xml:space="preserve">deterdžentima za pranje rublja </w:t>
      </w:r>
      <w:proofErr w:type="spellStart"/>
      <w:r w:rsidRPr="00BC3448">
        <w:rPr>
          <w:strike/>
          <w:szCs w:val="24"/>
          <w:lang w:eastAsia="en-US"/>
        </w:rPr>
        <w:t>i</w:t>
      </w:r>
      <w:r w:rsidRPr="00BC3448">
        <w:rPr>
          <w:b/>
          <w:i/>
          <w:szCs w:val="24"/>
          <w:lang w:eastAsia="en-US"/>
        </w:rPr>
        <w:t>određenim</w:t>
      </w:r>
      <w:proofErr w:type="spellEnd"/>
      <w:r w:rsidRPr="00BC3448">
        <w:rPr>
          <w:szCs w:val="24"/>
          <w:lang w:eastAsia="en-US"/>
        </w:rPr>
        <w:t xml:space="preserve"> deterdžentima</w:t>
      </w:r>
      <w:r w:rsidRPr="00BC3448">
        <w:rPr>
          <w:strike/>
          <w:szCs w:val="24"/>
          <w:lang w:eastAsia="en-US"/>
        </w:rPr>
        <w:t xml:space="preserve"> za strojno pranje posuđa</w:t>
      </w:r>
      <w:r w:rsidRPr="00BC3448">
        <w:rPr>
          <w:szCs w:val="24"/>
          <w:lang w:eastAsia="en-US"/>
        </w:rPr>
        <w:t xml:space="preserve"> koji se koriste u kućanstvu</w:t>
      </w:r>
      <w:r w:rsidRPr="00BC3448">
        <w:rPr>
          <w:strike/>
          <w:szCs w:val="24"/>
          <w:lang w:eastAsia="en-US"/>
        </w:rPr>
        <w:t>. Slična ograničenja nisu potrebna za druge vrste deterdženata ili zato što njihov doprinos nije znatan ili zato što trenutačno nisu dostupne prikladne alternative</w:t>
      </w:r>
      <w:r w:rsidRPr="00BC3448">
        <w:rPr>
          <w:b/>
          <w:i/>
          <w:szCs w:val="24"/>
          <w:lang w:eastAsia="en-US"/>
        </w:rPr>
        <w:t xml:space="preserve"> i industrijskim deterdžentima</w:t>
      </w:r>
      <w:r w:rsidRPr="00BC3448">
        <w:rPr>
          <w:szCs w:val="24"/>
          <w:lang w:eastAsia="en-US"/>
        </w:rPr>
        <w:t>.</w:t>
      </w:r>
      <w:r w:rsidR="0067391F" w:rsidRPr="00BC3448">
        <w:rPr>
          <w:b/>
          <w:szCs w:val="24"/>
          <w:lang w:eastAsia="en-US"/>
        </w:rPr>
        <w:t xml:space="preserve"> [Am. 2.]</w:t>
      </w:r>
    </w:p>
    <w:p w:rsidR="001169ED" w:rsidRPr="00BC3448" w:rsidRDefault="001169ED" w:rsidP="001169ED">
      <w:pPr>
        <w:spacing w:before="120" w:after="120" w:line="360" w:lineRule="auto"/>
        <w:ind w:left="850" w:hanging="850"/>
        <w:rPr>
          <w:szCs w:val="24"/>
          <w:lang w:eastAsia="en-US"/>
        </w:rPr>
      </w:pPr>
      <w:r w:rsidRPr="00BC3448">
        <w:rPr>
          <w:szCs w:val="24"/>
          <w:lang w:eastAsia="en-US"/>
        </w:rPr>
        <w:t>(11)</w:t>
      </w:r>
      <w:r w:rsidRPr="00BC3448">
        <w:rPr>
          <w:szCs w:val="24"/>
          <w:lang w:eastAsia="en-US"/>
        </w:rPr>
        <w:tab/>
        <w:t>Posljednjih su godina razvijeni novi proizvodi za čišćenje koji sadržavaju žive mikroorganizme kao aktivne sastojke. Mikroorganizmi imaju vlastitu biologiju i reakciju na okoliš. Zbog njihove sposobnosti razmnožavanja postoji jasna razlika između konvencionalnih deterdženata i deterdženata s mikroorganizmima. Stoga svojstvene opasnosti i nastali rizici nisu nužno iste prirode kao oni koje uzrokuju kemikalije, osobito s obzirom na sposobnosti mikroorganizama da opstanu i razmnožavaju se u različitim okruženjima te da proizvode niz različitih metabolita i toksina koji mogu biti toksikološki relevantni.</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(12)</w:t>
      </w:r>
      <w:r w:rsidRPr="00BC3448">
        <w:rPr>
          <w:szCs w:val="24"/>
          <w:lang w:eastAsia="en-US"/>
        </w:rPr>
        <w:tab/>
        <w:t>Budući da mikroorganizmi ne podliježu registraciji u skladu s Uredbom (EZ) br. 1907/2006 ni bilo kojem drugom zakonodavstvu Unije kojim se od proizvođača zahtijeva da dokažu da je predviđena upotreba sigurna, trebali bi biti prihvatljivi za upotrebu u deterdžentima samo u mjeri u kojoj su jasno identificirani i popraćeni podacima kojima se dokazuje da je njihova upotreba sigurna, a podložno posebnim zahtjevima kojima se uređuje njihova sigurnost. Stoga bi trebalo utvrditi usklađena pravila kojima se uređuje sigurnost upotrebe mikroorganizama u deterdžentima i odgovarajuće metode ispitivanja kojima gospodarski subjekti mogu dokazali sukladnost s tim pravilima. Potrebno je uvesti ograničenja za obliku u kojem se na tržište stavljaju deterdženti koji sadržavaju mikroorganizme kad sadržavaju sastojke koji izazivaju preosjetljivost. Kako bi se osigurala visoka razina zaštite zdravlja ljudi, čak i kod preosjetljivih osoba, deterdžente koji sadržavaju mikroorganizme i koji se stavljaju na tržište u obliku raspršivača trebalo bi stoga smatrati sigurnima za upotrebu u tom obliku.</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(12a)</w:t>
      </w:r>
      <w:r w:rsidRPr="00BC3448">
        <w:rPr>
          <w:szCs w:val="24"/>
          <w:lang w:eastAsia="en-US"/>
        </w:rPr>
        <w:tab/>
      </w:r>
      <w:r w:rsidRPr="00BC3448">
        <w:rPr>
          <w:b/>
          <w:i/>
          <w:szCs w:val="24"/>
          <w:lang w:eastAsia="en-US"/>
        </w:rPr>
        <w:t>U skladu s Direktivom 2010/63/EU Europskog parlamenta i Vijeća</w:t>
      </w:r>
      <w:r w:rsidRPr="00BC3448">
        <w:rPr>
          <w:szCs w:val="24"/>
          <w:vertAlign w:val="superscript"/>
          <w:lang w:eastAsia="en-US"/>
        </w:rPr>
        <w:footnoteReference w:id="10"/>
      </w:r>
      <w:r w:rsidRPr="00BC3448">
        <w:rPr>
          <w:b/>
          <w:i/>
          <w:szCs w:val="24"/>
          <w:lang w:eastAsia="en-US"/>
        </w:rPr>
        <w:t xml:space="preserve"> potrebno je zamijeniti, smanjiti ili poboljšati upotrebu životinja u postupcima s ciljem zaustavljanja upotrebe životinja za ispitivanje što je prije moguće. Stavljanje na tržište deterdženata i površinski aktivnih tvari koji su ispitivani na životinjama kako bi se ispunili zahtjevi ove Uredbe trebalo bi stoga općenito zabraniti, istodobno osiguravajući zaštitu zdravlja ljudi i omogućujući upotrebu povijesnih podataka. Komisija bi prema potrebi trebala </w:t>
      </w:r>
      <w:proofErr w:type="spellStart"/>
      <w:r w:rsidRPr="00BC3448">
        <w:rPr>
          <w:b/>
          <w:i/>
          <w:szCs w:val="24"/>
          <w:lang w:eastAsia="en-US"/>
        </w:rPr>
        <w:t>validirati</w:t>
      </w:r>
      <w:proofErr w:type="spellEnd"/>
      <w:r w:rsidRPr="00BC3448">
        <w:rPr>
          <w:b/>
          <w:i/>
          <w:szCs w:val="24"/>
          <w:lang w:eastAsia="en-US"/>
        </w:rPr>
        <w:t xml:space="preserve"> relevantne alternativne metode ispitivanja i odstupanja te poticati razmjenu informacija među svim relevantnim dionicima kako bi se podržao razvoj metoda ispitivanja koje ne uključuju životinje, uzimajući u obzir primjenjivo pravo Unije o zaštiti neobjavljenih poslovnih informacija i javnom pristupu informacijama o okolišu.</w:t>
      </w:r>
      <w:r w:rsidR="0067391F" w:rsidRPr="00BC3448">
        <w:rPr>
          <w:b/>
          <w:szCs w:val="24"/>
          <w:lang w:eastAsia="en-US"/>
        </w:rPr>
        <w:t xml:space="preserve"> [Am. 3.]</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(12b)</w:t>
      </w:r>
      <w:r w:rsidRPr="00BC3448">
        <w:rPr>
          <w:szCs w:val="24"/>
          <w:lang w:eastAsia="en-US"/>
        </w:rPr>
        <w:tab/>
      </w:r>
      <w:r w:rsidRPr="00BC3448">
        <w:rPr>
          <w:b/>
          <w:i/>
          <w:szCs w:val="24"/>
          <w:lang w:eastAsia="en-US"/>
        </w:rPr>
        <w:t>Upotreba tvrdnje „bez ispitivanja na životinjama” ili sličnih tvrdnji trebala bi biti dopuštena samo ako se osigura da tijekom proizvodnje i ispitivanja sukladnosti nije bilo ispitivanja na životinjama. Slično tome, proizvođačima bi trebalo dopustiti da tvrde da je proizvod „</w:t>
      </w:r>
      <w:proofErr w:type="spellStart"/>
      <w:r w:rsidRPr="00BC3448">
        <w:rPr>
          <w:b/>
          <w:i/>
          <w:szCs w:val="24"/>
          <w:lang w:eastAsia="en-US"/>
        </w:rPr>
        <w:t>veganski</w:t>
      </w:r>
      <w:proofErr w:type="spellEnd"/>
      <w:r w:rsidRPr="00BC3448">
        <w:rPr>
          <w:b/>
          <w:i/>
          <w:szCs w:val="24"/>
          <w:lang w:eastAsia="en-US"/>
        </w:rPr>
        <w:t xml:space="preserve">” ili sličan samo ako tijekom proizvodnje ili razvoja proizvoda nisu upotrijebljeni sastojci životinjskog podrijetla, kao što su želatina, </w:t>
      </w:r>
      <w:proofErr w:type="spellStart"/>
      <w:r w:rsidRPr="00BC3448">
        <w:rPr>
          <w:b/>
          <w:i/>
          <w:szCs w:val="24"/>
          <w:lang w:eastAsia="en-US"/>
        </w:rPr>
        <w:t>kolesterin</w:t>
      </w:r>
      <w:proofErr w:type="spellEnd"/>
      <w:r w:rsidRPr="00BC3448">
        <w:rPr>
          <w:b/>
          <w:i/>
          <w:szCs w:val="24"/>
          <w:lang w:eastAsia="en-US"/>
        </w:rPr>
        <w:t xml:space="preserve"> ili kolagen, ili nusproizvodi životinjskog podrijetla, kao što su med ili pčelinji vosak.</w:t>
      </w:r>
      <w:r w:rsidR="0067391F" w:rsidRPr="00BC3448">
        <w:rPr>
          <w:b/>
          <w:szCs w:val="24"/>
          <w:lang w:eastAsia="en-US"/>
        </w:rPr>
        <w:t xml:space="preserve"> [Am. 4.]</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(13)</w:t>
      </w:r>
      <w:r w:rsidRPr="00BC3448">
        <w:rPr>
          <w:szCs w:val="24"/>
          <w:lang w:eastAsia="en-US"/>
        </w:rPr>
        <w:tab/>
        <w:t>Kako bi se osigurala visoka razina zaštite aspekata od javnog interesa i zajamčilo pošteno tržišno natjecanje na unutarnjem tržištu, gospodarski subjekti trebali bi biti odgovorni za sukladnost deterdženata ili površinski aktivnih tvari s ovom Uredbom s obzirom na njihovu ulogu u opskrbnom lancu. Kad god je to primjereno, proizvođači i uvoznici trebali bi ispitati uzorke deterdženata i površinski aktivnih tvari koje su stavili na raspolaganje na tržištu kako bi zaštitili zdravlje i sigurnost potrošača te okoliš.</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(14)</w:t>
      </w:r>
      <w:r w:rsidRPr="00BC3448">
        <w:rPr>
          <w:szCs w:val="24"/>
          <w:lang w:eastAsia="en-US"/>
        </w:rPr>
        <w:tab/>
        <w:t>Svi gospodarski subjekti koji sudjeluju u opskrbnom i distribucijskom lancu trebali bi poduzeti odgovarajuće</w:t>
      </w:r>
      <w:r w:rsidRPr="00BC3448">
        <w:rPr>
          <w:b/>
          <w:i/>
          <w:szCs w:val="24"/>
          <w:lang w:eastAsia="en-US"/>
        </w:rPr>
        <w:t xml:space="preserve"> i učinkovite</w:t>
      </w:r>
      <w:r w:rsidRPr="00BC3448">
        <w:rPr>
          <w:szCs w:val="24"/>
          <w:lang w:eastAsia="en-US"/>
        </w:rPr>
        <w:t xml:space="preserve"> mjere kako bi osigurali da stavljaju na raspolaganje na tržištu Unije samo deterdžente i površinski aktivne tvari koji su u skladu s ovom Uredbom. Potrebno je osigurati jasnu i razmjernu raspodjelu obveza koje odgovaraju ulozi svakog gospodarskog subjekta u opskrbnom i distribucijskom lancu.</w:t>
      </w:r>
      <w:r w:rsidR="0067391F" w:rsidRPr="00BC3448">
        <w:rPr>
          <w:b/>
          <w:szCs w:val="24"/>
          <w:lang w:eastAsia="en-US"/>
        </w:rPr>
        <w:t xml:space="preserve"> [Am. 5.]</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(15)</w:t>
      </w:r>
      <w:r w:rsidRPr="00BC3448">
        <w:rPr>
          <w:szCs w:val="24"/>
          <w:lang w:eastAsia="en-US"/>
        </w:rPr>
        <w:tab/>
        <w:t xml:space="preserve">Kako bi se gospodarskim subjektima omogućilo da dokažu, a nadležnim tijelima da provjere jesu li deterdženti i površinski aktivne tvari koji su stavljeni na raspolaganje na tržištu u skladu sa zahtjevima ove Uredbe, potrebno je utvrditi postupak ocjenjivanja sukladnosti. Odlukom br. 768/2008/EZ utvrđeni su moduli za postupke ocjenjivanja sukladnosti, od najmanje strogog do najstrožeg, razmjerno pojedinoj razini rizika i razini potrebne sigurnosti. Kako bi se osigurala međusektorska usklađenost i izbjegle ad </w:t>
      </w:r>
      <w:proofErr w:type="spellStart"/>
      <w:r w:rsidRPr="00BC3448">
        <w:rPr>
          <w:szCs w:val="24"/>
          <w:lang w:eastAsia="en-US"/>
        </w:rPr>
        <w:t>hoc</w:t>
      </w:r>
      <w:proofErr w:type="spellEnd"/>
      <w:r w:rsidRPr="00BC3448">
        <w:rPr>
          <w:szCs w:val="24"/>
          <w:lang w:eastAsia="en-US"/>
        </w:rPr>
        <w:t xml:space="preserve"> varijante, u Odluci br. 768/2008/EZ navodi se da bi postupke ocjenjivanja sukladnosti trebalo odabrati među tim modulima.</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(15a)</w:t>
      </w:r>
      <w:r w:rsidRPr="00BC3448">
        <w:rPr>
          <w:szCs w:val="24"/>
          <w:lang w:eastAsia="en-US"/>
        </w:rPr>
        <w:tab/>
      </w:r>
      <w:r w:rsidRPr="00BC3448">
        <w:rPr>
          <w:b/>
          <w:i/>
          <w:szCs w:val="24"/>
          <w:lang w:eastAsia="en-US"/>
        </w:rPr>
        <w:t>Proizvođači bi trebali čuvati tehničku dokumentaciju, putovnicu za proizvode i, ako je primjenjivo, digitalnu oznaku u razdoblju od 10 godina od datuma stavljanja na tržište posljednjeg dijela serije ili modela deterdženta ili površinski aktivne tvari obuhvaćene tom dokumentacijom, putovnicom za proizvode ili digitalnom oznakom.</w:t>
      </w:r>
      <w:r w:rsidR="0067391F" w:rsidRPr="00BC3448">
        <w:rPr>
          <w:b/>
          <w:szCs w:val="24"/>
          <w:lang w:eastAsia="en-US"/>
        </w:rPr>
        <w:t xml:space="preserve"> [Am. 6.]</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(16)</w:t>
      </w:r>
      <w:r w:rsidRPr="00BC3448">
        <w:rPr>
          <w:szCs w:val="24"/>
          <w:lang w:eastAsia="en-US"/>
        </w:rPr>
        <w:tab/>
        <w:t>Proizvođač, koji detaljno poznaje postupak projektiranja i proizvodnje, u najboljem je položaju da osigura sukladnost deterdženta ili površinski aktivne tvari sa zahtjevima ove Uredbe. Proizvođači bi stoga trebali biti jedini odgovorni za provedbu postupka ocjenjivanja sukladnosti za deterdžente i površinski aktivne tvari. Modul A trebao bi se primjenjivati na ocjenjivanje sukladnosti deterdženata i površinski aktivnih tvari. Proizvođači bi također trebali sastaviti tehničku dokumentaciju kojom se dokazuje sukladnost deterdženta ili površinski aktivne tvari s relevantnim pravilima i metodama ispitivanja.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(17)</w:t>
      </w:r>
      <w:r w:rsidRPr="00BC3448">
        <w:rPr>
          <w:szCs w:val="24"/>
          <w:lang w:eastAsia="en-US"/>
        </w:rPr>
        <w:tab/>
        <w:t xml:space="preserve">Kako bi se proizvođačima olakšalo ispunjavanje njihovih obveza na temelju ove Uredbe, proizvođačima s poslovnim </w:t>
      </w:r>
      <w:proofErr w:type="spellStart"/>
      <w:r w:rsidRPr="00BC3448">
        <w:rPr>
          <w:szCs w:val="24"/>
          <w:lang w:eastAsia="en-US"/>
        </w:rPr>
        <w:t>nastanom</w:t>
      </w:r>
      <w:proofErr w:type="spellEnd"/>
      <w:r w:rsidRPr="00BC3448">
        <w:rPr>
          <w:szCs w:val="24"/>
          <w:lang w:eastAsia="en-US"/>
        </w:rPr>
        <w:t xml:space="preserve"> u Uniji trebalo bi dopustiti da imenuju ovlaštenog zastupnika za obavljanje posebnih zadaća u njihovo ime</w:t>
      </w:r>
      <w:r w:rsidRPr="00BC3448">
        <w:rPr>
          <w:b/>
          <w:i/>
          <w:szCs w:val="24"/>
          <w:lang w:eastAsia="en-US"/>
        </w:rPr>
        <w:t>. Imenovanje ovlaštenog zastupnika valjano je samo kada ga ovlašteni zastupnik prihvati pisanim putem</w:t>
      </w:r>
      <w:r w:rsidRPr="00BC3448">
        <w:rPr>
          <w:szCs w:val="24"/>
          <w:lang w:eastAsia="en-US"/>
        </w:rPr>
        <w:t xml:space="preserve">. Nadalje, kako bi se osigurala jasna i razmjerna raspodjela odgovornosti između proizvođača i ovlaštenog zastupnika, potrebno je utvrditi popis zadaća koje bi proizvođači trebali moći povjeriti ovlaštenom zastupniku. Nadalje, kako bi se osigurala provedivost i djelotvornost zahtjeva za nadzor tržišta i stavljanje na tržište Unije samo sukladnih deterdženata i površinski aktivnih tvari, imenovanje ovlaštenog zastupnika trebalo bi biti obvezno ako proizvođač ima poslovni </w:t>
      </w:r>
      <w:proofErr w:type="spellStart"/>
      <w:r w:rsidRPr="00BC3448">
        <w:rPr>
          <w:szCs w:val="24"/>
          <w:lang w:eastAsia="en-US"/>
        </w:rPr>
        <w:t>nastan</w:t>
      </w:r>
      <w:proofErr w:type="spellEnd"/>
      <w:r w:rsidRPr="00BC3448">
        <w:rPr>
          <w:szCs w:val="24"/>
          <w:lang w:eastAsia="en-US"/>
        </w:rPr>
        <w:t xml:space="preserve"> izvan Unije.</w:t>
      </w:r>
      <w:r w:rsidR="0067391F" w:rsidRPr="00BC3448">
        <w:rPr>
          <w:b/>
          <w:szCs w:val="24"/>
          <w:lang w:eastAsia="en-US"/>
        </w:rPr>
        <w:t xml:space="preserve"> [Am. 7.]</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(18)</w:t>
      </w:r>
      <w:r w:rsidRPr="00BC3448">
        <w:rPr>
          <w:szCs w:val="24"/>
          <w:lang w:eastAsia="en-US"/>
        </w:rPr>
        <w:tab/>
        <w:t xml:space="preserve">Kako bi se olakšala komunikacija među gospodarskim subjektima, tijelima za nadzor tržišta i potrošačima, gospodarski subjekti trebali bi u svojim podacima za kontakt osim poštanske adrese </w:t>
      </w:r>
      <w:r w:rsidRPr="00BC3448">
        <w:rPr>
          <w:b/>
          <w:i/>
          <w:szCs w:val="24"/>
          <w:lang w:eastAsia="en-US"/>
        </w:rPr>
        <w:t xml:space="preserve">i adrese e-pošte </w:t>
      </w:r>
      <w:r w:rsidRPr="00BC3448">
        <w:rPr>
          <w:szCs w:val="24"/>
          <w:lang w:eastAsia="en-US"/>
        </w:rPr>
        <w:t xml:space="preserve">navesti i </w:t>
      </w:r>
      <w:r w:rsidRPr="00BC3448">
        <w:rPr>
          <w:strike/>
          <w:szCs w:val="24"/>
          <w:lang w:eastAsia="en-US"/>
        </w:rPr>
        <w:t xml:space="preserve">adresu internetskih </w:t>
      </w:r>
      <w:proofErr w:type="spellStart"/>
      <w:r w:rsidRPr="00BC3448">
        <w:rPr>
          <w:strike/>
          <w:szCs w:val="24"/>
          <w:lang w:eastAsia="en-US"/>
        </w:rPr>
        <w:t>stranica</w:t>
      </w:r>
      <w:r w:rsidRPr="00BC3448">
        <w:rPr>
          <w:b/>
          <w:i/>
          <w:szCs w:val="24"/>
          <w:lang w:eastAsia="en-US"/>
        </w:rPr>
        <w:t>broj</w:t>
      </w:r>
      <w:proofErr w:type="spellEnd"/>
      <w:r w:rsidRPr="00BC3448">
        <w:rPr>
          <w:b/>
          <w:i/>
          <w:szCs w:val="24"/>
          <w:lang w:eastAsia="en-US"/>
        </w:rPr>
        <w:t xml:space="preserve"> telefona</w:t>
      </w:r>
      <w:r w:rsidRPr="00BC3448">
        <w:rPr>
          <w:szCs w:val="24"/>
          <w:lang w:eastAsia="en-US"/>
        </w:rPr>
        <w:t>.</w:t>
      </w:r>
      <w:r w:rsidR="0067391F" w:rsidRPr="00BC3448">
        <w:rPr>
          <w:b/>
          <w:szCs w:val="24"/>
          <w:lang w:eastAsia="en-US"/>
        </w:rPr>
        <w:t xml:space="preserve"> [Am. 8]</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(19)</w:t>
      </w:r>
      <w:r w:rsidRPr="00BC3448">
        <w:rPr>
          <w:szCs w:val="24"/>
          <w:lang w:eastAsia="en-US"/>
        </w:rPr>
        <w:tab/>
        <w:t xml:space="preserve">Kako bi se zaštitilo funkcioniranje unutarnjeg tržišta i osiguralo postizanje cilja osiguravanja visoke razine zaštite zdravlja i okoliša, potrebno je utvrditi da su deterdženti i površinski aktivne tvari koji ulaze na tržište Unije iz trećih zemalja također u skladu s ovom Uredbom. Posebno je potrebno osigurati da su proizvođači proveli odgovarajuće postupke ocjenjivanja sukladnosti tih proizvoda. Potrebno je i utvrditi pravila za uvoznike kako bi se osiguralo da su deterdženti i površinski aktivne tvari koje oni stavljaju na tržište u skladu s tim zahtjevima te da </w:t>
      </w:r>
      <w:proofErr w:type="spellStart"/>
      <w:r w:rsidRPr="00BC3448">
        <w:rPr>
          <w:strike/>
          <w:szCs w:val="24"/>
          <w:lang w:eastAsia="en-US"/>
        </w:rPr>
        <w:t>su</w:t>
      </w:r>
      <w:r w:rsidRPr="00BC3448">
        <w:rPr>
          <w:b/>
          <w:i/>
          <w:szCs w:val="24"/>
          <w:lang w:eastAsia="en-US"/>
        </w:rPr>
        <w:t>je</w:t>
      </w:r>
      <w:proofErr w:type="spellEnd"/>
      <w:r w:rsidRPr="00BC3448">
        <w:rPr>
          <w:szCs w:val="24"/>
          <w:lang w:eastAsia="en-US"/>
        </w:rPr>
        <w:t xml:space="preserve"> dokumentacija koju su sastavili proizvođači </w:t>
      </w:r>
      <w:r w:rsidRPr="00BC3448">
        <w:rPr>
          <w:strike/>
          <w:szCs w:val="24"/>
          <w:lang w:eastAsia="en-US"/>
        </w:rPr>
        <w:t xml:space="preserve">i, prema potrebi, oznaka CE </w:t>
      </w:r>
      <w:proofErr w:type="spellStart"/>
      <w:r w:rsidRPr="00BC3448">
        <w:rPr>
          <w:strike/>
          <w:szCs w:val="24"/>
          <w:lang w:eastAsia="en-US"/>
        </w:rPr>
        <w:t>dostupne</w:t>
      </w:r>
      <w:r w:rsidRPr="00BC3448">
        <w:rPr>
          <w:b/>
          <w:i/>
          <w:szCs w:val="24"/>
          <w:lang w:eastAsia="en-US"/>
        </w:rPr>
        <w:t>dostupna</w:t>
      </w:r>
      <w:proofErr w:type="spellEnd"/>
      <w:r w:rsidRPr="00BC3448">
        <w:rPr>
          <w:szCs w:val="24"/>
          <w:lang w:eastAsia="en-US"/>
        </w:rPr>
        <w:t xml:space="preserve"> nadležnim nacionalnim tijelima za inspekciju. Također bi trebalo propisati da uvoznici za te proizvode osiguraju dostupnost putovnice za proizvode.</w:t>
      </w:r>
      <w:r w:rsidR="0067391F" w:rsidRPr="00BC3448">
        <w:rPr>
          <w:b/>
          <w:szCs w:val="24"/>
          <w:lang w:eastAsia="en-US"/>
        </w:rPr>
        <w:t xml:space="preserve"> [Am. 9.]</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(20)</w:t>
      </w:r>
      <w:r w:rsidRPr="00BC3448">
        <w:rPr>
          <w:szCs w:val="24"/>
          <w:lang w:eastAsia="en-US"/>
        </w:rPr>
        <w:tab/>
        <w:t xml:space="preserve">Budući da uvoznici imaju ključnu ulogu u jamčenju sukladnosti uvezenih deterdženata i površinski aktivnih tvari na tržištu Unije, uvoznici bi pri stavljanju deterdženta ili površinski aktivne tvari na tržište trebali na proizvodu navesti svoje ime, registrirano trgovačko ime ili registriranu trgovačku oznaku i svoju poštansku adresu </w:t>
      </w:r>
      <w:r w:rsidRPr="00BC3448">
        <w:rPr>
          <w:strike/>
          <w:szCs w:val="24"/>
          <w:lang w:eastAsia="en-US"/>
        </w:rPr>
        <w:t xml:space="preserve">i, ako je dostupno, elektroničko sredstvo </w:t>
      </w:r>
      <w:proofErr w:type="spellStart"/>
      <w:r w:rsidRPr="00BC3448">
        <w:rPr>
          <w:strike/>
          <w:szCs w:val="24"/>
          <w:lang w:eastAsia="en-US"/>
        </w:rPr>
        <w:t>komunikacije</w:t>
      </w:r>
      <w:r w:rsidRPr="00BC3448">
        <w:rPr>
          <w:b/>
          <w:i/>
          <w:szCs w:val="24"/>
          <w:lang w:eastAsia="en-US"/>
        </w:rPr>
        <w:t>te</w:t>
      </w:r>
      <w:proofErr w:type="spellEnd"/>
      <w:r w:rsidRPr="00BC3448">
        <w:rPr>
          <w:b/>
          <w:i/>
          <w:szCs w:val="24"/>
          <w:lang w:eastAsia="en-US"/>
        </w:rPr>
        <w:t xml:space="preserve"> adresu e-pošte i telefonski broj</w:t>
      </w:r>
      <w:r w:rsidRPr="00BC3448">
        <w:rPr>
          <w:szCs w:val="24"/>
          <w:lang w:eastAsia="en-US"/>
        </w:rPr>
        <w:t xml:space="preserve"> putem kojeg su dostupni.</w:t>
      </w:r>
      <w:r w:rsidR="0067391F" w:rsidRPr="00BC3448">
        <w:rPr>
          <w:b/>
          <w:szCs w:val="24"/>
          <w:lang w:eastAsia="en-US"/>
        </w:rPr>
        <w:t xml:space="preserve"> [Am. 10.]</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(21)</w:t>
      </w:r>
      <w:r w:rsidRPr="00BC3448">
        <w:rPr>
          <w:szCs w:val="24"/>
          <w:lang w:eastAsia="en-US"/>
        </w:rPr>
        <w:tab/>
        <w:t>Budući da distributer stavlja deterdžent ili površinski aktivnu tvar na raspolaganje na tržištu nakon što ju je proizvođač ili uvoznik stavio na tržište, distributer bi trebao postupati s dužnom pažnjom u odnosu na primjenjive zahtjeve. Distributer bi također trebao osigurati da njegovo rukovanje deterdžentom ili površinski aktivnom tvari ne utječe negativno na njihovu sukladnost sa zahtjevima ove Uredbe.</w:t>
      </w:r>
    </w:p>
    <w:p w:rsidR="001169ED" w:rsidRPr="00BC3448" w:rsidRDefault="001169ED" w:rsidP="001169ED">
      <w:pPr>
        <w:spacing w:before="120" w:after="120" w:line="360" w:lineRule="auto"/>
        <w:ind w:left="850" w:hanging="850"/>
        <w:rPr>
          <w:szCs w:val="24"/>
          <w:lang w:eastAsia="en-US"/>
        </w:rPr>
      </w:pPr>
      <w:r w:rsidRPr="00BC3448">
        <w:rPr>
          <w:szCs w:val="24"/>
          <w:lang w:eastAsia="en-US"/>
        </w:rPr>
        <w:t>(22)</w:t>
      </w:r>
      <w:r w:rsidRPr="00BC3448">
        <w:rPr>
          <w:szCs w:val="24"/>
          <w:lang w:eastAsia="en-US"/>
        </w:rPr>
        <w:tab/>
        <w:t>Budući da su distributeri i uvoznici bliski tržištu i imaju važnu ulogu u osiguravanju sukladnosti proizvoda, trebali bi biti uključeni u zadaće nadzora tržišta koje provode nadležna nacionalna tijela i pripremljeni za aktivno sudjelovanje, pružajući tim tijelima sve potrebne informacije koje se odnose na dotični deterdžent ili površinski aktivnu tvar.</w:t>
      </w:r>
    </w:p>
    <w:p w:rsidR="001169ED" w:rsidRPr="00BC3448" w:rsidRDefault="001169ED" w:rsidP="001169ED">
      <w:pPr>
        <w:spacing w:before="120" w:after="120" w:line="360" w:lineRule="auto"/>
        <w:ind w:left="850" w:hanging="850"/>
        <w:rPr>
          <w:szCs w:val="24"/>
          <w:lang w:eastAsia="en-US"/>
        </w:rPr>
      </w:pPr>
      <w:r w:rsidRPr="00BC3448">
        <w:rPr>
          <w:szCs w:val="24"/>
          <w:lang w:eastAsia="en-US"/>
        </w:rPr>
        <w:t>(23)</w:t>
      </w:r>
      <w:r w:rsidRPr="00BC3448">
        <w:rPr>
          <w:szCs w:val="24"/>
          <w:lang w:eastAsia="en-US"/>
        </w:rPr>
        <w:tab/>
        <w:t>Gospodarski subjekti koji ili stavljaju na tržište deterdžent ili površinski aktivnu tvar pod svojim imenom ili trgovačkom oznakom ili pak preinačuju deterdžent ili površinski aktivnu tvar na način koji bi mogao utjecati na sukladnost s ovom Uredbom trebali bi se smatrati proizvođačima i preuzeti obveze proizvođača. U drugim slučajevima gospodarski subjekti koji samo pakiraju ili prepakiraju deterdžent ili površinski aktivnu tvar koju su drugi gospodarski subjekti već stavili na tržište trebali bi moći dokazati da to ne utječe na sukladnost sa zahtjevima ove Uredbe navođenjem svojeg identiteta na ambalaži i zadržavanjem preslike izvornih informacija s oznake.</w:t>
      </w:r>
    </w:p>
    <w:p w:rsidR="001169ED" w:rsidRPr="00BC3448" w:rsidRDefault="001169ED" w:rsidP="001169ED">
      <w:pPr>
        <w:spacing w:before="120" w:after="120" w:line="360" w:lineRule="auto"/>
        <w:ind w:left="850" w:hanging="850"/>
        <w:rPr>
          <w:strike/>
          <w:szCs w:val="24"/>
          <w:lang w:eastAsia="en-US"/>
        </w:rPr>
      </w:pPr>
      <w:r w:rsidRPr="00BC3448">
        <w:rPr>
          <w:strike/>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trike/>
          <w:szCs w:val="24"/>
          <w:lang w:eastAsia="en-US"/>
        </w:rPr>
        <w:t>(24)</w:t>
      </w:r>
      <w:r w:rsidRPr="00BC3448">
        <w:rPr>
          <w:szCs w:val="24"/>
          <w:lang w:eastAsia="en-US"/>
        </w:rPr>
        <w:tab/>
      </w:r>
      <w:r w:rsidRPr="00BC3448">
        <w:rPr>
          <w:strike/>
          <w:szCs w:val="24"/>
          <w:lang w:eastAsia="en-US"/>
        </w:rPr>
        <w:t>Oznaka CE, kojom se označava sukladnost deterdženta s ovom Uredbom, vidljiv je rezultat cjelovitog postupka koji obuhvaća ocjenjivanje sukladnosti u širem smislu. Uredbom (EZ) br. 765/2008 Europskog parlamenta i Vijeća</w:t>
      </w:r>
      <w:r w:rsidRPr="00BC3448">
        <w:rPr>
          <w:szCs w:val="24"/>
          <w:vertAlign w:val="superscript"/>
          <w:lang w:eastAsia="en-US"/>
        </w:rPr>
        <w:footnoteReference w:id="11"/>
      </w:r>
      <w:r w:rsidRPr="00BC3448">
        <w:rPr>
          <w:strike/>
          <w:szCs w:val="24"/>
          <w:lang w:eastAsia="en-US"/>
        </w:rPr>
        <w:t xml:space="preserve"> utvrđuju se opća načela za oznaku CE. Ta bi se Uredba trebala primjenjivati na deterdžente obuhvaćene ovom Uredbom kako bi se osiguralo da proizvodi na koje se primjenjuje sloboda kretanja robe unutar Unije ispunjavaju zahtjeve kojima se osigurava visoka razina zaštite javnih interesa kao što su zdravlje i okoliš. U skladu s Uredbom (EZ) br. 765/2008 oznaka CE trebala bi biti jedina oznaka sukladnosti koja označava da je deterdžent u skladu sa zakonodavstvom Unije o usklađivanju.</w:t>
      </w:r>
      <w:r w:rsidR="0067391F" w:rsidRPr="00BC3448">
        <w:rPr>
          <w:b/>
          <w:strike/>
          <w:szCs w:val="24"/>
          <w:lang w:eastAsia="en-US"/>
        </w:rPr>
        <w:t xml:space="preserve"> </w:t>
      </w:r>
      <w:r w:rsidR="0067391F" w:rsidRPr="00BC3448">
        <w:rPr>
          <w:b/>
          <w:szCs w:val="24"/>
          <w:lang w:eastAsia="en-US"/>
        </w:rPr>
        <w:t>[Am. 11.]</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(25)</w:t>
      </w:r>
      <w:r w:rsidRPr="00BC3448">
        <w:rPr>
          <w:szCs w:val="24"/>
          <w:lang w:eastAsia="en-US"/>
        </w:rPr>
        <w:tab/>
        <w:t>Kako bi se osigurala visoka razina zaštite zdravlja</w:t>
      </w:r>
      <w:r w:rsidRPr="00BC3448">
        <w:rPr>
          <w:strike/>
          <w:szCs w:val="24"/>
          <w:lang w:eastAsia="en-US"/>
        </w:rPr>
        <w:t xml:space="preserve"> ljudi</w:t>
      </w:r>
      <w:r w:rsidRPr="00BC3448">
        <w:rPr>
          <w:szCs w:val="24"/>
          <w:lang w:eastAsia="en-US"/>
        </w:rPr>
        <w:t xml:space="preserve">, od proizvođača bi trebalo zahtijevati da dostave list s podacima o sastojcima za neopasne deterdžente. Kako bi se optimizirala učinkovitost relevantnih zahtjeva te s obzirom na sustav povezan s hitnim zdravstvenim intervencijama koji je već uspostavljen Uredbom (EZ) br. 1272/2008, proizvođači bi te informacije trebali </w:t>
      </w:r>
      <w:r w:rsidRPr="00BC3448">
        <w:rPr>
          <w:strike/>
          <w:szCs w:val="24"/>
          <w:lang w:eastAsia="en-US"/>
        </w:rPr>
        <w:t xml:space="preserve">na zahtjev </w:t>
      </w:r>
      <w:r w:rsidRPr="00BC3448">
        <w:rPr>
          <w:szCs w:val="24"/>
          <w:lang w:eastAsia="en-US"/>
        </w:rPr>
        <w:t>staviti na raspolaganje centrima za nadzor otrova.</w:t>
      </w:r>
      <w:r w:rsidR="0067391F" w:rsidRPr="00BC3448">
        <w:rPr>
          <w:b/>
          <w:szCs w:val="24"/>
          <w:lang w:eastAsia="en-US"/>
        </w:rPr>
        <w:t xml:space="preserve"> [Am. 12.]</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(26)</w:t>
      </w:r>
      <w:r w:rsidRPr="00BC3448">
        <w:rPr>
          <w:szCs w:val="24"/>
          <w:lang w:eastAsia="en-US"/>
        </w:rPr>
        <w:tab/>
        <w:t>Oznake korisnicima prenose važne informacije o upotrebi</w:t>
      </w:r>
      <w:r w:rsidRPr="00BC3448">
        <w:rPr>
          <w:b/>
          <w:i/>
          <w:szCs w:val="24"/>
          <w:lang w:eastAsia="en-US"/>
        </w:rPr>
        <w:t>, zdravlju</w:t>
      </w:r>
      <w:r w:rsidRPr="00BC3448">
        <w:rPr>
          <w:szCs w:val="24"/>
          <w:lang w:eastAsia="en-US"/>
        </w:rPr>
        <w:t xml:space="preserve"> i sigurnosti, kao što je prisutnost tvari koje izazivaju preosjetljivost kože ili dišnih putova (npr. alergeni mirisi, konzervansi ili enzimi) u deterdžentima i površinski aktivnim tvarima. Navođenjem informacija o udjelu tih tvari na oznakama deterdženata i površinski aktivnih tvari korisnici s alergijama ili alergijskim predispozicijama mogu donijeti informirane odluke, čime se smanjuju potencijalne reakcije povezane s upotrebom deterdženata i površinski aktivnih tvari. Stoga je potrebno utvrditi zahtjeve za označivanje deterdženata i površinski aktivnih tvari.</w:t>
      </w:r>
      <w:r w:rsidR="0067391F" w:rsidRPr="00BC3448">
        <w:rPr>
          <w:b/>
          <w:szCs w:val="24"/>
          <w:lang w:eastAsia="en-US"/>
        </w:rPr>
        <w:t xml:space="preserve"> [Am. 13.]</w:t>
      </w:r>
    </w:p>
    <w:p w:rsidR="001169ED" w:rsidRPr="00BC3448" w:rsidRDefault="001169ED" w:rsidP="001169ED">
      <w:pPr>
        <w:spacing w:before="120" w:after="120" w:line="360" w:lineRule="auto"/>
        <w:ind w:left="850" w:hanging="850"/>
        <w:rPr>
          <w:szCs w:val="24"/>
          <w:lang w:eastAsia="en-US"/>
        </w:rPr>
      </w:pPr>
      <w:r w:rsidRPr="00BC3448">
        <w:rPr>
          <w:szCs w:val="24"/>
          <w:lang w:eastAsia="en-US"/>
        </w:rPr>
        <w:t>(27)</w:t>
      </w:r>
      <w:r w:rsidRPr="00BC3448">
        <w:rPr>
          <w:szCs w:val="24"/>
          <w:lang w:eastAsia="en-US"/>
        </w:rPr>
        <w:tab/>
        <w:t>Budući da označivanje deterdženata i površinski aktivnih tvari može biti obuhvaćeno raznim dijelovima zakonodavstva Unije, informacije na oznakama deterdženata i površinski aktivnih tvari potrebno je pojednostavniti tako da se, ako se na oznakama deterdženata i površinski aktivnih tvari zbog različitih dijelova zakonodavstva Unije zahtijevaju slične informacije, te informacije pružaju samo jednom u skladu sa strožim pravilima. Time će se, s jedne strane, poboljšati čitljivost i razumljivost oznaka deterdženata i površinski aktivnih tvari za krajnje korisnike i, s druge strane, smanjiti regulatorno opterećenje za proizvođače deterdženata i površinski aktivnih tvari.</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(28)</w:t>
      </w:r>
      <w:r w:rsidRPr="00BC3448">
        <w:rPr>
          <w:szCs w:val="24"/>
          <w:lang w:eastAsia="en-US"/>
        </w:rPr>
        <w:tab/>
        <w:t xml:space="preserve">Mirisne tvari organski su spojevi s karakterističnim, obično ugodnim mirisima, koji se često upotrebljavaju u deterdžentima, ali i u mnogim drugim proizvodima kao što su parfemi i drugi parfimirani kozmetički proizvodi. Te bi tvari u slučaju kontakta mogle uzrokovati alergijsku reakciju, posebno kod preosjetljivih osoba, čak i ako su sadržane u niskim koncentracijama. Stoga je važno pružiti informacije o prisutnosti pojedinačnih </w:t>
      </w:r>
      <w:proofErr w:type="spellStart"/>
      <w:r w:rsidRPr="00BC3448">
        <w:rPr>
          <w:szCs w:val="24"/>
          <w:lang w:eastAsia="en-US"/>
        </w:rPr>
        <w:t>alergenih</w:t>
      </w:r>
      <w:proofErr w:type="spellEnd"/>
      <w:r w:rsidRPr="00BC3448">
        <w:rPr>
          <w:szCs w:val="24"/>
          <w:lang w:eastAsia="en-US"/>
        </w:rPr>
        <w:t xml:space="preserve"> mirisa u deterdžentima kako bi preosjetljive osobe mogle izbjeći kontakt s tvari na koju su alergični. Stoga je potrebno utvrditi stroge zahtjeve za označivanje </w:t>
      </w:r>
      <w:proofErr w:type="spellStart"/>
      <w:r w:rsidRPr="00BC3448">
        <w:rPr>
          <w:szCs w:val="24"/>
          <w:lang w:eastAsia="en-US"/>
        </w:rPr>
        <w:t>alergenih</w:t>
      </w:r>
      <w:proofErr w:type="spellEnd"/>
      <w:r w:rsidRPr="00BC3448">
        <w:rPr>
          <w:szCs w:val="24"/>
          <w:lang w:eastAsia="en-US"/>
        </w:rPr>
        <w:t xml:space="preserve"> mirisa. Međutim, na te bi se tvari mogli odnositi i zahtjevi za označivanje prema Uredbi (EZ) br. 1272/2008. Stoga bi trebalo utvrditi posebne zahtjeve za označivanje koji bi se primjenjivali samo ako nisu ispunjeni pragovi za označivanje u skladu s Uredbom (EZ) br. 1272/2008. Time će se ne samo spriječiti nepotrebno opterećenje za gospodarske subjekte već i osigurati da krajnji korisnici dobiju te informacije predstavljene na jasan način, čime će se osigurati visoka razina zaštite zdravlja ljudi, čak i kod preosjetljivih osoba.</w:t>
      </w:r>
      <w:r w:rsidRPr="00BC3448">
        <w:rPr>
          <w:b/>
          <w:i/>
          <w:szCs w:val="24"/>
          <w:lang w:eastAsia="en-US"/>
        </w:rPr>
        <w:t xml:space="preserve"> Na nove zahtjeve za označivanje utvrđene delegiranim aktima trebalo bi primjenjivati odgovarajuća prijelazna razdoblja.</w:t>
      </w:r>
      <w:r w:rsidR="0067391F" w:rsidRPr="00BC3448">
        <w:rPr>
          <w:b/>
          <w:szCs w:val="24"/>
          <w:lang w:eastAsia="en-US"/>
        </w:rPr>
        <w:t xml:space="preserve"> [Am. 14.]</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(29)</w:t>
      </w:r>
      <w:r w:rsidRPr="00BC3448">
        <w:rPr>
          <w:szCs w:val="24"/>
          <w:lang w:eastAsia="en-US"/>
        </w:rPr>
        <w:tab/>
        <w:t>Potrebni su dodatni zahtjevi za označivanje određenih tvari kao što su konzervansi kako bi se osigurala visoka razina zaštite zdravlja. Zahtjevi za označivanje konzervansa stoga bi trebali obuhvaćati ne samo one konzervanse koje je proizvođač namjerno dodao u deterdžent već i one koji proizlaze iz njegovih sastavnih smjesa i koji se često nazivaju „preneseni konzervansi”.</w:t>
      </w:r>
    </w:p>
    <w:p w:rsidR="001169ED" w:rsidRPr="00BC3448" w:rsidRDefault="001169ED" w:rsidP="001169ED">
      <w:pPr>
        <w:spacing w:before="120" w:after="120" w:line="360" w:lineRule="auto"/>
        <w:ind w:left="850" w:hanging="850"/>
        <w:rPr>
          <w:szCs w:val="24"/>
          <w:lang w:eastAsia="en-US"/>
        </w:rPr>
      </w:pPr>
      <w:r w:rsidRPr="00BC3448">
        <w:rPr>
          <w:szCs w:val="24"/>
          <w:lang w:eastAsia="en-US"/>
        </w:rPr>
        <w:t>(30)</w:t>
      </w:r>
      <w:r w:rsidRPr="00BC3448">
        <w:rPr>
          <w:szCs w:val="24"/>
          <w:lang w:eastAsia="en-US"/>
        </w:rPr>
        <w:tab/>
        <w:t>Informacije o ispravnoj količini deterdženta koju potrošači trebaju upotrebljavati pri čišćenju, odnosno informacije o doziranju, trebale bi biti navedene na oznaci deterdženata za pranje rublja i deterdženata za strojno pranje posuđa koji se koriste u kućanstvu kako bi se spriječila moguća prekomjerna upotreba deterdženata, čime bi se smanjila ukupna količina deterdženta i površinski aktivne tvari koji dospijevaju u okoliš.</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(31)</w:t>
      </w:r>
      <w:r w:rsidRPr="00BC3448">
        <w:rPr>
          <w:szCs w:val="24"/>
          <w:lang w:eastAsia="en-US"/>
        </w:rPr>
        <w:tab/>
        <w:t xml:space="preserve">Digitalnim označivanjem moglo bi se poboljšati priopćavanje informacija na oznakama izbjegavanjem fizičkih oznaka s previše informacija i omogućavanjem korisnicima da se oslone na različite mogućnosti čitanja dostupne samo za digitalne formate, kao što su povećana veličina znakova, automatsko pretraživanje, zvučna reprodukcija ili prijevod na druge jezike. Pružanje digitalnih oznaka moglo bi dovesti i do toga da gospodarski subjekti učinkovitije upravljaju svojim obvezama za označivanje jer bi se olakšalo ažuriranje informacija na oznakama, smanjili troškovi označivanja i omogućilo usmjerenije informiranje korisnika. Stoga bi gospodarskim subjektima pod određenim uvjetima trebalo dopustiti da neke informacije navode </w:t>
      </w:r>
      <w:r w:rsidRPr="00BC3448">
        <w:rPr>
          <w:strike/>
          <w:szCs w:val="24"/>
          <w:lang w:eastAsia="en-US"/>
        </w:rPr>
        <w:t xml:space="preserve">samo </w:t>
      </w:r>
      <w:r w:rsidRPr="00BC3448">
        <w:rPr>
          <w:szCs w:val="24"/>
          <w:lang w:eastAsia="en-US"/>
        </w:rPr>
        <w:t>na digitalnim oznakama kako bi se osigurala visoka razina zaštite korisnika deterdženata</w:t>
      </w:r>
      <w:r w:rsidRPr="00BC3448">
        <w:rPr>
          <w:b/>
          <w:i/>
          <w:szCs w:val="24"/>
          <w:lang w:eastAsia="en-US"/>
        </w:rPr>
        <w:t xml:space="preserve"> i okoliša</w:t>
      </w:r>
      <w:r w:rsidRPr="00BC3448">
        <w:rPr>
          <w:szCs w:val="24"/>
          <w:lang w:eastAsia="en-US"/>
        </w:rPr>
        <w:t>.</w:t>
      </w:r>
      <w:r w:rsidR="0067391F" w:rsidRPr="00BC3448">
        <w:rPr>
          <w:b/>
          <w:szCs w:val="24"/>
          <w:lang w:eastAsia="en-US"/>
        </w:rPr>
        <w:t xml:space="preserve"> [Am. 15.]</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(31a)</w:t>
      </w:r>
      <w:r w:rsidRPr="00BC3448">
        <w:rPr>
          <w:szCs w:val="24"/>
          <w:lang w:eastAsia="en-US"/>
        </w:rPr>
        <w:tab/>
      </w:r>
      <w:r w:rsidRPr="00BC3448">
        <w:rPr>
          <w:b/>
          <w:i/>
          <w:szCs w:val="24"/>
          <w:lang w:eastAsia="en-US"/>
        </w:rPr>
        <w:t>Digitalno označivanje moglo bi povećati čitljivost, jednostavnost upotrebe i razumljivost oznaka za potrošače, uključujući ranjive i slabovidne potrošače.</w:t>
      </w:r>
      <w:r w:rsidR="0067391F" w:rsidRPr="00BC3448">
        <w:rPr>
          <w:b/>
          <w:szCs w:val="24"/>
          <w:lang w:eastAsia="en-US"/>
        </w:rPr>
        <w:t xml:space="preserve"> [Am. 16.]</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(32)</w:t>
      </w:r>
      <w:r w:rsidRPr="00BC3448">
        <w:rPr>
          <w:szCs w:val="24"/>
          <w:lang w:eastAsia="en-US"/>
        </w:rPr>
        <w:tab/>
        <w:t xml:space="preserve">Kako se ne bi stvorilo nepotrebno administrativno opterećenje za gospodarske subjekte i s obzirom na to da je </w:t>
      </w:r>
      <w:r w:rsidRPr="00BC3448">
        <w:rPr>
          <w:strike/>
          <w:szCs w:val="24"/>
          <w:lang w:eastAsia="en-US"/>
        </w:rPr>
        <w:t xml:space="preserve">u većini slučajeva </w:t>
      </w:r>
      <w:r w:rsidRPr="00BC3448">
        <w:rPr>
          <w:szCs w:val="24"/>
          <w:lang w:eastAsia="en-US"/>
        </w:rPr>
        <w:t>digitalna oznaka</w:t>
      </w:r>
      <w:r w:rsidRPr="00BC3448">
        <w:rPr>
          <w:strike/>
          <w:szCs w:val="24"/>
          <w:lang w:eastAsia="en-US"/>
        </w:rPr>
        <w:t xml:space="preserve"> samo</w:t>
      </w:r>
      <w:r w:rsidRPr="00BC3448">
        <w:rPr>
          <w:szCs w:val="24"/>
          <w:lang w:eastAsia="en-US"/>
        </w:rPr>
        <w:t xml:space="preserve"> dopuna fizičkoj oznaci, gospodarski subjekti trebali bi moći odlučiti hoće li upotrebljavati digitalne oznake ili navesti sve informacije samo na fizičkoj oznaci. Odluku o stavljanju digitalne oznake trebali bi donositi proizvođači i uvoznici, koji su odgovorni za navođenje točnih informacija na oznakama.</w:t>
      </w:r>
      <w:r w:rsidR="0067391F" w:rsidRPr="00BC3448">
        <w:rPr>
          <w:b/>
          <w:szCs w:val="24"/>
          <w:lang w:eastAsia="en-US"/>
        </w:rPr>
        <w:t xml:space="preserve"> [Am. 17.]</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(33)</w:t>
      </w:r>
      <w:r w:rsidRPr="00BC3448">
        <w:rPr>
          <w:szCs w:val="24"/>
          <w:lang w:eastAsia="en-US"/>
        </w:rPr>
        <w:tab/>
        <w:t xml:space="preserve">Digitalno označivanje moglo bi stvoriti poteškoće za ranjive društvene skupine koje ne posjeduju digitalne vještine ili su one nedostatne i tako produbiti digitalni jaz. Zbog toga bi posebne informacije koje će se navoditi </w:t>
      </w:r>
      <w:r w:rsidRPr="00BC3448">
        <w:rPr>
          <w:strike/>
          <w:szCs w:val="24"/>
          <w:lang w:eastAsia="en-US"/>
        </w:rPr>
        <w:t xml:space="preserve">samo </w:t>
      </w:r>
      <w:r w:rsidRPr="00BC3448">
        <w:rPr>
          <w:szCs w:val="24"/>
          <w:lang w:eastAsia="en-US"/>
        </w:rPr>
        <w:t>na digitalnoj oznaci trebale odražavati trenutačno stanje digitalizacije društva i konkretnu situaciju korisnika deterdženata</w:t>
      </w:r>
      <w:r w:rsidRPr="00BC3448">
        <w:rPr>
          <w:b/>
          <w:i/>
          <w:szCs w:val="24"/>
          <w:lang w:eastAsia="en-US"/>
        </w:rPr>
        <w:t>, kao i spremnost potrebne bežične ili druge tehnološke infrastrukture kojom se omogućuje neograničen pristup tim informacijama</w:t>
      </w:r>
      <w:r w:rsidRPr="00BC3448">
        <w:rPr>
          <w:szCs w:val="24"/>
          <w:lang w:eastAsia="en-US"/>
        </w:rPr>
        <w:t xml:space="preserve">. Osim toga, sve informacije na oznakama koje se odnose na zaštitu zdravlja i okoliša, </w:t>
      </w:r>
      <w:r w:rsidRPr="00BC3448">
        <w:rPr>
          <w:strike/>
          <w:szCs w:val="24"/>
          <w:lang w:eastAsia="en-US"/>
        </w:rPr>
        <w:t xml:space="preserve">kao i </w:t>
      </w:r>
      <w:proofErr w:type="spellStart"/>
      <w:r w:rsidRPr="00BC3448">
        <w:rPr>
          <w:strike/>
          <w:szCs w:val="24"/>
          <w:lang w:eastAsia="en-US"/>
        </w:rPr>
        <w:t>minimalne</w:t>
      </w:r>
      <w:r w:rsidRPr="00BC3448">
        <w:rPr>
          <w:b/>
          <w:i/>
          <w:szCs w:val="24"/>
          <w:lang w:eastAsia="en-US"/>
        </w:rPr>
        <w:t>uključujući</w:t>
      </w:r>
      <w:proofErr w:type="spellEnd"/>
      <w:r w:rsidRPr="00BC3448">
        <w:rPr>
          <w:szCs w:val="24"/>
          <w:lang w:eastAsia="en-US"/>
        </w:rPr>
        <w:t xml:space="preserve"> upute za upotrebu deterdženata, trebale bi ostati na fizičkoj oznaci kako bi se svim krajnjim korisnicima omogućilo donošenje informiranih odluka prije kupnje deterdženta i osiguralo sigurno rukovanje deterdžentom.</w:t>
      </w:r>
      <w:r w:rsidR="0067391F" w:rsidRPr="00BC3448">
        <w:rPr>
          <w:b/>
          <w:szCs w:val="24"/>
          <w:lang w:eastAsia="en-US"/>
        </w:rPr>
        <w:t xml:space="preserve"> [Am. 18.]</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(34)</w:t>
      </w:r>
      <w:r w:rsidRPr="00BC3448">
        <w:rPr>
          <w:szCs w:val="24"/>
          <w:lang w:eastAsia="en-US"/>
        </w:rPr>
        <w:tab/>
      </w:r>
      <w:r w:rsidRPr="00BC3448">
        <w:rPr>
          <w:strike/>
          <w:szCs w:val="24"/>
          <w:lang w:eastAsia="en-US"/>
        </w:rPr>
        <w:t xml:space="preserve">Međutim, trebalo bi napraviti iznimku </w:t>
      </w:r>
      <w:r w:rsidRPr="00BC3448">
        <w:rPr>
          <w:szCs w:val="24"/>
          <w:lang w:eastAsia="en-US"/>
        </w:rPr>
        <w:t>Za deterdžente koji se krajnjim korisnicima prodaju u obliku ponovnog punjenja</w:t>
      </w:r>
      <w:r w:rsidRPr="00BC3448">
        <w:rPr>
          <w:strike/>
          <w:szCs w:val="24"/>
          <w:lang w:eastAsia="en-US"/>
        </w:rPr>
        <w:t>. Kako bi se u potpunosti iskoristile ne samo prednosti digitalizacije nego i velike koristi za okoliš u obliku smanjenja ambalaže i povezanog ambalažnog otpada koje proizlaze iz prakse prodaje ponovnog punjenja,</w:t>
      </w:r>
      <w:r w:rsidRPr="00BC3448">
        <w:rPr>
          <w:szCs w:val="24"/>
          <w:lang w:eastAsia="en-US"/>
        </w:rPr>
        <w:t xml:space="preserve"> trebalo bi </w:t>
      </w:r>
      <w:r w:rsidRPr="00BC3448">
        <w:rPr>
          <w:strike/>
          <w:szCs w:val="24"/>
          <w:lang w:eastAsia="en-US"/>
        </w:rPr>
        <w:t xml:space="preserve">dopustiti da </w:t>
      </w:r>
      <w:proofErr w:type="spellStart"/>
      <w:r w:rsidRPr="00BC3448">
        <w:rPr>
          <w:strike/>
          <w:szCs w:val="24"/>
          <w:lang w:eastAsia="en-US"/>
        </w:rPr>
        <w:t>se</w:t>
      </w:r>
      <w:r w:rsidRPr="00BC3448">
        <w:rPr>
          <w:b/>
          <w:i/>
          <w:szCs w:val="24"/>
          <w:lang w:eastAsia="en-US"/>
        </w:rPr>
        <w:t>osigurati</w:t>
      </w:r>
      <w:proofErr w:type="spellEnd"/>
      <w:r w:rsidRPr="00BC3448">
        <w:rPr>
          <w:b/>
          <w:i/>
          <w:szCs w:val="24"/>
          <w:lang w:eastAsia="en-US"/>
        </w:rPr>
        <w:t xml:space="preserve"> da su</w:t>
      </w:r>
      <w:r w:rsidRPr="00BC3448">
        <w:rPr>
          <w:szCs w:val="24"/>
          <w:lang w:eastAsia="en-US"/>
        </w:rPr>
        <w:t xml:space="preserve"> sve informacije na oznakama </w:t>
      </w:r>
      <w:r w:rsidRPr="00BC3448">
        <w:rPr>
          <w:strike/>
          <w:szCs w:val="24"/>
          <w:lang w:eastAsia="en-US"/>
        </w:rPr>
        <w:t xml:space="preserve">pružaju digitalnim putem, uz iznimku </w:t>
      </w:r>
      <w:proofErr w:type="spellStart"/>
      <w:r w:rsidRPr="00BC3448">
        <w:rPr>
          <w:strike/>
          <w:szCs w:val="24"/>
          <w:lang w:eastAsia="en-US"/>
        </w:rPr>
        <w:t>uputa</w:t>
      </w:r>
      <w:r w:rsidRPr="00BC3448">
        <w:rPr>
          <w:b/>
          <w:i/>
          <w:szCs w:val="24"/>
          <w:lang w:eastAsia="en-US"/>
        </w:rPr>
        <w:t>dostupne</w:t>
      </w:r>
      <w:proofErr w:type="spellEnd"/>
      <w:r w:rsidRPr="00BC3448">
        <w:rPr>
          <w:b/>
          <w:i/>
          <w:szCs w:val="24"/>
          <w:lang w:eastAsia="en-US"/>
        </w:rPr>
        <w:t xml:space="preserve"> na zasebnoj oznaci koja bi trebala biti pričvršćena na ambalažu u trenutku ponovnog punjenja. To bi trebalo obuhvaćati upute</w:t>
      </w:r>
      <w:r w:rsidRPr="00BC3448">
        <w:rPr>
          <w:szCs w:val="24"/>
          <w:lang w:eastAsia="en-US"/>
        </w:rPr>
        <w:t xml:space="preserve"> o doziranju deterdženata za pranje rublja koji se koriste u kućanstvu.</w:t>
      </w:r>
      <w:r w:rsidR="0067391F" w:rsidRPr="00BC3448">
        <w:rPr>
          <w:b/>
          <w:szCs w:val="24"/>
          <w:lang w:eastAsia="en-US"/>
        </w:rPr>
        <w:t xml:space="preserve"> [Am. 19.]</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(35)</w:t>
      </w:r>
      <w:r w:rsidRPr="00BC3448">
        <w:rPr>
          <w:szCs w:val="24"/>
          <w:lang w:eastAsia="en-US"/>
        </w:rPr>
        <w:tab/>
        <w:t>Kako bi se osigurali jednaki uvjeti među gospodarskim subjektima koji deterdžente stavljaju na raspolaganje na tržištu i zaštitili krajnji korisnici, trebalo bi utvrditi opće zahtjeve za digitalno označivanje. Na primjer, gospodarski subjekti trebali bi osigurati besplatan i jednostavan pristup digitalnim oznakama</w:t>
      </w:r>
      <w:r w:rsidRPr="00BC3448">
        <w:rPr>
          <w:b/>
          <w:i/>
          <w:szCs w:val="24"/>
          <w:lang w:eastAsia="en-US"/>
        </w:rPr>
        <w:t>, dostupan putem najviše dvije tipke ili klika,</w:t>
      </w:r>
      <w:r w:rsidRPr="00BC3448">
        <w:rPr>
          <w:szCs w:val="24"/>
          <w:lang w:eastAsia="en-US"/>
        </w:rPr>
        <w:t xml:space="preserve"> i da obvezne informacije na oznakama koje se zahtijevaju u skladu s ovom Uredbom budu odvojene od drugih informacija.</w:t>
      </w:r>
      <w:r w:rsidR="0067391F" w:rsidRPr="00BC3448">
        <w:rPr>
          <w:b/>
          <w:szCs w:val="24"/>
          <w:lang w:eastAsia="en-US"/>
        </w:rPr>
        <w:t xml:space="preserve"> [Am. 20.]</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(36)</w:t>
      </w:r>
      <w:r w:rsidRPr="00BC3448">
        <w:rPr>
          <w:szCs w:val="24"/>
          <w:lang w:eastAsia="en-US"/>
        </w:rPr>
        <w:tab/>
        <w:t>S obzirom na trenutačni razvoj digitalnih vještina, gospodarski subjekti trebali bi krajnjim korisnicima informacije na oznakama učiniti dostupnima i na druge načine ako pristup digitalnoj oznaci nije moguć. Ta bi se obveza trebala uvesti kao sigurnosna mjera kako bi se smanjili svi potencijalni rizici zbog nedostupnosti informacija na oznakama</w:t>
      </w:r>
      <w:r w:rsidRPr="00BC3448">
        <w:rPr>
          <w:strike/>
          <w:szCs w:val="24"/>
          <w:lang w:eastAsia="en-US"/>
        </w:rPr>
        <w:t>, posebno za ponovno napunjene deterdžente, u slučajevima u kojima se sve informacije mogu navesti na digitalnoj oznaci</w:t>
      </w:r>
      <w:r w:rsidRPr="00BC3448">
        <w:rPr>
          <w:szCs w:val="24"/>
          <w:lang w:eastAsia="en-US"/>
        </w:rPr>
        <w:t>.</w:t>
      </w:r>
      <w:r w:rsidR="0067391F" w:rsidRPr="00BC3448">
        <w:rPr>
          <w:b/>
          <w:szCs w:val="24"/>
          <w:lang w:eastAsia="en-US"/>
        </w:rPr>
        <w:t xml:space="preserve"> [Am. 21.]</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(37)</w:t>
      </w:r>
      <w:r w:rsidRPr="00BC3448">
        <w:rPr>
          <w:szCs w:val="24"/>
          <w:lang w:eastAsia="en-US"/>
        </w:rPr>
        <w:tab/>
        <w:t xml:space="preserve">Budući da deterdženti imaju istu upotrebu i podrazumijevaju isti rizik neovisno o obliku u kojem se stavljaju na raspolaganje na tržištu, gospodarski subjekti koji stavljaju deterdžente na raspolaganje na tržištu u obliku ponovnog punjenja trebali bi osigurati da ti deterdženti ispunjavaju iste zahtjeve kao i oni </w:t>
      </w:r>
      <w:proofErr w:type="spellStart"/>
      <w:r w:rsidRPr="00BC3448">
        <w:rPr>
          <w:szCs w:val="24"/>
          <w:lang w:eastAsia="en-US"/>
        </w:rPr>
        <w:t>pretpakirani</w:t>
      </w:r>
      <w:proofErr w:type="spellEnd"/>
      <w:r w:rsidRPr="00BC3448">
        <w:rPr>
          <w:szCs w:val="24"/>
          <w:lang w:eastAsia="en-US"/>
        </w:rPr>
        <w:t xml:space="preserve">. Osim toga, potrošači bi trebali dobiti potrebne informacije na oznakama i ako se odluče za ponovno napunjene deterdžente. </w:t>
      </w:r>
      <w:r w:rsidRPr="00BC3448">
        <w:rPr>
          <w:b/>
          <w:i/>
          <w:szCs w:val="24"/>
          <w:lang w:eastAsia="en-US"/>
        </w:rPr>
        <w:t xml:space="preserve">I fizički primjerak oznake uvijek bi trebao biti vidljiv na stanici za ponovno punjenje. </w:t>
      </w:r>
      <w:r w:rsidRPr="00BC3448">
        <w:rPr>
          <w:szCs w:val="24"/>
          <w:lang w:eastAsia="en-US"/>
        </w:rPr>
        <w:t>Prodaja ponovnog punjenja za deterdžente stoga bi trebala biti izričito obuhvaćena ovom Uredbom kako bi se osigurala visoka razina zaštite zdravlja i okoliša te jednaki uvjeti za gospodarske subjekte.</w:t>
      </w:r>
      <w:r w:rsidRPr="00BC3448">
        <w:rPr>
          <w:b/>
          <w:i/>
          <w:szCs w:val="24"/>
          <w:lang w:eastAsia="en-US"/>
        </w:rPr>
        <w:t xml:space="preserve"> Kako bi se potaknuo prijelaz Unije na kružno gospodarstvo, trebalo bi poticati i promicati ponovnu upotrebu i ponovno punjenje ambalaže. Proizvođači i krajnji distributeri trebali bi, ako je to izvedivo, omogućiti i dodatno razviti prodaju deterdženata u obliku ponovnog punjenja na prodajnom mjestu te bi trebali nastojati staviti deterdžente na raspolaganje potrošačima u drugim oblicima održive prodaje, na primjer stavljanjem deterdženata na raspolaganje u ambalaži koja se može reciklirati i koja potrošačima omogućuje ponovno punjenje odgovarajuće ambalaže kod kuće, uz istodobno osiguravanje sigurnosti potrošača.</w:t>
      </w:r>
      <w:r w:rsidR="0067391F" w:rsidRPr="00BC3448">
        <w:rPr>
          <w:b/>
          <w:szCs w:val="24"/>
          <w:lang w:eastAsia="en-US"/>
        </w:rPr>
        <w:t xml:space="preserve"> [Am. 22.]</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(38)</w:t>
      </w:r>
      <w:r w:rsidRPr="00BC3448">
        <w:rPr>
          <w:szCs w:val="24"/>
          <w:lang w:eastAsia="en-US"/>
        </w:rPr>
        <w:tab/>
        <w:t xml:space="preserve">Osiguravanje </w:t>
      </w:r>
      <w:proofErr w:type="spellStart"/>
      <w:r w:rsidRPr="00BC3448">
        <w:rPr>
          <w:szCs w:val="24"/>
          <w:lang w:eastAsia="en-US"/>
        </w:rPr>
        <w:t>sljedivosti</w:t>
      </w:r>
      <w:proofErr w:type="spellEnd"/>
      <w:r w:rsidRPr="00BC3448">
        <w:rPr>
          <w:szCs w:val="24"/>
          <w:lang w:eastAsia="en-US"/>
        </w:rPr>
        <w:t xml:space="preserve"> deterdženta ili površinski aktivne tvari u cijelom opskrbnom lancu pomaže u pojednostavnjenju i povećanju učinkovitosti nadzora tržišta. Učinkovit sustav </w:t>
      </w:r>
      <w:proofErr w:type="spellStart"/>
      <w:r w:rsidRPr="00BC3448">
        <w:rPr>
          <w:szCs w:val="24"/>
          <w:lang w:eastAsia="en-US"/>
        </w:rPr>
        <w:t>sljedivosti</w:t>
      </w:r>
      <w:proofErr w:type="spellEnd"/>
      <w:r w:rsidRPr="00BC3448">
        <w:rPr>
          <w:szCs w:val="24"/>
          <w:lang w:eastAsia="en-US"/>
        </w:rPr>
        <w:t xml:space="preserve"> olakšava tijelima za nadzor tržišta praćenje gospodarskih subjekata koji su nesukladne deterdžente ili površinski aktivne tvari stavili na raspolaganje na tržištu.</w:t>
      </w:r>
    </w:p>
    <w:p w:rsidR="001169ED" w:rsidRPr="00BC3448" w:rsidRDefault="001169ED" w:rsidP="001169ED">
      <w:pPr>
        <w:spacing w:before="120" w:after="120" w:line="360" w:lineRule="auto"/>
        <w:ind w:left="850" w:hanging="850"/>
        <w:rPr>
          <w:szCs w:val="24"/>
          <w:lang w:eastAsia="en-US"/>
        </w:rPr>
      </w:pPr>
      <w:r w:rsidRPr="00BC3448">
        <w:rPr>
          <w:szCs w:val="24"/>
          <w:lang w:eastAsia="en-US"/>
        </w:rPr>
        <w:t>(39)</w:t>
      </w:r>
      <w:r w:rsidRPr="00BC3448">
        <w:rPr>
          <w:szCs w:val="24"/>
          <w:lang w:eastAsia="en-US"/>
        </w:rPr>
        <w:tab/>
        <w:t>Proizvođači bi trebali izraditi putovnicu za proizvode kako bi pružili informacije o sukladnosti deterdženata i površinski aktivnih tvari s ovom Uredbom i sa svim drugim propisima koje deterdžent ili površinski aktivna tvar mora poštovati. Kako bi se olakšale provjere deterdženata ili površinski aktivnih tvari te sudionicima u opskrbnom lancu i krajnjim korisnicima omogućio pristup potrebnim informacijama kao što su sastojci i upute za upotrebu, informacije u putovnici za proizvode trebale bi se pružati digitalno i na izravno dostupan način, putem nosača podataka pričvršćenog na oznaku deterdženta ili površinski aktivne tvari, njegovo pakiranje ili popratnu dokumentaciju. Tijela za nadzor tržišta, gospodarski subjekti i krajnji korisnici trebali bi stoga imati neposredan pristup informacijama o sukladnosti ili drugim informacijama o deterdžentu ili površinski aktivnoj tvari putem nosača podataka.</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(39a)</w:t>
      </w:r>
      <w:r w:rsidRPr="00BC3448">
        <w:rPr>
          <w:szCs w:val="24"/>
          <w:lang w:eastAsia="en-US"/>
        </w:rPr>
        <w:tab/>
      </w:r>
      <w:r w:rsidRPr="00BC3448">
        <w:rPr>
          <w:b/>
          <w:i/>
          <w:szCs w:val="24"/>
          <w:lang w:eastAsia="en-US"/>
        </w:rPr>
        <w:t>Kako bi se izbjegli troškovi za poduzeća i javnost koji su nerazmjerni širim koristima, putovnica za proizvode trebala bi kao standard biti specifična za model deterdženta ili površinski aktivne tvari. U slučaju promjena formule ili ako postoje razlike u sastavu ovisno o seriji, putovnica za proizvode trebala bi biti specifična za seriju.</w:t>
      </w:r>
      <w:r w:rsidR="0067391F" w:rsidRPr="00BC3448">
        <w:rPr>
          <w:b/>
          <w:szCs w:val="24"/>
          <w:lang w:eastAsia="en-US"/>
        </w:rPr>
        <w:t xml:space="preserve"> [Am. 23.]</w:t>
      </w:r>
    </w:p>
    <w:p w:rsidR="001169ED" w:rsidRPr="00BC3448" w:rsidRDefault="001169ED" w:rsidP="001169ED">
      <w:pPr>
        <w:spacing w:before="120" w:after="120" w:line="360" w:lineRule="auto"/>
        <w:ind w:left="850" w:hanging="850"/>
        <w:rPr>
          <w:szCs w:val="24"/>
          <w:lang w:eastAsia="en-US"/>
        </w:rPr>
      </w:pPr>
      <w:r w:rsidRPr="00BC3448">
        <w:rPr>
          <w:szCs w:val="24"/>
          <w:lang w:eastAsia="en-US"/>
        </w:rPr>
        <w:t>(40)</w:t>
      </w:r>
      <w:r w:rsidRPr="00BC3448">
        <w:rPr>
          <w:szCs w:val="24"/>
          <w:lang w:eastAsia="en-US"/>
        </w:rPr>
        <w:tab/>
        <w:t xml:space="preserve">Kako bi se izbjeglo udvostručavanje ulaganja svih uključenih sudionika u digitalizaciju, uključujući proizvođače, tijela za nadzor tržišta i carinska tijela, putovnica za proizvode uspostavljena prema ovoj Uredbi trebala bi biti potpuno </w:t>
      </w:r>
      <w:proofErr w:type="spellStart"/>
      <w:r w:rsidRPr="00BC3448">
        <w:rPr>
          <w:szCs w:val="24"/>
          <w:lang w:eastAsia="en-US"/>
        </w:rPr>
        <w:t>interoperabilna</w:t>
      </w:r>
      <w:proofErr w:type="spellEnd"/>
      <w:r w:rsidRPr="00BC3448">
        <w:rPr>
          <w:szCs w:val="24"/>
          <w:lang w:eastAsia="en-US"/>
        </w:rPr>
        <w:t xml:space="preserve"> s putovnicom za proizvode koja se zahtijeva drugim zakonodavstvom Unije.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(41)</w:t>
      </w:r>
      <w:r w:rsidRPr="00BC3448">
        <w:rPr>
          <w:szCs w:val="24"/>
          <w:lang w:eastAsia="en-US"/>
        </w:rPr>
        <w:tab/>
        <w:t>Konkretno, Uredbom (EU) .../... [Europskog parlamenta i Vijeća o uspostavi okvira za utvrđivanje zahtjeva za ekološki dizajn održivih proizvoda i stavljanju izvan snage Direktive 2009/125/EZ] utvrđuju se i zahtjevi te tehničke specifikacije za digitalnu putovnicu za proizvode, uspostava središnjeg registra Komisije u kojem se pohranjuju informacije iz putovnica i povezivanje tog registra s carinskim informatičkim sustavima. Područjem primjene te uredbe srednjoročno bi mogli biti obuhvaćeni deterdženti ili površinski aktivne tvari, čime bi se za njih zahtijevala dostupnost digitalne putovnice za proizvode.</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(42)</w:t>
      </w:r>
      <w:r w:rsidRPr="00BC3448">
        <w:rPr>
          <w:szCs w:val="24"/>
          <w:lang w:eastAsia="en-US"/>
        </w:rPr>
        <w:tab/>
        <w:t>Putovnica za proizvode za deterdžente i površinski aktivne tvari izrađena na temelju ove Uredbe trebala bi stoga biti u skladu s istim zahtjevima i tehničkim elementima kao što su oni utvrđeni u Uredbi (EU) .../... o zahtjevima za ekološki dizajn održivih proizvoda, uključujući njezine tehničke, semantičke i organizacijske aspekte komunikacije s kraja na kraj i prijenosa podataka.</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(43)</w:t>
      </w:r>
      <w:r w:rsidRPr="00BC3448">
        <w:rPr>
          <w:szCs w:val="24"/>
          <w:lang w:eastAsia="en-US"/>
        </w:rPr>
        <w:tab/>
        <w:t xml:space="preserve">Ako se drugim zakonodavstvom Unije koje se primjenjuje na deterdžente ili površinski aktivne tvari zahtijeva putovnica za proizvode, za deterdžente i površinski aktivne tvari trebala bi </w:t>
      </w:r>
      <w:r w:rsidRPr="00BC3448">
        <w:rPr>
          <w:strike/>
          <w:szCs w:val="24"/>
          <w:lang w:eastAsia="en-US"/>
        </w:rPr>
        <w:t xml:space="preserve">biti </w:t>
      </w:r>
      <w:proofErr w:type="spellStart"/>
      <w:r w:rsidRPr="00BC3448">
        <w:rPr>
          <w:strike/>
          <w:szCs w:val="24"/>
          <w:lang w:eastAsia="en-US"/>
        </w:rPr>
        <w:t>dostupna</w:t>
      </w:r>
      <w:r w:rsidRPr="00BC3448">
        <w:rPr>
          <w:b/>
          <w:i/>
          <w:szCs w:val="24"/>
          <w:lang w:eastAsia="en-US"/>
        </w:rPr>
        <w:t>se</w:t>
      </w:r>
      <w:proofErr w:type="spellEnd"/>
      <w:r w:rsidRPr="00BC3448">
        <w:rPr>
          <w:b/>
          <w:i/>
          <w:szCs w:val="24"/>
          <w:lang w:eastAsia="en-US"/>
        </w:rPr>
        <w:t xml:space="preserve"> zahtijevati</w:t>
      </w:r>
      <w:r w:rsidRPr="00BC3448">
        <w:rPr>
          <w:szCs w:val="24"/>
          <w:lang w:eastAsia="en-US"/>
        </w:rPr>
        <w:t xml:space="preserve"> jedna putovnica za proizvode koja sadržava informacije propisane ovom Uredbom i drugim zakonodavstvom Unije.</w:t>
      </w:r>
      <w:r w:rsidRPr="00BC3448">
        <w:rPr>
          <w:b/>
          <w:i/>
          <w:szCs w:val="24"/>
          <w:lang w:eastAsia="en-US"/>
        </w:rPr>
        <w:t xml:space="preserve"> Nadalje, zahtjevi za tehnički dizajn putovnice za proizvode za deterdžente i površinski aktivne tvari trebali bi biti usklađeni s odvojenim kriterijima tehničkog dizajna određenima u drugom zakonodavstvu Unije.</w:t>
      </w:r>
      <w:r w:rsidR="0067391F" w:rsidRPr="00BC3448">
        <w:rPr>
          <w:b/>
          <w:szCs w:val="24"/>
          <w:lang w:eastAsia="en-US"/>
        </w:rPr>
        <w:t xml:space="preserve"> [Am. 24.]</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(44)</w:t>
      </w:r>
      <w:r w:rsidRPr="00BC3448">
        <w:rPr>
          <w:szCs w:val="24"/>
          <w:lang w:eastAsia="en-US"/>
        </w:rPr>
        <w:tab/>
        <w:t>Ključno je i proizvođačima i korisnicima pojasniti da izradom putovnice za proizvode za deterdžent ili površinski aktivnu tvar</w:t>
      </w:r>
      <w:r w:rsidRPr="00BC3448">
        <w:rPr>
          <w:strike/>
          <w:szCs w:val="24"/>
          <w:lang w:eastAsia="en-US"/>
        </w:rPr>
        <w:t xml:space="preserve"> te, prema potrebi, stavljanjem oznake CE</w:t>
      </w:r>
      <w:r w:rsidRPr="00BC3448">
        <w:rPr>
          <w:szCs w:val="24"/>
          <w:lang w:eastAsia="en-US"/>
        </w:rPr>
        <w:t xml:space="preserve"> proizvođač izjavljuje da je deterdžent ili površinski aktivna tvar u skladu sa svim primjenjivim zahtjevima i da za to preuzima punu odgovornost.</w:t>
      </w:r>
      <w:r w:rsidR="0067391F" w:rsidRPr="00BC3448">
        <w:rPr>
          <w:b/>
          <w:szCs w:val="24"/>
          <w:lang w:eastAsia="en-US"/>
        </w:rPr>
        <w:t xml:space="preserve"> [Am. 25.]</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(45)</w:t>
      </w:r>
      <w:r w:rsidRPr="00BC3448">
        <w:rPr>
          <w:szCs w:val="24"/>
          <w:lang w:eastAsia="en-US"/>
        </w:rPr>
        <w:tab/>
        <w:t>Ako se određene informacije pružaju</w:t>
      </w:r>
      <w:r w:rsidRPr="00BC3448">
        <w:rPr>
          <w:strike/>
          <w:szCs w:val="24"/>
          <w:lang w:eastAsia="en-US"/>
        </w:rPr>
        <w:t xml:space="preserve"> samo</w:t>
      </w:r>
      <w:r w:rsidRPr="00BC3448">
        <w:rPr>
          <w:szCs w:val="24"/>
          <w:lang w:eastAsia="en-US"/>
        </w:rPr>
        <w:t xml:space="preserve"> u digitalnom obliku, potrebno je pojasniti da te informacije treba dostaviti odvojeno i jasno razlikovati jednu od druge, ali na jednom nosaču podataka. Time će se olakšati rad tijela za nadzor tržišta, ali i krajnjim korisnicima pojasniti različite informacije koje su im dostupne u digitalnom obliku.</w:t>
      </w:r>
      <w:r w:rsidR="0067391F" w:rsidRPr="00BC3448">
        <w:rPr>
          <w:b/>
          <w:szCs w:val="24"/>
          <w:lang w:eastAsia="en-US"/>
        </w:rPr>
        <w:t xml:space="preserve"> [Am. 26.]</w:t>
      </w:r>
    </w:p>
    <w:p w:rsidR="001169ED" w:rsidRPr="00BC3448" w:rsidRDefault="001169ED" w:rsidP="001169ED">
      <w:pPr>
        <w:spacing w:before="120" w:after="120" w:line="360" w:lineRule="auto"/>
        <w:ind w:left="850" w:hanging="850"/>
        <w:rPr>
          <w:szCs w:val="24"/>
          <w:lang w:eastAsia="en-US"/>
        </w:rPr>
      </w:pPr>
      <w:r w:rsidRPr="00BC3448">
        <w:rPr>
          <w:szCs w:val="24"/>
          <w:lang w:eastAsia="en-US"/>
        </w:rPr>
        <w:t>(46)</w:t>
      </w:r>
      <w:r w:rsidRPr="00BC3448">
        <w:rPr>
          <w:szCs w:val="24"/>
          <w:lang w:eastAsia="en-US"/>
        </w:rPr>
        <w:tab/>
        <w:t>Poglavlje VII. Uredbe (EU) 2019/1020 Europskog parlamenta i Vijeća</w:t>
      </w:r>
      <w:r w:rsidRPr="00BC3448">
        <w:rPr>
          <w:szCs w:val="24"/>
          <w:vertAlign w:val="superscript"/>
          <w:lang w:eastAsia="en-US"/>
        </w:rPr>
        <w:footnoteReference w:id="12"/>
      </w:r>
      <w:r w:rsidRPr="00BC3448">
        <w:rPr>
          <w:szCs w:val="24"/>
          <w:lang w:eastAsia="en-US"/>
        </w:rPr>
        <w:t>, kojim se utvrđuju pravila kontrole proizvoda koji ulaze na tržište Unije, primjenjuje se na deterdžente i površinski aktivne tvari. Tijela zadužena za tu kontrolu, a to su u gotovo svim državama članicama carinska tijela, trebaju je provoditi na temelju analize rizika iz članaka 46. i 47. Uredbe (EU) br. 952/2013 Europskog parlamenta i Vijeća</w:t>
      </w:r>
      <w:r w:rsidRPr="00BC3448">
        <w:rPr>
          <w:szCs w:val="24"/>
          <w:vertAlign w:val="superscript"/>
          <w:lang w:eastAsia="en-US"/>
        </w:rPr>
        <w:footnoteReference w:id="13"/>
      </w:r>
      <w:r w:rsidRPr="00BC3448">
        <w:rPr>
          <w:szCs w:val="24"/>
          <w:lang w:eastAsia="en-US"/>
        </w:rPr>
        <w:t>, njezina provedbenog zakonodavstva i odgovarajućih smjernica. Ovom se Uredbom stoga ni na koji način ne bi trebalo mijenjati poglavlje VII. Uredbe (EU) 2019/1020 ni način na koji se tijela nadležna za kontrolu proizvoda koji ulaze na tržište Unije organiziraju i obavljaju svoje aktivnosti.</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(47)</w:t>
      </w:r>
      <w:r w:rsidRPr="00BC3448">
        <w:rPr>
          <w:szCs w:val="24"/>
          <w:lang w:eastAsia="en-US"/>
        </w:rPr>
        <w:tab/>
        <w:t>Osim okvira za kontrolu uspostavljenog poglavljem VII. Uredbe (EU) 2019/1020, carinska tijela trebala bi moći automatski provjeriti postoji li putovnica za proizvode za uvezene deterdžente i površinski aktivne tvari na koje se primjenjuje ova Uredba kako bi se pojačala kontrola na vanjskim granicama Unije i spriječio ulazak nesukladnih deterdženata i površinski aktivnih tvari na tržište Unije.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(48)</w:t>
      </w:r>
      <w:r w:rsidRPr="00BC3448">
        <w:rPr>
          <w:szCs w:val="24"/>
          <w:lang w:eastAsia="en-US"/>
        </w:rPr>
        <w:tab/>
        <w:t>Kad se deterdženti i površinski aktivne tvari iz trećih zemalja podnose za puštanje u slobodni promet, carina bi trebala osigurati da gospodarski subjekt carinskim tijelima stavi na raspolaganje upućivanje na putovnicu za proizvode i da to upućivanje odgovara jedinstvenoj identifikacijskoj oznaci proizvoda pohranjenoj u registru putovnica za proizvode koji je Komisija uspostavila u skladu s [člankom 12. Uredbe (EU) .../... o ekološkom dizajnu za održive proizvode].  Međusobna povezanost tog registra i carinskog informatičkog sustava kako je predviđeno u [članku 13. Uredbe (EU) .../... o zahtjevima za ekološki dizajn održivih proizvoda] trebala bi omogućiti automatsku provjeru putovnice za proizvode podnesene carini za taj deterdžent ili površinski aktivnu tvar kako bi se osiguralo da se u slobodni promet puštaju samo deterdženti i površinski aktivne tvari s valjanim upućivanjem na jedinstvenu identifikacijsku oznaku proizvoda kako je navedena u registru.</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(49)</w:t>
      </w:r>
      <w:r w:rsidRPr="00BC3448">
        <w:rPr>
          <w:szCs w:val="24"/>
          <w:lang w:eastAsia="en-US"/>
        </w:rPr>
        <w:tab/>
        <w:t>Ako su druge informacije uz jedinstvenu identifikacijsku oznaku proizvoda i jedinstvenu identifikacijsku oznaku subjekta pohranjene u registru putovnica za proizvode uspostavljenom na temelju [članka 12. Uredbe (EU) .../... o ekološkom dizajnu za održive proizvode], Komisija bi trebala moći delegiranim aktom utvrditi da carinska tijela mogu provjeriti dosljednost između tih dodatnih informacija i informacija koje gospodarski subjekt stavlja na raspolaganje carini kako bi se poboljšala sukladnost deterdženata i površinski aktivnih tvari stavljenih u carinski postupak puštanja u slobodni promet s ovom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(50)</w:t>
      </w:r>
      <w:r w:rsidRPr="00BC3448">
        <w:rPr>
          <w:szCs w:val="24"/>
          <w:lang w:eastAsia="en-US"/>
        </w:rPr>
        <w:tab/>
        <w:t>Informacije sadržane u putovnici za proizvode mogu carinskim tijelima omogućiti poboljšano i olakšano upravljanje rizikom i bolje usmjeravanje kontrole na vanjskim granicama Unije. Stoga bi carinska tijela trebala moći dohvatiti i upotrebljavati informacije sadržane u putovnici za proizvode i povezanom registru za obavljanje svojih zadaća u skladu sa zakonodavstvom Unije, među ostalim za upravljanje rizikom u skladu s Uredbom (EU) br. 952/2013.</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(51)</w:t>
      </w:r>
      <w:r w:rsidRPr="00BC3448">
        <w:rPr>
          <w:szCs w:val="24"/>
          <w:lang w:eastAsia="en-US"/>
        </w:rPr>
        <w:tab/>
        <w:t xml:space="preserve">Primjereno je propisati objavu obavijesti u </w:t>
      </w:r>
      <w:r w:rsidRPr="00BC3448">
        <w:rPr>
          <w:i/>
          <w:szCs w:val="24"/>
          <w:lang w:eastAsia="en-US"/>
        </w:rPr>
        <w:t>Službenom listu Europske unije</w:t>
      </w:r>
      <w:r w:rsidRPr="00BC3448">
        <w:rPr>
          <w:szCs w:val="24"/>
          <w:lang w:eastAsia="en-US"/>
        </w:rPr>
        <w:t xml:space="preserve"> u kojoj se navodi datum početka primjene međusobnog povezivanja tog registra i sustava razmjene potvrda u okviru jedinstvenog sučelja EU-a za carinu iz [članka 13. Uredbe (EU) .../... o ekološkom dizajnu za održive proizvode] kako bi se olakšao javni pristup tim informacijama.</w:t>
      </w:r>
    </w:p>
    <w:p w:rsidR="001169ED" w:rsidRPr="00BC3448" w:rsidRDefault="001169ED" w:rsidP="001169ED">
      <w:pPr>
        <w:spacing w:before="120" w:after="120" w:line="360" w:lineRule="auto"/>
        <w:ind w:left="850" w:hanging="850"/>
        <w:rPr>
          <w:szCs w:val="24"/>
          <w:lang w:eastAsia="en-US"/>
        </w:rPr>
      </w:pPr>
      <w:r w:rsidRPr="00BC3448">
        <w:rPr>
          <w:szCs w:val="24"/>
          <w:lang w:eastAsia="en-US"/>
        </w:rPr>
        <w:t>(52)</w:t>
      </w:r>
      <w:r w:rsidRPr="00BC3448">
        <w:rPr>
          <w:szCs w:val="24"/>
          <w:lang w:eastAsia="en-US"/>
        </w:rPr>
        <w:tab/>
        <w:t>Carinska automatska provjera upućivanja na putovnicu za proizvode za deterdžente i površinski aktivne tvari koji ulaze na tržište Unije ne bi trebala zamijeniti ili izmijeniti odgovornosti tijela za nadzor tržišta, već samo dopuniti opći okvir za kontrolu proizvoda koji ulaze na tržište Unije. Tijela za nadzor tržišta trebala bi, u skladu s Uredbom (EU) 2019/1020, provoditi provjere informacija sadržanih u putovnicama za proizvode, provjeravati proizvode na tržištu i, u slučaju da tijela određena za kontrolu na vanjskim granicama Unije obustave puštanje u slobodni promet, utvrditi sukladnost i ozbiljne rizike proizvoda u skladu s poglavljem VII. Uredbe (EU) 2019/1020.</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(53)</w:t>
      </w:r>
      <w:r w:rsidRPr="00BC3448">
        <w:rPr>
          <w:szCs w:val="24"/>
          <w:lang w:eastAsia="en-US"/>
        </w:rPr>
        <w:tab/>
        <w:t>Nadzor tržišta ključan je instrument jer se njime osigurava pravilna i ujednačena primjena zakonodavstva Unije. Uredbom (EU) 2019/1020 utvrđuje se okvir za nadzor tržišta proizvoda koji podliježu zakonodavstvu Unije o usklađivanju. Države članice stoga bi trebale organizirati i provoditi nadzor tržišta deterdženata i površinski aktivnih tvari u skladu s tom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(54)</w:t>
      </w:r>
      <w:r w:rsidRPr="00BC3448">
        <w:rPr>
          <w:szCs w:val="24"/>
          <w:lang w:eastAsia="en-US"/>
        </w:rPr>
        <w:tab/>
        <w:t>Uredba (EU) 2019/1020 već se primjenjuje na deterdžente i površinski aktivne tvari jer je Uredba (EZ) br. 648/2004 navedena u njezinu Prilogu I. Međutim, kako bi se osigurala pravna sigurnost, potrebno je pojasniti da se pravila o nadzoru unutarnjeg tržišta i kontroli proizvoda koji ulaze na unutarnje tržište utvrđena Uredbom (EU) 2019/1020 primjenjuju i na deterdžente i površinski aktivne tvari obuhvaćene ovom Uredbom. Ova Uredba ne bi državama članicama trebala onemogućiti da odaberu nadležna tijela za obavljanje tih zadaća. Uredbu (EU) 2019/1020 trebalo bi stoga izmijeniti kako bi se uključilo upućivanje na ovu Uredbu.</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(55)</w:t>
      </w:r>
      <w:r w:rsidRPr="00BC3448">
        <w:rPr>
          <w:szCs w:val="24"/>
          <w:lang w:eastAsia="en-US"/>
        </w:rPr>
        <w:tab/>
        <w:t>Uredbom (EZ) br. 648/2004 utvrđen je zaštitni postupak kojim se Komisiji omogućuje da ispita opravdanost mjere koju je neka država članica poduzela protiv deterdženata i površinski aktivnih tvari za koje se smatra da predstavljaju rizik. Kako bi se povećala transparentnost i skratilo vrijeme obrade, postojeći zaštitni postupak trebalo bi poboljšati kako bi postao učinkovitiji i kako bi se iskoristilo stručno znanje dostupno u državama članicama. Postojeći sustav trebalo bi zamijeniti postupkom u kojem se zainteresirane strane obavješćuju o mjerama koje se namjeravaju poduzeti za deterdžente i površinski aktivne tvari koje predstavljaju rizik za zdravlje ili okoliš. Tijelima za nadzor tržišta trebalo bi omogućiti da u suradnji s relevantnim gospodarskim subjektima u slučaju tih deterdženata i površinski aktivnih tvari mogu rano reagirati. Komisija bi trebala provedbenim aktima i, s obzirom na njihovu posebnu i tehničku prirodu, bez primjene Uredbe (EU) br. 182/2011, utvrditi je li određena nacionalna mjera za deterdžent ili površinski aktivnu tvar koja predstavlja rizik opravdana.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(56)</w:t>
      </w:r>
      <w:r w:rsidRPr="00BC3448">
        <w:rPr>
          <w:szCs w:val="24"/>
          <w:lang w:eastAsia="en-US"/>
        </w:rPr>
        <w:tab/>
        <w:t>Iskustvo s Uredbom (EZ) br. 648/2004 pokazalo je da su deterdženti i površinski aktivne tvari koji su bili u skladu s primjenjivim zahtjevima u pojedinim slučajevima predstavljali rizik za zdravlje ili okoliš. Trebalo bi predvidjeti mogućnost da tijela za nadzor tržišta mogu poduzeti mjere protiv svih deterdženta ili površinski aktivnih tvari koji predstavljaju rizik za zdravlje ili okoliš, čak i ako su u skladu s pravnim zahtjevima. Komisija bi trebala provedbenim aktima i, s obzirom na njihovu posebnu i tehničku prirodu, bez primjene Uredbe (EU) br. 182/2011, utvrditi je li opravdana određena nacionalna mjera za sukladne deterdžente ili površinski aktivne tvari za koje država članica smatra da predstavljaju rizik za zdravlje i sigurnost osoba ili okoliš.</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(57)</w:t>
      </w:r>
      <w:r w:rsidRPr="00BC3448">
        <w:rPr>
          <w:szCs w:val="24"/>
          <w:lang w:eastAsia="en-US"/>
        </w:rPr>
        <w:tab/>
        <w:t xml:space="preserve">Kako bi se u obzir uzeo tehnički i znanstveni napredak ili novi znanstveni dokazi te razina digitalne spremnosti, Komisiji bi trebalo delegirati ovlast za donošenje akata u skladu s člankom 290. Ugovora o funkcioniranju Europske unije radi dopune općih zahtjeva za digitalno označivanje; izmjenom informacija na oznakama koje se mogu pružiti samo u digitalnom obliku; izmjenom granične vrijednosti </w:t>
      </w:r>
      <w:proofErr w:type="spellStart"/>
      <w:r w:rsidRPr="00BC3448">
        <w:rPr>
          <w:szCs w:val="24"/>
          <w:lang w:eastAsia="en-US"/>
        </w:rPr>
        <w:t>alergenih</w:t>
      </w:r>
      <w:proofErr w:type="spellEnd"/>
      <w:r w:rsidRPr="00BC3448">
        <w:rPr>
          <w:szCs w:val="24"/>
          <w:lang w:eastAsia="en-US"/>
        </w:rPr>
        <w:t xml:space="preserve"> mirisa ako su Uredbom (EZ) br. 1223/2009 utvrđene pojedinačne granične vrijednosti koncentracije </w:t>
      </w:r>
      <w:proofErr w:type="spellStart"/>
      <w:r w:rsidRPr="00BC3448">
        <w:rPr>
          <w:szCs w:val="24"/>
          <w:lang w:eastAsia="en-US"/>
        </w:rPr>
        <w:t>alergenih</w:t>
      </w:r>
      <w:proofErr w:type="spellEnd"/>
      <w:r w:rsidRPr="00BC3448">
        <w:rPr>
          <w:szCs w:val="24"/>
          <w:lang w:eastAsia="en-US"/>
        </w:rPr>
        <w:t xml:space="preserve"> mirisa koje se temelje na riziku; izmjenom postojećih zahtjeva o biorazgradivosti radi uvođenja zahtjeva o biorazgradivosti za tvari i smjese u deterdžentima (uključujući kapsule za deterdžente) koje nisu površinski aktivne tvari ako to zahtijevaju novi znanstveni dokazi; i izmjenom priloga od I. do VII. Komisiju bi trebalo ovlastiti i za izmjenu posebnih informacija koje bi trebalo uključiti u putovnicu za proizvode, kao i informacija koje treba uključiti u registar Komisije. Nadalje, Komisiju bi trebalo ovlastiti za dopunu ove Uredbe utvrđivanjem dodatnih informacija pohranjenih u registru koji će voditi carinska tijela. Osim toga, kako bi se carinskim tijelima olakšao rad povezan s deterdžentima i površinski aktivnim tvarima u skladu sa zahtjevima iz ove Uredbe, Komisiju bi trebalo ovlastiti za donošenje delegiranih akata o izmjeni ove Uredbe utvrđivanjem priloga koji sadržava popis oznaka kombinirane nomenklature, kako je utvrđeno u Prilogu I. Uredbi (EEZ) br. 2658/87, kao i opise proizvoda za deterdžente i površinski aktivne tvari te ažuriranjem tog priloga.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(58)</w:t>
      </w:r>
      <w:r w:rsidRPr="00BC3448">
        <w:rPr>
          <w:szCs w:val="24"/>
          <w:lang w:eastAsia="en-US"/>
        </w:rPr>
        <w:tab/>
        <w:t xml:space="preserve">Pri donošenju delegiranih akata na temelju ove Uredbe posebno je važno da Komisija tijekom svojeg pripremnog rada provede odgovarajuća savjetovanja, uključujući ona na razini stručnjaka, te da se ta savjetovanja provedu u skladu s načelima utvrđenima u </w:t>
      </w:r>
      <w:proofErr w:type="spellStart"/>
      <w:r w:rsidRPr="00BC3448">
        <w:rPr>
          <w:szCs w:val="24"/>
          <w:lang w:eastAsia="en-US"/>
        </w:rPr>
        <w:t>Međuinstitucijskom</w:t>
      </w:r>
      <w:proofErr w:type="spellEnd"/>
      <w:r w:rsidRPr="00BC3448">
        <w:rPr>
          <w:szCs w:val="24"/>
          <w:lang w:eastAsia="en-US"/>
        </w:rPr>
        <w:t xml:space="preserve"> sporazumu o boljoj izradi zakonodavstva od 13. travnja 2016</w:t>
      </w:r>
      <w:r w:rsidRPr="00BC3448">
        <w:rPr>
          <w:szCs w:val="24"/>
          <w:vertAlign w:val="superscript"/>
          <w:lang w:eastAsia="en-US"/>
        </w:rPr>
        <w:footnoteReference w:id="14"/>
      </w:r>
      <w:r w:rsidRPr="00BC3448">
        <w:rPr>
          <w:szCs w:val="24"/>
          <w:lang w:eastAsia="en-US"/>
        </w:rPr>
        <w:t>. Kako bi stručnjaci Europskog parlamenta i Vijeća mogli ravnopravno sudjelovati u pripremi delegiranih akata, sve dokumente dobivaju istodobno kad i stručnjaci iz država članica i sustavno imaju pristup sastancima stručnih skupina Komisije za pripremu delegiranih akata.</w:t>
      </w:r>
    </w:p>
    <w:p w:rsidR="001169ED" w:rsidRPr="00BC3448" w:rsidRDefault="001169ED" w:rsidP="001169ED">
      <w:pPr>
        <w:spacing w:before="120" w:after="120" w:line="360" w:lineRule="auto"/>
        <w:ind w:left="850" w:hanging="850"/>
        <w:rPr>
          <w:szCs w:val="24"/>
          <w:lang w:eastAsia="en-US"/>
        </w:rPr>
      </w:pPr>
      <w:r w:rsidRPr="00BC3448">
        <w:rPr>
          <w:szCs w:val="24"/>
          <w:lang w:eastAsia="en-US"/>
        </w:rPr>
        <w:t>(59)</w:t>
      </w:r>
      <w:r w:rsidRPr="00BC3448">
        <w:rPr>
          <w:szCs w:val="24"/>
          <w:lang w:eastAsia="en-US"/>
        </w:rPr>
        <w:tab/>
        <w:t>Kako bi se osigurali jedinstveni uvjeti za provedbu ove Uredbe, Komisiji bi trebalo dodijeliti provedbene ovlasti za utvrđivanje detaljnih tehničkih zahtjeva za putovnicu za proizvode za deterdžente i površinski aktivne tvari. Te bi se ovlasti trebale izvršavati u skladu s Uredbom (EU) br. 182/2011 Europskog parlamenta i Vijeća</w:t>
      </w:r>
      <w:r w:rsidRPr="00BC3448">
        <w:rPr>
          <w:szCs w:val="24"/>
          <w:vertAlign w:val="superscript"/>
          <w:lang w:eastAsia="en-US"/>
        </w:rPr>
        <w:footnoteReference w:id="15"/>
      </w:r>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(60)</w:t>
      </w:r>
      <w:r w:rsidRPr="00BC3448">
        <w:rPr>
          <w:szCs w:val="24"/>
          <w:lang w:eastAsia="en-US"/>
        </w:rPr>
        <w:tab/>
        <w:t>S obzirom na potrebu da se osigura visoka razina zaštite zdravlja</w:t>
      </w:r>
      <w:r w:rsidRPr="00BC3448">
        <w:rPr>
          <w:strike/>
          <w:szCs w:val="24"/>
          <w:lang w:eastAsia="en-US"/>
        </w:rPr>
        <w:t xml:space="preserve"> ljudi</w:t>
      </w:r>
      <w:r w:rsidRPr="00BC3448">
        <w:rPr>
          <w:szCs w:val="24"/>
          <w:lang w:eastAsia="en-US"/>
        </w:rPr>
        <w:t xml:space="preserve"> i okoliša te potrebu da se u obzir uzmu nova kretanja na temelju znanstvenih činjenica, Komisija bi Europskom parlamentu i Vijeću trebala podnijeti izvješće o primjeni ove Uredbe. Komisija bi u svojem izvješću trebala, među ostalim, procijeniti ostvaruju li se ovom Uredbom njezini ciljevi, uzimajući u obzir učinke na mala i srednja poduzeća.</w:t>
      </w:r>
      <w:r w:rsidR="0067391F" w:rsidRPr="00BC3448">
        <w:rPr>
          <w:b/>
          <w:szCs w:val="24"/>
          <w:lang w:eastAsia="en-US"/>
        </w:rPr>
        <w:t xml:space="preserve"> [Am. 27.]</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(61)</w:t>
      </w:r>
      <w:r w:rsidRPr="00BC3448">
        <w:rPr>
          <w:szCs w:val="24"/>
          <w:lang w:eastAsia="en-US"/>
        </w:rPr>
        <w:tab/>
        <w:t>Kako bi se osigurala visoka razina zaštite zdravlja i okoliša, potaknule inovacije i povećala konkurentnost, Komisija bi trebala procijeniti sigurnosne zahtjeve za deterdžente koji sadržavaju mikroorganizme i mogućnost dopuštanja upotrebe novih mikroorganizama ili sojeva mikroorganizama u deterdžentima</w:t>
      </w:r>
      <w:r w:rsidRPr="00BC3448">
        <w:rPr>
          <w:b/>
          <w:i/>
          <w:szCs w:val="24"/>
          <w:lang w:eastAsia="en-US"/>
        </w:rPr>
        <w:t xml:space="preserve"> ili, prema potrebi, ograničiti njihovu prisutnost</w:t>
      </w:r>
      <w:r w:rsidRPr="00BC3448">
        <w:rPr>
          <w:szCs w:val="24"/>
          <w:lang w:eastAsia="en-US"/>
        </w:rPr>
        <w:t>.</w:t>
      </w:r>
      <w:r w:rsidR="0067391F" w:rsidRPr="00BC3448">
        <w:rPr>
          <w:b/>
          <w:szCs w:val="24"/>
          <w:lang w:eastAsia="en-US"/>
        </w:rPr>
        <w:t xml:space="preserve"> [Am. 28.]</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(61a)</w:t>
      </w:r>
      <w:r w:rsidRPr="00BC3448">
        <w:rPr>
          <w:szCs w:val="24"/>
          <w:lang w:eastAsia="en-US"/>
        </w:rPr>
        <w:tab/>
      </w:r>
      <w:r w:rsidRPr="00BC3448">
        <w:rPr>
          <w:b/>
          <w:i/>
          <w:szCs w:val="24"/>
          <w:lang w:eastAsia="en-US"/>
        </w:rPr>
        <w:t>Kako bi se olakšao prijelaz na potpuno kružno gospodarstvo, Komisija bi trebala procijeniti uvođenje ciljne vrijednosti za održive obnovljive sirovine i reciklirane sastojke deterdženata.</w:t>
      </w:r>
      <w:r w:rsidR="0067391F" w:rsidRPr="00BC3448">
        <w:rPr>
          <w:b/>
          <w:szCs w:val="24"/>
          <w:lang w:eastAsia="en-US"/>
        </w:rPr>
        <w:t xml:space="preserve"> [Am. 29.]</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(62)</w:t>
      </w:r>
      <w:r w:rsidRPr="00BC3448">
        <w:rPr>
          <w:szCs w:val="24"/>
          <w:lang w:eastAsia="en-US"/>
        </w:rPr>
        <w:tab/>
        <w:t>Ovom se Uredbom uvodi mogućnost da se u određenim situacijama svi zahtjevi za obvezno označivanje ili jedan njihov dio navedu samo u obliku digitalne oznake i zahtijeva se izrada digitalne putovnice za deterdžente i površinski aktivne tvari. Gospodarskim subjektima zato treba osigurati dovoljno vremena da ispune svoje obveze na temelju ove Uredbe, državama članicama da uspostave administrativnu infrastrukturu potrebnu za njezinu primjenu, a Komisiji da pripremi provedbu tehničkih zahtjeva za putovnicu za proizvode. Stoga bi primjenu ove Uredbe trebalo odgoditi do datuma do kojeg se te pripreme mogu u razumnom roku dovršiti.</w:t>
      </w:r>
    </w:p>
    <w:p w:rsidR="001169ED" w:rsidRPr="00BC3448" w:rsidRDefault="001169ED" w:rsidP="001169ED">
      <w:pPr>
        <w:spacing w:before="120" w:after="120" w:line="360" w:lineRule="auto"/>
        <w:ind w:left="850" w:hanging="850"/>
        <w:rPr>
          <w:szCs w:val="24"/>
          <w:lang w:eastAsia="en-US"/>
        </w:rPr>
      </w:pPr>
      <w:r w:rsidRPr="00BC3448">
        <w:rPr>
          <w:szCs w:val="24"/>
          <w:lang w:eastAsia="en-US"/>
        </w:rPr>
        <w:t>(63)</w:t>
      </w:r>
      <w:r w:rsidRPr="00BC3448">
        <w:rPr>
          <w:szCs w:val="24"/>
          <w:lang w:eastAsia="en-US"/>
        </w:rPr>
        <w:tab/>
        <w:t>Kako bi se osigurala pravna sigurnost i spriječio nastanak otpada, gospodarski subjekti moraju na datum početka primjene ove Uredbe moći prodati zalihe koje su u distribucijskom lancu ili skladištu. Stoga je potrebno utvrditi prijelazna rješenja kojima se dopušta stavljanje na raspolaganje na tržištu deterdženata i površinski aktivnih tvari koji su stavljeni na tržište u skladu s Uredbom (EZ) br. 648/2004 prije datuma početka primjene ove Uredbe, a da ti proizvodi ne moraju ispunjavati zahtjeve za proizvode utvrđene ovom Uredbom.  Distributeri bi stoga trebali moći isporučivati deterdžente i površinski aktivne tvari koji su stavljeni na tržište prije datuma početka primjene ove Uredbe, odnosno zalihu koja je već u distribucijskom lancu.</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(64)</w:t>
      </w:r>
      <w:r w:rsidRPr="00BC3448">
        <w:rPr>
          <w:szCs w:val="24"/>
          <w:lang w:eastAsia="en-US"/>
        </w:rPr>
        <w:tab/>
        <w:t>Također bi trebalo utvrditi prijelazna rješenja koja omogućuju stavljanje na tržište deterdženata i površinski aktivnih tvari koji na dan početka primjene ove Uredbe još nisu u distribucijskom lancu, a da ti proizvodi ne moraju ispunjavati zahtjeve utvrđene ovom Uredbom, pod uvjetom da su u trenutku stavljanja na tržište još uvijek u skladu s Uredbom (EZ) br. 648/2004. Stoga bi proizvođači i uvoznici trebali moći na tržište staviti deterdžente i površinski aktivne tvari, točnije zalihe koje još nisu u distribucijskom lancu, nakon datuma početka primjene ove Uredbe.</w:t>
      </w:r>
    </w:p>
    <w:p w:rsidR="001169ED" w:rsidRPr="00BC3448" w:rsidRDefault="001169ED" w:rsidP="001169ED">
      <w:pPr>
        <w:spacing w:before="120" w:after="120" w:line="360" w:lineRule="auto"/>
        <w:ind w:left="850" w:hanging="850"/>
        <w:rPr>
          <w:szCs w:val="24"/>
          <w:lang w:eastAsia="en-US"/>
        </w:rPr>
      </w:pPr>
      <w:r w:rsidRPr="00BC3448">
        <w:rPr>
          <w:szCs w:val="24"/>
          <w:lang w:eastAsia="en-US"/>
        </w:rPr>
        <w:t>(65)</w:t>
      </w:r>
      <w:r w:rsidRPr="00BC3448">
        <w:rPr>
          <w:szCs w:val="24"/>
          <w:lang w:eastAsia="en-US"/>
        </w:rPr>
        <w:tab/>
        <w:t>S obzirom na to da cilj ove Uredbe, to jest jamčenje funkcioniranja unutarnjeg tržišta uz osiguravanje da deterdženti i površinski aktivne tvari na tržištu ispunjavaju zahtjeve kojima se predviđa visoka razina zaštite zdravlja i okoliša, ne mogu dostatno ostvariti države članice, nego se zbog njezina opsega ili učinaka on na bolji način može ostvariti na razini Unije, Unija može donijeti mjere u skladu s načelom supsidijarnosti utvrđenim u članku 5. Ugovora o Europskoj uniji. U skladu s načelom proporcionalnosti, kako je utvrđeno u tom članku, ova Uredba ne prelazi ono što je potrebno za ostvarivanje tog cilja,</w:t>
      </w:r>
    </w:p>
    <w:p w:rsidR="001169ED" w:rsidRPr="00BC3448" w:rsidRDefault="001169ED" w:rsidP="001169ED">
      <w:pPr>
        <w:keepNext/>
        <w:widowControl/>
        <w:spacing w:before="120" w:after="120" w:line="360" w:lineRule="auto"/>
        <w:rPr>
          <w:szCs w:val="24"/>
          <w:lang w:eastAsia="en-US"/>
        </w:rPr>
      </w:pPr>
      <w:r w:rsidRPr="00BC3448">
        <w:rPr>
          <w:szCs w:val="24"/>
          <w:lang w:eastAsia="en-US"/>
        </w:rPr>
        <w:t>DONIJELI SU OVU UREDBU:</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 xml:space="preserve">POGLAVLJE I. </w:t>
      </w:r>
      <w:r w:rsidRPr="00BC3448">
        <w:rPr>
          <w:szCs w:val="24"/>
          <w:lang w:eastAsia="en-US"/>
        </w:rPr>
        <w:br/>
        <w:t>OPĆE ODREDBE</w:t>
      </w:r>
    </w:p>
    <w:p w:rsidR="001169ED" w:rsidRPr="00BC3448" w:rsidRDefault="001169ED" w:rsidP="001169ED">
      <w:pPr>
        <w:spacing w:before="120" w:after="120" w:line="360" w:lineRule="auto"/>
        <w:jc w:val="center"/>
        <w:rPr>
          <w:szCs w:val="24"/>
          <w:lang w:eastAsia="en-US"/>
        </w:rPr>
      </w:pPr>
      <w:r w:rsidRPr="00BC3448">
        <w:rPr>
          <w:szCs w:val="24"/>
          <w:lang w:eastAsia="en-US"/>
        </w:rPr>
        <w:t>Članak 1.</w:t>
      </w:r>
      <w:r w:rsidRPr="00BC3448">
        <w:rPr>
          <w:szCs w:val="24"/>
          <w:lang w:eastAsia="en-US"/>
        </w:rPr>
        <w:br/>
        <w:t xml:space="preserve">Predmet </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Ovom se Uredbom utvrđuju pravila za slobodu kretanja deterdženata i površinski aktivnih tvari na unutarnjem tržištu i istodobno osigurava visok stupanj zaštite zdravlja i okoliša.</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Ova Uredba ne utječe na primjenu sljedećih pravnih akata: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Uredbe (EZ) br. 1907/2006 Europskog parlamenta i Vijeća</w:t>
      </w:r>
      <w:r w:rsidRPr="00BC3448">
        <w:rPr>
          <w:szCs w:val="24"/>
          <w:vertAlign w:val="superscript"/>
          <w:lang w:eastAsia="en-US"/>
        </w:rPr>
        <w:footnoteReference w:id="16"/>
      </w:r>
      <w:r w:rsidRPr="00BC3448">
        <w:rPr>
          <w:szCs w:val="24"/>
          <w:lang w:eastAsia="en-US"/>
        </w:rPr>
        <w:t>;</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Uredbe (EZ) br. 1272/2008 Europskog parlamenta i Vijeća</w:t>
      </w:r>
      <w:r w:rsidRPr="00BC3448">
        <w:rPr>
          <w:szCs w:val="24"/>
          <w:vertAlign w:val="superscript"/>
          <w:lang w:eastAsia="en-US"/>
        </w:rPr>
        <w:footnoteReference w:id="17"/>
      </w:r>
      <w:r w:rsidRPr="00BC3448">
        <w:rPr>
          <w:szCs w:val="24"/>
          <w:lang w:eastAsia="en-US"/>
        </w:rPr>
        <w:t>;</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Uredbe (EU) br. 528/2012 Europskog parlamenta i Vijeća</w:t>
      </w:r>
      <w:r w:rsidRPr="00BC3448">
        <w:rPr>
          <w:szCs w:val="24"/>
          <w:vertAlign w:val="superscript"/>
          <w:lang w:eastAsia="en-US"/>
        </w:rPr>
        <w:footnoteReference w:id="18"/>
      </w:r>
      <w:r w:rsidRPr="00BC3448">
        <w:rPr>
          <w:szCs w:val="24"/>
          <w:lang w:eastAsia="en-US"/>
        </w:rPr>
        <w:t>.</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2.</w:t>
      </w:r>
      <w:r w:rsidRPr="00BC3448">
        <w:rPr>
          <w:szCs w:val="24"/>
          <w:lang w:eastAsia="en-US"/>
        </w:rPr>
        <w:br/>
        <w:t>Definicije</w:t>
      </w:r>
    </w:p>
    <w:p w:rsidR="001169ED" w:rsidRPr="00BC3448" w:rsidRDefault="001169ED" w:rsidP="001169ED">
      <w:pPr>
        <w:spacing w:before="120" w:after="120" w:line="360" w:lineRule="auto"/>
        <w:rPr>
          <w:szCs w:val="24"/>
          <w:lang w:eastAsia="en-US"/>
        </w:rPr>
      </w:pPr>
      <w:r w:rsidRPr="00BC3448">
        <w:rPr>
          <w:szCs w:val="24"/>
          <w:lang w:eastAsia="en-US"/>
        </w:rPr>
        <w:t>Za potrebe ove Uredbe primjenjuju se sljedeće definicije: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„deterdžent” znači bilo što od sljedećeg:</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tvar, smjesa ili mikroorganizam ili pak dva ili više takvih materijala u kombinaciji koji su namijenjeni za čišćenje tkanina, posuđa ili površina,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smjesa namijenjena za namakanje (pretpranje), ispiranje ili izbjeljivanje tkanina ili posuđa;</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w:t>
      </w:r>
      <w:r w:rsidRPr="00BC3448">
        <w:rPr>
          <w:szCs w:val="24"/>
          <w:lang w:eastAsia="en-US"/>
        </w:rPr>
        <w:tab/>
        <w:t xml:space="preserve">smjesa namijenjena tome da se promijeni osjećaj tkanina na dodir </w:t>
      </w:r>
      <w:r w:rsidRPr="00BC3448">
        <w:rPr>
          <w:b/>
          <w:i/>
          <w:szCs w:val="24"/>
          <w:lang w:eastAsia="en-US"/>
        </w:rPr>
        <w:t xml:space="preserve">ili njihov miris </w:t>
      </w:r>
      <w:r w:rsidRPr="00BC3448">
        <w:rPr>
          <w:szCs w:val="24"/>
          <w:lang w:eastAsia="en-US"/>
        </w:rPr>
        <w:t>u sklopu postupaka kojima se dopunjuje pranje tkanina;</w:t>
      </w:r>
      <w:r w:rsidR="0067391F" w:rsidRPr="00BC3448">
        <w:rPr>
          <w:b/>
          <w:szCs w:val="24"/>
          <w:lang w:eastAsia="en-US"/>
        </w:rPr>
        <w:t xml:space="preserve"> [Am. 30.]</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„deterdžent za pranje rublja koji se koristi u kućanstvu” znači deterdžent za pranje rublja koji se stavlja na tržište za neprofesionalne korisnike, među ostalim u javnim praonicama rublja;</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„deterdžent za strojno pranje posuđa koji se koristi u kućanstvu” znači deterdžent koji se stavlja na tržište za upotrebu u perilicama posuđa za neprofesionalne korisnike;</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3a.</w:t>
      </w:r>
      <w:r w:rsidRPr="00BC3448">
        <w:rPr>
          <w:szCs w:val="24"/>
          <w:lang w:eastAsia="en-US"/>
        </w:rPr>
        <w:tab/>
      </w:r>
      <w:r w:rsidRPr="00BC3448">
        <w:rPr>
          <w:b/>
          <w:i/>
          <w:szCs w:val="24"/>
          <w:lang w:eastAsia="en-US"/>
        </w:rPr>
        <w:t>„sredstvo za čišćenje tvrdih površina” znači svako višenamjensko sredstvo za čišćenje, sredstvo za čišćenje kuhinja, sredstvo za pranje prozora ili sredstvo za čišćenje sanitarija;</w:t>
      </w:r>
      <w:r w:rsidR="0067391F" w:rsidRPr="00BC3448">
        <w:rPr>
          <w:b/>
          <w:szCs w:val="24"/>
          <w:lang w:eastAsia="en-US"/>
        </w:rPr>
        <w:t xml:space="preserve"> [Am. 31.]</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3b.</w:t>
      </w:r>
      <w:r w:rsidRPr="00BC3448">
        <w:rPr>
          <w:szCs w:val="24"/>
          <w:lang w:eastAsia="en-US"/>
        </w:rPr>
        <w:tab/>
      </w:r>
      <w:r w:rsidRPr="00BC3448">
        <w:rPr>
          <w:b/>
          <w:i/>
          <w:szCs w:val="24"/>
          <w:lang w:eastAsia="en-US"/>
        </w:rPr>
        <w:t>„deterdžent za ručno pranje posuđa za potrošače” znači deterdžent koji se upotrebljava za ručno čišćenje posuđa, pribora za jelo i drugog kuhinjskog pribora i koji se stavlja na tržište za neprofesionalne korisnike;</w:t>
      </w:r>
      <w:r w:rsidR="0067391F" w:rsidRPr="00BC3448">
        <w:rPr>
          <w:b/>
          <w:szCs w:val="24"/>
          <w:lang w:eastAsia="en-US"/>
        </w:rPr>
        <w:t xml:space="preserve"> [Am. 32.]</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3c.</w:t>
      </w:r>
      <w:r w:rsidRPr="00BC3448">
        <w:rPr>
          <w:szCs w:val="24"/>
          <w:lang w:eastAsia="en-US"/>
        </w:rPr>
        <w:tab/>
      </w:r>
      <w:r w:rsidRPr="00BC3448">
        <w:rPr>
          <w:b/>
          <w:i/>
          <w:szCs w:val="24"/>
          <w:lang w:eastAsia="en-US"/>
        </w:rPr>
        <w:t>„deterdžent za pranje rublja u industrijskim objektima i u ustanovama” znači deterdžent za pranje rublja koji se stavlja na tržište za specijalizirano osoblje izvan kućanstva;</w:t>
      </w:r>
      <w:r w:rsidR="0067391F" w:rsidRPr="00BC3448">
        <w:rPr>
          <w:b/>
          <w:szCs w:val="24"/>
          <w:lang w:eastAsia="en-US"/>
        </w:rPr>
        <w:t xml:space="preserve"> [Am. 33.]</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3d.</w:t>
      </w:r>
      <w:r w:rsidRPr="00BC3448">
        <w:rPr>
          <w:szCs w:val="24"/>
          <w:lang w:eastAsia="en-US"/>
        </w:rPr>
        <w:tab/>
      </w:r>
      <w:r w:rsidRPr="00BC3448">
        <w:rPr>
          <w:b/>
          <w:i/>
          <w:szCs w:val="24"/>
          <w:lang w:eastAsia="en-US"/>
        </w:rPr>
        <w:t>„deterdžent za strojno pranje posuđa u industrijskim objektima i u ustanovama” znači deterdžent koji se stavlja na tržište za specijalizirano osoblje za upotrebu u automatskim perilicama posuđa izvan kućanstva;</w:t>
      </w:r>
      <w:r w:rsidR="0067391F" w:rsidRPr="00BC3448">
        <w:rPr>
          <w:b/>
          <w:szCs w:val="24"/>
          <w:lang w:eastAsia="en-US"/>
        </w:rPr>
        <w:t xml:space="preserve"> [Am. 34.]</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„deterdžent koji sadržava mikroorganizme” znači deterdžent kojem je namjerno dodan jedan mikroorganizam ili više njih, zasebno ili u jednom od sastojaka deterdženta;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„profesionalni deterdžent” znači deterdžent za čišćenje izvan kućanstva koje obavlja stručno osoblje upotrebljavajući posebne proizvode;</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(6)</w:t>
      </w:r>
      <w:r w:rsidRPr="00BC3448">
        <w:rPr>
          <w:szCs w:val="24"/>
          <w:lang w:eastAsia="en-US"/>
        </w:rPr>
        <w:tab/>
        <w:t>„čišćenje” znači postupak kojim se neželjena naslaga uklanja sa supstrata ili iz supstrata i prenosi u otopinu ili disperziju</w:t>
      </w:r>
      <w:r w:rsidRPr="00BC3448">
        <w:rPr>
          <w:b/>
          <w:i/>
          <w:szCs w:val="24"/>
          <w:lang w:eastAsia="en-US"/>
        </w:rPr>
        <w:t>, uključujući korištenjem mikroorganizama</w:t>
      </w:r>
      <w:r w:rsidRPr="00BC3448">
        <w:rPr>
          <w:szCs w:val="24"/>
          <w:lang w:eastAsia="en-US"/>
        </w:rPr>
        <w:t>;</w:t>
      </w:r>
      <w:r w:rsidR="001E0529" w:rsidRPr="00BC3448">
        <w:rPr>
          <w:b/>
          <w:szCs w:val="24"/>
          <w:lang w:eastAsia="en-US"/>
        </w:rPr>
        <w:t xml:space="preserve"> [Am. 35.]</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„tvar” znači tvar kako je definirana u članku 3. točki 1. Uredbe (EZ) br. 1907/2006;</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„smjesa” znači smjesa kako je definirana u članku 3. točki 2. Uredbe (EZ) br. 1907/2006;</w:t>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„mikroorganizam” znači mikroorganizam kako je definiran u članku 3. stavku 1. točki (b) Uredbe (EU) br. 528/2012;</w:t>
      </w:r>
    </w:p>
    <w:p w:rsidR="001169ED" w:rsidRPr="00BC3448" w:rsidRDefault="001169ED" w:rsidP="001169ED">
      <w:pPr>
        <w:spacing w:before="120" w:after="120" w:line="360" w:lineRule="auto"/>
        <w:ind w:left="850" w:hanging="850"/>
        <w:rPr>
          <w:szCs w:val="24"/>
          <w:lang w:eastAsia="en-US"/>
        </w:rPr>
      </w:pPr>
      <w:r w:rsidRPr="00BC3448">
        <w:rPr>
          <w:szCs w:val="24"/>
          <w:lang w:eastAsia="en-US"/>
        </w:rPr>
        <w:t>(10)</w:t>
      </w:r>
      <w:r w:rsidRPr="00BC3448">
        <w:rPr>
          <w:szCs w:val="24"/>
          <w:lang w:eastAsia="en-US"/>
        </w:rPr>
        <w:tab/>
        <w:t xml:space="preserve">„genetski modificirani mikroorganizmi” znači mikroorganizmi u kojima je genetski materijal izmijenjen primjenom genske ili stanične tehnologije ili na bilo koji drugi način do kojeg ne dolazi prirodno parenjem ili prirodnom </w:t>
      </w:r>
      <w:proofErr w:type="spellStart"/>
      <w:r w:rsidRPr="00BC3448">
        <w:rPr>
          <w:szCs w:val="24"/>
          <w:lang w:eastAsia="en-US"/>
        </w:rPr>
        <w:t>rekombinacijom</w:t>
      </w:r>
      <w:proofErr w:type="spellEnd"/>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(11)</w:t>
      </w:r>
      <w:r w:rsidRPr="00BC3448">
        <w:rPr>
          <w:szCs w:val="24"/>
          <w:lang w:eastAsia="en-US"/>
        </w:rPr>
        <w:tab/>
        <w:t xml:space="preserve">„površinski aktivna tvar” znači svaka organska tvar ili smjesa koja se upotrebljava u deterdžentima, koja ima svojstva površinskog djelovanja i koja se sastoji od jedne ili više </w:t>
      </w:r>
      <w:proofErr w:type="spellStart"/>
      <w:r w:rsidRPr="00BC3448">
        <w:rPr>
          <w:szCs w:val="24"/>
          <w:lang w:eastAsia="en-US"/>
        </w:rPr>
        <w:t>hidrofilnih</w:t>
      </w:r>
      <w:proofErr w:type="spellEnd"/>
      <w:r w:rsidRPr="00BC3448">
        <w:rPr>
          <w:szCs w:val="24"/>
          <w:lang w:eastAsia="en-US"/>
        </w:rPr>
        <w:t xml:space="preserve"> i jedne ili više </w:t>
      </w:r>
      <w:proofErr w:type="spellStart"/>
      <w:r w:rsidRPr="00BC3448">
        <w:rPr>
          <w:szCs w:val="24"/>
          <w:lang w:eastAsia="en-US"/>
        </w:rPr>
        <w:t>hidrofobnih</w:t>
      </w:r>
      <w:proofErr w:type="spellEnd"/>
      <w:r w:rsidRPr="00BC3448">
        <w:rPr>
          <w:szCs w:val="24"/>
          <w:lang w:eastAsia="en-US"/>
        </w:rPr>
        <w:t xml:space="preserve"> skupina takve prirode i veličine da može imati svako od sljedećih djelovanja: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smanjiti površinsku napetost vode na vrijednost ispod 45 mN/m,</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stvarati jednostruke slojeve sa svojstvom širenja ili adsorpcije na graničnoj površini vode i zraka,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 xml:space="preserve">stvarati emulzije i/ili </w:t>
      </w:r>
      <w:proofErr w:type="spellStart"/>
      <w:r w:rsidRPr="00BC3448">
        <w:rPr>
          <w:szCs w:val="24"/>
          <w:lang w:eastAsia="en-US"/>
        </w:rPr>
        <w:t>mikroemulzije</w:t>
      </w:r>
      <w:proofErr w:type="spellEnd"/>
      <w:r w:rsidRPr="00BC3448">
        <w:rPr>
          <w:szCs w:val="24"/>
          <w:lang w:eastAsia="en-US"/>
        </w:rPr>
        <w:t xml:space="preserve"> i/ili </w:t>
      </w:r>
      <w:proofErr w:type="spellStart"/>
      <w:r w:rsidRPr="00BC3448">
        <w:rPr>
          <w:szCs w:val="24"/>
          <w:lang w:eastAsia="en-US"/>
        </w:rPr>
        <w:t>micele</w:t>
      </w:r>
      <w:proofErr w:type="spellEnd"/>
      <w:r w:rsidRPr="00BC3448">
        <w:rPr>
          <w:szCs w:val="24"/>
          <w:lang w:eastAsia="en-US"/>
        </w:rPr>
        <w:t>,</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adsorbirati se na graničnim površinama vode i čvrste tvari;</w:t>
      </w:r>
    </w:p>
    <w:p w:rsidR="001169ED" w:rsidRPr="00BC3448" w:rsidRDefault="001169ED" w:rsidP="001169ED">
      <w:pPr>
        <w:spacing w:before="120" w:after="120" w:line="360" w:lineRule="auto"/>
        <w:ind w:left="850" w:hanging="850"/>
        <w:rPr>
          <w:szCs w:val="24"/>
          <w:lang w:eastAsia="en-US"/>
        </w:rPr>
      </w:pPr>
      <w:r w:rsidRPr="00BC3448">
        <w:rPr>
          <w:szCs w:val="24"/>
          <w:lang w:eastAsia="en-US"/>
        </w:rPr>
        <w:t>(12)</w:t>
      </w:r>
      <w:r w:rsidRPr="00BC3448">
        <w:rPr>
          <w:szCs w:val="24"/>
          <w:lang w:eastAsia="en-US"/>
        </w:rPr>
        <w:tab/>
        <w:t xml:space="preserve">„potpuna aerobna </w:t>
      </w:r>
      <w:proofErr w:type="spellStart"/>
      <w:r w:rsidRPr="00BC3448">
        <w:rPr>
          <w:szCs w:val="24"/>
          <w:lang w:eastAsia="en-US"/>
        </w:rPr>
        <w:t>biorazgradnja</w:t>
      </w:r>
      <w:proofErr w:type="spellEnd"/>
      <w:r w:rsidRPr="00BC3448">
        <w:rPr>
          <w:szCs w:val="24"/>
          <w:lang w:eastAsia="en-US"/>
        </w:rPr>
        <w:t xml:space="preserve">” znači razina </w:t>
      </w:r>
      <w:proofErr w:type="spellStart"/>
      <w:r w:rsidRPr="00BC3448">
        <w:rPr>
          <w:szCs w:val="24"/>
          <w:lang w:eastAsia="en-US"/>
        </w:rPr>
        <w:t>biorazgradnje</w:t>
      </w:r>
      <w:proofErr w:type="spellEnd"/>
      <w:r w:rsidRPr="00BC3448">
        <w:rPr>
          <w:szCs w:val="24"/>
          <w:lang w:eastAsia="en-US"/>
        </w:rPr>
        <w:t xml:space="preserve"> koja se postiže kad mikroorganizmi u uvjetima gdje ima kisika potpuno iskoriste tvar ili smjesu tako da se ona razgrađuje na ugljikov dioksid, vodu i mineralne soli drugih sadržanih elemenata, što se mjeri metodama ispitivanja navedenima u Prilogu I., kao i na nove mikrobne stanične sastavne dijelove;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(13)</w:t>
      </w:r>
      <w:r w:rsidRPr="00BC3448">
        <w:rPr>
          <w:szCs w:val="24"/>
          <w:lang w:eastAsia="en-US"/>
        </w:rPr>
        <w:tab/>
        <w:t>„stavljanje na raspolaganje na tržištu” znači svaka opskrba za distribuciju, potrošnju ili upotrebu na tržištu Unije u okviru gospodarske aktivnosti uz plaćanje ili bez njega;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(14)</w:t>
      </w:r>
      <w:r w:rsidRPr="00BC3448">
        <w:rPr>
          <w:szCs w:val="24"/>
          <w:lang w:eastAsia="en-US"/>
        </w:rPr>
        <w:tab/>
        <w:t>„stavljanje na tržište” znači prvo stavljanje na raspolaganje na tržištu Unije;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(15)</w:t>
      </w:r>
      <w:r w:rsidRPr="00BC3448">
        <w:rPr>
          <w:szCs w:val="24"/>
          <w:lang w:eastAsia="en-US"/>
        </w:rPr>
        <w:tab/>
        <w:t>„proizvođač” znači svaka fizička ili pravna osoba koja proizvodi ili za koju je osmišljen ili proizveden deterdžent ili površinski aktivna tvar te koja stavlja taj deterdžent ili površinski aktivnu tvar na tržište pod svojim imenom ili trgovačkom oznakom;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(16)</w:t>
      </w:r>
      <w:r w:rsidRPr="00BC3448">
        <w:rPr>
          <w:szCs w:val="24"/>
          <w:lang w:eastAsia="en-US"/>
        </w:rPr>
        <w:tab/>
        <w:t xml:space="preserve">„ovlašteni zastupnik” znači svaka fizička ili pravna osoba s poslovnim </w:t>
      </w:r>
      <w:proofErr w:type="spellStart"/>
      <w:r w:rsidRPr="00BC3448">
        <w:rPr>
          <w:szCs w:val="24"/>
          <w:lang w:eastAsia="en-US"/>
        </w:rPr>
        <w:t>nastanom</w:t>
      </w:r>
      <w:proofErr w:type="spellEnd"/>
      <w:r w:rsidRPr="00BC3448">
        <w:rPr>
          <w:szCs w:val="24"/>
          <w:lang w:eastAsia="en-US"/>
        </w:rPr>
        <w:t xml:space="preserve"> u Uniji koju je proizvođač pisanim putem ovlastio da u njihovo ime obavlja određene zadaće;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(17)</w:t>
      </w:r>
      <w:r w:rsidRPr="00BC3448">
        <w:rPr>
          <w:szCs w:val="24"/>
          <w:lang w:eastAsia="en-US"/>
        </w:rPr>
        <w:tab/>
        <w:t xml:space="preserve">„uvoznik” znači svaka fizička ili pravna osoba s poslovnim </w:t>
      </w:r>
      <w:proofErr w:type="spellStart"/>
      <w:r w:rsidRPr="00BC3448">
        <w:rPr>
          <w:szCs w:val="24"/>
          <w:lang w:eastAsia="en-US"/>
        </w:rPr>
        <w:t>nastanom</w:t>
      </w:r>
      <w:proofErr w:type="spellEnd"/>
      <w:r w:rsidRPr="00BC3448">
        <w:rPr>
          <w:szCs w:val="24"/>
          <w:lang w:eastAsia="en-US"/>
        </w:rPr>
        <w:t xml:space="preserve"> u Uniji koja na tržište Unije stavlja deterdžent ili površinski aktivnu tvar iz treće zemlje;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(18)</w:t>
      </w:r>
      <w:r w:rsidRPr="00BC3448">
        <w:rPr>
          <w:szCs w:val="24"/>
          <w:lang w:eastAsia="en-US"/>
        </w:rPr>
        <w:tab/>
        <w:t>„distributer” znači svaka fizička ili pravna osoba u opskrbnom lancu koja nije proizvođač ni uvoznik i koja deterdžent ili površinski aktivnu tvar stavlja na raspolaganje na tržištu;</w:t>
      </w:r>
    </w:p>
    <w:p w:rsidR="001169ED" w:rsidRPr="00BC3448" w:rsidRDefault="001169ED" w:rsidP="001169ED">
      <w:pPr>
        <w:spacing w:before="120" w:after="120" w:line="360" w:lineRule="auto"/>
        <w:ind w:left="850" w:hanging="850"/>
        <w:rPr>
          <w:szCs w:val="24"/>
          <w:lang w:eastAsia="en-US"/>
        </w:rPr>
      </w:pPr>
      <w:r w:rsidRPr="00BC3448">
        <w:rPr>
          <w:szCs w:val="24"/>
          <w:lang w:eastAsia="en-US"/>
        </w:rPr>
        <w:t>(19)</w:t>
      </w:r>
      <w:r w:rsidRPr="00BC3448">
        <w:rPr>
          <w:szCs w:val="24"/>
          <w:lang w:eastAsia="en-US"/>
        </w:rPr>
        <w:tab/>
        <w:t>„gospodarski subjekt” znači proizvođač, ovlašteni zastupnik, uvoznik ili distributer;</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(20)</w:t>
      </w:r>
      <w:r w:rsidRPr="00BC3448">
        <w:rPr>
          <w:szCs w:val="24"/>
          <w:lang w:eastAsia="en-US"/>
        </w:rPr>
        <w:tab/>
        <w:t>„nadzor tržišta” znači aktivnosti koje provode i mjere koje poduzimaju tijela za nadzor tržišta kako bi osigurala da proizvodi ispunjavaju zahtjeve utvrđene u ovoj Uredbi</w:t>
      </w:r>
      <w:r w:rsidRPr="00BC3448">
        <w:rPr>
          <w:b/>
          <w:i/>
          <w:szCs w:val="24"/>
          <w:lang w:eastAsia="en-US"/>
        </w:rPr>
        <w:t xml:space="preserve"> i drugim primjenjivim zakonodavstvom Unije o usklađivanju te kako bi osigurala zaštitu javnog interesa obuhvaćenog tim zakonodavstvom</w:t>
      </w:r>
      <w:r w:rsidRPr="00BC3448">
        <w:rPr>
          <w:szCs w:val="24"/>
          <w:lang w:eastAsia="en-US"/>
        </w:rPr>
        <w:t>;</w:t>
      </w:r>
      <w:r w:rsidR="001E0529" w:rsidRPr="00BC3448">
        <w:rPr>
          <w:b/>
          <w:szCs w:val="24"/>
          <w:lang w:eastAsia="en-US"/>
        </w:rPr>
        <w:t xml:space="preserve"> [Am. 36.]</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(21)</w:t>
      </w:r>
      <w:r w:rsidRPr="00BC3448">
        <w:rPr>
          <w:szCs w:val="24"/>
          <w:lang w:eastAsia="en-US"/>
        </w:rPr>
        <w:tab/>
        <w:t>„tijelo za nadzor tržišta” znači tijelo za nadzor tržišta kako je definirano u članku 3. točki 4. Uredbe (EU) 2019/1020</w:t>
      </w:r>
      <w:r w:rsidRPr="00BC3448">
        <w:rPr>
          <w:b/>
          <w:i/>
          <w:szCs w:val="24"/>
          <w:lang w:eastAsia="en-US"/>
        </w:rPr>
        <w:t xml:space="preserve"> kao tijelo odgovorno za organizaciju i provedbu nadzora tržišta na području te države članice</w:t>
      </w:r>
      <w:r w:rsidRPr="00BC3448">
        <w:rPr>
          <w:szCs w:val="24"/>
          <w:lang w:eastAsia="en-US"/>
        </w:rPr>
        <w:t>;</w:t>
      </w:r>
      <w:r w:rsidR="001E0529" w:rsidRPr="00BC3448">
        <w:rPr>
          <w:b/>
          <w:szCs w:val="24"/>
          <w:lang w:eastAsia="en-US"/>
        </w:rPr>
        <w:t xml:space="preserve"> [Am. 37.]</w:t>
      </w:r>
    </w:p>
    <w:p w:rsidR="001169ED" w:rsidRPr="00BC3448" w:rsidRDefault="001169ED" w:rsidP="001169ED">
      <w:pPr>
        <w:spacing w:before="120" w:after="120" w:line="360" w:lineRule="auto"/>
        <w:ind w:left="850" w:hanging="850"/>
        <w:rPr>
          <w:szCs w:val="24"/>
          <w:lang w:eastAsia="en-US"/>
        </w:rPr>
      </w:pPr>
      <w:r w:rsidRPr="00BC3448">
        <w:rPr>
          <w:szCs w:val="24"/>
          <w:lang w:eastAsia="en-US"/>
        </w:rPr>
        <w:t>(22)</w:t>
      </w:r>
      <w:r w:rsidRPr="00BC3448">
        <w:rPr>
          <w:szCs w:val="24"/>
          <w:lang w:eastAsia="en-US"/>
        </w:rPr>
        <w:tab/>
        <w:t>„opoziv” znači opoziv kako je definiran u članku 3. točki 22. Uredbe (EU) 2019/1020;</w:t>
      </w:r>
    </w:p>
    <w:p w:rsidR="001169ED" w:rsidRPr="00BC3448" w:rsidRDefault="001169ED" w:rsidP="001169ED">
      <w:pPr>
        <w:spacing w:before="120" w:after="120" w:line="360" w:lineRule="auto"/>
        <w:ind w:left="850" w:hanging="850"/>
        <w:rPr>
          <w:szCs w:val="24"/>
          <w:lang w:eastAsia="en-US"/>
        </w:rPr>
      </w:pPr>
      <w:r w:rsidRPr="00BC3448">
        <w:rPr>
          <w:szCs w:val="24"/>
          <w:lang w:eastAsia="en-US"/>
        </w:rPr>
        <w:t>(23)</w:t>
      </w:r>
      <w:r w:rsidRPr="00BC3448">
        <w:rPr>
          <w:szCs w:val="24"/>
          <w:lang w:eastAsia="en-US"/>
        </w:rPr>
        <w:tab/>
        <w:t>„povlačenje” znači povlačenje kako je definirano u članku 3. točki 23. Uredbe (EU) 2019/1020;</w:t>
      </w:r>
    </w:p>
    <w:p w:rsidR="001169ED" w:rsidRPr="00BC3448" w:rsidRDefault="001169ED" w:rsidP="001169ED">
      <w:pPr>
        <w:spacing w:before="120" w:after="120" w:line="360" w:lineRule="auto"/>
        <w:ind w:left="850" w:hanging="850"/>
        <w:rPr>
          <w:b/>
          <w:szCs w:val="24"/>
          <w:lang w:eastAsia="en-US"/>
        </w:rPr>
      </w:pPr>
      <w:r w:rsidRPr="00BC3448">
        <w:rPr>
          <w:strike/>
          <w:szCs w:val="24"/>
          <w:lang w:eastAsia="en-US"/>
        </w:rPr>
        <w:t>(24)</w:t>
      </w:r>
      <w:r w:rsidRPr="00BC3448">
        <w:rPr>
          <w:szCs w:val="24"/>
          <w:lang w:eastAsia="en-US"/>
        </w:rPr>
        <w:tab/>
      </w:r>
      <w:r w:rsidRPr="00BC3448">
        <w:rPr>
          <w:strike/>
          <w:szCs w:val="24"/>
          <w:lang w:eastAsia="en-US"/>
        </w:rPr>
        <w:t>„oznaka CE” znači oznaka kojom proizvođač označuje da je deterdžent usklađen s primjenjivim zahtjevima utvrđenima zakonodavstvom Unije o usklađivanju koje propisuje njezino stavljanje;</w:t>
      </w:r>
      <w:r w:rsidR="001E0529" w:rsidRPr="00BC3448">
        <w:rPr>
          <w:b/>
          <w:strike/>
          <w:szCs w:val="24"/>
          <w:lang w:eastAsia="en-US"/>
        </w:rPr>
        <w:t xml:space="preserve"> </w:t>
      </w:r>
      <w:r w:rsidR="001E0529" w:rsidRPr="00BC3448">
        <w:rPr>
          <w:b/>
          <w:szCs w:val="24"/>
          <w:lang w:eastAsia="en-US"/>
        </w:rPr>
        <w:t>[Am. 38.]</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(25)</w:t>
      </w:r>
      <w:r w:rsidRPr="00BC3448">
        <w:rPr>
          <w:szCs w:val="24"/>
          <w:lang w:eastAsia="en-US"/>
        </w:rPr>
        <w:tab/>
        <w:t>„</w:t>
      </w:r>
      <w:r w:rsidRPr="00BC3448">
        <w:rPr>
          <w:strike/>
          <w:szCs w:val="24"/>
          <w:lang w:eastAsia="en-US"/>
        </w:rPr>
        <w:t xml:space="preserve">korektivna </w:t>
      </w:r>
      <w:proofErr w:type="spellStart"/>
      <w:r w:rsidRPr="00BC3448">
        <w:rPr>
          <w:strike/>
          <w:szCs w:val="24"/>
          <w:lang w:eastAsia="en-US"/>
        </w:rPr>
        <w:t>mjera</w:t>
      </w:r>
      <w:r w:rsidRPr="00BC3448">
        <w:rPr>
          <w:b/>
          <w:i/>
          <w:szCs w:val="24"/>
          <w:lang w:eastAsia="en-US"/>
        </w:rPr>
        <w:t>korektivno</w:t>
      </w:r>
      <w:proofErr w:type="spellEnd"/>
      <w:r w:rsidRPr="00BC3448">
        <w:rPr>
          <w:b/>
          <w:i/>
          <w:szCs w:val="24"/>
          <w:lang w:eastAsia="en-US"/>
        </w:rPr>
        <w:t xml:space="preserve"> djelovanje</w:t>
      </w:r>
      <w:r w:rsidRPr="00BC3448">
        <w:rPr>
          <w:szCs w:val="24"/>
          <w:lang w:eastAsia="en-US"/>
        </w:rPr>
        <w:t xml:space="preserve">” znači </w:t>
      </w:r>
      <w:proofErr w:type="spellStart"/>
      <w:r w:rsidRPr="00BC3448">
        <w:rPr>
          <w:strike/>
          <w:szCs w:val="24"/>
          <w:lang w:eastAsia="en-US"/>
        </w:rPr>
        <w:t>mjera</w:t>
      </w:r>
      <w:r w:rsidRPr="00BC3448">
        <w:rPr>
          <w:b/>
          <w:i/>
          <w:szCs w:val="24"/>
          <w:lang w:eastAsia="en-US"/>
        </w:rPr>
        <w:t>djelovanje</w:t>
      </w:r>
      <w:proofErr w:type="spellEnd"/>
      <w:r w:rsidRPr="00BC3448">
        <w:rPr>
          <w:szCs w:val="24"/>
          <w:lang w:eastAsia="en-US"/>
        </w:rPr>
        <w:t xml:space="preserve"> kako je </w:t>
      </w:r>
      <w:proofErr w:type="spellStart"/>
      <w:r w:rsidRPr="00BC3448">
        <w:rPr>
          <w:strike/>
          <w:szCs w:val="24"/>
          <w:lang w:eastAsia="en-US"/>
        </w:rPr>
        <w:t>definirana</w:t>
      </w:r>
      <w:r w:rsidRPr="00BC3448">
        <w:rPr>
          <w:b/>
          <w:i/>
          <w:szCs w:val="24"/>
          <w:lang w:eastAsia="en-US"/>
        </w:rPr>
        <w:t>definirano</w:t>
      </w:r>
      <w:proofErr w:type="spellEnd"/>
      <w:r w:rsidRPr="00BC3448">
        <w:rPr>
          <w:szCs w:val="24"/>
          <w:lang w:eastAsia="en-US"/>
        </w:rPr>
        <w:t xml:space="preserve"> u članku 3. točki 16. Uredbe (EU) 2019/1020</w:t>
      </w:r>
      <w:r w:rsidRPr="00BC3448">
        <w:rPr>
          <w:szCs w:val="24"/>
          <w:vertAlign w:val="superscript"/>
          <w:lang w:eastAsia="en-US"/>
        </w:rPr>
        <w:footnoteReference w:id="19"/>
      </w:r>
      <w:r w:rsidRPr="00BC3448">
        <w:rPr>
          <w:szCs w:val="24"/>
          <w:lang w:eastAsia="en-US"/>
        </w:rPr>
        <w:t>;</w:t>
      </w:r>
      <w:r w:rsidR="001E0529" w:rsidRPr="00BC3448">
        <w:rPr>
          <w:b/>
          <w:szCs w:val="24"/>
          <w:lang w:eastAsia="en-US"/>
        </w:rPr>
        <w:t xml:space="preserve"> [Am. 39.]</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(26)</w:t>
      </w:r>
      <w:r w:rsidRPr="00BC3448">
        <w:rPr>
          <w:szCs w:val="24"/>
          <w:lang w:eastAsia="en-US"/>
        </w:rPr>
        <w:tab/>
        <w:t>„puštanje u slobodni promet” znači postupak utvrđen člankom 201. Uredbe (EU) br. 952/2013;</w:t>
      </w:r>
    </w:p>
    <w:p w:rsidR="001169ED" w:rsidRPr="00BC3448" w:rsidRDefault="001169ED" w:rsidP="001169ED">
      <w:pPr>
        <w:spacing w:before="120" w:after="120" w:line="360" w:lineRule="auto"/>
        <w:ind w:left="850" w:hanging="850"/>
        <w:rPr>
          <w:szCs w:val="24"/>
          <w:lang w:eastAsia="en-US"/>
        </w:rPr>
      </w:pPr>
      <w:r w:rsidRPr="00BC3448">
        <w:rPr>
          <w:szCs w:val="24"/>
          <w:lang w:eastAsia="en-US"/>
        </w:rPr>
        <w:t>(27)</w:t>
      </w:r>
      <w:r w:rsidRPr="00BC3448">
        <w:rPr>
          <w:szCs w:val="24"/>
          <w:lang w:eastAsia="en-US"/>
        </w:rPr>
        <w:tab/>
        <w:t>„nosač podataka” znači simbol linearnog crtičnog koda, dvodimenzionalni simbol ili drugi medij za automatsko bilježenje identifikacijskih podataka koji se može očitati uređajem;</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(28)</w:t>
      </w:r>
      <w:r w:rsidRPr="00BC3448">
        <w:rPr>
          <w:szCs w:val="24"/>
          <w:lang w:eastAsia="en-US"/>
        </w:rPr>
        <w:tab/>
        <w:t xml:space="preserve">„jedinstvena identifikacijska oznaka proizvoda” znači jedinstveni niz znakova </w:t>
      </w:r>
      <w:r w:rsidRPr="00BC3448">
        <w:rPr>
          <w:strike/>
          <w:szCs w:val="24"/>
          <w:lang w:eastAsia="en-US"/>
        </w:rPr>
        <w:t xml:space="preserve">koji </w:t>
      </w:r>
      <w:proofErr w:type="spellStart"/>
      <w:r w:rsidRPr="00BC3448">
        <w:rPr>
          <w:strike/>
          <w:szCs w:val="24"/>
          <w:lang w:eastAsia="en-US"/>
        </w:rPr>
        <w:t>omogućuje</w:t>
      </w:r>
      <w:r w:rsidRPr="00BC3448">
        <w:rPr>
          <w:b/>
          <w:i/>
          <w:szCs w:val="24"/>
          <w:lang w:eastAsia="en-US"/>
        </w:rPr>
        <w:t>za</w:t>
      </w:r>
      <w:proofErr w:type="spellEnd"/>
      <w:r w:rsidRPr="00BC3448">
        <w:rPr>
          <w:szCs w:val="24"/>
          <w:lang w:eastAsia="en-US"/>
        </w:rPr>
        <w:t xml:space="preserve"> identifikaciju proizvoda </w:t>
      </w:r>
      <w:r w:rsidRPr="00BC3448">
        <w:rPr>
          <w:strike/>
          <w:szCs w:val="24"/>
          <w:lang w:eastAsia="en-US"/>
        </w:rPr>
        <w:t xml:space="preserve">i </w:t>
      </w:r>
      <w:proofErr w:type="spellStart"/>
      <w:r w:rsidRPr="00BC3448">
        <w:rPr>
          <w:strike/>
          <w:szCs w:val="24"/>
          <w:lang w:eastAsia="en-US"/>
        </w:rPr>
        <w:t>daje</w:t>
      </w:r>
      <w:r w:rsidRPr="00BC3448">
        <w:rPr>
          <w:b/>
          <w:i/>
          <w:szCs w:val="24"/>
          <w:lang w:eastAsia="en-US"/>
        </w:rPr>
        <w:t>koji</w:t>
      </w:r>
      <w:proofErr w:type="spellEnd"/>
      <w:r w:rsidRPr="00BC3448">
        <w:rPr>
          <w:b/>
          <w:i/>
          <w:szCs w:val="24"/>
          <w:lang w:eastAsia="en-US"/>
        </w:rPr>
        <w:t xml:space="preserve"> omogućuje i</w:t>
      </w:r>
      <w:r w:rsidRPr="00BC3448">
        <w:rPr>
          <w:szCs w:val="24"/>
          <w:lang w:eastAsia="en-US"/>
        </w:rPr>
        <w:t xml:space="preserve"> internetsku poveznicu na putovnicu tog proizvoda;</w:t>
      </w:r>
      <w:r w:rsidR="001E0529" w:rsidRPr="00BC3448">
        <w:rPr>
          <w:b/>
          <w:szCs w:val="24"/>
          <w:lang w:eastAsia="en-US"/>
        </w:rPr>
        <w:t xml:space="preserve"> [Am. 40.]</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(29)</w:t>
      </w:r>
      <w:r w:rsidRPr="00BC3448">
        <w:rPr>
          <w:szCs w:val="24"/>
          <w:lang w:eastAsia="en-US"/>
        </w:rPr>
        <w:tab/>
        <w:t xml:space="preserve">„jedinstvena identifikacijska oznaka subjekta” znači jedinstveni niz znakova za identifikaciju </w:t>
      </w:r>
      <w:r w:rsidRPr="00BC3448">
        <w:rPr>
          <w:strike/>
          <w:szCs w:val="24"/>
          <w:lang w:eastAsia="en-US"/>
        </w:rPr>
        <w:t xml:space="preserve">gospodarskih </w:t>
      </w:r>
      <w:proofErr w:type="spellStart"/>
      <w:r w:rsidRPr="00BC3448">
        <w:rPr>
          <w:strike/>
          <w:szCs w:val="24"/>
          <w:lang w:eastAsia="en-US"/>
        </w:rPr>
        <w:t>subjekata</w:t>
      </w:r>
      <w:r w:rsidRPr="00BC3448">
        <w:rPr>
          <w:b/>
          <w:i/>
          <w:szCs w:val="24"/>
          <w:lang w:eastAsia="en-US"/>
        </w:rPr>
        <w:t>sudionika</w:t>
      </w:r>
      <w:proofErr w:type="spellEnd"/>
      <w:r w:rsidRPr="00BC3448">
        <w:rPr>
          <w:szCs w:val="24"/>
          <w:lang w:eastAsia="en-US"/>
        </w:rPr>
        <w:t xml:space="preserve"> uključenih u lanac vrijednosti proizvoda;</w:t>
      </w:r>
      <w:r w:rsidR="001E0529" w:rsidRPr="00BC3448">
        <w:rPr>
          <w:b/>
          <w:szCs w:val="24"/>
          <w:lang w:eastAsia="en-US"/>
        </w:rPr>
        <w:t xml:space="preserve"> [Am. 41.]</w:t>
      </w:r>
    </w:p>
    <w:p w:rsidR="001169ED" w:rsidRPr="00BC3448" w:rsidRDefault="001169ED" w:rsidP="001169ED">
      <w:pPr>
        <w:spacing w:before="120" w:after="120" w:line="360" w:lineRule="auto"/>
        <w:ind w:left="850" w:hanging="850"/>
        <w:rPr>
          <w:szCs w:val="24"/>
          <w:lang w:eastAsia="en-US"/>
        </w:rPr>
      </w:pPr>
      <w:r w:rsidRPr="00BC3448">
        <w:rPr>
          <w:szCs w:val="24"/>
          <w:lang w:eastAsia="en-US"/>
        </w:rPr>
        <w:t>(30)</w:t>
      </w:r>
      <w:r w:rsidRPr="00BC3448">
        <w:rPr>
          <w:szCs w:val="24"/>
          <w:lang w:eastAsia="en-US"/>
        </w:rPr>
        <w:tab/>
        <w:t>„carinska tijela” znači carinska tijela kako su definirana u članku 5. točki 1. Uredbe (EU) br. 952/2013;</w:t>
      </w:r>
    </w:p>
    <w:p w:rsidR="001169ED" w:rsidRPr="00BC3448" w:rsidRDefault="001169ED" w:rsidP="001169ED">
      <w:pPr>
        <w:spacing w:before="120" w:after="120" w:line="360" w:lineRule="auto"/>
        <w:ind w:left="850" w:hanging="850"/>
        <w:rPr>
          <w:szCs w:val="24"/>
          <w:lang w:eastAsia="en-US"/>
        </w:rPr>
      </w:pPr>
      <w:r w:rsidRPr="00BC3448">
        <w:rPr>
          <w:szCs w:val="24"/>
          <w:lang w:eastAsia="en-US"/>
        </w:rPr>
        <w:t>(31)</w:t>
      </w:r>
      <w:r w:rsidRPr="00BC3448">
        <w:rPr>
          <w:szCs w:val="24"/>
          <w:lang w:eastAsia="en-US"/>
        </w:rPr>
        <w:tab/>
        <w:t>„sustav razmjene potvrda u okviru jedinstvenog sučelja EU-a za carinu” znači sustav iz članka 4. Uredbe (EU) 2022/2399 Europskog parlamenta i Vijeća</w:t>
      </w:r>
      <w:r w:rsidRPr="00BC3448">
        <w:rPr>
          <w:szCs w:val="24"/>
          <w:vertAlign w:val="superscript"/>
          <w:lang w:eastAsia="en-US"/>
        </w:rPr>
        <w:footnoteReference w:id="20"/>
      </w:r>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(32)</w:t>
      </w:r>
      <w:r w:rsidRPr="00BC3448">
        <w:rPr>
          <w:szCs w:val="24"/>
          <w:lang w:eastAsia="en-US"/>
        </w:rPr>
        <w:tab/>
        <w:t>„pojedinačno pakiranje” znači pakiranje u kojem se deterdžent ili površinski aktivna tvar stavlja na raspolaganje na tržištu i koje je namijenjeno da prati sadržaj do mjesta upotrebe;</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(33)</w:t>
      </w:r>
      <w:r w:rsidRPr="00BC3448">
        <w:rPr>
          <w:szCs w:val="24"/>
          <w:lang w:eastAsia="en-US"/>
        </w:rPr>
        <w:tab/>
        <w:t xml:space="preserve">„ponovno punjenje” znači postupak kojim </w:t>
      </w:r>
      <w:r w:rsidRPr="00BC3448">
        <w:rPr>
          <w:strike/>
          <w:szCs w:val="24"/>
          <w:lang w:eastAsia="en-US"/>
        </w:rPr>
        <w:t xml:space="preserve">se vlastito pakiranje krajnjih korisnika u trgovini </w:t>
      </w:r>
      <w:proofErr w:type="spellStart"/>
      <w:r w:rsidRPr="00BC3448">
        <w:rPr>
          <w:strike/>
          <w:szCs w:val="24"/>
          <w:lang w:eastAsia="en-US"/>
        </w:rPr>
        <w:t>puni</w:t>
      </w:r>
      <w:r w:rsidRPr="00BC3448">
        <w:rPr>
          <w:b/>
          <w:i/>
          <w:szCs w:val="24"/>
          <w:lang w:eastAsia="en-US"/>
        </w:rPr>
        <w:t>potrošač</w:t>
      </w:r>
      <w:proofErr w:type="spellEnd"/>
      <w:r w:rsidRPr="00BC3448">
        <w:rPr>
          <w:b/>
          <w:i/>
          <w:szCs w:val="24"/>
          <w:lang w:eastAsia="en-US"/>
        </w:rPr>
        <w:t xml:space="preserve"> ili profesionalni korisnik puni ambalažu</w:t>
      </w:r>
      <w:r w:rsidRPr="00BC3448">
        <w:rPr>
          <w:szCs w:val="24"/>
          <w:lang w:eastAsia="en-US"/>
        </w:rPr>
        <w:t xml:space="preserve"> deterdžentom </w:t>
      </w:r>
      <w:r w:rsidRPr="00BC3448">
        <w:rPr>
          <w:strike/>
          <w:szCs w:val="24"/>
          <w:lang w:eastAsia="en-US"/>
        </w:rPr>
        <w:t xml:space="preserve">iz velikog spremnika, ručno ili s pomoću automatske ili poluautomatske </w:t>
      </w:r>
      <w:proofErr w:type="spellStart"/>
      <w:r w:rsidRPr="00BC3448">
        <w:rPr>
          <w:strike/>
          <w:szCs w:val="24"/>
          <w:lang w:eastAsia="en-US"/>
        </w:rPr>
        <w:t>opreme</w:t>
      </w:r>
      <w:r w:rsidRPr="00BC3448">
        <w:rPr>
          <w:b/>
          <w:i/>
          <w:szCs w:val="24"/>
          <w:lang w:eastAsia="en-US"/>
        </w:rPr>
        <w:t>koji</w:t>
      </w:r>
      <w:proofErr w:type="spellEnd"/>
      <w:r w:rsidRPr="00BC3448">
        <w:rPr>
          <w:b/>
          <w:i/>
          <w:szCs w:val="24"/>
          <w:lang w:eastAsia="en-US"/>
        </w:rPr>
        <w:t xml:space="preserve"> dobavljač nudi u okviru trgovačke djelatnosti, uz plaćanje ili besplatno</w:t>
      </w:r>
      <w:r w:rsidRPr="00BC3448">
        <w:rPr>
          <w:szCs w:val="24"/>
          <w:lang w:eastAsia="en-US"/>
        </w:rPr>
        <w:t>;</w:t>
      </w:r>
      <w:r w:rsidR="001E0529" w:rsidRPr="00BC3448">
        <w:rPr>
          <w:b/>
          <w:szCs w:val="24"/>
          <w:lang w:eastAsia="en-US"/>
        </w:rPr>
        <w:t xml:space="preserve"> [Am. 42.]</w:t>
      </w:r>
    </w:p>
    <w:p w:rsidR="001169ED" w:rsidRPr="00BC3448" w:rsidRDefault="001169ED" w:rsidP="001169ED">
      <w:pPr>
        <w:spacing w:before="120" w:after="120" w:line="360" w:lineRule="auto"/>
        <w:ind w:left="850" w:hanging="850"/>
        <w:rPr>
          <w:szCs w:val="24"/>
          <w:lang w:eastAsia="en-US"/>
        </w:rPr>
      </w:pPr>
      <w:r w:rsidRPr="00BC3448">
        <w:rPr>
          <w:szCs w:val="24"/>
          <w:lang w:eastAsia="en-US"/>
        </w:rPr>
        <w:t>(34)</w:t>
      </w:r>
      <w:r w:rsidRPr="00BC3448">
        <w:rPr>
          <w:szCs w:val="24"/>
          <w:lang w:eastAsia="en-US"/>
        </w:rPr>
        <w:tab/>
        <w:t>„serija” znači definirana količina gotovih proizvoda koja ispunjava sljedeće uvjete: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proizvodi se u jednom proizvodnom postupku ili u nizu postupaka tijekom istog proizvodnog ciklusa,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predviđeno je da pri ispitivanju u skladu s istim metodama ispitivanja ima ujednačen sastav, 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w:t>
      </w:r>
      <w:r w:rsidRPr="00BC3448">
        <w:rPr>
          <w:szCs w:val="24"/>
          <w:lang w:eastAsia="en-US"/>
        </w:rPr>
        <w:tab/>
        <w:t>jasno je definirana brojem tipa, brojem serije ili drugim elementom koji omogućuje njezinu identifikaciju;</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34a.</w:t>
      </w:r>
      <w:r w:rsidRPr="00BC3448">
        <w:rPr>
          <w:szCs w:val="24"/>
          <w:lang w:eastAsia="en-US"/>
        </w:rPr>
        <w:tab/>
      </w:r>
      <w:r w:rsidRPr="00BC3448">
        <w:rPr>
          <w:b/>
          <w:i/>
          <w:szCs w:val="24"/>
          <w:lang w:eastAsia="en-US"/>
        </w:rPr>
        <w:t>„model” znači skupina deterdženata ili površinski aktivnih tvari koja ispunjava sljedeće uvjete:</w:t>
      </w:r>
    </w:p>
    <w:p w:rsidR="001169ED" w:rsidRPr="00BC3448" w:rsidRDefault="0003585A" w:rsidP="001169ED">
      <w:pPr>
        <w:spacing w:before="120" w:after="120" w:line="360" w:lineRule="auto"/>
        <w:ind w:left="1416" w:hanging="566"/>
        <w:rPr>
          <w:szCs w:val="24"/>
          <w:lang w:eastAsia="en-US"/>
        </w:rPr>
      </w:pPr>
      <w:r>
        <w:rPr>
          <w:szCs w:val="24"/>
          <w:lang w:eastAsia="en-US"/>
        </w:rPr>
        <w:t>-</w:t>
      </w:r>
      <w:r w:rsidR="001169ED" w:rsidRPr="00BC3448">
        <w:rPr>
          <w:szCs w:val="24"/>
          <w:lang w:eastAsia="en-US"/>
        </w:rPr>
        <w:tab/>
      </w:r>
      <w:r w:rsidR="001169ED" w:rsidRPr="00BC3448">
        <w:rPr>
          <w:b/>
          <w:i/>
          <w:szCs w:val="24"/>
          <w:lang w:eastAsia="en-US"/>
        </w:rPr>
        <w:t>za njih je odgovoran isti proizvođač,</w:t>
      </w:r>
    </w:p>
    <w:p w:rsidR="001169ED" w:rsidRPr="00BC3448" w:rsidRDefault="0003585A" w:rsidP="001169ED">
      <w:pPr>
        <w:spacing w:before="120" w:after="120" w:line="360" w:lineRule="auto"/>
        <w:ind w:left="1416" w:hanging="566"/>
        <w:rPr>
          <w:szCs w:val="24"/>
          <w:lang w:eastAsia="en-US"/>
        </w:rPr>
      </w:pPr>
      <w:r>
        <w:rPr>
          <w:szCs w:val="24"/>
          <w:lang w:eastAsia="en-US"/>
        </w:rPr>
        <w:t>-</w:t>
      </w:r>
      <w:r w:rsidR="001169ED" w:rsidRPr="00BC3448">
        <w:rPr>
          <w:szCs w:val="24"/>
          <w:lang w:eastAsia="en-US"/>
        </w:rPr>
        <w:tab/>
      </w:r>
      <w:r w:rsidR="001169ED" w:rsidRPr="00BC3448">
        <w:rPr>
          <w:b/>
          <w:i/>
          <w:szCs w:val="24"/>
          <w:lang w:eastAsia="en-US"/>
        </w:rPr>
        <w:t>imaju isti sadržaj, u skladu s dijelom A Priloga V., i proizvode se istim proizvodnim postupcima,</w:t>
      </w:r>
    </w:p>
    <w:p w:rsidR="001169ED" w:rsidRPr="00BC3448" w:rsidRDefault="0003585A" w:rsidP="001169ED">
      <w:pPr>
        <w:spacing w:before="120" w:after="120" w:line="360" w:lineRule="auto"/>
        <w:ind w:left="1416" w:hanging="566"/>
        <w:rPr>
          <w:szCs w:val="24"/>
          <w:lang w:eastAsia="en-US"/>
        </w:rPr>
      </w:pPr>
      <w:r>
        <w:rPr>
          <w:szCs w:val="24"/>
          <w:lang w:eastAsia="en-US"/>
        </w:rPr>
        <w:t>-</w:t>
      </w:r>
      <w:r w:rsidR="001169ED" w:rsidRPr="00BC3448">
        <w:rPr>
          <w:szCs w:val="24"/>
          <w:lang w:eastAsia="en-US"/>
        </w:rPr>
        <w:tab/>
      </w:r>
      <w:r w:rsidR="001169ED" w:rsidRPr="00BC3448">
        <w:rPr>
          <w:b/>
          <w:i/>
          <w:szCs w:val="24"/>
          <w:lang w:eastAsia="en-US"/>
        </w:rPr>
        <w:t>predviđeno je da pri ispitivanju u skladu s istim metodama ispitivanja imaju ujednačen sastav, i</w:t>
      </w:r>
    </w:p>
    <w:p w:rsidR="001169ED" w:rsidRPr="00BC3448" w:rsidRDefault="0003585A" w:rsidP="001169ED">
      <w:pPr>
        <w:spacing w:before="120" w:after="120" w:line="360" w:lineRule="auto"/>
        <w:ind w:left="1416" w:hanging="566"/>
        <w:rPr>
          <w:b/>
          <w:szCs w:val="24"/>
          <w:lang w:eastAsia="en-US"/>
        </w:rPr>
      </w:pPr>
      <w:r>
        <w:rPr>
          <w:szCs w:val="24"/>
          <w:lang w:eastAsia="en-US"/>
        </w:rPr>
        <w:t>-</w:t>
      </w:r>
      <w:r w:rsidR="001169ED" w:rsidRPr="00BC3448">
        <w:rPr>
          <w:szCs w:val="24"/>
          <w:lang w:eastAsia="en-US"/>
        </w:rPr>
        <w:tab/>
      </w:r>
      <w:r w:rsidR="001169ED" w:rsidRPr="00BC3448">
        <w:rPr>
          <w:b/>
          <w:i/>
          <w:szCs w:val="24"/>
          <w:lang w:eastAsia="en-US"/>
        </w:rPr>
        <w:t>jasno su definirani brojem tipa ili drugim elementom koji omogućuje njihovu identifikaciju</w:t>
      </w:r>
      <w:r w:rsidR="001E0529" w:rsidRPr="00BC3448">
        <w:rPr>
          <w:b/>
          <w:i/>
          <w:szCs w:val="24"/>
          <w:lang w:eastAsia="en-US"/>
        </w:rPr>
        <w:t>.</w:t>
      </w:r>
      <w:r w:rsidR="001E0529" w:rsidRPr="00BC3448">
        <w:rPr>
          <w:b/>
          <w:szCs w:val="24"/>
          <w:lang w:eastAsia="en-US"/>
        </w:rPr>
        <w:t xml:space="preserve"> [Am. 43.]</w:t>
      </w:r>
    </w:p>
    <w:p w:rsidR="001169ED" w:rsidRPr="00BC3448" w:rsidRDefault="001169ED" w:rsidP="001169ED">
      <w:pPr>
        <w:spacing w:before="120" w:after="120" w:line="360" w:lineRule="auto"/>
        <w:ind w:left="850" w:hanging="850"/>
        <w:rPr>
          <w:szCs w:val="24"/>
          <w:lang w:eastAsia="en-US"/>
        </w:rPr>
      </w:pPr>
      <w:r w:rsidRPr="00BC3448">
        <w:rPr>
          <w:szCs w:val="24"/>
          <w:lang w:eastAsia="en-US"/>
        </w:rPr>
        <w:t>(35)</w:t>
      </w:r>
      <w:r w:rsidRPr="00BC3448">
        <w:rPr>
          <w:szCs w:val="24"/>
          <w:lang w:eastAsia="en-US"/>
        </w:rPr>
        <w:tab/>
        <w:t xml:space="preserve">„krajnji korisnik” znači svaka fizička ili pravna osoba s boravištem ili poslovnim </w:t>
      </w:r>
      <w:proofErr w:type="spellStart"/>
      <w:r w:rsidRPr="00BC3448">
        <w:rPr>
          <w:szCs w:val="24"/>
          <w:lang w:eastAsia="en-US"/>
        </w:rPr>
        <w:t>nastanom</w:t>
      </w:r>
      <w:proofErr w:type="spellEnd"/>
      <w:r w:rsidRPr="00BC3448">
        <w:rPr>
          <w:szCs w:val="24"/>
          <w:lang w:eastAsia="en-US"/>
        </w:rPr>
        <w:t xml:space="preserve"> u Uniji kojoj je deterdžent ili površinski aktivna tvar stavljena na raspolaganje, ili kao potrošaču izvan bilo koje trgovačke, poslovne, obrtničke ili profesionalne djelatnosti ili kao profesionalnom krajnjem korisniku u okviru njegovih industrijskih ili profesionalnih aktivnosti.</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POGLAVLJE II.</w:t>
      </w:r>
      <w:r w:rsidRPr="00BC3448">
        <w:rPr>
          <w:szCs w:val="24"/>
          <w:lang w:eastAsia="en-US"/>
        </w:rPr>
        <w:br/>
        <w:t>ZAHTJEVI ZA PROIZVODE</w:t>
      </w:r>
    </w:p>
    <w:p w:rsidR="001169ED" w:rsidRPr="00BC3448" w:rsidRDefault="001169ED" w:rsidP="001169ED">
      <w:pPr>
        <w:spacing w:before="120" w:after="120" w:line="360" w:lineRule="auto"/>
        <w:jc w:val="center"/>
        <w:rPr>
          <w:szCs w:val="24"/>
          <w:lang w:eastAsia="en-US"/>
        </w:rPr>
      </w:pPr>
      <w:r w:rsidRPr="00BC3448">
        <w:rPr>
          <w:szCs w:val="24"/>
          <w:lang w:eastAsia="en-US"/>
        </w:rPr>
        <w:t>Članak 3.</w:t>
      </w:r>
      <w:r w:rsidRPr="00BC3448">
        <w:rPr>
          <w:szCs w:val="24"/>
          <w:lang w:eastAsia="en-US"/>
        </w:rPr>
        <w:br/>
        <w:t>Sloboda kretanja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Deterdženti i površinski aktivne tvari mogu se staviti na tržište samo ako su u skladu s ovom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Države članice ne smiju zabranjivati, ograničavati ili sprečavati stavljanje na tržište deterdženata ili površinski aktivnih tvari koje su u skladu s ovom Uredbom.</w:t>
      </w:r>
    </w:p>
    <w:p w:rsidR="001169ED" w:rsidRPr="00BC3448" w:rsidRDefault="001169ED" w:rsidP="001169ED">
      <w:pPr>
        <w:spacing w:before="120" w:after="120" w:line="360" w:lineRule="auto"/>
        <w:jc w:val="center"/>
        <w:rPr>
          <w:szCs w:val="24"/>
          <w:lang w:eastAsia="en-US"/>
        </w:rPr>
      </w:pPr>
      <w:r w:rsidRPr="00BC3448">
        <w:rPr>
          <w:szCs w:val="24"/>
          <w:lang w:eastAsia="en-US"/>
        </w:rPr>
        <w:t>Članak 4.</w:t>
      </w:r>
      <w:r w:rsidRPr="00BC3448">
        <w:rPr>
          <w:szCs w:val="24"/>
          <w:lang w:eastAsia="en-US"/>
        </w:rPr>
        <w:br/>
        <w:t xml:space="preserve">Biorazgradivost </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Deterdženti i površinski aktivne tvari moraju ispunjavati zahtjeve o biorazgradivosti utvrđene u Prilogu I.</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w:t>
      </w:r>
      <w:r w:rsidRPr="00BC3448">
        <w:rPr>
          <w:szCs w:val="24"/>
          <w:lang w:eastAsia="en-US"/>
        </w:rPr>
        <w:tab/>
      </w:r>
      <w:r w:rsidRPr="00BC3448">
        <w:rPr>
          <w:strike/>
          <w:szCs w:val="24"/>
          <w:lang w:eastAsia="en-US"/>
        </w:rPr>
        <w:t>Stavak 1</w:t>
      </w:r>
      <w:r w:rsidRPr="00BC3448">
        <w:rPr>
          <w:b/>
          <w:i/>
          <w:szCs w:val="24"/>
          <w:lang w:eastAsia="en-US"/>
        </w:rPr>
        <w:t>Stavak1</w:t>
      </w:r>
      <w:r w:rsidRPr="00BC3448">
        <w:rPr>
          <w:szCs w:val="24"/>
          <w:lang w:eastAsia="en-US"/>
        </w:rPr>
        <w:t xml:space="preserve">. ne primjenjuje se na </w:t>
      </w:r>
      <w:proofErr w:type="spellStart"/>
      <w:r w:rsidRPr="00BC3448">
        <w:rPr>
          <w:strike/>
          <w:szCs w:val="24"/>
          <w:lang w:eastAsia="en-US"/>
        </w:rPr>
        <w:t>sljedeće</w:t>
      </w:r>
      <w:r w:rsidRPr="00BC3448">
        <w:rPr>
          <w:b/>
          <w:i/>
          <w:szCs w:val="24"/>
          <w:lang w:eastAsia="en-US"/>
        </w:rPr>
        <w:t>površinski</w:t>
      </w:r>
      <w:proofErr w:type="spellEnd"/>
      <w:r w:rsidRPr="00BC3448">
        <w:rPr>
          <w:b/>
          <w:i/>
          <w:szCs w:val="24"/>
          <w:lang w:eastAsia="en-US"/>
        </w:rPr>
        <w:t xml:space="preserve"> aktivne tvari kako su definirane u članku 3 stavku 1. točki (c) Uredbe (EU) br. 528/2012 i koje se upotrebljavaju kao dezinficijensi ako ispunjavaju bilo koji od sljedećih uvjeta</w:t>
      </w:r>
      <w:r w:rsidRPr="00BC3448">
        <w:rPr>
          <w:szCs w:val="24"/>
          <w:lang w:eastAsia="en-US"/>
        </w:rPr>
        <w:t>:</w:t>
      </w:r>
      <w:r w:rsidR="001E0529" w:rsidRPr="00BC3448">
        <w:rPr>
          <w:b/>
          <w:szCs w:val="24"/>
          <w:lang w:eastAsia="en-US"/>
        </w:rPr>
        <w:t xml:space="preserve"> [Am. 44.]</w:t>
      </w:r>
    </w:p>
    <w:p w:rsidR="001169ED" w:rsidRPr="00BC3448" w:rsidRDefault="001169ED"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r>
      <w:r w:rsidRPr="00BC3448">
        <w:rPr>
          <w:strike/>
          <w:szCs w:val="24"/>
          <w:lang w:eastAsia="en-US"/>
        </w:rPr>
        <w:t xml:space="preserve">površinski aktivne tvari koje su </w:t>
      </w:r>
      <w:proofErr w:type="spellStart"/>
      <w:r w:rsidRPr="00BC3448">
        <w:rPr>
          <w:strike/>
          <w:szCs w:val="24"/>
          <w:lang w:eastAsia="en-US"/>
        </w:rPr>
        <w:t>aktivne</w:t>
      </w:r>
      <w:r w:rsidRPr="00BC3448">
        <w:rPr>
          <w:b/>
          <w:i/>
          <w:szCs w:val="24"/>
          <w:lang w:eastAsia="en-US"/>
        </w:rPr>
        <w:t>uvrštene</w:t>
      </w:r>
      <w:proofErr w:type="spellEnd"/>
      <w:r w:rsidRPr="00BC3448">
        <w:rPr>
          <w:b/>
          <w:i/>
          <w:szCs w:val="24"/>
          <w:lang w:eastAsia="en-US"/>
        </w:rPr>
        <w:t xml:space="preserve"> su na </w:t>
      </w:r>
      <w:proofErr w:type="spellStart"/>
      <w:r w:rsidRPr="00BC3448">
        <w:rPr>
          <w:b/>
          <w:i/>
          <w:szCs w:val="24"/>
          <w:lang w:eastAsia="en-US"/>
        </w:rPr>
        <w:t>Unijin</w:t>
      </w:r>
      <w:proofErr w:type="spellEnd"/>
      <w:r w:rsidRPr="00BC3448">
        <w:rPr>
          <w:b/>
          <w:i/>
          <w:szCs w:val="24"/>
          <w:lang w:eastAsia="en-US"/>
        </w:rPr>
        <w:t xml:space="preserve"> popis odobrenih aktivnih</w:t>
      </w:r>
      <w:r w:rsidRPr="00BC3448">
        <w:rPr>
          <w:szCs w:val="24"/>
          <w:lang w:eastAsia="en-US"/>
        </w:rPr>
        <w:t xml:space="preserve"> tvari </w:t>
      </w:r>
      <w:r w:rsidRPr="00BC3448">
        <w:rPr>
          <w:b/>
          <w:i/>
          <w:szCs w:val="24"/>
          <w:lang w:eastAsia="en-US"/>
        </w:rPr>
        <w:t>kako je utvrđeno u članku 9. stavku 2.</w:t>
      </w:r>
      <w:r w:rsidRPr="00BC3448">
        <w:rPr>
          <w:strike/>
          <w:szCs w:val="24"/>
          <w:lang w:eastAsia="en-US"/>
        </w:rPr>
        <w:t>u smislu članka 3 stavka 1. točke (c)</w:t>
      </w:r>
      <w:r w:rsidRPr="00BC3448">
        <w:rPr>
          <w:szCs w:val="24"/>
          <w:lang w:eastAsia="en-US"/>
        </w:rPr>
        <w:t xml:space="preserve"> Uredbe (EU) br. 528/2012</w:t>
      </w:r>
      <w:r w:rsidRPr="00BC3448">
        <w:rPr>
          <w:strike/>
          <w:szCs w:val="24"/>
          <w:lang w:eastAsia="en-US"/>
        </w:rPr>
        <w:t xml:space="preserve"> i koje se upotrebljavaju kao dezinficijensi ako ispunjavaju bilo koji od sljedećih uvjeta:</w:t>
      </w:r>
      <w:r w:rsidRPr="00BC3448">
        <w:rPr>
          <w:b/>
          <w:i/>
          <w:szCs w:val="24"/>
          <w:lang w:eastAsia="en-US"/>
        </w:rPr>
        <w:t>;</w:t>
      </w:r>
      <w:r w:rsidR="001E0529" w:rsidRPr="00BC3448">
        <w:rPr>
          <w:b/>
          <w:szCs w:val="24"/>
          <w:lang w:eastAsia="en-US"/>
        </w:rPr>
        <w:t xml:space="preserve"> [Am. 45.]</w:t>
      </w:r>
    </w:p>
    <w:p w:rsidR="001169ED" w:rsidRPr="00BC3448" w:rsidRDefault="001169ED" w:rsidP="001169ED">
      <w:pPr>
        <w:spacing w:before="120" w:after="120" w:line="360" w:lineRule="auto"/>
        <w:ind w:left="1982" w:hanging="566"/>
        <w:rPr>
          <w:b/>
          <w:szCs w:val="24"/>
          <w:lang w:eastAsia="en-US"/>
        </w:rPr>
      </w:pPr>
      <w:r w:rsidRPr="00BC3448">
        <w:rPr>
          <w:strike/>
          <w:szCs w:val="24"/>
          <w:lang w:eastAsia="en-US"/>
        </w:rPr>
        <w:t>(i)</w:t>
      </w:r>
      <w:r w:rsidRPr="00BC3448">
        <w:rPr>
          <w:szCs w:val="24"/>
          <w:lang w:eastAsia="en-US"/>
        </w:rPr>
        <w:tab/>
      </w:r>
      <w:r w:rsidRPr="00BC3448">
        <w:rPr>
          <w:strike/>
          <w:szCs w:val="24"/>
          <w:lang w:eastAsia="en-US"/>
        </w:rPr>
        <w:t xml:space="preserve">te površinski aktivne tvari uvrštene su na </w:t>
      </w:r>
      <w:proofErr w:type="spellStart"/>
      <w:r w:rsidRPr="00BC3448">
        <w:rPr>
          <w:strike/>
          <w:szCs w:val="24"/>
          <w:lang w:eastAsia="en-US"/>
        </w:rPr>
        <w:t>Unijin</w:t>
      </w:r>
      <w:proofErr w:type="spellEnd"/>
      <w:r w:rsidRPr="00BC3448">
        <w:rPr>
          <w:strike/>
          <w:szCs w:val="24"/>
          <w:lang w:eastAsia="en-US"/>
        </w:rPr>
        <w:t xml:space="preserve"> popis odobrenih aktivnih tvari kako je utvrđeno u članku 9. stavku 2. Uredbe (EU) br. 528/2012;</w:t>
      </w:r>
      <w:r w:rsidR="001E0529" w:rsidRPr="00BC3448">
        <w:rPr>
          <w:strike/>
          <w:szCs w:val="24"/>
          <w:lang w:eastAsia="en-US"/>
        </w:rPr>
        <w:t xml:space="preserve"> </w:t>
      </w:r>
      <w:r w:rsidR="001E0529" w:rsidRPr="00BC3448">
        <w:rPr>
          <w:b/>
          <w:strike/>
          <w:szCs w:val="24"/>
          <w:lang w:eastAsia="en-US"/>
        </w:rPr>
        <w:t xml:space="preserve"> </w:t>
      </w:r>
      <w:r w:rsidR="001E0529" w:rsidRPr="00BC3448">
        <w:rPr>
          <w:b/>
          <w:szCs w:val="24"/>
          <w:lang w:eastAsia="en-US"/>
        </w:rPr>
        <w:t>[Am. 46.]</w:t>
      </w:r>
    </w:p>
    <w:p w:rsidR="001169ED" w:rsidRPr="00BC3448" w:rsidRDefault="001169ED" w:rsidP="001169ED">
      <w:pPr>
        <w:spacing w:before="120" w:after="120" w:line="360" w:lineRule="auto"/>
        <w:ind w:left="1982" w:hanging="566"/>
        <w:rPr>
          <w:b/>
          <w:szCs w:val="24"/>
          <w:lang w:eastAsia="en-US"/>
        </w:rPr>
      </w:pPr>
      <w:r w:rsidRPr="00BC3448">
        <w:rPr>
          <w:strike/>
          <w:szCs w:val="24"/>
          <w:lang w:eastAsia="en-US"/>
        </w:rPr>
        <w:t>(ii)</w:t>
      </w:r>
      <w:r w:rsidRPr="00BC3448">
        <w:rPr>
          <w:szCs w:val="24"/>
          <w:lang w:eastAsia="en-US"/>
        </w:rPr>
        <w:tab/>
      </w:r>
      <w:r w:rsidRPr="00BC3448">
        <w:rPr>
          <w:strike/>
          <w:szCs w:val="24"/>
          <w:lang w:eastAsia="en-US"/>
        </w:rPr>
        <w:t>te površinski aktivne tvari uključene su u program revizije kako je utvrđeno u Delegiranoj uredbi Komisije (EU) br. 1062/2014</w:t>
      </w:r>
      <w:r w:rsidRPr="00BC3448">
        <w:rPr>
          <w:szCs w:val="24"/>
          <w:vertAlign w:val="superscript"/>
          <w:lang w:eastAsia="en-US"/>
        </w:rPr>
        <w:footnoteReference w:id="21"/>
      </w:r>
      <w:r w:rsidRPr="00BC3448">
        <w:rPr>
          <w:strike/>
          <w:szCs w:val="24"/>
          <w:lang w:eastAsia="en-US"/>
        </w:rPr>
        <w:t>;</w:t>
      </w:r>
      <w:r w:rsidR="001E0529" w:rsidRPr="00BC3448">
        <w:rPr>
          <w:b/>
          <w:strike/>
          <w:szCs w:val="24"/>
          <w:lang w:eastAsia="en-US"/>
        </w:rPr>
        <w:t xml:space="preserve"> </w:t>
      </w:r>
      <w:r w:rsidR="001E0529" w:rsidRPr="00BC3448">
        <w:rPr>
          <w:b/>
          <w:szCs w:val="24"/>
          <w:lang w:eastAsia="en-US"/>
        </w:rPr>
        <w:t>[Am. 47.]</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(b)</w:t>
      </w:r>
      <w:r w:rsidRPr="00BC3448">
        <w:rPr>
          <w:szCs w:val="24"/>
          <w:lang w:eastAsia="en-US"/>
        </w:rPr>
        <w:tab/>
      </w:r>
      <w:r w:rsidRPr="00BC3448">
        <w:rPr>
          <w:strike/>
          <w:szCs w:val="24"/>
          <w:lang w:eastAsia="en-US"/>
        </w:rPr>
        <w:t xml:space="preserve">površinski aktivne tvari koje su sastojci </w:t>
      </w:r>
      <w:proofErr w:type="spellStart"/>
      <w:r w:rsidRPr="00BC3448">
        <w:rPr>
          <w:strike/>
          <w:szCs w:val="24"/>
          <w:lang w:eastAsia="en-US"/>
        </w:rPr>
        <w:t>biocidnih</w:t>
      </w:r>
      <w:proofErr w:type="spellEnd"/>
      <w:r w:rsidRPr="00BC3448">
        <w:rPr>
          <w:strike/>
          <w:szCs w:val="24"/>
          <w:lang w:eastAsia="en-US"/>
        </w:rPr>
        <w:t xml:space="preserve"> proizvoda odobrenih u skladu s </w:t>
      </w:r>
      <w:proofErr w:type="spellStart"/>
      <w:r w:rsidRPr="00BC3448">
        <w:rPr>
          <w:strike/>
          <w:szCs w:val="24"/>
          <w:lang w:eastAsia="en-US"/>
        </w:rPr>
        <w:t>Uredbom</w:t>
      </w:r>
      <w:r w:rsidRPr="00BC3448">
        <w:rPr>
          <w:b/>
          <w:i/>
          <w:szCs w:val="24"/>
          <w:lang w:eastAsia="en-US"/>
        </w:rPr>
        <w:t>uključene</w:t>
      </w:r>
      <w:proofErr w:type="spellEnd"/>
      <w:r w:rsidRPr="00BC3448">
        <w:rPr>
          <w:b/>
          <w:i/>
          <w:szCs w:val="24"/>
          <w:lang w:eastAsia="en-US"/>
        </w:rPr>
        <w:t xml:space="preserve"> su u program revizije kako je utvrđeno u Delegiranoj uredbi Komisije</w:t>
      </w:r>
      <w:r w:rsidRPr="00BC3448">
        <w:rPr>
          <w:szCs w:val="24"/>
          <w:lang w:eastAsia="en-US"/>
        </w:rPr>
        <w:t xml:space="preserve"> (EU) br. </w:t>
      </w:r>
      <w:r w:rsidRPr="00BC3448">
        <w:rPr>
          <w:strike/>
          <w:szCs w:val="24"/>
          <w:lang w:eastAsia="en-US"/>
        </w:rPr>
        <w:t>528/2012;</w:t>
      </w:r>
      <w:r w:rsidRPr="00BC3448">
        <w:rPr>
          <w:b/>
          <w:i/>
          <w:szCs w:val="24"/>
          <w:lang w:eastAsia="en-US"/>
        </w:rPr>
        <w:t>1062/2014</w:t>
      </w:r>
      <w:r w:rsidRPr="00BC3448">
        <w:rPr>
          <w:szCs w:val="24"/>
          <w:vertAlign w:val="superscript"/>
          <w:lang w:eastAsia="en-US"/>
        </w:rPr>
        <w:footnoteReference w:id="22"/>
      </w:r>
      <w:r w:rsidR="001E0529" w:rsidRPr="00BC3448">
        <w:rPr>
          <w:b/>
          <w:szCs w:val="24"/>
          <w:lang w:eastAsia="en-US"/>
        </w:rPr>
        <w:t xml:space="preserve"> [Am. 48.]</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(c)</w:t>
      </w:r>
      <w:r w:rsidRPr="00BC3448">
        <w:rPr>
          <w:szCs w:val="24"/>
          <w:lang w:eastAsia="en-US"/>
        </w:rPr>
        <w:tab/>
      </w:r>
      <w:r w:rsidRPr="00BC3448">
        <w:rPr>
          <w:strike/>
          <w:szCs w:val="24"/>
          <w:lang w:eastAsia="en-US"/>
        </w:rPr>
        <w:t xml:space="preserve">površinski aktivne tvari koje su </w:t>
      </w:r>
      <w:r w:rsidRPr="00BC3448">
        <w:rPr>
          <w:szCs w:val="24"/>
          <w:lang w:eastAsia="en-US"/>
        </w:rPr>
        <w:t>sastojci</w:t>
      </w:r>
      <w:r w:rsidRPr="00BC3448">
        <w:rPr>
          <w:b/>
          <w:i/>
          <w:szCs w:val="24"/>
          <w:lang w:eastAsia="en-US"/>
        </w:rPr>
        <w:t xml:space="preserve"> su</w:t>
      </w:r>
      <w:r w:rsidRPr="00BC3448">
        <w:rPr>
          <w:szCs w:val="24"/>
          <w:lang w:eastAsia="en-US"/>
        </w:rPr>
        <w:t xml:space="preserve"> </w:t>
      </w:r>
      <w:proofErr w:type="spellStart"/>
      <w:r w:rsidRPr="00BC3448">
        <w:rPr>
          <w:szCs w:val="24"/>
          <w:lang w:eastAsia="en-US"/>
        </w:rPr>
        <w:t>biocidnih</w:t>
      </w:r>
      <w:proofErr w:type="spellEnd"/>
      <w:r w:rsidRPr="00BC3448">
        <w:rPr>
          <w:szCs w:val="24"/>
          <w:lang w:eastAsia="en-US"/>
        </w:rPr>
        <w:t xml:space="preserve"> proizvoda</w:t>
      </w:r>
      <w:r w:rsidRPr="00BC3448">
        <w:rPr>
          <w:strike/>
          <w:szCs w:val="24"/>
          <w:lang w:eastAsia="en-US"/>
        </w:rPr>
        <w:t xml:space="preserve"> i koje</w:t>
      </w:r>
      <w:r w:rsidRPr="00BC3448">
        <w:rPr>
          <w:b/>
          <w:i/>
          <w:szCs w:val="24"/>
          <w:lang w:eastAsia="en-US"/>
        </w:rPr>
        <w:t>, koji</w:t>
      </w:r>
      <w:r w:rsidRPr="00BC3448">
        <w:rPr>
          <w:szCs w:val="24"/>
          <w:lang w:eastAsia="en-US"/>
        </w:rPr>
        <w:t xml:space="preserve"> se mogu staviti na raspolaganje na tržištu ili upotrebljavati u skladu s člankom </w:t>
      </w:r>
      <w:r w:rsidRPr="00BC3448">
        <w:rPr>
          <w:strike/>
          <w:szCs w:val="24"/>
          <w:lang w:eastAsia="en-US"/>
        </w:rPr>
        <w:t>89. stavkom 2</w:t>
      </w:r>
      <w:r w:rsidRPr="00BC3448">
        <w:rPr>
          <w:b/>
          <w:i/>
          <w:szCs w:val="24"/>
          <w:lang w:eastAsia="en-US"/>
        </w:rPr>
        <w:t>55</w:t>
      </w:r>
      <w:r w:rsidRPr="00BC3448">
        <w:rPr>
          <w:szCs w:val="24"/>
          <w:lang w:eastAsia="en-US"/>
        </w:rPr>
        <w:t>. Uredbe (EU) br. 528/2012.</w:t>
      </w:r>
      <w:r w:rsidR="001E0529" w:rsidRPr="00BC3448">
        <w:rPr>
          <w:b/>
          <w:szCs w:val="24"/>
          <w:lang w:eastAsia="en-US"/>
        </w:rPr>
        <w:t xml:space="preserve"> [Am. 49.]</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2a.</w:t>
      </w:r>
      <w:r w:rsidRPr="00BC3448">
        <w:rPr>
          <w:szCs w:val="24"/>
          <w:lang w:eastAsia="en-US"/>
        </w:rPr>
        <w:tab/>
      </w:r>
      <w:r w:rsidRPr="00BC3448">
        <w:rPr>
          <w:b/>
          <w:i/>
          <w:szCs w:val="24"/>
          <w:lang w:eastAsia="en-US"/>
        </w:rPr>
        <w:t xml:space="preserve">Do ... [četiri godine od stupanja na snagu delegiranog akta donesenog u skladu s drugim podstavkom] organski sastojci deterdženata koji nisu površinski aktivne tvari moraju biti inherentno biorazgradivi. </w:t>
      </w:r>
    </w:p>
    <w:p w:rsidR="001169ED" w:rsidRPr="00BC3448" w:rsidRDefault="001169ED" w:rsidP="001169ED">
      <w:pPr>
        <w:spacing w:before="120" w:after="120" w:line="360" w:lineRule="auto"/>
        <w:ind w:left="850"/>
        <w:rPr>
          <w:szCs w:val="24"/>
          <w:lang w:eastAsia="en-US"/>
        </w:rPr>
      </w:pPr>
      <w:r w:rsidRPr="00BC3448">
        <w:rPr>
          <w:b/>
          <w:i/>
          <w:szCs w:val="24"/>
          <w:lang w:eastAsia="en-US"/>
        </w:rPr>
        <w:t xml:space="preserve">Do ... [dvije godine od datuma stupanja na snagu ove Uredbe] Komisija donosi delegirane akte u skladu s člankom 27. radi dopune Priloga I. kriterijima i metodama ispitivanja inherentne biorazgradivosti sastojaka koji nisu površinski aktivne tvari. </w:t>
      </w:r>
    </w:p>
    <w:p w:rsidR="001169ED" w:rsidRPr="00BC3448" w:rsidRDefault="001169ED" w:rsidP="001169ED">
      <w:pPr>
        <w:spacing w:before="120" w:after="120" w:line="360" w:lineRule="auto"/>
        <w:ind w:left="850"/>
        <w:rPr>
          <w:szCs w:val="24"/>
          <w:lang w:eastAsia="en-US"/>
        </w:rPr>
      </w:pPr>
      <w:r w:rsidRPr="00BC3448">
        <w:rPr>
          <w:b/>
          <w:i/>
          <w:szCs w:val="24"/>
          <w:lang w:eastAsia="en-US"/>
        </w:rPr>
        <w:t>Ako to bude potrebno, Komisija je ovlaštena za donošenje delegiranih akata u skladu s člankom 27. kako bi dopustila upotrebu tvari u deterdžentima koje ne ispunjavaju kriterije biorazgradivosti utvrđene u skladu s Prilogom I.</w:t>
      </w:r>
    </w:p>
    <w:p w:rsidR="001169ED" w:rsidRPr="00BC3448" w:rsidRDefault="001169ED" w:rsidP="001169ED">
      <w:pPr>
        <w:spacing w:before="120" w:after="120" w:line="360" w:lineRule="auto"/>
        <w:ind w:left="850"/>
        <w:rPr>
          <w:b/>
          <w:szCs w:val="24"/>
          <w:lang w:eastAsia="en-US"/>
        </w:rPr>
      </w:pPr>
      <w:r w:rsidRPr="00BC3448">
        <w:rPr>
          <w:b/>
          <w:i/>
          <w:szCs w:val="24"/>
          <w:lang w:eastAsia="en-US"/>
        </w:rPr>
        <w:t>Pri donošenju delegiranih akata u skladu s drugim i trećim podstavkom Komisija uzima u obzir proizvodnu praksu, dostupnost tehnički i gospodarski izvedivih alternativa, učinak na mala i srednja poduzeća te učinak na zdravlje i okoliš.</w:t>
      </w:r>
      <w:r w:rsidR="001E0529" w:rsidRPr="00BC3448">
        <w:rPr>
          <w:b/>
          <w:szCs w:val="24"/>
          <w:lang w:eastAsia="en-US"/>
        </w:rPr>
        <w:t xml:space="preserve"> [Am. 50.]</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2b.</w:t>
      </w:r>
      <w:r w:rsidRPr="00BC3448">
        <w:rPr>
          <w:szCs w:val="24"/>
          <w:lang w:eastAsia="en-US"/>
        </w:rPr>
        <w:tab/>
      </w:r>
      <w:r w:rsidRPr="00BC3448">
        <w:rPr>
          <w:b/>
          <w:i/>
          <w:szCs w:val="24"/>
          <w:lang w:eastAsia="en-US"/>
        </w:rPr>
        <w:t>Do ... [dvije godine od stupanja na snagu delegiranog akta donesenog u skladu s drugim podstavkom] folija oko deterdženta topljiva u vodi mora biti razgradiva.</w:t>
      </w:r>
    </w:p>
    <w:p w:rsidR="001169ED" w:rsidRPr="00BC3448" w:rsidRDefault="001169ED" w:rsidP="001169ED">
      <w:pPr>
        <w:spacing w:before="120" w:after="120" w:line="360" w:lineRule="auto"/>
        <w:ind w:left="850"/>
        <w:rPr>
          <w:b/>
          <w:szCs w:val="24"/>
          <w:lang w:eastAsia="en-US"/>
        </w:rPr>
      </w:pPr>
      <w:r w:rsidRPr="00BC3448">
        <w:rPr>
          <w:b/>
          <w:i/>
          <w:szCs w:val="24"/>
          <w:lang w:eastAsia="en-US"/>
        </w:rPr>
        <w:t xml:space="preserve">Do ... [18 </w:t>
      </w:r>
      <w:proofErr w:type="spellStart"/>
      <w:r w:rsidRPr="00BC3448">
        <w:rPr>
          <w:b/>
          <w:i/>
          <w:szCs w:val="24"/>
          <w:lang w:eastAsia="en-US"/>
        </w:rPr>
        <w:t>mjeeci</w:t>
      </w:r>
      <w:proofErr w:type="spellEnd"/>
      <w:r w:rsidRPr="00BC3448">
        <w:rPr>
          <w:b/>
          <w:i/>
          <w:szCs w:val="24"/>
          <w:lang w:eastAsia="en-US"/>
        </w:rPr>
        <w:t xml:space="preserve"> od datuma stupanja na snagu ove Uredbe] Komisija donosi delegirane akte u skladu s člankom 27. radi dopune Priloga I. kriterijima i metodama ispitivanja razgradivosti folije topljive u vodi oko deterdženta.</w:t>
      </w:r>
      <w:r w:rsidR="003A633C" w:rsidRPr="00BC3448">
        <w:rPr>
          <w:b/>
          <w:szCs w:val="24"/>
          <w:lang w:eastAsia="en-US"/>
        </w:rPr>
        <w:t xml:space="preserve"> [Am. 51.]</w:t>
      </w:r>
    </w:p>
    <w:p w:rsidR="001169ED" w:rsidRPr="00BC3448" w:rsidRDefault="001169ED" w:rsidP="001169ED">
      <w:pPr>
        <w:spacing w:before="120" w:after="120" w:line="360" w:lineRule="auto"/>
        <w:jc w:val="center"/>
        <w:rPr>
          <w:szCs w:val="24"/>
          <w:lang w:eastAsia="en-US"/>
        </w:rPr>
      </w:pPr>
      <w:r w:rsidRPr="00BC3448">
        <w:rPr>
          <w:szCs w:val="24"/>
          <w:lang w:eastAsia="en-US"/>
        </w:rPr>
        <w:t>Članak 5.</w:t>
      </w:r>
      <w:r w:rsidRPr="00BC3448">
        <w:rPr>
          <w:szCs w:val="24"/>
          <w:lang w:eastAsia="en-US"/>
        </w:rPr>
        <w:br/>
        <w:t>Deterdženti koji sadržavaju mikroorganizme</w:t>
      </w:r>
    </w:p>
    <w:p w:rsidR="001169ED" w:rsidRPr="00BC3448" w:rsidRDefault="001169ED" w:rsidP="001169ED">
      <w:pPr>
        <w:spacing w:before="120" w:after="120" w:line="360" w:lineRule="auto"/>
        <w:rPr>
          <w:szCs w:val="24"/>
          <w:lang w:eastAsia="en-US"/>
        </w:rPr>
      </w:pPr>
      <w:r w:rsidRPr="00BC3448">
        <w:rPr>
          <w:szCs w:val="24"/>
          <w:lang w:eastAsia="en-US"/>
        </w:rPr>
        <w:t>Deterdženti koji sadržavaju mikroorganizme moraju ispunjavati zahtjeve utvrđene u Prilogu II.</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6.</w:t>
      </w:r>
      <w:r w:rsidRPr="00BC3448">
        <w:rPr>
          <w:szCs w:val="24"/>
          <w:lang w:eastAsia="en-US"/>
        </w:rPr>
        <w:br/>
        <w:t xml:space="preserve">Ograničenja udjela fosfata i drugih spojeva fosfora </w:t>
      </w:r>
    </w:p>
    <w:p w:rsidR="001169ED" w:rsidRPr="00BC3448" w:rsidRDefault="001169ED" w:rsidP="001169ED">
      <w:pPr>
        <w:spacing w:before="120" w:after="120" w:line="360" w:lineRule="auto"/>
        <w:rPr>
          <w:szCs w:val="24"/>
          <w:lang w:eastAsia="en-US"/>
        </w:rPr>
      </w:pPr>
      <w:r w:rsidRPr="00BC3448">
        <w:rPr>
          <w:szCs w:val="24"/>
          <w:lang w:eastAsia="en-US"/>
        </w:rPr>
        <w:t>Deterdženti navedeni u Prilogu III. moraju biti u skladu s ograničenjima udjela fosfata i drugih spojeva fosfora utvrđenima u tom prilogu.</w:t>
      </w:r>
    </w:p>
    <w:p w:rsidR="001169ED" w:rsidRPr="00BC3448" w:rsidRDefault="003A633C" w:rsidP="007F079A">
      <w:pPr>
        <w:spacing w:before="120" w:after="120" w:line="360" w:lineRule="auto"/>
        <w:ind w:left="851" w:hanging="851"/>
        <w:rPr>
          <w:b/>
          <w:szCs w:val="24"/>
          <w:lang w:eastAsia="en-US"/>
        </w:rPr>
      </w:pPr>
      <w:r w:rsidRPr="00BC3448">
        <w:rPr>
          <w:b/>
          <w:i/>
          <w:szCs w:val="24"/>
          <w:lang w:eastAsia="en-US"/>
        </w:rPr>
        <w:tab/>
      </w:r>
      <w:r w:rsidR="001169ED" w:rsidRPr="00BC3448">
        <w:rPr>
          <w:b/>
          <w:i/>
          <w:szCs w:val="24"/>
          <w:lang w:eastAsia="en-US"/>
        </w:rPr>
        <w:t xml:space="preserve">Prvi stavak ne primjenjuje se na deterdžente koji su industrijski </w:t>
      </w:r>
      <w:proofErr w:type="spellStart"/>
      <w:r w:rsidR="001169ED" w:rsidRPr="00BC3448">
        <w:rPr>
          <w:b/>
          <w:i/>
          <w:szCs w:val="24"/>
          <w:lang w:eastAsia="en-US"/>
        </w:rPr>
        <w:t>biocidni</w:t>
      </w:r>
      <w:proofErr w:type="spellEnd"/>
      <w:r w:rsidR="001169ED" w:rsidRPr="00BC3448">
        <w:rPr>
          <w:b/>
          <w:i/>
          <w:szCs w:val="24"/>
          <w:lang w:eastAsia="en-US"/>
        </w:rPr>
        <w:t xml:space="preserve"> proizvodi u smislu Uredbe (EU) br. 528/2012 ili medicinski proizvodi u smislu Uredbe (EU) br. 2017/745</w:t>
      </w:r>
      <w:r w:rsidR="001169ED" w:rsidRPr="00BC3448">
        <w:rPr>
          <w:szCs w:val="24"/>
          <w:vertAlign w:val="superscript"/>
          <w:lang w:eastAsia="en-US"/>
        </w:rPr>
        <w:footnoteReference w:id="23"/>
      </w:r>
      <w:r w:rsidR="001169ED" w:rsidRPr="00BC3448">
        <w:rPr>
          <w:b/>
          <w:i/>
          <w:szCs w:val="24"/>
          <w:lang w:eastAsia="en-US"/>
        </w:rPr>
        <w:t>.</w:t>
      </w:r>
      <w:r w:rsidRPr="00BC3448">
        <w:rPr>
          <w:b/>
          <w:szCs w:val="24"/>
          <w:lang w:eastAsia="en-US"/>
        </w:rPr>
        <w:t xml:space="preserve"> [Am. 52.]</w:t>
      </w:r>
    </w:p>
    <w:p w:rsidR="001169ED" w:rsidRPr="00BC3448" w:rsidRDefault="003A633C" w:rsidP="007F079A">
      <w:pPr>
        <w:spacing w:before="120" w:after="120" w:line="360" w:lineRule="auto"/>
        <w:ind w:left="851" w:hanging="851"/>
        <w:rPr>
          <w:b/>
          <w:szCs w:val="24"/>
          <w:lang w:eastAsia="en-US"/>
        </w:rPr>
      </w:pPr>
      <w:r w:rsidRPr="00BC3448">
        <w:rPr>
          <w:b/>
          <w:i/>
          <w:szCs w:val="24"/>
          <w:lang w:eastAsia="en-US"/>
        </w:rPr>
        <w:tab/>
      </w:r>
      <w:r w:rsidR="001169ED" w:rsidRPr="00BC3448">
        <w:rPr>
          <w:b/>
          <w:i/>
          <w:szCs w:val="24"/>
          <w:lang w:eastAsia="en-US"/>
        </w:rPr>
        <w:t>Nenamjerna prisutnost fosfata i drugih spojeva fosfora u površinski aktivnim tvarima i deterdžentima koji proizlaze iz nečistoća sastojaka, iz proizvodnog postupka ili skladištenja ili premještanja iz pakiranja tolerira se ako je ta prisutnost tehnički neizbježna u sklopu dobre proizvodne prakse i ako su, neovisno o takvoj prisutnosti, te površinski aktivne tvari i deterdženti sigurni.</w:t>
      </w:r>
      <w:r w:rsidRPr="00BC3448">
        <w:rPr>
          <w:b/>
          <w:szCs w:val="24"/>
          <w:lang w:eastAsia="en-US"/>
        </w:rPr>
        <w:t xml:space="preserve"> [Am. 53.]</w:t>
      </w:r>
    </w:p>
    <w:p w:rsidR="001169ED" w:rsidRPr="00BC3448" w:rsidRDefault="001169ED" w:rsidP="001169ED">
      <w:pPr>
        <w:spacing w:before="120" w:after="120" w:line="360" w:lineRule="auto"/>
        <w:jc w:val="center"/>
        <w:rPr>
          <w:b/>
          <w:i/>
          <w:szCs w:val="24"/>
          <w:lang w:eastAsia="en-US"/>
        </w:rPr>
      </w:pPr>
      <w:r w:rsidRPr="00BC3448">
        <w:rPr>
          <w:b/>
          <w:i/>
          <w:szCs w:val="24"/>
          <w:lang w:eastAsia="en-US"/>
        </w:rPr>
        <w:br w:type="page"/>
      </w:r>
    </w:p>
    <w:p w:rsidR="001169ED" w:rsidRPr="00BC3448" w:rsidRDefault="001169ED" w:rsidP="001169ED">
      <w:pPr>
        <w:spacing w:before="120" w:after="120" w:line="360" w:lineRule="auto"/>
        <w:jc w:val="center"/>
        <w:rPr>
          <w:szCs w:val="24"/>
          <w:lang w:eastAsia="en-US"/>
        </w:rPr>
      </w:pPr>
      <w:r w:rsidRPr="00BC3448">
        <w:rPr>
          <w:b/>
          <w:i/>
          <w:szCs w:val="24"/>
          <w:lang w:eastAsia="en-US"/>
        </w:rPr>
        <w:t>Članak 6a.</w:t>
      </w:r>
      <w:r w:rsidRPr="00BC3448">
        <w:rPr>
          <w:szCs w:val="24"/>
          <w:lang w:eastAsia="en-US"/>
        </w:rPr>
        <w:br/>
      </w:r>
      <w:r w:rsidRPr="00BC3448">
        <w:rPr>
          <w:b/>
          <w:i/>
          <w:szCs w:val="24"/>
          <w:lang w:eastAsia="en-US"/>
        </w:rPr>
        <w:t>Ispitivanja na životinjama</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1.</w:t>
      </w:r>
      <w:r w:rsidRPr="00BC3448">
        <w:rPr>
          <w:szCs w:val="24"/>
          <w:lang w:eastAsia="en-US"/>
        </w:rPr>
        <w:tab/>
      </w:r>
      <w:r w:rsidRPr="00BC3448">
        <w:rPr>
          <w:b/>
          <w:i/>
          <w:szCs w:val="24"/>
          <w:lang w:eastAsia="en-US"/>
        </w:rPr>
        <w:t xml:space="preserve">Sigurnost deterdženata i površinski aktivnih tvari te sukladnost s ovom Uredbom utvrđuju se primjenom novih metoda pristupa koje ne uključuju životinje koja se </w:t>
      </w:r>
      <w:proofErr w:type="spellStart"/>
      <w:r w:rsidRPr="00BC3448">
        <w:rPr>
          <w:b/>
          <w:i/>
          <w:szCs w:val="24"/>
          <w:lang w:eastAsia="en-US"/>
        </w:rPr>
        <w:t>validira</w:t>
      </w:r>
      <w:proofErr w:type="spellEnd"/>
      <w:r w:rsidRPr="00BC3448">
        <w:rPr>
          <w:b/>
          <w:i/>
          <w:szCs w:val="24"/>
          <w:lang w:eastAsia="en-US"/>
        </w:rPr>
        <w:t xml:space="preserve"> i usvaja na razini Unije.</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2.</w:t>
      </w:r>
      <w:r w:rsidRPr="00BC3448">
        <w:rPr>
          <w:szCs w:val="24"/>
          <w:lang w:eastAsia="en-US"/>
        </w:rPr>
        <w:tab/>
      </w:r>
      <w:r w:rsidRPr="00BC3448">
        <w:rPr>
          <w:b/>
          <w:i/>
          <w:szCs w:val="24"/>
          <w:lang w:eastAsia="en-US"/>
        </w:rPr>
        <w:t>Ne dovodeći u pitanje opće obveze u skladu s člankom 1. stavkom 1., zabranjuje se sljedeće:</w:t>
      </w:r>
    </w:p>
    <w:p w:rsidR="001169ED" w:rsidRPr="00BC3448" w:rsidRDefault="001169ED" w:rsidP="001169ED">
      <w:pPr>
        <w:spacing w:before="120" w:after="120" w:line="360" w:lineRule="auto"/>
        <w:ind w:left="1416" w:hanging="566"/>
        <w:rPr>
          <w:szCs w:val="24"/>
          <w:lang w:eastAsia="en-US"/>
        </w:rPr>
      </w:pPr>
      <w:r w:rsidRPr="00BC3448">
        <w:rPr>
          <w:b/>
          <w:i/>
          <w:szCs w:val="24"/>
          <w:lang w:eastAsia="en-US"/>
        </w:rPr>
        <w:t>(a)</w:t>
      </w:r>
      <w:r w:rsidRPr="00BC3448">
        <w:rPr>
          <w:szCs w:val="24"/>
          <w:lang w:eastAsia="en-US"/>
        </w:rPr>
        <w:tab/>
      </w:r>
      <w:r w:rsidRPr="00BC3448">
        <w:rPr>
          <w:b/>
          <w:i/>
          <w:szCs w:val="24"/>
          <w:lang w:eastAsia="en-US"/>
        </w:rPr>
        <w:t>stavljanje na tržište deterdženata i površinski aktivnih tvari ako su konačna formulacija ili sastojci ili kombinacije sastojaka bili podvrgnuti ispitivanju na životinjama kako bi se ispunili zahtjevi ove Uredbe,</w:t>
      </w:r>
    </w:p>
    <w:p w:rsidR="001169ED" w:rsidRPr="00BC3448" w:rsidRDefault="001169ED" w:rsidP="001169ED">
      <w:pPr>
        <w:spacing w:before="120" w:after="120" w:line="360" w:lineRule="auto"/>
        <w:ind w:left="1416" w:hanging="566"/>
        <w:rPr>
          <w:szCs w:val="24"/>
          <w:lang w:eastAsia="en-US"/>
        </w:rPr>
      </w:pPr>
      <w:r w:rsidRPr="00BC3448">
        <w:rPr>
          <w:b/>
          <w:i/>
          <w:szCs w:val="24"/>
          <w:lang w:eastAsia="en-US"/>
        </w:rPr>
        <w:t>(b)</w:t>
      </w:r>
      <w:r w:rsidRPr="00BC3448">
        <w:rPr>
          <w:szCs w:val="24"/>
          <w:lang w:eastAsia="en-US"/>
        </w:rPr>
        <w:tab/>
      </w:r>
      <w:r w:rsidRPr="00BC3448">
        <w:rPr>
          <w:b/>
          <w:i/>
          <w:szCs w:val="24"/>
          <w:lang w:eastAsia="en-US"/>
        </w:rPr>
        <w:t xml:space="preserve"> provođenje ispitivanja gotovih deterdženata i površinski aktivnih tvari ili sastojaka ili kombinacija sastojaka u Uniji na životinjama kako bi se ispunili zahtjevi ove Uredbe.</w:t>
      </w:r>
    </w:p>
    <w:p w:rsidR="001169ED" w:rsidRPr="00BC3448" w:rsidRDefault="001169ED"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3.</w:t>
      </w:r>
      <w:r w:rsidRPr="00BC3448">
        <w:rPr>
          <w:szCs w:val="24"/>
          <w:lang w:eastAsia="en-US"/>
        </w:rPr>
        <w:tab/>
      </w:r>
      <w:r w:rsidRPr="00BC3448">
        <w:rPr>
          <w:b/>
          <w:i/>
          <w:szCs w:val="24"/>
          <w:lang w:eastAsia="en-US"/>
        </w:rPr>
        <w:t>Stavci 1. i 2. primjenjuju se ne dovodeći u pitanje relevantno pravo Unije i ne sprečavaju upotrebu podataka prikupljenih prije ... [datum stupanja na snagu ove Uredbe].</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4.</w:t>
      </w:r>
      <w:r w:rsidRPr="00BC3448">
        <w:rPr>
          <w:szCs w:val="24"/>
          <w:lang w:eastAsia="en-US"/>
        </w:rPr>
        <w:tab/>
      </w:r>
      <w:r w:rsidRPr="00BC3448">
        <w:rPr>
          <w:b/>
          <w:i/>
          <w:szCs w:val="24"/>
          <w:lang w:eastAsia="en-US"/>
        </w:rPr>
        <w:t>U iznimnim okolnostima, ako postoji zabrinutost u pogledu sigurnosti sastojka deterdženta, Komisija može donijeti odluku kojom se odobrava odstupanje od stavaka 1. i 2. Komisija može djelovati na vlastitu inicijativu ili na temelju obrazloženog zahtjeva gospodarskog subjekta ili države članice.</w:t>
      </w:r>
    </w:p>
    <w:p w:rsidR="001169ED" w:rsidRPr="00BC3448" w:rsidRDefault="001169ED" w:rsidP="001169ED">
      <w:pPr>
        <w:spacing w:before="120" w:after="120" w:line="360" w:lineRule="auto"/>
        <w:ind w:left="850"/>
        <w:rPr>
          <w:szCs w:val="24"/>
          <w:lang w:eastAsia="en-US"/>
        </w:rPr>
      </w:pPr>
      <w:r w:rsidRPr="00BC3448">
        <w:rPr>
          <w:b/>
          <w:i/>
          <w:szCs w:val="24"/>
          <w:lang w:eastAsia="en-US"/>
        </w:rPr>
        <w:t>Kada Komisija postupa na temelju obrazloženog zahtjeva gospodarskog subjekta ili države članice, taj zahtjev sadržava procjenu situacije i u njemu se navode mjere koje je potrebno poduzeti. Na temelju toga Komisija može, nakon savjetovanja s relevantnim znanstvenim odborom, agencijom ili tijelom, donijeti odluku kojom se odobrava odstupanje.</w:t>
      </w:r>
    </w:p>
    <w:p w:rsidR="001169ED" w:rsidRPr="00BC3448" w:rsidRDefault="001169ED" w:rsidP="001169ED">
      <w:pPr>
        <w:spacing w:before="120" w:after="120" w:line="360" w:lineRule="auto"/>
        <w:ind w:left="850"/>
        <w:rPr>
          <w:szCs w:val="24"/>
          <w:lang w:eastAsia="en-US"/>
        </w:rPr>
      </w:pPr>
      <w:r w:rsidRPr="00BC3448">
        <w:rPr>
          <w:b/>
          <w:i/>
          <w:szCs w:val="24"/>
          <w:lang w:eastAsia="en-US"/>
        </w:rPr>
        <w:t>U toj se odluci utvrđuju uvjeti povezani s tim odstupanjem u pogledu posebnih ciljeva, trajanja i priopćavanja rezultata. Odstupanje se odobrava samo u sljedećim slučajevima:</w:t>
      </w:r>
    </w:p>
    <w:p w:rsidR="001169ED" w:rsidRPr="00BC3448" w:rsidRDefault="001169ED" w:rsidP="001169ED">
      <w:pPr>
        <w:spacing w:before="120" w:after="120" w:line="360" w:lineRule="auto"/>
        <w:ind w:left="1416" w:hanging="566"/>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b/>
          <w:i/>
          <w:szCs w:val="24"/>
          <w:lang w:eastAsia="en-US"/>
        </w:rPr>
        <w:t>(a)</w:t>
      </w:r>
      <w:r w:rsidRPr="00BC3448">
        <w:rPr>
          <w:szCs w:val="24"/>
          <w:lang w:eastAsia="en-US"/>
        </w:rPr>
        <w:tab/>
      </w:r>
      <w:r w:rsidRPr="00BC3448">
        <w:rPr>
          <w:b/>
          <w:i/>
          <w:szCs w:val="24"/>
          <w:lang w:eastAsia="en-US"/>
        </w:rPr>
        <w:t>ako je sastojak u širokoj uporabi i nije ga moguće nadomjestiti drugim sastojkom koji može vršiti sličnu funkciju,</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(b)</w:t>
      </w:r>
      <w:r w:rsidRPr="00BC3448">
        <w:rPr>
          <w:szCs w:val="24"/>
          <w:lang w:eastAsia="en-US"/>
        </w:rPr>
        <w:tab/>
      </w:r>
      <w:r w:rsidRPr="00BC3448">
        <w:rPr>
          <w:b/>
          <w:i/>
          <w:szCs w:val="24"/>
          <w:lang w:eastAsia="en-US"/>
        </w:rPr>
        <w:t>ako se dokaže postojanje problema za zdravlje ljudi, a potreba za provođenjem ispitivanja na životinjama je opravdana i podupire je podrobni protokol istraživanja koji je temelj za ocjenu.</w:t>
      </w:r>
      <w:r w:rsidR="00CD2A80" w:rsidRPr="00BC3448">
        <w:rPr>
          <w:b/>
          <w:szCs w:val="24"/>
          <w:lang w:eastAsia="en-US"/>
        </w:rPr>
        <w:t xml:space="preserve"> [Am. 54.]</w:t>
      </w:r>
    </w:p>
    <w:p w:rsidR="001169ED" w:rsidRPr="00BC3448" w:rsidRDefault="001169ED" w:rsidP="001169ED">
      <w:pPr>
        <w:spacing w:before="120" w:after="120" w:line="360" w:lineRule="auto"/>
        <w:jc w:val="center"/>
        <w:rPr>
          <w:szCs w:val="24"/>
          <w:lang w:eastAsia="en-US"/>
        </w:rPr>
      </w:pPr>
      <w:r w:rsidRPr="00BC3448">
        <w:rPr>
          <w:szCs w:val="24"/>
          <w:lang w:eastAsia="en-US"/>
        </w:rPr>
        <w:t>POGLAVLJE III.</w:t>
      </w:r>
      <w:r w:rsidRPr="00BC3448">
        <w:rPr>
          <w:szCs w:val="24"/>
          <w:lang w:eastAsia="en-US"/>
        </w:rPr>
        <w:br/>
        <w:t>OBVEZE GOSPODARSKIH SUBJEKATA</w:t>
      </w:r>
    </w:p>
    <w:p w:rsidR="001169ED" w:rsidRPr="00BC3448" w:rsidRDefault="001169ED" w:rsidP="001169ED">
      <w:pPr>
        <w:spacing w:before="120" w:after="120" w:line="360" w:lineRule="auto"/>
        <w:jc w:val="center"/>
        <w:rPr>
          <w:szCs w:val="24"/>
          <w:lang w:eastAsia="en-US"/>
        </w:rPr>
      </w:pPr>
      <w:r w:rsidRPr="00BC3448">
        <w:rPr>
          <w:szCs w:val="24"/>
          <w:lang w:eastAsia="en-US"/>
        </w:rPr>
        <w:t>Članak 7.</w:t>
      </w:r>
      <w:r w:rsidRPr="00BC3448">
        <w:rPr>
          <w:szCs w:val="24"/>
          <w:lang w:eastAsia="en-US"/>
        </w:rPr>
        <w:br/>
        <w:t>Obveze proizvođača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Pri stavljanju deterdženata ili površinski aktivnih tvari na tržište proizvođači osiguravaju da su ti deterdženti ili površinski aktivne tvari projektirani i proizvedeni u skladu s ovom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Proizvođači sastavljaju tehničku dokumentaciju iz Priloga IV. i provode postupak ocjenjivanja sukladnosti iz tog priloga.</w:t>
      </w:r>
    </w:p>
    <w:p w:rsidR="001169ED" w:rsidRPr="00BC3448" w:rsidRDefault="001169ED"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Ako je postupkom iz prvog podstavka dokazana sukladnost deterdženta ili površinski aktivne tvari s primjenjivim zahtjevima, proizvođači: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moraju izraditi putovnicu za proizvode u skladu s člankom 18.;</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moraju osigurati da se nosač podataka tiska ili na drugi način stavlja na oznaku ili na pakiranje deterdženta ili površinski aktivne tvari na vidljiv i čitljiv način u skladu s člankom 18. stavkom 3.;</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(c)</w:t>
      </w:r>
      <w:r w:rsidRPr="00BC3448">
        <w:rPr>
          <w:szCs w:val="24"/>
          <w:lang w:eastAsia="en-US"/>
        </w:rPr>
        <w:tab/>
      </w:r>
      <w:r w:rsidRPr="00BC3448">
        <w:rPr>
          <w:strike/>
          <w:szCs w:val="24"/>
          <w:lang w:eastAsia="en-US"/>
        </w:rPr>
        <w:t>moraju prema potrebi stavljati oznaku CE u skladu s člankom 14.;</w:t>
      </w:r>
      <w:r w:rsidR="00CD2A80" w:rsidRPr="00BC3448">
        <w:rPr>
          <w:b/>
          <w:strike/>
          <w:szCs w:val="24"/>
          <w:lang w:eastAsia="en-US"/>
        </w:rPr>
        <w:t xml:space="preserve"> [</w:t>
      </w:r>
      <w:r w:rsidR="00CD2A80" w:rsidRPr="00BC3448">
        <w:rPr>
          <w:b/>
          <w:szCs w:val="24"/>
          <w:lang w:eastAsia="en-US"/>
        </w:rPr>
        <w:t>Am. 55.]</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moraju, prije stavljanja deterdženata ili površinski aktivnih tvari na tržište, u registar iz članka 20. stavka 1. uključiti upućivanje na putovnicu za proizvode.</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Proizvođači čuvaju</w:t>
      </w:r>
      <w:r w:rsidRPr="00BC3448">
        <w:rPr>
          <w:b/>
          <w:i/>
          <w:szCs w:val="24"/>
          <w:lang w:eastAsia="en-US"/>
        </w:rPr>
        <w:t xml:space="preserve"> i, po potrebi, ažuriraju</w:t>
      </w:r>
      <w:r w:rsidRPr="00BC3448">
        <w:rPr>
          <w:szCs w:val="24"/>
          <w:lang w:eastAsia="en-US"/>
        </w:rPr>
        <w:t xml:space="preserve"> tehničku dokumentaciju i putovnicu za proizvode 10 godina nakon što su deterdžent ili površinski aktivna tvar na koje se odnosi ta dokumentacija ili putovnica za proizvode stavljeni na tržište.</w:t>
      </w:r>
      <w:r w:rsidR="00CD2A80" w:rsidRPr="00BC3448">
        <w:rPr>
          <w:b/>
          <w:szCs w:val="24"/>
          <w:lang w:eastAsia="en-US"/>
        </w:rPr>
        <w:t xml:space="preserve"> [Am. 56.]</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Proizvođači osiguravaju postupke za očuvanje sukladnosti proizvodne serije. Promjene u oblikovanju ili karakteristikama proizvoda te promjene u metodama ispitivanja na temelju kojih je objavljena sukladnost proizvoda uzimaju se u obzir na primjeren način.</w:t>
      </w:r>
    </w:p>
    <w:p w:rsidR="001169ED" w:rsidRPr="00BC3448" w:rsidRDefault="001169ED" w:rsidP="001169ED">
      <w:pPr>
        <w:spacing w:before="120" w:after="120" w:line="360" w:lineRule="auto"/>
        <w:ind w:left="850"/>
        <w:rPr>
          <w:szCs w:val="24"/>
          <w:lang w:eastAsia="en-US"/>
        </w:rPr>
      </w:pPr>
      <w:r w:rsidRPr="00BC3448">
        <w:rPr>
          <w:szCs w:val="24"/>
          <w:lang w:eastAsia="en-US"/>
        </w:rPr>
        <w:t>Ako to smatraju prikladnim s obzirom na djelovanje deterdženata ili površinski aktivnih tvari ili rizike koje oni predstavljaju, proizvođači ispituju uzorke takvih deterdženata ili površinski aktivnih tvari, istražuju pritužbe i, prema potrebi, vode knjigu pritužbi i registar nesukladnih deterdženata ili površinski aktivnih tvari i opoziva takvih deterdženata ili površinski aktivnih tvari te o svakom takvom praćenju obavješćuju distributere.</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Proizvođači koji na tržište stavljaju deterdžente ili površinski aktivne tvari osiguravaju da su oni u skladu sa zahtjevima za označivanje utvrđenima u člancima 15., 16. i 17.</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 xml:space="preserve">Proizvođači koji na tržište stavljaju deterdžente koji ne ispunjavaju kriterije za razvrstavanje u opasne deterdžente u smislu Uredbe (EZ) br. 1272/2008 dostavljaju imenovanim tijelima država članica iz članka 45. te uredbe list s podacima o sastojcima iz točke 2.2. </w:t>
      </w:r>
      <w:proofErr w:type="spellStart"/>
      <w:r w:rsidRPr="00BC3448">
        <w:rPr>
          <w:szCs w:val="24"/>
          <w:lang w:eastAsia="en-US"/>
        </w:rPr>
        <w:t>podtočke</w:t>
      </w:r>
      <w:proofErr w:type="spellEnd"/>
      <w:r w:rsidRPr="00BC3448">
        <w:rPr>
          <w:szCs w:val="24"/>
          <w:lang w:eastAsia="en-US"/>
        </w:rPr>
        <w:t xml:space="preserve"> (e) Priloga IV.</w:t>
      </w:r>
    </w:p>
    <w:p w:rsidR="001169ED" w:rsidRPr="00BC3448" w:rsidRDefault="001169ED"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Proizvođači dostavljaju list s podacima o sastojcima imenovanim tijelima država članica iz prvog podstavka u sljedećim slučajevima:</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r>
      <w:r w:rsidRPr="00BC3448">
        <w:rPr>
          <w:b/>
          <w:i/>
          <w:szCs w:val="24"/>
          <w:lang w:eastAsia="en-US"/>
        </w:rPr>
        <w:t xml:space="preserve">u trenutku stavljanja deterdženta na </w:t>
      </w:r>
      <w:proofErr w:type="spellStart"/>
      <w:r w:rsidRPr="00BC3448">
        <w:rPr>
          <w:b/>
          <w:i/>
          <w:szCs w:val="24"/>
          <w:lang w:eastAsia="en-US"/>
        </w:rPr>
        <w:t>tržište</w:t>
      </w:r>
      <w:r w:rsidRPr="00BC3448">
        <w:rPr>
          <w:strike/>
          <w:szCs w:val="24"/>
          <w:lang w:eastAsia="en-US"/>
        </w:rPr>
        <w:t>na</w:t>
      </w:r>
      <w:proofErr w:type="spellEnd"/>
      <w:r w:rsidRPr="00BC3448">
        <w:rPr>
          <w:strike/>
          <w:szCs w:val="24"/>
          <w:lang w:eastAsia="en-US"/>
        </w:rPr>
        <w:t xml:space="preserve"> zahtjev imenovanih tijela država članica</w:t>
      </w:r>
      <w:r w:rsidRPr="00BC3448">
        <w:rPr>
          <w:szCs w:val="24"/>
          <w:lang w:eastAsia="en-US"/>
        </w:rPr>
        <w:t>;</w:t>
      </w:r>
      <w:r w:rsidR="00CD2A80" w:rsidRPr="00BC3448">
        <w:rPr>
          <w:b/>
          <w:szCs w:val="24"/>
          <w:lang w:eastAsia="en-US"/>
        </w:rPr>
        <w:t xml:space="preserve"> [Am. 57.]</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(b)</w:t>
      </w:r>
      <w:r w:rsidRPr="00BC3448">
        <w:rPr>
          <w:szCs w:val="24"/>
          <w:lang w:eastAsia="en-US"/>
        </w:rPr>
        <w:tab/>
        <w:t xml:space="preserve">ako deterdžent za koji je već </w:t>
      </w:r>
      <w:proofErr w:type="spellStart"/>
      <w:r w:rsidRPr="00BC3448">
        <w:rPr>
          <w:strike/>
          <w:szCs w:val="24"/>
          <w:lang w:eastAsia="en-US"/>
        </w:rPr>
        <w:t>zatražen</w:t>
      </w:r>
      <w:r w:rsidRPr="00BC3448">
        <w:rPr>
          <w:b/>
          <w:i/>
          <w:szCs w:val="24"/>
          <w:lang w:eastAsia="en-US"/>
        </w:rPr>
        <w:t>dostavljen</w:t>
      </w:r>
      <w:proofErr w:type="spellEnd"/>
      <w:r w:rsidRPr="00BC3448">
        <w:rPr>
          <w:szCs w:val="24"/>
          <w:lang w:eastAsia="en-US"/>
        </w:rPr>
        <w:t xml:space="preserve"> list s podacima o sastojcima više ne odgovara informacijama iz tog lista.</w:t>
      </w:r>
      <w:r w:rsidR="00CD2A80" w:rsidRPr="00BC3448">
        <w:rPr>
          <w:b/>
          <w:szCs w:val="24"/>
          <w:lang w:eastAsia="en-US"/>
        </w:rPr>
        <w:t xml:space="preserve"> [Am. 58.]</w:t>
      </w:r>
    </w:p>
    <w:p w:rsidR="001169ED" w:rsidRPr="00BC3448" w:rsidRDefault="001169ED" w:rsidP="001169ED">
      <w:pPr>
        <w:spacing w:before="120" w:after="120" w:line="360" w:lineRule="auto"/>
        <w:ind w:left="850"/>
        <w:rPr>
          <w:szCs w:val="24"/>
          <w:lang w:eastAsia="en-US"/>
        </w:rPr>
      </w:pPr>
      <w:r w:rsidRPr="00BC3448">
        <w:rPr>
          <w:szCs w:val="24"/>
          <w:lang w:eastAsia="en-US"/>
        </w:rPr>
        <w:t>Imenovano tijelo iz prvog podstavka i medicinsko osoblje kojima su dostavljene informacije sadržane u listu čuvaju ih kao povjerljive i upotrebljavaju ih samo u medicinske svrhe.</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7.</w:t>
      </w:r>
      <w:r w:rsidRPr="00BC3448">
        <w:rPr>
          <w:szCs w:val="24"/>
          <w:lang w:eastAsia="en-US"/>
        </w:rPr>
        <w:tab/>
        <w:t xml:space="preserve">Proizvođači koji smatraju ili imaju razloga vjerovati da deterdžent ili površinski aktivna tvar koje su stavili na tržište nisu u skladu s ovom Uredbom odmah poduzimaju </w:t>
      </w:r>
      <w:r w:rsidRPr="00BC3448">
        <w:rPr>
          <w:strike/>
          <w:szCs w:val="24"/>
          <w:lang w:eastAsia="en-US"/>
        </w:rPr>
        <w:t xml:space="preserve">korektivne mjere </w:t>
      </w:r>
      <w:proofErr w:type="spellStart"/>
      <w:r w:rsidRPr="00BC3448">
        <w:rPr>
          <w:strike/>
          <w:szCs w:val="24"/>
          <w:lang w:eastAsia="en-US"/>
        </w:rPr>
        <w:t>potrebne</w:t>
      </w:r>
      <w:r w:rsidRPr="00BC3448">
        <w:rPr>
          <w:b/>
          <w:i/>
          <w:szCs w:val="24"/>
          <w:lang w:eastAsia="en-US"/>
        </w:rPr>
        <w:t>korektivna</w:t>
      </w:r>
      <w:proofErr w:type="spellEnd"/>
      <w:r w:rsidRPr="00BC3448">
        <w:rPr>
          <w:b/>
          <w:i/>
          <w:szCs w:val="24"/>
          <w:lang w:eastAsia="en-US"/>
        </w:rPr>
        <w:t xml:space="preserve"> djelovanja potrebna</w:t>
      </w:r>
      <w:r w:rsidRPr="00BC3448">
        <w:rPr>
          <w:szCs w:val="24"/>
          <w:lang w:eastAsia="en-US"/>
        </w:rPr>
        <w:t xml:space="preserve"> kako bi ih s njom uskladili ili, prema potrebi, povukli s tržišta ili opozvali. Osim toga, ako proizvođači smatraju ili imaju razloga vjerovati da deterdžent ili površinski aktivna tvar koje su stavili na tržište predstavljaju rizik za zdravlje ili okoliš, o tome odmah obavješćuju nadležna nacionalna tijela država članica u kojima su ih stavili na raspolaganje na tržištu te im dostavljaju detaljne podatke, posebno o svim nesukladnostima i poduzetim korektivnim </w:t>
      </w:r>
      <w:proofErr w:type="spellStart"/>
      <w:r w:rsidRPr="00BC3448">
        <w:rPr>
          <w:strike/>
          <w:szCs w:val="24"/>
          <w:lang w:eastAsia="en-US"/>
        </w:rPr>
        <w:t>mjerama</w:t>
      </w:r>
      <w:r w:rsidRPr="00BC3448">
        <w:rPr>
          <w:b/>
          <w:i/>
          <w:szCs w:val="24"/>
          <w:lang w:eastAsia="en-US"/>
        </w:rPr>
        <w:t>djelovanjima</w:t>
      </w:r>
      <w:proofErr w:type="spellEnd"/>
      <w:r w:rsidRPr="00BC3448">
        <w:rPr>
          <w:szCs w:val="24"/>
          <w:lang w:eastAsia="en-US"/>
        </w:rPr>
        <w:t>.</w:t>
      </w:r>
      <w:r w:rsidR="00CD2A80" w:rsidRPr="00BC3448">
        <w:rPr>
          <w:b/>
          <w:szCs w:val="24"/>
          <w:lang w:eastAsia="en-US"/>
        </w:rPr>
        <w:t xml:space="preserve"> [Am. 59.]</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7a.</w:t>
      </w:r>
      <w:r w:rsidRPr="00BC3448">
        <w:rPr>
          <w:szCs w:val="24"/>
          <w:lang w:eastAsia="en-US"/>
        </w:rPr>
        <w:tab/>
      </w:r>
      <w:r w:rsidRPr="00BC3448">
        <w:rPr>
          <w:b/>
          <w:i/>
          <w:szCs w:val="24"/>
          <w:lang w:eastAsia="en-US"/>
        </w:rPr>
        <w:t>Proizvođači na zahtjev s relevantnim gospodarskim subjektima u predmetnom opskrbnom lancu, među ostalim s distributerima, uvoznicima i ovlaštenim zastupnicima, pravodobno dijele relevantne informacije o svim poteškoćama u pogledu sukladnosti ili rizicima za zdravlje ili okoliš koje su utvrdili u vezi sa svojim proizvodom i o svakom posljedičnom korektivnom djelovanju, opozivu ili povlačenju.</w:t>
      </w:r>
      <w:r w:rsidR="00CD2A80" w:rsidRPr="00BC3448">
        <w:rPr>
          <w:b/>
          <w:szCs w:val="24"/>
          <w:lang w:eastAsia="en-US"/>
        </w:rPr>
        <w:t xml:space="preserve"> [Am. 60.]</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8.</w:t>
      </w:r>
      <w:r w:rsidRPr="00BC3448">
        <w:rPr>
          <w:szCs w:val="24"/>
          <w:lang w:eastAsia="en-US"/>
        </w:rPr>
        <w:tab/>
        <w:t xml:space="preserve">Na obrazložen zahtjev nadležnog nacionalnog tijela proizvođači tom tijelu na jeziku koje ono bez poteškoća razumije </w:t>
      </w:r>
      <w:r w:rsidRPr="00BC3448">
        <w:rPr>
          <w:b/>
          <w:i/>
          <w:szCs w:val="24"/>
          <w:lang w:eastAsia="en-US"/>
        </w:rPr>
        <w:t xml:space="preserve">u elektroničkom, a na zahtjev i papirnatom obliku </w:t>
      </w:r>
      <w:r w:rsidRPr="00BC3448">
        <w:rPr>
          <w:szCs w:val="24"/>
          <w:lang w:eastAsia="en-US"/>
        </w:rPr>
        <w:t>dostavljaju sve informacije i dokumentaciju</w:t>
      </w:r>
      <w:r w:rsidRPr="00BC3448">
        <w:rPr>
          <w:strike/>
          <w:szCs w:val="24"/>
          <w:lang w:eastAsia="en-US"/>
        </w:rPr>
        <w:t>, u papirnatom ili elektroničkom obliku,</w:t>
      </w:r>
      <w:r w:rsidRPr="00BC3448">
        <w:rPr>
          <w:szCs w:val="24"/>
          <w:lang w:eastAsia="en-US"/>
        </w:rPr>
        <w:t xml:space="preserve"> potrebne za dokazivanje sukladnosti deterdženta ili površinski aktivne tvari s ovom Uredbom. </w:t>
      </w:r>
      <w:r w:rsidRPr="00BC3448">
        <w:rPr>
          <w:b/>
          <w:i/>
          <w:szCs w:val="24"/>
          <w:lang w:eastAsia="en-US"/>
        </w:rPr>
        <w:t xml:space="preserve">Relevantne informacije i dokumentacija dostavljaju se u roku od 20 radnih dana od primitka zahtjeva. </w:t>
      </w:r>
      <w:r w:rsidRPr="00BC3448">
        <w:rPr>
          <w:szCs w:val="24"/>
          <w:lang w:eastAsia="en-US"/>
        </w:rPr>
        <w:t xml:space="preserve">Na zahtjev nadležnog nacionalnog tijela </w:t>
      </w:r>
      <w:proofErr w:type="spellStart"/>
      <w:r w:rsidRPr="00BC3448">
        <w:rPr>
          <w:strike/>
          <w:szCs w:val="24"/>
          <w:lang w:eastAsia="en-US"/>
        </w:rPr>
        <w:t>proizvođači</w:t>
      </w:r>
      <w:r w:rsidRPr="00BC3448">
        <w:rPr>
          <w:b/>
          <w:i/>
          <w:szCs w:val="24"/>
          <w:lang w:eastAsia="en-US"/>
        </w:rPr>
        <w:t>uvoznici</w:t>
      </w:r>
      <w:proofErr w:type="spellEnd"/>
      <w:r w:rsidRPr="00BC3448">
        <w:rPr>
          <w:szCs w:val="24"/>
          <w:lang w:eastAsia="en-US"/>
        </w:rPr>
        <w:t xml:space="preserve"> surađuju s njim u svakoj radnji poduzetoj kako bi se uklonili rizici koje predstavljaju deterdžent ili površinski aktivna tvar koje su stavili na tržište.</w:t>
      </w:r>
      <w:r w:rsidR="00CD2A80" w:rsidRPr="00BC3448">
        <w:rPr>
          <w:b/>
          <w:szCs w:val="24"/>
          <w:lang w:eastAsia="en-US"/>
        </w:rPr>
        <w:t xml:space="preserve"> [Am. 61.]</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8a.</w:t>
      </w:r>
      <w:r w:rsidRPr="00BC3448">
        <w:rPr>
          <w:szCs w:val="24"/>
          <w:lang w:eastAsia="en-US"/>
        </w:rPr>
        <w:tab/>
      </w:r>
      <w:r w:rsidRPr="00BC3448">
        <w:rPr>
          <w:b/>
          <w:i/>
          <w:szCs w:val="24"/>
          <w:lang w:eastAsia="en-US"/>
        </w:rPr>
        <w:t>Proizvođači na svojoj internetskoj stranici objavljuju komunikacijske kanale kao što su telefonski broj, adresa e-pošte ili poseban odjeljak na svojoj internetskoj stranici, pri čemu trebaju uzeti u obzir potrebe za pristupačnošću za osobe s invaliditetom kako bi krajnji korisnici mogli podnositi pritužbe ili dvojbe u pogledu moguće nesukladnosti proizvoda ili njihove sigurnosti.</w:t>
      </w:r>
      <w:r w:rsidR="00CD2A80" w:rsidRPr="00BC3448">
        <w:rPr>
          <w:b/>
          <w:szCs w:val="24"/>
          <w:lang w:eastAsia="en-US"/>
        </w:rPr>
        <w:t xml:space="preserve"> [Am. 62.]</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8.</w:t>
      </w:r>
      <w:r w:rsidRPr="00BC3448">
        <w:rPr>
          <w:szCs w:val="24"/>
          <w:lang w:eastAsia="en-US"/>
        </w:rPr>
        <w:br/>
        <w:t>Ovlašteni zastupnik</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w:t>
      </w:r>
      <w:r w:rsidRPr="00BC3448">
        <w:rPr>
          <w:szCs w:val="24"/>
          <w:lang w:eastAsia="en-US"/>
        </w:rPr>
        <w:tab/>
        <w:t>Proizvođači mogu pisanim ovlaštenjem imenovati ovlaštenog zastupnika.</w:t>
      </w:r>
      <w:r w:rsidRPr="00BC3448">
        <w:rPr>
          <w:b/>
          <w:i/>
          <w:szCs w:val="24"/>
          <w:lang w:eastAsia="en-US"/>
        </w:rPr>
        <w:t xml:space="preserve"> Ovlaštenje ovlaštenog zastupnika valjano je samo kada ga ovlašteni zastupnik prihvati pisanim putem.</w:t>
      </w:r>
      <w:r w:rsidR="00CD2A80" w:rsidRPr="00BC3448">
        <w:rPr>
          <w:b/>
          <w:szCs w:val="24"/>
          <w:lang w:eastAsia="en-US"/>
        </w:rPr>
        <w:t xml:space="preserve"> [Am. 63.]</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 xml:space="preserve">Ako proizvođač nema poslovni </w:t>
      </w:r>
      <w:proofErr w:type="spellStart"/>
      <w:r w:rsidRPr="00BC3448">
        <w:rPr>
          <w:szCs w:val="24"/>
          <w:lang w:eastAsia="en-US"/>
        </w:rPr>
        <w:t>nastan</w:t>
      </w:r>
      <w:proofErr w:type="spellEnd"/>
      <w:r w:rsidRPr="00BC3448">
        <w:rPr>
          <w:szCs w:val="24"/>
          <w:lang w:eastAsia="en-US"/>
        </w:rPr>
        <w:t xml:space="preserve"> u Uniji, deterdžent ili površinski aktivna tvar mogu se staviti na tržište Unije samo ako proizvođač pisanim ovlaštenjem odredi ovlaštenog zastupnika.</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2a.</w:t>
      </w:r>
      <w:r w:rsidRPr="00BC3448">
        <w:rPr>
          <w:szCs w:val="24"/>
          <w:lang w:eastAsia="en-US"/>
        </w:rPr>
        <w:tab/>
      </w:r>
      <w:r w:rsidRPr="00BC3448">
        <w:rPr>
          <w:b/>
          <w:i/>
          <w:szCs w:val="24"/>
          <w:lang w:eastAsia="en-US"/>
        </w:rPr>
        <w:t xml:space="preserve">Proizvođači s poslovnim </w:t>
      </w:r>
      <w:proofErr w:type="spellStart"/>
      <w:r w:rsidRPr="00BC3448">
        <w:rPr>
          <w:b/>
          <w:i/>
          <w:szCs w:val="24"/>
          <w:lang w:eastAsia="en-US"/>
        </w:rPr>
        <w:t>nastanom</w:t>
      </w:r>
      <w:proofErr w:type="spellEnd"/>
      <w:r w:rsidRPr="00BC3448">
        <w:rPr>
          <w:b/>
          <w:i/>
          <w:szCs w:val="24"/>
          <w:lang w:eastAsia="en-US"/>
        </w:rPr>
        <w:t xml:space="preserve"> izvan Unije obavješćuju nadležna nacionalna tijela o poštanskoj adresi i adresi e-pošte svojeg ovlaštenog zastupnika.</w:t>
      </w:r>
      <w:r w:rsidR="00CD2A80" w:rsidRPr="00BC3448">
        <w:rPr>
          <w:b/>
          <w:szCs w:val="24"/>
          <w:lang w:eastAsia="en-US"/>
        </w:rPr>
        <w:t xml:space="preserve"> [Am. 64.]</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 xml:space="preserve">Ovlašteni zastupnik obavlja zadaće navedene u ovlaštenju koje je dobio od proizvođača. Ovlašteni zastupnik </w:t>
      </w:r>
      <w:r w:rsidRPr="00BC3448">
        <w:rPr>
          <w:b/>
          <w:i/>
          <w:szCs w:val="24"/>
          <w:lang w:eastAsia="en-US"/>
        </w:rPr>
        <w:t xml:space="preserve">ima odgovarajuća sredstva za obavljanje zadaća navedenih u ovlaštenju. Ovlašteni zastupnik </w:t>
      </w:r>
      <w:r w:rsidRPr="00BC3448">
        <w:rPr>
          <w:szCs w:val="24"/>
          <w:lang w:eastAsia="en-US"/>
        </w:rPr>
        <w:t>nadležnom tijelu na zahtjev dostavlja presliku ovlaštenja.</w:t>
      </w:r>
      <w:r w:rsidR="00CD2A80" w:rsidRPr="00BC3448">
        <w:rPr>
          <w:b/>
          <w:szCs w:val="24"/>
          <w:lang w:eastAsia="en-US"/>
        </w:rPr>
        <w:t xml:space="preserve"> [Am. 65.]</w:t>
      </w:r>
    </w:p>
    <w:p w:rsidR="001169ED" w:rsidRPr="00BC3448" w:rsidRDefault="001169ED"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Tim se ovlaštenjem ovlaštenom zastupniku omogućuje da obavlja najmanje sljedeće: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provjerava je li putovnica za proizvode izrađena u skladu s člankom 7. stavkom 2. točkom (a), je li tehnička dokumentacija sastavljena i je li proizvođač proveo postupak ocjenjivanja sukladnosti u skladu s člankom 7. stavkom 2.;</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da putovnicu za proizvode i tehničku dokumentaciju ima na raspolaganju za potrebe nacionalnih tijela za nadzor tržišta u razdoblju od 10 godina nakon što je deterdžent ili površinski aktivna tvar na koju se ti dokumenti odnose stavljena na tržište;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(c)</w:t>
      </w:r>
      <w:r w:rsidRPr="00BC3448">
        <w:rPr>
          <w:szCs w:val="24"/>
          <w:lang w:eastAsia="en-US"/>
        </w:rPr>
        <w:tab/>
        <w:t>na obrazložen zahtjev nadležnog nacionalnog tijela tom tijelu</w:t>
      </w:r>
      <w:r w:rsidRPr="00BC3448">
        <w:rPr>
          <w:b/>
          <w:i/>
          <w:szCs w:val="24"/>
          <w:lang w:eastAsia="en-US"/>
        </w:rPr>
        <w:t xml:space="preserve"> u roku od 20 radnih dana od primitka zahtjeva</w:t>
      </w:r>
      <w:r w:rsidRPr="00BC3448">
        <w:rPr>
          <w:szCs w:val="24"/>
          <w:lang w:eastAsia="en-US"/>
        </w:rPr>
        <w:t xml:space="preserve"> dostavlja sve podatke i dokumentaciju potrebne za dokazivanje sukladnosti deterdženta ili površinski aktivne tvari sa zahtjevima iz ove Uredbe</w:t>
      </w:r>
      <w:r w:rsidRPr="00BC3448">
        <w:rPr>
          <w:b/>
          <w:i/>
          <w:szCs w:val="24"/>
          <w:lang w:eastAsia="en-US"/>
        </w:rPr>
        <w:t xml:space="preserve"> na jeziku koji to tijelo bez poteškoća razumije</w:t>
      </w:r>
      <w:r w:rsidRPr="00BC3448">
        <w:rPr>
          <w:szCs w:val="24"/>
          <w:lang w:eastAsia="en-US"/>
        </w:rPr>
        <w:t>;</w:t>
      </w:r>
      <w:r w:rsidR="00CD2A80" w:rsidRPr="00BC3448">
        <w:rPr>
          <w:b/>
          <w:szCs w:val="24"/>
          <w:lang w:eastAsia="en-US"/>
        </w:rPr>
        <w:t xml:space="preserve"> [Am. 66.]</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surađuje s nadležnim nacionalnim tijelima, na njihov zahtjev, u svakoj radnji poduzetoj kako bi se uklonili rizici koje predstavlja deterdžent ili površinski aktivna tvar obuhvaćena ovlaštenjem ovlaštenog zastupnika;</w:t>
      </w:r>
    </w:p>
    <w:p w:rsidR="001169ED" w:rsidRPr="00BC3448" w:rsidRDefault="001169ED"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(e)</w:t>
      </w:r>
      <w:r w:rsidRPr="00BC3448">
        <w:rPr>
          <w:szCs w:val="24"/>
          <w:lang w:eastAsia="en-US"/>
        </w:rPr>
        <w:tab/>
        <w:t>ukida ovlaštenje ako proizvođač ne ispunjava obveze proizvođača u skladu s ovom Uredbom</w:t>
      </w:r>
      <w:r w:rsidRPr="00BC3448">
        <w:rPr>
          <w:b/>
          <w:i/>
          <w:szCs w:val="24"/>
          <w:lang w:eastAsia="en-US"/>
        </w:rPr>
        <w:t xml:space="preserve"> i u roku od 20 radnih dana o ukidanju ovlaštenja obavješćuje tijelo za nadzor tržišta države članice svojeg </w:t>
      </w:r>
      <w:proofErr w:type="spellStart"/>
      <w:r w:rsidRPr="00BC3448">
        <w:rPr>
          <w:b/>
          <w:i/>
          <w:szCs w:val="24"/>
          <w:lang w:eastAsia="en-US"/>
        </w:rPr>
        <w:t>nastana</w:t>
      </w:r>
      <w:proofErr w:type="spellEnd"/>
      <w:r w:rsidR="00CD2A80" w:rsidRPr="00BC3448">
        <w:rPr>
          <w:szCs w:val="24"/>
          <w:lang w:eastAsia="en-US"/>
        </w:rPr>
        <w:t>;</w:t>
      </w:r>
      <w:r w:rsidR="00CD2A80" w:rsidRPr="00BC3448">
        <w:rPr>
          <w:b/>
          <w:szCs w:val="24"/>
          <w:lang w:eastAsia="en-US"/>
        </w:rPr>
        <w:t xml:space="preserve"> [Am. 67.]</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ea</w:t>
      </w:r>
      <w:proofErr w:type="spellEnd"/>
      <w:r w:rsidRPr="00BC3448">
        <w:rPr>
          <w:b/>
          <w:i/>
          <w:szCs w:val="24"/>
          <w:lang w:eastAsia="en-US"/>
        </w:rPr>
        <w:t>)</w:t>
      </w:r>
      <w:r w:rsidRPr="00BC3448">
        <w:rPr>
          <w:szCs w:val="24"/>
          <w:lang w:eastAsia="en-US"/>
        </w:rPr>
        <w:tab/>
      </w:r>
      <w:r w:rsidRPr="00BC3448">
        <w:rPr>
          <w:b/>
          <w:i/>
          <w:szCs w:val="24"/>
          <w:lang w:eastAsia="en-US"/>
        </w:rPr>
        <w:t>ako ovlašteni zastupnik smatra ili ima razloga vjerovati da deterdžent ili površinski aktivna tvar predstavljaju prijetnju zdravlju ili okolišu, o tome obavješćuje proizvođača</w:t>
      </w:r>
      <w:r w:rsidR="00CD2A80" w:rsidRPr="00BC3448">
        <w:rPr>
          <w:b/>
          <w:i/>
          <w:szCs w:val="24"/>
          <w:lang w:eastAsia="en-US"/>
        </w:rPr>
        <w:t>.</w:t>
      </w:r>
      <w:r w:rsidR="00CD2A80" w:rsidRPr="00BC3448">
        <w:rPr>
          <w:b/>
          <w:szCs w:val="24"/>
          <w:lang w:eastAsia="en-US"/>
        </w:rPr>
        <w:t xml:space="preserve"> [Am. 68.]</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3a.</w:t>
      </w:r>
      <w:r w:rsidRPr="00BC3448">
        <w:rPr>
          <w:szCs w:val="24"/>
          <w:lang w:eastAsia="en-US"/>
        </w:rPr>
        <w:tab/>
      </w:r>
      <w:r w:rsidRPr="00BC3448">
        <w:rPr>
          <w:b/>
          <w:i/>
          <w:szCs w:val="24"/>
          <w:lang w:eastAsia="en-US"/>
        </w:rPr>
        <w:t>Ako se ovlašteni zastupnik promijeni, detaljni postupci povezani s tom promjenom utvrđuju se u ovlaštenju u skladu sa stavcima 1., 2. i 3.</w:t>
      </w:r>
      <w:r w:rsidR="00CD2A80" w:rsidRPr="00BC3448">
        <w:rPr>
          <w:b/>
          <w:szCs w:val="24"/>
          <w:lang w:eastAsia="en-US"/>
        </w:rPr>
        <w:t xml:space="preserve"> [Am. 69.]</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Obveze iz članka 7. stavka 1. i obveza sastavljanja tehničke dokumentacije navedena u članku 7. stavku 2. nisu dio zadaća ovlaštenog zastupnika.</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9.</w:t>
      </w:r>
      <w:r w:rsidRPr="00BC3448">
        <w:rPr>
          <w:szCs w:val="24"/>
          <w:lang w:eastAsia="en-US"/>
        </w:rPr>
        <w:br/>
        <w:t>Obveze uvoznika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Uvoznici stavljaju na tržište samo sukladne deterdžente ili površinski aktivne tvari.</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Prije stavljanja deterdženta ili površinski aktivne tvari na tržište uvoznici osiguravaju sljedeće: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da je proizvođač proveo postupak ocjenjivanja sukladnosti i sastavio tehničku dokumentaciju iz članka 7. stavka 2.;</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(b)</w:t>
      </w:r>
      <w:r w:rsidRPr="00BC3448">
        <w:rPr>
          <w:szCs w:val="24"/>
          <w:lang w:eastAsia="en-US"/>
        </w:rPr>
        <w:tab/>
      </w:r>
      <w:r w:rsidRPr="00BC3448">
        <w:rPr>
          <w:strike/>
          <w:szCs w:val="24"/>
          <w:lang w:eastAsia="en-US"/>
        </w:rPr>
        <w:t>da deterdžent nosi oznaku CE iz članka 14</w:t>
      </w:r>
      <w:r w:rsidRPr="00BC3448">
        <w:rPr>
          <w:szCs w:val="24"/>
          <w:lang w:eastAsia="en-US"/>
        </w:rPr>
        <w:t>.;</w:t>
      </w:r>
      <w:r w:rsidR="00CD2A80" w:rsidRPr="00BC3448">
        <w:rPr>
          <w:b/>
          <w:szCs w:val="24"/>
          <w:lang w:eastAsia="en-US"/>
        </w:rPr>
        <w:t xml:space="preserve"> [Am. 70.]</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da je proizvođač izradio putovnicu za proizvode iz članka 7. stavka 2.;</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da su relevantne informacije u putovnici za proizvode uključene u registar iz članka 20. stavka 1.</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Ako smatra ili ima razloga vjerovati da deterdžent ili površinski aktivna tvar nije sukladna s ovom Uredbom, uvoznik ne stavlja taj deterdžent ili tu površinski aktivnu tvar na tržište sve dok se ne provede njezino usklađivanje. Nadalje, ako deterdžent ili površinski aktivna tvar predstavljaju rizik za zdravlje ili okoliš, uvoznik o tome obavješćuje proizvođača i tijela za nadzor tržišta.</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4.</w:t>
      </w:r>
      <w:r w:rsidRPr="00BC3448">
        <w:rPr>
          <w:szCs w:val="24"/>
          <w:lang w:eastAsia="en-US"/>
        </w:rPr>
        <w:tab/>
        <w:t>Uvoznici na oznaci deterdženta ili površinski aktivne tvari navode svoje ime, registrirano trgovačko ime ili registriranu trgovačku oznaku</w:t>
      </w:r>
      <w:r w:rsidRPr="00BC3448">
        <w:rPr>
          <w:strike/>
          <w:szCs w:val="24"/>
          <w:lang w:eastAsia="en-US"/>
        </w:rPr>
        <w:t xml:space="preserve"> te</w:t>
      </w:r>
      <w:r w:rsidRPr="00BC3448">
        <w:rPr>
          <w:b/>
          <w:i/>
          <w:szCs w:val="24"/>
          <w:lang w:eastAsia="en-US"/>
        </w:rPr>
        <w:t>,</w:t>
      </w:r>
      <w:r w:rsidRPr="00BC3448">
        <w:rPr>
          <w:szCs w:val="24"/>
          <w:lang w:eastAsia="en-US"/>
        </w:rPr>
        <w:t xml:space="preserve"> poštansku adresu</w:t>
      </w:r>
      <w:r w:rsidRPr="00BC3448">
        <w:rPr>
          <w:strike/>
          <w:szCs w:val="24"/>
          <w:lang w:eastAsia="en-US"/>
        </w:rPr>
        <w:t xml:space="preserve"> i</w:t>
      </w:r>
      <w:r w:rsidRPr="00BC3448">
        <w:rPr>
          <w:b/>
          <w:i/>
          <w:szCs w:val="24"/>
          <w:lang w:eastAsia="en-US"/>
        </w:rPr>
        <w:t>,</w:t>
      </w:r>
      <w:r w:rsidRPr="00BC3448">
        <w:rPr>
          <w:szCs w:val="24"/>
          <w:lang w:eastAsia="en-US"/>
        </w:rPr>
        <w:t xml:space="preserve"> adresu elektroničke pošte </w:t>
      </w:r>
      <w:r w:rsidRPr="00BC3448">
        <w:rPr>
          <w:b/>
          <w:i/>
          <w:szCs w:val="24"/>
          <w:lang w:eastAsia="en-US"/>
        </w:rPr>
        <w:t xml:space="preserve">i broj telefona na </w:t>
      </w:r>
      <w:proofErr w:type="spellStart"/>
      <w:r w:rsidRPr="00BC3448">
        <w:rPr>
          <w:b/>
          <w:i/>
          <w:szCs w:val="24"/>
          <w:lang w:eastAsia="en-US"/>
        </w:rPr>
        <w:t>kojima</w:t>
      </w:r>
      <w:r w:rsidRPr="00BC3448">
        <w:rPr>
          <w:strike/>
          <w:szCs w:val="24"/>
          <w:lang w:eastAsia="en-US"/>
        </w:rPr>
        <w:t>na</w:t>
      </w:r>
      <w:proofErr w:type="spellEnd"/>
      <w:r w:rsidRPr="00BC3448">
        <w:rPr>
          <w:strike/>
          <w:szCs w:val="24"/>
          <w:lang w:eastAsia="en-US"/>
        </w:rPr>
        <w:t xml:space="preserve"> kojoj</w:t>
      </w:r>
      <w:r w:rsidRPr="00BC3448">
        <w:rPr>
          <w:szCs w:val="24"/>
          <w:lang w:eastAsia="en-US"/>
        </w:rPr>
        <w:t xml:space="preserve"> su dostupni. Podaci za kontakt moraju biti na jeziku koji </w:t>
      </w:r>
      <w:r w:rsidRPr="00BC3448">
        <w:rPr>
          <w:strike/>
          <w:szCs w:val="24"/>
          <w:lang w:eastAsia="en-US"/>
        </w:rPr>
        <w:t xml:space="preserve">bez poteškoća razumiju </w:t>
      </w:r>
      <w:r w:rsidRPr="00BC3448">
        <w:rPr>
          <w:szCs w:val="24"/>
          <w:lang w:eastAsia="en-US"/>
        </w:rPr>
        <w:t>krajnji korisnici i tijela za nadzor tržišta</w:t>
      </w:r>
      <w:r w:rsidRPr="00BC3448">
        <w:rPr>
          <w:b/>
          <w:i/>
          <w:szCs w:val="24"/>
          <w:lang w:eastAsia="en-US"/>
        </w:rPr>
        <w:t xml:space="preserve"> bez poteškoća razumiju te moraju biti jasni, razumljivi i čitljivi</w:t>
      </w:r>
      <w:r w:rsidRPr="00BC3448">
        <w:rPr>
          <w:szCs w:val="24"/>
          <w:lang w:eastAsia="en-US"/>
        </w:rPr>
        <w:t>.</w:t>
      </w:r>
      <w:r w:rsidR="00CD2A80" w:rsidRPr="00BC3448">
        <w:rPr>
          <w:b/>
          <w:szCs w:val="24"/>
          <w:lang w:eastAsia="en-US"/>
        </w:rPr>
        <w:t xml:space="preserve"> [Am. 71.]</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Uvoznici osiguravaju da su deterdženti i površinski aktivne tvari koje stavljaju na tržište u skladu sa zahtjevima za označivanje utvrđenima u člancima 15., 16. i 17.</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Uvoznici osiguravaju da, dok je deterdžent ili površinski aktivna tvar pod njihovom odgovornošću, uvjeti njihova skladištenja ili prijevoza ne ugrožavaju njihovu sukladnost s ovom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Ako to smatraju prikladnim s obzirom na djelovanje deterdženata ili površinski aktivnih tvari ili rizike koje oni predstavljaju, uvoznici ispituju uzorke takvih deterdženata ili površinski aktivnih tvari, istražuju pritužbe i, prema potrebi, vode knjigu pritužbi i registar nesukladnih deterdženata ili površinski aktivnih tvari i opoziva takvih deterdženata ili površinski aktivnih tvari te o svakom takvom praćenju obavješćuju distributere.</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8.</w:t>
      </w:r>
      <w:r w:rsidRPr="00BC3448">
        <w:rPr>
          <w:szCs w:val="24"/>
          <w:lang w:eastAsia="en-US"/>
        </w:rPr>
        <w:tab/>
        <w:t>Uvoznici koji smatraju ili imaju razloga vjerovati da deterdžent ili površinski aktivna tvar koje su stavili na tržište nisu u skladu s ovom Uredbom</w:t>
      </w:r>
      <w:r w:rsidRPr="00BC3448">
        <w:rPr>
          <w:b/>
          <w:i/>
          <w:szCs w:val="24"/>
          <w:lang w:eastAsia="en-US"/>
        </w:rPr>
        <w:t xml:space="preserve"> odmah obavješćuju proizvođača i nadležna tijela te surađuju s njima i</w:t>
      </w:r>
      <w:r w:rsidRPr="00BC3448">
        <w:rPr>
          <w:szCs w:val="24"/>
          <w:lang w:eastAsia="en-US"/>
        </w:rPr>
        <w:t xml:space="preserve"> odmah poduzimaju korektivne mjere potrebne kako bi ih s njom uskladili ili, prema potrebi, povukli s tržišta ili opozvali. Osim toga, ako uvoznici smatraju ili imaju razloga vjerovati da deterdžent ili površinski aktivna tvar koje su stavili na tržište predstavljaju rizik za zdravlje ili </w:t>
      </w:r>
      <w:r w:rsidRPr="00BC3448">
        <w:rPr>
          <w:b/>
          <w:i/>
          <w:szCs w:val="24"/>
          <w:lang w:eastAsia="en-US"/>
        </w:rPr>
        <w:t xml:space="preserve">za </w:t>
      </w:r>
      <w:r w:rsidRPr="00BC3448">
        <w:rPr>
          <w:szCs w:val="24"/>
          <w:lang w:eastAsia="en-US"/>
        </w:rPr>
        <w:t>okoliš, o tome odmah obavješćuju</w:t>
      </w:r>
      <w:r w:rsidRPr="00BC3448">
        <w:rPr>
          <w:b/>
          <w:i/>
          <w:szCs w:val="24"/>
          <w:lang w:eastAsia="en-US"/>
        </w:rPr>
        <w:t xml:space="preserve"> proizvođača i</w:t>
      </w:r>
      <w:r w:rsidRPr="00BC3448">
        <w:rPr>
          <w:szCs w:val="24"/>
          <w:lang w:eastAsia="en-US"/>
        </w:rPr>
        <w:t xml:space="preserve"> nadležna nacionalna tijela država članica u kojima su ih stavili na raspolaganje na tržištu te im dostavljaju detaljne podatke, posebno o svim nesukladnostima i poduzetim korektivnim mjerama.</w:t>
      </w:r>
      <w:r w:rsidR="00CD2A80" w:rsidRPr="00BC3448">
        <w:rPr>
          <w:b/>
          <w:szCs w:val="24"/>
          <w:lang w:eastAsia="en-US"/>
        </w:rPr>
        <w:t xml:space="preserve"> [Am. 72.]</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8a.</w:t>
      </w:r>
      <w:r w:rsidRPr="00BC3448">
        <w:rPr>
          <w:szCs w:val="24"/>
          <w:lang w:eastAsia="en-US"/>
        </w:rPr>
        <w:tab/>
      </w:r>
      <w:r w:rsidRPr="00BC3448">
        <w:rPr>
          <w:b/>
          <w:i/>
          <w:szCs w:val="24"/>
          <w:lang w:eastAsia="en-US"/>
        </w:rPr>
        <w:t>Uvoznici, na zahtjev relevantnih tijela za nadzor tržišta, pravodobno dijele relevantne informacije s relevantnim gospodarskim subjektima, uključujući distributere i ovlaštene zastupnike, u predmetnom opskrbnom lancu o svim poteškoćama u pogledu sukladnosti ili rizicima za zdravlje ili okoliš koje su utvrdili u vezi sa svojim proizvodom i o svakoj posljedičnoj korektivnoj mjeri, opozivu ili povlačenju.</w:t>
      </w:r>
      <w:r w:rsidR="00CD2A80" w:rsidRPr="00BC3448">
        <w:rPr>
          <w:b/>
          <w:szCs w:val="24"/>
          <w:lang w:eastAsia="en-US"/>
        </w:rPr>
        <w:t xml:space="preserve"> [Am. 73.]</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Uvoznici čuvaju upućivanje na jedinstvenu identifikacijsku oznaku proizvoda na raspolaganju tijelima za nadzor tržišta u razdoblju od 10 godina nakon što je deterdžent ili površinski aktivna tvar stavljena na tržište i osiguravaju da se tehnička dokumentacija može staviti na raspolaganje tim tijelima na njihov zahtjev.</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10.</w:t>
      </w:r>
      <w:r w:rsidRPr="00BC3448">
        <w:rPr>
          <w:szCs w:val="24"/>
          <w:lang w:eastAsia="en-US"/>
        </w:rPr>
        <w:tab/>
        <w:t xml:space="preserve">Na obrazložen zahtjev nadležnog nacionalnog tijela uvoznici tom tijelu na jeziku koje ono bez poteškoća razumije </w:t>
      </w:r>
      <w:r w:rsidRPr="00BC3448">
        <w:rPr>
          <w:b/>
          <w:i/>
          <w:szCs w:val="24"/>
          <w:lang w:eastAsia="en-US"/>
        </w:rPr>
        <w:t xml:space="preserve">u elektroničkom, a na zahtjev i papirnatom obliku </w:t>
      </w:r>
      <w:r w:rsidRPr="00BC3448">
        <w:rPr>
          <w:szCs w:val="24"/>
          <w:lang w:eastAsia="en-US"/>
        </w:rPr>
        <w:t>dostavljaju sve informacije i dokumentaciju</w:t>
      </w:r>
      <w:r w:rsidRPr="00BC3448">
        <w:rPr>
          <w:strike/>
          <w:szCs w:val="24"/>
          <w:lang w:eastAsia="en-US"/>
        </w:rPr>
        <w:t>, u papirnatom ili elektroničkom obliku,</w:t>
      </w:r>
      <w:r w:rsidRPr="00BC3448">
        <w:rPr>
          <w:szCs w:val="24"/>
          <w:lang w:eastAsia="en-US"/>
        </w:rPr>
        <w:t xml:space="preserve"> potrebne za dokazivanje sukladnosti deterdženta ili površinski aktivne tvari s ovom Uredbom</w:t>
      </w:r>
      <w:r w:rsidRPr="00BC3448">
        <w:rPr>
          <w:b/>
          <w:i/>
          <w:szCs w:val="24"/>
          <w:lang w:eastAsia="en-US"/>
        </w:rPr>
        <w:t>. Relevantne informacije i dokumentacija dostavljaju se u roku od 20 radnih dana od primitka zahtjeva</w:t>
      </w:r>
      <w:r w:rsidRPr="00BC3448">
        <w:rPr>
          <w:szCs w:val="24"/>
          <w:lang w:eastAsia="en-US"/>
        </w:rPr>
        <w:t>. Na zahtjev nadležnog nacionalnog tijela uvoznici surađuju s njim u svakoj radnji poduzetoj kako bi se uklonili rizici koje predstavljaju deterdžent ili površinski aktivna tvar koje su stavili na tržište.</w:t>
      </w:r>
      <w:r w:rsidR="00CD2A80" w:rsidRPr="00BC3448">
        <w:rPr>
          <w:b/>
          <w:szCs w:val="24"/>
          <w:lang w:eastAsia="en-US"/>
        </w:rPr>
        <w:t xml:space="preserve"> [Am. 74.]</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10a.</w:t>
      </w:r>
      <w:r w:rsidRPr="00BC3448">
        <w:rPr>
          <w:szCs w:val="24"/>
          <w:lang w:eastAsia="en-US"/>
        </w:rPr>
        <w:tab/>
      </w:r>
      <w:r w:rsidRPr="00BC3448">
        <w:rPr>
          <w:b/>
          <w:i/>
          <w:szCs w:val="24"/>
          <w:lang w:eastAsia="en-US"/>
        </w:rPr>
        <w:t>Uvoznici provjeravaju jesu li komunikacijski kanali iz članka 7. stavka 8.a javno dostupni potrošačima, čime se potrošačima omogućuje podnošenje pritužbi ili prijavljivanje dvojbi u pogledu moguće nesukladnosti proizvoda. Ako takvi kanali nisu dostupni, uvoznici ih osiguravaju, uzimajući u obzir potrebe osoba s invaliditetom u pogledu pristupačnosti.</w:t>
      </w:r>
      <w:r w:rsidR="00CD2A80" w:rsidRPr="00BC3448">
        <w:rPr>
          <w:b/>
          <w:szCs w:val="24"/>
          <w:lang w:eastAsia="en-US"/>
        </w:rPr>
        <w:t xml:space="preserve"> [Am. 75.]</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10.</w:t>
      </w:r>
      <w:r w:rsidRPr="00BC3448">
        <w:rPr>
          <w:szCs w:val="24"/>
          <w:lang w:eastAsia="en-US"/>
        </w:rPr>
        <w:br/>
        <w:t>Obveze distributera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Pri stavljanju deterdženta ili površinski aktivne tvari na raspolaganje na tržištu distributeri djeluju s dužnom pažnjom u odnosu na zahtjeve ove Uredbe.</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Prije stavljanja deterdženta ili površinski aktivne tvari na raspolaganje na tržištu distributeri provjeravaju jesu li ispunjeni sljedeći uvjeti: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uz deterdžent ili površinski aktivnu tvar priloženi su potrebni dokumenti i oznaka koja ispunjava zahtjeve utvrđene u člancima 15., 16. i 17.;</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(b)</w:t>
      </w:r>
      <w:r w:rsidRPr="00BC3448">
        <w:rPr>
          <w:szCs w:val="24"/>
          <w:lang w:eastAsia="en-US"/>
        </w:rPr>
        <w:tab/>
      </w:r>
      <w:r w:rsidRPr="00BC3448">
        <w:rPr>
          <w:strike/>
          <w:szCs w:val="24"/>
          <w:lang w:eastAsia="en-US"/>
        </w:rPr>
        <w:t>deterdžent nosi oznaku CE iz članka 14.;</w:t>
      </w:r>
      <w:r w:rsidR="00CD2A80" w:rsidRPr="00BC3448">
        <w:rPr>
          <w:b/>
          <w:strike/>
          <w:szCs w:val="24"/>
          <w:lang w:eastAsia="en-US"/>
        </w:rPr>
        <w:t xml:space="preserve"> </w:t>
      </w:r>
      <w:r w:rsidR="00CD2A80" w:rsidRPr="00BC3448">
        <w:rPr>
          <w:b/>
          <w:szCs w:val="24"/>
          <w:lang w:eastAsia="en-US"/>
        </w:rPr>
        <w:t>[Am. 76.]</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proizvođač je ispunio zahtjeve iz članka 7. stavaka 2. i 3. ili je uvoznik ispunio zahtjeve iz članka 9. stavka 2, ovisno o tome što je primjenjivo.</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Ako smatra ili ima razloga vjerovati da deterdžent ili površinski aktivna tvar nije sukladna s ovom Uredbom, distributer ne stavlja taj deterdžent ili tu površinski aktivnu tvar na tržište sve dok se ne provede njezino usklađivanje. Nadalje, ako deterdžent ili površinski aktivna tvar predstavlja rizik za zdravlje ili okoliš, distributer o tome obavješćuje proizvođača te, ako je primjenjivo, ovlaštenog zastupnika ili uvoznika kao i tijela za nadzor tržišta.</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Distributeri osiguravaju da, dok je deterdžent ili površinski aktivna tvar pod njihovom odgovornošću, uvjeti njihova skladištenja ili prijevoza ne ugrožavaju njihovu sukladnost s ovom Uredbom.</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5.</w:t>
      </w:r>
      <w:r w:rsidRPr="00BC3448">
        <w:rPr>
          <w:szCs w:val="24"/>
          <w:lang w:eastAsia="en-US"/>
        </w:rPr>
        <w:tab/>
        <w:t>Distributeri koji smatraju ili imaju razloga vjerovati da deterdžent ili površinski aktivna tvar koje su stavili na tržište nisu u skladu s ovom Uredbom</w:t>
      </w:r>
      <w:r w:rsidRPr="00BC3448">
        <w:rPr>
          <w:b/>
          <w:i/>
          <w:szCs w:val="24"/>
          <w:lang w:eastAsia="en-US"/>
        </w:rPr>
        <w:t xml:space="preserve"> odmah obavješćuju proizvođača ili nadležna tijela, ovisno o slučaju, te surađuju s njima i</w:t>
      </w:r>
      <w:r w:rsidRPr="00BC3448">
        <w:rPr>
          <w:szCs w:val="24"/>
          <w:lang w:eastAsia="en-US"/>
        </w:rPr>
        <w:t xml:space="preserve"> osiguravaju poduzimanje korektivnih mjera potrebnih kako bi ih s njom uskladili ili, prema potrebi, povukli s tržišta ili opozvali. Osim toga, ako distributeri smatraju ili imaju razloga vjerovati da deterdžent ili površinski aktivna tvar koje su stavili na tržište predstavljaju rizik za zdravlje ili okoliš, o tome odmah obavješćuju nadležna nacionalna tijela država članica u kojima su ih stavili na raspolaganje na tržištu te im dostavljaju detaljne podatke, posebno o svim nesukladnostima i poduzetim korektivnim mjerama.</w:t>
      </w:r>
      <w:r w:rsidR="00CD2A80" w:rsidRPr="00BC3448">
        <w:rPr>
          <w:b/>
          <w:szCs w:val="24"/>
          <w:lang w:eastAsia="en-US"/>
        </w:rPr>
        <w:t xml:space="preserve"> [Am. 77.]</w:t>
      </w:r>
    </w:p>
    <w:p w:rsidR="001169ED" w:rsidRPr="00BC3448" w:rsidRDefault="001169ED"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6.</w:t>
      </w:r>
      <w:r w:rsidRPr="00BC3448">
        <w:rPr>
          <w:szCs w:val="24"/>
          <w:lang w:eastAsia="en-US"/>
        </w:rPr>
        <w:tab/>
        <w:t xml:space="preserve">Na obrazložen zahtjev nadležnog nacionalnog tijela distributeri tom tijelu dostavljaju sve informacije i dokumentaciju koji su potrebni za dokazivanje sukladnosti deterdženta ili površinski aktivne tvari s ovom Uredbom u </w:t>
      </w:r>
      <w:r w:rsidRPr="00BC3448">
        <w:rPr>
          <w:strike/>
          <w:szCs w:val="24"/>
          <w:lang w:eastAsia="en-US"/>
        </w:rPr>
        <w:t xml:space="preserve">papirnatom ili </w:t>
      </w:r>
      <w:r w:rsidRPr="00BC3448">
        <w:rPr>
          <w:szCs w:val="24"/>
          <w:lang w:eastAsia="en-US"/>
        </w:rPr>
        <w:t>elektroničkom</w:t>
      </w:r>
      <w:r w:rsidRPr="00BC3448">
        <w:rPr>
          <w:b/>
          <w:i/>
          <w:szCs w:val="24"/>
          <w:lang w:eastAsia="en-US"/>
        </w:rPr>
        <w:t>, a na zahtjev i papirnatom</w:t>
      </w:r>
      <w:r w:rsidRPr="00BC3448">
        <w:rPr>
          <w:szCs w:val="24"/>
          <w:lang w:eastAsia="en-US"/>
        </w:rPr>
        <w:t xml:space="preserve"> obliku</w:t>
      </w:r>
      <w:r w:rsidRPr="00BC3448">
        <w:rPr>
          <w:b/>
          <w:i/>
          <w:szCs w:val="24"/>
          <w:lang w:eastAsia="en-US"/>
        </w:rPr>
        <w:t>. Relevantne informacije i dokumentacija dostavljaju se u roku od 20 radnih dana od primitka zahtjeva</w:t>
      </w:r>
      <w:r w:rsidRPr="00BC3448">
        <w:rPr>
          <w:szCs w:val="24"/>
          <w:lang w:eastAsia="en-US"/>
        </w:rPr>
        <w:t>. Na zahtjev nadležnog nacionalnog tijela distributeri surađuju s njim u svakoj radnji poduzetoj kako bi se uklonili rizici koje predstavljaju deterdžent ili površinski aktivna tvar koje su stavili na raspolaganje na tržištu.</w:t>
      </w:r>
      <w:r w:rsidR="00CD2A80" w:rsidRPr="00BC3448">
        <w:rPr>
          <w:b/>
          <w:szCs w:val="24"/>
          <w:lang w:eastAsia="en-US"/>
        </w:rPr>
        <w:t xml:space="preserve"> [Am. 78.]</w:t>
      </w:r>
    </w:p>
    <w:p w:rsidR="001169ED" w:rsidRPr="00BC3448" w:rsidRDefault="001169ED" w:rsidP="001169ED">
      <w:pPr>
        <w:spacing w:before="120" w:after="120" w:line="360" w:lineRule="auto"/>
        <w:jc w:val="center"/>
        <w:rPr>
          <w:szCs w:val="24"/>
          <w:lang w:eastAsia="en-US"/>
        </w:rPr>
      </w:pPr>
      <w:r w:rsidRPr="00BC3448">
        <w:rPr>
          <w:szCs w:val="24"/>
          <w:lang w:eastAsia="en-US"/>
        </w:rPr>
        <w:t>Članak 11.</w:t>
      </w:r>
      <w:r w:rsidRPr="00BC3448">
        <w:rPr>
          <w:szCs w:val="24"/>
          <w:lang w:eastAsia="en-US"/>
        </w:rPr>
        <w:br/>
        <w:t>Slučajevi u kojima se obveze proizvođača primjenjuju na uvoznike i distributere</w:t>
      </w:r>
    </w:p>
    <w:p w:rsidR="001169ED" w:rsidRPr="00BC3448" w:rsidRDefault="001169ED" w:rsidP="001169ED">
      <w:pPr>
        <w:spacing w:before="120" w:after="120" w:line="360" w:lineRule="auto"/>
        <w:rPr>
          <w:szCs w:val="24"/>
          <w:lang w:eastAsia="en-US"/>
        </w:rPr>
      </w:pPr>
      <w:r w:rsidRPr="00BC3448">
        <w:rPr>
          <w:szCs w:val="24"/>
          <w:lang w:eastAsia="en-US"/>
        </w:rPr>
        <w:t>Uvoznik ili distributer smatra se proizvođačem za potrebe ove Uredbe i podliježe obvezama proizvođača u skladu s člankom 7. ako taj uvoznik ili distributer stavlja deterdžent ili površinski aktivnu tvar na tržište pod svojim imenom ili trgovačkom oznakom ili pak preinačuje deterdžent ili površinski aktivnu tvar koji su već stavljeni na tržište tako da bi se time moglo utjecati na sukladnost s ovom Uredbom.</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12.</w:t>
      </w:r>
      <w:r w:rsidRPr="00BC3448">
        <w:rPr>
          <w:szCs w:val="24"/>
          <w:lang w:eastAsia="en-US"/>
        </w:rPr>
        <w:br/>
        <w:t>Pakiranje i prepakiranje koje provode uvoznici i distributeri</w:t>
      </w:r>
    </w:p>
    <w:p w:rsidR="001169ED" w:rsidRPr="00BC3448" w:rsidRDefault="001169ED" w:rsidP="001169ED">
      <w:pPr>
        <w:spacing w:before="120" w:after="120" w:line="360" w:lineRule="auto"/>
        <w:rPr>
          <w:szCs w:val="24"/>
          <w:lang w:eastAsia="en-US"/>
        </w:rPr>
      </w:pPr>
      <w:r w:rsidRPr="00BC3448">
        <w:rPr>
          <w:szCs w:val="24"/>
          <w:lang w:eastAsia="en-US"/>
        </w:rPr>
        <w:t>Ako uvoznik ili distributer pakira ili prepakira deterdžent ili površinski aktivnu tvar i ne podliježe obvezama proizvođača u skladu s člankom 11., taj uvoznik ili distributer, ovisno o slučaju, ima sljedeće obveze:</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(a)</w:t>
      </w:r>
      <w:r w:rsidRPr="00BC3448">
        <w:rPr>
          <w:szCs w:val="24"/>
          <w:lang w:eastAsia="en-US"/>
        </w:rPr>
        <w:tab/>
        <w:t>osigurava da ambalaža nosi njegovo ime, registrirano trgovačko ime ili registriranu trgovačku oznaku</w:t>
      </w:r>
      <w:r w:rsidRPr="00BC3448">
        <w:rPr>
          <w:strike/>
          <w:szCs w:val="24"/>
          <w:lang w:eastAsia="en-US"/>
        </w:rPr>
        <w:t xml:space="preserve"> i</w:t>
      </w:r>
      <w:r w:rsidRPr="00BC3448">
        <w:rPr>
          <w:b/>
          <w:i/>
          <w:szCs w:val="24"/>
          <w:lang w:eastAsia="en-US"/>
        </w:rPr>
        <w:t>,</w:t>
      </w:r>
      <w:r w:rsidRPr="00BC3448">
        <w:rPr>
          <w:szCs w:val="24"/>
          <w:lang w:eastAsia="en-US"/>
        </w:rPr>
        <w:t xml:space="preserve"> poštansku adresu </w:t>
      </w:r>
      <w:r w:rsidRPr="00BC3448">
        <w:rPr>
          <w:b/>
          <w:i/>
          <w:szCs w:val="24"/>
          <w:lang w:eastAsia="en-US"/>
        </w:rPr>
        <w:t xml:space="preserve">te adresu elektroničke pošte i broj telefona na </w:t>
      </w:r>
      <w:r w:rsidRPr="00BC3448">
        <w:rPr>
          <w:szCs w:val="24"/>
          <w:lang w:eastAsia="en-US"/>
        </w:rPr>
        <w:t>kojima</w:t>
      </w:r>
      <w:r w:rsidRPr="00BC3448">
        <w:rPr>
          <w:b/>
          <w:i/>
          <w:szCs w:val="24"/>
          <w:lang w:eastAsia="en-US"/>
        </w:rPr>
        <w:t xml:space="preserve"> su dostupni, čemu</w:t>
      </w:r>
      <w:r w:rsidRPr="00BC3448">
        <w:rPr>
          <w:szCs w:val="24"/>
          <w:lang w:eastAsia="en-US"/>
        </w:rPr>
        <w:t xml:space="preserve"> prethode riječi „pakirao” ili „prepakirao”;</w:t>
      </w:r>
      <w:r w:rsidR="00CD2A80" w:rsidRPr="00BC3448">
        <w:rPr>
          <w:b/>
          <w:szCs w:val="24"/>
          <w:lang w:eastAsia="en-US"/>
        </w:rPr>
        <w:t xml:space="preserve"> [Am. 79.]</w:t>
      </w:r>
    </w:p>
    <w:p w:rsidR="001169ED" w:rsidRPr="00BC3448" w:rsidRDefault="001169ED" w:rsidP="001169ED">
      <w:pPr>
        <w:spacing w:before="120" w:after="120" w:line="360" w:lineRule="auto"/>
        <w:ind w:left="850" w:hanging="850"/>
        <w:rPr>
          <w:szCs w:val="24"/>
          <w:lang w:eastAsia="en-US"/>
        </w:rPr>
      </w:pPr>
      <w:r w:rsidRPr="00BC3448">
        <w:rPr>
          <w:szCs w:val="24"/>
          <w:lang w:eastAsia="en-US"/>
        </w:rPr>
        <w:t>(b)</w:t>
      </w:r>
      <w:r w:rsidRPr="00BC3448">
        <w:rPr>
          <w:szCs w:val="24"/>
          <w:lang w:eastAsia="en-US"/>
        </w:rPr>
        <w:tab/>
        <w:t>osigurava sukladnost s člancima od 14. do 17.;</w:t>
      </w:r>
    </w:p>
    <w:p w:rsidR="001169ED" w:rsidRPr="00BC3448" w:rsidRDefault="001169ED" w:rsidP="001169ED">
      <w:pPr>
        <w:spacing w:before="120" w:after="120" w:line="360" w:lineRule="auto"/>
        <w:ind w:left="850" w:hanging="850"/>
        <w:rPr>
          <w:szCs w:val="24"/>
          <w:lang w:eastAsia="en-US"/>
        </w:rPr>
      </w:pPr>
      <w:r w:rsidRPr="00BC3448">
        <w:rPr>
          <w:szCs w:val="24"/>
          <w:lang w:eastAsia="en-US"/>
        </w:rPr>
        <w:t>(c)</w:t>
      </w:r>
      <w:r w:rsidRPr="00BC3448">
        <w:rPr>
          <w:szCs w:val="24"/>
          <w:lang w:eastAsia="en-US"/>
        </w:rPr>
        <w:tab/>
        <w:t>da upućivanje na jedinstvenu identifikacijsku oznaku proizvoda ima na raspolaganju za potrebe tijela za nadzor tržišta u razdoblju od 10 godina nakon što je deterdžent ili površinski aktivnu tvar stavio na tržište.</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13.</w:t>
      </w:r>
      <w:r w:rsidRPr="00BC3448">
        <w:rPr>
          <w:szCs w:val="24"/>
          <w:lang w:eastAsia="en-US"/>
        </w:rPr>
        <w:br/>
        <w:t>Identifikacija gospodarskih subjekata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Gospodarski subjekti, na zahtjev, daju tijelima za nadzor tržišta podatke u kojima navode: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svaki gospodarski subjekt koji im je isporučio deterdžent ili površinski aktivnu tvar;</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svaki gospodarski subjekt kojem su sami isporučili deterdžent ili površinski aktivnu tvar.</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Gospodarski subjekti moraju biti u mogućnosti pružiti podatke iz stavka 1. 10 godina nakon što im je isporučen deterdžent ili površinski aktivna tvar i 10 godina nakon što su sami isporučili deterdžent ili površinski aktivnu tvar.</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POGLAVLJE IV.</w:t>
      </w:r>
      <w:r w:rsidRPr="00BC3448">
        <w:rPr>
          <w:szCs w:val="24"/>
          <w:lang w:eastAsia="en-US"/>
        </w:rPr>
        <w:br/>
        <w:t xml:space="preserve">OZNAKA CE I OZNAČIVANJE </w:t>
      </w:r>
    </w:p>
    <w:p w:rsidR="001169ED" w:rsidRPr="00BC3448" w:rsidRDefault="001169ED" w:rsidP="001169ED">
      <w:pPr>
        <w:spacing w:before="120" w:after="120" w:line="360" w:lineRule="auto"/>
        <w:jc w:val="center"/>
        <w:rPr>
          <w:szCs w:val="24"/>
          <w:lang w:eastAsia="en-US"/>
        </w:rPr>
      </w:pPr>
      <w:r w:rsidRPr="00BC3448">
        <w:rPr>
          <w:strike/>
          <w:szCs w:val="24"/>
          <w:lang w:eastAsia="en-US"/>
        </w:rPr>
        <w:t>Članak 14.</w:t>
      </w:r>
      <w:r w:rsidRPr="00BC3448">
        <w:rPr>
          <w:szCs w:val="24"/>
          <w:lang w:eastAsia="en-US"/>
        </w:rPr>
        <w:br/>
      </w:r>
      <w:r w:rsidRPr="00BC3448">
        <w:rPr>
          <w:strike/>
          <w:szCs w:val="24"/>
          <w:lang w:eastAsia="en-US"/>
        </w:rPr>
        <w:t>Pravila i uvjeti stavljanja oznake CE</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1.</w:t>
      </w:r>
      <w:r w:rsidRPr="00BC3448">
        <w:rPr>
          <w:szCs w:val="24"/>
          <w:lang w:eastAsia="en-US"/>
        </w:rPr>
        <w:tab/>
      </w:r>
      <w:r w:rsidRPr="00BC3448">
        <w:rPr>
          <w:strike/>
          <w:szCs w:val="24"/>
          <w:lang w:eastAsia="en-US"/>
        </w:rPr>
        <w:t>Na oznaku CE primjenjuju se opća načela utvrđena u članku 30. Uredbe (EZ) br. 765/2008.</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2.</w:t>
      </w:r>
      <w:r w:rsidRPr="00BC3448">
        <w:rPr>
          <w:szCs w:val="24"/>
          <w:lang w:eastAsia="en-US"/>
        </w:rPr>
        <w:tab/>
      </w:r>
      <w:r w:rsidRPr="00BC3448">
        <w:rPr>
          <w:strike/>
          <w:szCs w:val="24"/>
          <w:lang w:eastAsia="en-US"/>
        </w:rPr>
        <w:t>Oznaka CE stavlja se vidljivo, čitljivo i neizbrisivo prije stavljanja deterdženta na tržište.</w:t>
      </w:r>
    </w:p>
    <w:p w:rsidR="001169ED" w:rsidRPr="00BC3448" w:rsidRDefault="001169ED" w:rsidP="001169ED">
      <w:pPr>
        <w:spacing w:before="120" w:after="120" w:line="360" w:lineRule="auto"/>
        <w:ind w:left="850"/>
        <w:rPr>
          <w:szCs w:val="24"/>
          <w:lang w:eastAsia="en-US"/>
        </w:rPr>
      </w:pPr>
      <w:r w:rsidRPr="00BC3448">
        <w:rPr>
          <w:strike/>
          <w:szCs w:val="24"/>
          <w:lang w:eastAsia="en-US"/>
        </w:rPr>
        <w:t>Oznaka CE stavlja se na oznaku ili na pakiranje deterdženta ili, ako se deterdžent isporučuje u rasutom stanju, na dokument priložen uz deterdžent.</w:t>
      </w:r>
    </w:p>
    <w:p w:rsidR="001169ED" w:rsidRPr="00BC3448" w:rsidRDefault="001169ED" w:rsidP="001169ED">
      <w:pPr>
        <w:spacing w:before="120" w:after="120" w:line="360" w:lineRule="auto"/>
        <w:ind w:left="850"/>
        <w:rPr>
          <w:szCs w:val="24"/>
          <w:lang w:eastAsia="en-US"/>
        </w:rPr>
      </w:pPr>
      <w:r w:rsidRPr="00BC3448">
        <w:rPr>
          <w:strike/>
          <w:szCs w:val="24"/>
          <w:lang w:eastAsia="en-US"/>
        </w:rPr>
        <w:t>Ako u skladu s člankom 16. stavkom 2. gospodarski subjekti mogu predočiti samo digitalnu oznaku, oznaka CE stavlja se na digitalnu oznaku.</w:t>
      </w:r>
    </w:p>
    <w:p w:rsidR="001169ED" w:rsidRPr="00BC3448" w:rsidRDefault="001169ED" w:rsidP="001169ED">
      <w:pPr>
        <w:spacing w:before="120" w:after="120" w:line="360" w:lineRule="auto"/>
        <w:ind w:left="850" w:hanging="850"/>
        <w:rPr>
          <w:b/>
          <w:szCs w:val="24"/>
          <w:lang w:eastAsia="en-US"/>
        </w:rPr>
      </w:pPr>
      <w:r w:rsidRPr="00BC3448">
        <w:rPr>
          <w:strike/>
          <w:szCs w:val="24"/>
          <w:lang w:eastAsia="en-US"/>
        </w:rPr>
        <w:t>3.</w:t>
      </w:r>
      <w:r w:rsidRPr="00BC3448">
        <w:rPr>
          <w:szCs w:val="24"/>
          <w:lang w:eastAsia="en-US"/>
        </w:rPr>
        <w:tab/>
      </w:r>
      <w:r w:rsidRPr="00BC3448">
        <w:rPr>
          <w:strike/>
          <w:szCs w:val="24"/>
          <w:lang w:eastAsia="en-US"/>
        </w:rPr>
        <w:t>Države članice oslanjaju se na postojeće mehanizme kako bi osigurale ispravnu primjenu sustava pravila za stavljanje oznake CE i poduzimaju odgovarajuće mjere u slučaju nepravilne upotrebe te oznake.</w:t>
      </w:r>
      <w:r w:rsidR="00CD2A80" w:rsidRPr="00BC3448">
        <w:rPr>
          <w:b/>
          <w:strike/>
          <w:szCs w:val="24"/>
          <w:lang w:eastAsia="en-US"/>
        </w:rPr>
        <w:t xml:space="preserve"> </w:t>
      </w:r>
      <w:r w:rsidR="00CD2A80" w:rsidRPr="00BC3448">
        <w:rPr>
          <w:b/>
          <w:szCs w:val="24"/>
          <w:lang w:eastAsia="en-US"/>
        </w:rPr>
        <w:t>[Am. 80.]</w:t>
      </w:r>
    </w:p>
    <w:p w:rsidR="001169ED" w:rsidRPr="00BC3448" w:rsidRDefault="001169ED"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15.</w:t>
      </w:r>
      <w:r w:rsidRPr="00BC3448">
        <w:rPr>
          <w:szCs w:val="24"/>
          <w:lang w:eastAsia="en-US"/>
        </w:rPr>
        <w:br/>
        <w:t>Opći zahtjevi za označivanje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Uz deterdžente i površinski aktivne tvari koji se stavljaju na raspolaganje na tržište u pojedinačnom pakiranju ili u obliku ponovnog punjenja mora biti priložena oznaka.</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w:t>
      </w:r>
      <w:r w:rsidRPr="00BC3448">
        <w:rPr>
          <w:szCs w:val="24"/>
          <w:lang w:eastAsia="en-US"/>
        </w:rPr>
        <w:tab/>
        <w:t xml:space="preserve">Gospodarski subjekt koji stavlja deterdžent na tržište izravno na raspolaganje krajnjem korisniku u obliku ponovnog punjenja osigurava fizičku oznaku </w:t>
      </w:r>
      <w:proofErr w:type="spellStart"/>
      <w:r w:rsidRPr="00BC3448">
        <w:rPr>
          <w:strike/>
          <w:szCs w:val="24"/>
          <w:lang w:eastAsia="en-US"/>
        </w:rPr>
        <w:t>ili</w:t>
      </w:r>
      <w:r w:rsidRPr="00BC3448">
        <w:rPr>
          <w:b/>
          <w:i/>
          <w:szCs w:val="24"/>
          <w:lang w:eastAsia="en-US"/>
        </w:rPr>
        <w:t>i</w:t>
      </w:r>
      <w:proofErr w:type="spellEnd"/>
      <w:r w:rsidRPr="00BC3448">
        <w:rPr>
          <w:szCs w:val="24"/>
          <w:lang w:eastAsia="en-US"/>
        </w:rPr>
        <w:t xml:space="preserve"> nosač podataka putem kojeg je digitalna oznaka dostupna krajnjem korisniku.</w:t>
      </w:r>
      <w:r w:rsidR="00CD2A80" w:rsidRPr="00BC3448">
        <w:rPr>
          <w:b/>
          <w:szCs w:val="24"/>
          <w:lang w:eastAsia="en-US"/>
        </w:rPr>
        <w:t xml:space="preserve"> [Am. 81.]</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Oznaka deterdženata i površinski aktivnih tvari mora sadržavati sljedeće podatke: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t>broj tipa</w:t>
      </w:r>
      <w:r w:rsidRPr="00BC3448">
        <w:rPr>
          <w:b/>
          <w:i/>
          <w:szCs w:val="24"/>
          <w:lang w:eastAsia="en-US"/>
        </w:rPr>
        <w:t>, broj modela</w:t>
      </w:r>
      <w:r w:rsidRPr="00BC3448">
        <w:rPr>
          <w:szCs w:val="24"/>
          <w:lang w:eastAsia="en-US"/>
        </w:rPr>
        <w:t>, broj serije ili drugi element koji omogućuje njihovu identifikaciju;</w:t>
      </w:r>
      <w:r w:rsidR="00CD2A80" w:rsidRPr="00BC3448">
        <w:rPr>
          <w:b/>
          <w:szCs w:val="24"/>
          <w:lang w:eastAsia="en-US"/>
        </w:rPr>
        <w:t xml:space="preserve"> [Am. 82.]</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(b)</w:t>
      </w:r>
      <w:r w:rsidRPr="00BC3448">
        <w:rPr>
          <w:szCs w:val="24"/>
          <w:lang w:eastAsia="en-US"/>
        </w:rPr>
        <w:tab/>
        <w:t>ime</w:t>
      </w:r>
      <w:r w:rsidRPr="00BC3448">
        <w:rPr>
          <w:b/>
          <w:i/>
          <w:szCs w:val="24"/>
          <w:lang w:eastAsia="en-US"/>
        </w:rPr>
        <w:t xml:space="preserve"> proizvođača i, prema potrebi, ime njegova ovlaštenog zastupnika</w:t>
      </w:r>
      <w:r w:rsidRPr="00BC3448">
        <w:rPr>
          <w:szCs w:val="24"/>
          <w:lang w:eastAsia="en-US"/>
        </w:rPr>
        <w:t xml:space="preserve">, registrirano trgovačko ime ili registriranu trgovačku oznaku proizvođača te poštansku adresu i adresu elektroničke pošte </w:t>
      </w:r>
      <w:r w:rsidRPr="00BC3448">
        <w:rPr>
          <w:b/>
          <w:i/>
          <w:szCs w:val="24"/>
          <w:lang w:eastAsia="en-US"/>
        </w:rPr>
        <w:t xml:space="preserve">te broj telefona na </w:t>
      </w:r>
      <w:proofErr w:type="spellStart"/>
      <w:r w:rsidRPr="00BC3448">
        <w:rPr>
          <w:b/>
          <w:i/>
          <w:szCs w:val="24"/>
          <w:lang w:eastAsia="en-US"/>
        </w:rPr>
        <w:t>kojima</w:t>
      </w:r>
      <w:r w:rsidRPr="00BC3448">
        <w:rPr>
          <w:strike/>
          <w:szCs w:val="24"/>
          <w:lang w:eastAsia="en-US"/>
        </w:rPr>
        <w:t>na</w:t>
      </w:r>
      <w:proofErr w:type="spellEnd"/>
      <w:r w:rsidRPr="00BC3448">
        <w:rPr>
          <w:strike/>
          <w:szCs w:val="24"/>
          <w:lang w:eastAsia="en-US"/>
        </w:rPr>
        <w:t xml:space="preserve"> kojoj</w:t>
      </w:r>
      <w:r w:rsidRPr="00BC3448">
        <w:rPr>
          <w:szCs w:val="24"/>
          <w:lang w:eastAsia="en-US"/>
        </w:rPr>
        <w:t xml:space="preserve"> je dostupan</w:t>
      </w:r>
      <w:r w:rsidRPr="00BC3448">
        <w:rPr>
          <w:strike/>
          <w:szCs w:val="24"/>
          <w:lang w:eastAsia="en-US"/>
        </w:rPr>
        <w:t>,</w:t>
      </w:r>
      <w:r w:rsidRPr="00BC3448">
        <w:rPr>
          <w:b/>
          <w:i/>
          <w:szCs w:val="24"/>
          <w:lang w:eastAsia="en-US"/>
        </w:rPr>
        <w:t>;</w:t>
      </w:r>
      <w:r w:rsidRPr="00BC3448">
        <w:rPr>
          <w:szCs w:val="24"/>
          <w:lang w:eastAsia="en-US"/>
        </w:rPr>
        <w:t xml:space="preserve"> pri čemu se na poštanskoj adresi navodi jedno mjesto na kojem je moguće kontaktirati proizvođača;</w:t>
      </w:r>
      <w:r w:rsidR="00CD2A80" w:rsidRPr="00BC3448">
        <w:rPr>
          <w:b/>
          <w:szCs w:val="24"/>
          <w:lang w:eastAsia="en-US"/>
        </w:rPr>
        <w:t xml:space="preserve"> [Am. 83.]</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naziv i trgovački naziv proizvoda;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sadržaj deterdženta ili površinski aktivne tvari u skladu s dijelom A Priloga V.;</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t>upute za upotrebu i posebne mjere opreza, ako je to potrebno i relevantno.</w:t>
      </w:r>
    </w:p>
    <w:p w:rsidR="001169ED" w:rsidRPr="00BC3448" w:rsidRDefault="001169ED" w:rsidP="001169ED">
      <w:pPr>
        <w:spacing w:before="120" w:after="120" w:line="360" w:lineRule="auto"/>
        <w:ind w:left="850"/>
        <w:rPr>
          <w:szCs w:val="24"/>
          <w:lang w:eastAsia="en-US"/>
        </w:rPr>
      </w:pPr>
      <w:r w:rsidRPr="00BC3448">
        <w:rPr>
          <w:szCs w:val="24"/>
          <w:lang w:eastAsia="en-US"/>
        </w:rPr>
        <w:t>Podaci iz prvog podstavka točaka (a), (b) i (c) navode se na svim dokumentima koji prate deterdžente i površinski aktivne tvari koji se prevoze u rasutom stanju.</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Osim podataka iz stavka 3. oznaka na deterdžentima za pranje rublja i deterdžentima za strojno pranje posuđa koji se koriste u kućanstvu sadržava informacije o doziranju u skladu s dijelom B Priloga V.</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5.</w:t>
      </w:r>
      <w:r w:rsidRPr="00BC3448">
        <w:rPr>
          <w:szCs w:val="24"/>
          <w:lang w:eastAsia="en-US"/>
        </w:rPr>
        <w:tab/>
        <w:t xml:space="preserve">Podaci iz stavaka 3. i 4. moraju biti na jeziku koji bez poteškoća razumiju krajnji korisnici, a kojeg određuje dotična država članica, te moraju biti </w:t>
      </w:r>
      <w:r w:rsidRPr="00BC3448">
        <w:rPr>
          <w:strike/>
          <w:szCs w:val="24"/>
          <w:lang w:eastAsia="en-US"/>
        </w:rPr>
        <w:t xml:space="preserve">jasne, razumljive i </w:t>
      </w:r>
      <w:proofErr w:type="spellStart"/>
      <w:r w:rsidRPr="00BC3448">
        <w:rPr>
          <w:strike/>
          <w:szCs w:val="24"/>
          <w:lang w:eastAsia="en-US"/>
        </w:rPr>
        <w:t>čitljive</w:t>
      </w:r>
      <w:r w:rsidRPr="00BC3448">
        <w:rPr>
          <w:b/>
          <w:i/>
          <w:szCs w:val="24"/>
          <w:lang w:eastAsia="en-US"/>
        </w:rPr>
        <w:t>jasni</w:t>
      </w:r>
      <w:proofErr w:type="spellEnd"/>
      <w:r w:rsidRPr="00BC3448">
        <w:rPr>
          <w:b/>
          <w:i/>
          <w:szCs w:val="24"/>
          <w:lang w:eastAsia="en-US"/>
        </w:rPr>
        <w:t>, razumljivi i čitljivi te moraju biti usklađeni sa zahtjevima utvrđenima u odjeljcima 1.2.1.4. i 1.2.1.5. dijela 1. Priloga I. Uredbi (EZ) br. 1272/2008</w:t>
      </w:r>
      <w:r w:rsidRPr="00BC3448">
        <w:rPr>
          <w:szCs w:val="24"/>
          <w:lang w:eastAsia="en-US"/>
        </w:rPr>
        <w:t>. Oznaka je dostupna za potrebe inspekcijskog pregleda kad se deterdžent ili površinski aktivna tvar stavljaju na raspolaganje na tržištu.</w:t>
      </w:r>
      <w:r w:rsidR="00CD2A80" w:rsidRPr="00BC3448">
        <w:rPr>
          <w:b/>
          <w:szCs w:val="24"/>
          <w:lang w:eastAsia="en-US"/>
        </w:rPr>
        <w:t xml:space="preserve"> [Am. 84.]</w:t>
      </w:r>
    </w:p>
    <w:p w:rsidR="004B531B" w:rsidRPr="00BC3448" w:rsidRDefault="004B531B"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5a.</w:t>
      </w:r>
      <w:r w:rsidRPr="00BC3448">
        <w:rPr>
          <w:szCs w:val="24"/>
          <w:lang w:eastAsia="en-US"/>
        </w:rPr>
        <w:tab/>
      </w:r>
      <w:r w:rsidRPr="00BC3448">
        <w:rPr>
          <w:b/>
          <w:i/>
          <w:szCs w:val="24"/>
          <w:lang w:eastAsia="en-US"/>
        </w:rPr>
        <w:t xml:space="preserve">Ne dovodeći u pitanje Direktivu .../... [ Direktiva Europskog Parlamenta i Vijeća o potkrepljivanju i priopćavanju izričitih tvrdnji o prihvatljivosti za okoliš (Direktiva o tvrdnjama o prihvatljivosti za okoliš) COM/2023/166 </w:t>
      </w:r>
      <w:proofErr w:type="spellStart"/>
      <w:r w:rsidRPr="00BC3448">
        <w:rPr>
          <w:b/>
          <w:i/>
          <w:szCs w:val="24"/>
          <w:lang w:eastAsia="en-US"/>
        </w:rPr>
        <w:t>final</w:t>
      </w:r>
      <w:proofErr w:type="spellEnd"/>
      <w:r w:rsidRPr="00BC3448">
        <w:rPr>
          <w:b/>
          <w:i/>
          <w:szCs w:val="24"/>
          <w:lang w:eastAsia="en-US"/>
        </w:rPr>
        <w:t>], na oznaci na deterdžentima i površinski aktivnim tvarima može stajati da nisu provođena ispitivanja na životinjama samo ako proizvođač i njegovi dobavljači, ako proizvođač može utvrditi te informacije razumnim naporima, nisu provodili ili naručili nikakvo ispitivanje gotovog kozmetičkog proizvoda, njegova prototipa ili bilo kojeg njegovog sastojka, na životinjama, ili ako nisu koristili nikakve sastojke koje su drugi ispitivali na životinjama radi razvoja novih deterdženata ili površinski aktivnih tvari. Na oznaci se može navesti da su deterdžent ili površinski aktivna tvar „</w:t>
      </w:r>
      <w:proofErr w:type="spellStart"/>
      <w:r w:rsidRPr="00BC3448">
        <w:rPr>
          <w:b/>
          <w:i/>
          <w:szCs w:val="24"/>
          <w:lang w:eastAsia="en-US"/>
        </w:rPr>
        <w:t>veganski</w:t>
      </w:r>
      <w:proofErr w:type="spellEnd"/>
      <w:r w:rsidRPr="00BC3448">
        <w:rPr>
          <w:b/>
          <w:i/>
          <w:szCs w:val="24"/>
          <w:lang w:eastAsia="en-US"/>
        </w:rPr>
        <w:t>” ili da „nisu ispitivani na životinjama” samo ako u proizvodnji i razvoju deterdženta ili površinski aktivne tvari nisu upotrijebljeni nikakvi sastojci životinjskog podrijetla ili nusproizvodi životinjskog podrijetla.</w:t>
      </w:r>
      <w:r w:rsidR="0084624C" w:rsidRPr="00BC3448">
        <w:rPr>
          <w:b/>
          <w:szCs w:val="24"/>
          <w:lang w:eastAsia="en-US"/>
        </w:rPr>
        <w:t xml:space="preserve"> [Am. 85.]</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16.</w:t>
      </w:r>
      <w:r w:rsidRPr="00BC3448">
        <w:rPr>
          <w:szCs w:val="24"/>
          <w:lang w:eastAsia="en-US"/>
        </w:rPr>
        <w:br/>
        <w:t>Oblici označivanja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Ako se deterdženti ili površinski aktivne tvari stavljaju na raspolaganje na tržištu, uz njih se prilažu elementi oznake iz članka 15. stavka 3. i, ako je primjenjivo, članka 15. stavka 4. u sljedećem obliku:</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t>na fizičkoj oznaci</w:t>
      </w:r>
      <w:r w:rsidRPr="00BC3448">
        <w:rPr>
          <w:b/>
          <w:i/>
          <w:szCs w:val="24"/>
          <w:lang w:eastAsia="en-US"/>
        </w:rPr>
        <w:t xml:space="preserve"> ili</w:t>
      </w:r>
      <w:r w:rsidRPr="00BC3448">
        <w:rPr>
          <w:szCs w:val="24"/>
          <w:lang w:eastAsia="en-US"/>
        </w:rPr>
        <w:t>;</w:t>
      </w:r>
      <w:r w:rsidR="0084624C" w:rsidRPr="00BC3448">
        <w:rPr>
          <w:b/>
          <w:szCs w:val="24"/>
          <w:lang w:eastAsia="en-US"/>
        </w:rPr>
        <w:t xml:space="preserve"> [Am. 86.]</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na digitalnoj oznaci te ponovno na fizičkoj oznaci.</w:t>
      </w:r>
    </w:p>
    <w:p w:rsidR="001169ED" w:rsidRPr="00BC3448" w:rsidRDefault="001169ED" w:rsidP="001169ED">
      <w:pPr>
        <w:spacing w:before="120" w:after="120" w:line="360" w:lineRule="auto"/>
        <w:ind w:left="850"/>
        <w:rPr>
          <w:b/>
          <w:szCs w:val="24"/>
          <w:lang w:eastAsia="en-US"/>
        </w:rPr>
      </w:pPr>
      <w:r w:rsidRPr="00BC3448">
        <w:rPr>
          <w:strike/>
          <w:szCs w:val="24"/>
          <w:lang w:eastAsia="en-US"/>
        </w:rPr>
        <w:t xml:space="preserve">Odstupajući od točke (b) iz prvog podstavka elementi označivanja utvrđeni u dijelu C Priloga V. ne moraju se ponovno navoditi na fizičkoj oznaci. Osim toga, </w:t>
      </w:r>
      <w:r w:rsidRPr="00BC3448">
        <w:rPr>
          <w:szCs w:val="24"/>
          <w:lang w:eastAsia="en-US"/>
        </w:rPr>
        <w:t>Ako su informacije o doziranju deterdženata za pranje rublja koji se koriste u kućanstvu u skladu s točkama 1. i 2. dijela B Priloga V. navedene na digitalnoj oznaci, na fizičkoj oznaci može se navesti pojednostavnjena tablica za doziranje kako je utvrđeno u dijelu D Priloga V.</w:t>
      </w:r>
      <w:r w:rsidR="0084624C" w:rsidRPr="00BC3448">
        <w:rPr>
          <w:b/>
          <w:szCs w:val="24"/>
          <w:lang w:eastAsia="en-US"/>
        </w:rPr>
        <w:t xml:space="preserve"> [Am. 87.]</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w:t>
      </w:r>
      <w:r w:rsidRPr="00BC3448">
        <w:rPr>
          <w:szCs w:val="24"/>
          <w:lang w:eastAsia="en-US"/>
        </w:rPr>
        <w:tab/>
      </w:r>
      <w:r w:rsidRPr="00BC3448">
        <w:rPr>
          <w:strike/>
          <w:szCs w:val="24"/>
          <w:lang w:eastAsia="en-US"/>
        </w:rPr>
        <w:t xml:space="preserve">Odstupajući od stavka 1., </w:t>
      </w:r>
      <w:r w:rsidRPr="00BC3448">
        <w:rPr>
          <w:szCs w:val="24"/>
          <w:lang w:eastAsia="en-US"/>
        </w:rPr>
        <w:t xml:space="preserve">Ako se deterdženti stavljaju na tržište izravno na raspolaganje krajnjem korisniku u obliku ponovnog punjenja, </w:t>
      </w:r>
      <w:r w:rsidRPr="00BC3448">
        <w:rPr>
          <w:b/>
          <w:i/>
          <w:szCs w:val="24"/>
          <w:lang w:eastAsia="en-US"/>
        </w:rPr>
        <w:t xml:space="preserve">subjekt osigurava da </w:t>
      </w:r>
      <w:r w:rsidRPr="00BC3448">
        <w:rPr>
          <w:szCs w:val="24"/>
          <w:lang w:eastAsia="en-US"/>
        </w:rPr>
        <w:t xml:space="preserve">elementi oznake utvrđeni u članku 15. stavcima </w:t>
      </w:r>
      <w:r w:rsidRPr="00BC3448">
        <w:rPr>
          <w:b/>
          <w:i/>
          <w:szCs w:val="24"/>
          <w:lang w:eastAsia="en-US"/>
        </w:rPr>
        <w:t>2., 3. i 4. stave na pakiranje</w:t>
      </w:r>
      <w:r w:rsidRPr="00BC3448">
        <w:rPr>
          <w:strike/>
          <w:szCs w:val="24"/>
          <w:lang w:eastAsia="en-US"/>
        </w:rPr>
        <w:t>3. i 4. mogu se navesti samo na digitalnoj oznaci, uz iznimku informacija o doziranju deterdženata za pranje rublja koji se koriste u kućanstvu kako je utvrđeno u točkama 1</w:t>
      </w:r>
      <w:r w:rsidRPr="00BC3448">
        <w:rPr>
          <w:szCs w:val="24"/>
          <w:lang w:eastAsia="en-US"/>
        </w:rPr>
        <w:t>.</w:t>
      </w:r>
      <w:r w:rsidRPr="00BC3448">
        <w:rPr>
          <w:strike/>
          <w:szCs w:val="24"/>
          <w:lang w:eastAsia="en-US"/>
        </w:rPr>
        <w:t xml:space="preserve"> i 2. dijela B Priloga V., koje se moraju navesti i na fizičkoj oznaci.</w:t>
      </w:r>
      <w:r w:rsidR="0084624C" w:rsidRPr="00BC3448">
        <w:rPr>
          <w:b/>
          <w:strike/>
          <w:szCs w:val="24"/>
          <w:lang w:eastAsia="en-US"/>
        </w:rPr>
        <w:t xml:space="preserve"> </w:t>
      </w:r>
      <w:r w:rsidR="0084624C" w:rsidRPr="00BC3448">
        <w:rPr>
          <w:b/>
          <w:szCs w:val="24"/>
          <w:lang w:eastAsia="en-US"/>
        </w:rPr>
        <w:t>[Am. 88.]</w:t>
      </w:r>
    </w:p>
    <w:p w:rsidR="001169ED" w:rsidRPr="00BC3448" w:rsidRDefault="001169ED" w:rsidP="001169ED">
      <w:pPr>
        <w:spacing w:before="120" w:after="120" w:line="360" w:lineRule="auto"/>
        <w:jc w:val="center"/>
        <w:rPr>
          <w:szCs w:val="24"/>
          <w:lang w:eastAsia="en-US"/>
        </w:rPr>
      </w:pPr>
      <w:r w:rsidRPr="00BC3448">
        <w:rPr>
          <w:szCs w:val="24"/>
          <w:lang w:eastAsia="en-US"/>
        </w:rPr>
        <w:t>Članak 17.</w:t>
      </w:r>
      <w:r w:rsidRPr="00BC3448">
        <w:rPr>
          <w:szCs w:val="24"/>
          <w:lang w:eastAsia="en-US"/>
        </w:rPr>
        <w:br/>
        <w:t>Zahtjevi za digitalno označivanje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Ako deterdženti i površinski aktivne tvari nose digitalnu oznaku u skladu s člankom 16., na tu se oznaku primjenjuju sljedeća pravila: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svi elementi oznake iz članka 15. stavka 3. i, ako je primjenjivo, članka 15. stavka 4. navode se na jednom mjestu i odvojeno od ostalih informacija;</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(b)</w:t>
      </w:r>
      <w:r w:rsidRPr="00BC3448">
        <w:rPr>
          <w:szCs w:val="24"/>
          <w:lang w:eastAsia="en-US"/>
        </w:rPr>
        <w:tab/>
        <w:t xml:space="preserve">informacije na digitalnoj oznaci moraju biti </w:t>
      </w:r>
      <w:r w:rsidRPr="00BC3448">
        <w:rPr>
          <w:b/>
          <w:i/>
          <w:szCs w:val="24"/>
          <w:lang w:eastAsia="en-US"/>
        </w:rPr>
        <w:t xml:space="preserve">lako </w:t>
      </w:r>
      <w:proofErr w:type="spellStart"/>
      <w:r w:rsidRPr="00BC3448">
        <w:rPr>
          <w:szCs w:val="24"/>
          <w:lang w:eastAsia="en-US"/>
        </w:rPr>
        <w:t>pretražive</w:t>
      </w:r>
      <w:proofErr w:type="spellEnd"/>
      <w:r w:rsidRPr="00BC3448">
        <w:rPr>
          <w:szCs w:val="24"/>
          <w:lang w:eastAsia="en-US"/>
        </w:rPr>
        <w:t>;</w:t>
      </w:r>
      <w:r w:rsidR="0084624C" w:rsidRPr="00BC3448">
        <w:rPr>
          <w:b/>
          <w:szCs w:val="24"/>
          <w:lang w:eastAsia="en-US"/>
        </w:rPr>
        <w:t xml:space="preserve"> [Am. 89.]</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informacije na digitalnoj oznaci moraju biti dostupne svim korisnicima u Uniji;</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digitalna oznaka dostupna je besplatno, bez potrebe za prethodnom registracijom, preuzimanjem ili instalacijom aplikacija ili pak za upisivanjem lozinke;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(e)</w:t>
      </w:r>
      <w:r w:rsidRPr="00BC3448">
        <w:rPr>
          <w:szCs w:val="24"/>
          <w:lang w:eastAsia="en-US"/>
        </w:rPr>
        <w:tab/>
        <w:t xml:space="preserve">informacije na digitalnoj oznaci prikazuju se </w:t>
      </w:r>
      <w:r w:rsidRPr="00BC3448">
        <w:rPr>
          <w:strike/>
          <w:szCs w:val="24"/>
          <w:lang w:eastAsia="en-US"/>
        </w:rPr>
        <w:t xml:space="preserve">tako </w:t>
      </w:r>
      <w:proofErr w:type="spellStart"/>
      <w:r w:rsidRPr="00BC3448">
        <w:rPr>
          <w:strike/>
          <w:szCs w:val="24"/>
          <w:lang w:eastAsia="en-US"/>
        </w:rPr>
        <w:t>da</w:t>
      </w:r>
      <w:r w:rsidRPr="00BC3448">
        <w:rPr>
          <w:b/>
          <w:i/>
          <w:szCs w:val="24"/>
          <w:lang w:eastAsia="en-US"/>
        </w:rPr>
        <w:t>u</w:t>
      </w:r>
      <w:proofErr w:type="spellEnd"/>
      <w:r w:rsidRPr="00BC3448">
        <w:rPr>
          <w:b/>
          <w:i/>
          <w:szCs w:val="24"/>
          <w:lang w:eastAsia="en-US"/>
        </w:rPr>
        <w:t xml:space="preserve"> obliku kojim</w:t>
      </w:r>
      <w:r w:rsidRPr="00BC3448">
        <w:rPr>
          <w:szCs w:val="24"/>
          <w:lang w:eastAsia="en-US"/>
        </w:rPr>
        <w:t xml:space="preserve"> se uzimaju u obzir potrebe ranjivih skupina</w:t>
      </w:r>
      <w:r w:rsidRPr="00BC3448">
        <w:rPr>
          <w:b/>
          <w:i/>
          <w:szCs w:val="24"/>
          <w:lang w:eastAsia="en-US"/>
        </w:rPr>
        <w:t>, uključujući osobe s invaliditetom</w:t>
      </w:r>
      <w:r w:rsidRPr="00BC3448">
        <w:rPr>
          <w:szCs w:val="24"/>
          <w:lang w:eastAsia="en-US"/>
        </w:rPr>
        <w:t xml:space="preserve"> i, prema potrebi, podupiru potrebne prilagodbe kako bi se tim skupinama olakšao pristup informacijama;</w:t>
      </w:r>
      <w:r w:rsidR="0084624C" w:rsidRPr="00BC3448">
        <w:rPr>
          <w:b/>
          <w:szCs w:val="24"/>
          <w:lang w:eastAsia="en-US"/>
        </w:rPr>
        <w:t xml:space="preserve"> [Am. 90.]</w:t>
      </w:r>
    </w:p>
    <w:p w:rsidR="001169ED" w:rsidRPr="00BC3448" w:rsidRDefault="001169ED" w:rsidP="001169ED">
      <w:pPr>
        <w:spacing w:before="120" w:after="120" w:line="360" w:lineRule="auto"/>
        <w:ind w:left="1416" w:hanging="566"/>
        <w:rPr>
          <w:szCs w:val="24"/>
          <w:lang w:eastAsia="en-US"/>
        </w:rPr>
      </w:pPr>
      <w:r w:rsidRPr="00BC3448">
        <w:rPr>
          <w:szCs w:val="24"/>
          <w:lang w:eastAsia="en-US"/>
        </w:rPr>
        <w:t>(f)</w:t>
      </w:r>
      <w:r w:rsidRPr="00BC3448">
        <w:rPr>
          <w:szCs w:val="24"/>
          <w:lang w:eastAsia="en-US"/>
        </w:rPr>
        <w:tab/>
        <w:t>digitalna oznaka dostupna je putem digitalnih tehnologija koje su u širokoj upotrebi i kompatibilne sa svim glavnim operativnim sustavima i preglednicima;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(g)</w:t>
      </w:r>
      <w:r w:rsidRPr="00BC3448">
        <w:rPr>
          <w:szCs w:val="24"/>
          <w:lang w:eastAsia="en-US"/>
        </w:rPr>
        <w:tab/>
        <w:t>ako je digitalna oznaka dostupna na više od jednog jezika, odabir jezika nije uvjetovan zemljopisnim položajem krajnjeg korisnika;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(h)</w:t>
      </w:r>
      <w:r w:rsidRPr="00BC3448">
        <w:rPr>
          <w:szCs w:val="24"/>
          <w:lang w:eastAsia="en-US"/>
        </w:rPr>
        <w:tab/>
        <w:t>digitalna oznaka ostaje dostupna u razdoblju od 10 godina od trenutka stavljanja deterdženta ili površinski aktivne tvari na tržište, među ostalim i u slučajevima nesolventnosti, likvidacije ili prestanka djelatnosti u Uniji gospodarskog subjekta koji ju je izradio, ili pak na dulje razdoblje kako se zahtijeva drugim zakonodavstvom Unije koje obuhvaća informacije koje ona sadržava;</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(i)</w:t>
      </w:r>
      <w:r w:rsidRPr="00BC3448">
        <w:rPr>
          <w:szCs w:val="24"/>
          <w:lang w:eastAsia="en-US"/>
        </w:rPr>
        <w:tab/>
        <w:t xml:space="preserve">informacije na digitalnoj oznaci moraju biti </w:t>
      </w:r>
      <w:r w:rsidRPr="00BC3448">
        <w:rPr>
          <w:b/>
          <w:i/>
          <w:szCs w:val="24"/>
          <w:lang w:eastAsia="en-US"/>
        </w:rPr>
        <w:t xml:space="preserve">lako </w:t>
      </w:r>
      <w:r w:rsidRPr="00BC3448">
        <w:rPr>
          <w:szCs w:val="24"/>
          <w:lang w:eastAsia="en-US"/>
        </w:rPr>
        <w:t>dostupne putem nosača podataka.</w:t>
      </w:r>
      <w:r w:rsidR="0084624C" w:rsidRPr="00BC3448">
        <w:rPr>
          <w:b/>
          <w:szCs w:val="24"/>
          <w:lang w:eastAsia="en-US"/>
        </w:rPr>
        <w:t xml:space="preserve"> [Am. 91,]</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2.</w:t>
      </w:r>
      <w:r w:rsidRPr="00BC3448">
        <w:rPr>
          <w:szCs w:val="24"/>
          <w:lang w:eastAsia="en-US"/>
        </w:rPr>
        <w:tab/>
        <w:t>Nosač podataka mora biti fizički</w:t>
      </w:r>
      <w:r w:rsidRPr="00BC3448">
        <w:rPr>
          <w:b/>
          <w:i/>
          <w:szCs w:val="24"/>
          <w:lang w:eastAsia="en-US"/>
        </w:rPr>
        <w:t>, neizbrisivo, vidljivo i čitljivo</w:t>
      </w:r>
      <w:r w:rsidRPr="00BC3448">
        <w:rPr>
          <w:szCs w:val="24"/>
          <w:lang w:eastAsia="en-US"/>
        </w:rPr>
        <w:t xml:space="preserve"> prisutan na deterdžentu ili površinski aktivnoj tvari, njihovu pakiranju ili popratnoj dokumentaciji</w:t>
      </w:r>
      <w:r w:rsidRPr="00BC3448">
        <w:rPr>
          <w:b/>
          <w:i/>
          <w:szCs w:val="24"/>
          <w:lang w:eastAsia="en-US"/>
        </w:rPr>
        <w:t>, na način koji omogućuje njihovu automatsku obradu digitalnim uređajima</w:t>
      </w:r>
      <w:r w:rsidRPr="00BC3448">
        <w:rPr>
          <w:szCs w:val="24"/>
          <w:lang w:eastAsia="en-US"/>
        </w:rPr>
        <w:t>.</w:t>
      </w:r>
      <w:r w:rsidR="0084624C" w:rsidRPr="00BC3448">
        <w:rPr>
          <w:b/>
          <w:szCs w:val="24"/>
          <w:lang w:eastAsia="en-US"/>
        </w:rPr>
        <w:t xml:space="preserve"> [Am. 92.]</w:t>
      </w:r>
    </w:p>
    <w:p w:rsidR="001169ED" w:rsidRPr="00BC3448" w:rsidRDefault="001169ED" w:rsidP="001169ED">
      <w:pPr>
        <w:spacing w:before="120" w:after="120" w:line="360" w:lineRule="auto"/>
        <w:ind w:left="850"/>
        <w:rPr>
          <w:szCs w:val="24"/>
          <w:lang w:eastAsia="en-US"/>
        </w:rPr>
      </w:pPr>
      <w:r w:rsidRPr="00BC3448">
        <w:rPr>
          <w:szCs w:val="24"/>
          <w:lang w:eastAsia="en-US"/>
        </w:rPr>
        <w:t>Osim zahtjeva iz prvog podstavka, ako se deterdženti i površinski aktivne tvari stavljaju na raspolaganje na tržištu u obliku ponovnog punjenja, nosač podataka mora biti prisutan na stanici za ponovno punjenje.</w:t>
      </w:r>
    </w:p>
    <w:p w:rsidR="001169ED" w:rsidRPr="00BC3448" w:rsidRDefault="001169ED" w:rsidP="001169ED">
      <w:pPr>
        <w:spacing w:before="120" w:after="120" w:line="360" w:lineRule="auto"/>
        <w:ind w:left="850"/>
        <w:rPr>
          <w:szCs w:val="24"/>
          <w:lang w:eastAsia="en-US"/>
        </w:rPr>
      </w:pPr>
      <w:r w:rsidRPr="00BC3448">
        <w:rPr>
          <w:szCs w:val="24"/>
          <w:lang w:eastAsia="en-US"/>
        </w:rPr>
        <w:t>Nosač podataka mora biti jasno vidljiv krajnjem korisniku prije kupnje kao i tijelima za nadzor tržišta, uključujući, prema potrebi, u slučajevima kad je deterdžent ili površinski aktivna tvar stavljena na raspolaganje prodajom na daljinu.</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Ako gospodarski subjekti stavljaju digitalnu oznaku, uz nosač podataka prilaže se izjava „</w:t>
      </w:r>
      <w:r w:rsidRPr="00BC3448">
        <w:rPr>
          <w:strike/>
          <w:szCs w:val="24"/>
          <w:lang w:eastAsia="en-US"/>
        </w:rPr>
        <w:t xml:space="preserve">opsežnije </w:t>
      </w:r>
      <w:proofErr w:type="spellStart"/>
      <w:r w:rsidRPr="00BC3448">
        <w:rPr>
          <w:strike/>
          <w:szCs w:val="24"/>
          <w:lang w:eastAsia="en-US"/>
        </w:rPr>
        <w:t>informacije</w:t>
      </w:r>
      <w:r w:rsidRPr="00BC3448">
        <w:rPr>
          <w:b/>
          <w:i/>
          <w:szCs w:val="24"/>
          <w:lang w:eastAsia="en-US"/>
        </w:rPr>
        <w:t>Skenirajte</w:t>
      </w:r>
      <w:proofErr w:type="spellEnd"/>
      <w:r w:rsidRPr="00BC3448">
        <w:rPr>
          <w:b/>
          <w:i/>
          <w:szCs w:val="24"/>
          <w:lang w:eastAsia="en-US"/>
        </w:rPr>
        <w:t xml:space="preserve"> za više informacija</w:t>
      </w:r>
      <w:r w:rsidRPr="00BC3448">
        <w:rPr>
          <w:szCs w:val="24"/>
          <w:lang w:eastAsia="en-US"/>
        </w:rPr>
        <w:t xml:space="preserve"> o proizvodu</w:t>
      </w:r>
      <w:r w:rsidRPr="00BC3448">
        <w:rPr>
          <w:strike/>
          <w:szCs w:val="24"/>
          <w:lang w:eastAsia="en-US"/>
        </w:rPr>
        <w:t xml:space="preserve"> dostupne su na internetu</w:t>
      </w:r>
      <w:r w:rsidRPr="00BC3448">
        <w:rPr>
          <w:szCs w:val="24"/>
          <w:lang w:eastAsia="en-US"/>
        </w:rPr>
        <w:t>” ili slična izjava.</w:t>
      </w:r>
      <w:r w:rsidR="0084624C" w:rsidRPr="00BC3448">
        <w:rPr>
          <w:b/>
          <w:szCs w:val="24"/>
          <w:lang w:eastAsia="en-US"/>
        </w:rPr>
        <w:t xml:space="preserve"> [Am. 93.]</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4.</w:t>
      </w:r>
      <w:r w:rsidRPr="00BC3448">
        <w:rPr>
          <w:szCs w:val="24"/>
          <w:lang w:eastAsia="en-US"/>
        </w:rPr>
        <w:tab/>
        <w:t>Gospodarski subjekti</w:t>
      </w:r>
      <w:r w:rsidRPr="00BC3448">
        <w:rPr>
          <w:strike/>
          <w:szCs w:val="24"/>
          <w:lang w:eastAsia="en-US"/>
        </w:rPr>
        <w:t xml:space="preserve"> koji omogućuju digitalnu oznaku</w:t>
      </w:r>
      <w:r w:rsidRPr="00BC3448">
        <w:rPr>
          <w:szCs w:val="24"/>
          <w:lang w:eastAsia="en-US"/>
        </w:rPr>
        <w:t xml:space="preserve"> ne smiju pratiti, analizirati ili upotrebljavati informacije o upotrebi za bilo koje druge svrhe osim onih koje su apsolutno potrebne za pružanje informacija na digitalnoj oznaci na internetu.</w:t>
      </w:r>
      <w:r w:rsidR="0084624C" w:rsidRPr="00BC3448">
        <w:rPr>
          <w:b/>
          <w:szCs w:val="24"/>
          <w:lang w:eastAsia="en-US"/>
        </w:rPr>
        <w:t xml:space="preserve"> [Am. 94.]</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5.</w:t>
      </w:r>
      <w:r w:rsidRPr="00BC3448">
        <w:rPr>
          <w:szCs w:val="24"/>
          <w:lang w:eastAsia="en-US"/>
        </w:rPr>
        <w:tab/>
        <w:t xml:space="preserve">Gospodarski subjekti </w:t>
      </w:r>
      <w:r w:rsidRPr="00BC3448">
        <w:rPr>
          <w:strike/>
          <w:szCs w:val="24"/>
          <w:lang w:eastAsia="en-US"/>
        </w:rPr>
        <w:t xml:space="preserve">koji omogućuju digitalnu oznaku </w:t>
      </w:r>
      <w:r w:rsidRPr="00BC3448">
        <w:rPr>
          <w:szCs w:val="24"/>
          <w:lang w:eastAsia="en-US"/>
        </w:rPr>
        <w:t>moraju</w:t>
      </w:r>
      <w:r w:rsidRPr="00BC3448">
        <w:rPr>
          <w:b/>
          <w:i/>
          <w:szCs w:val="24"/>
          <w:lang w:eastAsia="en-US"/>
        </w:rPr>
        <w:t xml:space="preserve"> besplatno</w:t>
      </w:r>
      <w:r w:rsidRPr="00BC3448">
        <w:rPr>
          <w:szCs w:val="24"/>
          <w:lang w:eastAsia="en-US"/>
        </w:rPr>
        <w:t xml:space="preserve"> pružati informacije koje se </w:t>
      </w:r>
      <w:r w:rsidRPr="00BC3448">
        <w:rPr>
          <w:strike/>
          <w:szCs w:val="24"/>
          <w:lang w:eastAsia="en-US"/>
        </w:rPr>
        <w:t xml:space="preserve">na njoj </w:t>
      </w:r>
      <w:r w:rsidRPr="00BC3448">
        <w:rPr>
          <w:szCs w:val="24"/>
          <w:lang w:eastAsia="en-US"/>
        </w:rPr>
        <w:t>nalaze</w:t>
      </w:r>
      <w:r w:rsidRPr="00BC3448">
        <w:rPr>
          <w:b/>
          <w:i/>
          <w:szCs w:val="24"/>
          <w:lang w:eastAsia="en-US"/>
        </w:rPr>
        <w:t xml:space="preserve"> na digitalnoj oznaci</w:t>
      </w:r>
      <w:r w:rsidRPr="00BC3448">
        <w:rPr>
          <w:szCs w:val="24"/>
          <w:lang w:eastAsia="en-US"/>
        </w:rPr>
        <w:t xml:space="preserve"> i drugim sredstvima u </w:t>
      </w:r>
      <w:r w:rsidRPr="00BC3448">
        <w:rPr>
          <w:strike/>
          <w:szCs w:val="24"/>
          <w:lang w:eastAsia="en-US"/>
        </w:rPr>
        <w:t xml:space="preserve">bilo kojem od sljedećih </w:t>
      </w:r>
      <w:proofErr w:type="spellStart"/>
      <w:r w:rsidRPr="00BC3448">
        <w:rPr>
          <w:strike/>
          <w:szCs w:val="24"/>
          <w:lang w:eastAsia="en-US"/>
        </w:rPr>
        <w:t>slučajeva</w:t>
      </w:r>
      <w:r w:rsidRPr="00BC3448">
        <w:rPr>
          <w:b/>
          <w:i/>
          <w:szCs w:val="24"/>
          <w:lang w:eastAsia="en-US"/>
        </w:rPr>
        <w:t>svim</w:t>
      </w:r>
      <w:proofErr w:type="spellEnd"/>
      <w:r w:rsidRPr="00BC3448">
        <w:rPr>
          <w:b/>
          <w:i/>
          <w:szCs w:val="24"/>
          <w:lang w:eastAsia="en-US"/>
        </w:rPr>
        <w:t xml:space="preserve"> sljedećim slučajevima</w:t>
      </w:r>
      <w:r w:rsidRPr="00BC3448">
        <w:rPr>
          <w:szCs w:val="24"/>
          <w:lang w:eastAsia="en-US"/>
        </w:rPr>
        <w:t>:</w:t>
      </w:r>
      <w:r w:rsidR="0084624C" w:rsidRPr="00BC3448">
        <w:rPr>
          <w:b/>
          <w:szCs w:val="24"/>
          <w:lang w:eastAsia="en-US"/>
        </w:rPr>
        <w:t xml:space="preserve"> [Am. 95.]</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na usmeni ili pisani zahtjev krajnjeg korisnika;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ako je digitalna oznaka privremeno nedostupna, uključujući u trenutku kupnje.</w:t>
      </w:r>
    </w:p>
    <w:p w:rsidR="001169ED" w:rsidRPr="00BC3448" w:rsidRDefault="001169ED" w:rsidP="001169ED">
      <w:pPr>
        <w:spacing w:before="120" w:after="120" w:line="360" w:lineRule="auto"/>
        <w:ind w:left="850"/>
        <w:rPr>
          <w:szCs w:val="24"/>
          <w:lang w:eastAsia="en-US"/>
        </w:rPr>
      </w:pPr>
      <w:r w:rsidRPr="00BC3448">
        <w:rPr>
          <w:szCs w:val="24"/>
          <w:lang w:eastAsia="en-US"/>
        </w:rPr>
        <w:t>Gospodarski subjekti pružaju informacije iz prvog podstavka neovisno o kupnji deterdženta ili površinski aktivne tvari, i to besplatno.</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POGLAVLJE V.</w:t>
      </w:r>
      <w:r w:rsidRPr="00BC3448">
        <w:rPr>
          <w:szCs w:val="24"/>
          <w:lang w:eastAsia="en-US"/>
        </w:rPr>
        <w:br/>
        <w:t>PUTOVNICA ZA PROIZVODE</w:t>
      </w:r>
    </w:p>
    <w:p w:rsidR="001169ED" w:rsidRPr="00BC3448" w:rsidRDefault="001169ED" w:rsidP="001169ED">
      <w:pPr>
        <w:spacing w:before="120" w:after="120" w:line="360" w:lineRule="auto"/>
        <w:jc w:val="center"/>
        <w:rPr>
          <w:szCs w:val="24"/>
          <w:lang w:eastAsia="en-US"/>
        </w:rPr>
      </w:pPr>
      <w:r w:rsidRPr="00BC3448">
        <w:rPr>
          <w:szCs w:val="24"/>
          <w:lang w:eastAsia="en-US"/>
        </w:rPr>
        <w:t>Članak 18.</w:t>
      </w:r>
      <w:r w:rsidRPr="00BC3448">
        <w:rPr>
          <w:szCs w:val="24"/>
          <w:lang w:eastAsia="en-US"/>
        </w:rPr>
        <w:br/>
        <w:t xml:space="preserve">Putovnica za proizvode </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Prije stavljanja deterdženta ili površinski aktivne tvari na tržište proizvođači za te proizvode izrađuju putovnicu za proizvode. Putovnica za proizvode ispunjava zahtjeve utvrđene u ovom članku i članku 19.</w:t>
      </w:r>
    </w:p>
    <w:p w:rsidR="001169ED" w:rsidRPr="00BC3448" w:rsidRDefault="001169ED" w:rsidP="001169ED">
      <w:pPr>
        <w:spacing w:before="120" w:after="120" w:line="360" w:lineRule="auto"/>
        <w:ind w:left="850"/>
        <w:rPr>
          <w:b/>
          <w:szCs w:val="24"/>
          <w:lang w:eastAsia="en-US"/>
        </w:rPr>
      </w:pPr>
      <w:r w:rsidRPr="00BC3448">
        <w:rPr>
          <w:b/>
          <w:i/>
          <w:szCs w:val="24"/>
          <w:lang w:eastAsia="en-US"/>
        </w:rPr>
        <w:t>Ta se obveza primjenjuje 18 mjeseci od stupanja na snagu provedbenog akta donesenog u skladu sa stavkom 9.</w:t>
      </w:r>
      <w:r w:rsidR="0084624C" w:rsidRPr="00BC3448">
        <w:rPr>
          <w:b/>
          <w:szCs w:val="24"/>
          <w:lang w:eastAsia="en-US"/>
        </w:rPr>
        <w:t xml:space="preserve"> [Am. 96.]</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Putovnica za proizvode mora ispunjavati sljedeće zahtjeve: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t>mora odgovarati</w:t>
      </w:r>
      <w:r w:rsidRPr="00BC3448">
        <w:rPr>
          <w:b/>
          <w:i/>
          <w:szCs w:val="24"/>
          <w:lang w:eastAsia="en-US"/>
        </w:rPr>
        <w:t xml:space="preserve"> posebnom modelu koji se ažurira pri izmjeni popisa sastojaka ili, prema potrebi,</w:t>
      </w:r>
      <w:r w:rsidRPr="00BC3448">
        <w:rPr>
          <w:szCs w:val="24"/>
          <w:lang w:eastAsia="en-US"/>
        </w:rPr>
        <w:t xml:space="preserve"> određenoj seriji </w:t>
      </w:r>
      <w:proofErr w:type="spellStart"/>
      <w:r w:rsidRPr="00BC3448">
        <w:rPr>
          <w:strike/>
          <w:szCs w:val="24"/>
          <w:lang w:eastAsia="en-US"/>
        </w:rPr>
        <w:t>deterdženta</w:t>
      </w:r>
      <w:r w:rsidRPr="00BC3448">
        <w:rPr>
          <w:b/>
          <w:i/>
          <w:szCs w:val="24"/>
          <w:lang w:eastAsia="en-US"/>
        </w:rPr>
        <w:t>deterdženata</w:t>
      </w:r>
      <w:proofErr w:type="spellEnd"/>
      <w:r w:rsidRPr="00BC3448">
        <w:rPr>
          <w:szCs w:val="24"/>
          <w:lang w:eastAsia="en-US"/>
        </w:rPr>
        <w:t xml:space="preserve"> ili površinski aktivne tvari;</w:t>
      </w:r>
      <w:r w:rsidR="0084624C" w:rsidRPr="00BC3448">
        <w:rPr>
          <w:b/>
          <w:szCs w:val="24"/>
          <w:lang w:eastAsia="en-US"/>
        </w:rPr>
        <w:t xml:space="preserve"> [Am. 97.]</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mora navoditi da je dokazana sukladnost deterdženta ili površinski aktivne tvari sa zahtjevima utvrđenima u ovoj Uredbi kao i, prema potrebi, primijenjene metode ispitivanja;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mora sadržavati barem informacije iz Priloga VI.;</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(d)</w:t>
      </w:r>
      <w:r w:rsidRPr="00BC3448">
        <w:rPr>
          <w:szCs w:val="24"/>
          <w:lang w:eastAsia="en-US"/>
        </w:rPr>
        <w:tab/>
        <w:t>mora biti ažurna</w:t>
      </w:r>
      <w:r w:rsidRPr="00BC3448">
        <w:rPr>
          <w:b/>
          <w:i/>
          <w:szCs w:val="24"/>
          <w:lang w:eastAsia="en-US"/>
        </w:rPr>
        <w:t>, točna i potpuna</w:t>
      </w:r>
      <w:r w:rsidRPr="00BC3448">
        <w:rPr>
          <w:szCs w:val="24"/>
          <w:lang w:eastAsia="en-US"/>
        </w:rPr>
        <w:t>;</w:t>
      </w:r>
      <w:r w:rsidR="0084624C" w:rsidRPr="00BC3448">
        <w:rPr>
          <w:b/>
          <w:szCs w:val="24"/>
          <w:lang w:eastAsia="en-US"/>
        </w:rPr>
        <w:t xml:space="preserve"> [Am. 98.]</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t>mora biti dostupna na jeziku ili jezicima koje zahtijeva država članica u kojoj je deterdžent ili površinski aktivna tvar stavljena na tržište ili stavljena na raspolaganje na tržištu;</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(f)</w:t>
      </w:r>
      <w:r w:rsidRPr="00BC3448">
        <w:rPr>
          <w:szCs w:val="24"/>
          <w:lang w:eastAsia="en-US"/>
        </w:rPr>
        <w:tab/>
        <w:t xml:space="preserve">mora biti </w:t>
      </w:r>
      <w:r w:rsidRPr="00BC3448">
        <w:rPr>
          <w:b/>
          <w:i/>
          <w:szCs w:val="24"/>
          <w:lang w:eastAsia="en-US"/>
        </w:rPr>
        <w:t xml:space="preserve">lako </w:t>
      </w:r>
      <w:r w:rsidRPr="00BC3448">
        <w:rPr>
          <w:szCs w:val="24"/>
          <w:lang w:eastAsia="en-US"/>
        </w:rPr>
        <w:t>dostupna</w:t>
      </w:r>
      <w:r w:rsidRPr="00BC3448">
        <w:rPr>
          <w:b/>
          <w:i/>
          <w:szCs w:val="24"/>
          <w:lang w:eastAsia="en-US"/>
        </w:rPr>
        <w:t xml:space="preserve"> potrošačima,</w:t>
      </w:r>
      <w:r w:rsidRPr="00BC3448">
        <w:rPr>
          <w:szCs w:val="24"/>
          <w:lang w:eastAsia="en-US"/>
        </w:rPr>
        <w:t xml:space="preserve"> krajnjim korisnicima</w:t>
      </w:r>
      <w:r w:rsidRPr="00BC3448">
        <w:rPr>
          <w:b/>
          <w:i/>
          <w:szCs w:val="24"/>
          <w:lang w:eastAsia="en-US"/>
        </w:rPr>
        <w:t>, proizvođačima, uvoznicima, distributerima, nadležnim nacionalnim tijelima</w:t>
      </w:r>
      <w:r w:rsidRPr="00BC3448">
        <w:rPr>
          <w:szCs w:val="24"/>
          <w:lang w:eastAsia="en-US"/>
        </w:rPr>
        <w:t>, tijelima za nadzor tržišta, carinskim tijelima, Komisiji</w:t>
      </w:r>
      <w:r w:rsidRPr="00BC3448">
        <w:rPr>
          <w:strike/>
          <w:szCs w:val="24"/>
          <w:lang w:eastAsia="en-US"/>
        </w:rPr>
        <w:t xml:space="preserve"> i</w:t>
      </w:r>
      <w:r w:rsidRPr="00BC3448">
        <w:rPr>
          <w:b/>
          <w:i/>
          <w:szCs w:val="24"/>
          <w:lang w:eastAsia="en-US"/>
        </w:rPr>
        <w:t>,</w:t>
      </w:r>
      <w:r w:rsidRPr="00BC3448">
        <w:rPr>
          <w:szCs w:val="24"/>
          <w:lang w:eastAsia="en-US"/>
        </w:rPr>
        <w:t xml:space="preserve"> drugim gospodarskim subjektima</w:t>
      </w:r>
      <w:r w:rsidRPr="00BC3448">
        <w:rPr>
          <w:b/>
          <w:i/>
          <w:szCs w:val="24"/>
          <w:lang w:eastAsia="en-US"/>
        </w:rPr>
        <w:t xml:space="preserve"> i drugim relevantnim dionicima, kao što su organizacije civilnog društva i istraživači</w:t>
      </w:r>
      <w:r w:rsidRPr="00BC3448">
        <w:rPr>
          <w:szCs w:val="24"/>
          <w:lang w:eastAsia="en-US"/>
        </w:rPr>
        <w:t>;</w:t>
      </w:r>
      <w:r w:rsidR="0084624C" w:rsidRPr="00BC3448">
        <w:rPr>
          <w:b/>
          <w:szCs w:val="24"/>
          <w:lang w:eastAsia="en-US"/>
        </w:rPr>
        <w:t xml:space="preserve"> [Am. 99.]</w:t>
      </w:r>
    </w:p>
    <w:p w:rsidR="001169ED" w:rsidRPr="00BC3448" w:rsidRDefault="001169ED" w:rsidP="001169ED">
      <w:pPr>
        <w:spacing w:before="120" w:after="120" w:line="360" w:lineRule="auto"/>
        <w:ind w:left="1416" w:hanging="566"/>
        <w:rPr>
          <w:szCs w:val="24"/>
          <w:lang w:eastAsia="en-US"/>
        </w:rPr>
      </w:pPr>
      <w:r w:rsidRPr="00BC3448">
        <w:rPr>
          <w:szCs w:val="24"/>
          <w:lang w:eastAsia="en-US"/>
        </w:rPr>
        <w:t>(g)</w:t>
      </w:r>
      <w:r w:rsidRPr="00BC3448">
        <w:rPr>
          <w:szCs w:val="24"/>
          <w:lang w:eastAsia="en-US"/>
        </w:rPr>
        <w:tab/>
        <w:t>mora biti dostupna u razdoblju od 10 godina nakon što je deterdžent ili površinski aktivna tvar stavljena na tržište, među ostalim i u slučajevima nesolventnosti, likvidacije ili prestanka djelatnosti u Uniji gospodarskog subjekta koji je izradio tu putovnicu za proizvode;</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(h)</w:t>
      </w:r>
      <w:r w:rsidRPr="00BC3448">
        <w:rPr>
          <w:szCs w:val="24"/>
          <w:lang w:eastAsia="en-US"/>
        </w:rPr>
        <w:tab/>
        <w:t>mora biti dostupna putem nosača podataka;</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(i)</w:t>
      </w:r>
      <w:r w:rsidRPr="00BC3448">
        <w:rPr>
          <w:szCs w:val="24"/>
          <w:lang w:eastAsia="en-US"/>
        </w:rPr>
        <w:tab/>
        <w:t xml:space="preserve">mora ispunjavati posebne i tehničke zahtjeve utvrđene u skladu sa stavkom </w:t>
      </w:r>
      <w:r w:rsidRPr="00BC3448">
        <w:rPr>
          <w:strike/>
          <w:szCs w:val="24"/>
          <w:lang w:eastAsia="en-US"/>
        </w:rPr>
        <w:t>8</w:t>
      </w:r>
      <w:r w:rsidRPr="00BC3448">
        <w:rPr>
          <w:b/>
          <w:i/>
          <w:szCs w:val="24"/>
          <w:lang w:eastAsia="en-US"/>
        </w:rPr>
        <w:t>9</w:t>
      </w:r>
      <w:r w:rsidRPr="00BC3448">
        <w:rPr>
          <w:szCs w:val="24"/>
          <w:lang w:eastAsia="en-US"/>
        </w:rPr>
        <w:t>.</w:t>
      </w:r>
      <w:r w:rsidR="0084624C" w:rsidRPr="00BC3448">
        <w:rPr>
          <w:b/>
          <w:szCs w:val="24"/>
          <w:lang w:eastAsia="en-US"/>
        </w:rPr>
        <w:t xml:space="preserve"> [Am. 100.]</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 xml:space="preserve">Nosač podataka mora biti fizički prisutan na deterdžentu ili površinski aktivnoj tvari, njihovu pakiranju ili popratnoj dokumentaciji, u skladu s provedbenim aktom iz stavka </w:t>
      </w:r>
      <w:r w:rsidRPr="00BC3448">
        <w:rPr>
          <w:strike/>
          <w:szCs w:val="24"/>
          <w:lang w:eastAsia="en-US"/>
        </w:rPr>
        <w:t>8</w:t>
      </w:r>
      <w:r w:rsidRPr="00BC3448">
        <w:rPr>
          <w:b/>
          <w:i/>
          <w:szCs w:val="24"/>
          <w:lang w:eastAsia="en-US"/>
        </w:rPr>
        <w:t>9</w:t>
      </w:r>
      <w:r w:rsidRPr="00BC3448">
        <w:rPr>
          <w:szCs w:val="24"/>
          <w:lang w:eastAsia="en-US"/>
        </w:rPr>
        <w:t>.</w:t>
      </w:r>
      <w:r w:rsidR="0084624C" w:rsidRPr="00BC3448">
        <w:rPr>
          <w:b/>
          <w:szCs w:val="24"/>
          <w:lang w:eastAsia="en-US"/>
        </w:rPr>
        <w:t xml:space="preserve"> [Am. 101.]</w:t>
      </w:r>
    </w:p>
    <w:p w:rsidR="001169ED" w:rsidRPr="00BC3448" w:rsidRDefault="001169ED" w:rsidP="001169ED">
      <w:pPr>
        <w:spacing w:before="120" w:after="120" w:line="360" w:lineRule="auto"/>
        <w:ind w:left="850"/>
        <w:rPr>
          <w:szCs w:val="24"/>
          <w:lang w:eastAsia="en-US"/>
        </w:rPr>
      </w:pPr>
      <w:r w:rsidRPr="00BC3448">
        <w:rPr>
          <w:szCs w:val="24"/>
          <w:lang w:eastAsia="en-US"/>
        </w:rPr>
        <w:t>Osim zahtjeva iz prvog podstavka, ako se deterdženti i površinski aktivne tvari stavljaju na raspolaganje na tržištu u obliku ponovnog punjenja, nosač podataka mora biti prisutan na stanici za ponovno punjenje.</w:t>
      </w:r>
    </w:p>
    <w:p w:rsidR="001169ED" w:rsidRPr="00BC3448" w:rsidRDefault="001169ED" w:rsidP="001169ED">
      <w:pPr>
        <w:spacing w:before="120" w:after="120" w:line="360" w:lineRule="auto"/>
        <w:ind w:left="850"/>
        <w:rPr>
          <w:b/>
          <w:szCs w:val="24"/>
          <w:lang w:eastAsia="en-US"/>
        </w:rPr>
      </w:pPr>
      <w:r w:rsidRPr="00BC3448">
        <w:rPr>
          <w:szCs w:val="24"/>
          <w:lang w:eastAsia="en-US"/>
        </w:rPr>
        <w:t>Nosač podataka mora biti jasno vidljiv krajnjem korisniku prije kupnje kao i tijelima za nadzor tržišta, uključujući, prema potrebi, u slučajevima kad je deterdžent ili površinski aktivna tvar stavljena na raspolaganje prodajom na daljinu</w:t>
      </w:r>
      <w:r w:rsidRPr="00BC3448">
        <w:rPr>
          <w:b/>
          <w:i/>
          <w:szCs w:val="24"/>
          <w:lang w:eastAsia="en-US"/>
        </w:rPr>
        <w:t xml:space="preserve"> na početnoj stranici internetske stranice proizvoda</w:t>
      </w:r>
      <w:r w:rsidRPr="00BC3448">
        <w:rPr>
          <w:szCs w:val="24"/>
          <w:lang w:eastAsia="en-US"/>
        </w:rPr>
        <w:t>.</w:t>
      </w:r>
      <w:r w:rsidR="0084624C" w:rsidRPr="00BC3448">
        <w:rPr>
          <w:b/>
          <w:szCs w:val="24"/>
          <w:lang w:eastAsia="en-US"/>
        </w:rPr>
        <w:t xml:space="preserve"> [Am. 102.]</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Ako gospodarski subjekti omogućuju digitalnu oznaku, za pristup putovnici za proizvode i digitalnoj oznaci upotrebljava se jedan nosač podataka.</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Ako se drugim zakonodavstvom Unije zahtijeva da informacije na deterdžentu ili površinski aktivnoj tvari budu dostupne putem nosača podataka, za pružanje informacija koje se zahtijevaju na temelju ove Uredbe i drugog zakonodavstva Unije upotrebljava se jedan nosač podataka.</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Ako se drugim zakonodavstvom Unije koje se primjenjuje na deterdžente i površinski aktivne tvari zahtijeva putovnica za proizvode, za deterdžente i površinski aktivne tvari izrađuje se jedna putovnica za proizvode koja sadržava informacije utvrđene u stavku 2. i sve druge informacije koje se tim drugim zakonodavstvom Unije zahtijevaju za putovnicu za proizvode.</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Gospodarski subjekti mogu, uz informacije iz stavaka 5. i 6., omogućiti pristup i drugim informacijama putem nosača podataka iz stavka 6. U tom se slučaju te informacije jasno odvajaju od informacija koje se zahtijevaju na temelju ove Uredbe i, prema potrebi, na temelju drugog zakonodavstva Unije.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Izradom putovnice za proizvode proizvođač preuzima odgovornost za sukladnost deterdženta ili površinski aktivne tvari s ovom Uredbom.</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9.</w:t>
      </w:r>
      <w:r w:rsidRPr="00BC3448">
        <w:rPr>
          <w:szCs w:val="24"/>
          <w:lang w:eastAsia="en-US"/>
        </w:rPr>
        <w:tab/>
      </w:r>
      <w:r w:rsidRPr="00BC3448">
        <w:rPr>
          <w:b/>
          <w:i/>
          <w:szCs w:val="24"/>
          <w:lang w:eastAsia="en-US"/>
        </w:rPr>
        <w:t xml:space="preserve">Do... [12 mjeseci od stupanja na snagu ove Uredbe] </w:t>
      </w:r>
      <w:r w:rsidRPr="00BC3448">
        <w:rPr>
          <w:szCs w:val="24"/>
          <w:lang w:eastAsia="en-US"/>
        </w:rPr>
        <w:t>Komisija donosi provedbeni akt kojim se utvrđuju posebni i tehnički zahtjevi povezani s putovnicom za proizvode za deterdžente i površinski aktivne tvari. Tim se zahtjevima utvrđuje barem sljedeće:</w:t>
      </w:r>
      <w:r w:rsidR="0084624C" w:rsidRPr="00BC3448">
        <w:rPr>
          <w:b/>
          <w:szCs w:val="24"/>
          <w:lang w:eastAsia="en-US"/>
        </w:rPr>
        <w:t xml:space="preserve"> [Am. 103.]</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vrste nosača podataka koje se trebaju upotrebljavati;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okruženje u kojem je predstavljen nosač podataka i njegov položaj;</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tehničke elemente putovnice za koje se upotrebljavaju definirane europske ili međunarodne norme;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subjekte koji mogu unijeti ili ažurirati informacije u putovnicu za proizvode, uključujući, prema potrebi, izradu nove putovnice za proizvode, što uključuje proizvođače, nadležna nacionalna tijela i Komisiju ili bilo koju organizaciju koja djeluje u njihovo ime, kao i vrste informacija koje oni mogu unositi ili ažurirati.</w:t>
      </w:r>
    </w:p>
    <w:p w:rsidR="001169ED" w:rsidRPr="00BC3448" w:rsidRDefault="001169ED" w:rsidP="001169ED">
      <w:pPr>
        <w:spacing w:before="120" w:after="120" w:line="360" w:lineRule="auto"/>
        <w:ind w:left="850"/>
        <w:rPr>
          <w:szCs w:val="24"/>
          <w:lang w:eastAsia="en-US"/>
        </w:rPr>
      </w:pPr>
      <w:r w:rsidRPr="00BC3448">
        <w:rPr>
          <w:szCs w:val="24"/>
          <w:lang w:eastAsia="en-US"/>
        </w:rPr>
        <w:t>Ti se provedbeni akti donose u skladu s postupkom ispitivanja iz članka 28. stavka 2.</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19.</w:t>
      </w:r>
      <w:r w:rsidRPr="00BC3448">
        <w:rPr>
          <w:szCs w:val="24"/>
          <w:lang w:eastAsia="en-US"/>
        </w:rPr>
        <w:br/>
        <w:t>Tehničko rješenje i funkcioniranje putovnice za proizvode</w:t>
      </w:r>
    </w:p>
    <w:p w:rsidR="001169ED" w:rsidRPr="00BC3448" w:rsidRDefault="001169ED" w:rsidP="001169ED">
      <w:pPr>
        <w:spacing w:before="120" w:after="120" w:line="360" w:lineRule="auto"/>
        <w:rPr>
          <w:szCs w:val="24"/>
          <w:lang w:eastAsia="en-US"/>
        </w:rPr>
      </w:pPr>
      <w:r w:rsidRPr="00BC3448">
        <w:rPr>
          <w:szCs w:val="24"/>
          <w:lang w:eastAsia="en-US"/>
        </w:rPr>
        <w:t>Tehničko rješenje i funkcioniranje putovnice za proizvode moraju biti u skladu sa sljedećim zahtjevima:</w:t>
      </w:r>
    </w:p>
    <w:p w:rsidR="001169ED" w:rsidRPr="00BC3448" w:rsidRDefault="001169ED" w:rsidP="001169ED">
      <w:pPr>
        <w:spacing w:before="120" w:after="120" w:line="360" w:lineRule="auto"/>
        <w:ind w:left="850" w:hanging="850"/>
        <w:rPr>
          <w:szCs w:val="24"/>
          <w:lang w:eastAsia="en-US"/>
        </w:rPr>
      </w:pPr>
      <w:r w:rsidRPr="00BC3448">
        <w:rPr>
          <w:szCs w:val="24"/>
          <w:lang w:eastAsia="en-US"/>
        </w:rPr>
        <w:t>(a)</w:t>
      </w:r>
      <w:r w:rsidRPr="00BC3448">
        <w:rPr>
          <w:szCs w:val="24"/>
          <w:lang w:eastAsia="en-US"/>
        </w:rPr>
        <w:tab/>
        <w:t xml:space="preserve">putovnice za proizvode izrađene na temelju ove Uredbe moraju biti potpuno </w:t>
      </w:r>
      <w:proofErr w:type="spellStart"/>
      <w:r w:rsidRPr="00BC3448">
        <w:rPr>
          <w:szCs w:val="24"/>
          <w:lang w:eastAsia="en-US"/>
        </w:rPr>
        <w:t>interoperabilne</w:t>
      </w:r>
      <w:proofErr w:type="spellEnd"/>
      <w:r w:rsidRPr="00BC3448">
        <w:rPr>
          <w:szCs w:val="24"/>
          <w:lang w:eastAsia="en-US"/>
        </w:rPr>
        <w:t xml:space="preserve"> s putovnicama za proizvode koje se zahtijevaju drugim zakonodavstvom Unije povezanim s tehničkim, semantičkim i organizacijskim aspektima komunikacije s kraja na kraj i prijenosa podataka;</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(b)</w:t>
      </w:r>
      <w:r w:rsidRPr="00BC3448">
        <w:rPr>
          <w:szCs w:val="24"/>
          <w:lang w:eastAsia="en-US"/>
        </w:rPr>
        <w:tab/>
        <w:t xml:space="preserve">sve informacije uvrštene u putovnicu za proizvode moraju se temeljiti na otvorenim standardima razvijenima u </w:t>
      </w:r>
      <w:proofErr w:type="spellStart"/>
      <w:r w:rsidRPr="00BC3448">
        <w:rPr>
          <w:szCs w:val="24"/>
          <w:lang w:eastAsia="en-US"/>
        </w:rPr>
        <w:t>interoperabilnom</w:t>
      </w:r>
      <w:proofErr w:type="spellEnd"/>
      <w:r w:rsidRPr="00BC3448">
        <w:rPr>
          <w:szCs w:val="24"/>
          <w:lang w:eastAsia="en-US"/>
        </w:rPr>
        <w:t xml:space="preserve"> formatu i </w:t>
      </w:r>
      <w:r w:rsidRPr="00BC3448">
        <w:rPr>
          <w:b/>
          <w:i/>
          <w:szCs w:val="24"/>
          <w:lang w:eastAsia="en-US"/>
        </w:rPr>
        <w:t xml:space="preserve">moraju, prema potrebi, </w:t>
      </w:r>
      <w:r w:rsidRPr="00BC3448">
        <w:rPr>
          <w:szCs w:val="24"/>
          <w:lang w:eastAsia="en-US"/>
        </w:rPr>
        <w:t>biti strojno čitljive, strukturirane</w:t>
      </w:r>
      <w:r w:rsidRPr="00BC3448">
        <w:rPr>
          <w:strike/>
          <w:szCs w:val="24"/>
          <w:lang w:eastAsia="en-US"/>
        </w:rPr>
        <w:t xml:space="preserve"> i</w:t>
      </w:r>
      <w:r w:rsidRPr="00BC3448">
        <w:rPr>
          <w:b/>
          <w:i/>
          <w:szCs w:val="24"/>
          <w:lang w:eastAsia="en-US"/>
        </w:rPr>
        <w:t>,</w:t>
      </w:r>
      <w:r w:rsidRPr="00BC3448">
        <w:rPr>
          <w:szCs w:val="24"/>
          <w:lang w:eastAsia="en-US"/>
        </w:rPr>
        <w:t xml:space="preserve"> </w:t>
      </w:r>
      <w:proofErr w:type="spellStart"/>
      <w:r w:rsidRPr="00BC3448">
        <w:rPr>
          <w:szCs w:val="24"/>
          <w:lang w:eastAsia="en-US"/>
        </w:rPr>
        <w:t>pretražive</w:t>
      </w:r>
      <w:proofErr w:type="spellEnd"/>
      <w:r w:rsidRPr="00BC3448">
        <w:rPr>
          <w:b/>
          <w:i/>
          <w:szCs w:val="24"/>
          <w:lang w:eastAsia="en-US"/>
        </w:rPr>
        <w:t xml:space="preserve"> te prenosive putem otvorene </w:t>
      </w:r>
      <w:proofErr w:type="spellStart"/>
      <w:r w:rsidRPr="00BC3448">
        <w:rPr>
          <w:b/>
          <w:i/>
          <w:szCs w:val="24"/>
          <w:lang w:eastAsia="en-US"/>
        </w:rPr>
        <w:t>interoperabilne</w:t>
      </w:r>
      <w:proofErr w:type="spellEnd"/>
      <w:r w:rsidRPr="00BC3448">
        <w:rPr>
          <w:b/>
          <w:i/>
          <w:szCs w:val="24"/>
          <w:lang w:eastAsia="en-US"/>
        </w:rPr>
        <w:t xml:space="preserve"> mreže za razmjenu podataka bez stvaranja ovisnosti o određenom dobavljaču</w:t>
      </w:r>
      <w:r w:rsidRPr="00BC3448">
        <w:rPr>
          <w:szCs w:val="24"/>
          <w:lang w:eastAsia="en-US"/>
        </w:rPr>
        <w:t>;</w:t>
      </w:r>
      <w:r w:rsidR="0084624C" w:rsidRPr="00BC3448">
        <w:rPr>
          <w:b/>
          <w:szCs w:val="24"/>
          <w:lang w:eastAsia="en-US"/>
        </w:rPr>
        <w:t xml:space="preserve"> [Am. 104.]</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w:t>
      </w:r>
      <w:proofErr w:type="spellStart"/>
      <w:r w:rsidRPr="00BC3448">
        <w:rPr>
          <w:b/>
          <w:i/>
          <w:szCs w:val="24"/>
          <w:lang w:eastAsia="en-US"/>
        </w:rPr>
        <w:t>ba</w:t>
      </w:r>
      <w:proofErr w:type="spellEnd"/>
      <w:r w:rsidRPr="00BC3448">
        <w:rPr>
          <w:b/>
          <w:i/>
          <w:szCs w:val="24"/>
          <w:lang w:eastAsia="en-US"/>
        </w:rPr>
        <w:t>)</w:t>
      </w:r>
      <w:r w:rsidRPr="00BC3448">
        <w:rPr>
          <w:szCs w:val="24"/>
          <w:lang w:eastAsia="en-US"/>
        </w:rPr>
        <w:tab/>
      </w:r>
      <w:r w:rsidRPr="00BC3448">
        <w:rPr>
          <w:b/>
          <w:i/>
          <w:szCs w:val="24"/>
          <w:lang w:eastAsia="en-US"/>
        </w:rPr>
        <w:t>putovnice za proizvode osmišljene su i njima se upravlja na način prilagođen korisnicima;</w:t>
      </w:r>
      <w:r w:rsidR="0084624C" w:rsidRPr="00BC3448">
        <w:rPr>
          <w:b/>
          <w:szCs w:val="24"/>
          <w:lang w:eastAsia="en-US"/>
        </w:rPr>
        <w:t xml:space="preserve"> [Am. 105.]</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(c)</w:t>
      </w:r>
      <w:r w:rsidRPr="00BC3448">
        <w:rPr>
          <w:szCs w:val="24"/>
          <w:lang w:eastAsia="en-US"/>
        </w:rPr>
        <w:tab/>
        <w:t xml:space="preserve">krajnji korisnici, gospodarski subjekti i drugi relevantni subjekti moraju imati </w:t>
      </w:r>
      <w:proofErr w:type="spellStart"/>
      <w:r w:rsidRPr="00BC3448">
        <w:rPr>
          <w:strike/>
          <w:szCs w:val="24"/>
          <w:lang w:eastAsia="en-US"/>
        </w:rPr>
        <w:t>besplatan</w:t>
      </w:r>
      <w:r w:rsidRPr="00BC3448">
        <w:rPr>
          <w:b/>
          <w:i/>
          <w:szCs w:val="24"/>
          <w:lang w:eastAsia="en-US"/>
        </w:rPr>
        <w:t>jednostavan</w:t>
      </w:r>
      <w:proofErr w:type="spellEnd"/>
      <w:r w:rsidRPr="00BC3448">
        <w:rPr>
          <w:szCs w:val="24"/>
          <w:lang w:eastAsia="en-US"/>
        </w:rPr>
        <w:t xml:space="preserve"> pristup putovnici za proizvode</w:t>
      </w:r>
      <w:r w:rsidRPr="00BC3448">
        <w:rPr>
          <w:b/>
          <w:i/>
          <w:szCs w:val="24"/>
          <w:lang w:eastAsia="en-US"/>
        </w:rPr>
        <w:t>, bez ograničavanja pristupa na postojeće korisnike</w:t>
      </w:r>
      <w:r w:rsidRPr="00BC3448">
        <w:rPr>
          <w:szCs w:val="24"/>
          <w:lang w:eastAsia="en-US"/>
        </w:rPr>
        <w:t>;</w:t>
      </w:r>
      <w:r w:rsidR="0084624C" w:rsidRPr="00BC3448">
        <w:rPr>
          <w:b/>
          <w:szCs w:val="24"/>
          <w:lang w:eastAsia="en-US"/>
        </w:rPr>
        <w:t xml:space="preserve"> [Am. 106.]</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(d)</w:t>
      </w:r>
      <w:r w:rsidRPr="00BC3448">
        <w:rPr>
          <w:szCs w:val="24"/>
          <w:lang w:eastAsia="en-US"/>
        </w:rPr>
        <w:tab/>
        <w:t>podatke sadržane u putovnici za proizvode mora pohraniti</w:t>
      </w:r>
      <w:r w:rsidRPr="00BC3448">
        <w:rPr>
          <w:b/>
          <w:i/>
          <w:szCs w:val="24"/>
          <w:lang w:eastAsia="en-US"/>
        </w:rPr>
        <w:t xml:space="preserve"> i ažurirati</w:t>
      </w:r>
      <w:r w:rsidRPr="00BC3448">
        <w:rPr>
          <w:szCs w:val="24"/>
          <w:lang w:eastAsia="en-US"/>
        </w:rPr>
        <w:t xml:space="preserve"> gospodarski subjekt odgovoran za njezinu izradu ili subjekti ovlašteni da djeluju u njegovo ime;</w:t>
      </w:r>
      <w:r w:rsidR="0084624C" w:rsidRPr="00BC3448">
        <w:rPr>
          <w:b/>
          <w:szCs w:val="24"/>
          <w:lang w:eastAsia="en-US"/>
        </w:rPr>
        <w:t xml:space="preserve"> [Am. 107.]</w:t>
      </w:r>
    </w:p>
    <w:p w:rsidR="001169ED" w:rsidRPr="00BC3448" w:rsidRDefault="001169ED" w:rsidP="001169ED">
      <w:pPr>
        <w:spacing w:before="120" w:after="120" w:line="360" w:lineRule="auto"/>
        <w:ind w:left="850" w:hanging="850"/>
        <w:rPr>
          <w:szCs w:val="24"/>
          <w:lang w:eastAsia="en-US"/>
        </w:rPr>
      </w:pPr>
      <w:r w:rsidRPr="00BC3448">
        <w:rPr>
          <w:szCs w:val="24"/>
          <w:lang w:eastAsia="en-US"/>
        </w:rPr>
        <w:t>(e)</w:t>
      </w:r>
      <w:r w:rsidRPr="00BC3448">
        <w:rPr>
          <w:szCs w:val="24"/>
          <w:lang w:eastAsia="en-US"/>
        </w:rPr>
        <w:tab/>
        <w:t>ako podatke sadržane u putovnici za proizvode pohranjuju ili na drugi način obrađuju subjekti ovlašteni da djeluju u ime gospodarskih subjekata koji stavljaju deterdžent ili površinski aktivnu tvar na tržište, tim se subjektima ne dopušta prodaja, ponovna upotreba ili obrada takvih podataka, u cijelosti ili djelomično, osim onih podataka koji su potrebni za pružanje relevantnih usluga pohrane ili obrade;</w:t>
      </w:r>
    </w:p>
    <w:p w:rsidR="001169ED" w:rsidRPr="00BC3448" w:rsidRDefault="001169ED" w:rsidP="001169ED">
      <w:pPr>
        <w:spacing w:before="120" w:after="120" w:line="360" w:lineRule="auto"/>
        <w:ind w:left="850" w:hanging="850"/>
        <w:rPr>
          <w:szCs w:val="24"/>
          <w:lang w:eastAsia="en-US"/>
        </w:rPr>
      </w:pPr>
      <w:r w:rsidRPr="00BC3448">
        <w:rPr>
          <w:szCs w:val="24"/>
          <w:lang w:eastAsia="en-US"/>
        </w:rPr>
        <w:t>(f)</w:t>
      </w:r>
      <w:r w:rsidRPr="00BC3448">
        <w:rPr>
          <w:szCs w:val="24"/>
          <w:lang w:eastAsia="en-US"/>
        </w:rPr>
        <w:tab/>
        <w:t>gospodarski subjekti ne smiju pratiti, analizirati ili upotrebljavati informacije o upotrebi u bilo koje svrhe osim onih koje su apsolutno potrebne za pružanje informacija u putovnici za proizvode na internetu.</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20.</w:t>
      </w:r>
      <w:r w:rsidRPr="00BC3448">
        <w:rPr>
          <w:szCs w:val="24"/>
          <w:lang w:eastAsia="en-US"/>
        </w:rPr>
        <w:br/>
        <w:t>Registar putovnica za proizvode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Prije stavljanja deterdženta ili površinski aktivne tvari na tržište gospodarski subjekti u registar uspostavljen u skladu s člankom 12. stavkom 1. Uredbe (EU) .../... o ekološkom dizajnu za održive proizvode unose jedinstvenu identifikacijsku oznaku proizvoda i jedinstvenu identifikacijsku oznaku subjekta za taj deterdžent ili površinski aktivnu tvar.</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Komisija, tijela za nadzor tržišta i carinska tijela imaju pristup registru iz stavka 1. radi obavljanja svojih dužnosti u skladu s ovom Uredbom.</w:t>
      </w:r>
    </w:p>
    <w:p w:rsidR="001169ED" w:rsidRPr="00BC3448" w:rsidRDefault="001169ED" w:rsidP="001169ED">
      <w:pPr>
        <w:spacing w:before="120" w:after="120" w:line="360" w:lineRule="auto"/>
        <w:jc w:val="center"/>
        <w:rPr>
          <w:szCs w:val="24"/>
          <w:lang w:eastAsia="en-US"/>
        </w:rPr>
      </w:pPr>
      <w:r w:rsidRPr="00BC3448">
        <w:rPr>
          <w:szCs w:val="24"/>
          <w:lang w:eastAsia="en-US"/>
        </w:rPr>
        <w:t>Članak 21.</w:t>
      </w:r>
      <w:r w:rsidRPr="00BC3448">
        <w:rPr>
          <w:szCs w:val="24"/>
          <w:lang w:eastAsia="en-US"/>
        </w:rPr>
        <w:br/>
        <w:t>Carinska kontrola povezana s putovnicom za proizvode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Deterdženti i površinski aktivne tvari koji ulaze na tržište Unije podliježu provjerama i drugim mjerama utvrđenima u ovom članku.</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r>
      <w:proofErr w:type="spellStart"/>
      <w:r w:rsidRPr="00BC3448">
        <w:rPr>
          <w:szCs w:val="24"/>
          <w:lang w:eastAsia="en-US"/>
        </w:rPr>
        <w:t>Deklaranti</w:t>
      </w:r>
      <w:proofErr w:type="spellEnd"/>
      <w:r w:rsidRPr="00BC3448">
        <w:rPr>
          <w:szCs w:val="24"/>
          <w:lang w:eastAsia="en-US"/>
        </w:rPr>
        <w:t xml:space="preserve"> kako su definirani u članku 5. točki 15. Uredbe (EU) 952/2013 u carinsku deklaraciju za puštanje u slobodni promet bilo kojeg deterdženta ili površinski aktivne tvari uključuju jedinstvenu identifikacijsku oznaku proizvoda.</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 xml:space="preserve">Carinska tijela provjeravaju podudara li se jedinstvena identifikacijska oznaka proizvoda koju je naveo </w:t>
      </w:r>
      <w:proofErr w:type="spellStart"/>
      <w:r w:rsidRPr="00BC3448">
        <w:rPr>
          <w:szCs w:val="24"/>
          <w:lang w:eastAsia="en-US"/>
        </w:rPr>
        <w:t>deklarant</w:t>
      </w:r>
      <w:proofErr w:type="spellEnd"/>
      <w:r w:rsidRPr="00BC3448">
        <w:rPr>
          <w:szCs w:val="24"/>
          <w:lang w:eastAsia="en-US"/>
        </w:rPr>
        <w:t xml:space="preserve"> u skladu sa stavkom 2. ovog članka s jedinstvenom identifikacijskom oznakom proizvoda uvrštenom u registar u skladu s člankom 20. stavkom 1.</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 xml:space="preserve">Osim provjere iz stavka 3. carinska tijela provjeravaju usklađenost informacija koje su </w:t>
      </w:r>
      <w:proofErr w:type="spellStart"/>
      <w:r w:rsidRPr="00BC3448">
        <w:rPr>
          <w:szCs w:val="24"/>
          <w:lang w:eastAsia="en-US"/>
        </w:rPr>
        <w:t>deklaranti</w:t>
      </w:r>
      <w:proofErr w:type="spellEnd"/>
      <w:r w:rsidRPr="00BC3448">
        <w:rPr>
          <w:szCs w:val="24"/>
          <w:lang w:eastAsia="en-US"/>
        </w:rPr>
        <w:t xml:space="preserve"> stavili na raspolaganje carini s drugim informacijama pohranjenima u registru iz članka 20. stavka 1. navedenima u delegiranom aktu iz članka 26. stavka 3.</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Provjere iz stavaka 3. i 4. provode se elektronički i automatski prije puštanja u slobodni promet.</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Za potrebe stavaka od 3. do 5. upotrebljava se međusobna povezanost registra iz članka 20. stavka 1. i sustava razmjene potvrda u okviru jedinstvenog sučelja EU-a za carinu iz [članka 13. Uredbe (EU) .../... o ekološkom dizajnu za održive proizvode].</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Stavci 3., 4. i 5. primjenjuju se od dana kad međusobna povezanost registra i sustava razmjene potvrda u okviru jedinstvenog sučelja EU-a za carinu iz [članka 13. Uredbe (EU) .../... o ekološkom dizajnu za održive proizvode] postane operativna.</w:t>
      </w:r>
    </w:p>
    <w:p w:rsidR="001169ED" w:rsidRPr="00BC3448" w:rsidRDefault="001169ED" w:rsidP="001169ED">
      <w:pPr>
        <w:spacing w:before="120" w:after="120" w:line="360" w:lineRule="auto"/>
        <w:ind w:left="850"/>
        <w:rPr>
          <w:szCs w:val="24"/>
          <w:lang w:eastAsia="en-US"/>
        </w:rPr>
      </w:pPr>
      <w:r w:rsidRPr="00BC3448">
        <w:rPr>
          <w:szCs w:val="24"/>
          <w:lang w:eastAsia="en-US"/>
        </w:rPr>
        <w:t xml:space="preserve">Komisija o tome objavljuje obavijest u </w:t>
      </w:r>
      <w:r w:rsidRPr="00BC3448">
        <w:rPr>
          <w:i/>
          <w:szCs w:val="24"/>
          <w:lang w:eastAsia="en-US"/>
        </w:rPr>
        <w:t>Službenom listu Europske unije</w:t>
      </w:r>
      <w:r w:rsidRPr="00BC3448">
        <w:rPr>
          <w:szCs w:val="24"/>
          <w:lang w:eastAsia="en-US"/>
        </w:rPr>
        <w:t xml:space="preserve"> u kojoj se navodi datum na koji međusobna povezanost postaje operativna.</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Carinska tijela mogu preuzeti i upotrebljavati informacije sadržane u putovnici za proizvode i registru iz članka 20. stavka 1. za obavljanje svojih dužnosti u skladu sa zakonodavstvom Unije, među ostalim za upravljanje rizikom u skladu s člancima 46. i 47. Uredbe (EU) br. 952/2013.</w:t>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Provjere i druge mjere utvrđene u ovom članku provode se na temelju popisa oznaka kombinirane nomenklature kako je utvrđeno u Prilogu I. Uredbi (EEZ) br. 2658/87 prema kojima se razvrstavaju deterdženti i površinski aktivne tvari te opisa proizvoda za te deterdžente i površinski aktivne tvari.</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10.</w:t>
      </w:r>
      <w:r w:rsidRPr="00BC3448">
        <w:rPr>
          <w:szCs w:val="24"/>
          <w:lang w:eastAsia="en-US"/>
        </w:rPr>
        <w:tab/>
        <w:t>Provjere i mjere utvrđene u ovom članku ne utječu na primjenu drugih pravnih akata Unije kojima se uređuje puštanje proizvoda u slobodni promet, uključujući članke 46., 47. i 134. Uredbe (EU) br. 952/2013, kao i kontrolu iz poglavlja VII. Uredbe (EU) 2019/1020.</w:t>
      </w:r>
    </w:p>
    <w:p w:rsidR="001169ED" w:rsidRPr="00BC3448" w:rsidRDefault="001169ED" w:rsidP="001169ED">
      <w:pPr>
        <w:spacing w:before="120" w:after="120" w:line="360" w:lineRule="auto"/>
        <w:jc w:val="center"/>
        <w:rPr>
          <w:szCs w:val="24"/>
          <w:lang w:eastAsia="en-US"/>
        </w:rPr>
      </w:pPr>
      <w:r w:rsidRPr="00BC3448">
        <w:rPr>
          <w:szCs w:val="24"/>
          <w:lang w:eastAsia="en-US"/>
        </w:rPr>
        <w:t>POGLAVLJE VI.</w:t>
      </w:r>
      <w:r w:rsidRPr="00BC3448">
        <w:rPr>
          <w:szCs w:val="24"/>
          <w:lang w:eastAsia="en-US"/>
        </w:rPr>
        <w:br/>
        <w:t xml:space="preserve">NADZOR TRŽIŠTA </w:t>
      </w:r>
    </w:p>
    <w:p w:rsidR="001169ED" w:rsidRPr="00BC3448" w:rsidRDefault="001169ED" w:rsidP="001169ED">
      <w:pPr>
        <w:spacing w:before="120" w:after="120" w:line="360" w:lineRule="auto"/>
        <w:jc w:val="center"/>
        <w:rPr>
          <w:szCs w:val="24"/>
          <w:lang w:eastAsia="en-US"/>
        </w:rPr>
      </w:pPr>
      <w:r w:rsidRPr="00BC3448">
        <w:rPr>
          <w:szCs w:val="24"/>
          <w:lang w:eastAsia="en-US"/>
        </w:rPr>
        <w:t>Članak 22.</w:t>
      </w:r>
      <w:r w:rsidRPr="00BC3448">
        <w:rPr>
          <w:szCs w:val="24"/>
          <w:lang w:eastAsia="en-US"/>
        </w:rPr>
        <w:br/>
        <w:t>Postupanje na nacionalnoj razini s deterdžentima i površinski aktivnim tvarima koji predstavljaju rizik</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w:t>
      </w:r>
      <w:r w:rsidRPr="00BC3448">
        <w:rPr>
          <w:szCs w:val="24"/>
          <w:lang w:eastAsia="en-US"/>
        </w:rPr>
        <w:tab/>
        <w:t>Ako tijela za nadzor tržišta jedne države članice imaju dovoljno razloga vjerovati da deterdžent ili površinski aktivna tvar predstavljaju rizik za zdravlje</w:t>
      </w:r>
      <w:r w:rsidRPr="00BC3448">
        <w:rPr>
          <w:b/>
          <w:i/>
          <w:szCs w:val="24"/>
          <w:lang w:eastAsia="en-US"/>
        </w:rPr>
        <w:t>, sigurnost</w:t>
      </w:r>
      <w:r w:rsidRPr="00BC3448">
        <w:rPr>
          <w:szCs w:val="24"/>
          <w:lang w:eastAsia="en-US"/>
        </w:rPr>
        <w:t xml:space="preserve"> ili okoliš, ocjenjuju ispunjava li dotični deterdžent ili površinski aktivna tvar sve relevantne zahtjeve iz ove Uredbe. Relevantni gospodarski subjekti u tu svrhu prema potrebi surađuju s tijelima za nadzor tržišta.</w:t>
      </w:r>
      <w:r w:rsidR="0084624C" w:rsidRPr="00BC3448">
        <w:rPr>
          <w:b/>
          <w:szCs w:val="24"/>
          <w:lang w:eastAsia="en-US"/>
        </w:rPr>
        <w:t xml:space="preserve"> [Am. 108.]</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Ako tijela za nadzor tržišta jedne države članice imaju dovoljno razloga vjerovati da je ispitivanje provedeno u skladu s metodama navedenima u Prilogu I. ili Prilogu II. dalo lažne rezultate, ona provode kontrolu kako bi provjerila sukladnost deterdženta ili površinski aktivne tvari s ovom Uredbom u skladu s referentnim metodama utvrđenima u prilozima I., II. i VII. Gospodarski subjekti nisu obvezni platiti nikakvo ponovljeno ili dodatno ispitivanje, pod uvjetom da je početnim ispitivanjem dokazana sukladnost deterdženata ili površinski aktivnih tvari s ovom Uredbom.</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 xml:space="preserve">Ako tijekom kontrole iz stavka 1. ili stavka 2. tijela za nadzor tržišta utvrde da deterdžent ili površinski aktivna tvar nije u skladu sa zahtjevima iz ove Uredbe, bez odgode zahtijevaju od relevantnih gospodarskih subjekata da poduzmu sve odgovarajuće korektivne mjere kako bi deterdžent ili površinski aktivnu tvar uskladili s tim zahtjevima, povukli ih s tržišta ili opozvali u razumnom roku koji </w:t>
      </w:r>
      <w:r w:rsidRPr="00BC3448">
        <w:rPr>
          <w:b/>
          <w:i/>
          <w:szCs w:val="24"/>
          <w:lang w:eastAsia="en-US"/>
        </w:rPr>
        <w:t xml:space="preserve">su utvrdila tijela za nadzor tržišta i koji </w:t>
      </w:r>
      <w:r w:rsidRPr="00BC3448">
        <w:rPr>
          <w:szCs w:val="24"/>
          <w:lang w:eastAsia="en-US"/>
        </w:rPr>
        <w:t>je razmjeran naravi rizika iz stavka 1.</w:t>
      </w:r>
      <w:r w:rsidR="0084624C" w:rsidRPr="00BC3448">
        <w:rPr>
          <w:b/>
          <w:szCs w:val="24"/>
          <w:lang w:eastAsia="en-US"/>
        </w:rPr>
        <w:t xml:space="preserve"> [Am. 109.]</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Ako smatraju da nesukladnost nije ograničena samo na njihovo državno područje, tijela za nadzor tržišta obavješćuju Komisiju i tijela za nadzor tržišta drugih država članica o rezultatima evaluacije i mjerama koje zahtijevaju od gospodarskog subjekta.</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Gospodarski subjekt osigurava da su poduzete sve odgovarajuće korektivne mjere za sve predmetne deterdžente ili površinski aktivne tvari koje je stavio na raspolaganje na tržištu u cijeloj Uniji.</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Ako relevantni gospodarski subjekt ne poduzme odgovarajuće korektivne mjere u roku navedenom u stavku 3., tijela za nadzor tržišta poduzimaju sve odgovarajuće privremene mjere kako bi zabranila ili ograničila stavljanje deterdženta ili površinski aktivne tvari na raspolaganje na svojem nacionalnom tržištu, povukla deterdžent ili površinski aktivnu tvar s tržišta ili ih opozvala.</w:t>
      </w:r>
    </w:p>
    <w:p w:rsidR="001169ED" w:rsidRPr="00BC3448" w:rsidRDefault="001169ED" w:rsidP="001169ED">
      <w:pPr>
        <w:spacing w:before="120" w:after="120" w:line="360" w:lineRule="auto"/>
        <w:ind w:left="850"/>
        <w:rPr>
          <w:szCs w:val="24"/>
          <w:lang w:eastAsia="en-US"/>
        </w:rPr>
      </w:pPr>
      <w:r w:rsidRPr="00BC3448">
        <w:rPr>
          <w:szCs w:val="24"/>
          <w:lang w:eastAsia="en-US"/>
        </w:rPr>
        <w:t>Tijela za nadzor tržišta bez odgode obavješćuju Komisiju i tijela za nadzor tržišta drugih država članica o tim mjerama.</w:t>
      </w:r>
    </w:p>
    <w:p w:rsidR="004B531B" w:rsidRPr="00BC3448" w:rsidRDefault="004B531B"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Informacije iz drugog podstavka uključuju sve dostupne pojedinosti, posebno podatke potrebne za identifikaciju nesukladnog deterdženta ili površinski aktivne tvari, podrijetlo tog deterdženta ili površinski aktivne tvari, vrstu navodne nesukladnosti i povezanog rizika, vrstu i trajanje poduzetih nacionalnih mjera te argumente koje je iznio relevantni gospodarski subjekt.</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Tijela za nadzor tržišta država članica, osim one koja je započela postupak u skladu s ovim člankom, bez odgode obavješćuju Komisiju i tijela za nadzor tržišta drugih država članica o svim donesenim mjerama i svim dodatnim informacijama koje su im na raspolaganju o nesukladnosti dotičnoga deterdženta ili površinski aktivne tvari te, u slučaju neslaganja s donesenom nacionalnom mjerom, o svojim prigovorima.</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Ako u roku od tri mjeseca od primitka informacija iz drugog podstavka stavka 6. ni tijelo za nadzor tržišta ni Komisija ne ulože prigovor na privremenu mjeru koju je poduzela neka država članica, ta se mjera smatra opravdanom.</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Tijela za nadzor tržišta osiguravaju da se odgovarajuće restriktivne mjere, kao što je povlačenje deterdženta ili površinski aktivne tvari s tržišta, poduzmu bez odgode u slučaju dotičnog deterdženta ili površinski aktivne tvari.</w:t>
      </w:r>
    </w:p>
    <w:p w:rsidR="001169ED" w:rsidRPr="00BC3448" w:rsidRDefault="001169ED" w:rsidP="001169ED">
      <w:pPr>
        <w:spacing w:before="120" w:after="120" w:line="360" w:lineRule="auto"/>
        <w:ind w:left="850" w:hanging="850"/>
        <w:rPr>
          <w:szCs w:val="24"/>
          <w:lang w:eastAsia="en-US"/>
        </w:rPr>
      </w:pPr>
      <w:r w:rsidRPr="00BC3448">
        <w:rPr>
          <w:szCs w:val="24"/>
          <w:lang w:eastAsia="en-US"/>
        </w:rPr>
        <w:t>10.</w:t>
      </w:r>
      <w:r w:rsidRPr="00BC3448">
        <w:rPr>
          <w:szCs w:val="24"/>
          <w:lang w:eastAsia="en-US"/>
        </w:rPr>
        <w:tab/>
        <w:t>Ako se za potrebe stavaka 4., 6., 7. i 8. informacije priopćuju Komisiji ili drugim tijelima za nadzor tržišta, te se informacije priopćuju putem informacijskog i komunikacijskog sustava iz članka 34. stavka 1. Uredbe (EU) 2019/1020.</w:t>
      </w:r>
    </w:p>
    <w:p w:rsidR="001169ED" w:rsidRPr="00BC3448" w:rsidRDefault="001169ED" w:rsidP="001169ED">
      <w:pPr>
        <w:spacing w:before="120" w:after="120" w:line="360" w:lineRule="auto"/>
        <w:jc w:val="center"/>
        <w:rPr>
          <w:szCs w:val="24"/>
          <w:lang w:eastAsia="en-US"/>
        </w:rPr>
      </w:pPr>
      <w:r w:rsidRPr="00BC3448">
        <w:rPr>
          <w:szCs w:val="24"/>
          <w:lang w:eastAsia="en-US"/>
        </w:rPr>
        <w:t>Članak 23.</w:t>
      </w:r>
      <w:r w:rsidRPr="00BC3448">
        <w:rPr>
          <w:szCs w:val="24"/>
          <w:lang w:eastAsia="en-US"/>
        </w:rPr>
        <w:br/>
        <w:t>Postupak zaštite u Uniji</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Ako se nakon završetka postupka utvrđenog u članku 22. stavcima 3., 4. i 5. ulože prigovori na mjeru koju je poduzelo tijelo za nadzor tržišta ili ako Komisija smatra da je nacionalna mjera u suprotnosti sa zakonodavstvom Unije, Komisija tada bez odgode započinje savjetovanje s tijelima za nadzor tržišta i relevantnim gospodarskim subjektom ili subjektima te ocjenjuje nacionalnu mjeru. Na temelju rezultata tog ocjenjivanja Komisija donosi provedbeni akt kojim određuje je li nacionalna mjera opravdana ili nije.</w:t>
      </w:r>
    </w:p>
    <w:p w:rsidR="001169ED" w:rsidRPr="00BC3448" w:rsidRDefault="001169ED" w:rsidP="001169ED">
      <w:pPr>
        <w:spacing w:before="120" w:after="120" w:line="360" w:lineRule="auto"/>
        <w:ind w:left="850"/>
        <w:rPr>
          <w:szCs w:val="24"/>
          <w:lang w:eastAsia="en-US"/>
        </w:rPr>
      </w:pPr>
      <w:r w:rsidRPr="00BC3448">
        <w:rPr>
          <w:szCs w:val="24"/>
          <w:lang w:eastAsia="en-US"/>
        </w:rPr>
        <w:t>Komisija svoju odluku upućuje i bez odgode dostavlja svim državama članicama i predmetnom gospodarskom subjektu ili subjektima.</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Ako se nacionalna mjera smatra opravdanom, sve države članice poduzimaju potrebne mjere kako bi osigurale da se nesukladni deterdžent ili površinski aktivna tvar povuče s njihova tržišta te o tome obavješćuju Komisiju.</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Ako se nacionalna mjera smatra neopravdanom, dotična država članica povlači tu mjeru.</w:t>
      </w:r>
    </w:p>
    <w:p w:rsidR="001169ED" w:rsidRPr="00BC3448" w:rsidRDefault="001169ED" w:rsidP="001169ED">
      <w:pPr>
        <w:spacing w:before="120" w:after="120" w:line="360" w:lineRule="auto"/>
        <w:jc w:val="center"/>
        <w:rPr>
          <w:szCs w:val="24"/>
          <w:lang w:eastAsia="en-US"/>
        </w:rPr>
      </w:pPr>
      <w:r w:rsidRPr="00BC3448">
        <w:rPr>
          <w:szCs w:val="24"/>
          <w:lang w:eastAsia="en-US"/>
        </w:rPr>
        <w:t>Članak 24.</w:t>
      </w:r>
      <w:r w:rsidRPr="00BC3448">
        <w:rPr>
          <w:szCs w:val="24"/>
          <w:lang w:eastAsia="en-US"/>
        </w:rPr>
        <w:br/>
        <w:t>Sukladni deterdženti i površinski aktivne tvari koji predstavljaju rizik za zdravlje ili okoliš</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w:t>
      </w:r>
      <w:r w:rsidRPr="00BC3448">
        <w:rPr>
          <w:szCs w:val="24"/>
          <w:lang w:eastAsia="en-US"/>
        </w:rPr>
        <w:tab/>
        <w:t xml:space="preserve">Ako tijelo za nadzor tržišta nakon provedene ocjene u skladu s člankom 22. stavkom 1. utvrdi da deterdžent ili površinski aktivna tvar, iako je sukladna s ovom Uredbom, predstavlja rizik za zdravlje ili okoliš, ono zahtijeva od relevantnog gospodarskog subjekta da poduzme sve odgovarajuće mjere kako bi osigurao da dotični deterdžent ili površinski aktivna tvar nakon stavljanja na tržište više ne predstavlja taj rizik, da povuče deterdžent ili površinski aktivnu tvar s tržišta ili ih opozove u razumnom roku koji </w:t>
      </w:r>
      <w:r w:rsidRPr="00BC3448">
        <w:rPr>
          <w:b/>
          <w:i/>
          <w:szCs w:val="24"/>
          <w:lang w:eastAsia="en-US"/>
        </w:rPr>
        <w:t xml:space="preserve">su utvrdila tijela za nadzor tržišta i koji </w:t>
      </w:r>
      <w:r w:rsidRPr="00BC3448">
        <w:rPr>
          <w:szCs w:val="24"/>
          <w:lang w:eastAsia="en-US"/>
        </w:rPr>
        <w:t>je razmjeran naravi tog rizika.</w:t>
      </w:r>
      <w:r w:rsidR="0084624C" w:rsidRPr="00BC3448">
        <w:rPr>
          <w:b/>
          <w:szCs w:val="24"/>
          <w:lang w:eastAsia="en-US"/>
        </w:rPr>
        <w:t xml:space="preserve"> [Am. 110.]</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Gospodarski subjekt osigurava poduzimanje korektivnih mjera u slučaju svih dotičnih deterdženata ili površinski aktivnih tvari koje je stavio na raspolaganje na tržištu u cijeloj Uniji.</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Tijelo za nadzor tržišta odmah obavješćuje Komisiju i tijela za nadzor tržišta drugih država članica. Navedene informacije uključuju sve dostupne pojedinosti, posebno podatke nužne za identifikaciju predmetnih deterdženata ili površinski aktivnih tvari, podrijetlo i opskrbni lanac deterdženta ili površinski aktivne tvari, vrstu rizika te vrstu i trajanje poduzetih nacionalnih mjera.</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Komisija se bez odgode savjetuje s tijelima za nadzor tržišta i relevantnim gospodarskim subjektom ili subjektima te ocjenjuje poduzete nacionalne mjere. Na temelju rezultata te ocjene Komisija donosi provedbeni akt kojim se utvrđuje je li nacionalna mjera opravdana ili nije te, prema potrebi, predlaže odgovarajuće mjere.</w:t>
      </w:r>
    </w:p>
    <w:p w:rsidR="004B531B" w:rsidRPr="00BC3448" w:rsidRDefault="004B531B"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Komisija svoju odluku upućuje i bez odgode dostavlja svim državama članicama i predmetnom gospodarskom subjektu ili subjektima.</w:t>
      </w:r>
    </w:p>
    <w:p w:rsidR="001169ED" w:rsidRPr="00BC3448" w:rsidRDefault="001169ED" w:rsidP="001169ED">
      <w:pPr>
        <w:spacing w:before="120" w:after="120" w:line="360" w:lineRule="auto"/>
        <w:ind w:left="850"/>
        <w:rPr>
          <w:b/>
          <w:szCs w:val="24"/>
          <w:lang w:eastAsia="en-US"/>
        </w:rPr>
      </w:pPr>
      <w:r w:rsidRPr="00BC3448">
        <w:rPr>
          <w:b/>
          <w:i/>
          <w:szCs w:val="24"/>
          <w:lang w:eastAsia="en-US"/>
        </w:rPr>
        <w:t>U slučaju opravdanih krajnje hitnih razloga povezanih sa zaštitom zdravlja ili okoliša Komisija u skladu s postupkom iz članka 28. stavka 2.a donosi provedbeni akt i osigurava da je taj akt odmah primjenjiv.</w:t>
      </w:r>
      <w:r w:rsidR="0084624C" w:rsidRPr="00BC3448">
        <w:rPr>
          <w:b/>
          <w:szCs w:val="24"/>
          <w:lang w:eastAsia="en-US"/>
        </w:rPr>
        <w:t xml:space="preserve"> [Am. 111.]</w:t>
      </w:r>
    </w:p>
    <w:p w:rsidR="001169ED" w:rsidRPr="00BC3448" w:rsidRDefault="001169ED" w:rsidP="001169ED">
      <w:pPr>
        <w:spacing w:before="120" w:after="120" w:line="360" w:lineRule="auto"/>
        <w:jc w:val="center"/>
        <w:rPr>
          <w:szCs w:val="24"/>
          <w:lang w:eastAsia="en-US"/>
        </w:rPr>
      </w:pPr>
      <w:r w:rsidRPr="00BC3448">
        <w:rPr>
          <w:szCs w:val="24"/>
          <w:lang w:eastAsia="en-US"/>
        </w:rPr>
        <w:t>Članak 25.</w:t>
      </w:r>
      <w:r w:rsidRPr="00BC3448">
        <w:rPr>
          <w:szCs w:val="24"/>
          <w:lang w:eastAsia="en-US"/>
        </w:rPr>
        <w:br/>
        <w:t>Formalna nesukladnost</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Ne dovodeći u pitanje članak 22., tijelo za nadzor tržišta od relevantnog gospodarskog subjekta zahtijeva da otkloni dotičnu nesukladnost ako ustanovi jedno od sljedećeg:</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(a)</w:t>
      </w:r>
      <w:r w:rsidRPr="00BC3448">
        <w:rPr>
          <w:szCs w:val="24"/>
          <w:lang w:eastAsia="en-US"/>
        </w:rPr>
        <w:tab/>
      </w:r>
      <w:r w:rsidRPr="00BC3448">
        <w:rPr>
          <w:strike/>
          <w:szCs w:val="24"/>
          <w:lang w:eastAsia="en-US"/>
        </w:rPr>
        <w:t>oznaka CE nije stavljena u skladu s člankom 14. ili uopće nije stavljena;</w:t>
      </w:r>
      <w:r w:rsidR="00BA7C22" w:rsidRPr="00BC3448">
        <w:rPr>
          <w:b/>
          <w:strike/>
          <w:szCs w:val="24"/>
          <w:lang w:eastAsia="en-US"/>
        </w:rPr>
        <w:t xml:space="preserve"> </w:t>
      </w:r>
      <w:r w:rsidR="00BA7C22" w:rsidRPr="00BC3448">
        <w:rPr>
          <w:b/>
          <w:szCs w:val="24"/>
          <w:lang w:eastAsia="en-US"/>
        </w:rPr>
        <w:t>[Am. 112-]</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putovnica za proizvode nije sastavljena u skladu s člancima 18. i 19.;</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tehnička dokumentacija iz članka 7. stavka 2. nije dostupna ili je nepotpuna;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nosač podataka putem kojeg je dostupna putovnica za proizvode i, prema potrebi, digitalna oznaka ne nalazi se na deterdžentu ili površinski aktivnoj tvari, na njihovu pakiranju, popratnoj dokumentaciji ili na stanici za ponovno punjenje, ovisno o tome što je primjenjivo;</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t>oznaka nije stavljena ili su informacije na oznaci iz članka 15. i Priloga V. lažne ili nepotpune.</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ea</w:t>
      </w:r>
      <w:proofErr w:type="spellEnd"/>
      <w:r w:rsidRPr="00BC3448">
        <w:rPr>
          <w:b/>
          <w:i/>
          <w:szCs w:val="24"/>
          <w:lang w:eastAsia="en-US"/>
        </w:rPr>
        <w:t>)</w:t>
      </w:r>
      <w:r w:rsidRPr="00BC3448">
        <w:rPr>
          <w:szCs w:val="24"/>
          <w:lang w:eastAsia="en-US"/>
        </w:rPr>
        <w:tab/>
      </w:r>
      <w:r w:rsidRPr="00BC3448">
        <w:rPr>
          <w:b/>
          <w:i/>
          <w:szCs w:val="24"/>
          <w:lang w:eastAsia="en-US"/>
        </w:rPr>
        <w:t>nisu ispunjene sve druge administrativne obveze predviđene ovom Uredbom.</w:t>
      </w:r>
      <w:r w:rsidR="00BA7C22" w:rsidRPr="00BC3448">
        <w:rPr>
          <w:b/>
          <w:szCs w:val="24"/>
          <w:lang w:eastAsia="en-US"/>
        </w:rPr>
        <w:t xml:space="preserve"> [Am. 113.]</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Ako se nesukladnost iz stavka 1. nastavi, dotična država članica poduzima sve odgovarajuće mjere kako bi ograničila ili zabranila stavljanje deterdženta ili površinski aktivne tvari na raspolaganje na tržištu ili kako bi osigurala njezin opoziv ili povlačenje s tržišta.</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POGLAVLJE VII.</w:t>
      </w:r>
      <w:r w:rsidRPr="00BC3448">
        <w:rPr>
          <w:szCs w:val="24"/>
          <w:lang w:eastAsia="en-US"/>
        </w:rPr>
        <w:br/>
        <w:t>DELEGIRANE OVLASTI I POSTUPAK ODBORA</w:t>
      </w:r>
    </w:p>
    <w:p w:rsidR="001169ED" w:rsidRPr="00BC3448" w:rsidRDefault="001169ED" w:rsidP="001169ED">
      <w:pPr>
        <w:spacing w:before="120" w:after="120" w:line="360" w:lineRule="auto"/>
        <w:jc w:val="center"/>
        <w:rPr>
          <w:szCs w:val="24"/>
          <w:lang w:eastAsia="en-US"/>
        </w:rPr>
      </w:pPr>
      <w:r w:rsidRPr="00BC3448">
        <w:rPr>
          <w:szCs w:val="24"/>
          <w:lang w:eastAsia="en-US"/>
        </w:rPr>
        <w:t>Članak 26.</w:t>
      </w:r>
      <w:r w:rsidRPr="00BC3448">
        <w:rPr>
          <w:szCs w:val="24"/>
          <w:lang w:eastAsia="en-US"/>
        </w:rPr>
        <w:br/>
        <w:t>Delegirane ovlasti</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1.</w:t>
      </w:r>
      <w:r w:rsidRPr="00BC3448">
        <w:rPr>
          <w:szCs w:val="24"/>
          <w:lang w:eastAsia="en-US"/>
        </w:rPr>
        <w:tab/>
        <w:t>Komisija je ovlaštena za donošenje delegiranih akata u skladu s člankom 27. kojima se mijenja Prilog VI. u pogledu informacija koje treba navesti u putovnici za proizvode radi prilagodbe tehničkom i znanstvenom napretku te razini digitalne spremnosti tijela za nadzor tržišta i krajnjih korisnika</w:t>
      </w:r>
      <w:r w:rsidRPr="00BC3448">
        <w:rPr>
          <w:b/>
          <w:i/>
          <w:szCs w:val="24"/>
          <w:lang w:eastAsia="en-US"/>
        </w:rPr>
        <w:t>, uzimajući u obzir primjenjivo pravo Unije o zaštiti neobjavljenih poslovnih informacija i javnom pristupu informacijama o okolišu</w:t>
      </w:r>
      <w:r w:rsidRPr="00BC3448">
        <w:rPr>
          <w:szCs w:val="24"/>
          <w:lang w:eastAsia="en-US"/>
        </w:rPr>
        <w:t>.</w:t>
      </w:r>
      <w:r w:rsidR="00BA7C22" w:rsidRPr="00BC3448">
        <w:rPr>
          <w:b/>
          <w:szCs w:val="24"/>
          <w:lang w:eastAsia="en-US"/>
        </w:rPr>
        <w:t xml:space="preserve"> [Am. 114.]</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Komisija je ovlaštena za donošenje delegiranih akata u skladu s člankom 27. kojima se izmjenjuje članak 20. stavak 1. zahtijevanjem da se dodatne informacije među informacijama navedenima u Prilogu VI. pohranjuju u registar.</w:t>
      </w:r>
    </w:p>
    <w:p w:rsidR="001169ED" w:rsidRPr="00BC3448" w:rsidRDefault="001169ED" w:rsidP="001169ED">
      <w:pPr>
        <w:spacing w:before="120" w:after="120" w:line="360" w:lineRule="auto"/>
        <w:ind w:left="850"/>
        <w:rPr>
          <w:szCs w:val="24"/>
          <w:lang w:eastAsia="en-US"/>
        </w:rPr>
      </w:pPr>
      <w:r w:rsidRPr="00BC3448">
        <w:rPr>
          <w:szCs w:val="24"/>
          <w:lang w:eastAsia="en-US"/>
        </w:rPr>
        <w:t>Pri donošenju delegiranih akata u skladu s prvim podstavkom Komisija uzima u obzir sljedeće kriterije: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usklađenost s drugim relevantnim aktima Unije, ako je primjenjivo;</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potrebu da se omogući provjera vjerodostojnosti putovnice za proizvode;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bitnost informacija za poboljšanje učinkovitosti i djelotvornosti provjera u sklopu nadzora tržišta i carinske kontrole za deterdžente i površinski aktivne tvari;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potrebu da se izbjegne nerazmjerno administrativno opterećenje gospodarskih subjekata.</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Komisija je ovlaštena za donošenje delegiranih akata u skladu s člankom 27. kojima se ova Uredba dopunjuje utvrđivanjem dodatnih informacija pohranjenih u registru iz članka 20. stavka 1. koje trebaju nadzirati carinska tijela.</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Komisija je ovlaštena za donošenje delegiranih akata u skladu s člankom 27. kojima se ova Uredba mijenja utvrđivanjem priloga koji sadržava popis oznaka kombinirane nomenklature, kako je utvrđeno u Prilogu I. Uredbi (EEZ) br. 2658/87, kao i opise proizvoda za deterdžente i površinski aktivne tvari te ažuriranjem tog priloga.</w:t>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Komisija je ovlaštena za donošenje delegiranih akata u skladu s člankom 27. kojima se mijenjaju prilozi od I. do VII. kako bi se u obzir uzeo znanstveni i tehnički napredak.</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Ako novi znanstveni dokazi upućuju na potrebu za uvođenjem zahtjeva o biorazgradivosti za tvari i smjese u deterdžentima (uključujući kapsule za deterdžente) koje nisu površinski aktivne tvari, Komisija je ovlaštena za donošenje delegiranih akata u skladu s člankom 27. kojima se mijenja Prilog I. kako bi se utvrdili kriteriji biorazgradivosti za te tvari i smjese te metode ispitivanja za provjeru njihove sukladnosti s tim kriterijima.</w:t>
      </w:r>
    </w:p>
    <w:p w:rsidR="001169ED" w:rsidRPr="00BC3448" w:rsidRDefault="001169ED" w:rsidP="001169ED">
      <w:pPr>
        <w:spacing w:before="120" w:after="120" w:line="360" w:lineRule="auto"/>
        <w:ind w:left="850"/>
        <w:rPr>
          <w:szCs w:val="24"/>
          <w:lang w:eastAsia="en-US"/>
        </w:rPr>
      </w:pPr>
      <w:r w:rsidRPr="00BC3448">
        <w:rPr>
          <w:szCs w:val="24"/>
          <w:lang w:eastAsia="en-US"/>
        </w:rPr>
        <w:t>Pri donošenju delegiranih akata u skladu s prvim podstavkom Komisija uzima u obzir trenutačnu proizvodnu praksu, dostupnost tehnički i gospodarski izvedivih alternativa i učinke na mala i srednja poduzeća.</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6a.</w:t>
      </w:r>
      <w:r w:rsidRPr="00BC3448">
        <w:rPr>
          <w:szCs w:val="24"/>
          <w:lang w:eastAsia="en-US"/>
        </w:rPr>
        <w:tab/>
      </w:r>
      <w:r w:rsidRPr="00BC3448">
        <w:rPr>
          <w:b/>
          <w:i/>
          <w:szCs w:val="24"/>
          <w:lang w:eastAsia="en-US"/>
        </w:rPr>
        <w:t>Ako se Uredbom Komisije (EZ) 440/2008</w:t>
      </w:r>
      <w:r w:rsidRPr="00BC3448">
        <w:rPr>
          <w:szCs w:val="24"/>
          <w:vertAlign w:val="superscript"/>
          <w:lang w:eastAsia="en-US"/>
        </w:rPr>
        <w:footnoteReference w:id="24"/>
      </w:r>
      <w:r w:rsidRPr="00BC3448">
        <w:rPr>
          <w:b/>
          <w:i/>
          <w:szCs w:val="24"/>
          <w:lang w:eastAsia="en-US"/>
        </w:rPr>
        <w:t xml:space="preserve"> za ispitivanje svojstava mikroorganizma koji izazivaju preosjetljivost dišnih putova predviđaju pristupi koji ne uključuju životinje, Komisija bez nepotrebne odgode donosi delegirane akte u skladu s člankom 27. radi izmjene Priloga II. ovoj Uredbi utvrđivanjem zahtjeva za stavljanje na tržište deterdženata koji sadržavaju mikroorganizme u obliku raspršivača.</w:t>
      </w:r>
      <w:r w:rsidR="00BA7C22" w:rsidRPr="00BC3448">
        <w:rPr>
          <w:b/>
          <w:szCs w:val="24"/>
          <w:lang w:eastAsia="en-US"/>
        </w:rPr>
        <w:t xml:space="preserve"> [Am. 115.]</w:t>
      </w:r>
    </w:p>
    <w:p w:rsidR="004B531B" w:rsidRPr="00BC3448" w:rsidRDefault="004B531B"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6b.</w:t>
      </w:r>
      <w:r w:rsidRPr="00BC3448">
        <w:rPr>
          <w:szCs w:val="24"/>
          <w:lang w:eastAsia="en-US"/>
        </w:rPr>
        <w:tab/>
      </w:r>
      <w:r w:rsidRPr="00BC3448">
        <w:rPr>
          <w:b/>
          <w:i/>
          <w:szCs w:val="24"/>
          <w:lang w:eastAsia="en-US"/>
        </w:rPr>
        <w:t>Komisija je ovlaštena za donošenje delegiranih akata u skladu s člankom 27. kako bi se izmijenio Prilog II. ažuriranjem standarda primjenjivih za nabrajanje mikroorganizama, u skladu sa znanstvenim i tehničkim napretkom.</w:t>
      </w:r>
      <w:r w:rsidR="00BA7C22" w:rsidRPr="00BC3448">
        <w:rPr>
          <w:b/>
          <w:szCs w:val="24"/>
          <w:lang w:eastAsia="en-US"/>
        </w:rPr>
        <w:t xml:space="preserve"> [Am. 116.]</w:t>
      </w:r>
    </w:p>
    <w:p w:rsidR="001169ED" w:rsidRPr="00BC3448" w:rsidRDefault="001169ED" w:rsidP="001169ED">
      <w:pPr>
        <w:spacing w:before="120" w:after="120" w:line="360" w:lineRule="auto"/>
        <w:ind w:left="850" w:hanging="850"/>
        <w:rPr>
          <w:szCs w:val="24"/>
          <w:lang w:eastAsia="en-US"/>
        </w:rPr>
      </w:pPr>
      <w:r w:rsidRPr="00BC3448">
        <w:rPr>
          <w:szCs w:val="24"/>
          <w:lang w:eastAsia="en-US"/>
        </w:rPr>
        <w:t>7.</w:t>
      </w:r>
      <w:r w:rsidRPr="00BC3448">
        <w:rPr>
          <w:szCs w:val="24"/>
          <w:lang w:eastAsia="en-US"/>
        </w:rPr>
        <w:tab/>
        <w:t xml:space="preserve">Ako su pojedinačne granične vrijednosti koncentracije </w:t>
      </w:r>
      <w:proofErr w:type="spellStart"/>
      <w:r w:rsidRPr="00BC3448">
        <w:rPr>
          <w:szCs w:val="24"/>
          <w:lang w:eastAsia="en-US"/>
        </w:rPr>
        <w:t>alergenih</w:t>
      </w:r>
      <w:proofErr w:type="spellEnd"/>
      <w:r w:rsidRPr="00BC3448">
        <w:rPr>
          <w:szCs w:val="24"/>
          <w:lang w:eastAsia="en-US"/>
        </w:rPr>
        <w:t xml:space="preserve"> mirisa koje se temelje na riziku utvrđene u Uredbi (EZ) br. 1223/2009 Europskog parlamenta i Vijeća</w:t>
      </w:r>
      <w:r w:rsidRPr="00BC3448">
        <w:rPr>
          <w:szCs w:val="24"/>
          <w:vertAlign w:val="superscript"/>
          <w:lang w:eastAsia="en-US"/>
        </w:rPr>
        <w:footnoteReference w:id="25"/>
      </w:r>
      <w:r w:rsidRPr="00BC3448">
        <w:rPr>
          <w:szCs w:val="24"/>
          <w:lang w:eastAsia="en-US"/>
        </w:rPr>
        <w:t xml:space="preserve">, Komisija donosi delegirane akte u skladu s člankom 27. kojima se mijenja Prilog V. kako bi se na odgovarajući način prilagodila granična vrijednost </w:t>
      </w:r>
      <w:proofErr w:type="spellStart"/>
      <w:r w:rsidRPr="00BC3448">
        <w:rPr>
          <w:szCs w:val="24"/>
          <w:lang w:eastAsia="en-US"/>
        </w:rPr>
        <w:t>alergenih</w:t>
      </w:r>
      <w:proofErr w:type="spellEnd"/>
      <w:r w:rsidRPr="00BC3448">
        <w:rPr>
          <w:szCs w:val="24"/>
          <w:lang w:eastAsia="en-US"/>
        </w:rPr>
        <w:t xml:space="preserve"> mirisa navedenih u Prilogu III. toj uredbi.</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Do [Ured za publikacije unosi datum = prvi dan u mjesecu koji slijedi 30 mjeseci nakon datuma stupanja na snagu ove Uredbe] Komisija donosi delegirane akte u skladu s člankom 27. radi dopune ove Uredbe utvrđivanjem posebnih zahtjeva za digitalno označivanje deterdženata. U tim se zahtjevima utvrđuju barem vrste informatičkih rješenja kojima se gospodarski subjekti mogu služiti i zamjenska sredstva za pružanje informacija na digitalnoj oznaci iz članka 17.</w:t>
      </w:r>
    </w:p>
    <w:p w:rsidR="004B531B" w:rsidRPr="00BC3448" w:rsidRDefault="004B531B"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Pri donošenju delegiranog akta iz prvog podstavka Komisija uzima u obzir sljedeće kriterije: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usklađenost s drugim relevantnim aktima Unije, ako je primjenjivo;</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potrebu za poticanjem inovacija;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tehnološku neutralnost koju karakterizira nedostatak ograničenja ili propisa u vezi s izborom tehnologije ili opreme, unutar granica kompatibilnosti i izbjegavanja smetnji;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potrebu da se digitalnim označivanjem ne ugrozi sigurnost krajnjih korisnika i okoliša;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t>razinu digitalne spremnosti svih skupina stanovništva u Uniji.</w:t>
      </w:r>
    </w:p>
    <w:p w:rsidR="001169ED" w:rsidRPr="00BC3448" w:rsidRDefault="001169ED" w:rsidP="001169ED">
      <w:pPr>
        <w:spacing w:before="120" w:after="120" w:line="360" w:lineRule="auto"/>
        <w:ind w:left="850" w:hanging="850"/>
        <w:rPr>
          <w:szCs w:val="24"/>
          <w:lang w:eastAsia="en-US"/>
        </w:rPr>
      </w:pPr>
      <w:r w:rsidRPr="00BC3448">
        <w:rPr>
          <w:szCs w:val="24"/>
          <w:lang w:eastAsia="en-US"/>
        </w:rPr>
        <w:t>9.</w:t>
      </w:r>
      <w:r w:rsidRPr="00BC3448">
        <w:rPr>
          <w:szCs w:val="24"/>
          <w:lang w:eastAsia="en-US"/>
        </w:rPr>
        <w:tab/>
        <w:t>Komisija je ovlaštena za donošenje delegiranih akata u skladu s člankom 27. kojima se izmjenjuje Prilog V. s obzirom na informacije na oznakama koje gospodarski subjekti smiju pružati samo u digitalnom obliku u skladu s člankom 16., a u svrhu prilagodbe tehničkom i znanstvenom napretku te razini digitalne spremnosti krajnjih korisnika deterdženata. Pri donošenju tih delegiranih akata Komisija uzima u obzir potrebu za osiguravanjem visoke razine zaštite zdravlja i okoliša.</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27.</w:t>
      </w:r>
      <w:r w:rsidRPr="00BC3448">
        <w:rPr>
          <w:szCs w:val="24"/>
          <w:lang w:eastAsia="en-US"/>
        </w:rPr>
        <w:br/>
        <w:t>Izvršavanje delegiranja ovlasti</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Ovlast za donošenje delegiranih akata dodjeljuje se Komisiji podložno uvjetima utvrđenima u ovom članku.</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Ovlast za donošenje delegiranih akata iz članka 26. dodjeljuje se Komisiji na neodređeno vrijeme.</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 xml:space="preserve">Europski parlament ili Vijeće u svakom trenutku mogu opozvati delegiranje ovlasti iz članka 26. Odlukom o opozivu prekida se delegiranje ovlasti koje je u njoj navedeno. Opoziv počinje proizvoditi učinke sljedećeg dana od dana objave spomenute odluke u </w:t>
      </w:r>
      <w:r w:rsidRPr="00BC3448">
        <w:rPr>
          <w:i/>
          <w:szCs w:val="24"/>
          <w:lang w:eastAsia="en-US"/>
        </w:rPr>
        <w:t>Službenom listu Europske unije</w:t>
      </w:r>
      <w:r w:rsidRPr="00BC3448">
        <w:rPr>
          <w:szCs w:val="24"/>
          <w:lang w:eastAsia="en-US"/>
        </w:rPr>
        <w:t xml:space="preserve"> ili na kasniji dan naveden u spomenutoj odluci. On ne utječe na valjanost delegiranih akata koji su već na snazi.</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 xml:space="preserve">Prije donošenja delegiranog akta Komisija se savjetuje sa stručnjacima koje je imenovala svaka država članica u skladu s načelima utvrđenima u </w:t>
      </w:r>
      <w:proofErr w:type="spellStart"/>
      <w:r w:rsidRPr="00BC3448">
        <w:rPr>
          <w:szCs w:val="24"/>
          <w:lang w:eastAsia="en-US"/>
        </w:rPr>
        <w:t>Međuinstitucijskom</w:t>
      </w:r>
      <w:proofErr w:type="spellEnd"/>
      <w:r w:rsidRPr="00BC3448">
        <w:rPr>
          <w:szCs w:val="24"/>
          <w:lang w:eastAsia="en-US"/>
        </w:rPr>
        <w:t xml:space="preserve"> sporazumu o boljoj izradi zakonodavstva od 13. travnja 2016.</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Čim donese delegirani akt, Komisija ga istodobno priopćuje Europskom parlamentu i Vijeću.</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Delegirani akt donesen na temelju članka 26.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1169ED" w:rsidRPr="00BC3448" w:rsidRDefault="001169ED" w:rsidP="001169ED">
      <w:pPr>
        <w:spacing w:before="120" w:after="120" w:line="360" w:lineRule="auto"/>
        <w:jc w:val="center"/>
        <w:rPr>
          <w:szCs w:val="24"/>
          <w:lang w:eastAsia="en-US"/>
        </w:rPr>
      </w:pPr>
      <w:r w:rsidRPr="00BC3448">
        <w:rPr>
          <w:szCs w:val="24"/>
          <w:lang w:eastAsia="en-US"/>
        </w:rPr>
        <w:t>Članak 28.</w:t>
      </w:r>
      <w:r w:rsidRPr="00BC3448">
        <w:rPr>
          <w:szCs w:val="24"/>
          <w:lang w:eastAsia="en-US"/>
        </w:rPr>
        <w:br/>
        <w:t>Postupak odbora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Komisiji pomaže Odbor za deterdžente. Navedeni odbor je odbor u smislu Uredbe (EU) br. 182/2011.</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Pri upućivanju na ovaj stavak primjenjuje se članak 5. Uredbe (EU) br. 182/2011.</w:t>
      </w:r>
    </w:p>
    <w:p w:rsidR="00BA7C22" w:rsidRPr="00BC3448" w:rsidRDefault="00BA7C22"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2a.</w:t>
      </w:r>
      <w:r w:rsidRPr="00BC3448">
        <w:rPr>
          <w:szCs w:val="24"/>
          <w:lang w:eastAsia="en-US"/>
        </w:rPr>
        <w:tab/>
      </w:r>
      <w:r w:rsidRPr="00BC3448">
        <w:rPr>
          <w:b/>
          <w:i/>
          <w:szCs w:val="24"/>
          <w:lang w:eastAsia="en-US"/>
        </w:rPr>
        <w:t>Pri upućivanju na ovaj stavak primjenjuje se članak 8. Uredbe (EU) br. 182/2011</w:t>
      </w:r>
      <w:r w:rsidRPr="00BC3448">
        <w:rPr>
          <w:szCs w:val="24"/>
          <w:vertAlign w:val="superscript"/>
          <w:lang w:eastAsia="en-US"/>
        </w:rPr>
        <w:footnoteReference w:id="26"/>
      </w:r>
      <w:r w:rsidRPr="00BC3448">
        <w:rPr>
          <w:b/>
          <w:i/>
          <w:szCs w:val="24"/>
          <w:lang w:eastAsia="en-US"/>
        </w:rPr>
        <w:t xml:space="preserve"> u vezi s njezinim člankom 5.</w:t>
      </w:r>
      <w:r w:rsidR="00BA7C22" w:rsidRPr="00BC3448">
        <w:rPr>
          <w:b/>
          <w:szCs w:val="24"/>
          <w:lang w:eastAsia="en-US"/>
        </w:rPr>
        <w:t xml:space="preserve"> [Am. 117.]</w:t>
      </w:r>
    </w:p>
    <w:p w:rsidR="004B531B" w:rsidRPr="00BC3448" w:rsidRDefault="004B531B" w:rsidP="001169ED">
      <w:pPr>
        <w:spacing w:before="120" w:after="120" w:line="360" w:lineRule="auto"/>
        <w:jc w:val="center"/>
        <w:rPr>
          <w:szCs w:val="24"/>
          <w:lang w:eastAsia="en-US"/>
        </w:rPr>
      </w:pPr>
    </w:p>
    <w:p w:rsidR="001169ED" w:rsidRPr="00BC3448" w:rsidRDefault="001169ED" w:rsidP="001169ED">
      <w:pPr>
        <w:spacing w:before="120" w:after="120" w:line="360" w:lineRule="auto"/>
        <w:jc w:val="center"/>
        <w:rPr>
          <w:szCs w:val="24"/>
          <w:lang w:eastAsia="en-US"/>
        </w:rPr>
      </w:pPr>
      <w:r w:rsidRPr="00BC3448">
        <w:rPr>
          <w:szCs w:val="24"/>
          <w:lang w:eastAsia="en-US"/>
        </w:rPr>
        <w:t>POGLAVLJE VIII.</w:t>
      </w:r>
      <w:r w:rsidRPr="00BC3448">
        <w:rPr>
          <w:szCs w:val="24"/>
          <w:lang w:eastAsia="en-US"/>
        </w:rPr>
        <w:br/>
        <w:t xml:space="preserve">PRIJELAZNE I ZAVRŠNE ODREDBE </w:t>
      </w:r>
    </w:p>
    <w:p w:rsidR="001169ED" w:rsidRPr="00BC3448" w:rsidRDefault="001169ED" w:rsidP="001169ED">
      <w:pPr>
        <w:spacing w:before="120" w:after="120" w:line="360" w:lineRule="auto"/>
        <w:jc w:val="center"/>
        <w:rPr>
          <w:szCs w:val="24"/>
          <w:lang w:eastAsia="en-US"/>
        </w:rPr>
      </w:pPr>
      <w:r w:rsidRPr="00BC3448">
        <w:rPr>
          <w:szCs w:val="24"/>
          <w:lang w:eastAsia="en-US"/>
        </w:rPr>
        <w:t>Članak 29.</w:t>
      </w:r>
      <w:r w:rsidRPr="00BC3448">
        <w:rPr>
          <w:szCs w:val="24"/>
          <w:lang w:eastAsia="en-US"/>
        </w:rPr>
        <w:br/>
        <w:t>Sankcije</w:t>
      </w:r>
    </w:p>
    <w:p w:rsidR="001169ED" w:rsidRPr="00BC3448" w:rsidRDefault="001169ED" w:rsidP="001169ED">
      <w:pPr>
        <w:spacing w:before="120" w:after="120" w:line="360" w:lineRule="auto"/>
        <w:rPr>
          <w:b/>
          <w:szCs w:val="24"/>
          <w:lang w:eastAsia="en-US"/>
        </w:rPr>
      </w:pPr>
      <w:r w:rsidRPr="00BC3448">
        <w:rPr>
          <w:szCs w:val="24"/>
          <w:lang w:eastAsia="en-US"/>
        </w:rPr>
        <w:t xml:space="preserve">Države članice utvrđuju pravila o sankcijama koje se primjenjuju na kršenja ove Uredbe i poduzimaju sve potrebne mjere radi osiguranja njihove provedbe. Predviđene sankcije moraju biti učinkovite, proporcionalne i </w:t>
      </w:r>
      <w:proofErr w:type="spellStart"/>
      <w:r w:rsidRPr="00BC3448">
        <w:rPr>
          <w:szCs w:val="24"/>
          <w:lang w:eastAsia="en-US"/>
        </w:rPr>
        <w:t>odvraćajuće</w:t>
      </w:r>
      <w:proofErr w:type="spellEnd"/>
      <w:r w:rsidRPr="00BC3448">
        <w:rPr>
          <w:szCs w:val="24"/>
          <w:lang w:eastAsia="en-US"/>
        </w:rPr>
        <w:t xml:space="preserve">. </w:t>
      </w:r>
      <w:r w:rsidRPr="00BC3448">
        <w:rPr>
          <w:b/>
          <w:i/>
          <w:szCs w:val="24"/>
          <w:lang w:eastAsia="en-US"/>
        </w:rPr>
        <w:t xml:space="preserve">Prema potrebi mogu uključivati novčane kazne razmjerne prometu pravne osobe koja je počinila kršenje, uzimajući u obzir posebnosti malih i srednjih poduzeća. </w:t>
      </w:r>
      <w:r w:rsidRPr="00BC3448">
        <w:rPr>
          <w:szCs w:val="24"/>
          <w:lang w:eastAsia="en-US"/>
        </w:rPr>
        <w:t>Države članice bez odgode obavješćuju Komisiju o tim mjerama i o svim naknadnim izmjenama koje na njih utječu.</w:t>
      </w:r>
      <w:r w:rsidR="00BA7C22" w:rsidRPr="00BC3448">
        <w:rPr>
          <w:b/>
          <w:szCs w:val="24"/>
          <w:lang w:eastAsia="en-US"/>
        </w:rPr>
        <w:t xml:space="preserve"> [Am. 118.]</w:t>
      </w:r>
    </w:p>
    <w:p w:rsidR="001169ED" w:rsidRPr="00BC3448" w:rsidRDefault="001169ED" w:rsidP="001169ED">
      <w:pPr>
        <w:spacing w:before="120" w:after="120" w:line="360" w:lineRule="auto"/>
        <w:rPr>
          <w:szCs w:val="24"/>
          <w:lang w:eastAsia="en-US"/>
        </w:rPr>
      </w:pPr>
      <w:r w:rsidRPr="00BC3448">
        <w:rPr>
          <w:b/>
          <w:i/>
          <w:szCs w:val="24"/>
          <w:lang w:eastAsia="en-US"/>
        </w:rPr>
        <w:t>Države članice osiguravaju da se sankcijama utvrđenima na temelju ovog članka, prema potrebi, na odgovarajući način uzima u obzir sljedeće:</w:t>
      </w:r>
    </w:p>
    <w:p w:rsidR="004B531B" w:rsidRPr="00BC3448" w:rsidRDefault="004B531B"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(a)</w:t>
      </w:r>
      <w:r w:rsidRPr="00BC3448">
        <w:rPr>
          <w:szCs w:val="24"/>
          <w:lang w:eastAsia="en-US"/>
        </w:rPr>
        <w:tab/>
      </w:r>
      <w:r w:rsidRPr="00BC3448">
        <w:rPr>
          <w:b/>
          <w:i/>
          <w:szCs w:val="24"/>
          <w:lang w:eastAsia="en-US"/>
        </w:rPr>
        <w:t>priroda, ozbiljnost i razmjer kršenja;</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(b)</w:t>
      </w:r>
      <w:r w:rsidRPr="00BC3448">
        <w:rPr>
          <w:szCs w:val="24"/>
          <w:lang w:eastAsia="en-US"/>
        </w:rPr>
        <w:tab/>
      </w:r>
      <w:r w:rsidRPr="00BC3448">
        <w:rPr>
          <w:b/>
          <w:i/>
          <w:szCs w:val="24"/>
          <w:lang w:eastAsia="en-US"/>
        </w:rPr>
        <w:t>ima li kršenje obilježje namjere ili nepažnje;</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(c)</w:t>
      </w:r>
      <w:r w:rsidRPr="00BC3448">
        <w:rPr>
          <w:szCs w:val="24"/>
          <w:lang w:eastAsia="en-US"/>
        </w:rPr>
        <w:tab/>
      </w:r>
      <w:r w:rsidRPr="00BC3448">
        <w:rPr>
          <w:b/>
          <w:i/>
          <w:szCs w:val="24"/>
          <w:lang w:eastAsia="en-US"/>
        </w:rPr>
        <w:t>šteta za zdravlje ljudi ili okoliš koja je prouzrokovana kršenjem, ako ju je moguće utvrditi;</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(d)</w:t>
      </w:r>
      <w:r w:rsidRPr="00BC3448">
        <w:rPr>
          <w:szCs w:val="24"/>
          <w:lang w:eastAsia="en-US"/>
        </w:rPr>
        <w:tab/>
      </w:r>
      <w:r w:rsidRPr="00BC3448">
        <w:rPr>
          <w:b/>
          <w:i/>
          <w:szCs w:val="24"/>
          <w:lang w:eastAsia="en-US"/>
        </w:rPr>
        <w:t>razina suradnje fizičke ili pravne osobe koja se smatra odgovornom i nadležnog tijela.</w:t>
      </w:r>
      <w:r w:rsidR="00BA7C22" w:rsidRPr="00BC3448">
        <w:rPr>
          <w:b/>
          <w:szCs w:val="24"/>
          <w:lang w:eastAsia="en-US"/>
        </w:rPr>
        <w:t xml:space="preserve"> [Am. 119.]</w:t>
      </w:r>
    </w:p>
    <w:p w:rsidR="001169ED" w:rsidRPr="00BC3448" w:rsidRDefault="001169ED" w:rsidP="001169ED">
      <w:pPr>
        <w:spacing w:before="120" w:after="120" w:line="360" w:lineRule="auto"/>
        <w:jc w:val="center"/>
        <w:rPr>
          <w:szCs w:val="24"/>
          <w:lang w:eastAsia="en-US"/>
        </w:rPr>
      </w:pPr>
      <w:r w:rsidRPr="00BC3448">
        <w:rPr>
          <w:szCs w:val="24"/>
          <w:lang w:eastAsia="en-US"/>
        </w:rPr>
        <w:t>Članak 30.</w:t>
      </w:r>
      <w:r w:rsidRPr="00BC3448">
        <w:rPr>
          <w:szCs w:val="24"/>
          <w:lang w:eastAsia="en-US"/>
        </w:rPr>
        <w:br/>
        <w:t>Izmjena Uredbe (EU) 2019/1020</w:t>
      </w:r>
    </w:p>
    <w:p w:rsidR="001169ED" w:rsidRPr="00BC3448" w:rsidRDefault="001169ED" w:rsidP="001169ED">
      <w:pPr>
        <w:spacing w:before="120" w:after="120" w:line="360" w:lineRule="auto"/>
        <w:ind w:left="850" w:hanging="850"/>
        <w:rPr>
          <w:szCs w:val="24"/>
          <w:lang w:eastAsia="en-US"/>
        </w:rPr>
      </w:pPr>
      <w:r w:rsidRPr="00BC3448">
        <w:rPr>
          <w:szCs w:val="24"/>
          <w:lang w:eastAsia="en-US"/>
        </w:rPr>
        <w:t> </w:t>
      </w:r>
      <w:r w:rsidRPr="00BC3448">
        <w:rPr>
          <w:szCs w:val="24"/>
          <w:lang w:eastAsia="en-US"/>
        </w:rPr>
        <w:tab/>
        <w:t>U Prilogu I. Uredbi (EU) 2019/1020 točka 15. zamjenjuje se sljedećim:</w:t>
      </w:r>
    </w:p>
    <w:p w:rsidR="001169ED" w:rsidRPr="00BC3448" w:rsidRDefault="001169ED" w:rsidP="001169ED">
      <w:pPr>
        <w:spacing w:before="120" w:after="120" w:line="360" w:lineRule="auto"/>
        <w:ind w:left="1416" w:hanging="566"/>
        <w:rPr>
          <w:szCs w:val="24"/>
          <w:lang w:eastAsia="en-US"/>
        </w:rPr>
      </w:pPr>
      <w:r w:rsidRPr="00BC3448">
        <w:rPr>
          <w:szCs w:val="24"/>
          <w:lang w:eastAsia="en-US"/>
        </w:rPr>
        <w:t>„15.</w:t>
      </w:r>
      <w:r w:rsidRPr="00BC3448">
        <w:rPr>
          <w:szCs w:val="24"/>
          <w:lang w:eastAsia="en-US"/>
        </w:rPr>
        <w:tab/>
        <w:t>Uredba (EU) .../... Europskog parlamenta i Vijeća od ... o stavljanju na raspolaganje na tržištu deterdženata i površinski aktivnih tvari (SL L ...).”</w:t>
      </w:r>
    </w:p>
    <w:p w:rsidR="001169ED" w:rsidRPr="00BC3448" w:rsidRDefault="001169ED" w:rsidP="001169ED">
      <w:pPr>
        <w:spacing w:before="120" w:after="120" w:line="360" w:lineRule="auto"/>
        <w:rPr>
          <w:szCs w:val="24"/>
          <w:lang w:eastAsia="en-US"/>
        </w:rPr>
      </w:pP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31.</w:t>
      </w:r>
      <w:r w:rsidRPr="00BC3448">
        <w:rPr>
          <w:szCs w:val="24"/>
          <w:lang w:eastAsia="en-US"/>
        </w:rPr>
        <w:br/>
        <w:t xml:space="preserve">Izvješćivanje </w:t>
      </w:r>
    </w:p>
    <w:p w:rsidR="001169ED" w:rsidRPr="00BC3448" w:rsidRDefault="001169ED" w:rsidP="001169ED">
      <w:pPr>
        <w:spacing w:before="120" w:after="120" w:line="360" w:lineRule="auto"/>
        <w:rPr>
          <w:szCs w:val="24"/>
          <w:lang w:eastAsia="en-US"/>
        </w:rPr>
      </w:pPr>
      <w:r w:rsidRPr="00BC3448">
        <w:rPr>
          <w:szCs w:val="24"/>
          <w:lang w:eastAsia="en-US"/>
        </w:rPr>
        <w:t xml:space="preserve">Do [OP unosi datum = 5 godina od datuma početka primjene ove Uredbe] Komisija mora Europskom parlamentu i Vijeću podnijeti izvješće o primjeni ove Uredbe. </w:t>
      </w:r>
      <w:r w:rsidRPr="00BC3448">
        <w:rPr>
          <w:b/>
          <w:i/>
          <w:szCs w:val="24"/>
          <w:lang w:eastAsia="en-US"/>
        </w:rPr>
        <w:t xml:space="preserve">To </w:t>
      </w:r>
      <w:r w:rsidRPr="00BC3448">
        <w:rPr>
          <w:szCs w:val="24"/>
          <w:lang w:eastAsia="en-US"/>
        </w:rPr>
        <w:t xml:space="preserve">izvješće </w:t>
      </w:r>
      <w:r w:rsidRPr="00BC3448">
        <w:rPr>
          <w:strike/>
          <w:szCs w:val="24"/>
          <w:lang w:eastAsia="en-US"/>
        </w:rPr>
        <w:t xml:space="preserve">mora </w:t>
      </w:r>
      <w:proofErr w:type="spellStart"/>
      <w:r w:rsidRPr="00BC3448">
        <w:rPr>
          <w:strike/>
          <w:szCs w:val="24"/>
          <w:lang w:eastAsia="en-US"/>
        </w:rPr>
        <w:t>sadržavati</w:t>
      </w:r>
      <w:r w:rsidRPr="00BC3448">
        <w:rPr>
          <w:b/>
          <w:i/>
          <w:szCs w:val="24"/>
          <w:lang w:eastAsia="en-US"/>
        </w:rPr>
        <w:t>sadržava</w:t>
      </w:r>
      <w:proofErr w:type="spellEnd"/>
      <w:r w:rsidRPr="00BC3448">
        <w:rPr>
          <w:szCs w:val="24"/>
          <w:lang w:eastAsia="en-US"/>
        </w:rPr>
        <w:t xml:space="preserve"> procjenu</w:t>
      </w:r>
      <w:r w:rsidRPr="00BC3448">
        <w:rPr>
          <w:strike/>
          <w:szCs w:val="24"/>
          <w:lang w:eastAsia="en-US"/>
        </w:rPr>
        <w:t xml:space="preserve"> ostvarivanja ciljeva Uredbe, uključujući procjenu učinka na mala i srednja poduzeća.</w:t>
      </w:r>
      <w:r w:rsidRPr="00BC3448">
        <w:rPr>
          <w:b/>
          <w:i/>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(a)</w:t>
      </w:r>
      <w:r w:rsidRPr="00BC3448">
        <w:rPr>
          <w:szCs w:val="24"/>
          <w:lang w:eastAsia="en-US"/>
        </w:rPr>
        <w:tab/>
      </w:r>
      <w:r w:rsidRPr="00BC3448">
        <w:rPr>
          <w:b/>
          <w:i/>
          <w:szCs w:val="24"/>
          <w:lang w:eastAsia="en-US"/>
        </w:rPr>
        <w:t>načina na koji se Uredbom ostvaruju njezini ciljevi, uključujući procjenu učinka na mala i srednja poduzeća;</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(b)</w:t>
      </w:r>
      <w:r w:rsidRPr="00BC3448">
        <w:rPr>
          <w:szCs w:val="24"/>
          <w:lang w:eastAsia="en-US"/>
        </w:rPr>
        <w:tab/>
      </w:r>
      <w:r w:rsidRPr="00BC3448">
        <w:rPr>
          <w:b/>
          <w:i/>
          <w:szCs w:val="24"/>
          <w:lang w:eastAsia="en-US"/>
        </w:rPr>
        <w:t xml:space="preserve">rizika od stjecanja antimikrobne otpornosti povezanog s uporabom deterdženata ili površinski aktivnih tvari s </w:t>
      </w:r>
      <w:proofErr w:type="spellStart"/>
      <w:r w:rsidRPr="00BC3448">
        <w:rPr>
          <w:b/>
          <w:i/>
          <w:szCs w:val="24"/>
          <w:lang w:eastAsia="en-US"/>
        </w:rPr>
        <w:t>biocidnim</w:t>
      </w:r>
      <w:proofErr w:type="spellEnd"/>
      <w:r w:rsidRPr="00BC3448">
        <w:rPr>
          <w:b/>
          <w:i/>
          <w:szCs w:val="24"/>
          <w:lang w:eastAsia="en-US"/>
        </w:rPr>
        <w:t xml:space="preserve"> svojstvima; </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(c)</w:t>
      </w:r>
      <w:r w:rsidRPr="00BC3448">
        <w:rPr>
          <w:szCs w:val="24"/>
          <w:lang w:eastAsia="en-US"/>
        </w:rPr>
        <w:tab/>
      </w:r>
      <w:r w:rsidRPr="00BC3448">
        <w:rPr>
          <w:b/>
          <w:i/>
          <w:szCs w:val="24"/>
          <w:lang w:eastAsia="en-US"/>
        </w:rPr>
        <w:t xml:space="preserve">pojave nepotkrijepljenih marketinških tvrdnji, oglasa i dizajna ambalaže koji dovode potrošače u zabludu ili bi mogli dovesti potrošače u zabludu odavanjem dojma da je riječ o zdravijim ili ekološki prilagođenijim deterdžentima ili površinski aktivnim tvarima; </w:t>
      </w:r>
    </w:p>
    <w:p w:rsidR="004B531B" w:rsidRPr="00BC3448" w:rsidRDefault="004B531B" w:rsidP="001169ED">
      <w:pPr>
        <w:spacing w:before="120" w:after="120" w:line="360" w:lineRule="auto"/>
        <w:ind w:left="850" w:hanging="850"/>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(d)</w:t>
      </w:r>
      <w:r w:rsidRPr="00BC3448">
        <w:rPr>
          <w:szCs w:val="24"/>
          <w:lang w:eastAsia="en-US"/>
        </w:rPr>
        <w:tab/>
      </w:r>
      <w:r w:rsidRPr="00BC3448">
        <w:rPr>
          <w:b/>
          <w:i/>
          <w:szCs w:val="24"/>
          <w:lang w:eastAsia="en-US"/>
        </w:rPr>
        <w:t>zahtjeva za fizičko i digitalno označivanje deterdženata, uzimajući u obzir sigurnost krajnjih korisnika i okoliša te razinu digitalne spremnosti svih skupina stanovništva u Uniji.</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(e)</w:t>
      </w:r>
      <w:r w:rsidRPr="00BC3448">
        <w:rPr>
          <w:szCs w:val="24"/>
          <w:lang w:eastAsia="en-US"/>
        </w:rPr>
        <w:tab/>
      </w:r>
      <w:r w:rsidRPr="00BC3448">
        <w:rPr>
          <w:b/>
          <w:i/>
          <w:szCs w:val="24"/>
          <w:lang w:eastAsia="en-US"/>
        </w:rPr>
        <w:t>izvedivosti te okolišnih i socioekonomskih troškova i koristi postupnog ukidanja fosfora u deterdžentima za potrošače te smanjenja i, ako je moguće, postupnog ukidanja fosfora u deterdžentima za uporabu u industrijskim objektima i ustanovama u skladu s obvezama iz Akcijskog plana za Baltičko more;</w:t>
      </w:r>
    </w:p>
    <w:p w:rsidR="001169ED" w:rsidRPr="00BC3448" w:rsidRDefault="001169ED" w:rsidP="001169ED">
      <w:pPr>
        <w:spacing w:before="120" w:after="120" w:line="360" w:lineRule="auto"/>
        <w:ind w:left="850" w:hanging="850"/>
        <w:rPr>
          <w:szCs w:val="24"/>
          <w:lang w:eastAsia="en-US"/>
        </w:rPr>
      </w:pPr>
      <w:r w:rsidRPr="00BC3448">
        <w:rPr>
          <w:b/>
          <w:i/>
          <w:szCs w:val="24"/>
          <w:lang w:eastAsia="en-US"/>
        </w:rPr>
        <w:t>(f)</w:t>
      </w:r>
      <w:r w:rsidRPr="00BC3448">
        <w:rPr>
          <w:szCs w:val="24"/>
          <w:lang w:eastAsia="en-US"/>
        </w:rPr>
        <w:tab/>
      </w:r>
      <w:r w:rsidRPr="00BC3448">
        <w:rPr>
          <w:b/>
          <w:i/>
          <w:szCs w:val="24"/>
          <w:lang w:eastAsia="en-US"/>
        </w:rPr>
        <w:t xml:space="preserve">okolišnih, zdravstvenih i socioekonomskih troškova i koristi proširenja općeg pristupa upravljanju rizikom na deterdžente i površinski aktivne tvari te postupnog ukidanja zabrinjavajućih tvari, uključujući one koje uzrokuju rak, genske mutacije, utječu na reproduktivni ili endokrini sustav, postojane su i </w:t>
      </w:r>
      <w:proofErr w:type="spellStart"/>
      <w:r w:rsidRPr="00BC3448">
        <w:rPr>
          <w:b/>
          <w:i/>
          <w:szCs w:val="24"/>
          <w:lang w:eastAsia="en-US"/>
        </w:rPr>
        <w:t>bioakumulativne</w:t>
      </w:r>
      <w:proofErr w:type="spellEnd"/>
      <w:r w:rsidRPr="00BC3448">
        <w:rPr>
          <w:b/>
          <w:i/>
          <w:szCs w:val="24"/>
          <w:lang w:eastAsia="en-US"/>
        </w:rPr>
        <w:t xml:space="preserve">, utječu na </w:t>
      </w:r>
      <w:proofErr w:type="spellStart"/>
      <w:r w:rsidRPr="00BC3448">
        <w:rPr>
          <w:b/>
          <w:i/>
          <w:szCs w:val="24"/>
          <w:lang w:eastAsia="en-US"/>
        </w:rPr>
        <w:t>imunosni</w:t>
      </w:r>
      <w:proofErr w:type="spellEnd"/>
      <w:r w:rsidRPr="00BC3448">
        <w:rPr>
          <w:b/>
          <w:i/>
          <w:szCs w:val="24"/>
          <w:lang w:eastAsia="en-US"/>
        </w:rPr>
        <w:t>, neurološki ili dišni sustav ili su toksične za određeni organ, uzimajući u obzir kombinirane učinke, kako bi se postigao netoksičan okoliš.</w:t>
      </w:r>
    </w:p>
    <w:p w:rsidR="001169ED" w:rsidRPr="00BC3448" w:rsidRDefault="001169ED" w:rsidP="001169ED">
      <w:pPr>
        <w:spacing w:before="120" w:after="120" w:line="360" w:lineRule="auto"/>
        <w:rPr>
          <w:b/>
          <w:szCs w:val="24"/>
          <w:lang w:eastAsia="en-US"/>
        </w:rPr>
      </w:pPr>
      <w:r w:rsidRPr="00BC3448">
        <w:rPr>
          <w:b/>
          <w:i/>
          <w:szCs w:val="24"/>
          <w:lang w:eastAsia="en-US"/>
        </w:rPr>
        <w:t>Izvješće je prema potrebi popraćeno zakonodavnim prijedlogom.</w:t>
      </w:r>
      <w:r w:rsidR="00086E71" w:rsidRPr="00BC3448">
        <w:rPr>
          <w:b/>
          <w:szCs w:val="24"/>
          <w:lang w:eastAsia="en-US"/>
        </w:rPr>
        <w:t xml:space="preserve"> [Am. 120.]</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32.</w:t>
      </w:r>
      <w:r w:rsidRPr="00BC3448">
        <w:rPr>
          <w:szCs w:val="24"/>
          <w:lang w:eastAsia="en-US"/>
        </w:rPr>
        <w:br/>
        <w:t>Revizija s obzirom na mikroorganizme</w:t>
      </w:r>
    </w:p>
    <w:p w:rsidR="001169ED" w:rsidRPr="00BC3448" w:rsidRDefault="001169ED" w:rsidP="001169ED">
      <w:pPr>
        <w:spacing w:before="120" w:after="120" w:line="360" w:lineRule="auto"/>
        <w:rPr>
          <w:b/>
          <w:szCs w:val="24"/>
          <w:lang w:eastAsia="en-US"/>
        </w:rPr>
      </w:pPr>
      <w:r w:rsidRPr="00BC3448">
        <w:rPr>
          <w:szCs w:val="24"/>
          <w:lang w:eastAsia="en-US"/>
        </w:rPr>
        <w:t>Do [OP unosi datum = 3 godine od datuma početka primjene ove Uredbe] Komisija mora ocijeniti učinkovitost i relevantnost zahtjeva ove Uredbe za deterdžente koji sadržavaju mikroorganizme</w:t>
      </w:r>
      <w:r w:rsidRPr="00BC3448">
        <w:rPr>
          <w:b/>
          <w:i/>
          <w:szCs w:val="24"/>
          <w:lang w:eastAsia="en-US"/>
        </w:rPr>
        <w:t>, posebno popisa patogenih mikroorganizama iz točke 2. Priloga II. i učinaka mikroorganizama koji se namjerno dodaju deterdžentima u postupku pročišćavanja komunalnih otpadnih voda,</w:t>
      </w:r>
      <w:r w:rsidRPr="00BC3448">
        <w:rPr>
          <w:szCs w:val="24"/>
          <w:lang w:eastAsia="en-US"/>
        </w:rPr>
        <w:t xml:space="preserve"> te mogućnost uvrštavanja novih mikroorganizama ili sojeva mikroorganizama dopuštenih u deterdžentima u Prilog II.</w:t>
      </w:r>
      <w:r w:rsidR="00086E71" w:rsidRPr="00BC3448">
        <w:rPr>
          <w:b/>
          <w:szCs w:val="24"/>
          <w:lang w:eastAsia="en-US"/>
        </w:rPr>
        <w:t xml:space="preserve"> [Am. 121.]</w:t>
      </w:r>
    </w:p>
    <w:p w:rsidR="001169ED" w:rsidRPr="00BC3448" w:rsidRDefault="001169ED" w:rsidP="001169ED">
      <w:pPr>
        <w:spacing w:before="120" w:after="120" w:line="360" w:lineRule="auto"/>
        <w:rPr>
          <w:b/>
          <w:szCs w:val="24"/>
          <w:lang w:eastAsia="en-US"/>
        </w:rPr>
      </w:pPr>
      <w:r w:rsidRPr="00BC3448">
        <w:rPr>
          <w:b/>
          <w:i/>
          <w:szCs w:val="24"/>
          <w:lang w:eastAsia="en-US"/>
        </w:rPr>
        <w:t>Do... [OP: unijeti datum = tri godine od datuma početka primjene ove Uredbe] i svake tri godine nakon toga Komisija preispituje popis patogenih mikroorganizama iz točke 2. Priloga II. i, prema potrebi, donosi delegirane akte u skladu s člankom 27. radi izmjene Priloga II. kako bi se uzeo u obzir znanstveni i tehnički napredak.</w:t>
      </w:r>
      <w:r w:rsidR="00086E71" w:rsidRPr="00BC3448">
        <w:rPr>
          <w:b/>
          <w:szCs w:val="24"/>
          <w:lang w:eastAsia="en-US"/>
        </w:rPr>
        <w:t xml:space="preserve"> [Am. 122.]</w:t>
      </w:r>
    </w:p>
    <w:p w:rsidR="004B531B" w:rsidRPr="00BC3448" w:rsidRDefault="004B531B" w:rsidP="001169ED">
      <w:pPr>
        <w:spacing w:before="120" w:after="120" w:line="360" w:lineRule="auto"/>
        <w:jc w:val="center"/>
        <w:rPr>
          <w:b/>
          <w:i/>
          <w:szCs w:val="24"/>
          <w:lang w:eastAsia="en-US"/>
        </w:rPr>
      </w:pPr>
      <w:r w:rsidRPr="00BC3448">
        <w:rPr>
          <w:b/>
          <w:i/>
          <w:szCs w:val="24"/>
          <w:lang w:eastAsia="en-US"/>
        </w:rPr>
        <w:br w:type="page"/>
      </w:r>
    </w:p>
    <w:p w:rsidR="001169ED" w:rsidRPr="00BC3448" w:rsidRDefault="001169ED" w:rsidP="001169ED">
      <w:pPr>
        <w:spacing w:before="120" w:after="120" w:line="360" w:lineRule="auto"/>
        <w:jc w:val="center"/>
        <w:rPr>
          <w:szCs w:val="24"/>
          <w:lang w:eastAsia="en-US"/>
        </w:rPr>
      </w:pPr>
      <w:r w:rsidRPr="00BC3448">
        <w:rPr>
          <w:b/>
          <w:i/>
          <w:szCs w:val="24"/>
          <w:lang w:eastAsia="en-US"/>
        </w:rPr>
        <w:t>Članak 32a.</w:t>
      </w:r>
      <w:r w:rsidRPr="00BC3448">
        <w:rPr>
          <w:szCs w:val="24"/>
          <w:lang w:eastAsia="en-US"/>
        </w:rPr>
        <w:br/>
      </w:r>
      <w:r w:rsidRPr="00BC3448">
        <w:rPr>
          <w:b/>
          <w:i/>
          <w:szCs w:val="24"/>
          <w:lang w:eastAsia="en-US"/>
        </w:rPr>
        <w:t>Preispitivanje sastojaka obnovljivih sirovina</w:t>
      </w:r>
    </w:p>
    <w:p w:rsidR="001169ED" w:rsidRPr="00BC3448" w:rsidRDefault="001169ED" w:rsidP="001169ED">
      <w:pPr>
        <w:spacing w:before="120" w:after="120" w:line="360" w:lineRule="auto"/>
        <w:rPr>
          <w:b/>
          <w:szCs w:val="24"/>
          <w:lang w:eastAsia="en-US"/>
        </w:rPr>
      </w:pPr>
      <w:r w:rsidRPr="00BC3448">
        <w:rPr>
          <w:b/>
          <w:i/>
          <w:szCs w:val="24"/>
          <w:lang w:eastAsia="en-US"/>
        </w:rPr>
        <w:t>Do... [OP: unosi datum – 3 godine od datuma početka primjene ove Uredbe] Komisija podnosi izvješće Europskom parlamentu i Vijeću u kojem ocjenjuje nužnost, izvedivost, tehničke posljedice i koristi za zdravlje i okoliš uvođenja obveznih ciljnih vrijednosti za obnovljive sirovine i reciklirane sastojke u deterdžentima i površinski aktivnim tvarima. U tom izvješću Komisija posebno uzima u obzir socioekonomske učinke, konkurentnost gospodarskih subjekata u Uniji, održivu nabavu, kao i potencijal globalnog zagrijavanja, potencijal upotrebe otpada od hrane u deterdžentima i potencijalnu prenamjenu zemljišta povezanu s alternativnim sirovinama i sigurnost opskrbe hranom u Uniji. Izvješće je prema potrebi popraćeno zakonodavnim prijedlogom.</w:t>
      </w:r>
      <w:r w:rsidR="00086E71" w:rsidRPr="00BC3448">
        <w:rPr>
          <w:b/>
          <w:szCs w:val="24"/>
          <w:lang w:eastAsia="en-US"/>
        </w:rPr>
        <w:t xml:space="preserve"> [Am. 123.]</w:t>
      </w:r>
    </w:p>
    <w:p w:rsidR="001169ED" w:rsidRPr="00BC3448" w:rsidRDefault="001169ED" w:rsidP="001169ED">
      <w:pPr>
        <w:spacing w:before="120" w:after="120" w:line="360" w:lineRule="auto"/>
        <w:jc w:val="center"/>
        <w:rPr>
          <w:szCs w:val="24"/>
          <w:lang w:eastAsia="en-US"/>
        </w:rPr>
      </w:pPr>
      <w:r w:rsidRPr="00BC3448">
        <w:rPr>
          <w:szCs w:val="24"/>
          <w:lang w:eastAsia="en-US"/>
        </w:rPr>
        <w:t>Članak 33.</w:t>
      </w:r>
      <w:r w:rsidRPr="00BC3448">
        <w:rPr>
          <w:szCs w:val="24"/>
          <w:lang w:eastAsia="en-US"/>
        </w:rPr>
        <w:br/>
        <w:t>Stavljanje izvan snage Uredbe (EZ) br. 648/2004</w:t>
      </w:r>
    </w:p>
    <w:p w:rsidR="001169ED" w:rsidRPr="00BC3448" w:rsidRDefault="001169ED" w:rsidP="001169ED">
      <w:pPr>
        <w:spacing w:before="120" w:after="120" w:line="360" w:lineRule="auto"/>
        <w:rPr>
          <w:szCs w:val="24"/>
          <w:lang w:eastAsia="en-US"/>
        </w:rPr>
      </w:pPr>
      <w:r w:rsidRPr="00BC3448">
        <w:rPr>
          <w:szCs w:val="24"/>
          <w:lang w:eastAsia="en-US"/>
        </w:rPr>
        <w:t>Uredba (EZ) br. 648/2004 stavlja se izvan snage.</w:t>
      </w:r>
    </w:p>
    <w:p w:rsidR="001169ED" w:rsidRPr="00BC3448" w:rsidRDefault="001169ED" w:rsidP="001169ED">
      <w:pPr>
        <w:spacing w:before="120" w:after="120" w:line="360" w:lineRule="auto"/>
        <w:rPr>
          <w:szCs w:val="24"/>
          <w:lang w:eastAsia="en-US"/>
        </w:rPr>
      </w:pPr>
      <w:r w:rsidRPr="00BC3448">
        <w:rPr>
          <w:szCs w:val="24"/>
          <w:lang w:eastAsia="en-US"/>
        </w:rPr>
        <w:t>Upućivanja na uredbu stavljenu izvan snage smatraju se upućivanjima na ovu Uredbu i tumače se u skladu s korelacijskom tablicom iz Priloga VIII.</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34.</w:t>
      </w:r>
      <w:r w:rsidRPr="00BC3448">
        <w:rPr>
          <w:szCs w:val="24"/>
          <w:lang w:eastAsia="en-US"/>
        </w:rPr>
        <w:br/>
        <w:t xml:space="preserve">Prijelazne odredbe </w:t>
      </w:r>
    </w:p>
    <w:p w:rsidR="001169ED" w:rsidRPr="00BC3448" w:rsidRDefault="001169ED" w:rsidP="001169ED">
      <w:pPr>
        <w:spacing w:before="120" w:after="120" w:line="360" w:lineRule="auto"/>
        <w:rPr>
          <w:szCs w:val="24"/>
          <w:lang w:eastAsia="en-US"/>
        </w:rPr>
      </w:pPr>
      <w:r w:rsidRPr="00BC3448">
        <w:rPr>
          <w:szCs w:val="24"/>
          <w:lang w:eastAsia="en-US"/>
        </w:rPr>
        <w:t>Države članice ne sprečavaju stavljanje na raspolaganje na tržištu deterdženata i površinski aktivnih tvari koji su stavljeni na tržište prije [OP unosi datum = 30 mjeseci od datuma stupanja na snagu ove Uredbe]u skladu s Uredbom (EZ) br. 648/2004, kako se primjenjuje ... [OP unosi datum = jedan dan prije 30 mjeseci od datuma stupanja na snagu ove Uredbe].</w:t>
      </w:r>
    </w:p>
    <w:p w:rsidR="001169ED" w:rsidRPr="00BC3448" w:rsidRDefault="001169ED" w:rsidP="001169ED">
      <w:pPr>
        <w:spacing w:before="120" w:after="120" w:line="360" w:lineRule="auto"/>
        <w:rPr>
          <w:szCs w:val="24"/>
          <w:lang w:eastAsia="en-US"/>
        </w:rPr>
      </w:pPr>
      <w:r w:rsidRPr="00BC3448">
        <w:rPr>
          <w:szCs w:val="24"/>
          <w:lang w:eastAsia="en-US"/>
        </w:rPr>
        <w:t>Deterdženti i površinski aktivne tvari koji se stavljaju na tržište nakon... [OP unosi datum = jedan dan prije 30 mjeseci od datuma stupanja na snagu ove Uredbe]i koji su u trenutku stavljanja na tržište u skladu s Uredbom (EZ) br. 648/2004 kako se primjenjuje... [OP unosi datum = jedan dan prije 30 mjeseci od datuma stupanja na snagu ove Uredbe] mogu se stavljati na raspolaganje na tržištu do [OP unosi datum = 36 mjeseci od datuma stupanja na snagu ove Uredbe].</w:t>
      </w:r>
    </w:p>
    <w:p w:rsidR="004B531B" w:rsidRPr="00BC3448" w:rsidRDefault="004B531B" w:rsidP="001169ED">
      <w:pPr>
        <w:spacing w:before="120" w:after="120" w:line="360" w:lineRule="auto"/>
        <w:jc w:val="center"/>
        <w:rPr>
          <w:szCs w:val="24"/>
          <w:lang w:eastAsia="en-US"/>
        </w:rPr>
      </w:pPr>
      <w:r w:rsidRPr="00BC3448">
        <w:rPr>
          <w:szCs w:val="24"/>
          <w:lang w:eastAsia="en-US"/>
        </w:rPr>
        <w:br w:type="page"/>
      </w:r>
    </w:p>
    <w:p w:rsidR="001169ED" w:rsidRPr="00BC3448" w:rsidRDefault="001169ED" w:rsidP="001169ED">
      <w:pPr>
        <w:spacing w:before="120" w:after="120" w:line="360" w:lineRule="auto"/>
        <w:jc w:val="center"/>
        <w:rPr>
          <w:szCs w:val="24"/>
          <w:lang w:eastAsia="en-US"/>
        </w:rPr>
      </w:pPr>
      <w:r w:rsidRPr="00BC3448">
        <w:rPr>
          <w:szCs w:val="24"/>
          <w:lang w:eastAsia="en-US"/>
        </w:rPr>
        <w:t>Članak 35.</w:t>
      </w:r>
      <w:r w:rsidRPr="00BC3448">
        <w:rPr>
          <w:szCs w:val="24"/>
          <w:lang w:eastAsia="en-US"/>
        </w:rPr>
        <w:br/>
        <w:t xml:space="preserve">Stupanje na snagu i primjena </w:t>
      </w:r>
    </w:p>
    <w:p w:rsidR="001169ED" w:rsidRPr="00BC3448" w:rsidRDefault="001169ED" w:rsidP="001169ED">
      <w:pPr>
        <w:spacing w:before="120" w:after="120" w:line="360" w:lineRule="auto"/>
        <w:rPr>
          <w:szCs w:val="24"/>
          <w:lang w:eastAsia="en-US"/>
        </w:rPr>
      </w:pPr>
      <w:r w:rsidRPr="00BC3448">
        <w:rPr>
          <w:szCs w:val="24"/>
          <w:lang w:eastAsia="en-US"/>
        </w:rPr>
        <w:t xml:space="preserve">Ova Uredba stupa na snagu dvadesetog dana od dana njezine objave u </w:t>
      </w:r>
      <w:r w:rsidRPr="00BC3448">
        <w:rPr>
          <w:i/>
          <w:szCs w:val="24"/>
          <w:lang w:eastAsia="en-US"/>
        </w:rPr>
        <w:t>Službenom listu Europske unije</w:t>
      </w:r>
      <w:r w:rsidRPr="00BC3448">
        <w:rPr>
          <w:szCs w:val="24"/>
          <w:lang w:eastAsia="en-US"/>
        </w:rPr>
        <w:t>.</w:t>
      </w:r>
    </w:p>
    <w:p w:rsidR="001169ED" w:rsidRPr="00BC3448" w:rsidRDefault="001169ED" w:rsidP="001169ED">
      <w:pPr>
        <w:spacing w:before="120" w:after="120" w:line="360" w:lineRule="auto"/>
        <w:rPr>
          <w:szCs w:val="24"/>
          <w:lang w:eastAsia="en-US"/>
        </w:rPr>
      </w:pPr>
      <w:r w:rsidRPr="00BC3448">
        <w:rPr>
          <w:szCs w:val="24"/>
          <w:lang w:eastAsia="en-US"/>
        </w:rPr>
        <w:t>Primjenjuje se od [OP unosi datum = 30 mjeseci od datuma stupanja na snagu ove Uredbe].</w:t>
      </w:r>
    </w:p>
    <w:p w:rsidR="001169ED" w:rsidRPr="00BC3448" w:rsidRDefault="001169ED" w:rsidP="001169ED">
      <w:pPr>
        <w:spacing w:before="120" w:after="120" w:line="360" w:lineRule="auto"/>
        <w:rPr>
          <w:szCs w:val="24"/>
          <w:lang w:eastAsia="en-US"/>
        </w:rPr>
      </w:pPr>
      <w:r w:rsidRPr="00BC3448">
        <w:rPr>
          <w:szCs w:val="24"/>
          <w:lang w:eastAsia="en-US"/>
        </w:rPr>
        <w:t>Ova je Uredba u cijelosti obvezujuća i izravno se primjenjuje u svim državama članicama.</w:t>
      </w:r>
    </w:p>
    <w:p w:rsidR="001169ED" w:rsidRPr="00BC3448" w:rsidRDefault="001169ED" w:rsidP="001169ED">
      <w:pPr>
        <w:keepNext/>
        <w:widowControl/>
        <w:spacing w:before="120" w:line="360" w:lineRule="auto"/>
        <w:rPr>
          <w:szCs w:val="24"/>
          <w:lang w:eastAsia="en-US"/>
        </w:rPr>
      </w:pPr>
      <w:r w:rsidRPr="00BC3448">
        <w:rPr>
          <w:szCs w:val="24"/>
          <w:lang w:eastAsia="en-US"/>
        </w:rPr>
        <w:t>Sastavljeno u Bruxellesu,</w:t>
      </w:r>
    </w:p>
    <w:p w:rsidR="001169ED" w:rsidRPr="00BC3448" w:rsidRDefault="001169ED" w:rsidP="001169ED">
      <w:pPr>
        <w:keepNext/>
        <w:widowControl/>
        <w:tabs>
          <w:tab w:val="left" w:pos="4252"/>
        </w:tabs>
        <w:spacing w:before="720" w:after="100" w:line="360" w:lineRule="auto"/>
        <w:jc w:val="both"/>
        <w:rPr>
          <w:i/>
          <w:szCs w:val="24"/>
          <w:lang w:eastAsia="en-US"/>
        </w:rPr>
      </w:pPr>
      <w:r w:rsidRPr="00BC3448">
        <w:rPr>
          <w:i/>
          <w:szCs w:val="24"/>
          <w:lang w:eastAsia="en-US"/>
        </w:rPr>
        <w:t>Za Europski parlament</w:t>
      </w:r>
      <w:r w:rsidRPr="00BC3448">
        <w:rPr>
          <w:i/>
          <w:szCs w:val="24"/>
          <w:lang w:eastAsia="en-US"/>
        </w:rPr>
        <w:tab/>
        <w:t>Za Vijeće</w:t>
      </w:r>
    </w:p>
    <w:p w:rsidR="001169ED" w:rsidRPr="00BC3448" w:rsidRDefault="001169ED" w:rsidP="001169ED">
      <w:pPr>
        <w:widowControl/>
        <w:tabs>
          <w:tab w:val="left" w:pos="4252"/>
        </w:tabs>
        <w:spacing w:line="360" w:lineRule="auto"/>
        <w:rPr>
          <w:i/>
          <w:szCs w:val="24"/>
          <w:lang w:eastAsia="en-US"/>
        </w:rPr>
      </w:pPr>
      <w:r w:rsidRPr="00BC3448">
        <w:rPr>
          <w:i/>
          <w:szCs w:val="24"/>
          <w:lang w:eastAsia="en-US"/>
        </w:rPr>
        <w:t>Predsjednica</w:t>
      </w:r>
      <w:r w:rsidRPr="00BC3448">
        <w:rPr>
          <w:i/>
          <w:szCs w:val="24"/>
          <w:lang w:eastAsia="en-US"/>
        </w:rPr>
        <w:tab/>
        <w:t>Predsjednik</w:t>
      </w:r>
    </w:p>
    <w:p w:rsidR="001169ED" w:rsidRPr="00BC3448" w:rsidRDefault="001169ED" w:rsidP="001169ED">
      <w:pPr>
        <w:spacing w:before="120" w:after="120" w:line="360" w:lineRule="auto"/>
        <w:rPr>
          <w:szCs w:val="24"/>
          <w:lang w:eastAsia="en-US"/>
        </w:rPr>
        <w:sectPr w:rsidR="001169ED" w:rsidRPr="00BC3448">
          <w:footerReference w:type="even" r:id="rId15"/>
          <w:footerReference w:type="first" r:id="rId16"/>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I.</w:t>
      </w:r>
    </w:p>
    <w:p w:rsidR="001169ED" w:rsidRPr="00BC3448" w:rsidRDefault="001169ED" w:rsidP="004B531B">
      <w:pPr>
        <w:spacing w:before="120" w:after="120" w:line="360" w:lineRule="auto"/>
        <w:jc w:val="center"/>
        <w:rPr>
          <w:szCs w:val="24"/>
          <w:lang w:eastAsia="en-US"/>
        </w:rPr>
      </w:pPr>
      <w:r w:rsidRPr="00BC3448">
        <w:rPr>
          <w:szCs w:val="24"/>
          <w:lang w:eastAsia="en-US"/>
        </w:rPr>
        <w:t>ZAHTJEVI ZA BIORAZGRADIVOST IZ ČLANKA 4.</w:t>
      </w:r>
    </w:p>
    <w:p w:rsidR="001169ED" w:rsidRPr="00BC3448" w:rsidRDefault="001169ED" w:rsidP="001169ED">
      <w:pPr>
        <w:spacing w:before="120" w:after="120" w:line="360" w:lineRule="auto"/>
        <w:rPr>
          <w:szCs w:val="24"/>
          <w:lang w:eastAsia="en-US"/>
        </w:rPr>
      </w:pPr>
      <w:r w:rsidRPr="00BC3448">
        <w:rPr>
          <w:szCs w:val="24"/>
          <w:lang w:eastAsia="en-US"/>
        </w:rPr>
        <w:t>KRITERIJI I METODE ISPITIVANJA KONAČNE BIORAZGRADIVOSTI ZA POVRŠINSKI AKTIVNE TVARI I POVRŠINSKI AKTIVNE TVARI U DETERDŽENTIMA</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U ovoj Uredbi referentna metoda za laboratorijsko testiranje konačne biorazgradivosti površinski aktivnih tvari temelji se na normi EN ISO 14593:1999 (test CO</w:t>
      </w:r>
      <w:r w:rsidRPr="00BC3448">
        <w:rPr>
          <w:szCs w:val="24"/>
          <w:vertAlign w:val="subscript"/>
          <w:lang w:eastAsia="en-US"/>
        </w:rPr>
        <w:t>2</w:t>
      </w:r>
      <w:r w:rsidRPr="00BC3448">
        <w:rPr>
          <w:szCs w:val="24"/>
          <w:lang w:eastAsia="en-US"/>
        </w:rPr>
        <w:t xml:space="preserve"> u atmosferi).</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Površinski aktivne tvari i površinski aktivne tvari u deterdžentima moraju biti konačno biorazgradive kako je određeno u skladu s kriterijima iz točke 3.</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Površinski aktivne tvari i površinski aktivne tvari u deterdžentima smatraju se konačno biorazgradivima ako ispunjavaju jedan od sljedećih kriterija: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razina biorazgradivosti (mineralizacije) izmjerena prema jednoj od sljedećih metoda ispitivanja iznosi najmanje 60 % tijekom 28 dana:</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w:t>
      </w:r>
      <w:r w:rsidRPr="00BC3448">
        <w:rPr>
          <w:szCs w:val="24"/>
          <w:lang w:eastAsia="en-US"/>
        </w:rPr>
        <w:tab/>
        <w:t>Norma EN ISO 14593:1999 – Procjena potpune aerobne biološke razgradnje organskih tvari u vodi – Metoda određivanja anorganskog ugljika u začepljenim tikvicama (test CO</w:t>
      </w:r>
      <w:r w:rsidRPr="00BC3448">
        <w:rPr>
          <w:szCs w:val="24"/>
          <w:vertAlign w:val="subscript"/>
          <w:lang w:eastAsia="en-US"/>
        </w:rPr>
        <w:t>2</w:t>
      </w:r>
      <w:r w:rsidRPr="00BC3448">
        <w:rPr>
          <w:szCs w:val="24"/>
          <w:lang w:eastAsia="en-US"/>
        </w:rPr>
        <w:t xml:space="preserve"> u atmosferi);</w:t>
      </w:r>
    </w:p>
    <w:p w:rsidR="004B531B" w:rsidRPr="00BC3448" w:rsidRDefault="004B531B" w:rsidP="001169ED">
      <w:pPr>
        <w:spacing w:before="120" w:after="120" w:line="360" w:lineRule="auto"/>
        <w:ind w:left="1982"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982" w:hanging="566"/>
        <w:rPr>
          <w:szCs w:val="24"/>
          <w:lang w:eastAsia="en-US"/>
        </w:rPr>
      </w:pPr>
      <w:r w:rsidRPr="00BC3448">
        <w:rPr>
          <w:szCs w:val="24"/>
          <w:lang w:eastAsia="en-US"/>
        </w:rPr>
        <w:t>(ii)</w:t>
      </w:r>
      <w:r w:rsidRPr="00BC3448">
        <w:rPr>
          <w:szCs w:val="24"/>
          <w:lang w:eastAsia="en-US"/>
        </w:rPr>
        <w:tab/>
        <w:t>metoda C.4.-C, test razvijanja ugljikova dioksida (CO</w:t>
      </w:r>
      <w:r w:rsidRPr="00BC3448">
        <w:rPr>
          <w:szCs w:val="24"/>
          <w:vertAlign w:val="subscript"/>
          <w:lang w:eastAsia="en-US"/>
        </w:rPr>
        <w:t>2</w:t>
      </w:r>
      <w:r w:rsidRPr="00BC3448">
        <w:rPr>
          <w:szCs w:val="24"/>
          <w:lang w:eastAsia="en-US"/>
        </w:rPr>
        <w:t xml:space="preserve">) (izmijenjeni </w:t>
      </w:r>
      <w:proofErr w:type="spellStart"/>
      <w:r w:rsidRPr="00BC3448">
        <w:rPr>
          <w:szCs w:val="24"/>
          <w:lang w:eastAsia="en-US"/>
        </w:rPr>
        <w:t>Sturmov</w:t>
      </w:r>
      <w:proofErr w:type="spellEnd"/>
      <w:r w:rsidRPr="00BC3448">
        <w:rPr>
          <w:szCs w:val="24"/>
          <w:lang w:eastAsia="en-US"/>
        </w:rPr>
        <w:t xml:space="preserve"> test), opisana u dijelu IV. dijela C Priloga Uredbi Komisije (EZ) br. 440/2008</w:t>
      </w:r>
      <w:r w:rsidRPr="00BC3448">
        <w:rPr>
          <w:szCs w:val="24"/>
          <w:vertAlign w:val="superscript"/>
          <w:lang w:eastAsia="en-US"/>
        </w:rPr>
        <w:footnoteReference w:customMarkFollows="1" w:id="27"/>
        <w:t>1</w:t>
      </w:r>
      <w:r w:rsidRPr="00BC3448">
        <w:rPr>
          <w:szCs w:val="24"/>
          <w:lang w:eastAsia="en-US"/>
        </w:rPr>
        <w:t>;</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(iii)</w:t>
      </w:r>
      <w:r w:rsidRPr="00BC3448">
        <w:rPr>
          <w:szCs w:val="24"/>
          <w:lang w:eastAsia="en-US"/>
        </w:rPr>
        <w:tab/>
        <w:t xml:space="preserve">metoda C.4.-D, </w:t>
      </w:r>
      <w:proofErr w:type="spellStart"/>
      <w:r w:rsidRPr="00BC3448">
        <w:rPr>
          <w:szCs w:val="24"/>
          <w:lang w:eastAsia="en-US"/>
        </w:rPr>
        <w:t>manometrijsko-respirometrijski</w:t>
      </w:r>
      <w:proofErr w:type="spellEnd"/>
      <w:r w:rsidRPr="00BC3448">
        <w:rPr>
          <w:szCs w:val="24"/>
          <w:lang w:eastAsia="en-US"/>
        </w:rPr>
        <w:t xml:space="preserve"> test, opisana u dijelu V. dijela C Priloga Uredbi (EZ) br. 440/2008;</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(iv)</w:t>
      </w:r>
      <w:r w:rsidRPr="00BC3448">
        <w:rPr>
          <w:szCs w:val="24"/>
          <w:lang w:eastAsia="en-US"/>
        </w:rPr>
        <w:tab/>
        <w:t>metoda C.4.-E, test sa zatvorenim bocama, opisana u dijelu VI. dijela C Priloga Uredbi (EZ) br. 440/2008;</w:t>
      </w:r>
    </w:p>
    <w:p w:rsidR="001169ED" w:rsidRPr="00BC3448" w:rsidRDefault="001169ED" w:rsidP="001169ED">
      <w:pPr>
        <w:spacing w:before="120" w:after="120" w:line="360" w:lineRule="auto"/>
        <w:ind w:left="1982" w:hanging="566"/>
        <w:rPr>
          <w:szCs w:val="24"/>
          <w:lang w:eastAsia="en-US"/>
        </w:rPr>
      </w:pPr>
      <w:r w:rsidRPr="00BC3448">
        <w:rPr>
          <w:szCs w:val="24"/>
          <w:lang w:eastAsia="en-US"/>
        </w:rPr>
        <w:t>(v)</w:t>
      </w:r>
      <w:r w:rsidRPr="00BC3448">
        <w:rPr>
          <w:szCs w:val="24"/>
          <w:lang w:eastAsia="en-US"/>
        </w:rPr>
        <w:tab/>
        <w:t>metoda C.4.-F, MITI (Ministarstvo međunarodne trgovine i industrije Japana), opisana u dijelu VII. dijela C Priloga Uredbi (EZ) br. 440/2008;</w:t>
      </w:r>
    </w:p>
    <w:p w:rsidR="001169ED" w:rsidRPr="00BC3448" w:rsidRDefault="001169ED" w:rsidP="001169ED">
      <w:pPr>
        <w:spacing w:before="120" w:after="120" w:line="360" w:lineRule="auto"/>
        <w:ind w:left="1982" w:hanging="566"/>
        <w:rPr>
          <w:szCs w:val="24"/>
          <w:lang w:eastAsia="en-US"/>
        </w:rPr>
      </w:pPr>
      <w:r w:rsidRPr="00BC3448">
        <w:rPr>
          <w:szCs w:val="24"/>
          <w:lang w:eastAsia="en-US"/>
        </w:rPr>
        <w:t>(vi)</w:t>
      </w:r>
      <w:r w:rsidRPr="00BC3448">
        <w:rPr>
          <w:szCs w:val="24"/>
          <w:lang w:eastAsia="en-US"/>
        </w:rPr>
        <w:tab/>
        <w:t>ISO 10708:1997 – Kakvoća vode – Procjena potpune aerobne biološke razgradnje organskih tvari u vodi – Određivanje biokemijske potrošnje kisika u zatvorenim bocama s dvije faze.</w:t>
      </w:r>
    </w:p>
    <w:p w:rsidR="004B531B" w:rsidRPr="00BC3448" w:rsidRDefault="004B531B"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razina biorazgradivosti (mineralizacije) izmjerena prema jednoj od sljedećih metoda ispitivanja iznosi najmanje 70 % tijekom 28 dana:</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w:t>
      </w:r>
      <w:r w:rsidRPr="00BC3448">
        <w:rPr>
          <w:szCs w:val="24"/>
          <w:lang w:eastAsia="en-US"/>
        </w:rPr>
        <w:tab/>
        <w:t>metoda C.4.-A, test opadanja otopljenog organskog ugljika (DOC), opisana u dijelu II. dijela C Priloga Uredbi (EZ) br. 440/2008;</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(ii)</w:t>
      </w:r>
      <w:r w:rsidRPr="00BC3448">
        <w:rPr>
          <w:szCs w:val="24"/>
          <w:lang w:eastAsia="en-US"/>
        </w:rPr>
        <w:tab/>
        <w:t>metoda C.4.-B, izmijenjeni test pretraživanja OECD – opadanje DOC-a, opisana u dijelu III. dijela C Priloga Uredbi (EZ) br. 440/2008.</w:t>
      </w:r>
    </w:p>
    <w:p w:rsidR="001169ED" w:rsidRPr="00BC3448" w:rsidRDefault="001169ED" w:rsidP="001169ED">
      <w:pPr>
        <w:spacing w:before="120" w:after="120" w:line="360" w:lineRule="auto"/>
        <w:ind w:left="1416"/>
        <w:rPr>
          <w:szCs w:val="24"/>
          <w:lang w:eastAsia="en-US"/>
        </w:rPr>
      </w:pPr>
      <w:r w:rsidRPr="00BC3448">
        <w:rPr>
          <w:szCs w:val="24"/>
          <w:lang w:eastAsia="en-US"/>
        </w:rPr>
        <w:t>Ni u jednoj od metoda ispitivanja iz točaka (a) i (b) ne upotrebljava se prethodna prilagodba niti se primjenjuje načelo desetodnevnog okvira.</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Ispitivanja iz točke 3. provode laboratoriji koji ispunjavaju bilo koji od sljedećih uvjeta: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laboratoriji poštuju načela dobre laboratorijske prakse navedena u Direktivi 2004/10/EZ Europskog parlamenta i Vijeća</w:t>
      </w:r>
      <w:r w:rsidRPr="00BC3448">
        <w:rPr>
          <w:szCs w:val="24"/>
          <w:vertAlign w:val="superscript"/>
          <w:lang w:eastAsia="en-US"/>
        </w:rPr>
        <w:footnoteReference w:customMarkFollows="1" w:id="28"/>
        <w:t>2</w:t>
      </w:r>
      <w:r w:rsidRPr="00BC3448">
        <w:rPr>
          <w:szCs w:val="24"/>
          <w:lang w:eastAsia="en-US"/>
        </w:rPr>
        <w:t xml:space="preserve"> ili drugih međunarodnih normi koje su priznate kao jednakovrijedne;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laboratoriji su akreditirani u skladu s normom za laboratorije iz Uredbe (EZ) br. 765/2008.</w:t>
      </w:r>
    </w:p>
    <w:p w:rsidR="001169ED" w:rsidRPr="00BC3448" w:rsidRDefault="001169ED" w:rsidP="001169ED">
      <w:pPr>
        <w:spacing w:before="120" w:after="120" w:line="360" w:lineRule="auto"/>
        <w:rPr>
          <w:szCs w:val="24"/>
          <w:lang w:eastAsia="en-US"/>
        </w:rPr>
        <w:sectPr w:rsidR="001169ED" w:rsidRPr="00BC3448">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II.</w:t>
      </w:r>
    </w:p>
    <w:p w:rsidR="001169ED" w:rsidRPr="00BC3448" w:rsidRDefault="001169ED" w:rsidP="004B531B">
      <w:pPr>
        <w:spacing w:before="120" w:after="120" w:line="360" w:lineRule="auto"/>
        <w:jc w:val="center"/>
        <w:rPr>
          <w:szCs w:val="24"/>
          <w:lang w:eastAsia="en-US"/>
        </w:rPr>
      </w:pPr>
      <w:r w:rsidRPr="00BC3448">
        <w:rPr>
          <w:szCs w:val="24"/>
          <w:lang w:eastAsia="en-US"/>
        </w:rPr>
        <w:t>ZAHTJEVI ZA DETERDŽENTE KOJI SADRŽAVAJU MIKROORGANIZME IZ ČLANKA 5.</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Mikroorganizmi koji se namjerno dodaju deterdžentima moraju ispunjavati sljedeće uvjete: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t>moraju</w:t>
      </w:r>
      <w:r w:rsidRPr="00BC3448">
        <w:rPr>
          <w:strike/>
          <w:szCs w:val="24"/>
          <w:lang w:eastAsia="en-US"/>
        </w:rPr>
        <w:t xml:space="preserve"> imati broj američke zbirke tipskih kultura (ATCC),</w:t>
      </w:r>
      <w:r w:rsidRPr="00BC3448">
        <w:rPr>
          <w:szCs w:val="24"/>
          <w:lang w:eastAsia="en-US"/>
        </w:rPr>
        <w:t xml:space="preserve"> pripadati zbirci Ovlaštenog tijela za međunarodni depozit (IDA) ili im DNK mora biti utvrđen u skladu s „protokolom za identifikaciju soja” (</w:t>
      </w:r>
      <w:proofErr w:type="spellStart"/>
      <w:r w:rsidRPr="00BC3448">
        <w:rPr>
          <w:szCs w:val="24"/>
          <w:lang w:eastAsia="en-US"/>
        </w:rPr>
        <w:t>sekvenciranjem</w:t>
      </w:r>
      <w:proofErr w:type="spellEnd"/>
      <w:r w:rsidRPr="00BC3448">
        <w:rPr>
          <w:szCs w:val="24"/>
          <w:lang w:eastAsia="en-US"/>
        </w:rPr>
        <w:t xml:space="preserve"> 16S </w:t>
      </w:r>
      <w:proofErr w:type="spellStart"/>
      <w:r w:rsidRPr="00BC3448">
        <w:rPr>
          <w:szCs w:val="24"/>
          <w:lang w:eastAsia="en-US"/>
        </w:rPr>
        <w:t>ribosomskog</w:t>
      </w:r>
      <w:proofErr w:type="spellEnd"/>
      <w:r w:rsidRPr="00BC3448">
        <w:rPr>
          <w:szCs w:val="24"/>
          <w:lang w:eastAsia="en-US"/>
        </w:rPr>
        <w:t xml:space="preserve"> DNK ili jednakovrijednom metodom);</w:t>
      </w:r>
      <w:r w:rsidR="00086E71" w:rsidRPr="00BC3448">
        <w:rPr>
          <w:b/>
          <w:szCs w:val="24"/>
          <w:lang w:eastAsia="en-US"/>
        </w:rPr>
        <w:t xml:space="preserve"> [Am. 124.]</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moraju pripadati objema sljedećim kategorijama:</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w:t>
      </w:r>
      <w:r w:rsidRPr="00BC3448">
        <w:rPr>
          <w:szCs w:val="24"/>
          <w:lang w:eastAsia="en-US"/>
        </w:rPr>
        <w:tab/>
        <w:t>rizičnoj skupini 1 kako je definirana u Direktivi 2000/54/EZ – biološki agensi na radu;</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(ii)</w:t>
      </w:r>
      <w:r w:rsidRPr="00BC3448">
        <w:rPr>
          <w:szCs w:val="24"/>
          <w:lang w:eastAsia="en-US"/>
        </w:rPr>
        <w:tab/>
        <w:t>popisu priznatih pretpostavki o sigurnosti (QPS) koji izdaje Europska agencija za sigurnost hrane (EFSA).</w:t>
      </w:r>
    </w:p>
    <w:p w:rsidR="001169ED" w:rsidRPr="00BC3448" w:rsidRDefault="001169ED" w:rsidP="001169ED">
      <w:pPr>
        <w:spacing w:before="120" w:after="120" w:line="360" w:lineRule="auto"/>
        <w:ind w:left="850"/>
        <w:rPr>
          <w:szCs w:val="24"/>
          <w:lang w:eastAsia="en-US"/>
        </w:rPr>
      </w:pPr>
      <w:r w:rsidRPr="00BC3448">
        <w:rPr>
          <w:szCs w:val="24"/>
          <w:lang w:eastAsia="en-US"/>
        </w:rPr>
        <w:t>Ova se točka ne primjenjuje na mikroorganizme koji se namjerno dodaju deterdžentima koji se stavljaju na tržište za svrhe istraživanja i razvoja.</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Patogeni mikroorganizmi navedeni u nastavku ne smiju biti prisutni ni u jednom od sojeva sadržanih u konačnom proizvodu pri ispitivanju navedenim metodama ili jednakovrijednim metodama: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 xml:space="preserve">E. </w:t>
      </w:r>
      <w:proofErr w:type="spellStart"/>
      <w:r w:rsidRPr="00BC3448">
        <w:rPr>
          <w:szCs w:val="24"/>
          <w:lang w:eastAsia="en-US"/>
        </w:rPr>
        <w:t>coli</w:t>
      </w:r>
      <w:proofErr w:type="spellEnd"/>
      <w:r w:rsidRPr="00BC3448">
        <w:rPr>
          <w:szCs w:val="24"/>
          <w:lang w:eastAsia="en-US"/>
        </w:rPr>
        <w:t>, metoda ispitivanja ISO 16649-3:2005;</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r>
      <w:proofErr w:type="spellStart"/>
      <w:r w:rsidRPr="00BC3448">
        <w:rPr>
          <w:szCs w:val="24"/>
          <w:lang w:eastAsia="en-US"/>
        </w:rPr>
        <w:t>Streptococcus</w:t>
      </w:r>
      <w:proofErr w:type="spellEnd"/>
      <w:r w:rsidRPr="00BC3448">
        <w:rPr>
          <w:szCs w:val="24"/>
          <w:lang w:eastAsia="en-US"/>
        </w:rPr>
        <w:t xml:space="preserve"> (</w:t>
      </w:r>
      <w:proofErr w:type="spellStart"/>
      <w:r w:rsidRPr="00BC3448">
        <w:rPr>
          <w:szCs w:val="24"/>
          <w:lang w:eastAsia="en-US"/>
        </w:rPr>
        <w:t>Enterococcus</w:t>
      </w:r>
      <w:proofErr w:type="spellEnd"/>
      <w:r w:rsidRPr="00BC3448">
        <w:rPr>
          <w:szCs w:val="24"/>
          <w:lang w:eastAsia="en-US"/>
        </w:rPr>
        <w:t>), metoda ispitivanja ISO 21528-1:2004;</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r>
      <w:proofErr w:type="spellStart"/>
      <w:r w:rsidRPr="00BC3448">
        <w:rPr>
          <w:szCs w:val="24"/>
          <w:lang w:eastAsia="en-US"/>
        </w:rPr>
        <w:t>Staphylococcus</w:t>
      </w:r>
      <w:proofErr w:type="spellEnd"/>
      <w:r w:rsidRPr="00BC3448">
        <w:rPr>
          <w:szCs w:val="24"/>
          <w:lang w:eastAsia="en-US"/>
        </w:rPr>
        <w:t xml:space="preserve"> </w:t>
      </w:r>
      <w:proofErr w:type="spellStart"/>
      <w:r w:rsidRPr="00BC3448">
        <w:rPr>
          <w:szCs w:val="24"/>
          <w:lang w:eastAsia="en-US"/>
        </w:rPr>
        <w:t>aureus</w:t>
      </w:r>
      <w:proofErr w:type="spellEnd"/>
      <w:r w:rsidRPr="00BC3448">
        <w:rPr>
          <w:szCs w:val="24"/>
          <w:lang w:eastAsia="en-US"/>
        </w:rPr>
        <w:t>, metoda ispitivanja ISO 6888-1;</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r>
      <w:proofErr w:type="spellStart"/>
      <w:r w:rsidRPr="00BC3448">
        <w:rPr>
          <w:szCs w:val="24"/>
          <w:lang w:eastAsia="en-US"/>
        </w:rPr>
        <w:t>Bacillus</w:t>
      </w:r>
      <w:proofErr w:type="spellEnd"/>
      <w:r w:rsidRPr="00BC3448">
        <w:rPr>
          <w:szCs w:val="24"/>
          <w:lang w:eastAsia="en-US"/>
        </w:rPr>
        <w:t xml:space="preserve"> </w:t>
      </w:r>
      <w:proofErr w:type="spellStart"/>
      <w:r w:rsidRPr="00BC3448">
        <w:rPr>
          <w:szCs w:val="24"/>
          <w:lang w:eastAsia="en-US"/>
        </w:rPr>
        <w:t>cereus</w:t>
      </w:r>
      <w:proofErr w:type="spellEnd"/>
      <w:r w:rsidRPr="00BC3448">
        <w:rPr>
          <w:szCs w:val="24"/>
          <w:lang w:eastAsia="en-US"/>
        </w:rPr>
        <w:t>, metoda ispitivanja ISO 7932:2004 ili ISO 21871;</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r>
      <w:proofErr w:type="spellStart"/>
      <w:r w:rsidRPr="00BC3448">
        <w:rPr>
          <w:szCs w:val="24"/>
          <w:lang w:eastAsia="en-US"/>
        </w:rPr>
        <w:t>Salmonella</w:t>
      </w:r>
      <w:proofErr w:type="spellEnd"/>
      <w:r w:rsidRPr="00BC3448">
        <w:rPr>
          <w:szCs w:val="24"/>
          <w:lang w:eastAsia="en-US"/>
        </w:rPr>
        <w:t>, metoda ispitivanja ISO 6579:2002 ili ISO 19250.</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ea</w:t>
      </w:r>
      <w:proofErr w:type="spellEnd"/>
      <w:r w:rsidRPr="00BC3448">
        <w:rPr>
          <w:b/>
          <w:i/>
          <w:szCs w:val="24"/>
          <w:lang w:eastAsia="en-US"/>
        </w:rPr>
        <w:t>)</w:t>
      </w:r>
      <w:r w:rsidRPr="00BC3448">
        <w:rPr>
          <w:szCs w:val="24"/>
          <w:lang w:eastAsia="en-US"/>
        </w:rPr>
        <w:tab/>
      </w:r>
      <w:proofErr w:type="spellStart"/>
      <w:r w:rsidRPr="00BC3448">
        <w:rPr>
          <w:b/>
          <w:i/>
          <w:szCs w:val="24"/>
          <w:lang w:eastAsia="en-US"/>
        </w:rPr>
        <w:t>Pseudomonas</w:t>
      </w:r>
      <w:proofErr w:type="spellEnd"/>
      <w:r w:rsidRPr="00BC3448">
        <w:rPr>
          <w:b/>
          <w:i/>
          <w:szCs w:val="24"/>
          <w:lang w:eastAsia="en-US"/>
        </w:rPr>
        <w:t xml:space="preserve"> </w:t>
      </w:r>
      <w:proofErr w:type="spellStart"/>
      <w:r w:rsidRPr="00BC3448">
        <w:rPr>
          <w:b/>
          <w:i/>
          <w:szCs w:val="24"/>
          <w:lang w:eastAsia="en-US"/>
        </w:rPr>
        <w:t>aeruginosa</w:t>
      </w:r>
      <w:proofErr w:type="spellEnd"/>
      <w:r w:rsidRPr="00BC3448">
        <w:rPr>
          <w:b/>
          <w:i/>
          <w:szCs w:val="24"/>
          <w:lang w:eastAsia="en-US"/>
        </w:rPr>
        <w:t>, metoda ispitivanja ISO 22717:2015;</w:t>
      </w:r>
      <w:r w:rsidR="00086E71" w:rsidRPr="00BC3448">
        <w:rPr>
          <w:b/>
          <w:szCs w:val="24"/>
          <w:lang w:eastAsia="en-US"/>
        </w:rPr>
        <w:t xml:space="preserve"> [Am. 125.]</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eb</w:t>
      </w:r>
      <w:proofErr w:type="spellEnd"/>
      <w:r w:rsidRPr="00BC3448">
        <w:rPr>
          <w:b/>
          <w:i/>
          <w:szCs w:val="24"/>
          <w:lang w:eastAsia="en-US"/>
        </w:rPr>
        <w:t>)</w:t>
      </w:r>
      <w:r w:rsidRPr="00BC3448">
        <w:rPr>
          <w:szCs w:val="24"/>
          <w:lang w:eastAsia="en-US"/>
        </w:rPr>
        <w:tab/>
      </w:r>
      <w:proofErr w:type="spellStart"/>
      <w:r w:rsidRPr="00BC3448">
        <w:rPr>
          <w:b/>
          <w:i/>
          <w:szCs w:val="24"/>
          <w:lang w:eastAsia="en-US"/>
        </w:rPr>
        <w:t>Candida</w:t>
      </w:r>
      <w:proofErr w:type="spellEnd"/>
      <w:r w:rsidRPr="00BC3448">
        <w:rPr>
          <w:b/>
          <w:i/>
          <w:szCs w:val="24"/>
          <w:lang w:eastAsia="en-US"/>
        </w:rPr>
        <w:t xml:space="preserve"> </w:t>
      </w:r>
      <w:proofErr w:type="spellStart"/>
      <w:r w:rsidRPr="00BC3448">
        <w:rPr>
          <w:b/>
          <w:i/>
          <w:szCs w:val="24"/>
          <w:lang w:eastAsia="en-US"/>
        </w:rPr>
        <w:t>albicans</w:t>
      </w:r>
      <w:proofErr w:type="spellEnd"/>
      <w:r w:rsidRPr="00BC3448">
        <w:rPr>
          <w:b/>
          <w:i/>
          <w:szCs w:val="24"/>
          <w:lang w:eastAsia="en-US"/>
        </w:rPr>
        <w:t>, metoda ispitivanja ISO 18416:2015;</w:t>
      </w:r>
      <w:r w:rsidR="00086E71" w:rsidRPr="00BC3448">
        <w:rPr>
          <w:b/>
          <w:szCs w:val="24"/>
          <w:lang w:eastAsia="en-US"/>
        </w:rPr>
        <w:t xml:space="preserve"> [Am. 126.]</w:t>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ec</w:t>
      </w:r>
      <w:proofErr w:type="spellEnd"/>
      <w:r w:rsidRPr="00BC3448">
        <w:rPr>
          <w:b/>
          <w:i/>
          <w:szCs w:val="24"/>
          <w:lang w:eastAsia="en-US"/>
        </w:rPr>
        <w:t>)</w:t>
      </w:r>
      <w:r w:rsidRPr="00BC3448">
        <w:rPr>
          <w:szCs w:val="24"/>
          <w:lang w:eastAsia="en-US"/>
        </w:rPr>
        <w:tab/>
      </w:r>
      <w:r w:rsidRPr="00BC3448">
        <w:rPr>
          <w:b/>
          <w:i/>
          <w:szCs w:val="24"/>
          <w:lang w:eastAsia="en-US"/>
        </w:rPr>
        <w:t>svi drugi mikroorganizmi navedeni u tablici 4. Priloga 1. Uredbi (EU) 2020/741</w:t>
      </w:r>
      <w:r w:rsidRPr="00BC3448">
        <w:rPr>
          <w:szCs w:val="24"/>
          <w:vertAlign w:val="superscript"/>
          <w:lang w:eastAsia="en-US"/>
        </w:rPr>
        <w:footnoteReference w:customMarkFollows="1" w:id="29"/>
        <w:t>1</w:t>
      </w:r>
      <w:r w:rsidR="00086E71" w:rsidRPr="00BC3448">
        <w:rPr>
          <w:szCs w:val="24"/>
          <w:lang w:eastAsia="en-US"/>
        </w:rPr>
        <w:t>.</w:t>
      </w:r>
      <w:r w:rsidR="00086E71" w:rsidRPr="00BC3448">
        <w:rPr>
          <w:b/>
          <w:szCs w:val="24"/>
          <w:vertAlign w:val="superscript"/>
          <w:lang w:eastAsia="en-US"/>
        </w:rPr>
        <w:t xml:space="preserve"> </w:t>
      </w:r>
      <w:r w:rsidR="00086E71" w:rsidRPr="00BC3448">
        <w:rPr>
          <w:b/>
          <w:szCs w:val="24"/>
          <w:lang w:eastAsia="en-US"/>
        </w:rPr>
        <w:t>[Am. 127.]</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Namjerno dodani mikroorganizmi ne smiju biti genetski modificirani mikroorganizmi.</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 xml:space="preserve">Namjerno dodani mikroorganizmi, osim njihove intrinzične otpornosti, moraju biti osjetljivi na svaki od velikih razreda antibiotika, odnosno na </w:t>
      </w:r>
      <w:proofErr w:type="spellStart"/>
      <w:r w:rsidRPr="00BC3448">
        <w:rPr>
          <w:szCs w:val="24"/>
          <w:lang w:eastAsia="en-US"/>
        </w:rPr>
        <w:t>aminoglikozide</w:t>
      </w:r>
      <w:proofErr w:type="spellEnd"/>
      <w:r w:rsidRPr="00BC3448">
        <w:rPr>
          <w:szCs w:val="24"/>
          <w:lang w:eastAsia="en-US"/>
        </w:rPr>
        <w:t xml:space="preserve">, </w:t>
      </w:r>
      <w:proofErr w:type="spellStart"/>
      <w:r w:rsidRPr="00BC3448">
        <w:rPr>
          <w:szCs w:val="24"/>
          <w:lang w:eastAsia="en-US"/>
        </w:rPr>
        <w:t>makrolide</w:t>
      </w:r>
      <w:proofErr w:type="spellEnd"/>
      <w:r w:rsidRPr="00BC3448">
        <w:rPr>
          <w:szCs w:val="24"/>
          <w:lang w:eastAsia="en-US"/>
        </w:rPr>
        <w:t>, beta-</w:t>
      </w:r>
      <w:proofErr w:type="spellStart"/>
      <w:r w:rsidRPr="00BC3448">
        <w:rPr>
          <w:szCs w:val="24"/>
          <w:lang w:eastAsia="en-US"/>
        </w:rPr>
        <w:t>laktame</w:t>
      </w:r>
      <w:proofErr w:type="spellEnd"/>
      <w:r w:rsidRPr="00BC3448">
        <w:rPr>
          <w:szCs w:val="24"/>
          <w:lang w:eastAsia="en-US"/>
        </w:rPr>
        <w:t xml:space="preserve">, </w:t>
      </w:r>
      <w:proofErr w:type="spellStart"/>
      <w:r w:rsidRPr="00BC3448">
        <w:rPr>
          <w:szCs w:val="24"/>
          <w:lang w:eastAsia="en-US"/>
        </w:rPr>
        <w:t>tetracikline</w:t>
      </w:r>
      <w:proofErr w:type="spellEnd"/>
      <w:r w:rsidRPr="00BC3448">
        <w:rPr>
          <w:szCs w:val="24"/>
          <w:lang w:eastAsia="en-US"/>
        </w:rPr>
        <w:t xml:space="preserve"> i </w:t>
      </w:r>
      <w:proofErr w:type="spellStart"/>
      <w:r w:rsidRPr="00BC3448">
        <w:rPr>
          <w:szCs w:val="24"/>
          <w:lang w:eastAsia="en-US"/>
        </w:rPr>
        <w:t>fluorokinolone</w:t>
      </w:r>
      <w:proofErr w:type="spellEnd"/>
      <w:r w:rsidRPr="00BC3448">
        <w:rPr>
          <w:szCs w:val="24"/>
          <w:lang w:eastAsia="en-US"/>
        </w:rPr>
        <w:t>, u skladu s disk-difuzijskom metodom Europskog odbora za ispitivanje osjetljivosti na antimikrobna sredstva (EUCAST) ili jednakovrijednom metodom.</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5.</w:t>
      </w:r>
      <w:r w:rsidRPr="00BC3448">
        <w:rPr>
          <w:szCs w:val="24"/>
          <w:lang w:eastAsia="en-US"/>
        </w:rPr>
        <w:tab/>
        <w:t xml:space="preserve">Kad se stavljaju u promet, deterdženti koji sadržavaju mikroorganizme moraju imati standardni broj kolonija jednak ili veći od </w:t>
      </w:r>
      <w:r w:rsidRPr="00BC3448">
        <w:rPr>
          <w:strike/>
          <w:szCs w:val="24"/>
          <w:lang w:eastAsia="en-US"/>
        </w:rPr>
        <w:t>1x105</w:t>
      </w:r>
      <w:r w:rsidRPr="00BC3448">
        <w:rPr>
          <w:b/>
          <w:i/>
          <w:szCs w:val="24"/>
          <w:lang w:eastAsia="en-US"/>
        </w:rPr>
        <w:t>1x105</w:t>
      </w:r>
      <w:r w:rsidRPr="00BC3448">
        <w:rPr>
          <w:szCs w:val="24"/>
          <w:lang w:eastAsia="en-US"/>
        </w:rPr>
        <w:t xml:space="preserve"> jedinica koje tvore kolonije (CFU) po ml u skladu s normom ISO </w:t>
      </w:r>
      <w:r w:rsidRPr="00BC3448">
        <w:rPr>
          <w:b/>
          <w:i/>
          <w:szCs w:val="24"/>
          <w:lang w:eastAsia="en-US"/>
        </w:rPr>
        <w:t xml:space="preserve">21149 ili ISO </w:t>
      </w:r>
      <w:r w:rsidRPr="00BC3448">
        <w:rPr>
          <w:szCs w:val="24"/>
          <w:lang w:eastAsia="en-US"/>
        </w:rPr>
        <w:t>4833-1:2014.</w:t>
      </w:r>
      <w:r w:rsidR="00086E71" w:rsidRPr="00BC3448">
        <w:rPr>
          <w:b/>
          <w:szCs w:val="24"/>
          <w:lang w:eastAsia="en-US"/>
        </w:rPr>
        <w:t xml:space="preserve"> [Am. 128.]</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6.</w:t>
      </w:r>
      <w:r w:rsidRPr="00BC3448">
        <w:rPr>
          <w:szCs w:val="24"/>
          <w:lang w:eastAsia="en-US"/>
        </w:rPr>
        <w:tab/>
        <w:t xml:space="preserve">Najmanji rok trajanja deterdženta koji sadržava mikroorganizme ne smije biti kraći od 24 mjeseca, a broj mikroorganizama ne smije se smanjiti za više od 10 % svakih 12 mjeseci u skladu s normom ISO </w:t>
      </w:r>
      <w:r w:rsidRPr="00BC3448">
        <w:rPr>
          <w:b/>
          <w:i/>
          <w:szCs w:val="24"/>
          <w:lang w:eastAsia="en-US"/>
        </w:rPr>
        <w:t xml:space="preserve">21149 ili ISO </w:t>
      </w:r>
      <w:r w:rsidRPr="00BC3448">
        <w:rPr>
          <w:szCs w:val="24"/>
          <w:lang w:eastAsia="en-US"/>
        </w:rPr>
        <w:t>4833-1:2014.</w:t>
      </w:r>
      <w:r w:rsidR="00086E71" w:rsidRPr="00BC3448">
        <w:rPr>
          <w:b/>
          <w:szCs w:val="24"/>
          <w:lang w:eastAsia="en-US"/>
        </w:rPr>
        <w:t xml:space="preserve"> [Am. 129.]</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7.</w:t>
      </w:r>
      <w:r w:rsidRPr="00BC3448">
        <w:rPr>
          <w:szCs w:val="24"/>
          <w:lang w:eastAsia="en-US"/>
        </w:rPr>
        <w:tab/>
      </w:r>
      <w:r w:rsidRPr="00BC3448">
        <w:rPr>
          <w:strike/>
          <w:szCs w:val="24"/>
          <w:lang w:eastAsia="en-US"/>
        </w:rPr>
        <w:t xml:space="preserve">Mikroorganizmi u deterdžentima koji se stavljaju u </w:t>
      </w:r>
      <w:proofErr w:type="spellStart"/>
      <w:r w:rsidRPr="00BC3448">
        <w:rPr>
          <w:strike/>
          <w:szCs w:val="24"/>
          <w:lang w:eastAsia="en-US"/>
        </w:rPr>
        <w:t>promet</w:t>
      </w:r>
      <w:r w:rsidRPr="00BC3448">
        <w:rPr>
          <w:b/>
          <w:i/>
          <w:szCs w:val="24"/>
          <w:lang w:eastAsia="en-US"/>
        </w:rPr>
        <w:t>Dopušta</w:t>
      </w:r>
      <w:proofErr w:type="spellEnd"/>
      <w:r w:rsidRPr="00BC3448">
        <w:rPr>
          <w:b/>
          <w:i/>
          <w:szCs w:val="24"/>
          <w:lang w:eastAsia="en-US"/>
        </w:rPr>
        <w:t xml:space="preserve"> se stavljanje na tržište deterdženata koji sadržavaju mikroorganizme</w:t>
      </w:r>
      <w:r w:rsidRPr="00BC3448">
        <w:rPr>
          <w:szCs w:val="24"/>
          <w:lang w:eastAsia="en-US"/>
        </w:rPr>
        <w:t xml:space="preserve"> u obliku raspršivača </w:t>
      </w:r>
      <w:r w:rsidRPr="00BC3448">
        <w:rPr>
          <w:strike/>
          <w:szCs w:val="24"/>
          <w:lang w:eastAsia="en-US"/>
        </w:rPr>
        <w:t xml:space="preserve">moraju </w:t>
      </w:r>
      <w:proofErr w:type="spellStart"/>
      <w:r w:rsidRPr="00BC3448">
        <w:rPr>
          <w:strike/>
          <w:szCs w:val="24"/>
          <w:lang w:eastAsia="en-US"/>
        </w:rPr>
        <w:t>proći</w:t>
      </w:r>
      <w:r w:rsidRPr="00BC3448">
        <w:rPr>
          <w:b/>
          <w:i/>
          <w:szCs w:val="24"/>
          <w:lang w:eastAsia="en-US"/>
        </w:rPr>
        <w:t>nakon</w:t>
      </w:r>
      <w:proofErr w:type="spellEnd"/>
      <w:r w:rsidRPr="00BC3448">
        <w:rPr>
          <w:b/>
          <w:i/>
          <w:szCs w:val="24"/>
          <w:lang w:eastAsia="en-US"/>
        </w:rPr>
        <w:t xml:space="preserve"> što su u skladu s člankom 26. stavkom 6.a za</w:t>
      </w:r>
      <w:r w:rsidRPr="00BC3448">
        <w:rPr>
          <w:szCs w:val="24"/>
          <w:lang w:eastAsia="en-US"/>
        </w:rPr>
        <w:t xml:space="preserve"> ispitivanje </w:t>
      </w:r>
      <w:r w:rsidRPr="00BC3448">
        <w:rPr>
          <w:strike/>
          <w:szCs w:val="24"/>
          <w:lang w:eastAsia="en-US"/>
        </w:rPr>
        <w:t xml:space="preserve">akutne inhalacijske toksičnosti u skladu s metodom ispitivanja B.2. opisanom u dijelu B Priloga Uredbi (EZ) </w:t>
      </w:r>
      <w:proofErr w:type="spellStart"/>
      <w:r w:rsidRPr="00BC3448">
        <w:rPr>
          <w:strike/>
          <w:szCs w:val="24"/>
          <w:lang w:eastAsia="en-US"/>
        </w:rPr>
        <w:t>br</w:t>
      </w:r>
      <w:r w:rsidRPr="00BC3448">
        <w:rPr>
          <w:b/>
          <w:i/>
          <w:szCs w:val="24"/>
          <w:lang w:eastAsia="en-US"/>
        </w:rPr>
        <w:t>svojstava</w:t>
      </w:r>
      <w:proofErr w:type="spellEnd"/>
      <w:r w:rsidRPr="00BC3448">
        <w:rPr>
          <w:b/>
          <w:i/>
          <w:szCs w:val="24"/>
          <w:lang w:eastAsia="en-US"/>
        </w:rPr>
        <w:t xml:space="preserve"> mikroorganizama koji izazivaju preosjetljivost dišnih putova utvrđeni odgovarajući pristupi koji ne uključuju životinje</w:t>
      </w:r>
      <w:r w:rsidRPr="00BC3448">
        <w:rPr>
          <w:szCs w:val="24"/>
          <w:lang w:eastAsia="en-US"/>
        </w:rPr>
        <w:t>.</w:t>
      </w:r>
      <w:r w:rsidRPr="00BC3448">
        <w:rPr>
          <w:strike/>
          <w:szCs w:val="24"/>
          <w:lang w:eastAsia="en-US"/>
        </w:rPr>
        <w:t xml:space="preserve"> 440/2008.</w:t>
      </w:r>
      <w:r w:rsidR="00086E71" w:rsidRPr="00BC3448">
        <w:rPr>
          <w:b/>
          <w:strike/>
          <w:szCs w:val="24"/>
          <w:lang w:eastAsia="en-US"/>
        </w:rPr>
        <w:t xml:space="preserve"> </w:t>
      </w:r>
      <w:r w:rsidR="00086E71" w:rsidRPr="00BC3448">
        <w:rPr>
          <w:b/>
          <w:szCs w:val="24"/>
          <w:lang w:eastAsia="en-US"/>
        </w:rPr>
        <w:t>[Am. 130.]</w:t>
      </w:r>
    </w:p>
    <w:p w:rsidR="001169ED" w:rsidRPr="00BC3448" w:rsidRDefault="001169ED" w:rsidP="001169ED">
      <w:pPr>
        <w:spacing w:before="120" w:after="120" w:line="360" w:lineRule="auto"/>
        <w:ind w:left="850" w:hanging="850"/>
        <w:rPr>
          <w:szCs w:val="24"/>
          <w:lang w:eastAsia="en-US"/>
        </w:rPr>
      </w:pPr>
      <w:r w:rsidRPr="00BC3448">
        <w:rPr>
          <w:szCs w:val="24"/>
          <w:lang w:eastAsia="en-US"/>
        </w:rPr>
        <w:t>8.</w:t>
      </w:r>
      <w:r w:rsidRPr="00BC3448">
        <w:rPr>
          <w:szCs w:val="24"/>
          <w:lang w:eastAsia="en-US"/>
        </w:rPr>
        <w:tab/>
        <w:t>Deterdženti koji sadržavaju mikroorganizme ne smiju se stavljati na tržište u obliku ponovnog punjenja.</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9.</w:t>
      </w:r>
      <w:r w:rsidRPr="00BC3448">
        <w:rPr>
          <w:szCs w:val="24"/>
          <w:lang w:eastAsia="en-US"/>
        </w:rPr>
        <w:tab/>
      </w:r>
      <w:r w:rsidRPr="00BC3448">
        <w:rPr>
          <w:strike/>
          <w:szCs w:val="24"/>
          <w:lang w:eastAsia="en-US"/>
        </w:rPr>
        <w:t xml:space="preserve">Svi navodi </w:t>
      </w:r>
      <w:proofErr w:type="spellStart"/>
      <w:r w:rsidRPr="00BC3448">
        <w:rPr>
          <w:strike/>
          <w:szCs w:val="24"/>
          <w:lang w:eastAsia="en-US"/>
        </w:rPr>
        <w:t>proizvođača</w:t>
      </w:r>
      <w:r w:rsidRPr="00BC3448">
        <w:rPr>
          <w:b/>
          <w:i/>
          <w:szCs w:val="24"/>
          <w:lang w:eastAsia="en-US"/>
        </w:rPr>
        <w:t>Proizvođač</w:t>
      </w:r>
      <w:proofErr w:type="spellEnd"/>
      <w:r w:rsidRPr="00BC3448">
        <w:rPr>
          <w:b/>
          <w:i/>
          <w:szCs w:val="24"/>
          <w:lang w:eastAsia="en-US"/>
        </w:rPr>
        <w:t xml:space="preserve"> mora odgovarajućim ispitivanjima potkrijepiti sve navode</w:t>
      </w:r>
      <w:r w:rsidRPr="00BC3448">
        <w:rPr>
          <w:szCs w:val="24"/>
          <w:lang w:eastAsia="en-US"/>
        </w:rPr>
        <w:t xml:space="preserve"> o djelovanju</w:t>
      </w:r>
      <w:r w:rsidRPr="00BC3448">
        <w:rPr>
          <w:b/>
          <w:i/>
          <w:szCs w:val="24"/>
          <w:lang w:eastAsia="en-US"/>
        </w:rPr>
        <w:t xml:space="preserve"> ili učinkovitosti</w:t>
      </w:r>
      <w:r w:rsidRPr="00BC3448">
        <w:rPr>
          <w:szCs w:val="24"/>
          <w:lang w:eastAsia="en-US"/>
        </w:rPr>
        <w:t xml:space="preserve"> mikroorganizama koje sadržava proizvod</w:t>
      </w:r>
      <w:r w:rsidRPr="00BC3448">
        <w:rPr>
          <w:strike/>
          <w:szCs w:val="24"/>
          <w:lang w:eastAsia="en-US"/>
        </w:rPr>
        <w:t xml:space="preserve"> moraju se potkrijepiti ispitivanjem koje provodi</w:t>
      </w:r>
      <w:r w:rsidRPr="00BC3448">
        <w:rPr>
          <w:b/>
          <w:i/>
          <w:szCs w:val="24"/>
          <w:lang w:eastAsia="en-US"/>
        </w:rPr>
        <w:t>. Ta ispitivanja provjerava neovisna</w:t>
      </w:r>
      <w:r w:rsidRPr="00BC3448">
        <w:rPr>
          <w:szCs w:val="24"/>
          <w:lang w:eastAsia="en-US"/>
        </w:rPr>
        <w:t xml:space="preserve"> treća strana.</w:t>
      </w:r>
      <w:r w:rsidR="00086E71" w:rsidRPr="00BC3448">
        <w:rPr>
          <w:b/>
          <w:szCs w:val="24"/>
          <w:lang w:eastAsia="en-US"/>
        </w:rPr>
        <w:t xml:space="preserve"> [Am. 131.]</w:t>
      </w:r>
    </w:p>
    <w:p w:rsidR="001169ED" w:rsidRPr="00BC3448" w:rsidRDefault="001169ED" w:rsidP="001169ED">
      <w:pPr>
        <w:spacing w:before="120" w:after="120" w:line="360" w:lineRule="auto"/>
        <w:ind w:left="850" w:hanging="850"/>
        <w:rPr>
          <w:szCs w:val="24"/>
          <w:lang w:eastAsia="en-US"/>
        </w:rPr>
      </w:pPr>
      <w:r w:rsidRPr="00BC3448">
        <w:rPr>
          <w:szCs w:val="24"/>
          <w:lang w:eastAsia="en-US"/>
        </w:rPr>
        <w:t>10.</w:t>
      </w:r>
      <w:r w:rsidRPr="00BC3448">
        <w:rPr>
          <w:szCs w:val="24"/>
          <w:lang w:eastAsia="en-US"/>
        </w:rPr>
        <w:tab/>
        <w:t>Zabranjeno je navoditi tvrdnje ili davati naznake na oznaci ili na bilo koji drugi način da deterdžent ima antimikrobno ili dezinfekcijsko djelovanje, osim ako je deterdžent usklađen s Uredbom (EU) br. 528/2012.</w:t>
      </w:r>
    </w:p>
    <w:p w:rsidR="004B531B" w:rsidRPr="00BC3448" w:rsidRDefault="004B531B"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11.</w:t>
      </w:r>
      <w:r w:rsidRPr="00BC3448">
        <w:rPr>
          <w:szCs w:val="24"/>
          <w:lang w:eastAsia="en-US"/>
        </w:rPr>
        <w:tab/>
        <w:t>Ispitivanja iz točaka 2., 5., 6., 7. i 9. provode laboratoriji koji ispunjavaju bilo koji od sljedećih uvjeta: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laboratoriji poštuju načela dobre laboratorijske prakse navedena u Direktivi 2004/10/EZ Europskog parlamenta i Vijeća</w:t>
      </w:r>
      <w:r w:rsidRPr="00BC3448">
        <w:rPr>
          <w:szCs w:val="24"/>
          <w:vertAlign w:val="superscript"/>
          <w:lang w:eastAsia="en-US"/>
        </w:rPr>
        <w:footnoteReference w:customMarkFollows="1" w:id="30"/>
        <w:t>2</w:t>
      </w:r>
      <w:r w:rsidRPr="00BC3448">
        <w:rPr>
          <w:szCs w:val="24"/>
          <w:lang w:eastAsia="en-US"/>
        </w:rPr>
        <w:t xml:space="preserve"> ili drugih međunarodnih normi koje su priznate kao jednakovrijedne;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laboratoriji su akreditirani u skladu s normom za laboratorije iz Uredbe (EZ) br. 765/2008.</w:t>
      </w:r>
    </w:p>
    <w:p w:rsidR="001169ED" w:rsidRPr="00BC3448" w:rsidRDefault="001169ED" w:rsidP="001169ED">
      <w:pPr>
        <w:spacing w:before="120" w:after="120" w:line="360" w:lineRule="auto"/>
        <w:rPr>
          <w:szCs w:val="24"/>
          <w:lang w:eastAsia="en-US"/>
        </w:rPr>
        <w:sectPr w:rsidR="001169ED" w:rsidRPr="00BC3448">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III.</w:t>
      </w:r>
    </w:p>
    <w:p w:rsidR="004B531B" w:rsidRPr="00BC3448" w:rsidRDefault="004B531B" w:rsidP="001169ED">
      <w:pPr>
        <w:spacing w:before="120" w:after="120" w:line="360" w:lineRule="auto"/>
        <w:jc w:val="center"/>
        <w:rPr>
          <w:lang w:eastAsia="en-US"/>
        </w:rPr>
      </w:pPr>
      <w:r w:rsidRPr="00BC3448">
        <w:rPr>
          <w:szCs w:val="24"/>
          <w:lang w:eastAsia="en-US"/>
        </w:rPr>
        <w:t>OGRANIČENJA UDJELA FOSFATA I DRUGIH SPOJEVA FOSFORA IZ ČLANKA 6.</w:t>
      </w:r>
    </w:p>
    <w:p w:rsidR="004B531B" w:rsidRPr="00BC3448" w:rsidRDefault="004B531B" w:rsidP="004B531B">
      <w:pPr>
        <w:pStyle w:val="NormalBold"/>
      </w:pPr>
    </w:p>
    <w:tbl>
      <w:tblPr>
        <w:tblStyle w:val="TableGrid"/>
        <w:tblW w:w="0" w:type="auto"/>
        <w:tblLook w:val="04A0" w:firstRow="1" w:lastRow="0" w:firstColumn="1" w:lastColumn="0" w:noHBand="0" w:noVBand="1"/>
      </w:tblPr>
      <w:tblGrid>
        <w:gridCol w:w="4521"/>
        <w:gridCol w:w="4544"/>
      </w:tblGrid>
      <w:tr w:rsidR="004B531B" w:rsidRPr="00BC3448" w:rsidTr="00270F20">
        <w:tc>
          <w:tcPr>
            <w:tcW w:w="4521"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t>Deterdžent</w:t>
            </w:r>
          </w:p>
        </w:tc>
        <w:tc>
          <w:tcPr>
            <w:tcW w:w="4544"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t>Ograničenja</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t>Deterdženti za pranje rublja koji se koriste u kućanstvu</w:t>
            </w:r>
          </w:p>
        </w:tc>
        <w:tc>
          <w:tcPr>
            <w:tcW w:w="4544"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rPr>
                <w:b/>
                <w:i/>
              </w:rPr>
              <w:t xml:space="preserve">1. </w:t>
            </w:r>
            <w:r w:rsidRPr="00BC3448">
              <w:t>Ne smiju se stavljati u promet ako je ukupan udio fosfora jednak ili veći od 0,5 grama u preporučenoj količini deterdženta koja se koristi u glavnom ciklusu postupka pranja za standardno punjenje stroja za pranje rublja kako je definirano u dijelu B Priloga V. za tvrdu vodu:</w:t>
            </w:r>
          </w:p>
          <w:p w:rsidR="004B531B" w:rsidRPr="00BC3448" w:rsidRDefault="004B531B" w:rsidP="00270F20">
            <w:pPr>
              <w:pStyle w:val="Normal6a"/>
            </w:pPr>
            <w:r w:rsidRPr="00BC3448">
              <w:t>– za „uobičajeno zaprljane” tkanine u slučaju jakih deterdženata,</w:t>
            </w:r>
          </w:p>
          <w:p w:rsidR="004B531B" w:rsidRPr="00BC3448" w:rsidRDefault="004B531B" w:rsidP="00270F20">
            <w:pPr>
              <w:pStyle w:val="Normal6a"/>
            </w:pPr>
            <w:r w:rsidRPr="00BC3448">
              <w:t>– za „umjereno zaprljane” tkanine u slučaju deterdženata za osjetljive tkanine.</w:t>
            </w:r>
          </w:p>
          <w:p w:rsidR="004B531B" w:rsidRPr="00BC3448" w:rsidRDefault="004B531B" w:rsidP="00270F20">
            <w:pPr>
              <w:pStyle w:val="Normal6a"/>
            </w:pPr>
          </w:p>
          <w:p w:rsidR="004B531B" w:rsidRPr="00BC3448" w:rsidRDefault="004B531B" w:rsidP="00270F20">
            <w:pPr>
              <w:pStyle w:val="Normal6a"/>
              <w:rPr>
                <w:b/>
                <w:i/>
              </w:rPr>
            </w:pPr>
            <w:r w:rsidRPr="00BC3448">
              <w:rPr>
                <w:b/>
                <w:i/>
              </w:rPr>
              <w:t>2. Ne smiju sadržavati fosfate.</w:t>
            </w:r>
          </w:p>
          <w:p w:rsidR="004B531B" w:rsidRPr="00BC3448" w:rsidRDefault="004B531B" w:rsidP="00270F20">
            <w:pPr>
              <w:pStyle w:val="Normal6a"/>
              <w:rPr>
                <w:b/>
                <w:i/>
              </w:rPr>
            </w:pPr>
            <w:r w:rsidRPr="00BC3448">
              <w:rPr>
                <w:b/>
                <w:i/>
              </w:rPr>
              <w:t>3. Ne smiju se stavljati na tržište ako je do [četiri godine od stupanja na snagu ove Uredbe] ukupni udio fosfora jednak ili veći od:</w:t>
            </w:r>
          </w:p>
          <w:p w:rsidR="004B531B" w:rsidRPr="00BC3448" w:rsidRDefault="004B531B" w:rsidP="00270F20">
            <w:pPr>
              <w:pStyle w:val="Normal6a"/>
              <w:rPr>
                <w:b/>
                <w:i/>
              </w:rPr>
            </w:pPr>
            <w:r w:rsidRPr="00BC3448">
              <w:rPr>
                <w:b/>
                <w:i/>
              </w:rPr>
              <w:t>– 0,1 g za „umjereno zaprljane” tkanine u slučaju blagih deterdženata</w:t>
            </w:r>
            <w:r w:rsidR="00F17635" w:rsidRPr="00BC3448">
              <w:rPr>
                <w:b/>
                <w:i/>
              </w:rPr>
              <w:t>;</w:t>
            </w:r>
          </w:p>
          <w:p w:rsidR="004B531B" w:rsidRPr="00BC3448" w:rsidRDefault="004B531B" w:rsidP="00270F20">
            <w:pPr>
              <w:pStyle w:val="Normal6a"/>
              <w:rPr>
                <w:b/>
                <w:i/>
              </w:rPr>
            </w:pPr>
            <w:r w:rsidRPr="00BC3448">
              <w:rPr>
                <w:b/>
                <w:i/>
              </w:rPr>
              <w:t>– 0,25 g za „uobičajeno zaprljane” tkanine u slučaju jakih deterdženata</w:t>
            </w:r>
            <w:r w:rsidR="00F17635" w:rsidRPr="00BC3448">
              <w:rPr>
                <w:b/>
                <w:i/>
              </w:rPr>
              <w:t>;</w:t>
            </w:r>
          </w:p>
          <w:p w:rsidR="004B531B" w:rsidRPr="00BC3448" w:rsidRDefault="004B531B" w:rsidP="00270F20">
            <w:pPr>
              <w:pStyle w:val="Normal6a"/>
              <w:rPr>
                <w:b/>
                <w:i/>
              </w:rPr>
            </w:pPr>
            <w:r w:rsidRPr="00BC3448">
              <w:rPr>
                <w:b/>
                <w:i/>
              </w:rPr>
              <w:t>– 0,045 g za odstranjivače mrlja koji se upotrebljavaju tijekom pranja</w:t>
            </w:r>
            <w:r w:rsidR="00F17635" w:rsidRPr="00BC3448">
              <w:rPr>
                <w:b/>
                <w:i/>
              </w:rPr>
              <w:t>;</w:t>
            </w:r>
          </w:p>
          <w:p w:rsidR="004B531B" w:rsidRPr="00BC3448" w:rsidRDefault="004B531B" w:rsidP="00270F20">
            <w:pPr>
              <w:pStyle w:val="Normal6a"/>
              <w:rPr>
                <w:b/>
                <w:i/>
              </w:rPr>
            </w:pPr>
            <w:r w:rsidRPr="00BC3448">
              <w:rPr>
                <w:b/>
                <w:i/>
              </w:rPr>
              <w:t>– 0,023 g za odstranjivače mrlja koji se upotrebljavaju prije pranja</w:t>
            </w:r>
            <w:r w:rsidR="00F17635" w:rsidRPr="00BC3448">
              <w:rPr>
                <w:b/>
                <w:i/>
              </w:rPr>
              <w:t>;</w:t>
            </w:r>
          </w:p>
          <w:p w:rsidR="004B531B" w:rsidRPr="00BC3448" w:rsidRDefault="004B531B" w:rsidP="00270F20">
            <w:pPr>
              <w:pStyle w:val="Normal6a"/>
              <w:rPr>
                <w:b/>
                <w:i/>
              </w:rPr>
            </w:pPr>
            <w:r w:rsidRPr="00BC3448">
              <w:rPr>
                <w:b/>
                <w:i/>
              </w:rPr>
              <w:t>u preporučenoj količini deterdženta koja se koristi u glavnom ciklusu postupka pranja za standardno punjenje stroja za pranje rublja kako je definirano u dijelu B Priloga V.</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t>Deterdženti za strojno pranje posuđa koji se koriste u kućanstvu</w:t>
            </w:r>
          </w:p>
        </w:tc>
        <w:tc>
          <w:tcPr>
            <w:tcW w:w="4544" w:type="dxa"/>
            <w:tcBorders>
              <w:top w:val="single" w:sz="4" w:space="0" w:color="auto"/>
              <w:left w:val="single" w:sz="4" w:space="0" w:color="auto"/>
              <w:bottom w:val="single" w:sz="4" w:space="0" w:color="auto"/>
              <w:right w:val="single" w:sz="4" w:space="0" w:color="auto"/>
            </w:tcBorders>
            <w:hideMark/>
          </w:tcPr>
          <w:p w:rsidR="004B531B" w:rsidRPr="00BC3448" w:rsidRDefault="004B531B" w:rsidP="00270F20">
            <w:pPr>
              <w:pStyle w:val="Normal6a"/>
            </w:pPr>
            <w:r w:rsidRPr="00BC3448">
              <w:rPr>
                <w:b/>
                <w:i/>
              </w:rPr>
              <w:t xml:space="preserve">1. </w:t>
            </w:r>
            <w:r w:rsidRPr="00BC3448">
              <w:t>Ne smiju se stavljati u promet ako je ukupan udio fosfora jednak ili veći od 0,3 grama u standardnoj dozi kako je definirano u dijelu B Priloga V.</w:t>
            </w:r>
          </w:p>
          <w:p w:rsidR="004B531B" w:rsidRPr="00BC3448" w:rsidRDefault="004B531B" w:rsidP="00270F20">
            <w:pPr>
              <w:pStyle w:val="Normal6a"/>
              <w:rPr>
                <w:b/>
                <w:i/>
              </w:rPr>
            </w:pPr>
            <w:r w:rsidRPr="00BC3448">
              <w:rPr>
                <w:b/>
                <w:i/>
              </w:rPr>
              <w:t>2. Ne smiju sadržavati fosfate.</w:t>
            </w:r>
          </w:p>
          <w:p w:rsidR="004B531B" w:rsidRPr="00BC3448" w:rsidRDefault="004B531B" w:rsidP="00270F20">
            <w:pPr>
              <w:pStyle w:val="Normal6a"/>
              <w:rPr>
                <w:b/>
                <w:i/>
              </w:rPr>
            </w:pPr>
            <w:r w:rsidRPr="00BC3448">
              <w:rPr>
                <w:b/>
                <w:i/>
              </w:rPr>
              <w:t>3. Ne smiju se stavljati na tržište ako do... [četiri godine od stupanja na snagu ove Uredbe] ukupni udio fosfora jednak ili veći od:</w:t>
            </w:r>
          </w:p>
          <w:p w:rsidR="004B531B" w:rsidRPr="00BC3448" w:rsidRDefault="004B531B" w:rsidP="00270F20">
            <w:pPr>
              <w:pStyle w:val="Normal6a"/>
              <w:rPr>
                <w:b/>
                <w:i/>
              </w:rPr>
            </w:pPr>
            <w:r w:rsidRPr="00BC3448">
              <w:rPr>
                <w:b/>
                <w:i/>
              </w:rPr>
              <w:t>– 0,2 g po pranju u deterdžentima za strojno pranje posuđa;</w:t>
            </w:r>
          </w:p>
          <w:p w:rsidR="004B531B" w:rsidRPr="00BC3448" w:rsidRDefault="004B531B" w:rsidP="00270F20">
            <w:pPr>
              <w:pStyle w:val="Normal6a"/>
              <w:rPr>
                <w:b/>
                <w:i/>
              </w:rPr>
            </w:pPr>
            <w:r w:rsidRPr="00BC3448">
              <w:rPr>
                <w:b/>
                <w:i/>
              </w:rPr>
              <w:t>– 0,03 g po pranju u sredstvima za ispiranje.</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Deterdženti za ručno pranje posuđa koji se koriste u kućanstvu</w:t>
            </w:r>
          </w:p>
        </w:tc>
        <w:tc>
          <w:tcPr>
            <w:tcW w:w="4544"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Ne smije sadržavati fosfate i druge spojeve fosfora do... [4 godine od stupanja na snagu ove Uredbe].</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Sredstva za čišćenje tvrdih površina koja se koriste u kućanstvu</w:t>
            </w:r>
          </w:p>
        </w:tc>
        <w:tc>
          <w:tcPr>
            <w:tcW w:w="4544"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1. Ne smiju sadržavati fosfate.</w:t>
            </w:r>
          </w:p>
          <w:p w:rsidR="004B531B" w:rsidRPr="00BC3448" w:rsidRDefault="004B531B" w:rsidP="00270F20">
            <w:pPr>
              <w:pStyle w:val="Normal6a"/>
              <w:rPr>
                <w:b/>
                <w:i/>
              </w:rPr>
            </w:pPr>
            <w:r w:rsidRPr="00BC3448">
              <w:rPr>
                <w:b/>
                <w:i/>
              </w:rPr>
              <w:t>2. Višenamjenska sredstva za čišćenje i sredstva za pranje prozora ne smiju sadržavati fosfor do... [četiri godine od stupanja na snagu ove Uredbe].</w:t>
            </w:r>
          </w:p>
          <w:p w:rsidR="004B531B" w:rsidRPr="00BC3448" w:rsidRDefault="004B531B" w:rsidP="00270F20">
            <w:pPr>
              <w:pStyle w:val="Normal6a"/>
              <w:rPr>
                <w:b/>
                <w:i/>
              </w:rPr>
            </w:pPr>
            <w:r w:rsidRPr="00BC3448">
              <w:rPr>
                <w:b/>
                <w:i/>
              </w:rPr>
              <w:t>3. Sredstva za čišćenje kuhinja i sredstva za čišćenje sanitarija ne smiju se stavljati na tržište ako je ukupni udio fosfora jednak ili veći od: </w:t>
            </w:r>
          </w:p>
          <w:p w:rsidR="004B531B" w:rsidRPr="00BC3448" w:rsidRDefault="00F17635" w:rsidP="00270F20">
            <w:pPr>
              <w:pStyle w:val="Normal6a"/>
              <w:rPr>
                <w:b/>
                <w:i/>
              </w:rPr>
            </w:pPr>
            <w:r w:rsidRPr="00BC3448">
              <w:rPr>
                <w:b/>
                <w:i/>
              </w:rPr>
              <w:t>-</w:t>
            </w:r>
            <w:r w:rsidR="004B531B" w:rsidRPr="00BC3448">
              <w:rPr>
                <w:b/>
                <w:i/>
              </w:rPr>
              <w:t xml:space="preserve"> 2 g/l otopine za čišćenje do... [četiri godine od stupanja na snagu ove Uredbe]</w:t>
            </w:r>
            <w:r w:rsidRPr="00BC3448">
              <w:rPr>
                <w:b/>
                <w:i/>
              </w:rPr>
              <w:t>;</w:t>
            </w:r>
            <w:r w:rsidR="004B531B" w:rsidRPr="00BC3448">
              <w:rPr>
                <w:b/>
                <w:i/>
              </w:rPr>
              <w:t xml:space="preserve"> i </w:t>
            </w:r>
          </w:p>
          <w:p w:rsidR="004B531B" w:rsidRPr="00BC3448" w:rsidRDefault="00F17635" w:rsidP="00270F20">
            <w:pPr>
              <w:pStyle w:val="Normal6a"/>
              <w:rPr>
                <w:b/>
                <w:i/>
              </w:rPr>
            </w:pPr>
            <w:r w:rsidRPr="00BC3448">
              <w:rPr>
                <w:b/>
                <w:i/>
              </w:rPr>
              <w:t>-</w:t>
            </w:r>
            <w:r w:rsidR="004B531B" w:rsidRPr="00BC3448">
              <w:rPr>
                <w:b/>
                <w:i/>
              </w:rPr>
              <w:t>1 g/l otopine za čišćenje do... [sedam godina od stupanja na snagu ove Uredbe].</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Deterdženti za pranje rublja u industrijskim objektima i ustanovama</w:t>
            </w:r>
          </w:p>
        </w:tc>
        <w:tc>
          <w:tcPr>
            <w:tcW w:w="4544"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Ne smiju se stavljati na tržište ako je do... [četiri godine od stupanja na snagu ove Uredbe] ukupni udio fosfora jednak ili veći od:</w:t>
            </w:r>
          </w:p>
          <w:p w:rsidR="004B531B" w:rsidRPr="00BC3448" w:rsidRDefault="00F17635" w:rsidP="00270F20">
            <w:pPr>
              <w:pStyle w:val="Normal6a"/>
              <w:rPr>
                <w:b/>
                <w:i/>
              </w:rPr>
            </w:pPr>
            <w:r w:rsidRPr="00BC3448">
              <w:rPr>
                <w:b/>
                <w:i/>
              </w:rPr>
              <w:t xml:space="preserve">- </w:t>
            </w:r>
            <w:r w:rsidR="004B531B" w:rsidRPr="00BC3448">
              <w:rPr>
                <w:b/>
                <w:i/>
              </w:rPr>
              <w:t xml:space="preserve">0,5 g/kg rublja za niski stupanj </w:t>
            </w:r>
            <w:proofErr w:type="spellStart"/>
            <w:r w:rsidR="004B531B" w:rsidRPr="00BC3448">
              <w:rPr>
                <w:b/>
                <w:i/>
              </w:rPr>
              <w:t>zaprljanja</w:t>
            </w:r>
            <w:proofErr w:type="spellEnd"/>
            <w:r w:rsidR="004B531B" w:rsidRPr="00BC3448">
              <w:rPr>
                <w:b/>
                <w:i/>
              </w:rPr>
              <w:t>;</w:t>
            </w:r>
          </w:p>
          <w:p w:rsidR="004B531B" w:rsidRPr="00BC3448" w:rsidRDefault="00F17635" w:rsidP="00270F20">
            <w:pPr>
              <w:pStyle w:val="Normal6a"/>
              <w:rPr>
                <w:b/>
                <w:i/>
              </w:rPr>
            </w:pPr>
            <w:r w:rsidRPr="00BC3448">
              <w:rPr>
                <w:b/>
                <w:i/>
              </w:rPr>
              <w:t xml:space="preserve">- </w:t>
            </w:r>
            <w:r w:rsidR="004B531B" w:rsidRPr="00BC3448">
              <w:rPr>
                <w:b/>
                <w:i/>
              </w:rPr>
              <w:t xml:space="preserve">1 g/kg rublja za srednji stupanj </w:t>
            </w:r>
            <w:proofErr w:type="spellStart"/>
            <w:r w:rsidR="004B531B" w:rsidRPr="00BC3448">
              <w:rPr>
                <w:b/>
                <w:i/>
              </w:rPr>
              <w:t>zaprljanja</w:t>
            </w:r>
            <w:proofErr w:type="spellEnd"/>
            <w:r w:rsidR="004B531B" w:rsidRPr="00BC3448">
              <w:rPr>
                <w:b/>
                <w:i/>
              </w:rPr>
              <w:t>;</w:t>
            </w:r>
          </w:p>
          <w:p w:rsidR="004B531B" w:rsidRPr="00BC3448" w:rsidRDefault="00F17635" w:rsidP="00270F20">
            <w:pPr>
              <w:pStyle w:val="Normal6a"/>
              <w:rPr>
                <w:b/>
                <w:i/>
              </w:rPr>
            </w:pPr>
            <w:r w:rsidRPr="00BC3448">
              <w:rPr>
                <w:b/>
                <w:i/>
              </w:rPr>
              <w:t xml:space="preserve">- </w:t>
            </w:r>
            <w:r w:rsidR="004B531B" w:rsidRPr="00BC3448">
              <w:rPr>
                <w:b/>
                <w:i/>
              </w:rPr>
              <w:t xml:space="preserve">1,5 g/kg rublja za visoki stupanj </w:t>
            </w:r>
            <w:proofErr w:type="spellStart"/>
            <w:r w:rsidR="004B531B" w:rsidRPr="00BC3448">
              <w:rPr>
                <w:b/>
                <w:i/>
              </w:rPr>
              <w:t>zaprljanja</w:t>
            </w:r>
            <w:proofErr w:type="spellEnd"/>
            <w:r w:rsidR="004B531B" w:rsidRPr="00BC3448">
              <w:rPr>
                <w:b/>
                <w:i/>
              </w:rPr>
              <w:t>.</w:t>
            </w:r>
          </w:p>
        </w:tc>
      </w:tr>
      <w:tr w:rsidR="004B531B" w:rsidRPr="00BC3448" w:rsidTr="00270F20">
        <w:tc>
          <w:tcPr>
            <w:tcW w:w="4521"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Deterdženti za strojno pranje posuđa u industrijskim objektima i ustanovama</w:t>
            </w:r>
          </w:p>
        </w:tc>
        <w:tc>
          <w:tcPr>
            <w:tcW w:w="4544" w:type="dxa"/>
            <w:tcBorders>
              <w:top w:val="single" w:sz="4" w:space="0" w:color="auto"/>
              <w:left w:val="single" w:sz="4" w:space="0" w:color="auto"/>
              <w:bottom w:val="single" w:sz="4" w:space="0" w:color="auto"/>
              <w:right w:val="single" w:sz="4" w:space="0" w:color="auto"/>
            </w:tcBorders>
          </w:tcPr>
          <w:p w:rsidR="004B531B" w:rsidRPr="00BC3448" w:rsidRDefault="004B531B" w:rsidP="00270F20">
            <w:pPr>
              <w:pStyle w:val="Normal6a"/>
              <w:rPr>
                <w:b/>
                <w:i/>
              </w:rPr>
            </w:pPr>
            <w:r w:rsidRPr="00BC3448">
              <w:rPr>
                <w:b/>
                <w:i/>
              </w:rPr>
              <w:t>Ne smiju se stavljati na tržište ako je do... [sedam godina od stupanja na snagu ove Uredbe] ukupni udio fosfora jednak ili veći od:</w:t>
            </w:r>
          </w:p>
          <w:p w:rsidR="004B531B" w:rsidRPr="00BC3448" w:rsidRDefault="004B531B" w:rsidP="00270F20">
            <w:pPr>
              <w:pStyle w:val="Normal6a"/>
              <w:rPr>
                <w:b/>
                <w:i/>
              </w:rPr>
            </w:pPr>
            <w:r w:rsidRPr="00BC3448">
              <w:rPr>
                <w:b/>
                <w:i/>
              </w:rPr>
              <w:t>– za deterdžente za strojno pranje posuđa i višekomponentne sustave:</w:t>
            </w:r>
          </w:p>
          <w:p w:rsidR="004B531B" w:rsidRPr="00BC3448" w:rsidRDefault="004B531B" w:rsidP="00270F20">
            <w:pPr>
              <w:pStyle w:val="Normal6a"/>
              <w:rPr>
                <w:b/>
                <w:i/>
              </w:rPr>
            </w:pPr>
            <w:r w:rsidRPr="00BC3448">
              <w:rPr>
                <w:b/>
                <w:i/>
              </w:rPr>
              <w:t>– 0,3 g/l otopine za pranje za meku vodu;</w:t>
            </w:r>
          </w:p>
          <w:p w:rsidR="004B531B" w:rsidRPr="00BC3448" w:rsidRDefault="004B531B" w:rsidP="00270F20">
            <w:pPr>
              <w:pStyle w:val="Normal6a"/>
              <w:rPr>
                <w:b/>
                <w:i/>
              </w:rPr>
            </w:pPr>
            <w:r w:rsidRPr="00BC3448">
              <w:rPr>
                <w:b/>
                <w:i/>
              </w:rPr>
              <w:t>– 0,4 g/l otopine za pranje za srednje tvrdu vodu;</w:t>
            </w:r>
          </w:p>
          <w:p w:rsidR="004B531B" w:rsidRPr="00BC3448" w:rsidRDefault="004B531B" w:rsidP="00270F20">
            <w:pPr>
              <w:pStyle w:val="Normal6a"/>
              <w:rPr>
                <w:b/>
                <w:i/>
              </w:rPr>
            </w:pPr>
            <w:r w:rsidRPr="00BC3448">
              <w:rPr>
                <w:b/>
                <w:i/>
              </w:rPr>
              <w:t>– 0,75 g/l otopine za pranje za tvrdu vodu;</w:t>
            </w:r>
          </w:p>
          <w:p w:rsidR="004B531B" w:rsidRPr="00BC3448" w:rsidRDefault="004B531B" w:rsidP="00270F20">
            <w:pPr>
              <w:pStyle w:val="Normal6a"/>
              <w:rPr>
                <w:b/>
                <w:i/>
              </w:rPr>
            </w:pPr>
            <w:r w:rsidRPr="00BC3448">
              <w:rPr>
                <w:b/>
                <w:i/>
              </w:rPr>
              <w:t>– za namakanje 1 g/l otopine za pranje;</w:t>
            </w:r>
          </w:p>
          <w:p w:rsidR="004B531B" w:rsidRPr="00BC3448" w:rsidRDefault="004B531B" w:rsidP="00270F20">
            <w:pPr>
              <w:pStyle w:val="Normal6a"/>
              <w:rPr>
                <w:b/>
                <w:i/>
              </w:rPr>
            </w:pPr>
            <w:r w:rsidRPr="00BC3448">
              <w:rPr>
                <w:b/>
                <w:i/>
              </w:rPr>
              <w:t>– za sredstva za ispiranje 0,02 g/l otopine za pranje.</w:t>
            </w:r>
          </w:p>
        </w:tc>
      </w:tr>
    </w:tbl>
    <w:p w:rsidR="004B531B" w:rsidRPr="00BC3448" w:rsidRDefault="00F17635" w:rsidP="007F079A">
      <w:pPr>
        <w:spacing w:before="120" w:after="120" w:line="360" w:lineRule="auto"/>
        <w:jc w:val="right"/>
        <w:rPr>
          <w:b/>
          <w:lang w:eastAsia="en-US"/>
        </w:rPr>
      </w:pPr>
      <w:r w:rsidRPr="00BC3448">
        <w:rPr>
          <w:b/>
          <w:lang w:eastAsia="en-US"/>
        </w:rPr>
        <w:t xml:space="preserve"> [Am. 132.]</w:t>
      </w: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rPr>
          <w:szCs w:val="24"/>
          <w:lang w:eastAsia="en-US"/>
        </w:rPr>
        <w:sectPr w:rsidR="001169ED" w:rsidRPr="00BC3448">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IV.</w:t>
      </w:r>
    </w:p>
    <w:p w:rsidR="001169ED" w:rsidRPr="00BC3448" w:rsidRDefault="001169ED" w:rsidP="007F079A">
      <w:pPr>
        <w:spacing w:before="120" w:after="120" w:line="360" w:lineRule="auto"/>
        <w:jc w:val="center"/>
        <w:rPr>
          <w:szCs w:val="24"/>
          <w:lang w:eastAsia="en-US"/>
        </w:rPr>
      </w:pPr>
      <w:r w:rsidRPr="00BC3448">
        <w:rPr>
          <w:szCs w:val="24"/>
          <w:lang w:eastAsia="en-US"/>
        </w:rPr>
        <w:t>POSTUPAK OCJENJIVANJA SUKLADNOSTI IZ ČLANKA 7. STAVKA 2.</w:t>
      </w:r>
    </w:p>
    <w:p w:rsidR="001169ED" w:rsidRPr="00BC3448" w:rsidRDefault="001169ED" w:rsidP="001169ED">
      <w:pPr>
        <w:spacing w:before="120" w:after="120" w:line="360" w:lineRule="auto"/>
        <w:rPr>
          <w:szCs w:val="24"/>
          <w:lang w:eastAsia="en-US"/>
        </w:rPr>
      </w:pPr>
      <w:r w:rsidRPr="00BC3448">
        <w:rPr>
          <w:szCs w:val="24"/>
          <w:lang w:eastAsia="en-US"/>
        </w:rPr>
        <w:t xml:space="preserve">Modul A – Unutarnji protokol proizvodnje </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Opis modula</w:t>
      </w:r>
    </w:p>
    <w:p w:rsidR="001169ED" w:rsidRPr="00BC3448" w:rsidRDefault="001169ED" w:rsidP="001169ED">
      <w:pPr>
        <w:spacing w:before="120" w:after="120" w:line="360" w:lineRule="auto"/>
        <w:ind w:left="850"/>
        <w:rPr>
          <w:szCs w:val="24"/>
          <w:lang w:eastAsia="en-US"/>
        </w:rPr>
      </w:pPr>
      <w:r w:rsidRPr="00BC3448">
        <w:rPr>
          <w:szCs w:val="24"/>
          <w:lang w:eastAsia="en-US"/>
        </w:rPr>
        <w:t>Unutarnja kontrola proizvodnje je postupak ocjenjivanja sukladnosti u kojem proizvođač ispunjava obveze iz točaka 2., 3. i 4. te osigurava i na vlastitu odgovornost izjavljuje da dotični deterdžent ili površinski aktivna tvar ispunjava zahtjeve ove Uredbe koji se na njih primjenjuju.</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Tehnička dokumentacija</w:t>
      </w:r>
    </w:p>
    <w:p w:rsidR="001169ED" w:rsidRPr="00BC3448" w:rsidRDefault="001169ED" w:rsidP="001169ED">
      <w:pPr>
        <w:spacing w:before="120" w:after="120" w:line="360" w:lineRule="auto"/>
        <w:ind w:left="850" w:hanging="850"/>
        <w:rPr>
          <w:szCs w:val="24"/>
          <w:lang w:eastAsia="en-US"/>
        </w:rPr>
      </w:pPr>
      <w:r w:rsidRPr="00BC3448">
        <w:rPr>
          <w:szCs w:val="24"/>
          <w:lang w:eastAsia="en-US"/>
        </w:rPr>
        <w:t>2.1.</w:t>
      </w:r>
      <w:r w:rsidRPr="00BC3448">
        <w:rPr>
          <w:szCs w:val="24"/>
          <w:lang w:eastAsia="en-US"/>
        </w:rPr>
        <w:tab/>
        <w:t>Proizvođač sastavlja tehničku dokumentaciju. Dokumentacija omogućuje ocjenjivanje sukladnosti deterdženta ili površinski aktivne tvari s primjenjivim zahtjevima te sadržava odgovarajuću analizu i procjenu rizika.</w:t>
      </w:r>
    </w:p>
    <w:p w:rsidR="00617A71" w:rsidRPr="00BC3448" w:rsidRDefault="00617A71"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2.2.</w:t>
      </w:r>
      <w:r w:rsidRPr="00BC3448">
        <w:rPr>
          <w:szCs w:val="24"/>
          <w:lang w:eastAsia="en-US"/>
        </w:rPr>
        <w:tab/>
        <w:t>U tehničkoj dokumentaciji određuju se primjenjivi zahtjevi te ona obuhvaća dizajn, proizvodnju i namjeravanu upotrebu deterdženta ili površinski aktivne tvari u mjeri u kojoj je to bitno za ocjenjivanje. Tehnička dokumentacija sadržava, ako je to primjenjivo, najmanje sljedeće elemente: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opći opis deterdženta ili površinski aktivne tvari i opis njihove namjeravane upotrebe;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izvješća o ispitivanju kojima se dokazuje sukladnost s Prilogom I. i, ako je primjenjivo, prilozima II. i III.;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popis metoda ispitivanja koje se upotrebljavaju radi dokazivanja usklađenosti sa zahtjevima ove Uredbe;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rezultate izvršenih izračuna i provedenih ispitivanja;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(e)</w:t>
      </w:r>
      <w:r w:rsidRPr="00BC3448">
        <w:rPr>
          <w:szCs w:val="24"/>
          <w:lang w:eastAsia="en-US"/>
        </w:rPr>
        <w:tab/>
        <w:t>list s podacima o sastojcima koji ispunjava sljedeće zahtjeve:</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w:t>
      </w:r>
      <w:r w:rsidRPr="00BC3448">
        <w:rPr>
          <w:szCs w:val="24"/>
          <w:lang w:eastAsia="en-US"/>
        </w:rPr>
        <w:tab/>
        <w:t>u njemu su navedene sve namjerno dodane tvari i konzervansi iz dijela A Priloga V.;</w:t>
      </w:r>
    </w:p>
    <w:p w:rsidR="001169ED" w:rsidRPr="00BC3448" w:rsidRDefault="001169ED" w:rsidP="001169ED">
      <w:pPr>
        <w:spacing w:before="120" w:after="120" w:line="360" w:lineRule="auto"/>
        <w:ind w:left="1982" w:hanging="566"/>
        <w:rPr>
          <w:szCs w:val="24"/>
          <w:lang w:eastAsia="en-US"/>
        </w:rPr>
      </w:pPr>
      <w:r w:rsidRPr="00BC3448">
        <w:rPr>
          <w:szCs w:val="24"/>
          <w:lang w:eastAsia="en-US"/>
        </w:rPr>
        <w:t>(ii)</w:t>
      </w:r>
      <w:r w:rsidRPr="00BC3448">
        <w:rPr>
          <w:szCs w:val="24"/>
          <w:lang w:eastAsia="en-US"/>
        </w:rPr>
        <w:tab/>
        <w:t>za svaki sastojak naveden je zajednički kemijski naziv ili IUPAC naziv te, gdje je dostupno, INCI naziv, CAS broj te naziv europske farmakopeje;</w:t>
      </w:r>
    </w:p>
    <w:p w:rsidR="00617A71" w:rsidRPr="00BC3448" w:rsidRDefault="00617A71" w:rsidP="001169ED">
      <w:pPr>
        <w:spacing w:before="120" w:after="120" w:line="360" w:lineRule="auto"/>
        <w:ind w:left="1982"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982" w:hanging="566"/>
        <w:rPr>
          <w:szCs w:val="24"/>
          <w:lang w:eastAsia="en-US"/>
        </w:rPr>
      </w:pPr>
      <w:r w:rsidRPr="00BC3448">
        <w:rPr>
          <w:szCs w:val="24"/>
          <w:lang w:eastAsia="en-US"/>
        </w:rPr>
        <w:t>(iii)</w:t>
      </w:r>
      <w:r w:rsidRPr="00BC3448">
        <w:rPr>
          <w:szCs w:val="24"/>
          <w:lang w:eastAsia="en-US"/>
        </w:rPr>
        <w:tab/>
        <w:t>svi su sastojci popisani prema redoslijedu od najvećeg do najmanjeg prema udjelu u masi, a popis se dijeli prema ovim rasponima postotaka mase:</w:t>
      </w:r>
    </w:p>
    <w:p w:rsidR="001169ED" w:rsidRPr="00BC3448" w:rsidRDefault="001169ED" w:rsidP="001169ED">
      <w:pPr>
        <w:spacing w:before="120" w:after="120" w:line="360" w:lineRule="auto"/>
        <w:ind w:left="2548" w:hanging="566"/>
        <w:rPr>
          <w:szCs w:val="24"/>
          <w:lang w:eastAsia="en-US"/>
        </w:rPr>
      </w:pPr>
      <w:r w:rsidRPr="00BC3448">
        <w:rPr>
          <w:szCs w:val="24"/>
          <w:lang w:eastAsia="en-US"/>
        </w:rPr>
        <w:t>(1)</w:t>
      </w:r>
      <w:r w:rsidRPr="00BC3448">
        <w:rPr>
          <w:szCs w:val="24"/>
          <w:lang w:eastAsia="en-US"/>
        </w:rPr>
        <w:tab/>
        <w:t>10 % ili više;</w:t>
      </w:r>
    </w:p>
    <w:p w:rsidR="001169ED" w:rsidRPr="00BC3448" w:rsidRDefault="001169ED" w:rsidP="001169ED">
      <w:pPr>
        <w:spacing w:before="120" w:after="120" w:line="360" w:lineRule="auto"/>
        <w:ind w:left="2548" w:hanging="566"/>
        <w:rPr>
          <w:szCs w:val="24"/>
          <w:lang w:eastAsia="en-US"/>
        </w:rPr>
      </w:pPr>
      <w:r w:rsidRPr="00BC3448">
        <w:rPr>
          <w:szCs w:val="24"/>
          <w:lang w:eastAsia="en-US"/>
        </w:rPr>
        <w:t>(2)</w:t>
      </w:r>
      <w:r w:rsidRPr="00BC3448">
        <w:rPr>
          <w:szCs w:val="24"/>
          <w:lang w:eastAsia="en-US"/>
        </w:rPr>
        <w:tab/>
        <w:t>1 % ili više, ali manje od 10 %;</w:t>
      </w:r>
    </w:p>
    <w:p w:rsidR="001169ED" w:rsidRPr="00BC3448" w:rsidRDefault="001169ED" w:rsidP="001169ED">
      <w:pPr>
        <w:spacing w:before="120" w:after="120" w:line="360" w:lineRule="auto"/>
        <w:ind w:left="2548" w:hanging="566"/>
        <w:rPr>
          <w:szCs w:val="24"/>
          <w:lang w:eastAsia="en-US"/>
        </w:rPr>
      </w:pPr>
      <w:r w:rsidRPr="00BC3448">
        <w:rPr>
          <w:szCs w:val="24"/>
          <w:lang w:eastAsia="en-US"/>
        </w:rPr>
        <w:t>(3)</w:t>
      </w:r>
      <w:r w:rsidRPr="00BC3448">
        <w:rPr>
          <w:szCs w:val="24"/>
          <w:lang w:eastAsia="en-US"/>
        </w:rPr>
        <w:tab/>
        <w:t>0,1 % ili više, ali manje od 1 %;</w:t>
      </w:r>
    </w:p>
    <w:p w:rsidR="001169ED" w:rsidRPr="00BC3448" w:rsidRDefault="001169ED" w:rsidP="001169ED">
      <w:pPr>
        <w:spacing w:before="120" w:after="120" w:line="360" w:lineRule="auto"/>
        <w:ind w:left="2548" w:hanging="566"/>
        <w:rPr>
          <w:szCs w:val="24"/>
          <w:lang w:eastAsia="en-US"/>
        </w:rPr>
      </w:pPr>
      <w:r w:rsidRPr="00BC3448">
        <w:rPr>
          <w:szCs w:val="24"/>
          <w:lang w:eastAsia="en-US"/>
        </w:rPr>
        <w:t>(4)</w:t>
      </w:r>
      <w:r w:rsidRPr="00BC3448">
        <w:rPr>
          <w:szCs w:val="24"/>
          <w:lang w:eastAsia="en-US"/>
        </w:rPr>
        <w:tab/>
        <w:t>manje od 0,1 %.</w:t>
      </w:r>
    </w:p>
    <w:p w:rsidR="001169ED" w:rsidRPr="00BC3448" w:rsidRDefault="001169ED" w:rsidP="001169ED">
      <w:pPr>
        <w:spacing w:before="120" w:after="120" w:line="360" w:lineRule="auto"/>
        <w:rPr>
          <w:szCs w:val="24"/>
          <w:lang w:eastAsia="en-US"/>
        </w:rPr>
      </w:pPr>
      <w:r w:rsidRPr="00BC3448">
        <w:rPr>
          <w:szCs w:val="24"/>
          <w:lang w:eastAsia="en-US"/>
        </w:rPr>
        <w:t>U smislu točke (e), miris, esencijalno ulje ili tvar za bojenje smatraju se jednim sastojkom.</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Proizvodnja</w:t>
      </w:r>
    </w:p>
    <w:p w:rsidR="001169ED" w:rsidRPr="00BC3448" w:rsidRDefault="001169ED" w:rsidP="001169ED">
      <w:pPr>
        <w:spacing w:before="120" w:after="120" w:line="360" w:lineRule="auto"/>
        <w:ind w:left="850"/>
        <w:rPr>
          <w:szCs w:val="24"/>
          <w:lang w:eastAsia="en-US"/>
        </w:rPr>
      </w:pPr>
      <w:r w:rsidRPr="00BC3448">
        <w:rPr>
          <w:szCs w:val="24"/>
          <w:lang w:eastAsia="en-US"/>
        </w:rPr>
        <w:t>Proizvođač poduzima sve potrebne mjere kako bi proizvodni proces i njegovo praćenje osigurali usklađenost deterdženata ili površinski aktivnih tvari s tehničkom dokumentacijom iz točke 2. te sa zahtjevima ove Uredbe koji se na njih primjenjuju.</w:t>
      </w:r>
    </w:p>
    <w:p w:rsidR="001169ED" w:rsidRPr="00BC3448" w:rsidRDefault="001169ED" w:rsidP="001169ED">
      <w:pPr>
        <w:spacing w:before="120" w:after="120" w:line="360" w:lineRule="auto"/>
        <w:rPr>
          <w:szCs w:val="24"/>
          <w:lang w:eastAsia="en-US"/>
        </w:rPr>
      </w:pPr>
    </w:p>
    <w:p w:rsidR="00617A71" w:rsidRPr="00BC3448" w:rsidRDefault="00617A71" w:rsidP="001169ED">
      <w:pPr>
        <w:spacing w:before="120" w:after="120" w:line="360" w:lineRule="auto"/>
        <w:rPr>
          <w:szCs w:val="24"/>
          <w:lang w:eastAsia="en-US"/>
        </w:rPr>
        <w:sectPr w:rsidR="00617A71" w:rsidRPr="00BC3448">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V.</w:t>
      </w:r>
    </w:p>
    <w:p w:rsidR="001169ED" w:rsidRPr="00BC3448" w:rsidRDefault="001169ED" w:rsidP="007F079A">
      <w:pPr>
        <w:spacing w:before="120" w:after="120" w:line="360" w:lineRule="auto"/>
        <w:jc w:val="center"/>
        <w:rPr>
          <w:szCs w:val="24"/>
          <w:lang w:eastAsia="en-US"/>
        </w:rPr>
      </w:pPr>
      <w:r w:rsidRPr="00BC3448">
        <w:rPr>
          <w:szCs w:val="24"/>
          <w:lang w:eastAsia="en-US"/>
        </w:rPr>
        <w:t>UVJETI OZNAČIVANJA</w:t>
      </w:r>
    </w:p>
    <w:p w:rsidR="001169ED" w:rsidRPr="00BC3448" w:rsidRDefault="001169ED" w:rsidP="007F079A">
      <w:pPr>
        <w:spacing w:before="120" w:after="120" w:line="360" w:lineRule="auto"/>
        <w:rPr>
          <w:szCs w:val="24"/>
          <w:lang w:eastAsia="en-US"/>
        </w:rPr>
      </w:pPr>
      <w:r w:rsidRPr="00BC3448">
        <w:rPr>
          <w:szCs w:val="24"/>
          <w:lang w:eastAsia="en-US"/>
        </w:rPr>
        <w:t>DIO A – OZNAČIVANJE SADRŽAJA</w:t>
      </w:r>
    </w:p>
    <w:p w:rsidR="001169ED" w:rsidRPr="00BC3448" w:rsidRDefault="001169ED" w:rsidP="001169ED">
      <w:pPr>
        <w:spacing w:before="120" w:after="120" w:line="360" w:lineRule="auto"/>
        <w:rPr>
          <w:szCs w:val="24"/>
          <w:lang w:eastAsia="en-US"/>
        </w:rPr>
      </w:pPr>
      <w:r w:rsidRPr="00BC3448">
        <w:rPr>
          <w:szCs w:val="24"/>
          <w:lang w:eastAsia="en-US"/>
        </w:rPr>
        <w:t>Informacije koje se trebaju navesti na oznakama deterdženata i površinski aktivnih tvari stavljenih na raspolaganje na tržište</w:t>
      </w:r>
    </w:p>
    <w:p w:rsidR="001169ED" w:rsidRPr="00BC3448" w:rsidRDefault="001169ED" w:rsidP="001169ED">
      <w:pPr>
        <w:spacing w:before="120" w:after="120" w:line="360" w:lineRule="auto"/>
        <w:ind w:left="850" w:hanging="850"/>
        <w:rPr>
          <w:szCs w:val="24"/>
          <w:lang w:eastAsia="en-US"/>
        </w:rPr>
      </w:pPr>
      <w:r w:rsidRPr="00BC3448">
        <w:rPr>
          <w:szCs w:val="24"/>
          <w:lang w:eastAsia="en-US"/>
        </w:rPr>
        <w:t>1.</w:t>
      </w:r>
      <w:r w:rsidRPr="00BC3448">
        <w:rPr>
          <w:szCs w:val="24"/>
          <w:lang w:eastAsia="en-US"/>
        </w:rPr>
        <w:tab/>
        <w:t>Rasponi postotaka mase „manje od 5 %”, „5 % ili više, ali manje od 15 %”, „15 % ili više, ali manje od 30 %”, „30 % i više” upotrebljavaju se za označivanje sadržaja dolje navedenih sastojaka ako se oni dodaju u koncentraciji većoj od 0,2 % prema masi: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fosfati;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r>
      <w:proofErr w:type="spellStart"/>
      <w:r w:rsidRPr="00BC3448">
        <w:rPr>
          <w:szCs w:val="24"/>
          <w:lang w:eastAsia="en-US"/>
        </w:rPr>
        <w:t>fosfonati</w:t>
      </w:r>
      <w:proofErr w:type="spellEnd"/>
      <w:r w:rsidRPr="00BC3448">
        <w:rPr>
          <w:szCs w:val="24"/>
          <w:lang w:eastAsia="en-US"/>
        </w:rPr>
        <w:t>;</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(c)</w:t>
      </w:r>
      <w:r w:rsidRPr="00BC3448">
        <w:rPr>
          <w:szCs w:val="24"/>
          <w:lang w:eastAsia="en-US"/>
        </w:rPr>
        <w:tab/>
      </w:r>
      <w:r w:rsidRPr="00BC3448">
        <w:rPr>
          <w:strike/>
          <w:szCs w:val="24"/>
          <w:lang w:eastAsia="en-US"/>
        </w:rPr>
        <w:t xml:space="preserve">anionske </w:t>
      </w:r>
      <w:r w:rsidRPr="00BC3448">
        <w:rPr>
          <w:szCs w:val="24"/>
          <w:lang w:eastAsia="en-US"/>
        </w:rPr>
        <w:t>površinski aktivne tvari</w:t>
      </w:r>
      <w:r w:rsidRPr="00BC3448">
        <w:rPr>
          <w:strike/>
          <w:szCs w:val="24"/>
          <w:lang w:eastAsia="en-US"/>
        </w:rPr>
        <w:t>;</w:t>
      </w:r>
      <w:r w:rsidRPr="00BC3448">
        <w:rPr>
          <w:b/>
          <w:i/>
          <w:szCs w:val="24"/>
          <w:lang w:eastAsia="en-US"/>
        </w:rPr>
        <w:t>,</w:t>
      </w:r>
      <w:r w:rsidR="00086E71" w:rsidRPr="00BC3448">
        <w:rPr>
          <w:b/>
          <w:szCs w:val="24"/>
          <w:lang w:eastAsia="en-US"/>
        </w:rPr>
        <w:t xml:space="preserve"> [Am. 133.]</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(d)</w:t>
      </w:r>
      <w:r w:rsidRPr="00BC3448">
        <w:rPr>
          <w:szCs w:val="24"/>
          <w:lang w:eastAsia="en-US"/>
        </w:rPr>
        <w:tab/>
      </w:r>
      <w:r w:rsidRPr="00BC3448">
        <w:rPr>
          <w:strike/>
          <w:szCs w:val="24"/>
          <w:lang w:eastAsia="en-US"/>
        </w:rPr>
        <w:t>kationske površinski aktivne tvari;</w:t>
      </w:r>
      <w:r w:rsidR="00086E71" w:rsidRPr="00BC3448">
        <w:rPr>
          <w:b/>
          <w:strike/>
          <w:szCs w:val="24"/>
          <w:lang w:eastAsia="en-US"/>
        </w:rPr>
        <w:t xml:space="preserve"> </w:t>
      </w:r>
      <w:r w:rsidR="00086E71" w:rsidRPr="00BC3448">
        <w:rPr>
          <w:b/>
          <w:szCs w:val="24"/>
          <w:lang w:eastAsia="en-US"/>
        </w:rPr>
        <w:t>[Am. 134.]</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(e)</w:t>
      </w:r>
      <w:r w:rsidRPr="00BC3448">
        <w:rPr>
          <w:szCs w:val="24"/>
          <w:lang w:eastAsia="en-US"/>
        </w:rPr>
        <w:tab/>
      </w:r>
      <w:proofErr w:type="spellStart"/>
      <w:r w:rsidRPr="00BC3448">
        <w:rPr>
          <w:strike/>
          <w:szCs w:val="24"/>
          <w:lang w:eastAsia="en-US"/>
        </w:rPr>
        <w:t>amfoterne</w:t>
      </w:r>
      <w:proofErr w:type="spellEnd"/>
      <w:r w:rsidRPr="00BC3448">
        <w:rPr>
          <w:strike/>
          <w:szCs w:val="24"/>
          <w:lang w:eastAsia="en-US"/>
        </w:rPr>
        <w:t xml:space="preserve"> površinski aktivne tvari;</w:t>
      </w:r>
      <w:r w:rsidR="00086E71" w:rsidRPr="00BC3448">
        <w:rPr>
          <w:b/>
          <w:szCs w:val="24"/>
          <w:lang w:eastAsia="en-US"/>
        </w:rPr>
        <w:t xml:space="preserve"> [Am. 135.]</w:t>
      </w:r>
    </w:p>
    <w:p w:rsidR="001169ED" w:rsidRPr="00BC3448" w:rsidRDefault="001169ED" w:rsidP="001169ED">
      <w:pPr>
        <w:spacing w:before="120" w:after="120" w:line="360" w:lineRule="auto"/>
        <w:ind w:left="1416" w:hanging="566"/>
        <w:rPr>
          <w:b/>
          <w:szCs w:val="24"/>
          <w:lang w:eastAsia="en-US"/>
        </w:rPr>
      </w:pPr>
      <w:r w:rsidRPr="00BC3448">
        <w:rPr>
          <w:strike/>
          <w:szCs w:val="24"/>
          <w:lang w:eastAsia="en-US"/>
        </w:rPr>
        <w:t>(f)</w:t>
      </w:r>
      <w:r w:rsidRPr="00BC3448">
        <w:rPr>
          <w:szCs w:val="24"/>
          <w:lang w:eastAsia="en-US"/>
        </w:rPr>
        <w:tab/>
      </w:r>
      <w:proofErr w:type="spellStart"/>
      <w:r w:rsidRPr="00BC3448">
        <w:rPr>
          <w:strike/>
          <w:szCs w:val="24"/>
          <w:lang w:eastAsia="en-US"/>
        </w:rPr>
        <w:t>neionske</w:t>
      </w:r>
      <w:proofErr w:type="spellEnd"/>
      <w:r w:rsidRPr="00BC3448">
        <w:rPr>
          <w:strike/>
          <w:szCs w:val="24"/>
          <w:lang w:eastAsia="en-US"/>
        </w:rPr>
        <w:t xml:space="preserve"> površinski aktivne tvari;</w:t>
      </w:r>
      <w:r w:rsidR="00086E71" w:rsidRPr="00BC3448">
        <w:rPr>
          <w:b/>
          <w:strike/>
          <w:szCs w:val="24"/>
          <w:lang w:eastAsia="en-US"/>
        </w:rPr>
        <w:t xml:space="preserve"> </w:t>
      </w:r>
      <w:r w:rsidR="00086E71" w:rsidRPr="00BC3448">
        <w:rPr>
          <w:b/>
          <w:szCs w:val="24"/>
          <w:lang w:eastAsia="en-US"/>
        </w:rPr>
        <w:t>[Am. 136.]</w:t>
      </w:r>
    </w:p>
    <w:p w:rsidR="00617A71" w:rsidRPr="00BC3448" w:rsidRDefault="00617A71" w:rsidP="001169ED">
      <w:pPr>
        <w:spacing w:before="120" w:after="120" w:line="360" w:lineRule="auto"/>
        <w:ind w:left="1416" w:hanging="566"/>
        <w:rPr>
          <w:szCs w:val="24"/>
          <w:lang w:eastAsia="en-US"/>
        </w:rPr>
      </w:pPr>
      <w:r w:rsidRPr="00BC3448">
        <w:rPr>
          <w:szCs w:val="24"/>
          <w:lang w:eastAsia="en-US"/>
        </w:rPr>
        <w:br w:type="page"/>
      </w:r>
    </w:p>
    <w:p w:rsidR="001169ED" w:rsidRPr="00BC3448" w:rsidRDefault="001169ED" w:rsidP="001169ED">
      <w:pPr>
        <w:spacing w:before="120" w:after="120" w:line="360" w:lineRule="auto"/>
        <w:ind w:left="1416" w:hanging="566"/>
        <w:rPr>
          <w:szCs w:val="24"/>
          <w:lang w:eastAsia="en-US"/>
        </w:rPr>
      </w:pPr>
      <w:r w:rsidRPr="00BC3448">
        <w:rPr>
          <w:szCs w:val="24"/>
          <w:lang w:eastAsia="en-US"/>
        </w:rPr>
        <w:t>(g)</w:t>
      </w:r>
      <w:r w:rsidRPr="00BC3448">
        <w:rPr>
          <w:szCs w:val="24"/>
          <w:lang w:eastAsia="en-US"/>
        </w:rPr>
        <w:tab/>
      </w:r>
      <w:proofErr w:type="spellStart"/>
      <w:r w:rsidRPr="00BC3448">
        <w:rPr>
          <w:szCs w:val="24"/>
          <w:lang w:eastAsia="en-US"/>
        </w:rPr>
        <w:t>izbjeljivači</w:t>
      </w:r>
      <w:proofErr w:type="spellEnd"/>
      <w:r w:rsidRPr="00BC3448">
        <w:rPr>
          <w:szCs w:val="24"/>
          <w:lang w:eastAsia="en-US"/>
        </w:rPr>
        <w:t xml:space="preserve"> na bazi kisika;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(h)</w:t>
      </w:r>
      <w:r w:rsidRPr="00BC3448">
        <w:rPr>
          <w:szCs w:val="24"/>
          <w:lang w:eastAsia="en-US"/>
        </w:rPr>
        <w:tab/>
      </w:r>
      <w:proofErr w:type="spellStart"/>
      <w:r w:rsidRPr="00BC3448">
        <w:rPr>
          <w:szCs w:val="24"/>
          <w:lang w:eastAsia="en-US"/>
        </w:rPr>
        <w:t>izbjeljivači</w:t>
      </w:r>
      <w:proofErr w:type="spellEnd"/>
      <w:r w:rsidRPr="00BC3448">
        <w:rPr>
          <w:szCs w:val="24"/>
          <w:lang w:eastAsia="en-US"/>
        </w:rPr>
        <w:t xml:space="preserve"> na bazi klora;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(i)</w:t>
      </w:r>
      <w:r w:rsidRPr="00BC3448">
        <w:rPr>
          <w:szCs w:val="24"/>
          <w:lang w:eastAsia="en-US"/>
        </w:rPr>
        <w:tab/>
        <w:t>EDTA (</w:t>
      </w:r>
      <w:proofErr w:type="spellStart"/>
      <w:r w:rsidRPr="00BC3448">
        <w:rPr>
          <w:szCs w:val="24"/>
          <w:lang w:eastAsia="en-US"/>
        </w:rPr>
        <w:t>etilendiamintetraoctena</w:t>
      </w:r>
      <w:proofErr w:type="spellEnd"/>
      <w:r w:rsidRPr="00BC3448">
        <w:rPr>
          <w:szCs w:val="24"/>
          <w:lang w:eastAsia="en-US"/>
        </w:rPr>
        <w:t xml:space="preserve"> kiselina) i njezine soli;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(j)</w:t>
      </w:r>
      <w:r w:rsidRPr="00BC3448">
        <w:rPr>
          <w:szCs w:val="24"/>
          <w:lang w:eastAsia="en-US"/>
        </w:rPr>
        <w:tab/>
        <w:t>NTA (</w:t>
      </w:r>
      <w:proofErr w:type="spellStart"/>
      <w:r w:rsidRPr="00BC3448">
        <w:rPr>
          <w:szCs w:val="24"/>
          <w:lang w:eastAsia="en-US"/>
        </w:rPr>
        <w:t>nitrilotrioctena</w:t>
      </w:r>
      <w:proofErr w:type="spellEnd"/>
      <w:r w:rsidRPr="00BC3448">
        <w:rPr>
          <w:szCs w:val="24"/>
          <w:lang w:eastAsia="en-US"/>
        </w:rPr>
        <w:t xml:space="preserve"> kiselina) i njezine soli;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(k)</w:t>
      </w:r>
      <w:r w:rsidRPr="00BC3448">
        <w:rPr>
          <w:szCs w:val="24"/>
          <w:lang w:eastAsia="en-US"/>
        </w:rPr>
        <w:tab/>
        <w:t xml:space="preserve">fenoli i </w:t>
      </w:r>
      <w:proofErr w:type="spellStart"/>
      <w:r w:rsidRPr="00BC3448">
        <w:rPr>
          <w:szCs w:val="24"/>
          <w:lang w:eastAsia="en-US"/>
        </w:rPr>
        <w:t>halogenirani</w:t>
      </w:r>
      <w:proofErr w:type="spellEnd"/>
      <w:r w:rsidRPr="00BC3448">
        <w:rPr>
          <w:szCs w:val="24"/>
          <w:lang w:eastAsia="en-US"/>
        </w:rPr>
        <w:t xml:space="preserve"> fenoli;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(l)</w:t>
      </w:r>
      <w:r w:rsidRPr="00BC3448">
        <w:rPr>
          <w:szCs w:val="24"/>
          <w:lang w:eastAsia="en-US"/>
        </w:rPr>
        <w:tab/>
      </w:r>
      <w:proofErr w:type="spellStart"/>
      <w:r w:rsidRPr="00BC3448">
        <w:rPr>
          <w:szCs w:val="24"/>
          <w:lang w:eastAsia="en-US"/>
        </w:rPr>
        <w:t>paradiklorobenzen</w:t>
      </w:r>
      <w:proofErr w:type="spellEnd"/>
      <w:r w:rsidRPr="00BC3448">
        <w:rPr>
          <w:szCs w:val="24"/>
          <w:lang w:eastAsia="en-US"/>
        </w:rPr>
        <w:t>;</w:t>
      </w:r>
    </w:p>
    <w:p w:rsidR="001169ED" w:rsidRPr="00BC3448" w:rsidRDefault="001169ED" w:rsidP="001169ED">
      <w:pPr>
        <w:spacing w:before="120" w:after="120" w:line="360" w:lineRule="auto"/>
        <w:ind w:left="1416" w:hanging="566"/>
        <w:rPr>
          <w:szCs w:val="24"/>
          <w:lang w:eastAsia="en-US"/>
        </w:rPr>
      </w:pPr>
      <w:r w:rsidRPr="00BC3448">
        <w:rPr>
          <w:szCs w:val="24"/>
          <w:lang w:eastAsia="en-US"/>
        </w:rPr>
        <w:t>(m)</w:t>
      </w:r>
      <w:r w:rsidRPr="00BC3448">
        <w:rPr>
          <w:szCs w:val="24"/>
          <w:lang w:eastAsia="en-US"/>
        </w:rPr>
        <w:tab/>
        <w:t>aromatski ugljikovodici;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(n)</w:t>
      </w:r>
      <w:r w:rsidRPr="00BC3448">
        <w:rPr>
          <w:szCs w:val="24"/>
          <w:lang w:eastAsia="en-US"/>
        </w:rPr>
        <w:tab/>
      </w:r>
      <w:proofErr w:type="spellStart"/>
      <w:r w:rsidRPr="00BC3448">
        <w:rPr>
          <w:szCs w:val="24"/>
          <w:lang w:eastAsia="en-US"/>
        </w:rPr>
        <w:t>alifatski</w:t>
      </w:r>
      <w:proofErr w:type="spellEnd"/>
      <w:r w:rsidRPr="00BC3448">
        <w:rPr>
          <w:szCs w:val="24"/>
          <w:lang w:eastAsia="en-US"/>
        </w:rPr>
        <w:t xml:space="preserve"> ugljikovodici;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(o)</w:t>
      </w:r>
      <w:r w:rsidRPr="00BC3448">
        <w:rPr>
          <w:szCs w:val="24"/>
          <w:lang w:eastAsia="en-US"/>
        </w:rPr>
        <w:tab/>
      </w:r>
      <w:proofErr w:type="spellStart"/>
      <w:r w:rsidRPr="00BC3448">
        <w:rPr>
          <w:szCs w:val="24"/>
          <w:lang w:eastAsia="en-US"/>
        </w:rPr>
        <w:t>halogenirani</w:t>
      </w:r>
      <w:proofErr w:type="spellEnd"/>
      <w:r w:rsidRPr="00BC3448">
        <w:rPr>
          <w:szCs w:val="24"/>
          <w:lang w:eastAsia="en-US"/>
        </w:rPr>
        <w:t xml:space="preserve"> ugljikovodici;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(p)</w:t>
      </w:r>
      <w:r w:rsidRPr="00BC3448">
        <w:rPr>
          <w:szCs w:val="24"/>
          <w:lang w:eastAsia="en-US"/>
        </w:rPr>
        <w:tab/>
        <w:t>sapun;</w:t>
      </w:r>
    </w:p>
    <w:p w:rsidR="001169ED" w:rsidRPr="00BC3448" w:rsidRDefault="001169ED" w:rsidP="001169ED">
      <w:pPr>
        <w:spacing w:before="120" w:after="120" w:line="360" w:lineRule="auto"/>
        <w:ind w:left="1416" w:hanging="566"/>
        <w:rPr>
          <w:szCs w:val="24"/>
          <w:lang w:eastAsia="en-US"/>
        </w:rPr>
      </w:pPr>
      <w:r w:rsidRPr="00BC3448">
        <w:rPr>
          <w:szCs w:val="24"/>
          <w:lang w:eastAsia="en-US"/>
        </w:rPr>
        <w:t>(q)</w:t>
      </w:r>
      <w:r w:rsidRPr="00BC3448">
        <w:rPr>
          <w:szCs w:val="24"/>
          <w:lang w:eastAsia="en-US"/>
        </w:rPr>
        <w:tab/>
      </w:r>
      <w:proofErr w:type="spellStart"/>
      <w:r w:rsidRPr="00BC3448">
        <w:rPr>
          <w:szCs w:val="24"/>
          <w:lang w:eastAsia="en-US"/>
        </w:rPr>
        <w:t>zeoliti</w:t>
      </w:r>
      <w:proofErr w:type="spellEnd"/>
      <w:r w:rsidRPr="00BC3448">
        <w:rPr>
          <w:szCs w:val="24"/>
          <w:lang w:eastAsia="en-US"/>
        </w:rPr>
        <w:t>;</w:t>
      </w:r>
    </w:p>
    <w:p w:rsidR="001169ED" w:rsidRPr="00BC3448" w:rsidRDefault="001169ED" w:rsidP="001169ED">
      <w:pPr>
        <w:spacing w:before="120" w:after="120" w:line="360" w:lineRule="auto"/>
        <w:ind w:left="1416" w:hanging="566"/>
        <w:rPr>
          <w:szCs w:val="24"/>
          <w:lang w:eastAsia="en-US"/>
        </w:rPr>
      </w:pPr>
      <w:r w:rsidRPr="00BC3448">
        <w:rPr>
          <w:szCs w:val="24"/>
          <w:lang w:eastAsia="en-US"/>
        </w:rPr>
        <w:t>(r)</w:t>
      </w:r>
      <w:r w:rsidRPr="00BC3448">
        <w:rPr>
          <w:szCs w:val="24"/>
          <w:lang w:eastAsia="en-US"/>
        </w:rPr>
        <w:tab/>
      </w:r>
      <w:proofErr w:type="spellStart"/>
      <w:r w:rsidRPr="00BC3448">
        <w:rPr>
          <w:szCs w:val="24"/>
          <w:lang w:eastAsia="en-US"/>
        </w:rPr>
        <w:t>polikarboksilati</w:t>
      </w:r>
      <w:proofErr w:type="spellEnd"/>
      <w:r w:rsidRPr="00BC3448">
        <w:rPr>
          <w:szCs w:val="24"/>
          <w:lang w:eastAsia="en-US"/>
        </w:rPr>
        <w:t>.</w:t>
      </w:r>
    </w:p>
    <w:p w:rsidR="00617A71" w:rsidRPr="00BC3448" w:rsidRDefault="00617A71"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Sljedeće vrste sastojaka, ako se dodaju, navode se neovisno o koncentraciji: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enzimi;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mikroorganizmi;</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 xml:space="preserve">optički </w:t>
      </w:r>
      <w:proofErr w:type="spellStart"/>
      <w:r w:rsidRPr="00BC3448">
        <w:rPr>
          <w:szCs w:val="24"/>
          <w:lang w:eastAsia="en-US"/>
        </w:rPr>
        <w:t>posvjetljivači</w:t>
      </w:r>
      <w:proofErr w:type="spellEnd"/>
      <w:r w:rsidRPr="00BC3448">
        <w:rPr>
          <w:szCs w:val="24"/>
          <w:lang w:eastAsia="en-US"/>
        </w:rPr>
        <w:t xml:space="preserve"> boje;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(d)</w:t>
      </w:r>
      <w:r w:rsidRPr="00BC3448">
        <w:rPr>
          <w:szCs w:val="24"/>
          <w:lang w:eastAsia="en-US"/>
        </w:rPr>
        <w:tab/>
        <w:t>mirisi.</w:t>
      </w:r>
    </w:p>
    <w:p w:rsidR="001169ED" w:rsidRPr="00BC3448" w:rsidRDefault="001169ED" w:rsidP="001169ED">
      <w:pPr>
        <w:spacing w:before="120" w:after="120" w:line="360" w:lineRule="auto"/>
        <w:ind w:left="850" w:hanging="850"/>
        <w:rPr>
          <w:szCs w:val="24"/>
          <w:lang w:eastAsia="en-US"/>
        </w:rPr>
      </w:pPr>
      <w:r w:rsidRPr="00BC3448">
        <w:rPr>
          <w:szCs w:val="24"/>
          <w:lang w:eastAsia="en-US"/>
        </w:rPr>
        <w:t>3.</w:t>
      </w:r>
      <w:r w:rsidRPr="00BC3448">
        <w:rPr>
          <w:szCs w:val="24"/>
          <w:lang w:eastAsia="en-US"/>
        </w:rPr>
        <w:tab/>
        <w:t>Konzervansi se navode, ako je moguće uz primjenu sustava iz članka 33. Uredbe (EZ) br. 1223/2009, bez obzira na njihovu koncentraciju, pod uvjetom da ispunjavaju sljedeće uvjete: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oni doprinose kvalifikaciji deterdženta kao tretiranog proizvoda u smislu članka 3. stavka 1. točke (l) Uredbe (EU) br. 528/2012;</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označeni su na sastojku deterdženta.</w:t>
      </w:r>
    </w:p>
    <w:p w:rsidR="00617A71" w:rsidRPr="00BC3448" w:rsidRDefault="00617A71" w:rsidP="001169ED">
      <w:pPr>
        <w:spacing w:before="120" w:after="120" w:line="360" w:lineRule="auto"/>
        <w:ind w:left="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rPr>
          <w:szCs w:val="24"/>
          <w:lang w:eastAsia="en-US"/>
        </w:rPr>
      </w:pPr>
      <w:r w:rsidRPr="00BC3448">
        <w:rPr>
          <w:szCs w:val="24"/>
          <w:lang w:eastAsia="en-US"/>
        </w:rPr>
        <w:t xml:space="preserve">Uvjet iz prvog podstavka točke (b) ne mora biti ispunjen ako konzervansi ne prelaze pragove za </w:t>
      </w:r>
      <w:proofErr w:type="spellStart"/>
      <w:r w:rsidRPr="00BC3448">
        <w:rPr>
          <w:szCs w:val="24"/>
          <w:lang w:eastAsia="en-US"/>
        </w:rPr>
        <w:t>elicitaciju</w:t>
      </w:r>
      <w:proofErr w:type="spellEnd"/>
      <w:r w:rsidRPr="00BC3448">
        <w:rPr>
          <w:szCs w:val="24"/>
          <w:lang w:eastAsia="en-US"/>
        </w:rPr>
        <w:t xml:space="preserve"> iz točke 3.4.3.3. /tablice 3.4.6. Priloga I. Uredbi (EZ) br. 1272/2008 ili ako više nemaju funkciju konzerviranja u konačnom proizvodu čak i u sinergiji s drugim konzervansima.</w:t>
      </w:r>
    </w:p>
    <w:p w:rsidR="001169ED" w:rsidRPr="00BC3448" w:rsidRDefault="001169ED" w:rsidP="001169ED">
      <w:pPr>
        <w:spacing w:before="120" w:after="120" w:line="360" w:lineRule="auto"/>
        <w:ind w:left="850"/>
        <w:rPr>
          <w:b/>
          <w:szCs w:val="24"/>
          <w:lang w:eastAsia="en-US"/>
        </w:rPr>
      </w:pPr>
      <w:r w:rsidRPr="00BC3448">
        <w:rPr>
          <w:b/>
          <w:i/>
          <w:szCs w:val="24"/>
          <w:lang w:eastAsia="en-US"/>
        </w:rPr>
        <w:t>Ako je digitalna oznaka dostupna u skladu s člankom 16. stavkom 1. ove Uredbe, konzervansi se navode, ako je moguće, uz primjenu sustava iz članka 33. Uredbe (EZ) br. 1223/2009, bez obzira na njihovu koncentraciju.</w:t>
      </w:r>
      <w:r w:rsidR="00822372" w:rsidRPr="00BC3448">
        <w:rPr>
          <w:b/>
          <w:szCs w:val="24"/>
          <w:lang w:eastAsia="en-US"/>
        </w:rPr>
        <w:t xml:space="preserve"> [Am. 137.]</w:t>
      </w:r>
    </w:p>
    <w:p w:rsidR="001169ED" w:rsidRPr="00BC3448" w:rsidRDefault="001169ED" w:rsidP="001169ED">
      <w:pPr>
        <w:spacing w:before="120" w:after="120" w:line="360" w:lineRule="auto"/>
        <w:ind w:left="850" w:hanging="850"/>
        <w:rPr>
          <w:szCs w:val="24"/>
          <w:lang w:eastAsia="en-US"/>
        </w:rPr>
      </w:pPr>
      <w:r w:rsidRPr="00BC3448">
        <w:rPr>
          <w:szCs w:val="24"/>
          <w:lang w:eastAsia="en-US"/>
        </w:rPr>
        <w:t>4.</w:t>
      </w:r>
      <w:r w:rsidRPr="00BC3448">
        <w:rPr>
          <w:szCs w:val="24"/>
          <w:lang w:eastAsia="en-US"/>
        </w:rPr>
        <w:tab/>
        <w:t>Ako se dodaju u koncentracijama koje su veće od 0,01 % prema masi, alergeni mirisi koji su navedeni u unosima 45., 67.–92. i od [X] do [X] Priloga III. Uredbi (EZ) br. 1223/2009 označavaju se uz primjenu sustava iz članka 33. iste uredbe. Prva se rečenica ne primjenjuje na alergene mirise koji ispunjavaju pragove za označivanje u skladu s Uredbom (EZ) br. 1272/2008.</w:t>
      </w:r>
    </w:p>
    <w:p w:rsidR="00617A71" w:rsidRPr="00BC3448" w:rsidRDefault="00617A71"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szCs w:val="24"/>
          <w:lang w:eastAsia="en-US"/>
        </w:rPr>
      </w:pPr>
      <w:r w:rsidRPr="00BC3448">
        <w:rPr>
          <w:szCs w:val="24"/>
          <w:lang w:eastAsia="en-US"/>
        </w:rPr>
        <w:t>5.</w:t>
      </w:r>
      <w:r w:rsidRPr="00BC3448">
        <w:rPr>
          <w:szCs w:val="24"/>
          <w:lang w:eastAsia="en-US"/>
        </w:rPr>
        <w:tab/>
        <w:t>Zahtjevi iz točaka od 1. do 4. ne primjenjuju se na deterdžente i površinski aktivne tvari za profesionalnu upotrebu, pod uvjetom da su u odjeljku 15. sigurnosno-tehničkog lista sastavljenog u skladu s člankom 31. Uredbe (EZ) br. 1907/2006 navedene informacije jednakovrijedne onima koje se zahtijevaju u tim točkama.</w:t>
      </w:r>
    </w:p>
    <w:p w:rsidR="001169ED" w:rsidRPr="00BC3448" w:rsidRDefault="001169ED" w:rsidP="001169ED">
      <w:pPr>
        <w:spacing w:before="120" w:after="120" w:line="360" w:lineRule="auto"/>
        <w:ind w:left="850" w:hanging="850"/>
        <w:rPr>
          <w:szCs w:val="24"/>
          <w:lang w:eastAsia="en-US"/>
        </w:rPr>
      </w:pPr>
      <w:r w:rsidRPr="00BC3448">
        <w:rPr>
          <w:szCs w:val="24"/>
          <w:lang w:eastAsia="en-US"/>
        </w:rPr>
        <w:t>6.</w:t>
      </w:r>
      <w:r w:rsidRPr="00BC3448">
        <w:rPr>
          <w:szCs w:val="24"/>
          <w:lang w:eastAsia="en-US"/>
        </w:rPr>
        <w:tab/>
        <w:t>Osim informacija navedenih u točkama od 1. do 5., prema potrebi, na oznaci deterdženata koji sadržavaju mikroorganizme navode se sljedeće informacije:</w:t>
      </w:r>
    </w:p>
    <w:p w:rsidR="001169ED" w:rsidRPr="00BC3448" w:rsidRDefault="001169ED" w:rsidP="001169ED">
      <w:pPr>
        <w:spacing w:before="120" w:after="120" w:line="360" w:lineRule="auto"/>
        <w:ind w:left="1416" w:hanging="566"/>
        <w:rPr>
          <w:szCs w:val="24"/>
          <w:lang w:eastAsia="en-US"/>
        </w:rPr>
      </w:pPr>
      <w:r w:rsidRPr="00BC3448">
        <w:rPr>
          <w:szCs w:val="24"/>
          <w:lang w:eastAsia="en-US"/>
        </w:rPr>
        <w:t>(a)</w:t>
      </w:r>
      <w:r w:rsidRPr="00BC3448">
        <w:rPr>
          <w:szCs w:val="24"/>
          <w:lang w:eastAsia="en-US"/>
        </w:rPr>
        <w:tab/>
        <w:t>oznaka ili oznaka obavijesti da se proizvod ne smije upotrebljavati na površinama koje su u dodiru s hranom;</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rok trajanja proizvoda;</w:t>
      </w:r>
    </w:p>
    <w:p w:rsidR="001169ED" w:rsidRPr="00BC3448" w:rsidRDefault="001169ED" w:rsidP="001169ED">
      <w:pPr>
        <w:spacing w:before="120" w:after="120" w:line="360" w:lineRule="auto"/>
        <w:ind w:left="1416" w:hanging="566"/>
        <w:rPr>
          <w:szCs w:val="24"/>
          <w:lang w:eastAsia="en-US"/>
        </w:rPr>
      </w:pPr>
      <w:r w:rsidRPr="00BC3448">
        <w:rPr>
          <w:szCs w:val="24"/>
          <w:lang w:eastAsia="en-US"/>
        </w:rPr>
        <w:t>(c)</w:t>
      </w:r>
      <w:r w:rsidRPr="00BC3448">
        <w:rPr>
          <w:szCs w:val="24"/>
          <w:lang w:eastAsia="en-US"/>
        </w:rPr>
        <w:tab/>
        <w:t>upute za upotrebu ili posebne mjere opreza, prema potrebi.</w:t>
      </w:r>
    </w:p>
    <w:p w:rsidR="001169ED" w:rsidRPr="00BC3448" w:rsidRDefault="001169ED" w:rsidP="007F079A">
      <w:pPr>
        <w:spacing w:before="120" w:after="120" w:line="360" w:lineRule="auto"/>
        <w:rPr>
          <w:szCs w:val="24"/>
          <w:lang w:eastAsia="en-US"/>
        </w:rPr>
      </w:pPr>
      <w:r w:rsidRPr="00BC3448">
        <w:rPr>
          <w:szCs w:val="24"/>
          <w:lang w:eastAsia="en-US"/>
        </w:rPr>
        <w:t xml:space="preserve">DIO B – OZNAČIVANJE PODATAKA O DOZIRANJU </w:t>
      </w:r>
    </w:p>
    <w:p w:rsidR="001169ED" w:rsidRPr="00BC3448" w:rsidRDefault="001169ED" w:rsidP="001169ED">
      <w:pPr>
        <w:spacing w:before="120" w:after="120" w:line="360" w:lineRule="auto"/>
        <w:rPr>
          <w:szCs w:val="24"/>
          <w:lang w:eastAsia="en-US"/>
        </w:rPr>
      </w:pPr>
      <w:r w:rsidRPr="00BC3448">
        <w:rPr>
          <w:szCs w:val="24"/>
          <w:lang w:eastAsia="en-US"/>
        </w:rPr>
        <w:t>Informacije koje se trebaju navesti na oznakama deterdženata za pranje rublja i deterdženata za strojno pranje posuđa koji se koriste u kućanstvu</w:t>
      </w:r>
    </w:p>
    <w:p w:rsidR="00617A71" w:rsidRPr="00BC3448" w:rsidRDefault="00617A71"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F17635" w:rsidP="001169ED">
      <w:pPr>
        <w:spacing w:before="120" w:after="120" w:line="360" w:lineRule="auto"/>
        <w:ind w:left="850" w:hanging="850"/>
        <w:rPr>
          <w:szCs w:val="24"/>
          <w:lang w:eastAsia="en-US"/>
        </w:rPr>
      </w:pPr>
      <w:r w:rsidRPr="00BC3448">
        <w:rPr>
          <w:szCs w:val="24"/>
          <w:lang w:eastAsia="en-US"/>
        </w:rPr>
        <w:t>1</w:t>
      </w:r>
      <w:r w:rsidR="001169ED" w:rsidRPr="00BC3448">
        <w:rPr>
          <w:szCs w:val="24"/>
          <w:lang w:eastAsia="en-US"/>
        </w:rPr>
        <w:t>.</w:t>
      </w:r>
      <w:r w:rsidR="001169ED" w:rsidRPr="00BC3448">
        <w:rPr>
          <w:szCs w:val="24"/>
          <w:lang w:eastAsia="en-US"/>
        </w:rPr>
        <w:tab/>
        <w:t>Oznaka deterdženata za pranje rublja koji se koriste u kućanstvu mora sadržavati sljedeće informacije:</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(a)</w:t>
      </w:r>
      <w:r w:rsidRPr="00BC3448">
        <w:rPr>
          <w:szCs w:val="24"/>
          <w:lang w:eastAsia="en-US"/>
        </w:rPr>
        <w:tab/>
        <w:t>preporučene količine i/ili upute za doziranje izražene u mililitrima ili gramima</w:t>
      </w:r>
      <w:r w:rsidRPr="00BC3448">
        <w:rPr>
          <w:b/>
          <w:i/>
          <w:szCs w:val="24"/>
          <w:lang w:eastAsia="en-US"/>
        </w:rPr>
        <w:t>, ili prema potrebi broju jedinica koje su</w:t>
      </w:r>
      <w:r w:rsidRPr="00BC3448">
        <w:rPr>
          <w:szCs w:val="24"/>
          <w:lang w:eastAsia="en-US"/>
        </w:rPr>
        <w:t xml:space="preserve"> primjerene za standardno punjenje stroja za pranje rublja za meku, srednje tvrdu i tvrdu kategoriju vode i s podacima za jedan ili dva ciklusa pranja;</w:t>
      </w:r>
      <w:r w:rsidR="00822372" w:rsidRPr="00BC3448">
        <w:rPr>
          <w:b/>
          <w:szCs w:val="24"/>
          <w:lang w:eastAsia="en-US"/>
        </w:rPr>
        <w:t xml:space="preserve"> [Am. 138.]</w:t>
      </w:r>
    </w:p>
    <w:p w:rsidR="001169ED" w:rsidRPr="00BC3448" w:rsidRDefault="001169ED" w:rsidP="001169ED">
      <w:pPr>
        <w:spacing w:before="120" w:after="120" w:line="360" w:lineRule="auto"/>
        <w:ind w:left="1416" w:hanging="566"/>
        <w:rPr>
          <w:szCs w:val="24"/>
          <w:lang w:eastAsia="en-US"/>
        </w:rPr>
      </w:pPr>
      <w:r w:rsidRPr="00BC3448">
        <w:rPr>
          <w:szCs w:val="24"/>
          <w:lang w:eastAsia="en-US"/>
        </w:rPr>
        <w:t>(b)</w:t>
      </w:r>
      <w:r w:rsidRPr="00BC3448">
        <w:rPr>
          <w:szCs w:val="24"/>
          <w:lang w:eastAsia="en-US"/>
        </w:rPr>
        <w:tab/>
        <w:t xml:space="preserve">za jake deterdžente, broj standardnih punjenja stroja za pranje rublja za „uobičajeno zaprljane” tkanine, a za deterdžente za osjetljive tkanine, broj standardnih punjenja stroja za pranje rublja za „umjereno zaprljane” tkanine koje se mogu oprati sadržajem pakiranja uz upotrebu vode srednje tvrdoće, što odgovara 2,5 </w:t>
      </w:r>
      <w:proofErr w:type="spellStart"/>
      <w:r w:rsidRPr="00BC3448">
        <w:rPr>
          <w:szCs w:val="24"/>
          <w:lang w:eastAsia="en-US"/>
        </w:rPr>
        <w:t>mmol</w:t>
      </w:r>
      <w:proofErr w:type="spellEnd"/>
      <w:r w:rsidRPr="00BC3448">
        <w:rPr>
          <w:szCs w:val="24"/>
          <w:lang w:eastAsia="en-US"/>
        </w:rPr>
        <w:t xml:space="preserve"> CaCO</w:t>
      </w:r>
      <w:r w:rsidRPr="00BC3448">
        <w:rPr>
          <w:szCs w:val="24"/>
          <w:vertAlign w:val="subscript"/>
          <w:lang w:eastAsia="en-US"/>
        </w:rPr>
        <w:t>3</w:t>
      </w:r>
      <w:r w:rsidRPr="00BC3448">
        <w:rPr>
          <w:szCs w:val="24"/>
          <w:lang w:eastAsia="en-US"/>
        </w:rPr>
        <w:t>/l;</w:t>
      </w:r>
    </w:p>
    <w:p w:rsidR="001169ED" w:rsidRPr="00BC3448" w:rsidRDefault="001169ED" w:rsidP="001169ED">
      <w:pPr>
        <w:spacing w:before="120" w:after="120" w:line="360" w:lineRule="auto"/>
        <w:ind w:left="1416" w:hanging="566"/>
        <w:rPr>
          <w:b/>
          <w:szCs w:val="24"/>
          <w:lang w:eastAsia="en-US"/>
        </w:rPr>
      </w:pPr>
      <w:r w:rsidRPr="00BC3448">
        <w:rPr>
          <w:szCs w:val="24"/>
          <w:lang w:eastAsia="en-US"/>
        </w:rPr>
        <w:t>(c)</w:t>
      </w:r>
      <w:r w:rsidRPr="00BC3448">
        <w:rPr>
          <w:szCs w:val="24"/>
          <w:lang w:eastAsia="en-US"/>
        </w:rPr>
        <w:tab/>
        <w:t xml:space="preserve">ako se u pakiranju nalazi mjerna posuda, njezin se kapacitet navodi u mililitrima ili gramima, s </w:t>
      </w:r>
      <w:r w:rsidRPr="00BC3448">
        <w:rPr>
          <w:b/>
          <w:i/>
          <w:szCs w:val="24"/>
          <w:lang w:eastAsia="en-US"/>
        </w:rPr>
        <w:t xml:space="preserve">jasno vidljivim </w:t>
      </w:r>
      <w:r w:rsidRPr="00BC3448">
        <w:rPr>
          <w:szCs w:val="24"/>
          <w:lang w:eastAsia="en-US"/>
        </w:rPr>
        <w:t>oznakama</w:t>
      </w:r>
      <w:r w:rsidRPr="00BC3448">
        <w:rPr>
          <w:b/>
          <w:i/>
          <w:szCs w:val="24"/>
          <w:lang w:eastAsia="en-US"/>
        </w:rPr>
        <w:t xml:space="preserve"> u boji koja znatno odudara od boje mjerne posude,</w:t>
      </w:r>
      <w:r w:rsidRPr="00BC3448">
        <w:rPr>
          <w:szCs w:val="24"/>
          <w:lang w:eastAsia="en-US"/>
        </w:rPr>
        <w:t xml:space="preserve"> za primjerenu dozu deterdženta za standardno punjenje stroja za pranje rublja za meku, srednje tvrdu i tvrdu kategoriju vode.</w:t>
      </w:r>
      <w:r w:rsidR="00822372" w:rsidRPr="00BC3448">
        <w:rPr>
          <w:b/>
          <w:szCs w:val="24"/>
          <w:lang w:eastAsia="en-US"/>
        </w:rPr>
        <w:t xml:space="preserve"> [Am. 139.]</w:t>
      </w:r>
    </w:p>
    <w:p w:rsidR="00617A71" w:rsidRPr="00BC3448" w:rsidRDefault="00617A71" w:rsidP="001169ED">
      <w:pPr>
        <w:spacing w:before="120" w:after="120" w:line="360" w:lineRule="auto"/>
        <w:ind w:left="1416" w:hanging="566"/>
        <w:rPr>
          <w:b/>
          <w:i/>
          <w:szCs w:val="24"/>
          <w:lang w:eastAsia="en-US"/>
        </w:rPr>
      </w:pPr>
      <w:r w:rsidRPr="00BC3448">
        <w:rPr>
          <w:b/>
          <w:i/>
          <w:szCs w:val="24"/>
          <w:lang w:eastAsia="en-US"/>
        </w:rPr>
        <w:br w:type="page"/>
      </w:r>
    </w:p>
    <w:p w:rsidR="001169ED" w:rsidRPr="00BC3448" w:rsidRDefault="001169ED" w:rsidP="001169ED">
      <w:pPr>
        <w:spacing w:before="120" w:after="120" w:line="360" w:lineRule="auto"/>
        <w:ind w:left="1416" w:hanging="566"/>
        <w:rPr>
          <w:b/>
          <w:szCs w:val="24"/>
          <w:lang w:eastAsia="en-US"/>
        </w:rPr>
      </w:pPr>
      <w:r w:rsidRPr="00BC3448">
        <w:rPr>
          <w:b/>
          <w:i/>
          <w:szCs w:val="24"/>
          <w:lang w:eastAsia="en-US"/>
        </w:rPr>
        <w:t>(</w:t>
      </w:r>
      <w:proofErr w:type="spellStart"/>
      <w:r w:rsidRPr="00BC3448">
        <w:rPr>
          <w:b/>
          <w:i/>
          <w:szCs w:val="24"/>
          <w:lang w:eastAsia="en-US"/>
        </w:rPr>
        <w:t>ca</w:t>
      </w:r>
      <w:proofErr w:type="spellEnd"/>
      <w:r w:rsidRPr="00BC3448">
        <w:rPr>
          <w:b/>
          <w:i/>
          <w:szCs w:val="24"/>
          <w:lang w:eastAsia="en-US"/>
        </w:rPr>
        <w:t>)</w:t>
      </w:r>
      <w:r w:rsidRPr="00BC3448">
        <w:rPr>
          <w:szCs w:val="24"/>
          <w:lang w:eastAsia="en-US"/>
        </w:rPr>
        <w:tab/>
      </w:r>
      <w:r w:rsidRPr="00BC3448">
        <w:rPr>
          <w:b/>
          <w:i/>
          <w:szCs w:val="24"/>
          <w:lang w:eastAsia="en-US"/>
        </w:rPr>
        <w:t>za deterdžente pakirane u boce, doza deterdženta primjerena standardnom punjenju perilice rublja barem za meku i srednje tvrdu vodu osigurava se jasno vidljivim oznakama, po mogućnosti u boji koja znatno odudara od boje poklopca.</w:t>
      </w:r>
      <w:r w:rsidR="00822372" w:rsidRPr="00BC3448">
        <w:rPr>
          <w:b/>
          <w:szCs w:val="24"/>
          <w:lang w:eastAsia="en-US"/>
        </w:rPr>
        <w:t xml:space="preserve"> [Am. 140.]</w:t>
      </w:r>
    </w:p>
    <w:p w:rsidR="001169ED" w:rsidRPr="00BC3448" w:rsidRDefault="001169ED" w:rsidP="001169ED">
      <w:pPr>
        <w:spacing w:before="120" w:after="120" w:line="360" w:lineRule="auto"/>
        <w:ind w:left="850" w:hanging="850"/>
        <w:rPr>
          <w:szCs w:val="24"/>
          <w:lang w:eastAsia="en-US"/>
        </w:rPr>
      </w:pPr>
      <w:r w:rsidRPr="00BC3448">
        <w:rPr>
          <w:szCs w:val="24"/>
          <w:lang w:eastAsia="en-US"/>
        </w:rPr>
        <w:t>2.</w:t>
      </w:r>
      <w:r w:rsidRPr="00BC3448">
        <w:rPr>
          <w:szCs w:val="24"/>
          <w:lang w:eastAsia="en-US"/>
        </w:rPr>
        <w:tab/>
        <w:t>U smislu točke 1., standardna punjenja stroja za pranje rublja su 4,5 kg suhe tkanine za jake deterdžente i 2,5 kg suhe tkanine za blage deterdžente. Deterdžent se smatra jakim deterdžentom, osim ako proizvođač izrazito ne naglašava njegu tkanine, tj. pranje na niskoj temperaturi, osjetljiva vlakna i boje.</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3.</w:t>
      </w:r>
      <w:r w:rsidRPr="00BC3448">
        <w:rPr>
          <w:szCs w:val="24"/>
          <w:lang w:eastAsia="en-US"/>
        </w:rPr>
        <w:tab/>
        <w:t xml:space="preserve">Na oznaci deterdženata za strojno pranje posuđa koji se koriste u kućanstvu navodi se standardna doza izražena u gramima ili mililitrima ili </w:t>
      </w:r>
      <w:r w:rsidRPr="00BC3448">
        <w:rPr>
          <w:strike/>
          <w:szCs w:val="24"/>
          <w:lang w:eastAsia="en-US"/>
        </w:rPr>
        <w:t xml:space="preserve">s brojem </w:t>
      </w:r>
      <w:proofErr w:type="spellStart"/>
      <w:r w:rsidRPr="00BC3448">
        <w:rPr>
          <w:strike/>
          <w:szCs w:val="24"/>
          <w:lang w:eastAsia="en-US"/>
        </w:rPr>
        <w:t>tableta</w:t>
      </w:r>
      <w:r w:rsidRPr="00BC3448">
        <w:rPr>
          <w:b/>
          <w:i/>
          <w:szCs w:val="24"/>
          <w:lang w:eastAsia="en-US"/>
        </w:rPr>
        <w:t>broju</w:t>
      </w:r>
      <w:proofErr w:type="spellEnd"/>
      <w:r w:rsidRPr="00BC3448">
        <w:rPr>
          <w:b/>
          <w:i/>
          <w:szCs w:val="24"/>
          <w:lang w:eastAsia="en-US"/>
        </w:rPr>
        <w:t xml:space="preserve"> jedinica</w:t>
      </w:r>
      <w:r w:rsidRPr="00BC3448">
        <w:rPr>
          <w:szCs w:val="24"/>
          <w:lang w:eastAsia="en-US"/>
        </w:rPr>
        <w:t xml:space="preserve"> za glavni ciklus pranja za uobičajeno zaprljano posuđe u punom stroju za pranje posuđa za 12 kompleta, pri čemu se standardna doza prema potrebi prilagođava mekoj, srednje tvrdoj i tvrdoj vodi.</w:t>
      </w:r>
      <w:r w:rsidR="00822372" w:rsidRPr="00BC3448">
        <w:rPr>
          <w:b/>
          <w:szCs w:val="24"/>
          <w:lang w:eastAsia="en-US"/>
        </w:rPr>
        <w:t xml:space="preserve"> [Am. 141.]</w:t>
      </w:r>
    </w:p>
    <w:p w:rsidR="00617A71" w:rsidRPr="00BC3448" w:rsidRDefault="00617A71" w:rsidP="001169ED">
      <w:pPr>
        <w:spacing w:before="120" w:after="120" w:line="360" w:lineRule="auto"/>
        <w:jc w:val="center"/>
        <w:rPr>
          <w:strike/>
          <w:szCs w:val="24"/>
          <w:lang w:eastAsia="en-US"/>
        </w:rPr>
      </w:pPr>
      <w:r w:rsidRPr="00BC3448">
        <w:rPr>
          <w:strike/>
          <w:szCs w:val="24"/>
          <w:lang w:eastAsia="en-US"/>
        </w:rPr>
        <w:br w:type="page"/>
      </w:r>
    </w:p>
    <w:p w:rsidR="001169ED" w:rsidRPr="00BC3448" w:rsidRDefault="001169ED" w:rsidP="007F079A">
      <w:pPr>
        <w:spacing w:before="120" w:after="120" w:line="360" w:lineRule="auto"/>
        <w:rPr>
          <w:szCs w:val="24"/>
          <w:lang w:eastAsia="en-US"/>
        </w:rPr>
      </w:pPr>
      <w:r w:rsidRPr="00BC3448">
        <w:rPr>
          <w:strike/>
          <w:szCs w:val="24"/>
          <w:lang w:eastAsia="en-US"/>
        </w:rPr>
        <w:t xml:space="preserve">DIO C – DIGITALNO OZNAČIVANJE </w:t>
      </w:r>
    </w:p>
    <w:p w:rsidR="001169ED" w:rsidRPr="00BC3448" w:rsidRDefault="001169ED" w:rsidP="001169ED">
      <w:pPr>
        <w:spacing w:before="120" w:after="120" w:line="360" w:lineRule="auto"/>
        <w:rPr>
          <w:szCs w:val="24"/>
          <w:lang w:eastAsia="en-US"/>
        </w:rPr>
      </w:pPr>
      <w:r w:rsidRPr="00BC3448">
        <w:rPr>
          <w:strike/>
          <w:szCs w:val="24"/>
          <w:lang w:eastAsia="en-US"/>
        </w:rPr>
        <w:t>Informacije o sadržaju iz dijela A navedene u nastavku mogu se navesti samo na digitalnoj oznaci, u skladu s člankom 16. stavkom 1. drugim podstavkom, na način kako je utvrđeno u tom dijelu:</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(a)</w:t>
      </w:r>
      <w:r w:rsidRPr="00BC3448">
        <w:rPr>
          <w:szCs w:val="24"/>
          <w:lang w:eastAsia="en-US"/>
        </w:rPr>
        <w:tab/>
      </w:r>
      <w:r w:rsidRPr="00BC3448">
        <w:rPr>
          <w:strike/>
          <w:szCs w:val="24"/>
          <w:lang w:eastAsia="en-US"/>
        </w:rPr>
        <w:t>anionske površinski aktivne tvari;</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(b)</w:t>
      </w:r>
      <w:r w:rsidRPr="00BC3448">
        <w:rPr>
          <w:szCs w:val="24"/>
          <w:lang w:eastAsia="en-US"/>
        </w:rPr>
        <w:tab/>
      </w:r>
      <w:r w:rsidRPr="00BC3448">
        <w:rPr>
          <w:strike/>
          <w:szCs w:val="24"/>
          <w:lang w:eastAsia="en-US"/>
        </w:rPr>
        <w:t>kationske površinski aktivne tvari;</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(c)</w:t>
      </w:r>
      <w:r w:rsidRPr="00BC3448">
        <w:rPr>
          <w:szCs w:val="24"/>
          <w:lang w:eastAsia="en-US"/>
        </w:rPr>
        <w:tab/>
      </w:r>
      <w:proofErr w:type="spellStart"/>
      <w:r w:rsidRPr="00BC3448">
        <w:rPr>
          <w:strike/>
          <w:szCs w:val="24"/>
          <w:lang w:eastAsia="en-US"/>
        </w:rPr>
        <w:t>amfoterne</w:t>
      </w:r>
      <w:proofErr w:type="spellEnd"/>
      <w:r w:rsidRPr="00BC3448">
        <w:rPr>
          <w:strike/>
          <w:szCs w:val="24"/>
          <w:lang w:eastAsia="en-US"/>
        </w:rPr>
        <w:t xml:space="preserve"> površinski aktivne tvari;</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(d)</w:t>
      </w:r>
      <w:r w:rsidRPr="00BC3448">
        <w:rPr>
          <w:szCs w:val="24"/>
          <w:lang w:eastAsia="en-US"/>
        </w:rPr>
        <w:tab/>
      </w:r>
      <w:proofErr w:type="spellStart"/>
      <w:r w:rsidRPr="00BC3448">
        <w:rPr>
          <w:strike/>
          <w:szCs w:val="24"/>
          <w:lang w:eastAsia="en-US"/>
        </w:rPr>
        <w:t>neionske</w:t>
      </w:r>
      <w:proofErr w:type="spellEnd"/>
      <w:r w:rsidRPr="00BC3448">
        <w:rPr>
          <w:strike/>
          <w:szCs w:val="24"/>
          <w:lang w:eastAsia="en-US"/>
        </w:rPr>
        <w:t xml:space="preserve"> površinski aktivne tvari;</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(e)</w:t>
      </w:r>
      <w:r w:rsidRPr="00BC3448">
        <w:rPr>
          <w:szCs w:val="24"/>
          <w:lang w:eastAsia="en-US"/>
        </w:rPr>
        <w:tab/>
      </w:r>
      <w:r w:rsidRPr="00BC3448">
        <w:rPr>
          <w:strike/>
          <w:szCs w:val="24"/>
          <w:lang w:eastAsia="en-US"/>
        </w:rPr>
        <w:t>fosfati;</w:t>
      </w:r>
    </w:p>
    <w:p w:rsidR="001169ED" w:rsidRPr="00BC3448" w:rsidRDefault="001169ED" w:rsidP="001169ED">
      <w:pPr>
        <w:spacing w:before="120" w:after="120" w:line="360" w:lineRule="auto"/>
        <w:ind w:left="850" w:hanging="850"/>
        <w:rPr>
          <w:szCs w:val="24"/>
          <w:lang w:eastAsia="en-US"/>
        </w:rPr>
      </w:pPr>
      <w:r w:rsidRPr="00BC3448">
        <w:rPr>
          <w:strike/>
          <w:szCs w:val="24"/>
          <w:lang w:eastAsia="en-US"/>
        </w:rPr>
        <w:t>(f)</w:t>
      </w:r>
      <w:r w:rsidRPr="00BC3448">
        <w:rPr>
          <w:szCs w:val="24"/>
          <w:lang w:eastAsia="en-US"/>
        </w:rPr>
        <w:tab/>
      </w:r>
      <w:proofErr w:type="spellStart"/>
      <w:r w:rsidRPr="00BC3448">
        <w:rPr>
          <w:strike/>
          <w:szCs w:val="24"/>
          <w:lang w:eastAsia="en-US"/>
        </w:rPr>
        <w:t>fosfonati</w:t>
      </w:r>
      <w:proofErr w:type="spellEnd"/>
      <w:r w:rsidRPr="00BC3448">
        <w:rPr>
          <w:strike/>
          <w:szCs w:val="24"/>
          <w:lang w:eastAsia="en-US"/>
        </w:rPr>
        <w:t>;</w:t>
      </w:r>
    </w:p>
    <w:p w:rsidR="001169ED" w:rsidRPr="00BC3448" w:rsidRDefault="001169ED" w:rsidP="001169ED">
      <w:pPr>
        <w:spacing w:before="120" w:after="120" w:line="360" w:lineRule="auto"/>
        <w:ind w:left="850" w:hanging="850"/>
        <w:rPr>
          <w:b/>
          <w:szCs w:val="24"/>
          <w:lang w:eastAsia="en-US"/>
        </w:rPr>
      </w:pPr>
      <w:r w:rsidRPr="00BC3448">
        <w:rPr>
          <w:strike/>
          <w:szCs w:val="24"/>
          <w:lang w:eastAsia="en-US"/>
        </w:rPr>
        <w:t>(g)</w:t>
      </w:r>
      <w:r w:rsidRPr="00BC3448">
        <w:rPr>
          <w:szCs w:val="24"/>
          <w:lang w:eastAsia="en-US"/>
        </w:rPr>
        <w:tab/>
      </w:r>
      <w:r w:rsidRPr="00BC3448">
        <w:rPr>
          <w:strike/>
          <w:szCs w:val="24"/>
          <w:lang w:eastAsia="en-US"/>
        </w:rPr>
        <w:t>sapun</w:t>
      </w:r>
      <w:r w:rsidRPr="00BC3448">
        <w:rPr>
          <w:szCs w:val="24"/>
          <w:lang w:eastAsia="en-US"/>
        </w:rPr>
        <w:t>.</w:t>
      </w:r>
      <w:r w:rsidR="00822372" w:rsidRPr="00BC3448">
        <w:rPr>
          <w:b/>
          <w:szCs w:val="24"/>
          <w:lang w:eastAsia="en-US"/>
        </w:rPr>
        <w:t xml:space="preserve"> [Am. 142.]</w:t>
      </w:r>
    </w:p>
    <w:p w:rsidR="00617A71" w:rsidRPr="00BC3448" w:rsidRDefault="00617A71" w:rsidP="001169ED">
      <w:pPr>
        <w:spacing w:before="120" w:after="120" w:line="360" w:lineRule="auto"/>
        <w:jc w:val="center"/>
        <w:rPr>
          <w:strike/>
          <w:szCs w:val="24"/>
          <w:lang w:eastAsia="en-US"/>
        </w:rPr>
      </w:pPr>
      <w:r w:rsidRPr="00BC3448">
        <w:rPr>
          <w:strike/>
          <w:szCs w:val="24"/>
          <w:lang w:eastAsia="en-US"/>
        </w:rPr>
        <w:br w:type="page"/>
      </w:r>
    </w:p>
    <w:p w:rsidR="001169ED" w:rsidRPr="00BC3448" w:rsidRDefault="001169ED" w:rsidP="007F079A">
      <w:pPr>
        <w:spacing w:before="120" w:after="120" w:line="360" w:lineRule="auto"/>
        <w:rPr>
          <w:szCs w:val="24"/>
          <w:lang w:eastAsia="en-US"/>
        </w:rPr>
      </w:pPr>
      <w:bookmarkStart w:id="8" w:name="_GoBack"/>
      <w:bookmarkEnd w:id="8"/>
      <w:r w:rsidRPr="00BC3448">
        <w:rPr>
          <w:szCs w:val="24"/>
          <w:lang w:eastAsia="en-US"/>
        </w:rPr>
        <w:t>DIO D. – POJEDNOSTAVNJENI PODACI O DOZIRANJU ZA DETERDŽENTE ZA PRANJE RUBLJA KOJI SE KORISTE U KUĆANSTVU</w:t>
      </w:r>
    </w:p>
    <w:p w:rsidR="001169ED" w:rsidRPr="00BC3448" w:rsidRDefault="001169ED" w:rsidP="001169ED">
      <w:pPr>
        <w:spacing w:before="120" w:after="120" w:line="360" w:lineRule="auto"/>
        <w:rPr>
          <w:szCs w:val="24"/>
          <w:lang w:eastAsia="en-US"/>
        </w:rPr>
      </w:pPr>
      <w:r w:rsidRPr="00BC3448">
        <w:rPr>
          <w:szCs w:val="24"/>
          <w:lang w:eastAsia="en-US"/>
        </w:rPr>
        <w:t>Pojednostavnjena tablica za doziranje sadržava sljedeće informacije:</w:t>
      </w:r>
    </w:p>
    <w:p w:rsidR="001169ED" w:rsidRPr="00BC3448" w:rsidRDefault="001169ED" w:rsidP="001169ED">
      <w:pPr>
        <w:spacing w:before="120" w:after="120" w:line="360" w:lineRule="auto"/>
        <w:ind w:left="850" w:hanging="850"/>
        <w:rPr>
          <w:szCs w:val="24"/>
          <w:lang w:eastAsia="en-US"/>
        </w:rPr>
      </w:pPr>
      <w:r w:rsidRPr="00BC3448">
        <w:rPr>
          <w:szCs w:val="24"/>
          <w:lang w:eastAsia="en-US"/>
        </w:rPr>
        <w:t>(a)</w:t>
      </w:r>
      <w:r w:rsidRPr="00BC3448">
        <w:rPr>
          <w:szCs w:val="24"/>
          <w:lang w:eastAsia="en-US"/>
        </w:rPr>
        <w:tab/>
        <w:t>osnovne upute za upotrebu, prema potrebi;</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(b)</w:t>
      </w:r>
      <w:r w:rsidRPr="00BC3448">
        <w:rPr>
          <w:szCs w:val="24"/>
          <w:lang w:eastAsia="en-US"/>
        </w:rPr>
        <w:tab/>
        <w:t xml:space="preserve">preporučene količine na temelju </w:t>
      </w:r>
      <w:r w:rsidRPr="00BC3448">
        <w:rPr>
          <w:strike/>
          <w:szCs w:val="24"/>
          <w:lang w:eastAsia="en-US"/>
        </w:rPr>
        <w:t>srednje/</w:t>
      </w:r>
      <w:proofErr w:type="spellStart"/>
      <w:r w:rsidRPr="00BC3448">
        <w:rPr>
          <w:strike/>
          <w:szCs w:val="24"/>
          <w:lang w:eastAsia="en-US"/>
        </w:rPr>
        <w:t>prosječne</w:t>
      </w:r>
      <w:r w:rsidRPr="00BC3448">
        <w:rPr>
          <w:b/>
          <w:i/>
          <w:szCs w:val="24"/>
          <w:lang w:eastAsia="en-US"/>
        </w:rPr>
        <w:t>srednje</w:t>
      </w:r>
      <w:proofErr w:type="spellEnd"/>
      <w:r w:rsidRPr="00BC3448">
        <w:rPr>
          <w:szCs w:val="24"/>
          <w:lang w:eastAsia="en-US"/>
        </w:rPr>
        <w:t xml:space="preserve"> tvrdoće vode i različitih stupnjeva zaprljanosti tkanina; </w:t>
      </w:r>
      <w:r w:rsidRPr="00BC3448">
        <w:rPr>
          <w:strike/>
          <w:szCs w:val="24"/>
          <w:lang w:eastAsia="en-US"/>
        </w:rPr>
        <w:t xml:space="preserve">kao </w:t>
      </w:r>
      <w:r w:rsidRPr="00BC3448">
        <w:rPr>
          <w:szCs w:val="24"/>
          <w:lang w:eastAsia="en-US"/>
        </w:rPr>
        <w:t>i</w:t>
      </w:r>
      <w:r w:rsidR="00822372" w:rsidRPr="00BC3448">
        <w:rPr>
          <w:b/>
          <w:i/>
          <w:szCs w:val="24"/>
          <w:lang w:eastAsia="en-US"/>
        </w:rPr>
        <w:t xml:space="preserve"> </w:t>
      </w:r>
      <w:r w:rsidR="00822372" w:rsidRPr="00BC3448">
        <w:rPr>
          <w:b/>
          <w:szCs w:val="24"/>
          <w:lang w:eastAsia="en-US"/>
        </w:rPr>
        <w:t xml:space="preserve"> [Am. 143.]</w:t>
      </w:r>
    </w:p>
    <w:p w:rsidR="001169ED" w:rsidRPr="00BC3448" w:rsidRDefault="001169ED" w:rsidP="001169ED">
      <w:pPr>
        <w:spacing w:before="120" w:after="120" w:line="360" w:lineRule="auto"/>
        <w:ind w:left="850" w:hanging="850"/>
        <w:rPr>
          <w:szCs w:val="24"/>
          <w:lang w:eastAsia="en-US"/>
        </w:rPr>
      </w:pPr>
      <w:r w:rsidRPr="00BC3448">
        <w:rPr>
          <w:szCs w:val="24"/>
          <w:lang w:eastAsia="en-US"/>
        </w:rPr>
        <w:t>(c)</w:t>
      </w:r>
      <w:r w:rsidRPr="00BC3448">
        <w:rPr>
          <w:szCs w:val="24"/>
          <w:lang w:eastAsia="en-US"/>
        </w:rPr>
        <w:tab/>
        <w:t>podatak o punjenju stroja za pranje rublja.</w:t>
      </w:r>
    </w:p>
    <w:p w:rsidR="001169ED" w:rsidRPr="00BC3448" w:rsidRDefault="001169ED" w:rsidP="001169ED">
      <w:pPr>
        <w:spacing w:before="120" w:after="120" w:line="360" w:lineRule="auto"/>
        <w:rPr>
          <w:b/>
          <w:szCs w:val="24"/>
          <w:lang w:eastAsia="en-US"/>
        </w:rPr>
      </w:pPr>
      <w:proofErr w:type="spellStart"/>
      <w:r w:rsidRPr="00BC3448">
        <w:rPr>
          <w:b/>
          <w:i/>
          <w:szCs w:val="24"/>
          <w:lang w:eastAsia="en-US"/>
        </w:rPr>
        <w:t>Podtočke</w:t>
      </w:r>
      <w:proofErr w:type="spellEnd"/>
      <w:r w:rsidRPr="00BC3448">
        <w:rPr>
          <w:b/>
          <w:i/>
          <w:szCs w:val="24"/>
          <w:lang w:eastAsia="en-US"/>
        </w:rPr>
        <w:t xml:space="preserve"> (c) i (</w:t>
      </w:r>
      <w:proofErr w:type="spellStart"/>
      <w:r w:rsidRPr="00BC3448">
        <w:rPr>
          <w:b/>
          <w:i/>
          <w:szCs w:val="24"/>
          <w:lang w:eastAsia="en-US"/>
        </w:rPr>
        <w:t>ca</w:t>
      </w:r>
      <w:proofErr w:type="spellEnd"/>
      <w:r w:rsidRPr="00BC3448">
        <w:rPr>
          <w:b/>
          <w:i/>
          <w:szCs w:val="24"/>
          <w:lang w:eastAsia="en-US"/>
        </w:rPr>
        <w:t>) točke 1. dijela B ovog Priloga primjenjuju se i u slučaju pružanja pojednostavnjenih informacija o doziranju.</w:t>
      </w:r>
      <w:r w:rsidR="00822372" w:rsidRPr="00BC3448">
        <w:rPr>
          <w:b/>
          <w:szCs w:val="24"/>
          <w:lang w:eastAsia="en-US"/>
        </w:rPr>
        <w:t xml:space="preserve"> [Am. 144.]</w:t>
      </w:r>
    </w:p>
    <w:p w:rsidR="001169ED" w:rsidRPr="00BC3448" w:rsidRDefault="001169ED" w:rsidP="001169ED">
      <w:pPr>
        <w:spacing w:before="120" w:after="120" w:line="360" w:lineRule="auto"/>
        <w:rPr>
          <w:szCs w:val="24"/>
          <w:lang w:eastAsia="en-US"/>
        </w:rPr>
        <w:sectPr w:rsidR="001169ED" w:rsidRPr="00BC3448">
          <w:footnotePr>
            <w:numRestart w:val="eachSect"/>
          </w:footnotePr>
          <w:pgSz w:w="11909" w:h="16834"/>
          <w:pgMar w:top="1134" w:right="1417" w:bottom="1417" w:left="1417" w:header="1134" w:footer="567" w:gutter="0"/>
          <w:cols w:space="720"/>
        </w:sect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jc w:val="center"/>
        <w:rPr>
          <w:lang w:eastAsia="en-US"/>
        </w:rPr>
      </w:pPr>
      <w:r w:rsidRPr="00BC3448">
        <w:rPr>
          <w:lang w:eastAsia="en-US"/>
        </w:rPr>
        <w:t>PRILOG VI.</w:t>
      </w:r>
    </w:p>
    <w:p w:rsidR="001169ED" w:rsidRPr="00BC3448" w:rsidRDefault="001169ED" w:rsidP="007F079A">
      <w:pPr>
        <w:spacing w:before="120" w:after="120" w:line="360" w:lineRule="auto"/>
        <w:jc w:val="center"/>
        <w:rPr>
          <w:szCs w:val="24"/>
          <w:lang w:eastAsia="en-US"/>
        </w:rPr>
      </w:pPr>
      <w:r w:rsidRPr="00BC3448">
        <w:rPr>
          <w:szCs w:val="24"/>
          <w:lang w:eastAsia="en-US"/>
        </w:rPr>
        <w:t>PUTOVNICA ZA PROIZVODE</w:t>
      </w:r>
    </w:p>
    <w:p w:rsidR="001169ED" w:rsidRPr="00BC3448" w:rsidRDefault="001169ED" w:rsidP="001169ED">
      <w:pPr>
        <w:spacing w:before="120" w:after="120" w:line="360" w:lineRule="auto"/>
        <w:rPr>
          <w:szCs w:val="24"/>
          <w:lang w:eastAsia="en-US"/>
        </w:rPr>
      </w:pPr>
      <w:r w:rsidRPr="00BC3448">
        <w:rPr>
          <w:szCs w:val="24"/>
          <w:lang w:eastAsia="en-US"/>
        </w:rPr>
        <w:t>Putovnica za proizvode uključuje sljedeće podatke:</w:t>
      </w:r>
    </w:p>
    <w:p w:rsidR="001169ED" w:rsidRPr="00BC3448" w:rsidRDefault="001169ED" w:rsidP="001169ED">
      <w:pPr>
        <w:spacing w:before="120" w:after="120" w:line="360" w:lineRule="auto"/>
        <w:ind w:left="850" w:hanging="850"/>
        <w:rPr>
          <w:szCs w:val="24"/>
          <w:lang w:eastAsia="en-US"/>
        </w:rPr>
      </w:pPr>
      <w:r w:rsidRPr="00BC3448">
        <w:rPr>
          <w:szCs w:val="24"/>
          <w:lang w:eastAsia="en-US"/>
        </w:rPr>
        <w:t>(a)</w:t>
      </w:r>
      <w:r w:rsidRPr="00BC3448">
        <w:rPr>
          <w:szCs w:val="24"/>
          <w:lang w:eastAsia="en-US"/>
        </w:rPr>
        <w:tab/>
        <w:t>jedinstvenu identifikacijsku oznaku proizvoda deterdženta ili površinski aktivne tvari;</w:t>
      </w:r>
    </w:p>
    <w:p w:rsidR="001169ED" w:rsidRPr="00BC3448" w:rsidRDefault="001169ED" w:rsidP="001169ED">
      <w:pPr>
        <w:spacing w:before="120" w:after="120" w:line="360" w:lineRule="auto"/>
        <w:ind w:left="850" w:hanging="850"/>
        <w:rPr>
          <w:b/>
          <w:szCs w:val="24"/>
          <w:lang w:eastAsia="en-US"/>
        </w:rPr>
      </w:pPr>
      <w:r w:rsidRPr="00BC3448">
        <w:rPr>
          <w:szCs w:val="24"/>
          <w:lang w:eastAsia="en-US"/>
        </w:rPr>
        <w:t>(b)</w:t>
      </w:r>
      <w:r w:rsidRPr="00BC3448">
        <w:rPr>
          <w:szCs w:val="24"/>
          <w:lang w:eastAsia="en-US"/>
        </w:rPr>
        <w:tab/>
        <w:t>ime,</w:t>
      </w:r>
      <w:r w:rsidRPr="00BC3448">
        <w:rPr>
          <w:b/>
          <w:i/>
          <w:szCs w:val="24"/>
          <w:lang w:eastAsia="en-US"/>
        </w:rPr>
        <w:t xml:space="preserve"> poštansku</w:t>
      </w:r>
      <w:r w:rsidRPr="00BC3448">
        <w:rPr>
          <w:szCs w:val="24"/>
          <w:lang w:eastAsia="en-US"/>
        </w:rPr>
        <w:t xml:space="preserve"> adresu</w:t>
      </w:r>
      <w:r w:rsidRPr="00BC3448">
        <w:rPr>
          <w:b/>
          <w:i/>
          <w:szCs w:val="24"/>
          <w:lang w:eastAsia="en-US"/>
        </w:rPr>
        <w:t xml:space="preserve"> i adresu elektroničke pošte</w:t>
      </w:r>
      <w:r w:rsidRPr="00BC3448">
        <w:rPr>
          <w:szCs w:val="24"/>
          <w:lang w:eastAsia="en-US"/>
        </w:rPr>
        <w:t xml:space="preserve"> proizvođača ili ovlaštenog zastupnika proizvođača kao i proizvođačevu jedinstvenu identifikacijsku oznaku gospodarskog subjekta</w:t>
      </w:r>
      <w:r w:rsidRPr="00BC3448">
        <w:rPr>
          <w:b/>
          <w:szCs w:val="24"/>
          <w:lang w:eastAsia="en-US"/>
        </w:rPr>
        <w:t>;</w:t>
      </w:r>
      <w:r w:rsidR="0028466E" w:rsidRPr="00BC3448">
        <w:rPr>
          <w:b/>
          <w:szCs w:val="24"/>
          <w:lang w:eastAsia="en-US"/>
        </w:rPr>
        <w:t xml:space="preserve"> [Am. 145.]</w:t>
      </w:r>
    </w:p>
    <w:p w:rsidR="001169ED" w:rsidRPr="00BC3448" w:rsidRDefault="001169ED" w:rsidP="001169ED">
      <w:pPr>
        <w:spacing w:before="120" w:after="120" w:line="360" w:lineRule="auto"/>
        <w:ind w:left="850" w:hanging="850"/>
        <w:rPr>
          <w:szCs w:val="24"/>
          <w:lang w:eastAsia="en-US"/>
        </w:rPr>
      </w:pPr>
      <w:r w:rsidRPr="00BC3448">
        <w:rPr>
          <w:szCs w:val="24"/>
          <w:lang w:eastAsia="en-US"/>
        </w:rPr>
        <w:t>(c)</w:t>
      </w:r>
      <w:r w:rsidRPr="00BC3448">
        <w:rPr>
          <w:szCs w:val="24"/>
          <w:lang w:eastAsia="en-US"/>
        </w:rPr>
        <w:tab/>
        <w:t xml:space="preserve">identifikaciju deterdženta ili površinski aktivne tvari koja omogućuje </w:t>
      </w:r>
      <w:proofErr w:type="spellStart"/>
      <w:r w:rsidRPr="00BC3448">
        <w:rPr>
          <w:szCs w:val="24"/>
          <w:lang w:eastAsia="en-US"/>
        </w:rPr>
        <w:t>sljedivost</w:t>
      </w:r>
      <w:proofErr w:type="spellEnd"/>
      <w:r w:rsidRPr="00BC3448">
        <w:rPr>
          <w:szCs w:val="24"/>
          <w:lang w:eastAsia="en-US"/>
        </w:rPr>
        <w:t>, uključujući sliku u boji koja je dovoljno jasna i koja omogućuje identifikaciju deterdženta ili površinski aktivne tvari;</w:t>
      </w:r>
    </w:p>
    <w:p w:rsidR="001169ED" w:rsidRPr="00BC3448" w:rsidRDefault="001169ED" w:rsidP="001169ED">
      <w:pPr>
        <w:spacing w:before="120" w:after="120" w:line="360" w:lineRule="auto"/>
        <w:ind w:left="850" w:hanging="850"/>
        <w:rPr>
          <w:szCs w:val="24"/>
          <w:lang w:eastAsia="en-US"/>
        </w:rPr>
      </w:pPr>
      <w:r w:rsidRPr="00BC3448">
        <w:rPr>
          <w:szCs w:val="24"/>
          <w:lang w:eastAsia="en-US"/>
        </w:rPr>
        <w:t>(d)</w:t>
      </w:r>
      <w:r w:rsidRPr="00BC3448">
        <w:rPr>
          <w:szCs w:val="24"/>
          <w:lang w:eastAsia="en-US"/>
        </w:rPr>
        <w:tab/>
        <w:t>oznaku robe u koju je deterdžent ili površinski aktivna tvar razvrstana u trenutku izrade putovnice za proizvode, prema Uredbi Vijeća (EEZ) br. 2658/87</w:t>
      </w:r>
      <w:r w:rsidRPr="00BC3448">
        <w:rPr>
          <w:szCs w:val="24"/>
          <w:vertAlign w:val="superscript"/>
          <w:lang w:eastAsia="en-US"/>
        </w:rPr>
        <w:footnoteReference w:customMarkFollows="1" w:id="31"/>
        <w:t>1</w:t>
      </w:r>
      <w:r w:rsidRPr="00BC3448">
        <w:rPr>
          <w:szCs w:val="24"/>
          <w:lang w:eastAsia="en-US"/>
        </w:rPr>
        <w:t>;</w:t>
      </w:r>
    </w:p>
    <w:p w:rsidR="001169ED" w:rsidRPr="00BC3448" w:rsidRDefault="001169ED" w:rsidP="001169ED">
      <w:pPr>
        <w:spacing w:before="120" w:after="120" w:line="360" w:lineRule="auto"/>
        <w:ind w:left="850" w:hanging="850"/>
        <w:rPr>
          <w:szCs w:val="24"/>
          <w:lang w:eastAsia="en-US"/>
        </w:rPr>
      </w:pPr>
      <w:r w:rsidRPr="00BC3448">
        <w:rPr>
          <w:szCs w:val="24"/>
          <w:lang w:eastAsia="en-US"/>
        </w:rPr>
        <w:t>(e)</w:t>
      </w:r>
      <w:r w:rsidRPr="00BC3448">
        <w:rPr>
          <w:szCs w:val="24"/>
          <w:lang w:eastAsia="en-US"/>
        </w:rPr>
        <w:tab/>
        <w:t>upućivanja na pravne akte Unije s kojima je sukladan deterdžent ili površinski aktivna tvar;</w:t>
      </w:r>
    </w:p>
    <w:p w:rsidR="00617A71" w:rsidRPr="00BC3448" w:rsidRDefault="00617A71" w:rsidP="001169ED">
      <w:pPr>
        <w:spacing w:before="120" w:after="120" w:line="360" w:lineRule="auto"/>
        <w:ind w:left="850" w:hanging="850"/>
        <w:rPr>
          <w:szCs w:val="24"/>
          <w:lang w:eastAsia="en-US"/>
        </w:rPr>
      </w:pPr>
      <w:r w:rsidRPr="00BC3448">
        <w:rPr>
          <w:szCs w:val="24"/>
          <w:lang w:eastAsia="en-US"/>
        </w:rPr>
        <w:br w:type="page"/>
      </w:r>
    </w:p>
    <w:p w:rsidR="001169ED" w:rsidRPr="00BC3448" w:rsidRDefault="001169ED" w:rsidP="001169ED">
      <w:pPr>
        <w:spacing w:before="120" w:after="120" w:line="360" w:lineRule="auto"/>
        <w:ind w:left="850" w:hanging="850"/>
        <w:rPr>
          <w:b/>
          <w:szCs w:val="24"/>
          <w:lang w:eastAsia="en-US"/>
        </w:rPr>
      </w:pPr>
      <w:r w:rsidRPr="00BC3448">
        <w:rPr>
          <w:szCs w:val="24"/>
          <w:lang w:eastAsia="en-US"/>
        </w:rPr>
        <w:t>(f)</w:t>
      </w:r>
      <w:r w:rsidRPr="00BC3448">
        <w:rPr>
          <w:szCs w:val="24"/>
          <w:lang w:eastAsia="en-US"/>
        </w:rPr>
        <w:tab/>
        <w:t>potpuni popis tvari koje su namjerno dodane u deterdžent ili površinski aktivnu tvar te potpuni popis konzervansa</w:t>
      </w:r>
      <w:r w:rsidRPr="00BC3448">
        <w:rPr>
          <w:strike/>
          <w:szCs w:val="24"/>
          <w:lang w:eastAsia="en-US"/>
        </w:rPr>
        <w:t xml:space="preserve"> označenih u skladu s dijelom A točkom 3. prvim podstavkom točkom (b) Priloga V.</w:t>
      </w:r>
      <w:r w:rsidRPr="00BC3448">
        <w:rPr>
          <w:szCs w:val="24"/>
          <w:lang w:eastAsia="en-US"/>
        </w:rPr>
        <w:t>, uz upotrebu Međunarodnog nazivlja kozmetičkih sastojaka, ili</w:t>
      </w:r>
      <w:r w:rsidRPr="00BC3448">
        <w:rPr>
          <w:strike/>
          <w:szCs w:val="24"/>
          <w:lang w:eastAsia="en-US"/>
        </w:rPr>
        <w:t xml:space="preserve"> ako to nije dostupno, naziva Europske farmakopeje te,</w:t>
      </w:r>
      <w:r w:rsidRPr="00BC3448">
        <w:rPr>
          <w:szCs w:val="24"/>
          <w:lang w:eastAsia="en-US"/>
        </w:rPr>
        <w:t xml:space="preserve"> ako ni to nije dostupno, zajedničkih kemijskih naziva ili naziva Međunarodnog saveza za čistu i primijenjenu kemiju.</w:t>
      </w:r>
      <w:r w:rsidR="0028466E" w:rsidRPr="00BC3448">
        <w:rPr>
          <w:b/>
          <w:szCs w:val="24"/>
          <w:lang w:eastAsia="en-US"/>
        </w:rPr>
        <w:t xml:space="preserve"> [Am. 146.]</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(fa)</w:t>
      </w:r>
      <w:r w:rsidRPr="00BC3448">
        <w:rPr>
          <w:szCs w:val="24"/>
          <w:lang w:eastAsia="en-US"/>
        </w:rPr>
        <w:tab/>
      </w:r>
      <w:r w:rsidRPr="00BC3448">
        <w:rPr>
          <w:b/>
          <w:i/>
          <w:szCs w:val="24"/>
          <w:lang w:eastAsia="en-US"/>
        </w:rPr>
        <w:t xml:space="preserve">tehničku dokumentaciju i rezultate postupka ocjenjivanja sukladnosti iz članka 7. stavka 2.; </w:t>
      </w:r>
      <w:r w:rsidR="0028466E" w:rsidRPr="00BC3448">
        <w:rPr>
          <w:b/>
          <w:szCs w:val="24"/>
          <w:lang w:eastAsia="en-US"/>
        </w:rPr>
        <w:t xml:space="preserve"> [Am. 147.]</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w:t>
      </w:r>
      <w:proofErr w:type="spellStart"/>
      <w:r w:rsidRPr="00BC3448">
        <w:rPr>
          <w:b/>
          <w:i/>
          <w:szCs w:val="24"/>
          <w:lang w:eastAsia="en-US"/>
        </w:rPr>
        <w:t>fb</w:t>
      </w:r>
      <w:proofErr w:type="spellEnd"/>
      <w:r w:rsidRPr="00BC3448">
        <w:rPr>
          <w:b/>
          <w:i/>
          <w:szCs w:val="24"/>
          <w:lang w:eastAsia="en-US"/>
        </w:rPr>
        <w:t>)</w:t>
      </w:r>
      <w:r w:rsidRPr="00BC3448">
        <w:rPr>
          <w:szCs w:val="24"/>
          <w:lang w:eastAsia="en-US"/>
        </w:rPr>
        <w:tab/>
      </w:r>
      <w:r w:rsidRPr="00BC3448">
        <w:rPr>
          <w:b/>
          <w:i/>
          <w:szCs w:val="24"/>
          <w:lang w:eastAsia="en-US"/>
        </w:rPr>
        <w:t>ako je primjenjivo, rezultate ispitivanja koje je proveo proizvođač u skladu s točkom 9. Priloga II. i izjavu treće strane o provjeri tih ispitivanja;</w:t>
      </w:r>
      <w:r w:rsidR="0028466E" w:rsidRPr="00BC3448">
        <w:rPr>
          <w:b/>
          <w:szCs w:val="24"/>
          <w:lang w:eastAsia="en-US"/>
        </w:rPr>
        <w:t xml:space="preserve"> [Am. 148.]</w:t>
      </w:r>
    </w:p>
    <w:p w:rsidR="001169ED" w:rsidRPr="00BC3448" w:rsidRDefault="001169ED" w:rsidP="001169ED">
      <w:pPr>
        <w:spacing w:before="120" w:after="120" w:line="360" w:lineRule="auto"/>
        <w:ind w:left="850" w:hanging="850"/>
        <w:rPr>
          <w:b/>
          <w:szCs w:val="24"/>
          <w:lang w:eastAsia="en-US"/>
        </w:rPr>
      </w:pPr>
      <w:r w:rsidRPr="00BC3448">
        <w:rPr>
          <w:b/>
          <w:i/>
          <w:szCs w:val="24"/>
          <w:lang w:eastAsia="en-US"/>
        </w:rPr>
        <w:t>(</w:t>
      </w:r>
      <w:proofErr w:type="spellStart"/>
      <w:r w:rsidRPr="00BC3448">
        <w:rPr>
          <w:b/>
          <w:i/>
          <w:szCs w:val="24"/>
          <w:lang w:eastAsia="en-US"/>
        </w:rPr>
        <w:t>fc</w:t>
      </w:r>
      <w:proofErr w:type="spellEnd"/>
      <w:r w:rsidRPr="00BC3448">
        <w:rPr>
          <w:b/>
          <w:i/>
          <w:szCs w:val="24"/>
          <w:lang w:eastAsia="en-US"/>
        </w:rPr>
        <w:t>)</w:t>
      </w:r>
      <w:r w:rsidRPr="00BC3448">
        <w:rPr>
          <w:szCs w:val="24"/>
          <w:lang w:eastAsia="en-US"/>
        </w:rPr>
        <w:tab/>
      </w:r>
      <w:r w:rsidRPr="00BC3448">
        <w:rPr>
          <w:b/>
          <w:i/>
          <w:szCs w:val="24"/>
          <w:lang w:eastAsia="en-US"/>
        </w:rPr>
        <w:t>ako je primjenjivo, poveznicu na digitalnu oznaku iz članka 16. stavka 1.</w:t>
      </w:r>
      <w:r w:rsidR="0028466E" w:rsidRPr="00BC3448">
        <w:rPr>
          <w:b/>
          <w:szCs w:val="24"/>
          <w:lang w:eastAsia="en-US"/>
        </w:rPr>
        <w:t xml:space="preserve"> [Am. 149.]</w:t>
      </w:r>
    </w:p>
    <w:p w:rsidR="001169ED" w:rsidRPr="00BC3448" w:rsidRDefault="001169ED" w:rsidP="001169ED">
      <w:pPr>
        <w:spacing w:before="120" w:after="120" w:line="360" w:lineRule="auto"/>
        <w:rPr>
          <w:b/>
          <w:szCs w:val="24"/>
          <w:lang w:eastAsia="en-US"/>
        </w:rPr>
      </w:pPr>
      <w:r w:rsidRPr="00BC3448">
        <w:rPr>
          <w:b/>
          <w:i/>
          <w:szCs w:val="24"/>
          <w:lang w:eastAsia="en-US"/>
        </w:rPr>
        <w:t>Informacije iz točke (fa) dostupne su samo tijelima za nadzor tržišta država članica i Komisiji.</w:t>
      </w:r>
      <w:r w:rsidR="0028466E" w:rsidRPr="00BC3448">
        <w:rPr>
          <w:b/>
          <w:szCs w:val="24"/>
          <w:lang w:eastAsia="en-US"/>
        </w:rPr>
        <w:t xml:space="preserve"> [Am. 150.]</w:t>
      </w:r>
    </w:p>
    <w:p w:rsidR="001169ED" w:rsidRPr="00BC3448" w:rsidRDefault="001169ED" w:rsidP="001169ED">
      <w:pPr>
        <w:spacing w:before="120" w:after="120" w:line="360" w:lineRule="auto"/>
        <w:rPr>
          <w:szCs w:val="24"/>
          <w:lang w:eastAsia="en-US"/>
        </w:rPr>
      </w:pPr>
      <w:r w:rsidRPr="00BC3448">
        <w:rPr>
          <w:szCs w:val="24"/>
          <w:lang w:eastAsia="en-US"/>
        </w:rPr>
        <w:t>Obveza iz točke (f) ne primjenjuje se na deterdžente za profesionalnu upotrebu ili na površinski aktivne tvari za deterdžente za profesionalnu upotrebu za koje je dostupan sigurnosno-tehnički list iz članka 31. Uredbe (EZ) br. 1907/2006.</w:t>
      </w: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rPr>
          <w:szCs w:val="24"/>
          <w:lang w:eastAsia="en-US"/>
        </w:rPr>
      </w:pPr>
    </w:p>
    <w:p w:rsidR="001169ED" w:rsidRPr="00BC3448" w:rsidRDefault="001169ED" w:rsidP="001169ED">
      <w:pPr>
        <w:spacing w:before="120" w:after="120" w:line="360" w:lineRule="auto"/>
        <w:rPr>
          <w:szCs w:val="24"/>
          <w:lang w:eastAsia="en-US"/>
        </w:rPr>
        <w:sectPr w:rsidR="001169ED" w:rsidRPr="00BC3448">
          <w:pgSz w:w="11909" w:h="16834"/>
          <w:pgMar w:top="1134" w:right="1417" w:bottom="1417" w:left="1417" w:header="1134" w:footer="567" w:gutter="0"/>
          <w:cols w:space="720"/>
        </w:sectPr>
      </w:pPr>
    </w:p>
    <w:p w:rsidR="00617A71" w:rsidRPr="00BC3448" w:rsidRDefault="00FB7EE0" w:rsidP="00617A71">
      <w:pPr>
        <w:widowControl/>
        <w:spacing w:before="120" w:after="120"/>
        <w:jc w:val="center"/>
        <w:rPr>
          <w:rFonts w:eastAsia="Calibri"/>
          <w:noProof/>
          <w:szCs w:val="22"/>
          <w:lang w:eastAsia="en-US"/>
        </w:rPr>
      </w:pPr>
      <w:r w:rsidRPr="00BC3448">
        <w:rPr>
          <w:rFonts w:eastAsia="Calibri"/>
          <w:noProof/>
          <w:szCs w:val="22"/>
          <w:lang w:eastAsia="en-US"/>
        </w:rPr>
        <w:t>Prilog</w:t>
      </w:r>
      <w:r w:rsidR="00617A71" w:rsidRPr="00BC3448">
        <w:rPr>
          <w:rFonts w:eastAsia="Calibri"/>
          <w:noProof/>
          <w:szCs w:val="22"/>
          <w:lang w:eastAsia="en-US"/>
        </w:rPr>
        <w:t> VII.</w:t>
      </w:r>
    </w:p>
    <w:p w:rsidR="00617A71" w:rsidRPr="00BC3448" w:rsidRDefault="00617A71" w:rsidP="00617A71">
      <w:pPr>
        <w:widowControl/>
        <w:spacing w:before="120" w:after="120"/>
        <w:jc w:val="center"/>
        <w:rPr>
          <w:rFonts w:eastAsia="Calibri"/>
          <w:noProof/>
          <w:szCs w:val="22"/>
          <w:lang w:eastAsia="en-US"/>
        </w:rPr>
      </w:pPr>
      <w:r w:rsidRPr="00BC3448">
        <w:rPr>
          <w:rFonts w:eastAsia="Calibri"/>
          <w:noProof/>
          <w:szCs w:val="22"/>
          <w:lang w:eastAsia="en-US"/>
        </w:rPr>
        <w:t>METODE ISPITIVANJA IZ ČLANKA 22. STAVKA 2.</w:t>
      </w:r>
    </w:p>
    <w:p w:rsidR="00617A71" w:rsidRPr="00BC3448" w:rsidRDefault="00617A71" w:rsidP="00617A71">
      <w:pPr>
        <w:keepNext/>
        <w:widowControl/>
        <w:tabs>
          <w:tab w:val="left" w:pos="850"/>
        </w:tabs>
        <w:spacing w:before="360" w:after="120"/>
        <w:ind w:left="851" w:hanging="851"/>
        <w:jc w:val="both"/>
        <w:outlineLvl w:val="0"/>
        <w:rPr>
          <w:rFonts w:eastAsia="Calibri"/>
          <w:b/>
          <w:smallCaps/>
          <w:noProof/>
          <w:szCs w:val="22"/>
          <w:lang w:eastAsia="en-US"/>
        </w:rPr>
      </w:pPr>
      <w:r w:rsidRPr="00BC3448">
        <w:rPr>
          <w:rFonts w:eastAsia="Calibri"/>
          <w:b/>
          <w:smallCaps/>
          <w:noProof/>
          <w:szCs w:val="22"/>
          <w:lang w:eastAsia="en-US"/>
        </w:rPr>
        <w:t>1.</w:t>
      </w:r>
      <w:r w:rsidRPr="00BC3448">
        <w:rPr>
          <w:rFonts w:eastAsia="Calibri"/>
          <w:b/>
          <w:smallCaps/>
          <w:noProof/>
          <w:szCs w:val="22"/>
          <w:lang w:eastAsia="en-US"/>
        </w:rPr>
        <w:tab/>
        <w:t>Referentna metoda (test za dokazivanje)</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1.1.</w:t>
      </w:r>
      <w:r w:rsidRPr="00BC3448">
        <w:rPr>
          <w:rFonts w:eastAsia="Calibri"/>
          <w:b/>
          <w:noProof/>
          <w:szCs w:val="22"/>
          <w:lang w:eastAsia="en-US"/>
        </w:rPr>
        <w:tab/>
        <w:t>Definicija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U opisu je ove metode laboratorijski model koji čine uređaj s aktiviranim talogom i posuda za sekundarno taloženje, čija je namjena simuliranje obrade komunalne otpadne vode. Poboljšani, najnapredniji uvjeti rada mogu se primijeniti na ovu metodu ispitivanja kako je opisano u normi EN ISO 11733.</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1.2.</w:t>
      </w:r>
      <w:r w:rsidRPr="00BC3448">
        <w:rPr>
          <w:rFonts w:eastAsia="Calibri"/>
          <w:b/>
          <w:noProof/>
          <w:szCs w:val="22"/>
          <w:lang w:eastAsia="en-US"/>
        </w:rPr>
        <w:tab/>
        <w:t>Potrebna oprema za mjerenje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Metoda mjerenja temelji se na primjeni uređaja s aktiviranim talogom, prikazanog na slici 1. i detaljnije na slici 2. Oprema se sastoji od posude za sintetičku otpadnu vodu A, pumpe za doziranje B, posude za uvođenje zraka C, posude za taloženje D, pumpe s komprimiranim zrakom E za vraćanje aktiviranog taloga i posude F za prikupljanje obrađene otpadne vode.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Posude A i F moraju biti od stakla ili odgovarajuće plastike, kapaciteta najmanje dvadeset i četiri litre. Pumpa B mora omogućiti stalni protok sintetičke otpadne vode do posude za uvođenje zraka; ta posuda pri uobičajenom radu sadržava tri litre tekuće smjese. Sinterirani uređaj za propuštanje zraka G obješen je u posudi C na vrhu konusa. Količina zraka uvedenog kroz uređaj za propuštanje zraka prati se mjeračem protoka H.</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1.3.</w:t>
      </w:r>
      <w:r w:rsidRPr="00BC3448">
        <w:rPr>
          <w:rFonts w:eastAsia="Calibri"/>
          <w:b/>
          <w:noProof/>
          <w:szCs w:val="22"/>
          <w:lang w:eastAsia="en-US"/>
        </w:rPr>
        <w:tab/>
        <w:t>Sintetička otpadna voda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Za ispitivanje se upotrebljava sintetička otpadna voda. Na svaku litru vode iz vodovoda otopiti:</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160 mg peptona,</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110 mg mesnog ekstrakta,</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30 mg uree, CO(NH</w:t>
      </w:r>
      <w:r w:rsidRPr="00BC3448">
        <w:rPr>
          <w:rFonts w:eastAsia="Calibri"/>
          <w:noProof/>
          <w:szCs w:val="22"/>
          <w:vertAlign w:val="subscript"/>
          <w:lang w:eastAsia="en-US"/>
        </w:rPr>
        <w:t>2</w:t>
      </w:r>
      <w:r w:rsidRPr="00BC3448">
        <w:rPr>
          <w:rFonts w:eastAsia="Calibri"/>
          <w:noProof/>
          <w:szCs w:val="22"/>
          <w:lang w:eastAsia="en-US"/>
        </w:rPr>
        <w:t>)</w:t>
      </w:r>
      <w:r w:rsidRPr="00BC3448">
        <w:rPr>
          <w:rFonts w:eastAsia="Calibri"/>
          <w:noProof/>
          <w:szCs w:val="22"/>
          <w:vertAlign w:val="subscript"/>
          <w:lang w:eastAsia="en-US"/>
        </w:rPr>
        <w:t>2</w:t>
      </w:r>
      <w:r w:rsidRPr="00BC3448">
        <w:rPr>
          <w:rFonts w:eastAsia="Calibri"/>
          <w:noProof/>
          <w:szCs w:val="22"/>
          <w:lang w:eastAsia="en-US"/>
        </w:rPr>
        <w:t>,</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7 mg natrijeva klorida, NaCl,</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4 mg kalcijeva klorida, CaCl</w:t>
      </w:r>
      <w:r w:rsidRPr="00BC3448">
        <w:rPr>
          <w:rFonts w:eastAsia="Calibri"/>
          <w:noProof/>
          <w:szCs w:val="22"/>
          <w:vertAlign w:val="subscript"/>
          <w:lang w:eastAsia="en-US"/>
        </w:rPr>
        <w:t>2</w:t>
      </w:r>
      <w:r w:rsidRPr="00BC3448">
        <w:rPr>
          <w:rFonts w:ascii="Cambria Math" w:eastAsia="Calibri" w:hAnsi="Cambria Math" w:cs="Cambria Math"/>
          <w:noProof/>
          <w:szCs w:val="22"/>
          <w:lang w:eastAsia="en-US"/>
        </w:rPr>
        <w:t>⋅</w:t>
      </w:r>
      <w:r w:rsidRPr="00BC3448">
        <w:rPr>
          <w:rFonts w:eastAsia="Calibri"/>
          <w:noProof/>
          <w:szCs w:val="22"/>
          <w:lang w:eastAsia="en-US"/>
        </w:rPr>
        <w:t>2H</w:t>
      </w:r>
      <w:r w:rsidRPr="00BC3448">
        <w:rPr>
          <w:rFonts w:eastAsia="Calibri"/>
          <w:noProof/>
          <w:szCs w:val="22"/>
          <w:vertAlign w:val="subscript"/>
          <w:lang w:eastAsia="en-US"/>
        </w:rPr>
        <w:t>2</w:t>
      </w:r>
      <w:r w:rsidRPr="00BC3448">
        <w:rPr>
          <w:rFonts w:eastAsia="Calibri"/>
          <w:noProof/>
          <w:szCs w:val="22"/>
          <w:lang w:eastAsia="en-US"/>
        </w:rPr>
        <w:t>O,</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2 mg magnezijeva sulfata, MgSO</w:t>
      </w:r>
      <w:r w:rsidRPr="00BC3448">
        <w:rPr>
          <w:rFonts w:eastAsia="Calibri"/>
          <w:noProof/>
          <w:szCs w:val="22"/>
          <w:vertAlign w:val="subscript"/>
          <w:lang w:eastAsia="en-US"/>
        </w:rPr>
        <w:t>4</w:t>
      </w:r>
      <w:r w:rsidRPr="00BC3448">
        <w:rPr>
          <w:rFonts w:ascii="Cambria Math" w:eastAsia="Calibri" w:hAnsi="Cambria Math" w:cs="Cambria Math"/>
          <w:noProof/>
          <w:szCs w:val="22"/>
          <w:lang w:eastAsia="en-US"/>
        </w:rPr>
        <w:t>⋅</w:t>
      </w:r>
      <w:r w:rsidRPr="00BC3448">
        <w:rPr>
          <w:rFonts w:eastAsia="Calibri"/>
          <w:noProof/>
          <w:szCs w:val="22"/>
          <w:lang w:eastAsia="en-US"/>
        </w:rPr>
        <w:t>7H</w:t>
      </w:r>
      <w:r w:rsidRPr="00BC3448">
        <w:rPr>
          <w:rFonts w:eastAsia="Calibri"/>
          <w:noProof/>
          <w:szCs w:val="22"/>
          <w:vertAlign w:val="subscript"/>
          <w:lang w:eastAsia="en-US"/>
        </w:rPr>
        <w:t>2</w:t>
      </w:r>
      <w:r w:rsidRPr="00BC3448">
        <w:rPr>
          <w:rFonts w:eastAsia="Calibri"/>
          <w:noProof/>
          <w:szCs w:val="22"/>
          <w:lang w:eastAsia="en-US"/>
        </w:rPr>
        <w:t>O,</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28 mg dikalijeva hidrogen fosfata, K</w:t>
      </w:r>
      <w:r w:rsidRPr="00BC3448">
        <w:rPr>
          <w:rFonts w:eastAsia="Calibri"/>
          <w:noProof/>
          <w:szCs w:val="22"/>
          <w:vertAlign w:val="subscript"/>
          <w:lang w:eastAsia="en-US"/>
        </w:rPr>
        <w:t>2</w:t>
      </w:r>
      <w:r w:rsidRPr="00BC3448">
        <w:rPr>
          <w:rFonts w:eastAsia="Calibri"/>
          <w:noProof/>
          <w:szCs w:val="22"/>
          <w:lang w:eastAsia="en-US"/>
        </w:rPr>
        <w:t>HPO</w:t>
      </w:r>
      <w:r w:rsidRPr="00BC3448">
        <w:rPr>
          <w:rFonts w:eastAsia="Calibri"/>
          <w:noProof/>
          <w:szCs w:val="22"/>
          <w:vertAlign w:val="subscript"/>
          <w:lang w:eastAsia="en-US"/>
        </w:rPr>
        <w:t>4</w:t>
      </w:r>
      <w:r w:rsidRPr="00BC3448">
        <w:rPr>
          <w:rFonts w:eastAsia="Calibri"/>
          <w:noProof/>
          <w:szCs w:val="22"/>
          <w:lang w:eastAsia="en-US"/>
        </w:rPr>
        <w:t>,</w:t>
      </w:r>
    </w:p>
    <w:p w:rsidR="00617A71" w:rsidRPr="00BC3448" w:rsidRDefault="00617A71" w:rsidP="007F079A">
      <w:pPr>
        <w:widowControl/>
        <w:spacing w:before="120" w:after="120"/>
        <w:ind w:left="851"/>
        <w:rPr>
          <w:rFonts w:eastAsia="Calibri"/>
          <w:noProof/>
          <w:szCs w:val="22"/>
          <w:lang w:eastAsia="en-US"/>
        </w:rPr>
      </w:pPr>
      <w:r w:rsidRPr="00BC3448">
        <w:rPr>
          <w:rFonts w:eastAsia="Calibri"/>
          <w:noProof/>
          <w:szCs w:val="22"/>
          <w:lang w:eastAsia="en-US"/>
        </w:rPr>
        <w:t>-</w:t>
      </w:r>
      <w:r w:rsidRPr="00BC3448">
        <w:rPr>
          <w:rFonts w:eastAsia="Calibri"/>
          <w:noProof/>
          <w:szCs w:val="22"/>
          <w:lang w:eastAsia="en-US"/>
        </w:rPr>
        <w:tab/>
        <w:t>i 10 ± 1 mg površinski aktivne tvari.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Sintetička otpadna voda priprema se iznova svaki dan.</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1.4.</w:t>
      </w:r>
      <w:r w:rsidRPr="00BC3448">
        <w:rPr>
          <w:rFonts w:eastAsia="Calibri"/>
          <w:b/>
          <w:noProof/>
          <w:szCs w:val="22"/>
          <w:lang w:eastAsia="en-US"/>
        </w:rPr>
        <w:tab/>
        <w:t>Priprema uzoraka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Jednostavne površinski aktivne tvari ispituju se u nepromijenjenom stanju. Mora se utvrditi aktivni sadržaj uzoraka površinski aktivne tvari radi pripreme sintetičke otpadne vode (točka 1.3.).</w:t>
      </w: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1.5.</w:t>
      </w:r>
      <w:r w:rsidRPr="00BC3448">
        <w:rPr>
          <w:rFonts w:eastAsia="Calibri"/>
          <w:b/>
          <w:noProof/>
          <w:szCs w:val="22"/>
          <w:lang w:eastAsia="en-US"/>
        </w:rPr>
        <w:tab/>
        <w:t>Rad opreme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Najprije napuniti posudu za uvođenje zraka C i posudu za taloženje D sintetičkom otpadnom vodom. Visina posude D treba biti namještena tako da posuda za uvođenje zraka C sadržava tri litre. Inokulacija se obavlja uvođenjem 3 ml sekundarne otpadne vode dobre kakvoće, netom prikupljene u pogonu za obradu otpadnih voda uglavnom iz kućanstava. Otpadna se voda mora čuvati u aerobnim uvjetima u vremenu od uzimanja uzorka do upotrebe. Zatim uključiti uređaj za uvođenje zraka G, pumpu E i uređaj za doziranje B. Sintetička otpadna voda mora protjecati kroz posudu za uvođenje zraka C brzinom od litre na sat; tada je srednje retencijsko vrijeme 3 sata.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Brzinu uvođenja zraka treba namjestiti tako da sadržaj posude C bude stalno u suspenziji, a sadržaj otopljenog kisika bude najmanje 2 mg/l. Stvaranje pjene mora se spriječiti primjerenim sredstvima. Ne smiju se upotrebljavati sredstva protiv stvaranja pjene koja sprečavaju aktivirani talog ili sadrže površinski aktivne tvari. Pumpa E mora biti namještena tako da se aktivirani talog iz posude za taloženje stalno ravnomjerno vraća u posudu za uvođenje zraka C. Talog koji se nakupi pri vrhu posude za uvođenje zraka C, na dnu posude za taloženje D ili u kolanju mora se vratiti u optok najmanje jedanput na dan četkanjem ili kojim drugim primjerenim načinom. Ako se talog ne sliježe, sposobnost taloženja može se povećati dodavanjem po 2 ml 5-postotne otopine željeznog klorida, što se prema potrebi ponavlja.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Otpadna voda iz posude za taloženje D skuplja se u posudi F dvadeset i četiri sata, nakon čega se, poslije temeljitog miješanja, uzima uzorak. Posuda F mora se potom pomno očistiti.</w:t>
      </w: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1.6.</w:t>
      </w:r>
      <w:r w:rsidRPr="00BC3448">
        <w:rPr>
          <w:rFonts w:eastAsia="Calibri"/>
          <w:b/>
          <w:noProof/>
          <w:szCs w:val="22"/>
          <w:lang w:eastAsia="en-US"/>
        </w:rPr>
        <w:tab/>
        <w:t>Provjera mjerne opreme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Sadržaj površinski aktivne tvari (u mg/l) u sintetičkoj otpadnoj vodi utvrđuje se neposredno prije upotrebe.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Sadržaj površinski aktivne tvari (u mg/l) u otpadnoj vodi prikupljenoj u posudi F tijekom dvadeset i četiri sata treba utvrditi analitički istom metodom odmah nakon prikupljanja; u suprotnom se uzorci moraju sačuvati, najbolje zamrzavanjem. Koncentracije se moraju utvrditi točnošću od 0,1 mg/l površinski aktivne tvari.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 xml:space="preserve">Radi provjere djelotvornosti procesa najmanje dvaput na tjedan mjeri se kemijska potreba za kisikom (COD, </w:t>
      </w:r>
      <w:r w:rsidRPr="00BC3448">
        <w:rPr>
          <w:rFonts w:eastAsia="Calibri"/>
          <w:i/>
          <w:noProof/>
          <w:szCs w:val="22"/>
          <w:lang w:eastAsia="en-US"/>
        </w:rPr>
        <w:t>chemical oxygen demand</w:t>
      </w:r>
      <w:r w:rsidRPr="00BC3448">
        <w:rPr>
          <w:rFonts w:eastAsia="Calibri"/>
          <w:noProof/>
          <w:szCs w:val="22"/>
          <w:lang w:eastAsia="en-US"/>
        </w:rPr>
        <w:t xml:space="preserve">) ili otopljeni organski ugljik (DOC, </w:t>
      </w:r>
      <w:r w:rsidRPr="00BC3448">
        <w:rPr>
          <w:rFonts w:eastAsia="Calibri"/>
          <w:i/>
          <w:noProof/>
          <w:szCs w:val="22"/>
          <w:lang w:eastAsia="en-US"/>
        </w:rPr>
        <w:t>dissolved organic carbon</w:t>
      </w:r>
      <w:r w:rsidRPr="00BC3448">
        <w:rPr>
          <w:rFonts w:eastAsia="Calibri"/>
          <w:noProof/>
          <w:szCs w:val="22"/>
          <w:lang w:eastAsia="en-US"/>
        </w:rPr>
        <w:t>) u otpadnoj vodi prikupljenoj u posudi F filtriranoj kroz filtar od staklenih vlakana, kao i u filtriranoj sintetičkoj otpadnoj vodi iz posude 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Kad se postigne podjednaka razgradnja površinski aktivne tvari svaki dan na kraju početnog razdoblja prikazanog na slici 3., trebalo bi se ustaliti i smanjenje kemijske potrebe za kisikom (COD) ili otopljenog organskog ugljika (DOC).</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Sadržaj suhe tvari u aktiviranom talogu u posudi za uvođenje zraka treba utvrditi dvaput na tjedan u g/l. Ako prelazi 2,5 g/l, višak aktiviranog taloga mora se ukloniti.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Ispitivanje razgradnje obavlja se na sobnoj temperaturi; ona treba biti ujednačena, uvijek između 19 i 24 °C.</w:t>
      </w: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1.7.</w:t>
      </w:r>
      <w:r w:rsidRPr="00BC3448">
        <w:rPr>
          <w:rFonts w:eastAsia="Calibri"/>
          <w:b/>
          <w:noProof/>
          <w:szCs w:val="22"/>
          <w:lang w:eastAsia="en-US"/>
        </w:rPr>
        <w:tab/>
        <w:t>Izračunavanje biorazgradivosti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Postotak razgradnje površinski aktivne tvari mora se računati svaki dan na temelju sadržaja površinski aktivne tvari u mg/l sintetičke otpadne vode kao i odgovarajuće otpadne vode prikupljene u posudi F.</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Tako dobivene vrijednosti razgradivosti treba grafički prikazati kao na slici 3.</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Razgradivost površinski aktivne tvari treba izračunati kao aritmetičku sredinu vrijednosti dobivenih tijekom dvadeset i jednog dana po završetku početnog razdoblja prilagodbe, pri čemu je razgradnja bila ravnomjerna te je uređaj radio bez smetnji. Početno razdoblje ni u kom slučaju ne smije trajati više od šest tjedana.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Vrijednosti razgradnje za svaki dan računaju se točnošću od 0,1 %, ali se krajnji rezultat izražava zaokruživanjem na najbliži puni broj.</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U nekim se slučajevima može dopustiti smanjenje učestalosti uzorkovanja, ali prosjek treba računati iz najmanje četrnaest rezultata prikupljenih tijekom dvadeset i jednog dana po završetku početnog razdoblja.</w:t>
      </w:r>
    </w:p>
    <w:p w:rsidR="00270F20" w:rsidRPr="00BC3448" w:rsidRDefault="00270F20" w:rsidP="00617A71">
      <w:pPr>
        <w:keepNext/>
        <w:widowControl/>
        <w:tabs>
          <w:tab w:val="left" w:pos="850"/>
        </w:tabs>
        <w:spacing w:before="360" w:after="120"/>
        <w:ind w:left="851" w:hanging="851"/>
        <w:jc w:val="both"/>
        <w:outlineLvl w:val="0"/>
        <w:rPr>
          <w:rFonts w:eastAsia="Calibri"/>
          <w:b/>
          <w:smallCaps/>
          <w:noProof/>
          <w:szCs w:val="22"/>
          <w:lang w:eastAsia="en-US"/>
        </w:rPr>
      </w:pPr>
      <w:r w:rsidRPr="00BC3448">
        <w:rPr>
          <w:rFonts w:eastAsia="Calibri"/>
          <w:b/>
          <w:smallCaps/>
          <w:noProof/>
          <w:szCs w:val="22"/>
          <w:lang w:eastAsia="en-US"/>
        </w:rPr>
        <w:br w:type="page"/>
      </w:r>
    </w:p>
    <w:p w:rsidR="00617A71" w:rsidRPr="00BC3448" w:rsidRDefault="00617A71" w:rsidP="00617A71">
      <w:pPr>
        <w:keepNext/>
        <w:widowControl/>
        <w:tabs>
          <w:tab w:val="left" w:pos="850"/>
        </w:tabs>
        <w:spacing w:before="360" w:after="120"/>
        <w:ind w:left="851" w:hanging="851"/>
        <w:jc w:val="both"/>
        <w:outlineLvl w:val="0"/>
        <w:rPr>
          <w:rFonts w:eastAsia="Calibri"/>
          <w:b/>
          <w:smallCaps/>
          <w:noProof/>
          <w:szCs w:val="22"/>
          <w:lang w:eastAsia="en-US"/>
        </w:rPr>
      </w:pPr>
      <w:r w:rsidRPr="00BC3448">
        <w:rPr>
          <w:rFonts w:eastAsia="Calibri"/>
          <w:b/>
          <w:smallCaps/>
          <w:noProof/>
          <w:szCs w:val="22"/>
          <w:lang w:eastAsia="en-US"/>
        </w:rPr>
        <w:t>2.</w:t>
      </w:r>
      <w:r w:rsidRPr="00BC3448">
        <w:rPr>
          <w:rFonts w:eastAsia="Calibri"/>
          <w:b/>
          <w:smallCaps/>
          <w:noProof/>
          <w:szCs w:val="22"/>
          <w:lang w:eastAsia="en-US"/>
        </w:rPr>
        <w:tab/>
        <w:t>Utvrđivanje anionskih površinski aktivnih tvari u ispitivanjima biorazgradivosti</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2.1.</w:t>
      </w:r>
      <w:r w:rsidRPr="00BC3448">
        <w:rPr>
          <w:rFonts w:eastAsia="Calibri"/>
          <w:b/>
          <w:noProof/>
          <w:szCs w:val="22"/>
          <w:lang w:eastAsia="en-US"/>
        </w:rPr>
        <w:tab/>
        <w:t>Načelo</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Metoda se temelji na činjenici da kationska boja metilensko plavilo s anionskim površinski aktivnim tvarima (MBAS) proizvodi plave soli koje se mogu ekstrahirati kloroformom. Kako bi se isključilo međudjelovanje, najprije se obavlja ekstrakcija iz lužnate otopine a ekstrakt se potom protrese s kiselom otopinom metilenskog plavila. Apsorpcija odijeljene organske faze mjeri se fotometrijski na duljini vala najveće apsorpcije od 650 nm.</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2.2.</w:t>
      </w:r>
      <w:r w:rsidRPr="00BC3448">
        <w:rPr>
          <w:rFonts w:eastAsia="Calibri"/>
          <w:b/>
          <w:noProof/>
          <w:szCs w:val="22"/>
          <w:lang w:eastAsia="en-US"/>
        </w:rPr>
        <w:tab/>
        <w:t>Reagensi i oprema</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w:t>
      </w:r>
      <w:r w:rsidRPr="00BC3448">
        <w:rPr>
          <w:rFonts w:eastAsia="Calibri"/>
          <w:i/>
          <w:noProof/>
          <w:szCs w:val="22"/>
          <w:lang w:eastAsia="en-US"/>
        </w:rPr>
        <w:tab/>
        <w:t>Pufer otopina pH 10</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24 g natrijeva bikarbonata, NaHCO</w:t>
      </w:r>
      <w:r w:rsidRPr="00BC3448">
        <w:rPr>
          <w:rFonts w:eastAsia="Calibri"/>
          <w:noProof/>
          <w:szCs w:val="22"/>
          <w:vertAlign w:val="subscript"/>
          <w:lang w:eastAsia="en-US"/>
        </w:rPr>
        <w:t>3</w:t>
      </w:r>
      <w:r w:rsidRPr="00BC3448">
        <w:rPr>
          <w:rFonts w:eastAsia="Calibri"/>
          <w:noProof/>
          <w:szCs w:val="22"/>
          <w:lang w:eastAsia="en-US"/>
        </w:rPr>
        <w:t xml:space="preserve"> AR, i 27 g bezvodnog natrijeva karbonata (Na</w:t>
      </w:r>
      <w:r w:rsidRPr="00BC3448">
        <w:rPr>
          <w:rFonts w:eastAsia="Calibri"/>
          <w:noProof/>
          <w:szCs w:val="22"/>
          <w:vertAlign w:val="subscript"/>
          <w:lang w:eastAsia="en-US"/>
        </w:rPr>
        <w:t>2</w:t>
      </w:r>
      <w:r w:rsidRPr="00BC3448">
        <w:rPr>
          <w:rFonts w:eastAsia="Calibri"/>
          <w:noProof/>
          <w:szCs w:val="22"/>
          <w:lang w:eastAsia="en-US"/>
        </w:rPr>
        <w:t>CO</w:t>
      </w:r>
      <w:r w:rsidRPr="00BC3448">
        <w:rPr>
          <w:rFonts w:eastAsia="Calibri"/>
          <w:noProof/>
          <w:szCs w:val="22"/>
          <w:vertAlign w:val="subscript"/>
          <w:lang w:eastAsia="en-US"/>
        </w:rPr>
        <w:t>3</w:t>
      </w:r>
      <w:r w:rsidRPr="00BC3448">
        <w:rPr>
          <w:rFonts w:eastAsia="Calibri"/>
          <w:noProof/>
          <w:szCs w:val="22"/>
          <w:lang w:eastAsia="en-US"/>
        </w:rPr>
        <w:t>) AR u deioniziranoj vodi i razrijediti do 1000 ml.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2.2.2.</w:t>
      </w:r>
      <w:r w:rsidRPr="00BC3448">
        <w:rPr>
          <w:rFonts w:eastAsia="Calibri"/>
          <w:i/>
          <w:noProof/>
          <w:szCs w:val="22"/>
          <w:lang w:eastAsia="en-US"/>
        </w:rPr>
        <w:tab/>
        <w:t>Neutralna otopina metilenskog plavila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0,35 g metilenskog plavila AR u deioniziranoj vodi i razrijediti do 1000 ml. Pripremiti otopinu najmanje dvadeset i četiri sata prije upotrebe. Apsorbiranje kloroformne faze slijepe probe u odnosu na kloroform ne smije prijeći 0,015 po 1 cm debljine sloja na 650 nm.</w:t>
      </w:r>
    </w:p>
    <w:p w:rsidR="00270F20" w:rsidRPr="00BC3448" w:rsidRDefault="00270F20"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br w:type="page"/>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2.2.3.</w:t>
      </w:r>
      <w:r w:rsidRPr="00BC3448">
        <w:rPr>
          <w:rFonts w:eastAsia="Calibri"/>
          <w:i/>
          <w:noProof/>
          <w:szCs w:val="22"/>
          <w:lang w:eastAsia="en-US"/>
        </w:rPr>
        <w:tab/>
        <w:t>Kisela otopina metilenskog plavila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0,35 g metilenskog plavila AR u 500 ml deionizirane vode i miješati sa 6,5 ml H</w:t>
      </w:r>
      <w:r w:rsidRPr="00BC3448">
        <w:rPr>
          <w:rFonts w:eastAsia="Calibri"/>
          <w:noProof/>
          <w:szCs w:val="22"/>
          <w:vertAlign w:val="subscript"/>
          <w:lang w:eastAsia="en-US"/>
        </w:rPr>
        <w:t>2</w:t>
      </w:r>
      <w:r w:rsidRPr="00BC3448">
        <w:rPr>
          <w:rFonts w:eastAsia="Calibri"/>
          <w:noProof/>
          <w:szCs w:val="22"/>
          <w:lang w:eastAsia="en-US"/>
        </w:rPr>
        <w:t>SO</w:t>
      </w:r>
      <w:r w:rsidRPr="00BC3448">
        <w:rPr>
          <w:rFonts w:eastAsia="Calibri"/>
          <w:noProof/>
          <w:szCs w:val="22"/>
          <w:vertAlign w:val="subscript"/>
          <w:lang w:eastAsia="en-US"/>
        </w:rPr>
        <w:t>4</w:t>
      </w:r>
      <w:r w:rsidRPr="00BC3448">
        <w:rPr>
          <w:rFonts w:eastAsia="Calibri"/>
          <w:noProof/>
          <w:szCs w:val="22"/>
          <w:lang w:eastAsia="en-US"/>
        </w:rPr>
        <w:t xml:space="preserve"> (d = 1,84 g/ml). Razrijediti do 1000 ml deioniziranom vodom. Pripremiti otopinu najmanje dvadeset i četiri sata prije upotrebe. Apsorbiranje kloroformne faze slijepe probe u odnosu na kloroform ne smije prijeći 0,015 po 1 cm debljine sloja na 650 nm.</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2.2.4.</w:t>
      </w:r>
      <w:r w:rsidRPr="00BC3448">
        <w:rPr>
          <w:rFonts w:eastAsia="Calibri"/>
          <w:i/>
          <w:noProof/>
          <w:szCs w:val="22"/>
          <w:lang w:eastAsia="en-US"/>
        </w:rPr>
        <w:tab/>
        <w:t>Kloroform (triklorometan) AR, netom destiliran</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2.2.5.</w:t>
      </w:r>
      <w:r w:rsidRPr="00BC3448">
        <w:rPr>
          <w:rFonts w:eastAsia="Calibri"/>
          <w:i/>
          <w:noProof/>
          <w:szCs w:val="22"/>
          <w:lang w:eastAsia="en-US"/>
        </w:rPr>
        <w:tab/>
        <w:t>Dodecil benzen metil ester sulfonske kiseline</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2.2.6.</w:t>
      </w:r>
      <w:r w:rsidRPr="00BC3448">
        <w:rPr>
          <w:rFonts w:eastAsia="Calibri"/>
          <w:i/>
          <w:noProof/>
          <w:szCs w:val="22"/>
          <w:lang w:eastAsia="en-US"/>
        </w:rPr>
        <w:tab/>
        <w:t>Etanolska otopina kalijeva hidroksida, KOH 0,1 mol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2.2.7.</w:t>
      </w:r>
      <w:r w:rsidRPr="00BC3448">
        <w:rPr>
          <w:rFonts w:eastAsia="Calibri"/>
          <w:i/>
          <w:noProof/>
          <w:szCs w:val="22"/>
          <w:lang w:eastAsia="en-US"/>
        </w:rPr>
        <w:tab/>
        <w:t>Čisti etanol, C</w:t>
      </w:r>
      <w:r w:rsidRPr="00BC3448">
        <w:rPr>
          <w:rFonts w:eastAsia="Calibri"/>
          <w:i/>
          <w:noProof/>
          <w:szCs w:val="22"/>
          <w:vertAlign w:val="subscript"/>
          <w:lang w:eastAsia="en-US"/>
        </w:rPr>
        <w:t>2</w:t>
      </w:r>
      <w:r w:rsidRPr="00BC3448">
        <w:rPr>
          <w:rFonts w:eastAsia="Calibri"/>
          <w:i/>
          <w:noProof/>
          <w:szCs w:val="22"/>
          <w:lang w:eastAsia="en-US"/>
        </w:rPr>
        <w:t>H</w:t>
      </w:r>
      <w:r w:rsidRPr="00BC3448">
        <w:rPr>
          <w:rFonts w:eastAsia="Calibri"/>
          <w:i/>
          <w:noProof/>
          <w:szCs w:val="22"/>
          <w:vertAlign w:val="subscript"/>
          <w:lang w:eastAsia="en-US"/>
        </w:rPr>
        <w:t>5</w:t>
      </w:r>
      <w:r w:rsidRPr="00BC3448">
        <w:rPr>
          <w:rFonts w:eastAsia="Calibri"/>
          <w:i/>
          <w:noProof/>
          <w:szCs w:val="22"/>
          <w:lang w:eastAsia="en-US"/>
        </w:rPr>
        <w:t>OH</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2.2.8.</w:t>
      </w:r>
      <w:r w:rsidRPr="00BC3448">
        <w:rPr>
          <w:rFonts w:eastAsia="Calibri"/>
          <w:i/>
          <w:noProof/>
          <w:szCs w:val="22"/>
          <w:lang w:eastAsia="en-US"/>
        </w:rPr>
        <w:tab/>
        <w:t>Sumporna kiselina, H</w:t>
      </w:r>
      <w:r w:rsidRPr="00BC3448">
        <w:rPr>
          <w:rFonts w:eastAsia="Calibri"/>
          <w:i/>
          <w:noProof/>
          <w:szCs w:val="22"/>
          <w:vertAlign w:val="subscript"/>
          <w:lang w:eastAsia="en-US"/>
        </w:rPr>
        <w:t>2</w:t>
      </w:r>
      <w:r w:rsidRPr="00BC3448">
        <w:rPr>
          <w:rFonts w:eastAsia="Calibri"/>
          <w:i/>
          <w:noProof/>
          <w:szCs w:val="22"/>
          <w:lang w:eastAsia="en-US"/>
        </w:rPr>
        <w:t>SO</w:t>
      </w:r>
      <w:r w:rsidRPr="00BC3448">
        <w:rPr>
          <w:rFonts w:eastAsia="Calibri"/>
          <w:i/>
          <w:noProof/>
          <w:szCs w:val="22"/>
          <w:vertAlign w:val="subscript"/>
          <w:lang w:eastAsia="en-US"/>
        </w:rPr>
        <w:t>4</w:t>
      </w:r>
      <w:r w:rsidRPr="00BC3448">
        <w:rPr>
          <w:rFonts w:eastAsia="Calibri"/>
          <w:i/>
          <w:noProof/>
          <w:szCs w:val="22"/>
          <w:lang w:eastAsia="en-US"/>
        </w:rPr>
        <w:t xml:space="preserve"> 0,5 mol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2.2.9.</w:t>
      </w:r>
      <w:r w:rsidRPr="00BC3448">
        <w:rPr>
          <w:rFonts w:eastAsia="Calibri"/>
          <w:i/>
          <w:noProof/>
          <w:szCs w:val="22"/>
          <w:lang w:eastAsia="en-US"/>
        </w:rPr>
        <w:tab/>
        <w:t>Otopina fenolftaleina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1 g fenolftaleina u 50 ml etanola i dodati 50 ml deionizirane vode uz stalno miješanje. Filtriranjem ukloniti nastali talog.</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2.2.10.</w:t>
      </w:r>
      <w:r w:rsidRPr="00BC3448">
        <w:rPr>
          <w:rFonts w:eastAsia="Calibri"/>
          <w:i/>
          <w:noProof/>
          <w:szCs w:val="22"/>
          <w:lang w:eastAsia="en-US"/>
        </w:rPr>
        <w:tab/>
        <w:t>Klorovodična kiselina u metanolu: 250 ml klorovodične kiseline AR i 750 ml metanola</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2.2.11.</w:t>
      </w:r>
      <w:r w:rsidRPr="00BC3448">
        <w:rPr>
          <w:rFonts w:eastAsia="Calibri"/>
          <w:i/>
          <w:noProof/>
          <w:szCs w:val="22"/>
          <w:lang w:eastAsia="en-US"/>
        </w:rPr>
        <w:tab/>
        <w:t>Lijevak za odjeljivanje, 250 ml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2.2.12.</w:t>
      </w:r>
      <w:r w:rsidRPr="00BC3448">
        <w:rPr>
          <w:rFonts w:eastAsia="Calibri"/>
          <w:i/>
          <w:noProof/>
          <w:szCs w:val="22"/>
          <w:lang w:eastAsia="en-US"/>
        </w:rPr>
        <w:tab/>
        <w:t>Mjerna tikvica, 50 ml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2.2.13.</w:t>
      </w:r>
      <w:r w:rsidRPr="00BC3448">
        <w:rPr>
          <w:rFonts w:eastAsia="Calibri"/>
          <w:i/>
          <w:noProof/>
          <w:szCs w:val="22"/>
          <w:lang w:eastAsia="en-US"/>
        </w:rPr>
        <w:tab/>
        <w:t>Mjerna tikvica, 500 ml</w:t>
      </w:r>
    </w:p>
    <w:p w:rsidR="00270F20" w:rsidRPr="00BC3448" w:rsidRDefault="00270F20"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br w:type="page"/>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2.2.14.</w:t>
      </w:r>
      <w:r w:rsidRPr="00BC3448">
        <w:rPr>
          <w:rFonts w:eastAsia="Calibri"/>
          <w:i/>
          <w:noProof/>
          <w:szCs w:val="22"/>
          <w:lang w:eastAsia="en-US"/>
        </w:rPr>
        <w:tab/>
        <w:t>Mjerna tikvica, 1000 ml</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2.2.15.</w:t>
      </w:r>
      <w:r w:rsidRPr="00BC3448">
        <w:rPr>
          <w:rFonts w:eastAsia="Calibri"/>
          <w:i/>
          <w:noProof/>
          <w:szCs w:val="22"/>
          <w:lang w:eastAsia="en-US"/>
        </w:rPr>
        <w:tab/>
        <w:t>Tikvica s okruglim dnom od 250 ml sa staklenim čepom i kondenzatorom za povratni tok; zrnca za kuhanje</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2.2.16.</w:t>
      </w:r>
      <w:r w:rsidRPr="00BC3448">
        <w:rPr>
          <w:rFonts w:eastAsia="Calibri"/>
          <w:i/>
          <w:noProof/>
          <w:szCs w:val="22"/>
          <w:lang w:eastAsia="en-US"/>
        </w:rPr>
        <w:tab/>
        <w:t>pH-metar</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2.2.17.</w:t>
      </w:r>
      <w:r w:rsidRPr="00BC3448">
        <w:rPr>
          <w:rFonts w:eastAsia="Calibri"/>
          <w:i/>
          <w:noProof/>
          <w:szCs w:val="22"/>
          <w:lang w:eastAsia="en-US"/>
        </w:rPr>
        <w:tab/>
        <w:t>Fotometar za mjerenja na 650 nm, s česticama od 1 do 5 cm</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2.2.18.</w:t>
      </w:r>
      <w:r w:rsidRPr="00BC3448">
        <w:rPr>
          <w:rFonts w:eastAsia="Calibri"/>
          <w:i/>
          <w:noProof/>
          <w:szCs w:val="22"/>
          <w:lang w:eastAsia="en-US"/>
        </w:rPr>
        <w:tab/>
        <w:t>Kvalitativni filtar-papir</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2.3.</w:t>
      </w:r>
      <w:r w:rsidRPr="00BC3448">
        <w:rPr>
          <w:rFonts w:eastAsia="Calibri"/>
          <w:b/>
          <w:noProof/>
          <w:szCs w:val="22"/>
          <w:lang w:eastAsia="en-US"/>
        </w:rPr>
        <w:tab/>
        <w:t>Postupak</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Uzorci za analizu ne smiju se uzimati kroz sloj pjene.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Nakon temeljitog čišćenja vodom oprema koja služi za analizu mora se temeljito isprati metanolovom klorovodičnom kiselinom (točka 2.2.10.), a potom i deioniziranom vodom prije upotrebe.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Otpadnu vodu koju treba ispitati, onu koja ulazi u uređaj s aktiviranim talogom i onu koja iz njega otječe, filtrirati odmah pri uzimanju uzorka. Baciti prvih 100 ml svakog filtrata.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Staviti izmjerenu količinu uzorka, ako je potrebno neutraliziranoga, u lijevak za odjeljivanje od 250 ml (točka 2.2.11.). Količina uzorka treba sadržavati između 20 i 150 g MBAS-a. Kod nižeg sadržaja MBAS-a može se uzeti do 100 ml uzorka. Ako se uzima manje od 100 ml, razrijediti do 100 ml deioniziranom vodom. Uzorku dodati 10 ml pufer otopine (točka 2.2.1.), 5 ml neutralne otopine metilenskog plavila (točka 2.2.2.) i 15 ml kloroforma (točka 2.2.4.). Smjesu tresti minutu, ravnomjerno i ne prejako. Nakon odjeljivanja faza izliti kloroformni sloj u drugi lijevak za odjeljivanje koji sadržava 110 ml deionizirane vode i 5 ml kisele otopine metilenskog plavila (točka 2.2.3.). Smjesu tresti minutu. Kloroformni sloj propustiti u mjernu tikvicu kroz filtar od vate prethodno očišćen i natopljen kloroformom (točka 2.2.12.).</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Triput ekstrahirati lužnatu i kiselu otopinu upotrebljavajući pritom po 10 ml kloroforma za drugu i treću ekstrakciju. Filtrirati kombinirane kloroformne ekstrakte kroz isti filtar od vate i razrijediti do oznake u tikvici od 50 ml (točka 2.2.12.) kloroformom upotrijebljenim za ponovno ispiranje vate. Mjeriti apsorbiranje kloroformne otopine u odnosu na kloroform fotometrom na 650 nm, česticama od 1 do 5 cm. Tijekom cijelog postupka obavljati slijepu probu.</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2.4.</w:t>
      </w:r>
      <w:r w:rsidRPr="00BC3448">
        <w:rPr>
          <w:rFonts w:eastAsia="Calibri"/>
          <w:b/>
          <w:noProof/>
          <w:szCs w:val="22"/>
          <w:lang w:eastAsia="en-US"/>
        </w:rPr>
        <w:tab/>
        <w:t>Kalibracijska krivulja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Pripremiti kalibracijsku otopinu od standardne tvari dodecil benzen metil estera sulfonske kiseline (tetrapropilenski tip, molarna masa 340) nakon saponifikacije u kalijevoj soli. MBAS se računa kao natrijev dodecil benzen sulfonat (molarna masa 348).</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Pipetom odmjeriti 400 do 450 mg dodecil benzen metil estera sulfonske kiseline (točka 2.2.5.) točnošću od 0,1 mg u tikvicu s okruglim dnom i dodati 50 ml etanolske otopine kalijeva hidroksida (točka 2.2.6.) i nekoliko zrnaca za kuhanje. Nakon uključenja kondenzatora za povratni tok kuhati sat vremena. Nakon hlađenja isprati kondenzator i staklenu spojnicu lijevanjem oko 30 ml etanola, pa tekućinu od ispiranja dodati sadržaju tikvice. Titrirati otopinu sumpornom kiselinom uz fenolftalein sve dok ne postane bezbojna. Otopinu premjestiti u mjernu tikvicu od 1000 ml (točka 2.2.14.), razrijediti deioniziranom vodom do oznake i promiješati.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Zatim se dio te čiste otopine površinski aktivnih tvari dalje razrjeđuje. Odliti 25 ml, premjestiti u mjernu tikvicu od 500 ml (točka 2.2.13.), razrijediti deioniziranom vodom do oznake i promiješati.</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Ta standardna otopina sadržava: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val="en-GB"/>
        </w:rPr>
        <w:drawing>
          <wp:inline distT="0" distB="0" distL="0" distR="0" wp14:anchorId="5E3FA4BD" wp14:editId="4A9FE271">
            <wp:extent cx="3865245" cy="75628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pri čemu je E masa uzorka u mg.</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Za utvrđivanje kalibracijske krivulje odliti po 1, 2, 4, 6, 8 ml standardne otopine i svaki put razrijediti deioniziranom vodom do 100 ml. Potom postupiti kako je navedeno u točki 2.3. uključujući slijepu probu.</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2.5.</w:t>
      </w:r>
      <w:r w:rsidRPr="00BC3448">
        <w:rPr>
          <w:rFonts w:eastAsia="Calibri"/>
          <w:b/>
          <w:noProof/>
          <w:szCs w:val="22"/>
          <w:lang w:eastAsia="en-US"/>
        </w:rPr>
        <w:tab/>
        <w:t>Izračunavanje rezultata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Količina anionske površinski aktivne tvari (MBAS) u uzorku očitava se iz kalibracijske krivulje (točka 2.4.). Sadržaj MBAS-a u uzorku prikazuje se ovako:</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val="en-GB"/>
        </w:rPr>
        <w:drawing>
          <wp:inline distT="0" distB="0" distL="0" distR="0" wp14:anchorId="72BEE596" wp14:editId="207A91D9">
            <wp:extent cx="4773295" cy="756285"/>
            <wp:effectExtent l="0" t="0" r="825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pri čemu je: V = mililitarski volumen upotrijebljenog uzorka.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Rezultate izraziti kao natrijev dodecil benzen sulfonat (molarna masa 348).</w:t>
      </w: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2.6.</w:t>
      </w:r>
      <w:r w:rsidRPr="00BC3448">
        <w:rPr>
          <w:rFonts w:eastAsia="Calibri"/>
          <w:b/>
          <w:noProof/>
          <w:szCs w:val="22"/>
          <w:lang w:eastAsia="en-US"/>
        </w:rPr>
        <w:tab/>
        <w:t>Izražavanje rezultata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Rezultate izraziti u mg/l MBAS-a zaokruživanjem na 0,1.</w:t>
      </w:r>
    </w:p>
    <w:p w:rsidR="00617A71" w:rsidRPr="00BC3448" w:rsidRDefault="00617A71" w:rsidP="00617A71">
      <w:pPr>
        <w:keepNext/>
        <w:widowControl/>
        <w:tabs>
          <w:tab w:val="left" w:pos="850"/>
        </w:tabs>
        <w:spacing w:before="360" w:after="120"/>
        <w:ind w:left="851" w:hanging="851"/>
        <w:jc w:val="both"/>
        <w:outlineLvl w:val="0"/>
        <w:rPr>
          <w:rFonts w:eastAsia="Calibri"/>
          <w:b/>
          <w:smallCaps/>
          <w:noProof/>
          <w:szCs w:val="22"/>
          <w:lang w:eastAsia="en-US"/>
        </w:rPr>
      </w:pPr>
      <w:r w:rsidRPr="00BC3448">
        <w:rPr>
          <w:rFonts w:eastAsia="Calibri"/>
          <w:b/>
          <w:smallCaps/>
          <w:noProof/>
          <w:szCs w:val="22"/>
          <w:lang w:eastAsia="en-US"/>
        </w:rPr>
        <w:t>3.</w:t>
      </w:r>
      <w:r w:rsidRPr="00BC3448">
        <w:rPr>
          <w:rFonts w:eastAsia="Calibri"/>
          <w:b/>
          <w:smallCaps/>
          <w:noProof/>
          <w:szCs w:val="22"/>
          <w:lang w:eastAsia="en-US"/>
        </w:rPr>
        <w:tab/>
        <w:t>Utvrđivanje neionskih površinski aktivnih tvari u tekućinama iz ispitivanja biorazgradnje</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3.1.</w:t>
      </w:r>
      <w:r w:rsidRPr="00BC3448">
        <w:rPr>
          <w:rFonts w:eastAsia="Calibri"/>
          <w:b/>
          <w:noProof/>
          <w:szCs w:val="22"/>
          <w:lang w:eastAsia="en-US"/>
        </w:rPr>
        <w:tab/>
        <w:t>Načelo</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Površinski se aktivne tvari koncentriraju i izoliraju plinskim odvajanjem. Količina neionske površinski aktivne tvari u upotrijebljenom uzorku treba biti u rasponu 250–800 g.</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Tako odvojena površinski aktivna tvar otapa se u etil acetatu.</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Nakon odjeljivanja faza i isparavanja otapala neionska površinski aktivna tvar nataložila se u vodenoj otopini s izmijenjenim Dragendorffovim reagensom (KBiI</w:t>
      </w:r>
      <w:r w:rsidRPr="00BC3448">
        <w:rPr>
          <w:rFonts w:eastAsia="Calibri"/>
          <w:noProof/>
          <w:szCs w:val="22"/>
          <w:vertAlign w:val="subscript"/>
          <w:lang w:eastAsia="en-US"/>
        </w:rPr>
        <w:t>4</w:t>
      </w:r>
      <w:r w:rsidRPr="00BC3448">
        <w:rPr>
          <w:rFonts w:eastAsia="Calibri"/>
          <w:noProof/>
          <w:szCs w:val="22"/>
          <w:lang w:eastAsia="en-US"/>
        </w:rPr>
        <w:t xml:space="preserve"> + BaCl</w:t>
      </w:r>
      <w:r w:rsidRPr="00BC3448">
        <w:rPr>
          <w:rFonts w:eastAsia="Calibri"/>
          <w:noProof/>
          <w:szCs w:val="22"/>
          <w:vertAlign w:val="subscript"/>
          <w:lang w:eastAsia="en-US"/>
        </w:rPr>
        <w:t>2</w:t>
      </w:r>
      <w:r w:rsidRPr="00BC3448">
        <w:rPr>
          <w:rFonts w:eastAsia="Calibri"/>
          <w:noProof/>
          <w:szCs w:val="22"/>
          <w:lang w:eastAsia="en-US"/>
        </w:rPr>
        <w:t xml:space="preserve"> + ledena octena kiselina).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Talog se filtrira, ispere ledenom octenom kiselinom i otopi u otopini amonijeva tartarata. Bizmut u otopini titrira se potenciometrijski otopinom pirolidin ditiokarbamata pri pH 4–5 uz upotrebu sjajne platinaste indikatorske elektrode i referentne elektrode od kalomela ili srebra/srebrnog klorida. Metoda se može primijeniti na neionske površinski aktivne tvari koje sadržavaju 6–30 skupina alkilen oksida.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Rezultat titracije množi se empirijskim faktorom 54 radi konverzije u referentnu tvar nonilfenol kondenziranu s 10 mol etilen oksida (NP 10).</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3.2.</w:t>
      </w:r>
      <w:r w:rsidRPr="00BC3448">
        <w:rPr>
          <w:rFonts w:eastAsia="Calibri"/>
          <w:b/>
          <w:noProof/>
          <w:szCs w:val="22"/>
          <w:lang w:eastAsia="en-US"/>
        </w:rPr>
        <w:tab/>
        <w:t>Reagensi i oprema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Reagense treba pripremati s deioniziranom vodom.</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w:t>
      </w:r>
      <w:r w:rsidRPr="00BC3448">
        <w:rPr>
          <w:rFonts w:eastAsia="Calibri"/>
          <w:noProof/>
          <w:szCs w:val="22"/>
          <w:lang w:eastAsia="en-US"/>
        </w:rPr>
        <w:tab/>
        <w:t>Čisti etil acetat, netom destiliran.</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3.2.2.</w:t>
      </w:r>
      <w:r w:rsidRPr="00BC3448">
        <w:rPr>
          <w:rFonts w:eastAsia="Calibri"/>
          <w:noProof/>
          <w:szCs w:val="22"/>
          <w:lang w:eastAsia="en-US"/>
        </w:rPr>
        <w:tab/>
        <w:t>Natrijev bikarbonat, NaHCO</w:t>
      </w:r>
      <w:r w:rsidRPr="00BC3448">
        <w:rPr>
          <w:rFonts w:eastAsia="Calibri"/>
          <w:noProof/>
          <w:szCs w:val="22"/>
          <w:vertAlign w:val="subscript"/>
          <w:lang w:eastAsia="en-US"/>
        </w:rPr>
        <w:t>3</w:t>
      </w:r>
      <w:r w:rsidRPr="00BC3448">
        <w:rPr>
          <w:rFonts w:eastAsia="Calibri"/>
          <w:noProof/>
          <w:szCs w:val="22"/>
          <w:lang w:eastAsia="en-US"/>
        </w:rPr>
        <w:t xml:space="preserve"> AR.</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3.2.3.</w:t>
      </w:r>
      <w:r w:rsidRPr="00BC3448">
        <w:rPr>
          <w:rFonts w:eastAsia="Calibri"/>
          <w:noProof/>
          <w:szCs w:val="22"/>
          <w:lang w:eastAsia="en-US"/>
        </w:rPr>
        <w:tab/>
        <w:t>Razrijediti klorovodičnu kiselinu (20 ml koncentrirane kiseline (HCl) razrijeđene vodom do 1000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3.2.4.</w:t>
      </w:r>
      <w:r w:rsidRPr="00BC3448">
        <w:rPr>
          <w:rFonts w:eastAsia="Calibri"/>
          <w:noProof/>
          <w:szCs w:val="22"/>
          <w:lang w:eastAsia="en-US"/>
        </w:rPr>
        <w:tab/>
        <w:t>Metanol AR, netom destiliran, čuvan u staklenoj boci.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3.2.5.</w:t>
      </w:r>
      <w:r w:rsidRPr="00BC3448">
        <w:rPr>
          <w:rFonts w:eastAsia="Calibri"/>
          <w:noProof/>
          <w:szCs w:val="22"/>
          <w:lang w:eastAsia="en-US"/>
        </w:rPr>
        <w:tab/>
        <w:t>Bromokresol purpur, 0,1 g na 100 ml metanola.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3.2.6.</w:t>
      </w:r>
      <w:r w:rsidRPr="00BC3448">
        <w:rPr>
          <w:rFonts w:eastAsia="Calibri"/>
          <w:noProof/>
          <w:szCs w:val="22"/>
          <w:lang w:eastAsia="en-US"/>
        </w:rPr>
        <w:tab/>
        <w:t>Sredstvo za taloženje: sredstvo za taloženje smjesa je dvaju volumenskih dijelova otopine A i jednog volumenskog dijela otopine B. Smjesa se čuva u smeđoj boci i može se upotrebljavati najviše tjedan dana nakon pripravljanja.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3.2.6.1.</w:t>
      </w:r>
      <w:r w:rsidRPr="00BC3448">
        <w:rPr>
          <w:rFonts w:eastAsia="Calibri"/>
          <w:noProof/>
          <w:szCs w:val="22"/>
          <w:lang w:eastAsia="en-US"/>
        </w:rPr>
        <w:tab/>
        <w:t>Otopina 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1,7 g bizmutova nitrata, BiONO</w:t>
      </w:r>
      <w:r w:rsidRPr="00BC3448">
        <w:rPr>
          <w:rFonts w:eastAsia="Calibri"/>
          <w:noProof/>
          <w:szCs w:val="22"/>
          <w:vertAlign w:val="subscript"/>
          <w:lang w:eastAsia="en-US"/>
        </w:rPr>
        <w:t>3</w:t>
      </w:r>
      <w:r w:rsidRPr="00BC3448">
        <w:rPr>
          <w:rFonts w:ascii="Cambria Math" w:eastAsia="Calibri" w:hAnsi="Cambria Math" w:cs="Cambria Math"/>
          <w:noProof/>
          <w:szCs w:val="22"/>
          <w:lang w:eastAsia="en-US"/>
        </w:rPr>
        <w:t>⋅</w:t>
      </w:r>
      <w:r w:rsidRPr="00BC3448">
        <w:rPr>
          <w:rFonts w:eastAsia="Calibri"/>
          <w:noProof/>
          <w:szCs w:val="22"/>
          <w:lang w:eastAsia="en-US"/>
        </w:rPr>
        <w:t>H</w:t>
      </w:r>
      <w:r w:rsidRPr="00BC3448">
        <w:rPr>
          <w:rFonts w:eastAsia="Calibri"/>
          <w:noProof/>
          <w:szCs w:val="22"/>
          <w:vertAlign w:val="subscript"/>
          <w:lang w:eastAsia="en-US"/>
        </w:rPr>
        <w:t>2</w:t>
      </w:r>
      <w:r w:rsidRPr="00BC3448">
        <w:rPr>
          <w:rFonts w:eastAsia="Calibri"/>
          <w:noProof/>
          <w:szCs w:val="22"/>
          <w:lang w:eastAsia="en-US"/>
        </w:rPr>
        <w:t>O AR, u 20 ml ledene octene kiseline i doliti vodu do 100 ml. Zatim otopiti 65 g kalijeva jodida AR u 200 ml vode. Pomiješati te dvije otopine u mjernoj tikvici od 1000 ml, dodati 200 ml ledene octene kiseline (točka 3.2.7.) i doliti vodu do 1000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3.2.6.2.</w:t>
      </w:r>
      <w:r w:rsidRPr="00BC3448">
        <w:rPr>
          <w:rFonts w:eastAsia="Calibri"/>
          <w:noProof/>
          <w:szCs w:val="22"/>
          <w:lang w:eastAsia="en-US"/>
        </w:rPr>
        <w:tab/>
        <w:t>Otopina B</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290 g barijeva klorida, BaCl</w:t>
      </w:r>
      <w:r w:rsidRPr="00BC3448">
        <w:rPr>
          <w:rFonts w:eastAsia="Calibri"/>
          <w:noProof/>
          <w:szCs w:val="22"/>
          <w:vertAlign w:val="subscript"/>
          <w:lang w:eastAsia="en-US"/>
        </w:rPr>
        <w:t>2</w:t>
      </w:r>
      <w:r w:rsidRPr="00BC3448">
        <w:rPr>
          <w:rFonts w:ascii="Cambria Math" w:eastAsia="Calibri" w:hAnsi="Cambria Math" w:cs="Cambria Math"/>
          <w:noProof/>
          <w:szCs w:val="22"/>
          <w:lang w:eastAsia="en-US"/>
        </w:rPr>
        <w:t>⋅</w:t>
      </w:r>
      <w:r w:rsidRPr="00BC3448">
        <w:rPr>
          <w:rFonts w:eastAsia="Calibri"/>
          <w:noProof/>
          <w:szCs w:val="22"/>
          <w:lang w:eastAsia="en-US"/>
        </w:rPr>
        <w:t>2H</w:t>
      </w:r>
      <w:r w:rsidRPr="00BC3448">
        <w:rPr>
          <w:rFonts w:eastAsia="Calibri"/>
          <w:noProof/>
          <w:szCs w:val="22"/>
          <w:vertAlign w:val="subscript"/>
          <w:lang w:eastAsia="en-US"/>
        </w:rPr>
        <w:t>2</w:t>
      </w:r>
      <w:r w:rsidRPr="00BC3448">
        <w:rPr>
          <w:rFonts w:eastAsia="Calibri"/>
          <w:noProof/>
          <w:szCs w:val="22"/>
          <w:lang w:eastAsia="en-US"/>
        </w:rPr>
        <w:t>O AR, u 1000 ml vode.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3.2.7.</w:t>
      </w:r>
      <w:r w:rsidRPr="00BC3448">
        <w:rPr>
          <w:rFonts w:eastAsia="Calibri"/>
          <w:noProof/>
          <w:szCs w:val="22"/>
          <w:lang w:eastAsia="en-US"/>
        </w:rPr>
        <w:tab/>
        <w:t>Ledena octena kiselina 99–100 % (niže koncentracije su neodgovarajuće).</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3.2.8.</w:t>
      </w:r>
      <w:r w:rsidRPr="00BC3448">
        <w:rPr>
          <w:rFonts w:eastAsia="Calibri"/>
          <w:noProof/>
          <w:szCs w:val="22"/>
          <w:lang w:eastAsia="en-US"/>
        </w:rPr>
        <w:tab/>
        <w:t>Otopina amonijeva tartarata: pomiješati 12,4 g vinske kiseline AR i 12,4 ml otopine amonijaka AR (d = 0,910 g/ml) i doliti vodu do 1000 ml (ili upotrijebiti jednaku količinu amonijeva tartarata AR).</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3.2.9.</w:t>
      </w:r>
      <w:r w:rsidRPr="00BC3448">
        <w:rPr>
          <w:rFonts w:eastAsia="Calibri"/>
          <w:noProof/>
          <w:szCs w:val="22"/>
          <w:lang w:eastAsia="en-US"/>
        </w:rPr>
        <w:tab/>
        <w:t>Razrijeđena otopina amonijaka: 40 ml otopine amonijaka AR (d = 0,910 g/ml) razrijediti vodom do 1000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3.2.10.</w:t>
      </w:r>
      <w:r w:rsidRPr="00BC3448">
        <w:rPr>
          <w:rFonts w:eastAsia="Calibri"/>
          <w:noProof/>
          <w:szCs w:val="22"/>
          <w:lang w:eastAsia="en-US"/>
        </w:rPr>
        <w:tab/>
        <w:t>Standardna acetatska pufer otopina: otopiti 40 g krutog natrijeva hidroksida AR u 500 ml vode u vrču i ostaviti da se ohladi. Dodati 120 ml ledene octene kiseline (točka 3.2.7.). Dobro promiješati, ohladiti i premjestiti u volumetrijsku tikvicu od 1000 ml. Doliti vodu do oznake.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3.2.11.</w:t>
      </w:r>
      <w:r w:rsidRPr="00BC3448">
        <w:rPr>
          <w:rFonts w:eastAsia="Calibri"/>
          <w:noProof/>
          <w:szCs w:val="22"/>
          <w:lang w:eastAsia="en-US"/>
        </w:rPr>
        <w:tab/>
        <w:t>Otopina pirolidin ditiokarbamata (poznata kao „otopina karbata”): otopiti 103 mg natrijeva pirolidin ditiokarbamata, C</w:t>
      </w:r>
      <w:r w:rsidRPr="00BC3448">
        <w:rPr>
          <w:rFonts w:eastAsia="Calibri"/>
          <w:noProof/>
          <w:szCs w:val="22"/>
          <w:vertAlign w:val="subscript"/>
          <w:lang w:eastAsia="en-US"/>
        </w:rPr>
        <w:t>5</w:t>
      </w:r>
      <w:r w:rsidRPr="00BC3448">
        <w:rPr>
          <w:rFonts w:eastAsia="Calibri"/>
          <w:noProof/>
          <w:szCs w:val="22"/>
          <w:lang w:eastAsia="en-US"/>
        </w:rPr>
        <w:t>H</w:t>
      </w:r>
      <w:r w:rsidRPr="00BC3448">
        <w:rPr>
          <w:rFonts w:eastAsia="Calibri"/>
          <w:noProof/>
          <w:szCs w:val="22"/>
          <w:vertAlign w:val="subscript"/>
          <w:lang w:eastAsia="en-US"/>
        </w:rPr>
        <w:t>8</w:t>
      </w:r>
      <w:r w:rsidRPr="00BC3448">
        <w:rPr>
          <w:rFonts w:eastAsia="Calibri"/>
          <w:noProof/>
          <w:szCs w:val="22"/>
          <w:lang w:eastAsia="en-US"/>
        </w:rPr>
        <w:t>NNaS</w:t>
      </w:r>
      <w:r w:rsidRPr="00BC3448">
        <w:rPr>
          <w:rFonts w:eastAsia="Calibri"/>
          <w:noProof/>
          <w:szCs w:val="22"/>
          <w:vertAlign w:val="subscript"/>
          <w:lang w:eastAsia="en-US"/>
        </w:rPr>
        <w:t>2</w:t>
      </w:r>
      <w:r w:rsidRPr="00BC3448">
        <w:rPr>
          <w:rFonts w:ascii="Cambria Math" w:eastAsia="Calibri" w:hAnsi="Cambria Math" w:cs="Cambria Math"/>
          <w:noProof/>
          <w:szCs w:val="22"/>
          <w:lang w:eastAsia="en-US"/>
        </w:rPr>
        <w:t>⋅</w:t>
      </w:r>
      <w:r w:rsidRPr="00BC3448">
        <w:rPr>
          <w:rFonts w:eastAsia="Calibri"/>
          <w:noProof/>
          <w:szCs w:val="22"/>
          <w:lang w:eastAsia="en-US"/>
        </w:rPr>
        <w:t>2H</w:t>
      </w:r>
      <w:r w:rsidRPr="00BC3448">
        <w:rPr>
          <w:rFonts w:eastAsia="Calibri"/>
          <w:noProof/>
          <w:szCs w:val="22"/>
          <w:vertAlign w:val="subscript"/>
          <w:lang w:eastAsia="en-US"/>
        </w:rPr>
        <w:t>2</w:t>
      </w:r>
      <w:r w:rsidRPr="00BC3448">
        <w:rPr>
          <w:rFonts w:eastAsia="Calibri"/>
          <w:noProof/>
          <w:szCs w:val="22"/>
          <w:lang w:eastAsia="en-US"/>
        </w:rPr>
        <w:t>O, u oko 500 ml vode, dodati 10 ml n-amilnog alkohola AR i 0,5 g NaHCO</w:t>
      </w:r>
      <w:r w:rsidRPr="00BC3448">
        <w:rPr>
          <w:rFonts w:eastAsia="Calibri"/>
          <w:noProof/>
          <w:szCs w:val="22"/>
          <w:vertAlign w:val="subscript"/>
          <w:lang w:eastAsia="en-US"/>
        </w:rPr>
        <w:t>3</w:t>
      </w:r>
      <w:r w:rsidRPr="00BC3448">
        <w:rPr>
          <w:rFonts w:eastAsia="Calibri"/>
          <w:noProof/>
          <w:szCs w:val="22"/>
          <w:lang w:eastAsia="en-US"/>
        </w:rPr>
        <w:t xml:space="preserve"> AR te doliti vodu do 1000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3.2.12.</w:t>
      </w:r>
      <w:r w:rsidRPr="00BC3448">
        <w:rPr>
          <w:rFonts w:eastAsia="Calibri"/>
          <w:noProof/>
          <w:szCs w:val="22"/>
          <w:lang w:eastAsia="en-US"/>
        </w:rPr>
        <w:tab/>
        <w:t>Otopina bakrova sulfata (za standardizaciju točka 3.2.11.).</w:t>
      </w:r>
    </w:p>
    <w:p w:rsidR="00617A71" w:rsidRPr="00BC3448" w:rsidRDefault="00617A71" w:rsidP="00617A71">
      <w:pPr>
        <w:widowControl/>
        <w:spacing w:before="120" w:after="120"/>
        <w:ind w:left="1417"/>
        <w:jc w:val="both"/>
        <w:rPr>
          <w:rFonts w:eastAsia="Calibri"/>
          <w:noProof/>
          <w:szCs w:val="22"/>
          <w:lang w:eastAsia="en-US"/>
        </w:rPr>
      </w:pPr>
      <w:r w:rsidRPr="00BC3448">
        <w:rPr>
          <w:rFonts w:eastAsia="Calibri"/>
          <w:noProof/>
          <w:szCs w:val="22"/>
          <w:lang w:eastAsia="en-US"/>
        </w:rPr>
        <w:t>ČISTA OTOPINA</w:t>
      </w:r>
    </w:p>
    <w:p w:rsidR="00617A71" w:rsidRPr="00BC3448" w:rsidRDefault="00617A71" w:rsidP="00617A71">
      <w:pPr>
        <w:widowControl/>
        <w:spacing w:before="120" w:after="120"/>
        <w:ind w:left="1417"/>
        <w:jc w:val="both"/>
        <w:rPr>
          <w:rFonts w:eastAsia="Calibri"/>
          <w:noProof/>
          <w:szCs w:val="22"/>
          <w:lang w:eastAsia="en-US"/>
        </w:rPr>
      </w:pPr>
      <w:r w:rsidRPr="00BC3448">
        <w:rPr>
          <w:rFonts w:eastAsia="Calibri"/>
          <w:noProof/>
          <w:szCs w:val="22"/>
          <w:lang w:eastAsia="en-US"/>
        </w:rPr>
        <w:t>Pomiješati 1,249 g bakrova sulfata, CuSO</w:t>
      </w:r>
      <w:r w:rsidRPr="00BC3448">
        <w:rPr>
          <w:rFonts w:eastAsia="Calibri"/>
          <w:noProof/>
          <w:szCs w:val="22"/>
          <w:vertAlign w:val="subscript"/>
          <w:lang w:eastAsia="en-US"/>
        </w:rPr>
        <w:t>4</w:t>
      </w:r>
      <w:r w:rsidRPr="00BC3448">
        <w:rPr>
          <w:rFonts w:ascii="Cambria Math" w:eastAsia="Calibri" w:hAnsi="Cambria Math" w:cs="Cambria Math"/>
          <w:noProof/>
          <w:szCs w:val="22"/>
          <w:lang w:eastAsia="en-US"/>
        </w:rPr>
        <w:t>⋅</w:t>
      </w:r>
      <w:r w:rsidRPr="00BC3448">
        <w:rPr>
          <w:rFonts w:eastAsia="Calibri"/>
          <w:noProof/>
          <w:szCs w:val="22"/>
          <w:lang w:eastAsia="en-US"/>
        </w:rPr>
        <w:t>5H</w:t>
      </w:r>
      <w:r w:rsidRPr="00BC3448">
        <w:rPr>
          <w:rFonts w:eastAsia="Calibri"/>
          <w:noProof/>
          <w:szCs w:val="22"/>
          <w:vertAlign w:val="subscript"/>
          <w:lang w:eastAsia="en-US"/>
        </w:rPr>
        <w:t>2</w:t>
      </w:r>
      <w:r w:rsidRPr="00BC3448">
        <w:rPr>
          <w:rFonts w:eastAsia="Calibri"/>
          <w:noProof/>
          <w:szCs w:val="22"/>
          <w:lang w:eastAsia="en-US"/>
        </w:rPr>
        <w:t>O AR, s 50 ml 0,5 mol sumporne kiseline i doliti vodu do 1000 ml.</w:t>
      </w:r>
    </w:p>
    <w:p w:rsidR="00617A71" w:rsidRPr="00BC3448" w:rsidRDefault="00617A71" w:rsidP="00617A71">
      <w:pPr>
        <w:widowControl/>
        <w:spacing w:before="120" w:after="120"/>
        <w:ind w:left="1417"/>
        <w:jc w:val="both"/>
        <w:rPr>
          <w:rFonts w:eastAsia="Calibri"/>
          <w:noProof/>
          <w:szCs w:val="22"/>
          <w:lang w:eastAsia="en-US"/>
        </w:rPr>
      </w:pPr>
      <w:r w:rsidRPr="00BC3448">
        <w:rPr>
          <w:rFonts w:eastAsia="Calibri"/>
          <w:noProof/>
          <w:szCs w:val="22"/>
          <w:lang w:eastAsia="en-US"/>
        </w:rPr>
        <w:t>STANDARDNA OTOPINA</w:t>
      </w:r>
    </w:p>
    <w:p w:rsidR="00617A71" w:rsidRPr="00BC3448" w:rsidRDefault="00617A71" w:rsidP="00617A71">
      <w:pPr>
        <w:widowControl/>
        <w:spacing w:before="120" w:after="120"/>
        <w:ind w:left="1417"/>
        <w:jc w:val="both"/>
        <w:rPr>
          <w:rFonts w:eastAsia="Calibri"/>
          <w:noProof/>
          <w:szCs w:val="22"/>
          <w:lang w:eastAsia="en-US"/>
        </w:rPr>
      </w:pPr>
      <w:r w:rsidRPr="00BC3448">
        <w:rPr>
          <w:rFonts w:eastAsia="Calibri"/>
          <w:noProof/>
          <w:szCs w:val="22"/>
          <w:lang w:eastAsia="en-US"/>
        </w:rPr>
        <w:t>Pomiješati 50 ml čiste otopine s 10 ml 0,5 mol H</w:t>
      </w:r>
      <w:r w:rsidRPr="00BC3448">
        <w:rPr>
          <w:rFonts w:eastAsia="Calibri"/>
          <w:noProof/>
          <w:szCs w:val="22"/>
          <w:vertAlign w:val="subscript"/>
          <w:lang w:eastAsia="en-US"/>
        </w:rPr>
        <w:t>2</w:t>
      </w:r>
      <w:r w:rsidRPr="00BC3448">
        <w:rPr>
          <w:rFonts w:eastAsia="Calibri"/>
          <w:noProof/>
          <w:szCs w:val="22"/>
          <w:lang w:eastAsia="en-US"/>
        </w:rPr>
        <w:t>SO</w:t>
      </w:r>
      <w:r w:rsidRPr="00BC3448">
        <w:rPr>
          <w:rFonts w:eastAsia="Calibri"/>
          <w:noProof/>
          <w:szCs w:val="22"/>
          <w:vertAlign w:val="subscript"/>
          <w:lang w:eastAsia="en-US"/>
        </w:rPr>
        <w:t>4</w:t>
      </w:r>
      <w:r w:rsidRPr="00BC3448">
        <w:rPr>
          <w:rFonts w:eastAsia="Calibri"/>
          <w:noProof/>
          <w:szCs w:val="22"/>
          <w:lang w:eastAsia="en-US"/>
        </w:rPr>
        <w:t xml:space="preserve"> i doliti vodu do 1000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3.2.13.</w:t>
      </w:r>
      <w:r w:rsidRPr="00BC3448">
        <w:rPr>
          <w:rFonts w:eastAsia="Calibri"/>
          <w:noProof/>
          <w:szCs w:val="22"/>
          <w:lang w:eastAsia="en-US"/>
        </w:rPr>
        <w:tab/>
        <w:t>Natrijev klorid AR.</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3.2.14.</w:t>
      </w:r>
      <w:r w:rsidRPr="00BC3448">
        <w:rPr>
          <w:rFonts w:eastAsia="Calibri"/>
          <w:noProof/>
          <w:szCs w:val="22"/>
          <w:lang w:eastAsia="en-US"/>
        </w:rPr>
        <w:tab/>
        <w:t>Naprava za plinsko odvajanje (vidjeti sliku 5.). Promjer sinterirane ploče mora biti jednak unutarnjem promjeru cilindra.</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3.2.15.</w:t>
      </w:r>
      <w:r w:rsidRPr="00BC3448">
        <w:rPr>
          <w:rFonts w:eastAsia="Calibri"/>
          <w:noProof/>
          <w:szCs w:val="22"/>
          <w:lang w:eastAsia="en-US"/>
        </w:rPr>
        <w:tab/>
        <w:t>Lijevak za odjeljivanje, 250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3.2.16.</w:t>
      </w:r>
      <w:r w:rsidRPr="00BC3448">
        <w:rPr>
          <w:rFonts w:eastAsia="Calibri"/>
          <w:noProof/>
          <w:szCs w:val="22"/>
          <w:lang w:eastAsia="en-US"/>
        </w:rPr>
        <w:tab/>
        <w:t>Magnetna miješalica s magnetom 25–30 mm.</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3.2.17.</w:t>
      </w:r>
      <w:r w:rsidRPr="00BC3448">
        <w:rPr>
          <w:rFonts w:eastAsia="Calibri"/>
          <w:noProof/>
          <w:szCs w:val="22"/>
          <w:lang w:eastAsia="en-US"/>
        </w:rPr>
        <w:tab/>
        <w:t>Goochova posuda za taljenje, promjer perforiranog dna = 25 mm, tip G4.</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3.2.18.</w:t>
      </w:r>
      <w:r w:rsidRPr="00BC3448">
        <w:rPr>
          <w:rFonts w:eastAsia="Calibri"/>
          <w:noProof/>
          <w:szCs w:val="22"/>
          <w:lang w:eastAsia="en-US"/>
        </w:rPr>
        <w:tab/>
        <w:t>Okrugli filtar-papiri od staklenih vlakana, promjera 27 mm s promjerom vlakna 0,3–1,5 m.</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3.2.19.</w:t>
      </w:r>
      <w:r w:rsidRPr="00BC3448">
        <w:rPr>
          <w:rFonts w:eastAsia="Calibri"/>
          <w:noProof/>
          <w:szCs w:val="22"/>
          <w:lang w:eastAsia="en-US"/>
        </w:rPr>
        <w:tab/>
        <w:t>Dvije tikvice za filtriranje s adapterima i gumenim obručima, od 500 i 250 ml.</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3.2.20.</w:t>
      </w:r>
      <w:r w:rsidRPr="00BC3448">
        <w:rPr>
          <w:rFonts w:eastAsia="Calibri"/>
          <w:noProof/>
          <w:szCs w:val="22"/>
          <w:lang w:eastAsia="en-US"/>
        </w:rPr>
        <w:tab/>
        <w:t>Potenciometar s bilježenjem mjerenja s ugrađenom poliranom platinastom indikatorskom elektrodom i referentnom elektrodom od kalomela ili srebra/srebrnog klorida, mjernog raspona 250 mV, s automatskom biretom kapaciteta 20–25 ml ili alternativnom ručnom opremom.</w:t>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3.3.</w:t>
      </w:r>
      <w:r w:rsidRPr="00BC3448">
        <w:rPr>
          <w:rFonts w:eastAsia="Calibri"/>
          <w:b/>
          <w:noProof/>
          <w:szCs w:val="22"/>
          <w:lang w:eastAsia="en-US"/>
        </w:rPr>
        <w:tab/>
        <w:t>Metoda</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3.3.1.</w:t>
      </w:r>
      <w:r w:rsidRPr="00BC3448">
        <w:rPr>
          <w:rFonts w:eastAsia="Calibri"/>
          <w:i/>
          <w:noProof/>
          <w:szCs w:val="22"/>
          <w:lang w:eastAsia="en-US"/>
        </w:rPr>
        <w:tab/>
        <w:t>Koncentracija i odjeljivanje površinski aktivne tvari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Filtrirati vodeni uzorak kroz kvalitativni filtar-papir. Ukloniti prvih 100 ml filtrata.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Staviti izmjerenu količinu uzorka u napravu za odvajanje prethodno ispranu etil acetatom, tako da sadržava 250–800 g neionske površinski aktivne tvari.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Radi boljeg odjeljivanja dodati 100 g natrijeva klorida i 5 g natrijeva bikarbonata.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Ako obujam uzorka prelazi 500 ml, dodati te soli u krutom obliku u napravu za odvajanje i otopiti propuštanjem dušika ili zraka.</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Ako je uzorak manji, otopiti soli u 400 ml vode i potom dodati u napravu za odvajanje.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Dodavati vodu dok se razina ne podigne do gornje slavine.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Oprezno preliti vodu sa 100 ml etil acetata.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Bocu za pranje u plinskoj cijevi (za dušik ili zrak) napuniti do dvije trećine etil acetatom.</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Propustiti plin kroz napravu protokom 30–60 l/h; preporučuje se upotreba mjerača protoka. Brzina uvođenja zraka mora se u početku postupno povećavati. Brzina plina mora se namjestiti tako da su faze i dalje vidljivo odijeljene radi što manjeg miješanja faza i otapanja etil acetata u vodi. Nakon pet minuta zaustaviti protok plina.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Ako se obujam organske faze otapanjem u vodi smanji za više od 20 %, postupak se mora ponoviti, a posebna pozornost obratiti na brzinu protjecanja plina.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Odliti organsku fazu u lijevak za odjeljivanje. Vratiti svu vodu iz vodene faze u lijevku za odjeljivanje – trebalo bi je biti samo nekoliko ml – u napravu za odvajanje. Filtrirati fazu etil acetata u vrč od 250 ml kroz suhi kvalitativni filtar-papir.</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Staviti još 100 ml etil acetata u napravu za odvajanje i opet pet minuta propuštati dušik ili zrak. Odvojiti organsku fazu u lijevak za odjeljivanje upotrijebljen za prvo odjeljivanje, ukloniti vodenu fazu i propustiti organsku fazu kroz isti filtar kao i prvu količinu etil acetata. Isprati lijevak za odjeljivanje i filtar s oko 20 ml etil acetata.</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Ekstrakt etil acetata do sušenja isparavati nad vodenom kupelji (primjenom uređaja za isparavanje). Usmjeriti blago strujanje zraka preko površine otopine radi bržeg isparavanja.</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3.3.2.</w:t>
      </w:r>
      <w:r w:rsidRPr="00BC3448">
        <w:rPr>
          <w:rFonts w:eastAsia="Calibri"/>
          <w:i/>
          <w:noProof/>
          <w:szCs w:val="22"/>
          <w:lang w:eastAsia="en-US"/>
        </w:rPr>
        <w:tab/>
        <w:t>Taloženje i filtriranje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suhi ostatak preostao nakon obavljanja postupka iz točke 3.3.1. u 5 ml metanola, dodati 40 ml vode i 0,5 ml razrijeđene HCl (točka 3.2.3.) te promiješati smjesu magnetnom miješalicom.</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Toj otopini dodati 30 ml sredstva za taloženje (točka 3.2.6.) iz mjernog cilindra. Talog se sliježe daljnjim miješanjem. Nakon deset minuta miješanja ostaviti smjesu da odstoji najmanje pet minuta.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Filtrirati smjesu kroz Goochovu posudu za taljenje čije je dno prekriveno filtar-papirom od staklenih vlakana. Najprije oprati filtar lijevanjem oko 2 ml ledene octene kiseline uz usisavanje. Potom temeljito oprati vrč, magnet i posudu za taljenje ledenom octenom kiselinom, koje je potrebno oko 40–50 ml. Talog nakupljen na stijenkama vrča nije potrebno potpuno prenijeti na filtar jer se otopina taloga za titriranje vraća u vrč za taloženje i tada se otapa preostali talog.</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3.3.3.</w:t>
      </w:r>
      <w:r w:rsidRPr="00BC3448">
        <w:rPr>
          <w:rFonts w:eastAsia="Calibri"/>
          <w:i/>
          <w:noProof/>
          <w:szCs w:val="22"/>
          <w:lang w:eastAsia="en-US"/>
        </w:rPr>
        <w:tab/>
        <w:t>Otapanje taloga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Otopiti talog u posudi za taljenje s filtrom dodavanjem tri puta po 10 ml vruće otopine amonijeva tartarata (oko 80 °C) (točka 3.2.8.). Neka svaki dio odstoji u posudi za taljenje nekoliko minuta prije usisavanja kroz filtar u tikvicu.</w:t>
      </w:r>
    </w:p>
    <w:p w:rsidR="00270F20" w:rsidRPr="00BC3448" w:rsidRDefault="00270F20" w:rsidP="00617A71">
      <w:pPr>
        <w:widowControl/>
        <w:spacing w:before="120" w:after="120"/>
        <w:ind w:left="850"/>
        <w:jc w:val="both"/>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Staviti sadržaj tikvice za filtriranje u vrč upotrijebljen za taloženje. Isprati stijenke vrča s još 20 ml otopine tartarata kako bi se otopio ostatak taloga.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Dobro oprati posudu za taljenje, adapter i tikvicu za filtriranje sa 150–200 ml vode i vratiti vodu od ispiranja u vrč upotrijebljen za taloženje.</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3.3.4.</w:t>
      </w:r>
      <w:r w:rsidRPr="00BC3448">
        <w:rPr>
          <w:rFonts w:eastAsia="Calibri"/>
          <w:i/>
          <w:noProof/>
          <w:szCs w:val="22"/>
          <w:lang w:eastAsia="en-US"/>
        </w:rPr>
        <w:tab/>
        <w:t>Titracija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Miješati otopinu magnetnom miješalicom (točka 3.2.16.), dodati nekoliko kapi bromokresol purpura (točka 3.2.5.) i dodavati razrijeđenu otopinu amonijaka (točka 3.2.9.) sve dok otopina ne postane ljubičasta (otopina je u početku blago kisela od ostatka octene kiseline za ispiranje).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Zatim dodati 10 ml standardne acetatske pufer otopine (točka 3.2.10.), uroniti elektrode u otopinu i titrirati potenciometrijski standardnom „otopinom karbata” (točka 3.2.11.), s vrhom birete uronjenim u otopinu.</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Brzina titriranja ne smije biti veća od 2 ml/min.</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Krajnja je točka sjecište tangenata s dviju strana krivulje potencijala.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Povremeno se opaža smanjenje zakrivljenosti krivulje potencijala; to se može otkloniti pomnim čišćenjem platinaste elektrode (glačanjem smirkovim papirom).</w:t>
      </w:r>
    </w:p>
    <w:p w:rsidR="00270F20" w:rsidRPr="00BC3448" w:rsidRDefault="00270F20"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br w:type="page"/>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3.3.5.</w:t>
      </w:r>
      <w:r w:rsidRPr="00BC3448">
        <w:rPr>
          <w:rFonts w:eastAsia="Calibri"/>
          <w:i/>
          <w:noProof/>
          <w:szCs w:val="22"/>
          <w:lang w:eastAsia="en-US"/>
        </w:rPr>
        <w:tab/>
        <w:t>Slijepe probe</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Istodobno tijekom cijelog postupka obavljati slijepu probu s 5 ml metanola i 40 ml vode, prema uputama iz točke 3.3.2. Slijepa titracija treba biti manja od 1 ml, u suprotnom je upitna čistoća reagensa (točke 3.2.3., 3.2.7., 3.2.8., 3.2.9., 3.2.10.), posebno njihov sadržaj teških metala, pa se reagensi moraju zamijeniti. Slijepa se proba mora uzeti u obzir pri računanju rezultata.</w:t>
      </w:r>
    </w:p>
    <w:p w:rsidR="00617A71" w:rsidRPr="00BC3448" w:rsidRDefault="00617A71" w:rsidP="00617A71">
      <w:pPr>
        <w:keepNext/>
        <w:widowControl/>
        <w:tabs>
          <w:tab w:val="left" w:pos="850"/>
        </w:tabs>
        <w:spacing w:before="120" w:after="120"/>
        <w:ind w:left="850" w:hanging="850"/>
        <w:jc w:val="both"/>
        <w:outlineLvl w:val="2"/>
        <w:rPr>
          <w:rFonts w:eastAsia="Calibri"/>
          <w:i/>
          <w:noProof/>
          <w:szCs w:val="22"/>
          <w:lang w:eastAsia="en-US"/>
        </w:rPr>
      </w:pPr>
      <w:r w:rsidRPr="00BC3448">
        <w:rPr>
          <w:rFonts w:eastAsia="Calibri"/>
          <w:i/>
          <w:noProof/>
          <w:szCs w:val="22"/>
          <w:lang w:eastAsia="en-US"/>
        </w:rPr>
        <w:t>3.3.6.</w:t>
      </w:r>
      <w:r w:rsidRPr="00BC3448">
        <w:rPr>
          <w:rFonts w:eastAsia="Calibri"/>
          <w:i/>
          <w:noProof/>
          <w:szCs w:val="22"/>
          <w:lang w:eastAsia="en-US"/>
        </w:rPr>
        <w:tab/>
        <w:t>Provjera faktora „otopine karbata”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Utvrditi faktor za otopinu karbata na dan upotrebe. U tu svrhu titrirati 10 ml otopine bakrova sulfata (točka 3.2.12.) s „otopinom karbata” nakon dodavanja 100 ml vode i 10 ml standardne acetatske pufer otopine (točka 3.2.10.). Ako je upotrijebljena količina „a” ml, faktor „f” iznosi:</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val="en-GB"/>
        </w:rPr>
        <w:drawing>
          <wp:inline distT="0" distB="0" distL="0" distR="0" wp14:anchorId="1939EA1B" wp14:editId="5DD6D118">
            <wp:extent cx="969645" cy="74358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617A71" w:rsidRPr="00BC3448" w:rsidRDefault="00617A71" w:rsidP="00617A71">
      <w:pPr>
        <w:widowControl/>
        <w:spacing w:before="120" w:after="120"/>
        <w:ind w:left="850"/>
        <w:jc w:val="both"/>
        <w:rPr>
          <w:rFonts w:eastAsia="Calibri"/>
          <w:noProof/>
          <w:szCs w:val="22"/>
          <w:lang w:eastAsia="en-US"/>
        </w:rPr>
      </w:pP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a svi se rezultati titracije množe tim faktorom.</w:t>
      </w: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3.4.</w:t>
      </w:r>
      <w:r w:rsidRPr="00BC3448">
        <w:rPr>
          <w:rFonts w:eastAsia="Calibri"/>
          <w:b/>
          <w:noProof/>
          <w:szCs w:val="22"/>
          <w:lang w:eastAsia="en-US"/>
        </w:rPr>
        <w:tab/>
        <w:t>Izračunavanje rezultata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Svaka neionska površinski aktivna tvar ima svoj faktor ovisno o sastavu, posebno o duljini lanca alken oksida. Koncentracija neionske površinski aktivne tvari izražava se u odnosu na standardnu tvar kao nonilfenol s deset jedinica etilen oksida (NP 10), s faktorom konverzije 0,054.</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Primjenom toga faktora ovako se računa količina površinski aktivne tvari sadržane u uzorku, izražena u mg ekvivalenta NP 10:</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(b – c) xfx 0,054 = mg neionske površinski aktivne tvari kao NP 10</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pri čemu je:</w:t>
      </w:r>
    </w:p>
    <w:tbl>
      <w:tblPr>
        <w:tblW w:w="0" w:type="auto"/>
        <w:tblInd w:w="1532" w:type="dxa"/>
        <w:tblLayout w:type="fixed"/>
        <w:tblLook w:val="0000" w:firstRow="0" w:lastRow="0" w:firstColumn="0" w:lastColumn="0" w:noHBand="0" w:noVBand="0"/>
      </w:tblPr>
      <w:tblGrid>
        <w:gridCol w:w="560"/>
        <w:gridCol w:w="560"/>
        <w:gridCol w:w="5102"/>
      </w:tblGrid>
      <w:tr w:rsidR="00617A71" w:rsidRPr="00BC3448" w:rsidTr="00270F20">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volumen „otopine karbata” upotrijebljene za uzorak (ml),</w:t>
            </w:r>
          </w:p>
        </w:tc>
      </w:tr>
      <w:tr w:rsidR="00617A71" w:rsidRPr="00BC3448" w:rsidTr="00270F20">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volumen „otopine karbata” upotrijebljene za slijepu probu (ml),</w:t>
            </w:r>
          </w:p>
        </w:tc>
      </w:tr>
      <w:tr w:rsidR="00617A71" w:rsidRPr="00BC3448" w:rsidTr="00270F20">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spacing w:before="120" w:after="120"/>
              <w:rPr>
                <w:rFonts w:eastAsia="Calibri"/>
                <w:noProof/>
                <w:szCs w:val="22"/>
                <w:lang w:eastAsia="en-US"/>
              </w:rPr>
            </w:pPr>
            <w:r w:rsidRPr="00BC3448">
              <w:rPr>
                <w:rFonts w:eastAsia="Calibri"/>
                <w:noProof/>
                <w:szCs w:val="22"/>
                <w:lang w:eastAsia="en-US"/>
              </w:rPr>
              <w:t>faktor „otopine karbata”.</w:t>
            </w:r>
          </w:p>
        </w:tc>
      </w:tr>
    </w:tbl>
    <w:p w:rsidR="00617A71" w:rsidRPr="00BC3448" w:rsidRDefault="00617A71" w:rsidP="00617A71">
      <w:pPr>
        <w:widowControl/>
        <w:spacing w:before="120" w:after="120"/>
        <w:jc w:val="both"/>
        <w:rPr>
          <w:rFonts w:eastAsia="Calibri"/>
          <w:noProof/>
          <w:szCs w:val="22"/>
          <w:lang w:eastAsia="en-US"/>
        </w:rPr>
      </w:pPr>
    </w:p>
    <w:p w:rsidR="00270F20" w:rsidRPr="00BC3448" w:rsidRDefault="00270F20"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br w:type="page"/>
      </w:r>
    </w:p>
    <w:p w:rsidR="00617A71" w:rsidRPr="00BC3448" w:rsidRDefault="00617A71" w:rsidP="00617A71">
      <w:pPr>
        <w:keepNext/>
        <w:widowControl/>
        <w:tabs>
          <w:tab w:val="left" w:pos="850"/>
        </w:tabs>
        <w:spacing w:before="120" w:after="120"/>
        <w:ind w:left="851" w:hanging="851"/>
        <w:jc w:val="both"/>
        <w:outlineLvl w:val="1"/>
        <w:rPr>
          <w:rFonts w:eastAsia="Calibri"/>
          <w:b/>
          <w:noProof/>
          <w:szCs w:val="22"/>
          <w:lang w:eastAsia="en-US"/>
        </w:rPr>
      </w:pPr>
      <w:r w:rsidRPr="00BC3448">
        <w:rPr>
          <w:rFonts w:eastAsia="Calibri"/>
          <w:b/>
          <w:noProof/>
          <w:szCs w:val="22"/>
          <w:lang w:eastAsia="en-US"/>
        </w:rPr>
        <w:t>3.5.</w:t>
      </w:r>
      <w:r w:rsidRPr="00BC3448">
        <w:rPr>
          <w:rFonts w:eastAsia="Calibri"/>
          <w:b/>
          <w:noProof/>
          <w:szCs w:val="22"/>
          <w:lang w:eastAsia="en-US"/>
        </w:rPr>
        <w:tab/>
        <w:t>Izražavanje rezultata</w:t>
      </w:r>
    </w:p>
    <w:p w:rsidR="00617A71" w:rsidRPr="00BC3448" w:rsidRDefault="00617A71" w:rsidP="00617A71">
      <w:pPr>
        <w:widowControl/>
        <w:spacing w:before="120" w:after="120"/>
        <w:ind w:left="850"/>
        <w:jc w:val="both"/>
        <w:rPr>
          <w:rFonts w:eastAsia="Calibri"/>
          <w:noProof/>
          <w:szCs w:val="22"/>
          <w:lang w:eastAsia="en-US"/>
        </w:rPr>
      </w:pPr>
      <w:r w:rsidRPr="00BC3448">
        <w:rPr>
          <w:rFonts w:eastAsia="Calibri"/>
          <w:noProof/>
          <w:szCs w:val="22"/>
          <w:lang w:eastAsia="en-US"/>
        </w:rPr>
        <w:t>Izraziti rezultate u mg/l kao NP 10 zaokruživanjem na 0,1.</w:t>
      </w:r>
    </w:p>
    <w:p w:rsidR="00617A71" w:rsidRPr="00BC3448" w:rsidRDefault="00617A71" w:rsidP="00617A71">
      <w:pPr>
        <w:widowControl/>
        <w:spacing w:before="120" w:after="120"/>
        <w:jc w:val="both"/>
        <w:rPr>
          <w:rFonts w:eastAsia="Calibri"/>
          <w:noProof/>
          <w:szCs w:val="22"/>
          <w:lang w:eastAsia="en-US"/>
        </w:rPr>
      </w:pPr>
    </w:p>
    <w:p w:rsidR="00617A71" w:rsidRPr="00BC3448" w:rsidRDefault="00617A71" w:rsidP="00617A71">
      <w:pPr>
        <w:keepNext/>
        <w:widowControl/>
        <w:spacing w:after="200"/>
        <w:jc w:val="center"/>
        <w:rPr>
          <w:rFonts w:eastAsia="Calibri"/>
          <w:i/>
          <w:iCs/>
          <w:noProof/>
          <w:color w:val="1F497D"/>
          <w:sz w:val="18"/>
          <w:szCs w:val="18"/>
          <w:lang w:eastAsia="en-US"/>
        </w:rPr>
      </w:pPr>
      <w:r w:rsidRPr="00BC3448">
        <w:rPr>
          <w:rFonts w:eastAsia="Calibri"/>
          <w:i/>
          <w:iCs/>
          <w:noProof/>
          <w:color w:val="1F497D"/>
          <w:sz w:val="18"/>
          <w:szCs w:val="18"/>
          <w:lang w:eastAsia="en-US"/>
        </w:rPr>
        <w:t xml:space="preserve">Slika </w:t>
      </w:r>
      <w:r w:rsidRPr="00BC3448">
        <w:rPr>
          <w:rFonts w:eastAsia="Calibri"/>
          <w:i/>
          <w:iCs/>
          <w:noProof/>
          <w:color w:val="1F497D"/>
          <w:sz w:val="18"/>
          <w:szCs w:val="18"/>
          <w:lang w:eastAsia="en-US"/>
        </w:rPr>
        <w:fldChar w:fldCharType="begin"/>
      </w:r>
      <w:r w:rsidRPr="00BC3448">
        <w:rPr>
          <w:rFonts w:eastAsia="Calibri"/>
          <w:i/>
          <w:iCs/>
          <w:noProof/>
          <w:color w:val="1F497D"/>
          <w:sz w:val="18"/>
          <w:szCs w:val="18"/>
          <w:lang w:eastAsia="en-US"/>
        </w:rPr>
        <w:instrText xml:space="preserve"> SEQ Figure \* ARABIC </w:instrText>
      </w:r>
      <w:r w:rsidRPr="00BC3448">
        <w:rPr>
          <w:rFonts w:eastAsia="Calibri"/>
          <w:i/>
          <w:iCs/>
          <w:noProof/>
          <w:color w:val="1F497D"/>
          <w:sz w:val="18"/>
          <w:szCs w:val="18"/>
          <w:lang w:eastAsia="en-US"/>
        </w:rPr>
        <w:fldChar w:fldCharType="separate"/>
      </w:r>
      <w:r w:rsidRPr="00BC3448">
        <w:rPr>
          <w:rFonts w:eastAsia="Calibri"/>
          <w:i/>
          <w:iCs/>
          <w:noProof/>
          <w:color w:val="1F497D"/>
          <w:sz w:val="18"/>
          <w:szCs w:val="18"/>
          <w:lang w:eastAsia="en-US"/>
        </w:rPr>
        <w:t>1</w:t>
      </w:r>
      <w:r w:rsidRPr="00BC3448">
        <w:rPr>
          <w:rFonts w:eastAsia="Calibri"/>
          <w:i/>
          <w:iCs/>
          <w:noProof/>
          <w:color w:val="1F497D"/>
          <w:sz w:val="18"/>
          <w:szCs w:val="18"/>
          <w:lang w:eastAsia="en-US"/>
        </w:rPr>
        <w:fldChar w:fldCharType="end"/>
      </w:r>
      <w:r w:rsidRPr="00BC3448">
        <w:rPr>
          <w:rFonts w:eastAsia="Calibri"/>
          <w:i/>
          <w:iCs/>
          <w:noProof/>
          <w:color w:val="1F497D"/>
          <w:sz w:val="18"/>
          <w:szCs w:val="18"/>
          <w:lang w:eastAsia="en-US"/>
        </w:rPr>
        <w:t>. Uređaj s aktiviranim talogom: shematski prikaz</w:t>
      </w:r>
    </w:p>
    <w:p w:rsidR="00617A71" w:rsidRPr="00BC3448" w:rsidRDefault="00617A71" w:rsidP="00617A71">
      <w:pPr>
        <w:widowControl/>
        <w:spacing w:before="120" w:after="120"/>
        <w:jc w:val="center"/>
        <w:rPr>
          <w:rFonts w:eastAsia="Calibri"/>
          <w:noProof/>
          <w:szCs w:val="22"/>
          <w:lang w:eastAsia="en-US"/>
        </w:rPr>
      </w:pPr>
      <w:r w:rsidRPr="00BC3448">
        <w:rPr>
          <w:rFonts w:eastAsia="Calibri"/>
          <w:noProof/>
          <w:szCs w:val="22"/>
          <w:lang w:val="en-GB"/>
        </w:rPr>
        <w:drawing>
          <wp:inline distT="0" distB="0" distL="0" distR="0" wp14:anchorId="152063E8" wp14:editId="16A57B1F">
            <wp:extent cx="5761355" cy="41059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355" cy="4105910"/>
                    </a:xfrm>
                    <a:prstGeom prst="rect">
                      <a:avLst/>
                    </a:prstGeom>
                  </pic:spPr>
                </pic:pic>
              </a:graphicData>
            </a:graphic>
          </wp:inline>
        </w:drawing>
      </w:r>
    </w:p>
    <w:p w:rsidR="00270F20" w:rsidRPr="00BC3448" w:rsidRDefault="00270F20" w:rsidP="00617A71">
      <w:pPr>
        <w:widowControl/>
        <w:spacing w:before="120" w:after="120"/>
        <w:jc w:val="center"/>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Posuda za čuvanje sintetičke otpadne vode</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Uređaj za doziranje</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Komora za uvođenje zraka (kapaciteta tri litre)</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Posuda za taloženje</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Pumpa s komprimiranim zrakom</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Posuda za prikupljanje obrađene otpadne vode</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Sinterirani uređaj za propuštanje zraka</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Mjerač protoka zraka</w:t>
            </w:r>
          </w:p>
        </w:tc>
      </w:tr>
      <w:tr w:rsidR="00617A71" w:rsidRPr="00BC3448" w:rsidTr="00270F20">
        <w:tc>
          <w:tcPr>
            <w:tcW w:w="62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Zrak</w:t>
            </w:r>
          </w:p>
        </w:tc>
      </w:tr>
    </w:tbl>
    <w:p w:rsidR="00617A71" w:rsidRPr="00BC3448" w:rsidRDefault="00617A71" w:rsidP="00617A71">
      <w:pPr>
        <w:widowControl/>
        <w:autoSpaceDE w:val="0"/>
        <w:autoSpaceDN w:val="0"/>
        <w:adjustRightInd w:val="0"/>
        <w:spacing w:before="60" w:after="60"/>
        <w:rPr>
          <w:rFonts w:eastAsia="Calibri"/>
          <w:noProof/>
          <w:color w:val="000000"/>
          <w:szCs w:val="24"/>
          <w:lang w:eastAsia="en-US"/>
        </w:rPr>
      </w:pPr>
    </w:p>
    <w:p w:rsidR="00617A71" w:rsidRPr="00BC3448" w:rsidRDefault="00617A71" w:rsidP="00617A71">
      <w:pPr>
        <w:keepNext/>
        <w:widowControl/>
        <w:spacing w:after="200"/>
        <w:jc w:val="center"/>
        <w:rPr>
          <w:rFonts w:eastAsia="Calibri"/>
          <w:i/>
          <w:iCs/>
          <w:noProof/>
          <w:color w:val="1F497D"/>
          <w:sz w:val="18"/>
          <w:szCs w:val="18"/>
          <w:lang w:eastAsia="en-US"/>
        </w:rPr>
      </w:pPr>
      <w:r w:rsidRPr="00BC3448">
        <w:rPr>
          <w:rFonts w:eastAsia="Calibri"/>
          <w:i/>
          <w:iCs/>
          <w:noProof/>
          <w:color w:val="1F497D"/>
          <w:sz w:val="18"/>
          <w:szCs w:val="18"/>
          <w:lang w:eastAsia="en-US"/>
        </w:rPr>
        <w:t xml:space="preserve">Slika </w:t>
      </w:r>
      <w:r w:rsidRPr="00BC3448">
        <w:rPr>
          <w:rFonts w:eastAsia="Calibri"/>
          <w:i/>
          <w:iCs/>
          <w:noProof/>
          <w:color w:val="1F497D"/>
          <w:sz w:val="18"/>
          <w:szCs w:val="18"/>
          <w:lang w:eastAsia="en-US"/>
        </w:rPr>
        <w:fldChar w:fldCharType="begin"/>
      </w:r>
      <w:r w:rsidRPr="00BC3448">
        <w:rPr>
          <w:rFonts w:eastAsia="Calibri"/>
          <w:i/>
          <w:iCs/>
          <w:noProof/>
          <w:color w:val="1F497D"/>
          <w:sz w:val="18"/>
          <w:szCs w:val="18"/>
          <w:lang w:eastAsia="en-US"/>
        </w:rPr>
        <w:instrText xml:space="preserve"> SEQ Figure \* ARABIC </w:instrText>
      </w:r>
      <w:r w:rsidRPr="00BC3448">
        <w:rPr>
          <w:rFonts w:eastAsia="Calibri"/>
          <w:i/>
          <w:iCs/>
          <w:noProof/>
          <w:color w:val="1F497D"/>
          <w:sz w:val="18"/>
          <w:szCs w:val="18"/>
          <w:lang w:eastAsia="en-US"/>
        </w:rPr>
        <w:fldChar w:fldCharType="separate"/>
      </w:r>
      <w:r w:rsidRPr="00BC3448">
        <w:rPr>
          <w:rFonts w:eastAsia="Calibri"/>
          <w:i/>
          <w:iCs/>
          <w:noProof/>
          <w:color w:val="1F497D"/>
          <w:sz w:val="18"/>
          <w:szCs w:val="18"/>
          <w:lang w:eastAsia="en-US"/>
        </w:rPr>
        <w:t>2</w:t>
      </w:r>
      <w:r w:rsidRPr="00BC3448">
        <w:rPr>
          <w:rFonts w:eastAsia="Calibri"/>
          <w:i/>
          <w:iCs/>
          <w:noProof/>
          <w:color w:val="1F497D"/>
          <w:sz w:val="18"/>
          <w:szCs w:val="18"/>
          <w:lang w:eastAsia="en-US"/>
        </w:rPr>
        <w:fldChar w:fldCharType="end"/>
      </w:r>
      <w:r w:rsidRPr="00BC3448">
        <w:rPr>
          <w:rFonts w:eastAsia="Calibri"/>
          <w:i/>
          <w:iCs/>
          <w:noProof/>
          <w:color w:val="1F497D"/>
          <w:sz w:val="18"/>
          <w:szCs w:val="18"/>
          <w:lang w:eastAsia="en-US"/>
        </w:rPr>
        <w:t>. Uređaj s aktiviranim talogom: detalji (dimenzije u milimetrima)</w:t>
      </w:r>
    </w:p>
    <w:p w:rsidR="00617A71" w:rsidRPr="00BC3448" w:rsidRDefault="00617A71" w:rsidP="00617A71">
      <w:pPr>
        <w:widowControl/>
        <w:spacing w:before="120" w:after="120"/>
        <w:jc w:val="center"/>
        <w:rPr>
          <w:rFonts w:eastAsia="Calibri"/>
          <w:noProof/>
          <w:szCs w:val="22"/>
          <w:lang w:eastAsia="en-US"/>
        </w:rPr>
      </w:pPr>
      <w:r w:rsidRPr="00BC3448">
        <w:rPr>
          <w:rFonts w:eastAsia="Calibri"/>
          <w:noProof/>
          <w:szCs w:val="22"/>
          <w:lang w:val="en-GB"/>
        </w:rPr>
        <w:drawing>
          <wp:inline distT="0" distB="0" distL="0" distR="0" wp14:anchorId="657124CF" wp14:editId="409DFD27">
            <wp:extent cx="4547955" cy="5610795"/>
            <wp:effectExtent l="0" t="0" r="508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9571" cy="5723821"/>
                    </a:xfrm>
                    <a:prstGeom prst="rect">
                      <a:avLst/>
                    </a:prstGeom>
                  </pic:spPr>
                </pic:pic>
              </a:graphicData>
            </a:graphic>
          </wp:inline>
        </w:drawing>
      </w:r>
    </w:p>
    <w:p w:rsidR="00270F20" w:rsidRPr="00BC3448" w:rsidRDefault="00270F20" w:rsidP="00617A71">
      <w:pPr>
        <w:widowControl/>
        <w:spacing w:before="120" w:after="120"/>
        <w:jc w:val="center"/>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jc w:val="center"/>
        <w:rPr>
          <w:rFonts w:eastAsia="Calibri"/>
          <w:noProof/>
          <w:szCs w:val="22"/>
          <w:lang w:eastAsia="en-US"/>
        </w:rPr>
      </w:pPr>
    </w:p>
    <w:p w:rsidR="00617A71" w:rsidRPr="00BC3448" w:rsidRDefault="00617A71" w:rsidP="00617A71">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617A71" w:rsidRPr="00BC3448" w:rsidTr="00270F20">
        <w:tc>
          <w:tcPr>
            <w:tcW w:w="61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Razina tekućine</w:t>
            </w:r>
          </w:p>
        </w:tc>
      </w:tr>
      <w:tr w:rsidR="00617A71" w:rsidRPr="00BC3448" w:rsidTr="00270F20">
        <w:tc>
          <w:tcPr>
            <w:tcW w:w="61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Tvrdi PVC</w:t>
            </w:r>
          </w:p>
        </w:tc>
      </w:tr>
      <w:tr w:rsidR="00617A71" w:rsidRPr="00BC3448" w:rsidTr="00270F20">
        <w:tc>
          <w:tcPr>
            <w:tcW w:w="61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Staklo ili vodootporna plastika (tvrdi PVC)</w:t>
            </w:r>
          </w:p>
        </w:tc>
      </w:tr>
    </w:tbl>
    <w:p w:rsidR="00270F20" w:rsidRPr="00BC3448" w:rsidRDefault="00270F20" w:rsidP="00617A71">
      <w:pPr>
        <w:widowControl/>
        <w:spacing w:before="120" w:after="120"/>
        <w:jc w:val="center"/>
        <w:rPr>
          <w:rFonts w:eastAsia="Calibri"/>
          <w:noProof/>
          <w:szCs w:val="22"/>
          <w:lang w:eastAsia="en-US"/>
        </w:rPr>
      </w:pPr>
      <w:r w:rsidRPr="00BC3448">
        <w:rPr>
          <w:rFonts w:eastAsia="Calibri"/>
          <w:noProof/>
          <w:szCs w:val="22"/>
          <w:lang w:eastAsia="en-US"/>
        </w:rPr>
        <w:br w:type="page"/>
      </w:r>
    </w:p>
    <w:p w:rsidR="00617A71" w:rsidRPr="00BC3448" w:rsidRDefault="00617A71" w:rsidP="00617A71">
      <w:pPr>
        <w:widowControl/>
        <w:spacing w:before="120" w:after="120"/>
        <w:jc w:val="center"/>
        <w:rPr>
          <w:rFonts w:eastAsia="Calibri"/>
          <w:noProof/>
          <w:szCs w:val="22"/>
          <w:lang w:eastAsia="en-US"/>
        </w:rPr>
      </w:pPr>
    </w:p>
    <w:p w:rsidR="00617A71" w:rsidRPr="00BC3448" w:rsidRDefault="00617A71" w:rsidP="00617A71">
      <w:pPr>
        <w:keepNext/>
        <w:widowControl/>
        <w:spacing w:after="200"/>
        <w:jc w:val="center"/>
        <w:rPr>
          <w:rFonts w:eastAsia="Calibri"/>
          <w:i/>
          <w:iCs/>
          <w:noProof/>
          <w:color w:val="1F497D"/>
          <w:sz w:val="18"/>
          <w:szCs w:val="18"/>
          <w:lang w:eastAsia="en-US"/>
        </w:rPr>
      </w:pPr>
      <w:r w:rsidRPr="00BC3448">
        <w:rPr>
          <w:rFonts w:eastAsia="Calibri"/>
          <w:i/>
          <w:iCs/>
          <w:noProof/>
          <w:color w:val="1F497D"/>
          <w:sz w:val="18"/>
          <w:szCs w:val="18"/>
          <w:lang w:eastAsia="en-US"/>
        </w:rPr>
        <w:t xml:space="preserve">Slika </w:t>
      </w:r>
      <w:r w:rsidRPr="00BC3448">
        <w:rPr>
          <w:rFonts w:eastAsia="Calibri"/>
          <w:i/>
          <w:iCs/>
          <w:noProof/>
          <w:color w:val="1F497D"/>
          <w:sz w:val="18"/>
          <w:szCs w:val="18"/>
          <w:lang w:eastAsia="en-US"/>
        </w:rPr>
        <w:fldChar w:fldCharType="begin"/>
      </w:r>
      <w:r w:rsidRPr="00BC3448">
        <w:rPr>
          <w:rFonts w:eastAsia="Calibri"/>
          <w:i/>
          <w:iCs/>
          <w:noProof/>
          <w:color w:val="1F497D"/>
          <w:sz w:val="18"/>
          <w:szCs w:val="18"/>
          <w:lang w:eastAsia="en-US"/>
        </w:rPr>
        <w:instrText xml:space="preserve"> SEQ Figure \* ARABIC </w:instrText>
      </w:r>
      <w:r w:rsidRPr="00BC3448">
        <w:rPr>
          <w:rFonts w:eastAsia="Calibri"/>
          <w:i/>
          <w:iCs/>
          <w:noProof/>
          <w:color w:val="1F497D"/>
          <w:sz w:val="18"/>
          <w:szCs w:val="18"/>
          <w:lang w:eastAsia="en-US"/>
        </w:rPr>
        <w:fldChar w:fldCharType="separate"/>
      </w:r>
      <w:r w:rsidRPr="00BC3448">
        <w:rPr>
          <w:rFonts w:eastAsia="Calibri"/>
          <w:i/>
          <w:iCs/>
          <w:noProof/>
          <w:color w:val="1F497D"/>
          <w:sz w:val="18"/>
          <w:szCs w:val="18"/>
          <w:lang w:eastAsia="en-US"/>
        </w:rPr>
        <w:t>3</w:t>
      </w:r>
      <w:r w:rsidRPr="00BC3448">
        <w:rPr>
          <w:rFonts w:eastAsia="Calibri"/>
          <w:i/>
          <w:iCs/>
          <w:noProof/>
          <w:color w:val="1F497D"/>
          <w:sz w:val="18"/>
          <w:szCs w:val="18"/>
          <w:lang w:eastAsia="en-US"/>
        </w:rPr>
        <w:fldChar w:fldCharType="end"/>
      </w:r>
      <w:r w:rsidRPr="00BC3448">
        <w:rPr>
          <w:rFonts w:eastAsia="Calibri"/>
          <w:i/>
          <w:iCs/>
          <w:noProof/>
          <w:color w:val="1F497D"/>
          <w:sz w:val="18"/>
          <w:szCs w:val="18"/>
          <w:lang w:eastAsia="en-US"/>
        </w:rPr>
        <w:t>. Računanje biorazgradivosti – test za dokazivanje</w:t>
      </w:r>
    </w:p>
    <w:p w:rsidR="00617A71" w:rsidRPr="00BC3448" w:rsidRDefault="00617A71" w:rsidP="00617A71">
      <w:pPr>
        <w:widowControl/>
        <w:spacing w:before="120" w:after="120"/>
        <w:jc w:val="center"/>
        <w:rPr>
          <w:rFonts w:eastAsia="Calibri"/>
          <w:noProof/>
          <w:szCs w:val="22"/>
          <w:lang w:eastAsia="en-US"/>
        </w:rPr>
      </w:pPr>
      <w:r w:rsidRPr="00BC3448">
        <w:rPr>
          <w:rFonts w:eastAsia="Calibri"/>
          <w:noProof/>
          <w:szCs w:val="22"/>
          <w:lang w:val="en-GB"/>
        </w:rPr>
        <w:drawing>
          <wp:inline distT="0" distB="0" distL="0" distR="0" wp14:anchorId="0805A6D9" wp14:editId="5BDE98F7">
            <wp:extent cx="3466531" cy="6191386"/>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2974" cy="6202893"/>
                    </a:xfrm>
                    <a:prstGeom prst="rect">
                      <a:avLst/>
                    </a:prstGeom>
                  </pic:spPr>
                </pic:pic>
              </a:graphicData>
            </a:graphic>
          </wp:inline>
        </w:drawing>
      </w:r>
    </w:p>
    <w:p w:rsidR="00270F20" w:rsidRPr="00BC3448" w:rsidRDefault="00270F20" w:rsidP="00617A71">
      <w:pPr>
        <w:widowControl/>
        <w:spacing w:before="120" w:after="120"/>
        <w:jc w:val="center"/>
        <w:rPr>
          <w:rFonts w:eastAsia="Calibri"/>
          <w:noProof/>
          <w:szCs w:val="22"/>
          <w:lang w:eastAsia="en-US"/>
        </w:rPr>
      </w:pPr>
      <w:r w:rsidRPr="00BC3448">
        <w:rPr>
          <w:rFonts w:eastAsia="Calibri"/>
          <w:noProof/>
          <w:szCs w:val="22"/>
          <w:lang w:eastAsia="en-US"/>
        </w:rPr>
        <w:br w:type="page"/>
      </w:r>
    </w:p>
    <w:p w:rsidR="00270F20" w:rsidRPr="00BC3448" w:rsidRDefault="00270F20" w:rsidP="00617A71">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Početno razdoblje</w:t>
            </w:r>
          </w:p>
        </w:tc>
      </w:tr>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Razdoblje računanja biorazgradivosti (dvadeset i jedan dan)</w:t>
            </w:r>
          </w:p>
        </w:tc>
      </w:tr>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Lako biološki razgradiva površinski aktivna tvar</w:t>
            </w:r>
          </w:p>
        </w:tc>
      </w:tr>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Teško biološki razgradiva površinski aktivna tvar</w:t>
            </w:r>
          </w:p>
        </w:tc>
      </w:tr>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Biorazgradnja (%)</w:t>
            </w:r>
          </w:p>
        </w:tc>
      </w:tr>
      <w:tr w:rsidR="00617A71" w:rsidRPr="00BC3448" w:rsidTr="00270F20">
        <w:tc>
          <w:tcPr>
            <w:tcW w:w="623"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rsidR="00617A71" w:rsidRPr="00BC3448" w:rsidRDefault="00617A71" w:rsidP="00617A71">
            <w:pPr>
              <w:widowControl/>
              <w:autoSpaceDE w:val="0"/>
              <w:autoSpaceDN w:val="0"/>
              <w:spacing w:before="120" w:after="120"/>
              <w:rPr>
                <w:noProof/>
                <w:szCs w:val="24"/>
                <w:lang w:eastAsia="en-US"/>
              </w:rPr>
            </w:pPr>
            <w:r w:rsidRPr="00BC3448">
              <w:rPr>
                <w:rFonts w:eastAsia="Calibri"/>
                <w:noProof/>
                <w:szCs w:val="22"/>
                <w:lang w:eastAsia="en-US"/>
              </w:rPr>
              <w:t>Vrijeme (dani)</w:t>
            </w:r>
          </w:p>
        </w:tc>
      </w:tr>
    </w:tbl>
    <w:p w:rsidR="00617A71" w:rsidRPr="00BC3448" w:rsidRDefault="00617A71" w:rsidP="00617A71">
      <w:pPr>
        <w:widowControl/>
        <w:spacing w:before="120" w:after="120"/>
        <w:jc w:val="center"/>
        <w:rPr>
          <w:rFonts w:eastAsia="Calibri"/>
          <w:noProof/>
          <w:szCs w:val="22"/>
          <w:lang w:eastAsia="en-US"/>
        </w:rPr>
      </w:pPr>
    </w:p>
    <w:p w:rsidR="00BC3448" w:rsidRPr="00BC3448" w:rsidRDefault="00BC3448" w:rsidP="001169ED">
      <w:pPr>
        <w:spacing w:before="120" w:after="120" w:line="360" w:lineRule="auto"/>
        <w:jc w:val="center"/>
        <w:rPr>
          <w:lang w:eastAsia="en-US"/>
        </w:rPr>
      </w:pPr>
      <w:r w:rsidRPr="00BC3448">
        <w:rPr>
          <w:lang w:eastAsia="en-US"/>
        </w:rPr>
        <w:br w:type="page"/>
      </w:r>
    </w:p>
    <w:p w:rsidR="001169ED" w:rsidRPr="00BC3448" w:rsidRDefault="00BC3448" w:rsidP="001169ED">
      <w:pPr>
        <w:spacing w:before="120" w:after="120" w:line="360" w:lineRule="auto"/>
        <w:jc w:val="center"/>
        <w:rPr>
          <w:lang w:eastAsia="en-US"/>
        </w:rPr>
      </w:pPr>
      <w:r w:rsidRPr="00BC3448">
        <w:rPr>
          <w:lang w:eastAsia="en-US"/>
        </w:rPr>
        <w:t>Prilog</w:t>
      </w:r>
      <w:r w:rsidR="001169ED" w:rsidRPr="00BC3448">
        <w:rPr>
          <w:lang w:eastAsia="en-US"/>
        </w:rPr>
        <w:t xml:space="preserve"> VIII.</w:t>
      </w:r>
    </w:p>
    <w:p w:rsidR="001169ED" w:rsidRPr="00BC3448" w:rsidRDefault="001169ED" w:rsidP="00BC3448">
      <w:pPr>
        <w:spacing w:before="120" w:after="120" w:line="360" w:lineRule="auto"/>
        <w:jc w:val="center"/>
        <w:rPr>
          <w:szCs w:val="24"/>
          <w:lang w:eastAsia="en-US"/>
        </w:rPr>
      </w:pPr>
      <w:r w:rsidRPr="00BC3448">
        <w:rPr>
          <w:szCs w:val="24"/>
          <w:lang w:eastAsia="en-US"/>
        </w:rPr>
        <w:t>KORELACIJSKA TABLICA</w:t>
      </w:r>
    </w:p>
    <w:p w:rsidR="001169ED" w:rsidRPr="00BC3448" w:rsidRDefault="001169ED" w:rsidP="001169ED">
      <w:pPr>
        <w:widowControl/>
        <w:rPr>
          <w:sz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377"/>
        <w:gridCol w:w="4688"/>
      </w:tblGrid>
      <w:tr w:rsidR="000E6710" w:rsidRPr="00BC3448" w:rsidTr="00270F20">
        <w:trPr>
          <w:tblHeader/>
        </w:trPr>
        <w:tc>
          <w:tcPr>
            <w:tcW w:w="0" w:type="auto"/>
          </w:tcPr>
          <w:p w:rsidR="00270F20" w:rsidRPr="00BC3448" w:rsidRDefault="00270F20" w:rsidP="00270F20">
            <w:pPr>
              <w:spacing w:before="120" w:after="120" w:line="360" w:lineRule="auto"/>
              <w:rPr>
                <w:szCs w:val="24"/>
                <w:lang w:val="en-GB" w:eastAsia="en-US"/>
              </w:rPr>
            </w:pPr>
            <w:proofErr w:type="spellStart"/>
            <w:r w:rsidRPr="00BC3448">
              <w:rPr>
                <w:szCs w:val="24"/>
                <w:lang w:val="en-GB" w:eastAsia="en-US"/>
              </w:rPr>
              <w:t>Uredba</w:t>
            </w:r>
            <w:proofErr w:type="spellEnd"/>
            <w:r w:rsidRPr="00BC3448">
              <w:rPr>
                <w:szCs w:val="24"/>
                <w:lang w:val="en-GB" w:eastAsia="en-US"/>
              </w:rPr>
              <w:t xml:space="preserve"> (EZ) br. 648/2004</w:t>
            </w:r>
          </w:p>
        </w:tc>
        <w:tc>
          <w:tcPr>
            <w:tcW w:w="0" w:type="auto"/>
          </w:tcPr>
          <w:p w:rsidR="00270F20" w:rsidRPr="00BC3448" w:rsidRDefault="00685679" w:rsidP="00270F20">
            <w:pPr>
              <w:spacing w:before="120" w:after="120" w:line="360" w:lineRule="auto"/>
              <w:rPr>
                <w:szCs w:val="24"/>
                <w:lang w:val="en-GB" w:eastAsia="en-US"/>
              </w:rPr>
            </w:pPr>
            <w:r w:rsidRPr="00BC3448">
              <w:rPr>
                <w:rFonts w:eastAsia="Calibri"/>
                <w:noProof/>
                <w:szCs w:val="22"/>
                <w:lang w:eastAsia="en-US"/>
              </w:rPr>
              <w:t>Ova Uredba</w:t>
            </w:r>
          </w:p>
        </w:tc>
      </w:tr>
      <w:tr w:rsidR="000E6710" w:rsidRPr="00BC3448" w:rsidTr="00270F20">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00270F20" w:rsidRPr="00BC3448">
              <w:rPr>
                <w:szCs w:val="24"/>
                <w:lang w:val="en-GB" w:eastAsia="en-US"/>
              </w:rPr>
              <w:t xml:space="preserve"> 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270F20" w:rsidRPr="00BC3448">
              <w:rPr>
                <w:szCs w:val="24"/>
                <w:lang w:val="en-GB" w:eastAsia="en-US"/>
              </w:rPr>
              <w:t>1</w:t>
            </w:r>
            <w:r w:rsidRPr="00BC3448">
              <w:rPr>
                <w:szCs w:val="24"/>
                <w:lang w:val="en-GB" w:eastAsia="en-US"/>
              </w:rPr>
              <w:t>.</w:t>
            </w:r>
          </w:p>
        </w:tc>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1.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1.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1.</w:t>
            </w:r>
          </w:p>
        </w:tc>
      </w:tr>
      <w:tr w:rsidR="000E6710" w:rsidRPr="00BC3448" w:rsidTr="00270F20">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r w:rsidRPr="00BC3448">
              <w:rPr>
                <w:szCs w:val="24"/>
                <w:lang w:val="en-GB" w:eastAsia="en-US"/>
              </w:rPr>
              <w:t>stavak</w:t>
            </w:r>
            <w:proofErr w:type="spellEnd"/>
            <w:r w:rsidRPr="00BC3448">
              <w:rPr>
                <w:szCs w:val="24"/>
                <w:lang w:val="en-GB" w:eastAsia="en-US"/>
              </w:rPr>
              <w:t xml:space="preserve"> 1.a</w:t>
            </w:r>
          </w:p>
        </w:tc>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2.</w:t>
            </w:r>
          </w:p>
        </w:tc>
      </w:tr>
      <w:tr w:rsidR="000E6710" w:rsidRPr="00BC3448" w:rsidTr="00270F20">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r w:rsidRPr="00BC3448">
              <w:rPr>
                <w:szCs w:val="24"/>
                <w:lang w:val="en-GB" w:eastAsia="en-US"/>
              </w:rPr>
              <w:t>stavak</w:t>
            </w:r>
            <w:proofErr w:type="spellEnd"/>
            <w:r w:rsidRPr="00BC3448">
              <w:rPr>
                <w:szCs w:val="24"/>
                <w:lang w:val="en-GB" w:eastAsia="en-US"/>
              </w:rPr>
              <w:t xml:space="preserve"> 1.b</w:t>
            </w:r>
          </w:p>
        </w:tc>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3.</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3.</w:t>
            </w:r>
          </w:p>
        </w:tc>
        <w:tc>
          <w:tcPr>
            <w:tcW w:w="0" w:type="auto"/>
          </w:tcPr>
          <w:p w:rsidR="00270F20" w:rsidRPr="00BC3448" w:rsidRDefault="00685679" w:rsidP="00685679">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6.</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4.</w:t>
            </w:r>
          </w:p>
        </w:tc>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7.</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340DE1"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340DE1" w:rsidRPr="00BC3448">
              <w:rPr>
                <w:szCs w:val="24"/>
                <w:lang w:val="en-GB" w:eastAsia="en-US"/>
              </w:rPr>
              <w:t>5</w:t>
            </w:r>
            <w:r w:rsidRPr="00BC3448">
              <w:rPr>
                <w:szCs w:val="24"/>
                <w:lang w:val="en-GB" w:eastAsia="en-US"/>
              </w:rPr>
              <w:t>.</w:t>
            </w:r>
          </w:p>
        </w:tc>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340DE1" w:rsidRPr="00BC3448">
              <w:rPr>
                <w:szCs w:val="24"/>
                <w:lang w:val="en-GB" w:eastAsia="en-US"/>
              </w:rPr>
              <w:t xml:space="preserve"> 2. </w:t>
            </w:r>
            <w:proofErr w:type="spellStart"/>
            <w:proofErr w:type="gramStart"/>
            <w:r w:rsidR="00340DE1" w:rsidRPr="00BC3448">
              <w:rPr>
                <w:szCs w:val="24"/>
                <w:lang w:val="en-GB" w:eastAsia="en-US"/>
              </w:rPr>
              <w:t>točka</w:t>
            </w:r>
            <w:proofErr w:type="spellEnd"/>
            <w:proofErr w:type="gramEnd"/>
            <w:r w:rsidR="00340DE1" w:rsidRPr="00BC3448">
              <w:rPr>
                <w:szCs w:val="24"/>
                <w:lang w:val="en-GB" w:eastAsia="en-US"/>
              </w:rPr>
              <w:t xml:space="preserve"> 8</w:t>
            </w:r>
            <w:r w:rsidRPr="00BC3448">
              <w:rPr>
                <w:szCs w:val="24"/>
                <w:lang w:val="en-GB" w:eastAsia="en-US"/>
              </w:rPr>
              <w:t>.</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340DE1"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340DE1" w:rsidRPr="00BC3448">
              <w:rPr>
                <w:szCs w:val="24"/>
                <w:lang w:val="en-GB" w:eastAsia="en-US"/>
              </w:rPr>
              <w:t>6</w:t>
            </w:r>
            <w:r w:rsidRPr="00BC3448">
              <w:rPr>
                <w:szCs w:val="24"/>
                <w:lang w:val="en-GB" w:eastAsia="en-US"/>
              </w:rPr>
              <w:t>.</w:t>
            </w:r>
          </w:p>
        </w:tc>
        <w:tc>
          <w:tcPr>
            <w:tcW w:w="0" w:type="auto"/>
          </w:tcPr>
          <w:p w:rsidR="00270F20" w:rsidRPr="00BC3448" w:rsidRDefault="00685679" w:rsidP="00340DE1">
            <w:pPr>
              <w:spacing w:before="120" w:after="120" w:line="360" w:lineRule="auto"/>
              <w:rPr>
                <w:szCs w:val="24"/>
                <w:lang w:val="en-GB" w:eastAsia="en-US"/>
              </w:rPr>
            </w:pPr>
            <w:proofErr w:type="spellStart"/>
            <w:r w:rsidRPr="00BC3448">
              <w:rPr>
                <w:szCs w:val="24"/>
                <w:lang w:val="en-GB" w:eastAsia="en-US"/>
              </w:rPr>
              <w:t>Članak</w:t>
            </w:r>
            <w:proofErr w:type="spellEnd"/>
            <w:r w:rsidR="003E2B52" w:rsidRPr="00BC3448">
              <w:rPr>
                <w:szCs w:val="24"/>
                <w:lang w:val="en-GB" w:eastAsia="en-US"/>
              </w:rPr>
              <w:t xml:space="preserve"> 2</w:t>
            </w:r>
            <w:r w:rsidRPr="00BC3448">
              <w:rPr>
                <w:szCs w:val="24"/>
                <w:lang w:val="en-GB" w:eastAsia="en-US"/>
              </w:rPr>
              <w:t xml:space="preserve">. </w:t>
            </w:r>
            <w:proofErr w:type="spellStart"/>
            <w:proofErr w:type="gramStart"/>
            <w:r w:rsidR="00340DE1" w:rsidRPr="00BC3448">
              <w:rPr>
                <w:szCs w:val="24"/>
                <w:lang w:val="en-GB" w:eastAsia="en-US"/>
              </w:rPr>
              <w:t>točka</w:t>
            </w:r>
            <w:proofErr w:type="spellEnd"/>
            <w:proofErr w:type="gramEnd"/>
            <w:r w:rsidR="00340DE1" w:rsidRPr="00BC3448">
              <w:rPr>
                <w:szCs w:val="24"/>
                <w:lang w:val="en-GB" w:eastAsia="en-US"/>
              </w:rPr>
              <w:t xml:space="preserve"> 1</w:t>
            </w:r>
            <w:r w:rsidRPr="00BC3448">
              <w:rPr>
                <w:szCs w:val="24"/>
                <w:lang w:val="en-GB" w:eastAsia="en-US"/>
              </w:rPr>
              <w:t>1.</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340DE1"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340DE1" w:rsidRPr="00BC3448">
              <w:rPr>
                <w:szCs w:val="24"/>
                <w:lang w:val="en-GB" w:eastAsia="en-US"/>
              </w:rPr>
              <w:t>7</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24081"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24081" w:rsidRPr="00BC3448">
              <w:rPr>
                <w:szCs w:val="24"/>
                <w:lang w:val="en-GB" w:eastAsia="en-US"/>
              </w:rPr>
              <w:t>8</w:t>
            </w:r>
            <w:r w:rsidRPr="00BC3448">
              <w:rPr>
                <w:szCs w:val="24"/>
                <w:lang w:val="en-GB" w:eastAsia="en-US"/>
              </w:rPr>
              <w:t>.</w:t>
            </w:r>
          </w:p>
        </w:tc>
        <w:tc>
          <w:tcPr>
            <w:tcW w:w="0" w:type="auto"/>
          </w:tcPr>
          <w:p w:rsidR="00270F20" w:rsidRPr="00BC3448" w:rsidRDefault="00685679" w:rsidP="00624081">
            <w:pPr>
              <w:spacing w:before="120" w:after="120" w:line="360" w:lineRule="auto"/>
              <w:rPr>
                <w:szCs w:val="24"/>
                <w:lang w:val="en-GB" w:eastAsia="en-US"/>
              </w:rPr>
            </w:pPr>
            <w:proofErr w:type="spellStart"/>
            <w:r w:rsidRPr="00BC3448">
              <w:rPr>
                <w:szCs w:val="24"/>
                <w:lang w:val="en-GB" w:eastAsia="en-US"/>
              </w:rPr>
              <w:t>Članak</w:t>
            </w:r>
            <w:proofErr w:type="spellEnd"/>
            <w:r w:rsidR="00624081" w:rsidRPr="00BC3448">
              <w:rPr>
                <w:szCs w:val="24"/>
                <w:lang w:val="en-GB" w:eastAsia="en-US"/>
              </w:rPr>
              <w:t xml:space="preserve"> 2</w:t>
            </w:r>
            <w:r w:rsidRPr="00BC3448">
              <w:rPr>
                <w:szCs w:val="24"/>
                <w:lang w:val="en-GB" w:eastAsia="en-US"/>
              </w:rPr>
              <w:t xml:space="preserve">. </w:t>
            </w:r>
            <w:proofErr w:type="spellStart"/>
            <w:proofErr w:type="gramStart"/>
            <w:r w:rsidR="00624081" w:rsidRPr="00BC3448">
              <w:rPr>
                <w:szCs w:val="24"/>
                <w:lang w:val="en-GB" w:eastAsia="en-US"/>
              </w:rPr>
              <w:t>točka</w:t>
            </w:r>
            <w:proofErr w:type="spellEnd"/>
            <w:proofErr w:type="gramEnd"/>
            <w:r w:rsidR="00624081" w:rsidRPr="00BC3448">
              <w:rPr>
                <w:szCs w:val="24"/>
                <w:lang w:val="en-GB" w:eastAsia="en-US"/>
              </w:rPr>
              <w:t xml:space="preserve"> 12</w:t>
            </w:r>
            <w:r w:rsidRPr="00BC3448">
              <w:rPr>
                <w:szCs w:val="24"/>
                <w:lang w:val="en-GB" w:eastAsia="en-US"/>
              </w:rPr>
              <w:t>.</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24081"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24081" w:rsidRPr="00BC3448">
              <w:rPr>
                <w:szCs w:val="24"/>
                <w:lang w:val="en-GB" w:eastAsia="en-US"/>
              </w:rPr>
              <w:t>9</w:t>
            </w:r>
            <w:r w:rsidRPr="00BC3448">
              <w:rPr>
                <w:szCs w:val="24"/>
                <w:lang w:val="en-GB" w:eastAsia="en-US"/>
              </w:rPr>
              <w:t>.</w:t>
            </w:r>
          </w:p>
        </w:tc>
        <w:tc>
          <w:tcPr>
            <w:tcW w:w="0" w:type="auto"/>
          </w:tcPr>
          <w:p w:rsidR="00270F20" w:rsidRPr="00BC3448" w:rsidRDefault="00685679" w:rsidP="00624081">
            <w:pPr>
              <w:spacing w:before="120" w:after="120" w:line="360" w:lineRule="auto"/>
              <w:rPr>
                <w:szCs w:val="24"/>
                <w:lang w:val="en-GB" w:eastAsia="en-US"/>
              </w:rPr>
            </w:pPr>
            <w:proofErr w:type="spellStart"/>
            <w:r w:rsidRPr="00BC3448">
              <w:rPr>
                <w:szCs w:val="24"/>
                <w:lang w:val="en-GB" w:eastAsia="en-US"/>
              </w:rPr>
              <w:t>Članak</w:t>
            </w:r>
            <w:proofErr w:type="spellEnd"/>
            <w:r w:rsidR="00624081" w:rsidRPr="00BC3448">
              <w:rPr>
                <w:szCs w:val="24"/>
                <w:lang w:val="en-GB" w:eastAsia="en-US"/>
              </w:rPr>
              <w:t xml:space="preserve"> 2</w:t>
            </w:r>
            <w:r w:rsidRPr="00BC3448">
              <w:rPr>
                <w:szCs w:val="24"/>
                <w:lang w:val="en-GB" w:eastAsia="en-US"/>
              </w:rPr>
              <w:t xml:space="preserve">. </w:t>
            </w:r>
            <w:proofErr w:type="spellStart"/>
            <w:proofErr w:type="gramStart"/>
            <w:r w:rsidR="00624081" w:rsidRPr="00BC3448">
              <w:rPr>
                <w:szCs w:val="24"/>
                <w:lang w:val="en-GB" w:eastAsia="en-US"/>
              </w:rPr>
              <w:t>točka</w:t>
            </w:r>
            <w:proofErr w:type="spellEnd"/>
            <w:proofErr w:type="gramEnd"/>
            <w:r w:rsidR="00624081" w:rsidRPr="00BC3448">
              <w:rPr>
                <w:szCs w:val="24"/>
                <w:lang w:val="en-GB" w:eastAsia="en-US"/>
              </w:rPr>
              <w:t xml:space="preserve"> 14.</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9E4F92" w:rsidRPr="00BC3448">
              <w:rPr>
                <w:szCs w:val="24"/>
                <w:lang w:val="en-GB" w:eastAsia="en-US"/>
              </w:rPr>
              <w:t xml:space="preserve"> 2</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w:t>
            </w:r>
            <w:r w:rsidR="009E4F92" w:rsidRPr="00BC3448">
              <w:rPr>
                <w:szCs w:val="24"/>
                <w:lang w:val="en-GB" w:eastAsia="en-US"/>
              </w:rPr>
              <w:t>9.a</w:t>
            </w:r>
            <w:r w:rsidRPr="00BC3448">
              <w:rPr>
                <w:szCs w:val="24"/>
                <w:lang w:val="en-GB" w:eastAsia="en-US"/>
              </w:rPr>
              <w:t>.</w:t>
            </w:r>
          </w:p>
        </w:tc>
        <w:tc>
          <w:tcPr>
            <w:tcW w:w="0" w:type="auto"/>
          </w:tcPr>
          <w:p w:rsidR="00270F20" w:rsidRPr="00BC3448" w:rsidRDefault="001F2C3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13.</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1F2C39"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r w:rsidR="001F2C39" w:rsidRPr="00BC3448">
              <w:rPr>
                <w:szCs w:val="24"/>
                <w:lang w:val="en-GB" w:eastAsia="en-US"/>
              </w:rPr>
              <w:t>0</w:t>
            </w:r>
            <w:r w:rsidRPr="00BC3448">
              <w:rPr>
                <w:szCs w:val="24"/>
                <w:lang w:val="en-GB" w:eastAsia="en-US"/>
              </w:rPr>
              <w:t>.</w:t>
            </w:r>
          </w:p>
        </w:tc>
        <w:tc>
          <w:tcPr>
            <w:tcW w:w="0" w:type="auto"/>
          </w:tcPr>
          <w:p w:rsidR="00270F20" w:rsidRPr="00BC3448" w:rsidRDefault="001F2C3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15.</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1F2C39"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r w:rsidR="001F2C39" w:rsidRPr="00BC3448">
              <w:rPr>
                <w:szCs w:val="24"/>
                <w:lang w:val="en-GB" w:eastAsia="en-US"/>
              </w:rPr>
              <w:t>1</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68567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1F2C39" w:rsidRPr="00BC3448">
              <w:rPr>
                <w:szCs w:val="24"/>
                <w:lang w:val="en-GB" w:eastAsia="en-US"/>
              </w:rPr>
              <w:t xml:space="preserve"> 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r w:rsidR="001F2C39" w:rsidRPr="00BC3448">
              <w:rPr>
                <w:szCs w:val="24"/>
                <w:lang w:val="en-GB" w:eastAsia="en-US"/>
              </w:rPr>
              <w:t>2</w:t>
            </w:r>
            <w:r w:rsidRPr="00BC3448">
              <w:rPr>
                <w:szCs w:val="24"/>
                <w:lang w:val="en-GB" w:eastAsia="en-US"/>
              </w:rPr>
              <w:t>.</w:t>
            </w:r>
          </w:p>
        </w:tc>
        <w:tc>
          <w:tcPr>
            <w:tcW w:w="0" w:type="auto"/>
          </w:tcPr>
          <w:p w:rsidR="00270F20" w:rsidRPr="00BC3448" w:rsidRDefault="001F2C3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 </w:t>
            </w:r>
            <w:proofErr w:type="spellStart"/>
            <w:proofErr w:type="gramStart"/>
            <w:r w:rsidRPr="00BC3448">
              <w:rPr>
                <w:szCs w:val="24"/>
                <w:lang w:val="en-GB" w:eastAsia="en-US"/>
              </w:rPr>
              <w:t>točka</w:t>
            </w:r>
            <w:proofErr w:type="spellEnd"/>
            <w:proofErr w:type="gramEnd"/>
            <w:r w:rsidRPr="00BC3448">
              <w:rPr>
                <w:szCs w:val="24"/>
                <w:lang w:val="en-GB" w:eastAsia="en-US"/>
              </w:rPr>
              <w:t xml:space="preserve"> 5.</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3.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8F1E5C" w:rsidRDefault="00424FDE" w:rsidP="00270F20">
            <w:pPr>
              <w:spacing w:before="120" w:after="120" w:line="360" w:lineRule="auto"/>
              <w:rPr>
                <w:szCs w:val="24"/>
                <w:lang w:val="pl-PL" w:eastAsia="en-US"/>
              </w:rPr>
            </w:pPr>
            <w:proofErr w:type="spellStart"/>
            <w:r w:rsidRPr="008F1E5C">
              <w:rPr>
                <w:szCs w:val="24"/>
                <w:lang w:val="pl-PL" w:eastAsia="en-US"/>
              </w:rPr>
              <w:t>Članak</w:t>
            </w:r>
            <w:proofErr w:type="spellEnd"/>
            <w:r w:rsidRPr="008F1E5C">
              <w:rPr>
                <w:szCs w:val="24"/>
                <w:lang w:val="pl-PL" w:eastAsia="en-US"/>
              </w:rPr>
              <w:t xml:space="preserve"> 3. </w:t>
            </w:r>
            <w:proofErr w:type="spellStart"/>
            <w:proofErr w:type="gramStart"/>
            <w:r w:rsidRPr="008F1E5C">
              <w:rPr>
                <w:szCs w:val="24"/>
                <w:lang w:val="pl-PL" w:eastAsia="en-US"/>
              </w:rPr>
              <w:t>stavak</w:t>
            </w:r>
            <w:proofErr w:type="spellEnd"/>
            <w:proofErr w:type="gramEnd"/>
            <w:r w:rsidRPr="008F1E5C">
              <w:rPr>
                <w:szCs w:val="24"/>
                <w:lang w:val="pl-PL" w:eastAsia="en-US"/>
              </w:rPr>
              <w:t xml:space="preserve"> 1. </w:t>
            </w:r>
            <w:proofErr w:type="gramStart"/>
            <w:r w:rsidRPr="008F1E5C">
              <w:rPr>
                <w:szCs w:val="24"/>
                <w:lang w:val="pl-PL" w:eastAsia="en-US"/>
              </w:rPr>
              <w:t>i</w:t>
            </w:r>
            <w:proofErr w:type="gramEnd"/>
            <w:r w:rsidRPr="008F1E5C">
              <w:rPr>
                <w:szCs w:val="24"/>
                <w:lang w:val="pl-PL" w:eastAsia="en-US"/>
              </w:rPr>
              <w:t xml:space="preserve"> </w:t>
            </w:r>
            <w:proofErr w:type="spellStart"/>
            <w:r w:rsidRPr="008F1E5C">
              <w:rPr>
                <w:szCs w:val="24"/>
                <w:lang w:val="pl-PL" w:eastAsia="en-US"/>
              </w:rPr>
              <w:t>Članak</w:t>
            </w:r>
            <w:proofErr w:type="spellEnd"/>
            <w:r w:rsidRPr="008F1E5C">
              <w:rPr>
                <w:szCs w:val="24"/>
                <w:lang w:val="pl-PL" w:eastAsia="en-US"/>
              </w:rPr>
              <w:t xml:space="preserve"> 4. </w:t>
            </w:r>
            <w:proofErr w:type="spellStart"/>
            <w:proofErr w:type="gramStart"/>
            <w:r w:rsidRPr="008F1E5C">
              <w:rPr>
                <w:szCs w:val="24"/>
                <w:lang w:val="pl-PL" w:eastAsia="en-US"/>
              </w:rPr>
              <w:t>stavak</w:t>
            </w:r>
            <w:proofErr w:type="spellEnd"/>
            <w:proofErr w:type="gramEnd"/>
            <w:r w:rsidRPr="008F1E5C">
              <w:rPr>
                <w:szCs w:val="24"/>
                <w:lang w:val="pl-PL" w:eastAsia="en-US"/>
              </w:rPr>
              <w:t xml:space="preserve"> 2.</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3.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3.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3.</w:t>
            </w:r>
          </w:p>
        </w:tc>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7.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3.</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4.a</w:t>
            </w:r>
          </w:p>
        </w:tc>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270F20" w:rsidRPr="00BC3448">
              <w:rPr>
                <w:szCs w:val="24"/>
                <w:lang w:val="en-GB" w:eastAsia="en-US"/>
              </w:rPr>
              <w:t xml:space="preserve"> 6</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EF5589"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EF5589"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EF5589"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3</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4</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5</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6</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3</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765631" w:rsidRPr="00BC3448">
              <w:rPr>
                <w:szCs w:val="24"/>
                <w:lang w:val="en-GB" w:eastAsia="en-US"/>
              </w:rPr>
              <w:t>4</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7. </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765631" w:rsidRPr="00BC3448">
              <w:rPr>
                <w:szCs w:val="24"/>
                <w:lang w:val="en-GB" w:eastAsia="en-US"/>
              </w:rPr>
              <w:t xml:space="preserve"> 8</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8</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8</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3</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8</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4</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9</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8.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9</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9</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3</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7</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6</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10</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310A9" w:rsidRPr="00BC3448">
              <w:rPr>
                <w:szCs w:val="24"/>
                <w:lang w:val="en-GB" w:eastAsia="en-US"/>
              </w:rPr>
              <w:t xml:space="preserve"> 10</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310A9" w:rsidRPr="00BC3448">
              <w:rPr>
                <w:szCs w:val="24"/>
                <w:lang w:val="en-GB" w:eastAsia="en-US"/>
              </w:rPr>
              <w:t>2</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22</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r w:rsidR="00566BC1" w:rsidRPr="00BC3448">
              <w:rPr>
                <w:szCs w:val="24"/>
                <w:lang w:val="en-GB" w:eastAsia="en-US"/>
              </w:rPr>
              <w:t xml:space="preserve"> </w:t>
            </w:r>
            <w:proofErr w:type="spellStart"/>
            <w:r w:rsidR="00566BC1" w:rsidRPr="00BC3448">
              <w:rPr>
                <w:szCs w:val="24"/>
                <w:lang w:val="en-GB" w:eastAsia="en-US"/>
              </w:rPr>
              <w:t>točka</w:t>
            </w:r>
            <w:proofErr w:type="spellEnd"/>
            <w:r w:rsidR="00566BC1" w:rsidRPr="00BC3448">
              <w:rPr>
                <w:szCs w:val="24"/>
                <w:lang w:val="en-GB" w:eastAsia="en-US"/>
              </w:rPr>
              <w:t xml:space="preserve"> (b)</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11. </w:t>
            </w:r>
            <w:proofErr w:type="spellStart"/>
            <w:proofErr w:type="gramStart"/>
            <w:r w:rsidR="00566BC1" w:rsidRPr="00BC3448">
              <w:rPr>
                <w:szCs w:val="24"/>
                <w:lang w:val="en-GB" w:eastAsia="en-US"/>
              </w:rPr>
              <w:t>stavci</w:t>
            </w:r>
            <w:proofErr w:type="spellEnd"/>
            <w:proofErr w:type="gramEnd"/>
            <w:r w:rsidR="00566BC1" w:rsidRPr="00BC3448">
              <w:rPr>
                <w:szCs w:val="24"/>
                <w:lang w:val="en-GB" w:eastAsia="en-US"/>
              </w:rPr>
              <w:t xml:space="preserve"> 2. </w:t>
            </w:r>
            <w:proofErr w:type="spellStart"/>
            <w:proofErr w:type="gramStart"/>
            <w:r w:rsidR="00566BC1" w:rsidRPr="00BC3448">
              <w:rPr>
                <w:szCs w:val="24"/>
                <w:lang w:val="en-GB" w:eastAsia="en-US"/>
              </w:rPr>
              <w:t>i</w:t>
            </w:r>
            <w:proofErr w:type="spellEnd"/>
            <w:proofErr w:type="gramEnd"/>
            <w:r w:rsidR="00566BC1" w:rsidRPr="00BC3448">
              <w:rPr>
                <w:szCs w:val="24"/>
                <w:lang w:val="en-GB" w:eastAsia="en-US"/>
              </w:rPr>
              <w:t xml:space="preserve"> 3</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3</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4</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4</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5</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5</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11</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6</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12. </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2</w:t>
            </w:r>
            <w:r w:rsidRPr="00BC3448">
              <w:rPr>
                <w:szCs w:val="24"/>
                <w:lang w:val="en-GB" w:eastAsia="en-US"/>
              </w:rPr>
              <w:t>8</w:t>
            </w:r>
            <w:r w:rsidR="00566BC1" w:rsidRPr="00BC3448">
              <w:rPr>
                <w:szCs w:val="24"/>
                <w:lang w:val="en-GB" w:eastAsia="en-US"/>
              </w:rPr>
              <w:t xml:space="preserve">. </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 xml:space="preserve">. </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26. </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a</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1.</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27</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1</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a</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w:t>
            </w:r>
            <w:r w:rsidR="00566BC1" w:rsidRPr="00BC3448">
              <w:rPr>
                <w:szCs w:val="24"/>
                <w:lang w:val="en-GB" w:eastAsia="en-US"/>
              </w:rPr>
              <w:t>2</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27</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a</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w:t>
            </w:r>
            <w:r w:rsidR="00566BC1" w:rsidRPr="00BC3448">
              <w:rPr>
                <w:szCs w:val="24"/>
                <w:lang w:val="en-GB" w:eastAsia="en-US"/>
              </w:rPr>
              <w:t>3</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27</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3</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a</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w:t>
            </w:r>
            <w:r w:rsidR="00566BC1" w:rsidRPr="00BC3448">
              <w:rPr>
                <w:szCs w:val="24"/>
                <w:lang w:val="en-GB" w:eastAsia="en-US"/>
              </w:rPr>
              <w:t>4</w:t>
            </w:r>
            <w:r w:rsidRPr="00BC3448">
              <w:rPr>
                <w:szCs w:val="24"/>
                <w:lang w:val="en-GB" w:eastAsia="en-US"/>
              </w:rPr>
              <w:t>.</w:t>
            </w:r>
          </w:p>
        </w:tc>
        <w:tc>
          <w:tcPr>
            <w:tcW w:w="0" w:type="auto"/>
          </w:tcPr>
          <w:p w:rsidR="00270F20" w:rsidRPr="00BC3448" w:rsidRDefault="006310A9" w:rsidP="00270F20">
            <w:pPr>
              <w:spacing w:before="120" w:after="120" w:line="360" w:lineRule="auto"/>
              <w:rPr>
                <w:szCs w:val="24"/>
                <w:lang w:val="en-GB" w:eastAsia="en-US"/>
              </w:rPr>
            </w:pPr>
            <w:proofErr w:type="spellStart"/>
            <w:r w:rsidRPr="00BC3448">
              <w:rPr>
                <w:szCs w:val="24"/>
                <w:lang w:val="en-GB" w:eastAsia="en-US"/>
              </w:rPr>
              <w:t>Članak</w:t>
            </w:r>
            <w:proofErr w:type="spellEnd"/>
            <w:r w:rsidR="00566BC1" w:rsidRPr="00BC3448">
              <w:rPr>
                <w:szCs w:val="24"/>
                <w:lang w:val="en-GB" w:eastAsia="en-US"/>
              </w:rPr>
              <w:t xml:space="preserve"> 27</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566BC1" w:rsidRPr="00BC3448">
              <w:rPr>
                <w:szCs w:val="24"/>
                <w:lang w:val="en-GB" w:eastAsia="en-US"/>
              </w:rPr>
              <w:t>5</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w:t>
            </w:r>
            <w:r w:rsidR="00566BC1" w:rsidRPr="00BC3448">
              <w:rPr>
                <w:szCs w:val="24"/>
                <w:lang w:val="en-GB" w:eastAsia="en-US"/>
              </w:rPr>
              <w:t>1</w:t>
            </w:r>
            <w:r w:rsidRPr="00BC3448">
              <w:rPr>
                <w:szCs w:val="24"/>
                <w:lang w:val="en-GB" w:eastAsia="en-US"/>
              </w:rPr>
              <w:t>3.</w:t>
            </w:r>
            <w:r w:rsidR="00566BC1" w:rsidRPr="00BC3448">
              <w:rPr>
                <w:szCs w:val="24"/>
                <w:lang w:val="en-GB" w:eastAsia="en-US"/>
              </w:rPr>
              <w:t>a</w:t>
            </w:r>
            <w:r w:rsidRPr="00BC3448">
              <w:rPr>
                <w:szCs w:val="24"/>
                <w:lang w:val="en-GB" w:eastAsia="en-US"/>
              </w:rPr>
              <w:t xml:space="preserve"> </w:t>
            </w:r>
            <w:proofErr w:type="spellStart"/>
            <w:r w:rsidRPr="00BC3448">
              <w:rPr>
                <w:szCs w:val="24"/>
                <w:lang w:val="en-GB" w:eastAsia="en-US"/>
              </w:rPr>
              <w:t>stavak</w:t>
            </w:r>
            <w:proofErr w:type="spellEnd"/>
            <w:r w:rsidRPr="00BC3448">
              <w:rPr>
                <w:szCs w:val="24"/>
                <w:lang w:val="en-GB" w:eastAsia="en-US"/>
              </w:rPr>
              <w:t xml:space="preserve"> </w:t>
            </w:r>
            <w:r w:rsidR="00566BC1" w:rsidRPr="00BC3448">
              <w:rPr>
                <w:szCs w:val="24"/>
                <w:lang w:val="en-GB" w:eastAsia="en-US"/>
              </w:rPr>
              <w:t>5</w:t>
            </w:r>
            <w:r w:rsidRPr="00BC3448">
              <w:rPr>
                <w:szCs w:val="24"/>
                <w:lang w:val="en-GB" w:eastAsia="en-US"/>
              </w:rPr>
              <w:t>.</w:t>
            </w:r>
          </w:p>
        </w:tc>
        <w:tc>
          <w:tcPr>
            <w:tcW w:w="0" w:type="auto"/>
          </w:tcPr>
          <w:p w:rsidR="00270F20" w:rsidRPr="00BC3448" w:rsidRDefault="00566BC1"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27.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6.</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14</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065D4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3.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2.</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14</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065D4E"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14</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065D4E" w:rsidRPr="00BC3448">
              <w:rPr>
                <w:szCs w:val="24"/>
                <w:lang w:val="en-GB" w:eastAsia="en-US"/>
              </w:rPr>
              <w:t>3</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14</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065D4E" w:rsidRPr="00BC3448">
              <w:rPr>
                <w:szCs w:val="24"/>
                <w:lang w:val="en-GB" w:eastAsia="en-US"/>
              </w:rPr>
              <w:t>4</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065D4E">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14</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065D4E" w:rsidRPr="00BC3448">
              <w:rPr>
                <w:szCs w:val="24"/>
                <w:lang w:val="en-GB" w:eastAsia="en-US"/>
              </w:rPr>
              <w:t>5</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65D4E" w:rsidRPr="00BC3448">
              <w:rPr>
                <w:szCs w:val="24"/>
                <w:lang w:val="en-GB" w:eastAsia="en-US"/>
              </w:rPr>
              <w:t xml:space="preserve"> 15</w:t>
            </w:r>
            <w:r w:rsidRPr="00BC3448">
              <w:rPr>
                <w:szCs w:val="24"/>
                <w:lang w:val="en-GB" w:eastAsia="en-US"/>
              </w:rPr>
              <w:t xml:space="preserve">. </w:t>
            </w:r>
            <w:proofErr w:type="spellStart"/>
            <w:proofErr w:type="gramStart"/>
            <w:r w:rsidR="00065D4E" w:rsidRPr="00BC3448">
              <w:rPr>
                <w:szCs w:val="24"/>
                <w:lang w:val="en-GB" w:eastAsia="en-US"/>
              </w:rPr>
              <w:t>stavak</w:t>
            </w:r>
            <w:proofErr w:type="spellEnd"/>
            <w:proofErr w:type="gramEnd"/>
            <w:r w:rsidR="00065D4E" w:rsidRPr="00BC3448">
              <w:rPr>
                <w:szCs w:val="24"/>
                <w:lang w:val="en-GB" w:eastAsia="en-US"/>
              </w:rPr>
              <w:t xml:space="preserve"> 1. </w:t>
            </w:r>
            <w:proofErr w:type="spellStart"/>
            <w:r w:rsidR="00065D4E" w:rsidRPr="00BC3448">
              <w:rPr>
                <w:szCs w:val="24"/>
                <w:lang w:val="en-GB" w:eastAsia="en-US"/>
              </w:rPr>
              <w:t>prvi</w:t>
            </w:r>
            <w:proofErr w:type="spellEnd"/>
            <w:r w:rsidR="00065D4E" w:rsidRPr="00BC3448">
              <w:rPr>
                <w:szCs w:val="24"/>
                <w:lang w:val="en-GB" w:eastAsia="en-US"/>
              </w:rPr>
              <w:t xml:space="preserve"> </w:t>
            </w:r>
            <w:proofErr w:type="spellStart"/>
            <w:r w:rsidR="00065D4E" w:rsidRPr="00BC3448">
              <w:rPr>
                <w:szCs w:val="24"/>
                <w:lang w:val="en-GB" w:eastAsia="en-US"/>
              </w:rPr>
              <w:t>pod</w:t>
            </w:r>
            <w:r w:rsidRPr="00BC3448">
              <w:rPr>
                <w:szCs w:val="24"/>
                <w:lang w:val="en-GB" w:eastAsia="en-US"/>
              </w:rPr>
              <w:t>stavak</w:t>
            </w:r>
            <w:proofErr w:type="spellEnd"/>
            <w:r w:rsidRPr="00BC3448">
              <w:rPr>
                <w:szCs w:val="24"/>
                <w:lang w:val="en-GB" w:eastAsia="en-US"/>
              </w:rPr>
              <w:t xml:space="preserve"> </w:t>
            </w:r>
          </w:p>
        </w:tc>
        <w:tc>
          <w:tcPr>
            <w:tcW w:w="0" w:type="auto"/>
          </w:tcPr>
          <w:p w:rsidR="00270F20" w:rsidRPr="00BC3448" w:rsidRDefault="00065D4E"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0E6710" w:rsidRPr="00BC3448">
              <w:rPr>
                <w:szCs w:val="24"/>
                <w:lang w:val="en-GB" w:eastAsia="en-US"/>
              </w:rPr>
              <w:t xml:space="preserve"> 15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r w:rsidR="000E6710" w:rsidRPr="00BC3448">
              <w:rPr>
                <w:szCs w:val="24"/>
                <w:lang w:val="en-GB" w:eastAsia="en-US"/>
              </w:rPr>
              <w:t xml:space="preserve"> </w:t>
            </w:r>
            <w:proofErr w:type="spellStart"/>
            <w:r w:rsidR="000E6710" w:rsidRPr="00BC3448">
              <w:rPr>
                <w:szCs w:val="24"/>
                <w:lang w:val="en-GB" w:eastAsia="en-US"/>
              </w:rPr>
              <w:t>drugi</w:t>
            </w:r>
            <w:proofErr w:type="spellEnd"/>
            <w:r w:rsidR="000E6710" w:rsidRPr="00BC3448">
              <w:rPr>
                <w:szCs w:val="24"/>
                <w:lang w:val="en-GB" w:eastAsia="en-US"/>
              </w:rPr>
              <w:t xml:space="preserve"> </w:t>
            </w:r>
            <w:proofErr w:type="spellStart"/>
            <w:r w:rsidR="000E6710" w:rsidRPr="00BC3448">
              <w:rPr>
                <w:szCs w:val="24"/>
                <w:lang w:val="en-GB" w:eastAsia="en-US"/>
              </w:rPr>
              <w:t>podstavak</w:t>
            </w:r>
            <w:proofErr w:type="spellEnd"/>
          </w:p>
        </w:tc>
        <w:tc>
          <w:tcPr>
            <w:tcW w:w="0" w:type="auto"/>
          </w:tcPr>
          <w:p w:rsidR="00270F20" w:rsidRPr="00BC3448" w:rsidRDefault="000E6710"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24.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3.</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90673" w:rsidRPr="00BC3448">
              <w:rPr>
                <w:szCs w:val="24"/>
                <w:lang w:val="en-GB" w:eastAsia="en-US"/>
              </w:rPr>
              <w:t>2</w:t>
            </w:r>
            <w:r w:rsidRPr="00BC3448">
              <w:rPr>
                <w:szCs w:val="24"/>
                <w:lang w:val="en-GB" w:eastAsia="en-US"/>
              </w:rPr>
              <w:t>.</w:t>
            </w:r>
          </w:p>
        </w:tc>
        <w:tc>
          <w:tcPr>
            <w:tcW w:w="0" w:type="auto"/>
          </w:tcPr>
          <w:p w:rsidR="00270F20" w:rsidRPr="00BC3448" w:rsidRDefault="000E6710"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w:t>
            </w:r>
            <w:r w:rsidR="00690673" w:rsidRPr="00BC3448">
              <w:rPr>
                <w:szCs w:val="24"/>
                <w:lang w:val="en-GB" w:eastAsia="en-US"/>
              </w:rPr>
              <w:t>5</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90673" w:rsidRPr="00BC3448">
              <w:rPr>
                <w:szCs w:val="24"/>
                <w:lang w:val="en-GB" w:eastAsia="en-US"/>
              </w:rPr>
              <w:t>4</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1.</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16</w:t>
            </w:r>
            <w:r w:rsidRPr="00BC3448">
              <w:rPr>
                <w:szCs w:val="24"/>
                <w:lang w:val="en-GB" w:eastAsia="en-US"/>
              </w:rPr>
              <w:t xml:space="preserve">. </w:t>
            </w:r>
            <w:proofErr w:type="spellStart"/>
            <w:proofErr w:type="gramStart"/>
            <w:r w:rsidRPr="00BC3448">
              <w:rPr>
                <w:szCs w:val="24"/>
                <w:lang w:val="en-GB" w:eastAsia="en-US"/>
              </w:rPr>
              <w:t>stavak</w:t>
            </w:r>
            <w:proofErr w:type="spellEnd"/>
            <w:proofErr w:type="gramEnd"/>
            <w:r w:rsidRPr="00BC3448">
              <w:rPr>
                <w:szCs w:val="24"/>
                <w:lang w:val="en-GB" w:eastAsia="en-US"/>
              </w:rPr>
              <w:t xml:space="preserve"> </w:t>
            </w:r>
            <w:r w:rsidR="00690673" w:rsidRPr="00BC3448">
              <w:rPr>
                <w:szCs w:val="24"/>
                <w:lang w:val="en-GB" w:eastAsia="en-US"/>
              </w:rPr>
              <w:t>2</w:t>
            </w:r>
            <w:r w:rsidRPr="00BC3448">
              <w:rPr>
                <w:szCs w:val="24"/>
                <w:lang w:val="en-GB" w:eastAsia="en-US"/>
              </w:rPr>
              <w:t>.</w:t>
            </w:r>
          </w:p>
        </w:tc>
        <w:tc>
          <w:tcPr>
            <w:tcW w:w="0" w:type="auto"/>
          </w:tcPr>
          <w:p w:rsidR="00270F20" w:rsidRPr="00BC3448" w:rsidRDefault="00270F20" w:rsidP="00270F20">
            <w:pPr>
              <w:spacing w:before="120" w:after="120" w:line="360" w:lineRule="auto"/>
              <w:rPr>
                <w:szCs w:val="24"/>
                <w:lang w:val="en-GB" w:eastAsia="en-US"/>
              </w:rPr>
            </w:pP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17</w:t>
            </w:r>
          </w:p>
        </w:tc>
        <w:tc>
          <w:tcPr>
            <w:tcW w:w="0" w:type="auto"/>
          </w:tcPr>
          <w:p w:rsidR="00270F20" w:rsidRPr="00BC3448" w:rsidRDefault="000E6710"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33. </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18</w:t>
            </w:r>
            <w:r w:rsidRPr="00BC3448">
              <w:rPr>
                <w:szCs w:val="24"/>
                <w:lang w:val="en-GB" w:eastAsia="en-US"/>
              </w:rPr>
              <w:t>.</w:t>
            </w:r>
          </w:p>
        </w:tc>
        <w:tc>
          <w:tcPr>
            <w:tcW w:w="0" w:type="auto"/>
          </w:tcPr>
          <w:p w:rsidR="00270F20" w:rsidRPr="00BC3448" w:rsidRDefault="000E6710" w:rsidP="00270F20">
            <w:pPr>
              <w:spacing w:before="120" w:after="120" w:line="360" w:lineRule="auto"/>
              <w:rPr>
                <w:szCs w:val="24"/>
                <w:lang w:val="en-GB" w:eastAsia="en-US"/>
              </w:rPr>
            </w:pPr>
            <w:proofErr w:type="spellStart"/>
            <w:r w:rsidRPr="00BC3448">
              <w:rPr>
                <w:szCs w:val="24"/>
                <w:lang w:val="en-GB" w:eastAsia="en-US"/>
              </w:rPr>
              <w:t>Članak</w:t>
            </w:r>
            <w:proofErr w:type="spellEnd"/>
            <w:r w:rsidRPr="00BC3448">
              <w:rPr>
                <w:szCs w:val="24"/>
                <w:lang w:val="en-GB" w:eastAsia="en-US"/>
              </w:rPr>
              <w:t xml:space="preserve"> 2</w:t>
            </w:r>
            <w:r w:rsidR="00690673" w:rsidRPr="00BC3448">
              <w:rPr>
                <w:szCs w:val="24"/>
                <w:lang w:val="en-GB" w:eastAsia="en-US"/>
              </w:rPr>
              <w:t>9</w:t>
            </w:r>
            <w:r w:rsidRPr="00BC3448">
              <w:rPr>
                <w:szCs w:val="24"/>
                <w:lang w:val="en-GB" w:eastAsia="en-US"/>
              </w:rPr>
              <w:t>.</w:t>
            </w:r>
          </w:p>
        </w:tc>
      </w:tr>
      <w:tr w:rsidR="000E6710" w:rsidRPr="00BC3448" w:rsidTr="00270F20">
        <w:tc>
          <w:tcPr>
            <w:tcW w:w="0" w:type="auto"/>
          </w:tcPr>
          <w:p w:rsidR="00270F20" w:rsidRPr="00BC3448" w:rsidRDefault="00424FDE"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19.</w:t>
            </w:r>
          </w:p>
        </w:tc>
        <w:tc>
          <w:tcPr>
            <w:tcW w:w="0" w:type="auto"/>
          </w:tcPr>
          <w:p w:rsidR="00270F20" w:rsidRPr="00BC3448" w:rsidRDefault="000E6710" w:rsidP="00270F20">
            <w:pPr>
              <w:spacing w:before="120" w:after="120" w:line="360" w:lineRule="auto"/>
              <w:rPr>
                <w:szCs w:val="24"/>
                <w:lang w:val="en-GB" w:eastAsia="en-US"/>
              </w:rPr>
            </w:pPr>
            <w:proofErr w:type="spellStart"/>
            <w:r w:rsidRPr="00BC3448">
              <w:rPr>
                <w:szCs w:val="24"/>
                <w:lang w:val="en-GB" w:eastAsia="en-US"/>
              </w:rPr>
              <w:t>Članak</w:t>
            </w:r>
            <w:proofErr w:type="spellEnd"/>
            <w:r w:rsidR="00690673" w:rsidRPr="00BC3448">
              <w:rPr>
                <w:szCs w:val="24"/>
                <w:lang w:val="en-GB" w:eastAsia="en-US"/>
              </w:rPr>
              <w:t xml:space="preserve"> 35</w:t>
            </w:r>
            <w:r w:rsidRPr="00BC3448">
              <w:rPr>
                <w:szCs w:val="24"/>
                <w:lang w:val="en-GB" w:eastAsia="en-US"/>
              </w:rPr>
              <w:t>.</w:t>
            </w:r>
          </w:p>
        </w:tc>
      </w:tr>
    </w:tbl>
    <w:p w:rsidR="009E572A" w:rsidRPr="00BC3448" w:rsidRDefault="009E572A" w:rsidP="001169ED">
      <w:pPr>
        <w:widowControl/>
      </w:pPr>
    </w:p>
    <w:sectPr w:rsidR="009E572A" w:rsidRPr="00BC344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C22" w:rsidRPr="005D3E55" w:rsidRDefault="00BA7C22">
      <w:r w:rsidRPr="005D3E55">
        <w:separator/>
      </w:r>
    </w:p>
  </w:endnote>
  <w:endnote w:type="continuationSeparator" w:id="0">
    <w:p w:rsidR="00BA7C22" w:rsidRPr="005D3E55" w:rsidRDefault="00BA7C22">
      <w:r w:rsidRPr="005D3E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Default="00BA7C22">
    <w:pPr>
      <w:pStyle w:val="Footer1"/>
    </w:pPr>
    <w:r>
      <w:t>EN</w:t>
    </w:r>
    <w:r>
      <w:tab/>
    </w:r>
    <w:r>
      <w:fldChar w:fldCharType="begin"/>
    </w:r>
    <w:r>
      <w:instrText xml:space="preserve"> PAGE </w:instrText>
    </w:r>
    <w:r>
      <w:fldChar w:fldCharType="end"/>
    </w:r>
    <w:r>
      <w:tab/>
    </w:r>
    <w:proofErr w:type="spellStart"/>
    <w: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Default="00BA7C22">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C22" w:rsidRPr="005D3E55" w:rsidRDefault="00BA7C22">
      <w:r w:rsidRPr="005D3E55">
        <w:separator/>
      </w:r>
    </w:p>
  </w:footnote>
  <w:footnote w:type="continuationSeparator" w:id="0">
    <w:p w:rsidR="00BA7C22" w:rsidRPr="005D3E55" w:rsidRDefault="00BA7C22">
      <w:r w:rsidRPr="005D3E55">
        <w:continuationSeparator/>
      </w:r>
    </w:p>
  </w:footnote>
  <w:footnote w:id="1">
    <w:p w:rsidR="00BA7C22" w:rsidRPr="001374E9" w:rsidRDefault="00BA7C22" w:rsidP="005D3E55">
      <w:pPr>
        <w:pStyle w:val="FootnoteText"/>
        <w:ind w:left="567" w:hanging="567"/>
        <w:rPr>
          <w:i/>
          <w:sz w:val="24"/>
          <w:lang w:val="hr-HR"/>
        </w:rPr>
      </w:pPr>
      <w:r w:rsidRPr="001374E9">
        <w:rPr>
          <w:rStyle w:val="FootnoteReference"/>
          <w:sz w:val="24"/>
          <w:lang w:val="hr-HR"/>
        </w:rPr>
        <w:footnoteRef/>
      </w:r>
      <w:r w:rsidRPr="001374E9">
        <w:rPr>
          <w:rStyle w:val="Emphasis"/>
          <w:sz w:val="24"/>
          <w:shd w:val="clear" w:color="auto" w:fill="FFFFFF"/>
          <w:lang w:val="hr-HR"/>
        </w:rPr>
        <w:t xml:space="preserve"> </w:t>
      </w:r>
      <w:r w:rsidRPr="001374E9">
        <w:rPr>
          <w:rStyle w:val="Emphasis"/>
          <w:sz w:val="24"/>
          <w:shd w:val="clear" w:color="auto" w:fill="FFFFFF"/>
          <w:lang w:val="hr-HR"/>
        </w:rPr>
        <w:tab/>
      </w:r>
      <w:r w:rsidRPr="001374E9">
        <w:rPr>
          <w:rStyle w:val="Emphasis"/>
          <w:i w:val="0"/>
          <w:sz w:val="24"/>
          <w:shd w:val="clear" w:color="auto" w:fill="FFFFFF"/>
          <w:lang w:val="hr-HR"/>
        </w:rPr>
        <w:t>SL C 349, 29.9.2023., str. 121.</w:t>
      </w:r>
    </w:p>
  </w:footnote>
  <w:footnote w:id="2">
    <w:p w:rsidR="00BA7C22" w:rsidRDefault="00BA7C22" w:rsidP="001169ED">
      <w:pPr>
        <w:pStyle w:val="FootnoteTextForceStyle"/>
      </w:pPr>
      <w:r>
        <w:rPr>
          <w:vertAlign w:val="superscript"/>
        </w:rPr>
        <w:footnoteRef/>
      </w:r>
      <w:r>
        <w:tab/>
        <w:t xml:space="preserve">SL </w:t>
      </w:r>
      <w:proofErr w:type="gramStart"/>
      <w:r>
        <w:t>C ,</w:t>
      </w:r>
      <w:proofErr w:type="gramEnd"/>
      <w:r>
        <w:t xml:space="preserve"> , str. .</w:t>
      </w:r>
    </w:p>
  </w:footnote>
  <w:footnote w:id="3">
    <w:p w:rsidR="00BA7C22" w:rsidRDefault="00BA7C22" w:rsidP="001169ED">
      <w:pPr>
        <w:pStyle w:val="FootnoteTextForceStyle"/>
      </w:pPr>
      <w:r>
        <w:rPr>
          <w:vertAlign w:val="superscript"/>
        </w:rPr>
        <w:footnoteRef/>
      </w:r>
      <w:r>
        <w:tab/>
      </w:r>
      <w:proofErr w:type="spellStart"/>
      <w:r>
        <w:t>Uredba</w:t>
      </w:r>
      <w:proofErr w:type="spellEnd"/>
      <w:r>
        <w:t xml:space="preserve"> (EZ) br. 648/2004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31. </w:t>
      </w:r>
      <w:proofErr w:type="spellStart"/>
      <w:proofErr w:type="gramStart"/>
      <w:r>
        <w:t>ožujka</w:t>
      </w:r>
      <w:proofErr w:type="spellEnd"/>
      <w:proofErr w:type="gramEnd"/>
      <w:r>
        <w:t xml:space="preserve"> 2004. </w:t>
      </w:r>
      <w:proofErr w:type="gramStart"/>
      <w:r>
        <w:t>o</w:t>
      </w:r>
      <w:proofErr w:type="gramEnd"/>
      <w:r>
        <w:t xml:space="preserve"> </w:t>
      </w:r>
      <w:proofErr w:type="spellStart"/>
      <w:r>
        <w:t>deterdžentima</w:t>
      </w:r>
      <w:proofErr w:type="spellEnd"/>
      <w:r>
        <w:t xml:space="preserve"> (SL L 104, 8.4.2004., str. 1.).</w:t>
      </w:r>
    </w:p>
  </w:footnote>
  <w:footnote w:id="4">
    <w:p w:rsidR="00BA7C22" w:rsidRDefault="00BA7C22" w:rsidP="001169ED">
      <w:pPr>
        <w:pStyle w:val="FootnoteTextForceStyle"/>
      </w:pPr>
      <w:r>
        <w:rPr>
          <w:vertAlign w:val="superscript"/>
        </w:rPr>
        <w:footnoteRef/>
      </w:r>
      <w:r>
        <w:tab/>
      </w:r>
      <w:proofErr w:type="spellStart"/>
      <w:r>
        <w:t>Evaluacija</w:t>
      </w:r>
      <w:proofErr w:type="spellEnd"/>
      <w:r>
        <w:t xml:space="preserve"> </w:t>
      </w:r>
      <w:proofErr w:type="spellStart"/>
      <w:r>
        <w:t>Uredbe</w:t>
      </w:r>
      <w:proofErr w:type="spellEnd"/>
      <w:r>
        <w:t xml:space="preserve"> (EZ) br. 648/2004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31. </w:t>
      </w:r>
      <w:proofErr w:type="spellStart"/>
      <w:proofErr w:type="gramStart"/>
      <w:r>
        <w:t>ožujka</w:t>
      </w:r>
      <w:proofErr w:type="spellEnd"/>
      <w:proofErr w:type="gramEnd"/>
      <w:r>
        <w:t xml:space="preserve"> 2004. </w:t>
      </w:r>
      <w:proofErr w:type="gramStart"/>
      <w:r>
        <w:t>o</w:t>
      </w:r>
      <w:proofErr w:type="gramEnd"/>
      <w:r>
        <w:t xml:space="preserve"> </w:t>
      </w:r>
      <w:proofErr w:type="spellStart"/>
      <w:r>
        <w:t>deterdžentima</w:t>
      </w:r>
      <w:proofErr w:type="spellEnd"/>
      <w:r>
        <w:t xml:space="preserve"> (SWD(2019) 298).</w:t>
      </w:r>
    </w:p>
  </w:footnote>
  <w:footnote w:id="5">
    <w:p w:rsidR="00BA7C22" w:rsidRDefault="00BA7C22" w:rsidP="001169ED">
      <w:pPr>
        <w:pStyle w:val="FootnoteTextForceStyle"/>
      </w:pPr>
      <w:r>
        <w:rPr>
          <w:vertAlign w:val="superscript"/>
        </w:rPr>
        <w:footnoteRef/>
      </w:r>
      <w:r>
        <w:tab/>
      </w:r>
      <w:proofErr w:type="spellStart"/>
      <w:r>
        <w:t>Provjera</w:t>
      </w:r>
      <w:proofErr w:type="spellEnd"/>
      <w:r>
        <w:t xml:space="preserve"> </w:t>
      </w:r>
      <w:proofErr w:type="spellStart"/>
      <w:r>
        <w:t>primjerenosti</w:t>
      </w:r>
      <w:proofErr w:type="spellEnd"/>
      <w:r>
        <w:t xml:space="preserve"> </w:t>
      </w:r>
      <w:proofErr w:type="spellStart"/>
      <w:r>
        <w:t>najrelevantnijeg</w:t>
      </w:r>
      <w:proofErr w:type="spellEnd"/>
      <w:r>
        <w:t xml:space="preserve"> </w:t>
      </w:r>
      <w:proofErr w:type="spellStart"/>
      <w:r>
        <w:t>zakonodavstva</w:t>
      </w:r>
      <w:proofErr w:type="spellEnd"/>
      <w:r>
        <w:t xml:space="preserve"> o </w:t>
      </w:r>
      <w:proofErr w:type="spellStart"/>
      <w:r>
        <w:t>kemikalijama</w:t>
      </w:r>
      <w:proofErr w:type="spellEnd"/>
      <w:r>
        <w:t xml:space="preserve"> (</w:t>
      </w:r>
      <w:proofErr w:type="spellStart"/>
      <w:r>
        <w:t>osim</w:t>
      </w:r>
      <w:proofErr w:type="spellEnd"/>
      <w:r>
        <w:t xml:space="preserve"> </w:t>
      </w:r>
      <w:proofErr w:type="spellStart"/>
      <w:r>
        <w:t>Uredbe</w:t>
      </w:r>
      <w:proofErr w:type="spellEnd"/>
      <w:r>
        <w:t xml:space="preserve"> REACH), </w:t>
      </w:r>
      <w:proofErr w:type="gramStart"/>
      <w:r>
        <w:t>SWD(</w:t>
      </w:r>
      <w:proofErr w:type="gramEnd"/>
      <w:r>
        <w:t>2019) 199.</w:t>
      </w:r>
    </w:p>
  </w:footnote>
  <w:footnote w:id="6">
    <w:p w:rsidR="00BA7C22" w:rsidRDefault="00BA7C22" w:rsidP="001169ED">
      <w:pPr>
        <w:pStyle w:val="FootnoteTextForceStyle"/>
      </w:pPr>
      <w:r>
        <w:rPr>
          <w:vertAlign w:val="superscript"/>
        </w:rPr>
        <w:footnoteRef/>
      </w:r>
      <w:r>
        <w:tab/>
      </w:r>
      <w:proofErr w:type="spellStart"/>
      <w:r>
        <w:t>Uredba</w:t>
      </w:r>
      <w:proofErr w:type="spellEnd"/>
      <w:r>
        <w:t xml:space="preserve"> (EZ) br. 1907/2006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18. </w:t>
      </w:r>
      <w:proofErr w:type="spellStart"/>
      <w:proofErr w:type="gramStart"/>
      <w:r>
        <w:t>prosinca</w:t>
      </w:r>
      <w:proofErr w:type="spellEnd"/>
      <w:r>
        <w:t xml:space="preserve"> 2006.o </w:t>
      </w:r>
      <w:proofErr w:type="spellStart"/>
      <w:r>
        <w:t>registraciji</w:t>
      </w:r>
      <w:proofErr w:type="spellEnd"/>
      <w:r>
        <w:t xml:space="preserve">, </w:t>
      </w:r>
      <w:proofErr w:type="spellStart"/>
      <w:r>
        <w:t>evaluaciji</w:t>
      </w:r>
      <w:proofErr w:type="spellEnd"/>
      <w:r>
        <w:t xml:space="preserve">, </w:t>
      </w:r>
      <w:proofErr w:type="spellStart"/>
      <w:r>
        <w:t>autorizaciji</w:t>
      </w:r>
      <w:proofErr w:type="spellEnd"/>
      <w:r>
        <w:t xml:space="preserve"> </w:t>
      </w:r>
      <w:proofErr w:type="spellStart"/>
      <w:r>
        <w:t>i</w:t>
      </w:r>
      <w:proofErr w:type="spellEnd"/>
      <w:r>
        <w:t xml:space="preserve"> </w:t>
      </w:r>
      <w:proofErr w:type="spellStart"/>
      <w:r>
        <w:t>ograničavanju</w:t>
      </w:r>
      <w:proofErr w:type="spellEnd"/>
      <w:r>
        <w:t xml:space="preserve"> </w:t>
      </w:r>
      <w:proofErr w:type="spellStart"/>
      <w:r>
        <w:t>kemikalija</w:t>
      </w:r>
      <w:proofErr w:type="spellEnd"/>
      <w:r>
        <w:t xml:space="preserve"> (REACH)</w:t>
      </w:r>
      <w:proofErr w:type="spellStart"/>
      <w:r>
        <w:t>i</w:t>
      </w:r>
      <w:proofErr w:type="spellEnd"/>
      <w:r>
        <w:t xml:space="preserve"> </w:t>
      </w:r>
      <w:proofErr w:type="spellStart"/>
      <w:r>
        <w:t>osnivanju</w:t>
      </w:r>
      <w:proofErr w:type="spellEnd"/>
      <w:r>
        <w:t xml:space="preserve"> </w:t>
      </w:r>
      <w:proofErr w:type="spellStart"/>
      <w:r>
        <w:t>Europske</w:t>
      </w:r>
      <w:proofErr w:type="spellEnd"/>
      <w:r>
        <w:t xml:space="preserve"> </w:t>
      </w:r>
      <w:proofErr w:type="spellStart"/>
      <w:r>
        <w:t>agencije</w:t>
      </w:r>
      <w:proofErr w:type="spellEnd"/>
      <w:r>
        <w:t xml:space="preserve"> </w:t>
      </w:r>
      <w:proofErr w:type="spellStart"/>
      <w:r>
        <w:t>za</w:t>
      </w:r>
      <w:proofErr w:type="spellEnd"/>
      <w:r>
        <w:t xml:space="preserve"> </w:t>
      </w:r>
      <w:proofErr w:type="spellStart"/>
      <w:r>
        <w:t>kemikalije</w:t>
      </w:r>
      <w:proofErr w:type="spellEnd"/>
      <w:r>
        <w:t xml:space="preserve"> </w:t>
      </w:r>
      <w:proofErr w:type="spellStart"/>
      <w:r>
        <w:t>te</w:t>
      </w:r>
      <w:proofErr w:type="spellEnd"/>
      <w:r>
        <w:t xml:space="preserve"> o </w:t>
      </w:r>
      <w:proofErr w:type="spellStart"/>
      <w:r>
        <w:t>izmjeni</w:t>
      </w:r>
      <w:proofErr w:type="spellEnd"/>
      <w:r>
        <w:t xml:space="preserve"> </w:t>
      </w:r>
      <w:proofErr w:type="spellStart"/>
      <w:r>
        <w:t>Direktive</w:t>
      </w:r>
      <w:proofErr w:type="spellEnd"/>
      <w:r>
        <w:t xml:space="preserve"> 1999/45/EZ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snageUredbe</w:t>
      </w:r>
      <w:proofErr w:type="spellEnd"/>
      <w:r>
        <w:t xml:space="preserve"> </w:t>
      </w:r>
      <w:proofErr w:type="spellStart"/>
      <w:r>
        <w:t>Vijeća</w:t>
      </w:r>
      <w:proofErr w:type="spellEnd"/>
      <w:r>
        <w:t xml:space="preserve"> (EEZ) br. 793/93 </w:t>
      </w:r>
      <w:proofErr w:type="spellStart"/>
      <w:r>
        <w:t>i</w:t>
      </w:r>
      <w:proofErr w:type="spellEnd"/>
      <w:r>
        <w:t xml:space="preserve"> </w:t>
      </w:r>
      <w:proofErr w:type="spellStart"/>
      <w:r>
        <w:t>Uredbe</w:t>
      </w:r>
      <w:proofErr w:type="spellEnd"/>
      <w:r>
        <w:t xml:space="preserve"> </w:t>
      </w:r>
      <w:proofErr w:type="spellStart"/>
      <w:r>
        <w:t>Komisije</w:t>
      </w:r>
      <w:proofErr w:type="spellEnd"/>
      <w:r>
        <w:t xml:space="preserve"> (EZ) br. 1488/94 </w:t>
      </w:r>
      <w:proofErr w:type="spellStart"/>
      <w:r>
        <w:t>kao</w:t>
      </w:r>
      <w:proofErr w:type="spellEnd"/>
      <w:r>
        <w:t xml:space="preserve"> </w:t>
      </w:r>
      <w:proofErr w:type="spellStart"/>
      <w:r>
        <w:t>iDirektive</w:t>
      </w:r>
      <w:proofErr w:type="spellEnd"/>
      <w:r>
        <w:t xml:space="preserve"> </w:t>
      </w:r>
      <w:proofErr w:type="spellStart"/>
      <w:r>
        <w:t>Vijeća</w:t>
      </w:r>
      <w:proofErr w:type="spellEnd"/>
      <w:r>
        <w:t xml:space="preserve"> 76/769/EEZ </w:t>
      </w:r>
      <w:proofErr w:type="spellStart"/>
      <w:r>
        <w:t>i</w:t>
      </w:r>
      <w:proofErr w:type="spellEnd"/>
      <w:r>
        <w:t xml:space="preserve"> </w:t>
      </w:r>
      <w:proofErr w:type="spellStart"/>
      <w:r>
        <w:t>direktiva</w:t>
      </w:r>
      <w:proofErr w:type="spellEnd"/>
      <w:r>
        <w:t xml:space="preserve"> </w:t>
      </w:r>
      <w:proofErr w:type="spellStart"/>
      <w:r>
        <w:t>Komisije</w:t>
      </w:r>
      <w:proofErr w:type="spellEnd"/>
      <w:r>
        <w:t xml:space="preserve"> 91/155/EEZ, 93/67/EEZ, 93/105/EZ i2000/21/EZ (SL L 396, 30.12.2006., str. 1.).</w:t>
      </w:r>
      <w:proofErr w:type="gramEnd"/>
    </w:p>
  </w:footnote>
  <w:footnote w:id="7">
    <w:p w:rsidR="00BA7C22" w:rsidRDefault="00BA7C22" w:rsidP="001169ED">
      <w:pPr>
        <w:pStyle w:val="FootnoteTextForceStyle"/>
      </w:pPr>
      <w:r>
        <w:rPr>
          <w:vertAlign w:val="superscript"/>
        </w:rPr>
        <w:footnoteRef/>
      </w:r>
      <w:r>
        <w:tab/>
      </w:r>
      <w:proofErr w:type="spellStart"/>
      <w:r>
        <w:t>Odluka</w:t>
      </w:r>
      <w:proofErr w:type="spellEnd"/>
      <w:r>
        <w:t xml:space="preserve"> br. 768/2008/EZ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9. </w:t>
      </w:r>
      <w:proofErr w:type="spellStart"/>
      <w:proofErr w:type="gramStart"/>
      <w:r>
        <w:t>srpnja</w:t>
      </w:r>
      <w:proofErr w:type="spellEnd"/>
      <w:proofErr w:type="gramEnd"/>
      <w:r>
        <w:t xml:space="preserve"> 2008. </w:t>
      </w:r>
      <w:proofErr w:type="gramStart"/>
      <w:r>
        <w:t>o</w:t>
      </w:r>
      <w:proofErr w:type="gramEnd"/>
      <w:r>
        <w:t xml:space="preserve"> </w:t>
      </w:r>
      <w:proofErr w:type="spellStart"/>
      <w:r>
        <w:t>zajedničkom</w:t>
      </w:r>
      <w:proofErr w:type="spellEnd"/>
      <w:r>
        <w:t xml:space="preserve"> </w:t>
      </w:r>
      <w:proofErr w:type="spellStart"/>
      <w:r>
        <w:t>okviru</w:t>
      </w:r>
      <w:proofErr w:type="spellEnd"/>
      <w:r>
        <w:t xml:space="preserve"> </w:t>
      </w:r>
      <w:proofErr w:type="spellStart"/>
      <w:r>
        <w:t>za</w:t>
      </w:r>
      <w:proofErr w:type="spellEnd"/>
      <w:r>
        <w:t xml:space="preserve"> </w:t>
      </w:r>
      <w:proofErr w:type="spellStart"/>
      <w:r>
        <w:t>stavljanje</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proizvoda</w:t>
      </w:r>
      <w:proofErr w:type="spellEnd"/>
      <w:r>
        <w:t xml:space="preserve"> </w:t>
      </w:r>
      <w:proofErr w:type="spellStart"/>
      <w:r>
        <w:t>i</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Odluke</w:t>
      </w:r>
      <w:proofErr w:type="spellEnd"/>
      <w:r>
        <w:t xml:space="preserve"> </w:t>
      </w:r>
      <w:proofErr w:type="spellStart"/>
      <w:r>
        <w:t>Vijeća</w:t>
      </w:r>
      <w:proofErr w:type="spellEnd"/>
      <w:r>
        <w:t xml:space="preserve"> 93/465/EEZ (SL L 218, 13.8.2008., str. 82.).</w:t>
      </w:r>
    </w:p>
  </w:footnote>
  <w:footnote w:id="8">
    <w:p w:rsidR="00BA7C22" w:rsidRDefault="00BA7C22" w:rsidP="001169ED">
      <w:pPr>
        <w:pStyle w:val="FootnoteTextForceStyle"/>
      </w:pPr>
      <w:r>
        <w:rPr>
          <w:vertAlign w:val="superscript"/>
        </w:rPr>
        <w:footnoteRef/>
      </w:r>
      <w:r>
        <w:tab/>
      </w:r>
      <w:proofErr w:type="spellStart"/>
      <w:r>
        <w:t>Uredba</w:t>
      </w:r>
      <w:proofErr w:type="spellEnd"/>
      <w:r>
        <w:t xml:space="preserve"> (EU) br. 528/2012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22. </w:t>
      </w:r>
      <w:proofErr w:type="spellStart"/>
      <w:proofErr w:type="gramStart"/>
      <w:r>
        <w:t>svibnja</w:t>
      </w:r>
      <w:proofErr w:type="spellEnd"/>
      <w:proofErr w:type="gramEnd"/>
      <w:r>
        <w:t xml:space="preserve"> 2012. </w:t>
      </w:r>
      <w:proofErr w:type="gramStart"/>
      <w:r>
        <w:t>o</w:t>
      </w:r>
      <w:proofErr w:type="gramEnd"/>
      <w:r>
        <w:t xml:space="preserve"> </w:t>
      </w:r>
      <w:proofErr w:type="spellStart"/>
      <w:r>
        <w:t>stavljanju</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uporabi</w:t>
      </w:r>
      <w:proofErr w:type="spellEnd"/>
      <w:r>
        <w:t xml:space="preserve"> </w:t>
      </w:r>
      <w:proofErr w:type="spellStart"/>
      <w:r>
        <w:t>biocidnih</w:t>
      </w:r>
      <w:proofErr w:type="spellEnd"/>
      <w:r>
        <w:t xml:space="preserve"> </w:t>
      </w:r>
      <w:proofErr w:type="spellStart"/>
      <w:r>
        <w:t>proizvoda</w:t>
      </w:r>
      <w:proofErr w:type="spellEnd"/>
      <w:r>
        <w:t xml:space="preserve"> (SL L 167, 27.6.2012., str. 1.).</w:t>
      </w:r>
    </w:p>
  </w:footnote>
  <w:footnote w:id="9">
    <w:p w:rsidR="00BA7C22" w:rsidRDefault="00BA7C22" w:rsidP="001169ED">
      <w:pPr>
        <w:pStyle w:val="FootnoteTextForceStyle"/>
      </w:pPr>
      <w:r>
        <w:rPr>
          <w:vertAlign w:val="superscript"/>
        </w:rPr>
        <w:footnoteRef/>
      </w:r>
      <w:r>
        <w:tab/>
      </w:r>
      <w:proofErr w:type="spellStart"/>
      <w:r>
        <w:t>Uredba</w:t>
      </w:r>
      <w:proofErr w:type="spellEnd"/>
      <w:r>
        <w:t xml:space="preserve"> (EZ) br. 1272/2008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16. </w:t>
      </w:r>
      <w:proofErr w:type="spellStart"/>
      <w:proofErr w:type="gramStart"/>
      <w:r>
        <w:t>prosinca</w:t>
      </w:r>
      <w:proofErr w:type="spellEnd"/>
      <w:proofErr w:type="gramEnd"/>
      <w:r>
        <w:t xml:space="preserve"> 2008. </w:t>
      </w:r>
      <w:proofErr w:type="gramStart"/>
      <w:r>
        <w:t>o</w:t>
      </w:r>
      <w:proofErr w:type="gramEnd"/>
      <w:r>
        <w:t xml:space="preserve"> </w:t>
      </w:r>
      <w:proofErr w:type="spellStart"/>
      <w:r>
        <w:t>razvrstavanju</w:t>
      </w:r>
      <w:proofErr w:type="spellEnd"/>
      <w:r>
        <w:t xml:space="preserve">, </w:t>
      </w:r>
      <w:proofErr w:type="spellStart"/>
      <w:r>
        <w:t>označivanju</w:t>
      </w:r>
      <w:proofErr w:type="spellEnd"/>
      <w:r>
        <w:t xml:space="preserve"> </w:t>
      </w:r>
      <w:proofErr w:type="spellStart"/>
      <w:r>
        <w:t>i</w:t>
      </w:r>
      <w:proofErr w:type="spellEnd"/>
      <w:r>
        <w:t xml:space="preserve"> </w:t>
      </w:r>
      <w:proofErr w:type="spellStart"/>
      <w:r>
        <w:t>pakiranju</w:t>
      </w:r>
      <w:proofErr w:type="spellEnd"/>
      <w:r>
        <w:t xml:space="preserve"> </w:t>
      </w:r>
      <w:proofErr w:type="spellStart"/>
      <w:r>
        <w:t>tvari</w:t>
      </w:r>
      <w:proofErr w:type="spellEnd"/>
      <w:r>
        <w:t xml:space="preserve"> </w:t>
      </w:r>
      <w:proofErr w:type="spellStart"/>
      <w:r>
        <w:t>i</w:t>
      </w:r>
      <w:proofErr w:type="spellEnd"/>
      <w:r>
        <w:t xml:space="preserve"> </w:t>
      </w:r>
      <w:proofErr w:type="spellStart"/>
      <w:r>
        <w:t>smjesa</w:t>
      </w:r>
      <w:proofErr w:type="spellEnd"/>
      <w:r>
        <w:t xml:space="preserve">, o </w:t>
      </w:r>
      <w:proofErr w:type="spellStart"/>
      <w:r>
        <w:t>izmjeni</w:t>
      </w:r>
      <w:proofErr w:type="spellEnd"/>
      <w:r>
        <w:t xml:space="preserve">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67/548/EEZ </w:t>
      </w:r>
      <w:proofErr w:type="spellStart"/>
      <w:r>
        <w:t>i</w:t>
      </w:r>
      <w:proofErr w:type="spellEnd"/>
      <w:r>
        <w:t xml:space="preserve"> </w:t>
      </w:r>
      <w:proofErr w:type="spellStart"/>
      <w:r>
        <w:t>Direktive</w:t>
      </w:r>
      <w:proofErr w:type="spellEnd"/>
      <w:r>
        <w:t xml:space="preserve"> 1999/45/EZ </w:t>
      </w:r>
      <w:proofErr w:type="spellStart"/>
      <w:r>
        <w:t>i</w:t>
      </w:r>
      <w:proofErr w:type="spellEnd"/>
      <w:r>
        <w:t xml:space="preserve"> o </w:t>
      </w:r>
      <w:proofErr w:type="spellStart"/>
      <w:r>
        <w:t>izmjeni</w:t>
      </w:r>
      <w:proofErr w:type="spellEnd"/>
      <w:r>
        <w:t xml:space="preserve"> </w:t>
      </w:r>
      <w:proofErr w:type="spellStart"/>
      <w:r>
        <w:t>Uredbe</w:t>
      </w:r>
      <w:proofErr w:type="spellEnd"/>
      <w:r>
        <w:t xml:space="preserve"> (EZ) br. 1907/2006 (SL L 353, 31.12.2008., str. 1.).</w:t>
      </w:r>
    </w:p>
  </w:footnote>
  <w:footnote w:id="10">
    <w:p w:rsidR="00BA7C22" w:rsidRDefault="00BA7C22" w:rsidP="001169ED">
      <w:pPr>
        <w:pStyle w:val="FootnoteTextForceStyle"/>
      </w:pPr>
      <w:r>
        <w:rPr>
          <w:vertAlign w:val="superscript"/>
        </w:rPr>
        <w:footnoteRef/>
      </w:r>
      <w:r>
        <w:tab/>
      </w:r>
      <w:proofErr w:type="spellStart"/>
      <w:r>
        <w:rPr>
          <w:b/>
          <w:i/>
        </w:rPr>
        <w:t>Direktiva</w:t>
      </w:r>
      <w:proofErr w:type="spellEnd"/>
      <w:r>
        <w:rPr>
          <w:b/>
          <w:i/>
        </w:rPr>
        <w:t xml:space="preserve"> 2010/63/EU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22. </w:t>
      </w:r>
      <w:proofErr w:type="spellStart"/>
      <w:proofErr w:type="gramStart"/>
      <w:r>
        <w:rPr>
          <w:b/>
          <w:i/>
        </w:rPr>
        <w:t>rujna</w:t>
      </w:r>
      <w:proofErr w:type="spellEnd"/>
      <w:proofErr w:type="gramEnd"/>
      <w:r>
        <w:rPr>
          <w:b/>
          <w:i/>
        </w:rPr>
        <w:t xml:space="preserve"> 2010. </w:t>
      </w:r>
      <w:proofErr w:type="gramStart"/>
      <w:r>
        <w:rPr>
          <w:b/>
          <w:i/>
        </w:rPr>
        <w:t>o</w:t>
      </w:r>
      <w:proofErr w:type="gramEnd"/>
      <w:r>
        <w:rPr>
          <w:b/>
          <w:i/>
        </w:rPr>
        <w:t xml:space="preserve"> </w:t>
      </w:r>
      <w:proofErr w:type="spellStart"/>
      <w:r>
        <w:rPr>
          <w:b/>
          <w:i/>
        </w:rPr>
        <w:t>zaštiti</w:t>
      </w:r>
      <w:proofErr w:type="spellEnd"/>
      <w:r>
        <w:rPr>
          <w:b/>
          <w:i/>
        </w:rPr>
        <w:t xml:space="preserve"> </w:t>
      </w:r>
      <w:proofErr w:type="spellStart"/>
      <w:r>
        <w:rPr>
          <w:b/>
          <w:i/>
        </w:rPr>
        <w:t>životinja</w:t>
      </w:r>
      <w:proofErr w:type="spellEnd"/>
      <w:r>
        <w:rPr>
          <w:b/>
          <w:i/>
        </w:rPr>
        <w:t xml:space="preserve"> </w:t>
      </w:r>
      <w:proofErr w:type="spellStart"/>
      <w:r>
        <w:rPr>
          <w:b/>
          <w:i/>
        </w:rPr>
        <w:t>koje</w:t>
      </w:r>
      <w:proofErr w:type="spellEnd"/>
      <w:r>
        <w:rPr>
          <w:b/>
          <w:i/>
        </w:rPr>
        <w:t xml:space="preserve"> se </w:t>
      </w:r>
      <w:proofErr w:type="spellStart"/>
      <w:r>
        <w:rPr>
          <w:b/>
          <w:i/>
        </w:rPr>
        <w:t>koriste</w:t>
      </w:r>
      <w:proofErr w:type="spellEnd"/>
      <w:r>
        <w:rPr>
          <w:b/>
          <w:i/>
        </w:rPr>
        <w:t xml:space="preserve"> u </w:t>
      </w:r>
      <w:proofErr w:type="spellStart"/>
      <w:r>
        <w:rPr>
          <w:b/>
          <w:i/>
        </w:rPr>
        <w:t>znanstvene</w:t>
      </w:r>
      <w:proofErr w:type="spellEnd"/>
      <w:r>
        <w:rPr>
          <w:b/>
          <w:i/>
        </w:rPr>
        <w:t xml:space="preserve"> </w:t>
      </w:r>
      <w:proofErr w:type="spellStart"/>
      <w:r>
        <w:rPr>
          <w:b/>
          <w:i/>
        </w:rPr>
        <w:t>svrhe</w:t>
      </w:r>
      <w:proofErr w:type="spellEnd"/>
      <w:r>
        <w:rPr>
          <w:b/>
          <w:i/>
        </w:rPr>
        <w:t xml:space="preserve"> (SL L 276, 20.10.2010., str. 33.).</w:t>
      </w:r>
    </w:p>
  </w:footnote>
  <w:footnote w:id="11">
    <w:p w:rsidR="00BA7C22" w:rsidRDefault="00BA7C22" w:rsidP="001169ED">
      <w:pPr>
        <w:pStyle w:val="FootnoteTextForceStyle"/>
      </w:pPr>
      <w:r>
        <w:rPr>
          <w:vertAlign w:val="superscript"/>
        </w:rPr>
        <w:footnoteRef/>
      </w:r>
      <w:r>
        <w:tab/>
      </w:r>
      <w:proofErr w:type="spellStart"/>
      <w:r>
        <w:rPr>
          <w:strike/>
        </w:rPr>
        <w:t>Uredba</w:t>
      </w:r>
      <w:proofErr w:type="spellEnd"/>
      <w:r>
        <w:rPr>
          <w:strike/>
        </w:rPr>
        <w:t xml:space="preserve"> (EZ) br. 765/2008 </w:t>
      </w:r>
      <w:proofErr w:type="spellStart"/>
      <w:r>
        <w:rPr>
          <w:strike/>
        </w:rPr>
        <w:t>Europskog</w:t>
      </w:r>
      <w:proofErr w:type="spellEnd"/>
      <w:r>
        <w:rPr>
          <w:strike/>
        </w:rPr>
        <w:t xml:space="preserve"> </w:t>
      </w:r>
      <w:proofErr w:type="spellStart"/>
      <w:r>
        <w:rPr>
          <w:strike/>
        </w:rPr>
        <w:t>parlamenta</w:t>
      </w:r>
      <w:proofErr w:type="spellEnd"/>
      <w:r>
        <w:rPr>
          <w:strike/>
        </w:rPr>
        <w:t xml:space="preserve"> </w:t>
      </w:r>
      <w:proofErr w:type="spellStart"/>
      <w:r>
        <w:rPr>
          <w:strike/>
        </w:rPr>
        <w:t>i</w:t>
      </w:r>
      <w:proofErr w:type="spellEnd"/>
      <w:r>
        <w:rPr>
          <w:strike/>
        </w:rPr>
        <w:t xml:space="preserve"> </w:t>
      </w:r>
      <w:proofErr w:type="spellStart"/>
      <w:r>
        <w:rPr>
          <w:strike/>
        </w:rPr>
        <w:t>Vijeća</w:t>
      </w:r>
      <w:proofErr w:type="spellEnd"/>
      <w:r>
        <w:rPr>
          <w:strike/>
        </w:rPr>
        <w:t xml:space="preserve"> </w:t>
      </w:r>
      <w:proofErr w:type="gramStart"/>
      <w:r>
        <w:rPr>
          <w:strike/>
        </w:rPr>
        <w:t>od</w:t>
      </w:r>
      <w:proofErr w:type="gramEnd"/>
      <w:r>
        <w:rPr>
          <w:strike/>
        </w:rPr>
        <w:t xml:space="preserve"> 9. </w:t>
      </w:r>
      <w:proofErr w:type="spellStart"/>
      <w:proofErr w:type="gramStart"/>
      <w:r>
        <w:rPr>
          <w:strike/>
        </w:rPr>
        <w:t>srpnja</w:t>
      </w:r>
      <w:proofErr w:type="spellEnd"/>
      <w:proofErr w:type="gramEnd"/>
      <w:r>
        <w:rPr>
          <w:strike/>
        </w:rPr>
        <w:t xml:space="preserve"> 2008. </w:t>
      </w:r>
      <w:proofErr w:type="gramStart"/>
      <w:r>
        <w:rPr>
          <w:strike/>
        </w:rPr>
        <w:t>o</w:t>
      </w:r>
      <w:proofErr w:type="gramEnd"/>
      <w:r>
        <w:rPr>
          <w:strike/>
        </w:rPr>
        <w:t xml:space="preserve"> </w:t>
      </w:r>
      <w:proofErr w:type="spellStart"/>
      <w:r>
        <w:rPr>
          <w:strike/>
        </w:rPr>
        <w:t>utvrđivanju</w:t>
      </w:r>
      <w:proofErr w:type="spellEnd"/>
      <w:r>
        <w:rPr>
          <w:strike/>
        </w:rPr>
        <w:t xml:space="preserve"> </w:t>
      </w:r>
      <w:proofErr w:type="spellStart"/>
      <w:r>
        <w:rPr>
          <w:strike/>
        </w:rPr>
        <w:t>zahtjeva</w:t>
      </w:r>
      <w:proofErr w:type="spellEnd"/>
      <w:r>
        <w:rPr>
          <w:strike/>
        </w:rPr>
        <w:t xml:space="preserve"> </w:t>
      </w:r>
      <w:proofErr w:type="spellStart"/>
      <w:r>
        <w:rPr>
          <w:strike/>
        </w:rPr>
        <w:t>za</w:t>
      </w:r>
      <w:proofErr w:type="spellEnd"/>
      <w:r>
        <w:rPr>
          <w:strike/>
        </w:rPr>
        <w:t xml:space="preserve"> </w:t>
      </w:r>
      <w:proofErr w:type="spellStart"/>
      <w:r>
        <w:rPr>
          <w:strike/>
        </w:rPr>
        <w:t>akreditaciju</w:t>
      </w:r>
      <w:proofErr w:type="spellEnd"/>
      <w:r>
        <w:rPr>
          <w:strike/>
        </w:rPr>
        <w:t xml:space="preserve"> </w:t>
      </w:r>
      <w:proofErr w:type="spellStart"/>
      <w:r>
        <w:rPr>
          <w:strike/>
        </w:rPr>
        <w:t>i</w:t>
      </w:r>
      <w:proofErr w:type="spellEnd"/>
      <w:r>
        <w:rPr>
          <w:strike/>
        </w:rPr>
        <w:t xml:space="preserve"> o </w:t>
      </w:r>
      <w:proofErr w:type="spellStart"/>
      <w:r>
        <w:rPr>
          <w:strike/>
        </w:rPr>
        <w:t>stavljanju</w:t>
      </w:r>
      <w:proofErr w:type="spellEnd"/>
      <w:r>
        <w:rPr>
          <w:strike/>
        </w:rPr>
        <w:t xml:space="preserve"> </w:t>
      </w:r>
      <w:proofErr w:type="spellStart"/>
      <w:r>
        <w:rPr>
          <w:strike/>
        </w:rPr>
        <w:t>izvan</w:t>
      </w:r>
      <w:proofErr w:type="spellEnd"/>
      <w:r>
        <w:rPr>
          <w:strike/>
        </w:rPr>
        <w:t xml:space="preserve"> </w:t>
      </w:r>
      <w:proofErr w:type="spellStart"/>
      <w:r>
        <w:rPr>
          <w:strike/>
        </w:rPr>
        <w:t>snage</w:t>
      </w:r>
      <w:proofErr w:type="spellEnd"/>
      <w:r>
        <w:rPr>
          <w:strike/>
        </w:rPr>
        <w:t xml:space="preserve"> </w:t>
      </w:r>
      <w:proofErr w:type="spellStart"/>
      <w:r>
        <w:rPr>
          <w:strike/>
        </w:rPr>
        <w:t>Uredbe</w:t>
      </w:r>
      <w:proofErr w:type="spellEnd"/>
      <w:r>
        <w:rPr>
          <w:strike/>
        </w:rPr>
        <w:t xml:space="preserve"> (EEZ) br. 339/93 (SL L 218, 13.8.2008., str. 30.).</w:t>
      </w:r>
    </w:p>
  </w:footnote>
  <w:footnote w:id="12">
    <w:p w:rsidR="00BA7C22" w:rsidRDefault="00BA7C22" w:rsidP="001169ED">
      <w:pPr>
        <w:pStyle w:val="FootnoteTextForceStyle"/>
      </w:pPr>
      <w:r>
        <w:rPr>
          <w:vertAlign w:val="superscript"/>
        </w:rPr>
        <w:footnoteRef/>
      </w:r>
      <w:r>
        <w:tab/>
      </w:r>
      <w:proofErr w:type="spellStart"/>
      <w:r>
        <w:t>Uredba</w:t>
      </w:r>
      <w:proofErr w:type="spellEnd"/>
      <w:r>
        <w:t xml:space="preserve"> (EU) 2019/1020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20. </w:t>
      </w:r>
      <w:proofErr w:type="spellStart"/>
      <w:proofErr w:type="gramStart"/>
      <w:r>
        <w:t>lipnja</w:t>
      </w:r>
      <w:proofErr w:type="spellEnd"/>
      <w:proofErr w:type="gramEnd"/>
      <w:r>
        <w:t xml:space="preserve"> 2019. </w:t>
      </w:r>
      <w:proofErr w:type="gramStart"/>
      <w:r>
        <w:t>o</w:t>
      </w:r>
      <w:proofErr w:type="gramEnd"/>
      <w:r>
        <w:t xml:space="preserve"> </w:t>
      </w:r>
      <w:proofErr w:type="spellStart"/>
      <w:r>
        <w:t>nadzoru</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sukladnosti</w:t>
      </w:r>
      <w:proofErr w:type="spellEnd"/>
      <w:r>
        <w:t xml:space="preserve"> </w:t>
      </w:r>
      <w:proofErr w:type="spellStart"/>
      <w:r>
        <w:t>proizvoda</w:t>
      </w:r>
      <w:proofErr w:type="spellEnd"/>
      <w:r>
        <w:t xml:space="preserve"> </w:t>
      </w:r>
      <w:proofErr w:type="spellStart"/>
      <w:r>
        <w:t>i</w:t>
      </w:r>
      <w:proofErr w:type="spellEnd"/>
      <w:r>
        <w:t xml:space="preserve"> o </w:t>
      </w:r>
      <w:proofErr w:type="spellStart"/>
      <w:r>
        <w:t>izmjeni</w:t>
      </w:r>
      <w:proofErr w:type="spellEnd"/>
      <w:r>
        <w:t xml:space="preserve"> </w:t>
      </w:r>
      <w:proofErr w:type="spellStart"/>
      <w:r>
        <w:t>Direktive</w:t>
      </w:r>
      <w:proofErr w:type="spellEnd"/>
      <w:r>
        <w:t xml:space="preserve"> 2004/42/EZ </w:t>
      </w:r>
      <w:proofErr w:type="spellStart"/>
      <w:r>
        <w:t>i</w:t>
      </w:r>
      <w:proofErr w:type="spellEnd"/>
      <w:r>
        <w:t xml:space="preserve"> </w:t>
      </w:r>
      <w:proofErr w:type="spellStart"/>
      <w:r>
        <w:t>uredbi</w:t>
      </w:r>
      <w:proofErr w:type="spellEnd"/>
      <w:r>
        <w:t xml:space="preserve"> (EZ) br. 765/2008 </w:t>
      </w:r>
      <w:proofErr w:type="spellStart"/>
      <w:r>
        <w:t>i</w:t>
      </w:r>
      <w:proofErr w:type="spellEnd"/>
      <w:r>
        <w:t xml:space="preserve"> (EU) br. 305/2011 (SL L 169, 25.6.2019., str. 1.).</w:t>
      </w:r>
    </w:p>
  </w:footnote>
  <w:footnote w:id="13">
    <w:p w:rsidR="00BA7C22" w:rsidRDefault="00BA7C22" w:rsidP="001169ED">
      <w:pPr>
        <w:pStyle w:val="FootnoteTextForceStyle"/>
      </w:pPr>
      <w:r>
        <w:rPr>
          <w:vertAlign w:val="superscript"/>
        </w:rPr>
        <w:footnoteRef/>
      </w:r>
      <w:r>
        <w:tab/>
      </w:r>
      <w:proofErr w:type="spellStart"/>
      <w:r>
        <w:t>Uredba</w:t>
      </w:r>
      <w:proofErr w:type="spellEnd"/>
      <w:r>
        <w:t xml:space="preserve"> (EU) br. 952/2013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9. </w:t>
      </w:r>
      <w:proofErr w:type="spellStart"/>
      <w:proofErr w:type="gramStart"/>
      <w:r>
        <w:t>listopada</w:t>
      </w:r>
      <w:proofErr w:type="spellEnd"/>
      <w:proofErr w:type="gramEnd"/>
      <w:r>
        <w:t xml:space="preserve"> 2013. </w:t>
      </w:r>
      <w:proofErr w:type="gramStart"/>
      <w:r>
        <w:t>o</w:t>
      </w:r>
      <w:proofErr w:type="gramEnd"/>
      <w:r>
        <w:t xml:space="preserve"> </w:t>
      </w:r>
      <w:proofErr w:type="spellStart"/>
      <w:r>
        <w:t>Carinskom</w:t>
      </w:r>
      <w:proofErr w:type="spellEnd"/>
      <w:r>
        <w:t xml:space="preserve"> </w:t>
      </w:r>
      <w:proofErr w:type="spellStart"/>
      <w:r>
        <w:t>zakoniku</w:t>
      </w:r>
      <w:proofErr w:type="spellEnd"/>
      <w:r>
        <w:t xml:space="preserve"> </w:t>
      </w:r>
      <w:proofErr w:type="spellStart"/>
      <w:r>
        <w:t>Unije</w:t>
      </w:r>
      <w:proofErr w:type="spellEnd"/>
      <w:r>
        <w:t xml:space="preserve"> (SL L 269, 10.10.2013., str. 1.).</w:t>
      </w:r>
    </w:p>
  </w:footnote>
  <w:footnote w:id="14">
    <w:p w:rsidR="00BA7C22" w:rsidRDefault="00BA7C22" w:rsidP="001169ED">
      <w:pPr>
        <w:pStyle w:val="FootnoteTextForceStyle"/>
      </w:pPr>
      <w:r>
        <w:rPr>
          <w:vertAlign w:val="superscript"/>
        </w:rPr>
        <w:footnoteRef/>
      </w:r>
      <w:r>
        <w:tab/>
        <w:t>SL L 123, 12.5.2016., str. 1.</w:t>
      </w:r>
    </w:p>
  </w:footnote>
  <w:footnote w:id="15">
    <w:p w:rsidR="00BA7C22" w:rsidRDefault="00BA7C22" w:rsidP="001169ED">
      <w:pPr>
        <w:pStyle w:val="FootnoteTextForceStyle"/>
      </w:pPr>
      <w:r>
        <w:rPr>
          <w:vertAlign w:val="superscript"/>
        </w:rPr>
        <w:footnoteRef/>
      </w:r>
      <w:r>
        <w:tab/>
      </w:r>
      <w:proofErr w:type="spellStart"/>
      <w:r>
        <w:t>Uredba</w:t>
      </w:r>
      <w:proofErr w:type="spellEnd"/>
      <w:r>
        <w:t xml:space="preserve"> (EU) br. 182/2011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16. </w:t>
      </w:r>
      <w:proofErr w:type="spellStart"/>
      <w:proofErr w:type="gramStart"/>
      <w:r>
        <w:t>veljače</w:t>
      </w:r>
      <w:proofErr w:type="spellEnd"/>
      <w:proofErr w:type="gramEnd"/>
      <w:r>
        <w:t xml:space="preserve"> 2011. </w:t>
      </w:r>
      <w:proofErr w:type="gramStart"/>
      <w:r>
        <w:t>o</w:t>
      </w:r>
      <w:proofErr w:type="gramEnd"/>
      <w:r>
        <w:t xml:space="preserve"> </w:t>
      </w:r>
      <w:proofErr w:type="spellStart"/>
      <w:r>
        <w:t>utvrđivanju</w:t>
      </w:r>
      <w:proofErr w:type="spellEnd"/>
      <w:r>
        <w:t xml:space="preserve"> </w:t>
      </w:r>
      <w:proofErr w:type="spellStart"/>
      <w:r>
        <w:t>pravila</w:t>
      </w:r>
      <w:proofErr w:type="spellEnd"/>
      <w:r>
        <w:t xml:space="preserve"> </w:t>
      </w:r>
      <w:proofErr w:type="spellStart"/>
      <w:r>
        <w:t>i</w:t>
      </w:r>
      <w:proofErr w:type="spellEnd"/>
      <w:r>
        <w:t xml:space="preserve"> </w:t>
      </w:r>
      <w:proofErr w:type="spellStart"/>
      <w:r>
        <w:t>općih</w:t>
      </w:r>
      <w:proofErr w:type="spellEnd"/>
      <w:r>
        <w:t xml:space="preserve"> </w:t>
      </w:r>
      <w:proofErr w:type="spellStart"/>
      <w:r>
        <w:t>načela</w:t>
      </w:r>
      <w:proofErr w:type="spellEnd"/>
      <w:r>
        <w:t xml:space="preserve"> o </w:t>
      </w:r>
      <w:proofErr w:type="spellStart"/>
      <w:r>
        <w:t>mehanizmima</w:t>
      </w:r>
      <w:proofErr w:type="spellEnd"/>
      <w:r>
        <w:t xml:space="preserve"> </w:t>
      </w:r>
      <w:proofErr w:type="spellStart"/>
      <w:r>
        <w:t>nadzora</w:t>
      </w:r>
      <w:proofErr w:type="spellEnd"/>
      <w:r>
        <w:t xml:space="preserve"> </w:t>
      </w:r>
      <w:proofErr w:type="spellStart"/>
      <w:r>
        <w:t>država</w:t>
      </w:r>
      <w:proofErr w:type="spellEnd"/>
      <w:r>
        <w:t xml:space="preserve"> </w:t>
      </w:r>
      <w:proofErr w:type="spellStart"/>
      <w:r>
        <w:t>članica</w:t>
      </w:r>
      <w:proofErr w:type="spellEnd"/>
      <w:r>
        <w:t xml:space="preserve"> </w:t>
      </w:r>
      <w:proofErr w:type="spellStart"/>
      <w:r>
        <w:t>nad</w:t>
      </w:r>
      <w:proofErr w:type="spellEnd"/>
      <w:r>
        <w:t xml:space="preserve"> </w:t>
      </w:r>
      <w:proofErr w:type="spellStart"/>
      <w:r>
        <w:t>izvršavanjem</w:t>
      </w:r>
      <w:proofErr w:type="spellEnd"/>
      <w:r>
        <w:t xml:space="preserve"> </w:t>
      </w:r>
      <w:proofErr w:type="spellStart"/>
      <w:r>
        <w:t>provedbenih</w:t>
      </w:r>
      <w:proofErr w:type="spellEnd"/>
      <w:r>
        <w:t xml:space="preserve"> </w:t>
      </w:r>
      <w:proofErr w:type="spellStart"/>
      <w:r>
        <w:t>ovlasti</w:t>
      </w:r>
      <w:proofErr w:type="spellEnd"/>
      <w:r>
        <w:t xml:space="preserve"> </w:t>
      </w:r>
      <w:proofErr w:type="spellStart"/>
      <w:r>
        <w:t>Komisije</w:t>
      </w:r>
      <w:proofErr w:type="spellEnd"/>
      <w:r>
        <w:t xml:space="preserve"> (SL L 55, 28.2.2011., str. 13.).</w:t>
      </w:r>
    </w:p>
  </w:footnote>
  <w:footnote w:id="16">
    <w:p w:rsidR="00BA7C22" w:rsidRDefault="00BA7C22" w:rsidP="001169ED">
      <w:pPr>
        <w:pStyle w:val="FootnoteTextForceStyle"/>
      </w:pPr>
      <w:r>
        <w:rPr>
          <w:vertAlign w:val="superscript"/>
        </w:rPr>
        <w:footnoteRef/>
      </w:r>
      <w:r>
        <w:tab/>
      </w:r>
      <w:proofErr w:type="spellStart"/>
      <w:r>
        <w:t>Uredba</w:t>
      </w:r>
      <w:proofErr w:type="spellEnd"/>
      <w:r>
        <w:t xml:space="preserve"> (EZ) br. 1907/2006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18. </w:t>
      </w:r>
      <w:proofErr w:type="spellStart"/>
      <w:proofErr w:type="gramStart"/>
      <w:r>
        <w:t>prosinca</w:t>
      </w:r>
      <w:proofErr w:type="spellEnd"/>
      <w:proofErr w:type="gramEnd"/>
      <w:r>
        <w:t xml:space="preserve"> 2006. </w:t>
      </w:r>
      <w:proofErr w:type="gramStart"/>
      <w:r>
        <w:t xml:space="preserve">o </w:t>
      </w:r>
      <w:proofErr w:type="spellStart"/>
      <w:r>
        <w:t>registraciji</w:t>
      </w:r>
      <w:proofErr w:type="spellEnd"/>
      <w:r>
        <w:t xml:space="preserve">, </w:t>
      </w:r>
      <w:proofErr w:type="spellStart"/>
      <w:r>
        <w:t>evaluaciji</w:t>
      </w:r>
      <w:proofErr w:type="spellEnd"/>
      <w:r>
        <w:t xml:space="preserve">, </w:t>
      </w:r>
      <w:proofErr w:type="spellStart"/>
      <w:r>
        <w:t>autorizaciji</w:t>
      </w:r>
      <w:proofErr w:type="spellEnd"/>
      <w:r>
        <w:t xml:space="preserve"> </w:t>
      </w:r>
      <w:proofErr w:type="spellStart"/>
      <w:r>
        <w:t>i</w:t>
      </w:r>
      <w:proofErr w:type="spellEnd"/>
      <w:r>
        <w:t xml:space="preserve"> </w:t>
      </w:r>
      <w:proofErr w:type="spellStart"/>
      <w:r>
        <w:t>ograničavanju</w:t>
      </w:r>
      <w:proofErr w:type="spellEnd"/>
      <w:r>
        <w:t xml:space="preserve"> </w:t>
      </w:r>
      <w:proofErr w:type="spellStart"/>
      <w:r>
        <w:t>kemikalija</w:t>
      </w:r>
      <w:proofErr w:type="spellEnd"/>
      <w:r>
        <w:t xml:space="preserve"> (REACH) </w:t>
      </w:r>
      <w:proofErr w:type="spellStart"/>
      <w:r>
        <w:t>i</w:t>
      </w:r>
      <w:proofErr w:type="spellEnd"/>
      <w:r>
        <w:t xml:space="preserve"> </w:t>
      </w:r>
      <w:proofErr w:type="spellStart"/>
      <w:r>
        <w:t>osnivanju</w:t>
      </w:r>
      <w:proofErr w:type="spellEnd"/>
      <w:r>
        <w:t xml:space="preserve"> </w:t>
      </w:r>
      <w:proofErr w:type="spellStart"/>
      <w:r>
        <w:t>Europske</w:t>
      </w:r>
      <w:proofErr w:type="spellEnd"/>
      <w:r>
        <w:t xml:space="preserve"> </w:t>
      </w:r>
      <w:proofErr w:type="spellStart"/>
      <w:r>
        <w:t>agencije</w:t>
      </w:r>
      <w:proofErr w:type="spellEnd"/>
      <w:r>
        <w:t xml:space="preserve"> </w:t>
      </w:r>
      <w:proofErr w:type="spellStart"/>
      <w:r>
        <w:t>za</w:t>
      </w:r>
      <w:proofErr w:type="spellEnd"/>
      <w:r>
        <w:t xml:space="preserve"> </w:t>
      </w:r>
      <w:proofErr w:type="spellStart"/>
      <w:r>
        <w:t>kemikalije</w:t>
      </w:r>
      <w:proofErr w:type="spellEnd"/>
      <w:r>
        <w:t xml:space="preserve"> </w:t>
      </w:r>
      <w:proofErr w:type="spellStart"/>
      <w:r>
        <w:t>te</w:t>
      </w:r>
      <w:proofErr w:type="spellEnd"/>
      <w:r>
        <w:t xml:space="preserve"> o </w:t>
      </w:r>
      <w:proofErr w:type="spellStart"/>
      <w:r>
        <w:t>izmjeni</w:t>
      </w:r>
      <w:proofErr w:type="spellEnd"/>
      <w:r>
        <w:t xml:space="preserve"> </w:t>
      </w:r>
      <w:proofErr w:type="spellStart"/>
      <w:r>
        <w:t>Direktive</w:t>
      </w:r>
      <w:proofErr w:type="spellEnd"/>
      <w:r>
        <w:t xml:space="preserve"> 1999/45/EZ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Uredbe</w:t>
      </w:r>
      <w:proofErr w:type="spellEnd"/>
      <w:r>
        <w:t xml:space="preserve"> </w:t>
      </w:r>
      <w:proofErr w:type="spellStart"/>
      <w:r>
        <w:t>Vijeća</w:t>
      </w:r>
      <w:proofErr w:type="spellEnd"/>
      <w:r>
        <w:t xml:space="preserve"> (EEZ) br. 793/93 </w:t>
      </w:r>
      <w:proofErr w:type="spellStart"/>
      <w:r>
        <w:t>i</w:t>
      </w:r>
      <w:proofErr w:type="spellEnd"/>
      <w:r>
        <w:t xml:space="preserve"> </w:t>
      </w:r>
      <w:proofErr w:type="spellStart"/>
      <w:r>
        <w:t>Uredbe</w:t>
      </w:r>
      <w:proofErr w:type="spellEnd"/>
      <w:r>
        <w:t xml:space="preserve"> </w:t>
      </w:r>
      <w:proofErr w:type="spellStart"/>
      <w:r>
        <w:t>Komisije</w:t>
      </w:r>
      <w:proofErr w:type="spellEnd"/>
      <w:r>
        <w:t xml:space="preserve"> (EZ) br. 1488/94 </w:t>
      </w:r>
      <w:proofErr w:type="spellStart"/>
      <w:r>
        <w:t>kao</w:t>
      </w:r>
      <w:proofErr w:type="spellEnd"/>
      <w:r>
        <w:t xml:space="preserve"> </w:t>
      </w:r>
      <w:proofErr w:type="spellStart"/>
      <w:r>
        <w:t>i</w:t>
      </w:r>
      <w:proofErr w:type="spellEnd"/>
      <w:r>
        <w:t xml:space="preserve"> </w:t>
      </w:r>
      <w:proofErr w:type="spellStart"/>
      <w:r>
        <w:t>Direktive</w:t>
      </w:r>
      <w:proofErr w:type="spellEnd"/>
      <w:r>
        <w:t xml:space="preserve"> </w:t>
      </w:r>
      <w:proofErr w:type="spellStart"/>
      <w:r>
        <w:t>Vijeća</w:t>
      </w:r>
      <w:proofErr w:type="spellEnd"/>
      <w:r>
        <w:t xml:space="preserve"> 76/769/EEZ </w:t>
      </w:r>
      <w:proofErr w:type="spellStart"/>
      <w:r>
        <w:t>i</w:t>
      </w:r>
      <w:proofErr w:type="spellEnd"/>
      <w:r>
        <w:t xml:space="preserve"> </w:t>
      </w:r>
      <w:proofErr w:type="spellStart"/>
      <w:r>
        <w:t>direktiva</w:t>
      </w:r>
      <w:proofErr w:type="spellEnd"/>
      <w:r>
        <w:t xml:space="preserve"> </w:t>
      </w:r>
      <w:proofErr w:type="spellStart"/>
      <w:r>
        <w:t>Komisije</w:t>
      </w:r>
      <w:proofErr w:type="spellEnd"/>
      <w:r>
        <w:t xml:space="preserve"> 91/155/EEZ, 93/67/EEZ, 93/105/EZ </w:t>
      </w:r>
      <w:proofErr w:type="spellStart"/>
      <w:r>
        <w:t>i</w:t>
      </w:r>
      <w:proofErr w:type="spellEnd"/>
      <w:r>
        <w:t xml:space="preserve"> 2000/21/EZ (SL L 396, 30.12.2006., str. 1.).</w:t>
      </w:r>
      <w:proofErr w:type="gramEnd"/>
    </w:p>
  </w:footnote>
  <w:footnote w:id="17">
    <w:p w:rsidR="00BA7C22" w:rsidRDefault="00BA7C22" w:rsidP="001169ED">
      <w:pPr>
        <w:pStyle w:val="FootnoteTextForceStyle"/>
      </w:pPr>
      <w:r>
        <w:rPr>
          <w:vertAlign w:val="superscript"/>
        </w:rPr>
        <w:footnoteRef/>
      </w:r>
      <w:r>
        <w:tab/>
      </w:r>
      <w:proofErr w:type="spellStart"/>
      <w:r>
        <w:t>Uredba</w:t>
      </w:r>
      <w:proofErr w:type="spellEnd"/>
      <w:r>
        <w:t xml:space="preserve"> (EZ) br. 1272/2008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16. </w:t>
      </w:r>
      <w:proofErr w:type="spellStart"/>
      <w:proofErr w:type="gramStart"/>
      <w:r>
        <w:t>prosinca</w:t>
      </w:r>
      <w:proofErr w:type="spellEnd"/>
      <w:proofErr w:type="gramEnd"/>
      <w:r>
        <w:t xml:space="preserve"> 2008. </w:t>
      </w:r>
      <w:proofErr w:type="gramStart"/>
      <w:r>
        <w:t>o</w:t>
      </w:r>
      <w:proofErr w:type="gramEnd"/>
      <w:r>
        <w:t xml:space="preserve"> </w:t>
      </w:r>
      <w:proofErr w:type="spellStart"/>
      <w:r>
        <w:t>razvrstavanju</w:t>
      </w:r>
      <w:proofErr w:type="spellEnd"/>
      <w:r>
        <w:t xml:space="preserve">, </w:t>
      </w:r>
      <w:proofErr w:type="spellStart"/>
      <w:r>
        <w:t>označivanju</w:t>
      </w:r>
      <w:proofErr w:type="spellEnd"/>
      <w:r>
        <w:t xml:space="preserve"> </w:t>
      </w:r>
      <w:proofErr w:type="spellStart"/>
      <w:r>
        <w:t>i</w:t>
      </w:r>
      <w:proofErr w:type="spellEnd"/>
      <w:r>
        <w:t xml:space="preserve"> </w:t>
      </w:r>
      <w:proofErr w:type="spellStart"/>
      <w:r>
        <w:t>pakiranju</w:t>
      </w:r>
      <w:proofErr w:type="spellEnd"/>
      <w:r>
        <w:t xml:space="preserve"> </w:t>
      </w:r>
      <w:proofErr w:type="spellStart"/>
      <w:r>
        <w:t>tvari</w:t>
      </w:r>
      <w:proofErr w:type="spellEnd"/>
      <w:r>
        <w:t xml:space="preserve"> </w:t>
      </w:r>
      <w:proofErr w:type="spellStart"/>
      <w:r>
        <w:t>i</w:t>
      </w:r>
      <w:proofErr w:type="spellEnd"/>
      <w:r>
        <w:t xml:space="preserve"> </w:t>
      </w:r>
      <w:proofErr w:type="spellStart"/>
      <w:r>
        <w:t>smjesa</w:t>
      </w:r>
      <w:proofErr w:type="spellEnd"/>
      <w:r>
        <w:t xml:space="preserve">, o </w:t>
      </w:r>
      <w:proofErr w:type="spellStart"/>
      <w:r>
        <w:t>izmjeni</w:t>
      </w:r>
      <w:proofErr w:type="spellEnd"/>
      <w:r>
        <w:t xml:space="preserve">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67/548/EEZ </w:t>
      </w:r>
      <w:proofErr w:type="spellStart"/>
      <w:r>
        <w:t>i</w:t>
      </w:r>
      <w:proofErr w:type="spellEnd"/>
      <w:r>
        <w:t xml:space="preserve"> </w:t>
      </w:r>
      <w:proofErr w:type="spellStart"/>
      <w:r>
        <w:t>Direktive</w:t>
      </w:r>
      <w:proofErr w:type="spellEnd"/>
      <w:r>
        <w:t xml:space="preserve"> 1999/45/EZ </w:t>
      </w:r>
      <w:proofErr w:type="spellStart"/>
      <w:r>
        <w:t>i</w:t>
      </w:r>
      <w:proofErr w:type="spellEnd"/>
      <w:r>
        <w:t xml:space="preserve"> o </w:t>
      </w:r>
      <w:proofErr w:type="spellStart"/>
      <w:r>
        <w:t>izmjeni</w:t>
      </w:r>
      <w:proofErr w:type="spellEnd"/>
      <w:r>
        <w:t xml:space="preserve"> </w:t>
      </w:r>
      <w:proofErr w:type="spellStart"/>
      <w:r>
        <w:t>Uredbe</w:t>
      </w:r>
      <w:proofErr w:type="spellEnd"/>
      <w:r>
        <w:t xml:space="preserve"> (EZ) br. 1907/2006 (SL L 353, 31.12.2008., str. 1.).</w:t>
      </w:r>
    </w:p>
  </w:footnote>
  <w:footnote w:id="18">
    <w:p w:rsidR="00BA7C22" w:rsidRDefault="00BA7C22" w:rsidP="001169ED">
      <w:pPr>
        <w:pStyle w:val="FootnoteTextForceStyle"/>
      </w:pPr>
      <w:r>
        <w:rPr>
          <w:vertAlign w:val="superscript"/>
        </w:rPr>
        <w:footnoteRef/>
      </w:r>
      <w:r>
        <w:tab/>
      </w:r>
      <w:proofErr w:type="spellStart"/>
      <w:r>
        <w:t>Uredba</w:t>
      </w:r>
      <w:proofErr w:type="spellEnd"/>
      <w:r>
        <w:t xml:space="preserve"> (EU) br. 528/2012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22. </w:t>
      </w:r>
      <w:proofErr w:type="spellStart"/>
      <w:proofErr w:type="gramStart"/>
      <w:r>
        <w:t>svibnja</w:t>
      </w:r>
      <w:proofErr w:type="spellEnd"/>
      <w:proofErr w:type="gramEnd"/>
      <w:r>
        <w:t xml:space="preserve"> 2012. </w:t>
      </w:r>
      <w:proofErr w:type="gramStart"/>
      <w:r>
        <w:t>o</w:t>
      </w:r>
      <w:proofErr w:type="gramEnd"/>
      <w:r>
        <w:t xml:space="preserve"> </w:t>
      </w:r>
      <w:proofErr w:type="spellStart"/>
      <w:r>
        <w:t>stavljanju</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uporabi</w:t>
      </w:r>
      <w:proofErr w:type="spellEnd"/>
      <w:r>
        <w:t xml:space="preserve"> </w:t>
      </w:r>
      <w:proofErr w:type="spellStart"/>
      <w:r>
        <w:t>biocidnih</w:t>
      </w:r>
      <w:proofErr w:type="spellEnd"/>
      <w:r>
        <w:t xml:space="preserve"> </w:t>
      </w:r>
      <w:proofErr w:type="spellStart"/>
      <w:r>
        <w:t>proizvoda</w:t>
      </w:r>
      <w:proofErr w:type="spellEnd"/>
      <w:r>
        <w:t xml:space="preserve"> (SL L 167, 27.6.2012., str. 1.).</w:t>
      </w:r>
    </w:p>
  </w:footnote>
  <w:footnote w:id="19">
    <w:p w:rsidR="00BA7C22" w:rsidRDefault="00BA7C22" w:rsidP="001169ED">
      <w:pPr>
        <w:pStyle w:val="FootnoteTextForceStyle"/>
      </w:pPr>
      <w:r>
        <w:rPr>
          <w:vertAlign w:val="superscript"/>
        </w:rPr>
        <w:footnoteRef/>
      </w:r>
      <w:r>
        <w:tab/>
      </w:r>
      <w:proofErr w:type="spellStart"/>
      <w:r>
        <w:rPr>
          <w:b/>
          <w:i/>
        </w:rPr>
        <w:t>Uredba</w:t>
      </w:r>
      <w:proofErr w:type="spellEnd"/>
      <w:r>
        <w:rPr>
          <w:b/>
          <w:i/>
        </w:rPr>
        <w:t xml:space="preserve"> (EU) 2019/1020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20. </w:t>
      </w:r>
      <w:proofErr w:type="spellStart"/>
      <w:proofErr w:type="gramStart"/>
      <w:r>
        <w:rPr>
          <w:b/>
          <w:i/>
        </w:rPr>
        <w:t>lipnja</w:t>
      </w:r>
      <w:proofErr w:type="spellEnd"/>
      <w:proofErr w:type="gramEnd"/>
      <w:r>
        <w:rPr>
          <w:b/>
          <w:i/>
        </w:rPr>
        <w:t xml:space="preserve"> 2019. </w:t>
      </w:r>
      <w:proofErr w:type="gramStart"/>
      <w:r>
        <w:rPr>
          <w:b/>
          <w:i/>
        </w:rPr>
        <w:t>o</w:t>
      </w:r>
      <w:proofErr w:type="gramEnd"/>
      <w:r>
        <w:rPr>
          <w:b/>
          <w:i/>
        </w:rPr>
        <w:t xml:space="preserve"> </w:t>
      </w:r>
      <w:proofErr w:type="spellStart"/>
      <w:r>
        <w:rPr>
          <w:b/>
          <w:i/>
        </w:rPr>
        <w:t>nadzoru</w:t>
      </w:r>
      <w:proofErr w:type="spellEnd"/>
      <w:r>
        <w:rPr>
          <w:b/>
          <w:i/>
        </w:rPr>
        <w:t xml:space="preserve"> </w:t>
      </w:r>
      <w:proofErr w:type="spellStart"/>
      <w:r>
        <w:rPr>
          <w:b/>
          <w:i/>
        </w:rPr>
        <w:t>tržišta</w:t>
      </w:r>
      <w:proofErr w:type="spellEnd"/>
      <w:r>
        <w:rPr>
          <w:b/>
          <w:i/>
        </w:rPr>
        <w:t xml:space="preserve"> </w:t>
      </w:r>
      <w:proofErr w:type="spellStart"/>
      <w:r>
        <w:rPr>
          <w:b/>
          <w:i/>
        </w:rPr>
        <w:t>i</w:t>
      </w:r>
      <w:proofErr w:type="spellEnd"/>
      <w:r>
        <w:rPr>
          <w:b/>
          <w:i/>
        </w:rPr>
        <w:t xml:space="preserve"> </w:t>
      </w:r>
      <w:proofErr w:type="spellStart"/>
      <w:r>
        <w:rPr>
          <w:b/>
          <w:i/>
        </w:rPr>
        <w:t>sukladnosti</w:t>
      </w:r>
      <w:proofErr w:type="spellEnd"/>
      <w:r>
        <w:rPr>
          <w:b/>
          <w:i/>
        </w:rPr>
        <w:t xml:space="preserve"> </w:t>
      </w:r>
      <w:proofErr w:type="spellStart"/>
      <w:r>
        <w:rPr>
          <w:b/>
          <w:i/>
        </w:rPr>
        <w:t>proizvoda</w:t>
      </w:r>
      <w:proofErr w:type="spellEnd"/>
      <w:r>
        <w:rPr>
          <w:b/>
          <w:i/>
        </w:rPr>
        <w:t xml:space="preserve"> </w:t>
      </w:r>
      <w:proofErr w:type="spellStart"/>
      <w:r>
        <w:rPr>
          <w:b/>
          <w:i/>
        </w:rPr>
        <w:t>i</w:t>
      </w:r>
      <w:proofErr w:type="spellEnd"/>
      <w:r>
        <w:rPr>
          <w:b/>
          <w:i/>
        </w:rPr>
        <w:t xml:space="preserve"> o </w:t>
      </w:r>
      <w:proofErr w:type="spellStart"/>
      <w:r>
        <w:rPr>
          <w:b/>
          <w:i/>
        </w:rPr>
        <w:t>izmjeni</w:t>
      </w:r>
      <w:proofErr w:type="spellEnd"/>
      <w:r>
        <w:rPr>
          <w:b/>
          <w:i/>
        </w:rPr>
        <w:t xml:space="preserve"> </w:t>
      </w:r>
      <w:proofErr w:type="spellStart"/>
      <w:r>
        <w:rPr>
          <w:b/>
          <w:i/>
        </w:rPr>
        <w:t>Direktive</w:t>
      </w:r>
      <w:proofErr w:type="spellEnd"/>
      <w:r>
        <w:rPr>
          <w:b/>
          <w:i/>
        </w:rPr>
        <w:t xml:space="preserve"> 2004/42/EZ </w:t>
      </w:r>
      <w:proofErr w:type="spellStart"/>
      <w:r>
        <w:rPr>
          <w:b/>
          <w:i/>
        </w:rPr>
        <w:t>i</w:t>
      </w:r>
      <w:proofErr w:type="spellEnd"/>
      <w:r>
        <w:rPr>
          <w:b/>
          <w:i/>
        </w:rPr>
        <w:t xml:space="preserve"> </w:t>
      </w:r>
      <w:proofErr w:type="spellStart"/>
      <w:r>
        <w:rPr>
          <w:b/>
          <w:i/>
        </w:rPr>
        <w:t>uredbi</w:t>
      </w:r>
      <w:proofErr w:type="spellEnd"/>
      <w:r>
        <w:rPr>
          <w:b/>
          <w:i/>
        </w:rPr>
        <w:t xml:space="preserve"> (EZ) br. 765/2008 </w:t>
      </w:r>
      <w:proofErr w:type="spellStart"/>
      <w:r>
        <w:rPr>
          <w:b/>
          <w:i/>
        </w:rPr>
        <w:t>i</w:t>
      </w:r>
      <w:proofErr w:type="spellEnd"/>
      <w:r>
        <w:rPr>
          <w:b/>
          <w:i/>
        </w:rPr>
        <w:t xml:space="preserve"> (EU) br. 305/2011 (SL L 169, 25.6.2019., str. 1.).</w:t>
      </w:r>
    </w:p>
  </w:footnote>
  <w:footnote w:id="20">
    <w:p w:rsidR="00BA7C22" w:rsidRDefault="00BA7C22" w:rsidP="001169ED">
      <w:pPr>
        <w:pStyle w:val="FootnoteTextForceStyle"/>
      </w:pPr>
      <w:r>
        <w:rPr>
          <w:vertAlign w:val="superscript"/>
        </w:rPr>
        <w:footnoteRef/>
      </w:r>
      <w:r>
        <w:tab/>
      </w:r>
      <w:proofErr w:type="spellStart"/>
      <w:r>
        <w:t>Uredba</w:t>
      </w:r>
      <w:proofErr w:type="spellEnd"/>
      <w:r>
        <w:t xml:space="preserve"> (EU) 2022/2399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23. </w:t>
      </w:r>
      <w:proofErr w:type="spellStart"/>
      <w:proofErr w:type="gramStart"/>
      <w:r>
        <w:t>studenoga</w:t>
      </w:r>
      <w:proofErr w:type="spellEnd"/>
      <w:proofErr w:type="gramEnd"/>
      <w:r>
        <w:t xml:space="preserve"> 2022. </w:t>
      </w:r>
      <w:proofErr w:type="gramStart"/>
      <w:r>
        <w:t>o</w:t>
      </w:r>
      <w:proofErr w:type="gramEnd"/>
      <w:r>
        <w:t xml:space="preserve"> </w:t>
      </w:r>
      <w:proofErr w:type="spellStart"/>
      <w:r>
        <w:t>uspostavi</w:t>
      </w:r>
      <w:proofErr w:type="spellEnd"/>
      <w:r>
        <w:t xml:space="preserve"> </w:t>
      </w:r>
      <w:proofErr w:type="spellStart"/>
      <w:r>
        <w:t>okruženja</w:t>
      </w:r>
      <w:proofErr w:type="spellEnd"/>
      <w:r>
        <w:t xml:space="preserve"> </w:t>
      </w:r>
      <w:proofErr w:type="spellStart"/>
      <w:r>
        <w:t>jedinstvenog</w:t>
      </w:r>
      <w:proofErr w:type="spellEnd"/>
      <w:r>
        <w:t xml:space="preserve"> </w:t>
      </w:r>
      <w:proofErr w:type="spellStart"/>
      <w:r>
        <w:t>sučelja</w:t>
      </w:r>
      <w:proofErr w:type="spellEnd"/>
      <w:r>
        <w:t xml:space="preserve"> </w:t>
      </w:r>
      <w:proofErr w:type="spellStart"/>
      <w:r>
        <w:t>Europske</w:t>
      </w:r>
      <w:proofErr w:type="spellEnd"/>
      <w:r>
        <w:t xml:space="preserve"> </w:t>
      </w:r>
      <w:proofErr w:type="spellStart"/>
      <w:r>
        <w:t>unije</w:t>
      </w:r>
      <w:proofErr w:type="spellEnd"/>
      <w:r>
        <w:t xml:space="preserve"> </w:t>
      </w:r>
      <w:proofErr w:type="spellStart"/>
      <w:r>
        <w:t>za</w:t>
      </w:r>
      <w:proofErr w:type="spellEnd"/>
      <w:r>
        <w:t xml:space="preserve"> </w:t>
      </w:r>
      <w:proofErr w:type="spellStart"/>
      <w:r>
        <w:t>carinu</w:t>
      </w:r>
      <w:proofErr w:type="spellEnd"/>
      <w:r>
        <w:t xml:space="preserve"> </w:t>
      </w:r>
      <w:proofErr w:type="spellStart"/>
      <w:r>
        <w:t>i</w:t>
      </w:r>
      <w:proofErr w:type="spellEnd"/>
      <w:r>
        <w:t xml:space="preserve"> </w:t>
      </w:r>
      <w:proofErr w:type="spellStart"/>
      <w:r>
        <w:t>izmjeni</w:t>
      </w:r>
      <w:proofErr w:type="spellEnd"/>
      <w:r>
        <w:t xml:space="preserve"> </w:t>
      </w:r>
      <w:proofErr w:type="spellStart"/>
      <w:r>
        <w:t>Uredbe</w:t>
      </w:r>
      <w:proofErr w:type="spellEnd"/>
      <w:r>
        <w:t xml:space="preserve"> (EU) br. 952/2013 (SL L 317, 9.12.2022., str. 1.).</w:t>
      </w:r>
    </w:p>
  </w:footnote>
  <w:footnote w:id="21">
    <w:p w:rsidR="00BA7C22" w:rsidRDefault="00BA7C22" w:rsidP="001169ED">
      <w:pPr>
        <w:pStyle w:val="FootnoteTextForceStyle"/>
      </w:pPr>
      <w:r>
        <w:rPr>
          <w:vertAlign w:val="superscript"/>
        </w:rPr>
        <w:footnoteRef/>
      </w:r>
      <w:r>
        <w:tab/>
      </w:r>
      <w:proofErr w:type="spellStart"/>
      <w:r>
        <w:rPr>
          <w:strike/>
        </w:rPr>
        <w:t>Delegirana</w:t>
      </w:r>
      <w:proofErr w:type="spellEnd"/>
      <w:r>
        <w:rPr>
          <w:strike/>
        </w:rPr>
        <w:t xml:space="preserve"> </w:t>
      </w:r>
      <w:proofErr w:type="spellStart"/>
      <w:r>
        <w:rPr>
          <w:strike/>
        </w:rPr>
        <w:t>uredba</w:t>
      </w:r>
      <w:proofErr w:type="spellEnd"/>
      <w:r>
        <w:rPr>
          <w:strike/>
        </w:rPr>
        <w:t xml:space="preserve"> </w:t>
      </w:r>
      <w:proofErr w:type="spellStart"/>
      <w:r>
        <w:rPr>
          <w:strike/>
        </w:rPr>
        <w:t>Komisije</w:t>
      </w:r>
      <w:proofErr w:type="spellEnd"/>
      <w:r>
        <w:rPr>
          <w:strike/>
        </w:rPr>
        <w:t xml:space="preserve"> (EU) br. 1062/2014 </w:t>
      </w:r>
      <w:proofErr w:type="gramStart"/>
      <w:r>
        <w:rPr>
          <w:strike/>
        </w:rPr>
        <w:t>od</w:t>
      </w:r>
      <w:proofErr w:type="gramEnd"/>
      <w:r>
        <w:rPr>
          <w:strike/>
        </w:rPr>
        <w:t xml:space="preserve"> 4. </w:t>
      </w:r>
      <w:proofErr w:type="spellStart"/>
      <w:proofErr w:type="gramStart"/>
      <w:r>
        <w:rPr>
          <w:strike/>
        </w:rPr>
        <w:t>kolovoza</w:t>
      </w:r>
      <w:proofErr w:type="spellEnd"/>
      <w:proofErr w:type="gramEnd"/>
      <w:r>
        <w:rPr>
          <w:strike/>
        </w:rPr>
        <w:t xml:space="preserve"> 2014. </w:t>
      </w:r>
      <w:proofErr w:type="gramStart"/>
      <w:r>
        <w:rPr>
          <w:strike/>
        </w:rPr>
        <w:t>o</w:t>
      </w:r>
      <w:proofErr w:type="gramEnd"/>
      <w:r>
        <w:rPr>
          <w:strike/>
        </w:rPr>
        <w:t xml:space="preserve"> </w:t>
      </w:r>
      <w:proofErr w:type="spellStart"/>
      <w:r>
        <w:rPr>
          <w:strike/>
        </w:rPr>
        <w:t>programu</w:t>
      </w:r>
      <w:proofErr w:type="spellEnd"/>
      <w:r>
        <w:rPr>
          <w:strike/>
        </w:rPr>
        <w:t xml:space="preserve"> </w:t>
      </w:r>
      <w:proofErr w:type="spellStart"/>
      <w:r>
        <w:rPr>
          <w:strike/>
        </w:rPr>
        <w:t>rada</w:t>
      </w:r>
      <w:proofErr w:type="spellEnd"/>
      <w:r>
        <w:rPr>
          <w:strike/>
        </w:rPr>
        <w:t xml:space="preserve"> </w:t>
      </w:r>
      <w:proofErr w:type="spellStart"/>
      <w:r>
        <w:rPr>
          <w:strike/>
        </w:rPr>
        <w:t>za</w:t>
      </w:r>
      <w:proofErr w:type="spellEnd"/>
      <w:r>
        <w:rPr>
          <w:strike/>
        </w:rPr>
        <w:t xml:space="preserve"> </w:t>
      </w:r>
      <w:proofErr w:type="spellStart"/>
      <w:r>
        <w:rPr>
          <w:strike/>
        </w:rPr>
        <w:t>sustavni</w:t>
      </w:r>
      <w:proofErr w:type="spellEnd"/>
      <w:r>
        <w:rPr>
          <w:strike/>
        </w:rPr>
        <w:t xml:space="preserve"> </w:t>
      </w:r>
      <w:proofErr w:type="spellStart"/>
      <w:r>
        <w:rPr>
          <w:strike/>
        </w:rPr>
        <w:t>pregled</w:t>
      </w:r>
      <w:proofErr w:type="spellEnd"/>
      <w:r>
        <w:rPr>
          <w:strike/>
        </w:rPr>
        <w:t xml:space="preserve"> </w:t>
      </w:r>
      <w:proofErr w:type="spellStart"/>
      <w:r>
        <w:rPr>
          <w:strike/>
        </w:rPr>
        <w:t>svih</w:t>
      </w:r>
      <w:proofErr w:type="spellEnd"/>
      <w:r>
        <w:rPr>
          <w:strike/>
        </w:rPr>
        <w:t xml:space="preserve"> </w:t>
      </w:r>
      <w:proofErr w:type="spellStart"/>
      <w:r>
        <w:rPr>
          <w:strike/>
        </w:rPr>
        <w:t>postojećih</w:t>
      </w:r>
      <w:proofErr w:type="spellEnd"/>
      <w:r>
        <w:rPr>
          <w:strike/>
        </w:rPr>
        <w:t xml:space="preserve"> </w:t>
      </w:r>
      <w:proofErr w:type="spellStart"/>
      <w:r>
        <w:rPr>
          <w:strike/>
        </w:rPr>
        <w:t>aktivnih</w:t>
      </w:r>
      <w:proofErr w:type="spellEnd"/>
      <w:r>
        <w:rPr>
          <w:strike/>
        </w:rPr>
        <w:t xml:space="preserve"> </w:t>
      </w:r>
      <w:proofErr w:type="spellStart"/>
      <w:r>
        <w:rPr>
          <w:strike/>
        </w:rPr>
        <w:t>tvari</w:t>
      </w:r>
      <w:proofErr w:type="spellEnd"/>
      <w:r>
        <w:rPr>
          <w:strike/>
        </w:rPr>
        <w:t xml:space="preserve"> </w:t>
      </w:r>
      <w:proofErr w:type="spellStart"/>
      <w:r>
        <w:rPr>
          <w:strike/>
        </w:rPr>
        <w:t>sadržanih</w:t>
      </w:r>
      <w:proofErr w:type="spellEnd"/>
      <w:r>
        <w:rPr>
          <w:strike/>
        </w:rPr>
        <w:t xml:space="preserve"> u </w:t>
      </w:r>
      <w:proofErr w:type="spellStart"/>
      <w:r>
        <w:rPr>
          <w:strike/>
        </w:rPr>
        <w:t>biocidnim</w:t>
      </w:r>
      <w:proofErr w:type="spellEnd"/>
      <w:r>
        <w:rPr>
          <w:strike/>
        </w:rPr>
        <w:t xml:space="preserve"> </w:t>
      </w:r>
      <w:proofErr w:type="spellStart"/>
      <w:r>
        <w:rPr>
          <w:strike/>
        </w:rPr>
        <w:t>proizvodima</w:t>
      </w:r>
      <w:proofErr w:type="spellEnd"/>
      <w:r>
        <w:rPr>
          <w:strike/>
        </w:rPr>
        <w:t xml:space="preserve"> </w:t>
      </w:r>
      <w:proofErr w:type="spellStart"/>
      <w:r>
        <w:rPr>
          <w:strike/>
        </w:rPr>
        <w:t>iz</w:t>
      </w:r>
      <w:proofErr w:type="spellEnd"/>
      <w:r>
        <w:rPr>
          <w:strike/>
        </w:rPr>
        <w:t xml:space="preserve"> </w:t>
      </w:r>
      <w:proofErr w:type="spellStart"/>
      <w:r>
        <w:rPr>
          <w:strike/>
        </w:rPr>
        <w:t>Uredbe</w:t>
      </w:r>
      <w:proofErr w:type="spellEnd"/>
      <w:r>
        <w:rPr>
          <w:strike/>
        </w:rPr>
        <w:t xml:space="preserve"> (EU) br. 528/2012 </w:t>
      </w:r>
      <w:proofErr w:type="spellStart"/>
      <w:r>
        <w:rPr>
          <w:strike/>
        </w:rPr>
        <w:t>Europskog</w:t>
      </w:r>
      <w:proofErr w:type="spellEnd"/>
      <w:r>
        <w:rPr>
          <w:strike/>
        </w:rPr>
        <w:t xml:space="preserve"> </w:t>
      </w:r>
      <w:proofErr w:type="spellStart"/>
      <w:r>
        <w:rPr>
          <w:strike/>
        </w:rPr>
        <w:t>parlamenta</w:t>
      </w:r>
      <w:proofErr w:type="spellEnd"/>
      <w:r>
        <w:rPr>
          <w:strike/>
        </w:rPr>
        <w:t xml:space="preserve"> </w:t>
      </w:r>
      <w:proofErr w:type="spellStart"/>
      <w:r>
        <w:rPr>
          <w:strike/>
        </w:rPr>
        <w:t>i</w:t>
      </w:r>
      <w:proofErr w:type="spellEnd"/>
      <w:r>
        <w:rPr>
          <w:strike/>
        </w:rPr>
        <w:t xml:space="preserve"> </w:t>
      </w:r>
      <w:proofErr w:type="spellStart"/>
      <w:r>
        <w:rPr>
          <w:strike/>
        </w:rPr>
        <w:t>Vijeća</w:t>
      </w:r>
      <w:proofErr w:type="spellEnd"/>
      <w:r>
        <w:rPr>
          <w:strike/>
        </w:rPr>
        <w:t xml:space="preserve"> (SL L 294, 10.10.2014., str. 1.).</w:t>
      </w:r>
    </w:p>
  </w:footnote>
  <w:footnote w:id="22">
    <w:p w:rsidR="00BA7C22" w:rsidRDefault="00BA7C22" w:rsidP="001169ED">
      <w:pPr>
        <w:pStyle w:val="FootnoteTextForceStyle"/>
      </w:pPr>
      <w:r>
        <w:rPr>
          <w:vertAlign w:val="superscript"/>
        </w:rPr>
        <w:footnoteRef/>
      </w:r>
      <w:r>
        <w:tab/>
      </w:r>
      <w:proofErr w:type="spellStart"/>
      <w:r>
        <w:rPr>
          <w:b/>
          <w:i/>
        </w:rPr>
        <w:t>Delegirana</w:t>
      </w:r>
      <w:proofErr w:type="spellEnd"/>
      <w:r>
        <w:rPr>
          <w:b/>
          <w:i/>
        </w:rPr>
        <w:t xml:space="preserve"> </w:t>
      </w:r>
      <w:proofErr w:type="spellStart"/>
      <w:r>
        <w:rPr>
          <w:b/>
          <w:i/>
        </w:rPr>
        <w:t>uredba</w:t>
      </w:r>
      <w:proofErr w:type="spellEnd"/>
      <w:r>
        <w:rPr>
          <w:b/>
          <w:i/>
        </w:rPr>
        <w:t xml:space="preserve"> </w:t>
      </w:r>
      <w:proofErr w:type="spellStart"/>
      <w:r>
        <w:rPr>
          <w:b/>
          <w:i/>
        </w:rPr>
        <w:t>Komisije</w:t>
      </w:r>
      <w:proofErr w:type="spellEnd"/>
      <w:r>
        <w:rPr>
          <w:b/>
          <w:i/>
        </w:rPr>
        <w:t xml:space="preserve"> (EU) br. 1062/2014 </w:t>
      </w:r>
      <w:proofErr w:type="gramStart"/>
      <w:r>
        <w:rPr>
          <w:b/>
          <w:i/>
        </w:rPr>
        <w:t>od</w:t>
      </w:r>
      <w:proofErr w:type="gramEnd"/>
      <w:r>
        <w:rPr>
          <w:b/>
          <w:i/>
        </w:rPr>
        <w:t xml:space="preserve"> 4. </w:t>
      </w:r>
      <w:proofErr w:type="spellStart"/>
      <w:proofErr w:type="gramStart"/>
      <w:r>
        <w:rPr>
          <w:b/>
          <w:i/>
        </w:rPr>
        <w:t>kolovoza</w:t>
      </w:r>
      <w:proofErr w:type="spellEnd"/>
      <w:proofErr w:type="gramEnd"/>
      <w:r>
        <w:rPr>
          <w:b/>
          <w:i/>
        </w:rPr>
        <w:t xml:space="preserve"> 2014. </w:t>
      </w:r>
      <w:proofErr w:type="gramStart"/>
      <w:r>
        <w:rPr>
          <w:b/>
          <w:i/>
        </w:rPr>
        <w:t>o</w:t>
      </w:r>
      <w:proofErr w:type="gramEnd"/>
      <w:r>
        <w:rPr>
          <w:b/>
          <w:i/>
        </w:rPr>
        <w:t xml:space="preserve"> </w:t>
      </w:r>
      <w:proofErr w:type="spellStart"/>
      <w:r>
        <w:rPr>
          <w:b/>
          <w:i/>
        </w:rPr>
        <w:t>programu</w:t>
      </w:r>
      <w:proofErr w:type="spellEnd"/>
      <w:r>
        <w:rPr>
          <w:b/>
          <w:i/>
        </w:rPr>
        <w:t xml:space="preserve"> </w:t>
      </w:r>
      <w:proofErr w:type="spellStart"/>
      <w:r>
        <w:rPr>
          <w:b/>
          <w:i/>
        </w:rPr>
        <w:t>rada</w:t>
      </w:r>
      <w:proofErr w:type="spellEnd"/>
      <w:r>
        <w:rPr>
          <w:b/>
          <w:i/>
        </w:rPr>
        <w:t xml:space="preserve"> </w:t>
      </w:r>
      <w:proofErr w:type="spellStart"/>
      <w:r>
        <w:rPr>
          <w:b/>
          <w:i/>
        </w:rPr>
        <w:t>za</w:t>
      </w:r>
      <w:proofErr w:type="spellEnd"/>
      <w:r>
        <w:rPr>
          <w:b/>
          <w:i/>
        </w:rPr>
        <w:t xml:space="preserve"> </w:t>
      </w:r>
      <w:proofErr w:type="spellStart"/>
      <w:r>
        <w:rPr>
          <w:b/>
          <w:i/>
        </w:rPr>
        <w:t>sustavni</w:t>
      </w:r>
      <w:proofErr w:type="spellEnd"/>
      <w:r>
        <w:rPr>
          <w:b/>
          <w:i/>
        </w:rPr>
        <w:t xml:space="preserve"> </w:t>
      </w:r>
      <w:proofErr w:type="spellStart"/>
      <w:r>
        <w:rPr>
          <w:b/>
          <w:i/>
        </w:rPr>
        <w:t>pregled</w:t>
      </w:r>
      <w:proofErr w:type="spellEnd"/>
      <w:r>
        <w:rPr>
          <w:b/>
          <w:i/>
        </w:rPr>
        <w:t xml:space="preserve"> </w:t>
      </w:r>
      <w:proofErr w:type="spellStart"/>
      <w:r>
        <w:rPr>
          <w:b/>
          <w:i/>
        </w:rPr>
        <w:t>svih</w:t>
      </w:r>
      <w:proofErr w:type="spellEnd"/>
      <w:r>
        <w:rPr>
          <w:b/>
          <w:i/>
        </w:rPr>
        <w:t xml:space="preserve"> </w:t>
      </w:r>
      <w:proofErr w:type="spellStart"/>
      <w:r>
        <w:rPr>
          <w:b/>
          <w:i/>
        </w:rPr>
        <w:t>postojećih</w:t>
      </w:r>
      <w:proofErr w:type="spellEnd"/>
      <w:r>
        <w:rPr>
          <w:b/>
          <w:i/>
        </w:rPr>
        <w:t xml:space="preserve"> </w:t>
      </w:r>
      <w:proofErr w:type="spellStart"/>
      <w:r>
        <w:rPr>
          <w:b/>
          <w:i/>
        </w:rPr>
        <w:t>aktivnih</w:t>
      </w:r>
      <w:proofErr w:type="spellEnd"/>
      <w:r>
        <w:rPr>
          <w:b/>
          <w:i/>
        </w:rPr>
        <w:t xml:space="preserve"> </w:t>
      </w:r>
      <w:proofErr w:type="spellStart"/>
      <w:r>
        <w:rPr>
          <w:b/>
          <w:i/>
        </w:rPr>
        <w:t>tvari</w:t>
      </w:r>
      <w:proofErr w:type="spellEnd"/>
      <w:r>
        <w:rPr>
          <w:b/>
          <w:i/>
        </w:rPr>
        <w:t xml:space="preserve"> </w:t>
      </w:r>
      <w:proofErr w:type="spellStart"/>
      <w:r>
        <w:rPr>
          <w:b/>
          <w:i/>
        </w:rPr>
        <w:t>sadržanih</w:t>
      </w:r>
      <w:proofErr w:type="spellEnd"/>
      <w:r>
        <w:rPr>
          <w:b/>
          <w:i/>
        </w:rPr>
        <w:t xml:space="preserve"> u </w:t>
      </w:r>
      <w:proofErr w:type="spellStart"/>
      <w:r>
        <w:rPr>
          <w:b/>
          <w:i/>
        </w:rPr>
        <w:t>biocidnim</w:t>
      </w:r>
      <w:proofErr w:type="spellEnd"/>
      <w:r>
        <w:rPr>
          <w:b/>
          <w:i/>
        </w:rPr>
        <w:t xml:space="preserve"> </w:t>
      </w:r>
      <w:proofErr w:type="spellStart"/>
      <w:r>
        <w:rPr>
          <w:b/>
          <w:i/>
        </w:rPr>
        <w:t>proizvodima</w:t>
      </w:r>
      <w:proofErr w:type="spellEnd"/>
      <w:r>
        <w:rPr>
          <w:b/>
          <w:i/>
        </w:rPr>
        <w:t xml:space="preserve"> </w:t>
      </w:r>
      <w:proofErr w:type="spellStart"/>
      <w:r>
        <w:rPr>
          <w:b/>
          <w:i/>
        </w:rPr>
        <w:t>iz</w:t>
      </w:r>
      <w:proofErr w:type="spellEnd"/>
      <w:r>
        <w:rPr>
          <w:b/>
          <w:i/>
        </w:rPr>
        <w:t xml:space="preserve"> </w:t>
      </w:r>
      <w:proofErr w:type="spellStart"/>
      <w:r>
        <w:rPr>
          <w:b/>
          <w:i/>
        </w:rPr>
        <w:t>Uredbe</w:t>
      </w:r>
      <w:proofErr w:type="spellEnd"/>
      <w:r>
        <w:rPr>
          <w:b/>
          <w:i/>
        </w:rPr>
        <w:t xml:space="preserve"> (EU) br. 528/2012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(SL L 294, 10.10.2014., str. 1.).</w:t>
      </w:r>
    </w:p>
  </w:footnote>
  <w:footnote w:id="23">
    <w:p w:rsidR="00BA7C22" w:rsidRDefault="00BA7C22" w:rsidP="001169ED">
      <w:pPr>
        <w:pStyle w:val="FootnoteTextForceStyle"/>
      </w:pPr>
      <w:r>
        <w:rPr>
          <w:vertAlign w:val="superscript"/>
        </w:rPr>
        <w:footnoteRef/>
      </w:r>
      <w:r>
        <w:tab/>
      </w:r>
      <w:proofErr w:type="spellStart"/>
      <w:r>
        <w:rPr>
          <w:b/>
          <w:i/>
        </w:rPr>
        <w:t>Uredba</w:t>
      </w:r>
      <w:proofErr w:type="spellEnd"/>
      <w:r>
        <w:rPr>
          <w:b/>
          <w:i/>
        </w:rPr>
        <w:t xml:space="preserve"> (EU) 2017/745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5. </w:t>
      </w:r>
      <w:proofErr w:type="spellStart"/>
      <w:proofErr w:type="gramStart"/>
      <w:r>
        <w:rPr>
          <w:b/>
          <w:i/>
        </w:rPr>
        <w:t>travnja</w:t>
      </w:r>
      <w:proofErr w:type="spellEnd"/>
      <w:proofErr w:type="gramEnd"/>
      <w:r>
        <w:rPr>
          <w:b/>
          <w:i/>
        </w:rPr>
        <w:t xml:space="preserve"> 2017. </w:t>
      </w:r>
      <w:proofErr w:type="gramStart"/>
      <w:r>
        <w:rPr>
          <w:b/>
          <w:i/>
        </w:rPr>
        <w:t>o</w:t>
      </w:r>
      <w:proofErr w:type="gramEnd"/>
      <w:r>
        <w:rPr>
          <w:b/>
          <w:i/>
        </w:rPr>
        <w:t xml:space="preserve"> </w:t>
      </w:r>
      <w:proofErr w:type="spellStart"/>
      <w:r>
        <w:rPr>
          <w:b/>
          <w:i/>
        </w:rPr>
        <w:t>medicinskim</w:t>
      </w:r>
      <w:proofErr w:type="spellEnd"/>
      <w:r>
        <w:rPr>
          <w:b/>
          <w:i/>
        </w:rPr>
        <w:t xml:space="preserve"> </w:t>
      </w:r>
      <w:proofErr w:type="spellStart"/>
      <w:r>
        <w:rPr>
          <w:b/>
          <w:i/>
        </w:rPr>
        <w:t>proizvodima</w:t>
      </w:r>
      <w:proofErr w:type="spellEnd"/>
      <w:r>
        <w:rPr>
          <w:b/>
          <w:i/>
        </w:rPr>
        <w:t xml:space="preserve">, o </w:t>
      </w:r>
      <w:proofErr w:type="spellStart"/>
      <w:r>
        <w:rPr>
          <w:b/>
          <w:i/>
        </w:rPr>
        <w:t>izmjeni</w:t>
      </w:r>
      <w:proofErr w:type="spellEnd"/>
      <w:r>
        <w:rPr>
          <w:b/>
          <w:i/>
        </w:rPr>
        <w:t xml:space="preserve"> </w:t>
      </w:r>
      <w:proofErr w:type="spellStart"/>
      <w:r>
        <w:rPr>
          <w:b/>
          <w:i/>
        </w:rPr>
        <w:t>Direktive</w:t>
      </w:r>
      <w:proofErr w:type="spellEnd"/>
      <w:r>
        <w:rPr>
          <w:b/>
          <w:i/>
        </w:rPr>
        <w:t xml:space="preserve"> 2001/83/EZ, </w:t>
      </w:r>
      <w:proofErr w:type="spellStart"/>
      <w:r>
        <w:rPr>
          <w:b/>
          <w:i/>
        </w:rPr>
        <w:t>Uredbe</w:t>
      </w:r>
      <w:proofErr w:type="spellEnd"/>
      <w:r>
        <w:rPr>
          <w:b/>
          <w:i/>
        </w:rPr>
        <w:t xml:space="preserve"> (EZ) br. 178/2002 </w:t>
      </w:r>
      <w:proofErr w:type="spellStart"/>
      <w:r>
        <w:rPr>
          <w:b/>
          <w:i/>
        </w:rPr>
        <w:t>i</w:t>
      </w:r>
      <w:proofErr w:type="spellEnd"/>
      <w:r>
        <w:rPr>
          <w:b/>
          <w:i/>
        </w:rPr>
        <w:t xml:space="preserve"> </w:t>
      </w:r>
      <w:proofErr w:type="spellStart"/>
      <w:r>
        <w:rPr>
          <w:b/>
          <w:i/>
        </w:rPr>
        <w:t>Uredbe</w:t>
      </w:r>
      <w:proofErr w:type="spellEnd"/>
      <w:r>
        <w:rPr>
          <w:b/>
          <w:i/>
        </w:rPr>
        <w:t xml:space="preserve"> (EZ) br. 1223/2009 </w:t>
      </w:r>
      <w:proofErr w:type="spellStart"/>
      <w:r>
        <w:rPr>
          <w:b/>
          <w:i/>
        </w:rPr>
        <w:t>te</w:t>
      </w:r>
      <w:proofErr w:type="spellEnd"/>
      <w:r>
        <w:rPr>
          <w:b/>
          <w:i/>
        </w:rPr>
        <w:t xml:space="preserve"> o </w:t>
      </w:r>
      <w:proofErr w:type="spellStart"/>
      <w:r>
        <w:rPr>
          <w:b/>
          <w:i/>
        </w:rPr>
        <w:t>stavljanju</w:t>
      </w:r>
      <w:proofErr w:type="spellEnd"/>
      <w:r>
        <w:rPr>
          <w:b/>
          <w:i/>
        </w:rPr>
        <w:t xml:space="preserve"> </w:t>
      </w:r>
      <w:proofErr w:type="spellStart"/>
      <w:r>
        <w:rPr>
          <w:b/>
          <w:i/>
        </w:rPr>
        <w:t>izvan</w:t>
      </w:r>
      <w:proofErr w:type="spellEnd"/>
      <w:r>
        <w:rPr>
          <w:b/>
          <w:i/>
        </w:rPr>
        <w:t xml:space="preserve"> </w:t>
      </w:r>
      <w:proofErr w:type="spellStart"/>
      <w:r>
        <w:rPr>
          <w:b/>
          <w:i/>
        </w:rPr>
        <w:t>snage</w:t>
      </w:r>
      <w:proofErr w:type="spellEnd"/>
      <w:r>
        <w:rPr>
          <w:b/>
          <w:i/>
        </w:rPr>
        <w:t xml:space="preserve"> </w:t>
      </w:r>
      <w:proofErr w:type="spellStart"/>
      <w:r>
        <w:rPr>
          <w:b/>
          <w:i/>
        </w:rPr>
        <w:t>direktiva</w:t>
      </w:r>
      <w:proofErr w:type="spellEnd"/>
      <w:r>
        <w:rPr>
          <w:b/>
          <w:i/>
        </w:rPr>
        <w:t xml:space="preserve"> </w:t>
      </w:r>
      <w:proofErr w:type="spellStart"/>
      <w:r>
        <w:rPr>
          <w:b/>
          <w:i/>
        </w:rPr>
        <w:t>Vijeća</w:t>
      </w:r>
      <w:proofErr w:type="spellEnd"/>
      <w:r>
        <w:rPr>
          <w:b/>
          <w:i/>
        </w:rPr>
        <w:t xml:space="preserve"> 90/385/EEZ </w:t>
      </w:r>
      <w:proofErr w:type="spellStart"/>
      <w:r>
        <w:rPr>
          <w:b/>
          <w:i/>
        </w:rPr>
        <w:t>i</w:t>
      </w:r>
      <w:proofErr w:type="spellEnd"/>
      <w:r>
        <w:rPr>
          <w:b/>
          <w:i/>
        </w:rPr>
        <w:t xml:space="preserve"> 93/42/EEZ (SL L 117, 5.5.2017., str. 1.).</w:t>
      </w:r>
    </w:p>
  </w:footnote>
  <w:footnote w:id="24">
    <w:p w:rsidR="00BA7C22" w:rsidRDefault="00BA7C22" w:rsidP="001169ED">
      <w:pPr>
        <w:pStyle w:val="FootnoteTextForceStyle"/>
      </w:pPr>
      <w:r>
        <w:rPr>
          <w:vertAlign w:val="superscript"/>
        </w:rPr>
        <w:footnoteRef/>
      </w:r>
      <w:r>
        <w:tab/>
      </w:r>
      <w:proofErr w:type="spellStart"/>
      <w:r>
        <w:rPr>
          <w:b/>
          <w:i/>
        </w:rPr>
        <w:t>Uredba</w:t>
      </w:r>
      <w:proofErr w:type="spellEnd"/>
      <w:r>
        <w:rPr>
          <w:b/>
          <w:i/>
        </w:rPr>
        <w:t xml:space="preserve"> </w:t>
      </w:r>
      <w:proofErr w:type="spellStart"/>
      <w:r>
        <w:rPr>
          <w:b/>
          <w:i/>
        </w:rPr>
        <w:t>Komisije</w:t>
      </w:r>
      <w:proofErr w:type="spellEnd"/>
      <w:r>
        <w:rPr>
          <w:b/>
          <w:i/>
        </w:rPr>
        <w:t xml:space="preserve"> (EZ) br. 440/2008 </w:t>
      </w:r>
      <w:proofErr w:type="gramStart"/>
      <w:r>
        <w:rPr>
          <w:b/>
          <w:i/>
        </w:rPr>
        <w:t>od</w:t>
      </w:r>
      <w:proofErr w:type="gramEnd"/>
      <w:r>
        <w:rPr>
          <w:b/>
          <w:i/>
        </w:rPr>
        <w:t xml:space="preserve"> 30. </w:t>
      </w:r>
      <w:proofErr w:type="spellStart"/>
      <w:proofErr w:type="gramStart"/>
      <w:r>
        <w:rPr>
          <w:b/>
          <w:i/>
        </w:rPr>
        <w:t>svibnja</w:t>
      </w:r>
      <w:proofErr w:type="spellEnd"/>
      <w:proofErr w:type="gramEnd"/>
      <w:r>
        <w:rPr>
          <w:b/>
          <w:i/>
        </w:rPr>
        <w:t xml:space="preserve"> 2008. </w:t>
      </w:r>
      <w:proofErr w:type="gramStart"/>
      <w:r>
        <w:rPr>
          <w:b/>
          <w:i/>
        </w:rPr>
        <w:t>o</w:t>
      </w:r>
      <w:proofErr w:type="gramEnd"/>
      <w:r>
        <w:rPr>
          <w:b/>
          <w:i/>
        </w:rPr>
        <w:t xml:space="preserve"> </w:t>
      </w:r>
      <w:proofErr w:type="spellStart"/>
      <w:r>
        <w:rPr>
          <w:b/>
          <w:i/>
        </w:rPr>
        <w:t>utvrđivanju</w:t>
      </w:r>
      <w:proofErr w:type="spellEnd"/>
      <w:r>
        <w:rPr>
          <w:b/>
          <w:i/>
        </w:rPr>
        <w:t xml:space="preserve"> </w:t>
      </w:r>
      <w:proofErr w:type="spellStart"/>
      <w:r>
        <w:rPr>
          <w:b/>
          <w:i/>
        </w:rPr>
        <w:t>ispitnih</w:t>
      </w:r>
      <w:proofErr w:type="spellEnd"/>
      <w:r>
        <w:rPr>
          <w:b/>
          <w:i/>
        </w:rPr>
        <w:t xml:space="preserve"> </w:t>
      </w:r>
      <w:proofErr w:type="spellStart"/>
      <w:r>
        <w:rPr>
          <w:b/>
          <w:i/>
        </w:rPr>
        <w:t>metoda</w:t>
      </w:r>
      <w:proofErr w:type="spellEnd"/>
      <w:r>
        <w:rPr>
          <w:b/>
          <w:i/>
        </w:rPr>
        <w:t xml:space="preserve"> u </w:t>
      </w:r>
      <w:proofErr w:type="spellStart"/>
      <w:r>
        <w:rPr>
          <w:b/>
          <w:i/>
        </w:rPr>
        <w:t>skladu</w:t>
      </w:r>
      <w:proofErr w:type="spellEnd"/>
      <w:r>
        <w:rPr>
          <w:b/>
          <w:i/>
        </w:rPr>
        <w:t xml:space="preserve"> s </w:t>
      </w:r>
      <w:proofErr w:type="spellStart"/>
      <w:r>
        <w:rPr>
          <w:b/>
          <w:i/>
        </w:rPr>
        <w:t>Uredbom</w:t>
      </w:r>
      <w:proofErr w:type="spellEnd"/>
      <w:r>
        <w:rPr>
          <w:b/>
          <w:i/>
        </w:rPr>
        <w:t xml:space="preserve"> (EZ) br. 1907/2006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o </w:t>
      </w:r>
      <w:proofErr w:type="spellStart"/>
      <w:r>
        <w:rPr>
          <w:b/>
          <w:i/>
        </w:rPr>
        <w:t>registraciji</w:t>
      </w:r>
      <w:proofErr w:type="spellEnd"/>
      <w:r>
        <w:rPr>
          <w:b/>
          <w:i/>
        </w:rPr>
        <w:t xml:space="preserve">, </w:t>
      </w:r>
      <w:proofErr w:type="spellStart"/>
      <w:r>
        <w:rPr>
          <w:b/>
          <w:i/>
        </w:rPr>
        <w:t>evaluaciji</w:t>
      </w:r>
      <w:proofErr w:type="spellEnd"/>
      <w:r>
        <w:rPr>
          <w:b/>
          <w:i/>
        </w:rPr>
        <w:t xml:space="preserve">, </w:t>
      </w:r>
      <w:proofErr w:type="spellStart"/>
      <w:r>
        <w:rPr>
          <w:b/>
          <w:i/>
        </w:rPr>
        <w:t>autorizaciji</w:t>
      </w:r>
      <w:proofErr w:type="spellEnd"/>
      <w:r>
        <w:rPr>
          <w:b/>
          <w:i/>
        </w:rPr>
        <w:t xml:space="preserve"> </w:t>
      </w:r>
      <w:proofErr w:type="spellStart"/>
      <w:r>
        <w:rPr>
          <w:b/>
          <w:i/>
        </w:rPr>
        <w:t>i</w:t>
      </w:r>
      <w:proofErr w:type="spellEnd"/>
      <w:r>
        <w:rPr>
          <w:b/>
          <w:i/>
        </w:rPr>
        <w:t xml:space="preserve"> </w:t>
      </w:r>
      <w:proofErr w:type="spellStart"/>
      <w:r>
        <w:rPr>
          <w:b/>
          <w:i/>
        </w:rPr>
        <w:t>ograničavanju</w:t>
      </w:r>
      <w:proofErr w:type="spellEnd"/>
      <w:r>
        <w:rPr>
          <w:b/>
          <w:i/>
        </w:rPr>
        <w:t xml:space="preserve"> </w:t>
      </w:r>
      <w:proofErr w:type="spellStart"/>
      <w:r>
        <w:rPr>
          <w:b/>
          <w:i/>
        </w:rPr>
        <w:t>kemikalija</w:t>
      </w:r>
      <w:proofErr w:type="spellEnd"/>
      <w:r>
        <w:rPr>
          <w:b/>
          <w:i/>
        </w:rPr>
        <w:t xml:space="preserve"> (REACH) (SL L 142, 31.5.2008., str. 1.).</w:t>
      </w:r>
    </w:p>
  </w:footnote>
  <w:footnote w:id="25">
    <w:p w:rsidR="00BA7C22" w:rsidRDefault="00BA7C22" w:rsidP="001169ED">
      <w:pPr>
        <w:pStyle w:val="FootnoteTextForceStyle"/>
      </w:pPr>
      <w:r>
        <w:rPr>
          <w:vertAlign w:val="superscript"/>
        </w:rPr>
        <w:footnoteRef/>
      </w:r>
      <w:r>
        <w:tab/>
      </w:r>
      <w:proofErr w:type="spellStart"/>
      <w:r>
        <w:t>Uredba</w:t>
      </w:r>
      <w:proofErr w:type="spellEnd"/>
      <w:r>
        <w:t xml:space="preserve"> (EZ) br. 1223/2009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30. </w:t>
      </w:r>
      <w:proofErr w:type="spellStart"/>
      <w:proofErr w:type="gramStart"/>
      <w:r>
        <w:t>studenoga</w:t>
      </w:r>
      <w:proofErr w:type="spellEnd"/>
      <w:proofErr w:type="gramEnd"/>
      <w:r>
        <w:t xml:space="preserve"> 2009. </w:t>
      </w:r>
      <w:proofErr w:type="gramStart"/>
      <w:r>
        <w:t>o</w:t>
      </w:r>
      <w:proofErr w:type="gramEnd"/>
      <w:r>
        <w:t xml:space="preserve"> </w:t>
      </w:r>
      <w:proofErr w:type="spellStart"/>
      <w:r>
        <w:t>kozmetičkim</w:t>
      </w:r>
      <w:proofErr w:type="spellEnd"/>
      <w:r>
        <w:t xml:space="preserve"> </w:t>
      </w:r>
      <w:proofErr w:type="spellStart"/>
      <w:r>
        <w:t>proizvodima</w:t>
      </w:r>
      <w:proofErr w:type="spellEnd"/>
      <w:r>
        <w:t xml:space="preserve"> (SL L 342, 22.12.2009., str. 59.).</w:t>
      </w:r>
    </w:p>
  </w:footnote>
  <w:footnote w:id="26">
    <w:p w:rsidR="00BA7C22" w:rsidRDefault="00BA7C22" w:rsidP="001169ED">
      <w:pPr>
        <w:pStyle w:val="FootnoteTextForceStyle"/>
      </w:pPr>
      <w:r>
        <w:rPr>
          <w:vertAlign w:val="superscript"/>
        </w:rPr>
        <w:footnoteRef/>
      </w:r>
      <w:r>
        <w:tab/>
      </w:r>
      <w:proofErr w:type="spellStart"/>
      <w:r>
        <w:rPr>
          <w:b/>
          <w:i/>
        </w:rPr>
        <w:t>Uredba</w:t>
      </w:r>
      <w:proofErr w:type="spellEnd"/>
      <w:r>
        <w:rPr>
          <w:b/>
          <w:i/>
        </w:rPr>
        <w:t xml:space="preserve"> (EU) br. 182/2011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16. </w:t>
      </w:r>
      <w:proofErr w:type="spellStart"/>
      <w:proofErr w:type="gramStart"/>
      <w:r>
        <w:rPr>
          <w:b/>
          <w:i/>
        </w:rPr>
        <w:t>veljače</w:t>
      </w:r>
      <w:proofErr w:type="spellEnd"/>
      <w:proofErr w:type="gramEnd"/>
      <w:r>
        <w:rPr>
          <w:b/>
          <w:i/>
        </w:rPr>
        <w:t xml:space="preserve"> 2011. </w:t>
      </w:r>
      <w:proofErr w:type="gramStart"/>
      <w:r>
        <w:rPr>
          <w:b/>
          <w:i/>
        </w:rPr>
        <w:t>o</w:t>
      </w:r>
      <w:proofErr w:type="gramEnd"/>
      <w:r>
        <w:rPr>
          <w:b/>
          <w:i/>
        </w:rPr>
        <w:t xml:space="preserve"> </w:t>
      </w:r>
      <w:proofErr w:type="spellStart"/>
      <w:r>
        <w:rPr>
          <w:b/>
          <w:i/>
        </w:rPr>
        <w:t>utvrđivanju</w:t>
      </w:r>
      <w:proofErr w:type="spellEnd"/>
      <w:r>
        <w:rPr>
          <w:b/>
          <w:i/>
        </w:rPr>
        <w:t xml:space="preserve"> </w:t>
      </w:r>
      <w:proofErr w:type="spellStart"/>
      <w:r>
        <w:rPr>
          <w:b/>
          <w:i/>
        </w:rPr>
        <w:t>pravila</w:t>
      </w:r>
      <w:proofErr w:type="spellEnd"/>
      <w:r>
        <w:rPr>
          <w:b/>
          <w:i/>
        </w:rPr>
        <w:t xml:space="preserve"> </w:t>
      </w:r>
      <w:proofErr w:type="spellStart"/>
      <w:r>
        <w:rPr>
          <w:b/>
          <w:i/>
        </w:rPr>
        <w:t>i</w:t>
      </w:r>
      <w:proofErr w:type="spellEnd"/>
      <w:r>
        <w:rPr>
          <w:b/>
          <w:i/>
        </w:rPr>
        <w:t xml:space="preserve"> </w:t>
      </w:r>
      <w:proofErr w:type="spellStart"/>
      <w:r>
        <w:rPr>
          <w:b/>
          <w:i/>
        </w:rPr>
        <w:t>općih</w:t>
      </w:r>
      <w:proofErr w:type="spellEnd"/>
      <w:r>
        <w:rPr>
          <w:b/>
          <w:i/>
        </w:rPr>
        <w:t xml:space="preserve"> </w:t>
      </w:r>
      <w:proofErr w:type="spellStart"/>
      <w:r>
        <w:rPr>
          <w:b/>
          <w:i/>
        </w:rPr>
        <w:t>načela</w:t>
      </w:r>
      <w:proofErr w:type="spellEnd"/>
      <w:r>
        <w:rPr>
          <w:b/>
          <w:i/>
        </w:rPr>
        <w:t xml:space="preserve"> o </w:t>
      </w:r>
      <w:proofErr w:type="spellStart"/>
      <w:r>
        <w:rPr>
          <w:b/>
          <w:i/>
        </w:rPr>
        <w:t>mehanizmima</w:t>
      </w:r>
      <w:proofErr w:type="spellEnd"/>
      <w:r>
        <w:rPr>
          <w:b/>
          <w:i/>
        </w:rPr>
        <w:t xml:space="preserve"> </w:t>
      </w:r>
      <w:proofErr w:type="spellStart"/>
      <w:r>
        <w:rPr>
          <w:b/>
          <w:i/>
        </w:rPr>
        <w:t>nadzora</w:t>
      </w:r>
      <w:proofErr w:type="spellEnd"/>
      <w:r>
        <w:rPr>
          <w:b/>
          <w:i/>
        </w:rPr>
        <w:t xml:space="preserve"> </w:t>
      </w:r>
      <w:proofErr w:type="spellStart"/>
      <w:r>
        <w:rPr>
          <w:b/>
          <w:i/>
        </w:rPr>
        <w:t>država</w:t>
      </w:r>
      <w:proofErr w:type="spellEnd"/>
      <w:r>
        <w:rPr>
          <w:b/>
          <w:i/>
        </w:rPr>
        <w:t xml:space="preserve"> </w:t>
      </w:r>
      <w:proofErr w:type="spellStart"/>
      <w:r>
        <w:rPr>
          <w:b/>
          <w:i/>
        </w:rPr>
        <w:t>članica</w:t>
      </w:r>
      <w:proofErr w:type="spellEnd"/>
      <w:r>
        <w:rPr>
          <w:b/>
          <w:i/>
        </w:rPr>
        <w:t xml:space="preserve"> </w:t>
      </w:r>
      <w:proofErr w:type="spellStart"/>
      <w:r>
        <w:rPr>
          <w:b/>
          <w:i/>
        </w:rPr>
        <w:t>nad</w:t>
      </w:r>
      <w:proofErr w:type="spellEnd"/>
      <w:r>
        <w:rPr>
          <w:b/>
          <w:i/>
        </w:rPr>
        <w:t xml:space="preserve"> </w:t>
      </w:r>
      <w:proofErr w:type="spellStart"/>
      <w:r>
        <w:rPr>
          <w:b/>
          <w:i/>
        </w:rPr>
        <w:t>izvršavanjem</w:t>
      </w:r>
      <w:proofErr w:type="spellEnd"/>
      <w:r>
        <w:rPr>
          <w:b/>
          <w:i/>
        </w:rPr>
        <w:t xml:space="preserve"> </w:t>
      </w:r>
      <w:proofErr w:type="spellStart"/>
      <w:r>
        <w:rPr>
          <w:b/>
          <w:i/>
        </w:rPr>
        <w:t>provedbenih</w:t>
      </w:r>
      <w:proofErr w:type="spellEnd"/>
      <w:r>
        <w:rPr>
          <w:b/>
          <w:i/>
        </w:rPr>
        <w:t xml:space="preserve"> </w:t>
      </w:r>
      <w:proofErr w:type="spellStart"/>
      <w:r>
        <w:rPr>
          <w:b/>
          <w:i/>
        </w:rPr>
        <w:t>ovlasti</w:t>
      </w:r>
      <w:proofErr w:type="spellEnd"/>
      <w:r>
        <w:rPr>
          <w:b/>
          <w:i/>
        </w:rPr>
        <w:t xml:space="preserve"> </w:t>
      </w:r>
      <w:proofErr w:type="spellStart"/>
      <w:r>
        <w:rPr>
          <w:b/>
          <w:i/>
        </w:rPr>
        <w:t>Komisije</w:t>
      </w:r>
      <w:proofErr w:type="spellEnd"/>
      <w:r>
        <w:rPr>
          <w:b/>
          <w:i/>
        </w:rPr>
        <w:t xml:space="preserve"> (SL L 55, 28.2.2011., str. 13.).</w:t>
      </w:r>
    </w:p>
  </w:footnote>
  <w:footnote w:id="27">
    <w:p w:rsidR="00BA7C22" w:rsidRDefault="00BA7C22" w:rsidP="001169ED">
      <w:pPr>
        <w:pStyle w:val="FootnoteTextForceStyle"/>
      </w:pPr>
      <w:r>
        <w:rPr>
          <w:vertAlign w:val="superscript"/>
        </w:rPr>
        <w:t>1</w:t>
      </w:r>
      <w:r>
        <w:tab/>
      </w:r>
      <w:proofErr w:type="spellStart"/>
      <w:r>
        <w:t>Uredba</w:t>
      </w:r>
      <w:proofErr w:type="spellEnd"/>
      <w:r>
        <w:t xml:space="preserve"> </w:t>
      </w:r>
      <w:proofErr w:type="spellStart"/>
      <w:r>
        <w:t>Komisije</w:t>
      </w:r>
      <w:proofErr w:type="spellEnd"/>
      <w:r>
        <w:t xml:space="preserve"> (EZ) br. 440/2008 </w:t>
      </w:r>
      <w:proofErr w:type="gramStart"/>
      <w:r>
        <w:t>od</w:t>
      </w:r>
      <w:proofErr w:type="gramEnd"/>
      <w:r>
        <w:t xml:space="preserve"> 30. </w:t>
      </w:r>
      <w:proofErr w:type="spellStart"/>
      <w:proofErr w:type="gramStart"/>
      <w:r>
        <w:t>svibnja</w:t>
      </w:r>
      <w:proofErr w:type="spellEnd"/>
      <w:proofErr w:type="gramEnd"/>
      <w:r>
        <w:t xml:space="preserve"> 2008. </w:t>
      </w:r>
      <w:proofErr w:type="gramStart"/>
      <w:r>
        <w:t>o</w:t>
      </w:r>
      <w:proofErr w:type="gramEnd"/>
      <w:r>
        <w:t xml:space="preserve"> </w:t>
      </w:r>
      <w:proofErr w:type="spellStart"/>
      <w:r>
        <w:t>utvrđivanju</w:t>
      </w:r>
      <w:proofErr w:type="spellEnd"/>
      <w:r>
        <w:t xml:space="preserve"> </w:t>
      </w:r>
      <w:proofErr w:type="spellStart"/>
      <w:r>
        <w:t>ispitnih</w:t>
      </w:r>
      <w:proofErr w:type="spellEnd"/>
      <w:r>
        <w:t xml:space="preserve"> </w:t>
      </w:r>
      <w:proofErr w:type="spellStart"/>
      <w:r>
        <w:t>metoda</w:t>
      </w:r>
      <w:proofErr w:type="spellEnd"/>
      <w:r>
        <w:t xml:space="preserve"> u </w:t>
      </w:r>
      <w:proofErr w:type="spellStart"/>
      <w:r>
        <w:t>skladu</w:t>
      </w:r>
      <w:proofErr w:type="spellEnd"/>
      <w:r>
        <w:t xml:space="preserve"> s </w:t>
      </w:r>
      <w:proofErr w:type="spellStart"/>
      <w:r>
        <w:t>Uredbom</w:t>
      </w:r>
      <w:proofErr w:type="spellEnd"/>
      <w:r>
        <w:t xml:space="preserve"> (EZ) br. 1907/2006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 </w:t>
      </w:r>
      <w:proofErr w:type="spellStart"/>
      <w:r>
        <w:t>registraciji</w:t>
      </w:r>
      <w:proofErr w:type="spellEnd"/>
      <w:r>
        <w:t xml:space="preserve">, </w:t>
      </w:r>
      <w:proofErr w:type="spellStart"/>
      <w:r>
        <w:t>evaluaciji</w:t>
      </w:r>
      <w:proofErr w:type="spellEnd"/>
      <w:r>
        <w:t xml:space="preserve">, </w:t>
      </w:r>
      <w:proofErr w:type="spellStart"/>
      <w:r>
        <w:t>autorizaciji</w:t>
      </w:r>
      <w:proofErr w:type="spellEnd"/>
      <w:r>
        <w:t xml:space="preserve"> </w:t>
      </w:r>
      <w:proofErr w:type="spellStart"/>
      <w:r>
        <w:t>i</w:t>
      </w:r>
      <w:proofErr w:type="spellEnd"/>
      <w:r>
        <w:t xml:space="preserve"> </w:t>
      </w:r>
      <w:proofErr w:type="spellStart"/>
      <w:r>
        <w:t>ograničavanju</w:t>
      </w:r>
      <w:proofErr w:type="spellEnd"/>
      <w:r>
        <w:t xml:space="preserve"> </w:t>
      </w:r>
      <w:proofErr w:type="spellStart"/>
      <w:r>
        <w:t>kemikalija</w:t>
      </w:r>
      <w:proofErr w:type="spellEnd"/>
      <w:r>
        <w:t xml:space="preserve"> (REACH) (SL L 142, 31.5.2008., str. 1.);</w:t>
      </w:r>
    </w:p>
  </w:footnote>
  <w:footnote w:id="28">
    <w:p w:rsidR="00BA7C22" w:rsidRDefault="00BA7C22" w:rsidP="001169ED">
      <w:pPr>
        <w:pStyle w:val="FootnoteTextForceStyle"/>
      </w:pPr>
      <w:r>
        <w:rPr>
          <w:vertAlign w:val="superscript"/>
        </w:rPr>
        <w:t>2</w:t>
      </w:r>
      <w:r>
        <w:tab/>
      </w:r>
      <w:proofErr w:type="spellStart"/>
      <w:r>
        <w:t>Direktiva</w:t>
      </w:r>
      <w:proofErr w:type="spellEnd"/>
      <w:r>
        <w:t xml:space="preserve"> 2004/10/EZ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11. </w:t>
      </w:r>
      <w:proofErr w:type="spellStart"/>
      <w:proofErr w:type="gramStart"/>
      <w:r>
        <w:t>veljače</w:t>
      </w:r>
      <w:proofErr w:type="spellEnd"/>
      <w:proofErr w:type="gramEnd"/>
      <w:r>
        <w:t xml:space="preserve"> 2004. </w:t>
      </w:r>
      <w:proofErr w:type="gramStart"/>
      <w:r>
        <w:t>o</w:t>
      </w:r>
      <w:proofErr w:type="gramEnd"/>
      <w:r>
        <w:t xml:space="preserve"> </w:t>
      </w:r>
      <w:proofErr w:type="spellStart"/>
      <w:r>
        <w:t>usklađivanju</w:t>
      </w:r>
      <w:proofErr w:type="spellEnd"/>
      <w:r>
        <w:t xml:space="preserve"> </w:t>
      </w:r>
      <w:proofErr w:type="spellStart"/>
      <w:r>
        <w:t>zakona</w:t>
      </w:r>
      <w:proofErr w:type="spellEnd"/>
      <w:r>
        <w:t xml:space="preserve"> </w:t>
      </w:r>
      <w:proofErr w:type="spellStart"/>
      <w:r>
        <w:t>i</w:t>
      </w:r>
      <w:proofErr w:type="spellEnd"/>
      <w:r>
        <w:t xml:space="preserve"> </w:t>
      </w:r>
      <w:proofErr w:type="spellStart"/>
      <w:r>
        <w:t>ostalih</w:t>
      </w:r>
      <w:proofErr w:type="spellEnd"/>
      <w:r>
        <w:t xml:space="preserve"> </w:t>
      </w:r>
      <w:proofErr w:type="spellStart"/>
      <w:r>
        <w:t>propisa</w:t>
      </w:r>
      <w:proofErr w:type="spellEnd"/>
      <w:r>
        <w:t xml:space="preserve"> u </w:t>
      </w:r>
      <w:proofErr w:type="spellStart"/>
      <w:r>
        <w:t>vezi</w:t>
      </w:r>
      <w:proofErr w:type="spellEnd"/>
      <w:r>
        <w:t xml:space="preserve"> s </w:t>
      </w:r>
      <w:proofErr w:type="spellStart"/>
      <w:r>
        <w:t>primjenom</w:t>
      </w:r>
      <w:proofErr w:type="spellEnd"/>
      <w:r>
        <w:t xml:space="preserve"> </w:t>
      </w:r>
      <w:proofErr w:type="spellStart"/>
      <w:r>
        <w:t>načela</w:t>
      </w:r>
      <w:proofErr w:type="spellEnd"/>
      <w:r>
        <w:t xml:space="preserve"> </w:t>
      </w:r>
      <w:proofErr w:type="spellStart"/>
      <w:r>
        <w:t>dobre</w:t>
      </w:r>
      <w:proofErr w:type="spellEnd"/>
      <w:r>
        <w:t xml:space="preserve"> </w:t>
      </w:r>
      <w:proofErr w:type="spellStart"/>
      <w:r>
        <w:t>laboratorijske</w:t>
      </w:r>
      <w:proofErr w:type="spellEnd"/>
      <w:r>
        <w:t xml:space="preserve"> </w:t>
      </w:r>
      <w:proofErr w:type="spellStart"/>
      <w:r>
        <w:t>prakse</w:t>
      </w:r>
      <w:proofErr w:type="spellEnd"/>
      <w:r>
        <w:t xml:space="preserve"> </w:t>
      </w:r>
      <w:proofErr w:type="spellStart"/>
      <w:r>
        <w:t>i</w:t>
      </w:r>
      <w:proofErr w:type="spellEnd"/>
      <w:r>
        <w:t xml:space="preserve"> </w:t>
      </w:r>
      <w:proofErr w:type="spellStart"/>
      <w:r>
        <w:t>provjeri</w:t>
      </w:r>
      <w:proofErr w:type="spellEnd"/>
      <w:r>
        <w:t xml:space="preserve"> </w:t>
      </w:r>
      <w:proofErr w:type="spellStart"/>
      <w:r>
        <w:t>njihove</w:t>
      </w:r>
      <w:proofErr w:type="spellEnd"/>
      <w:r>
        <w:t xml:space="preserve"> </w:t>
      </w:r>
      <w:proofErr w:type="spellStart"/>
      <w:r>
        <w:t>primjene</w:t>
      </w:r>
      <w:proofErr w:type="spellEnd"/>
      <w:r>
        <w:t xml:space="preserve"> u </w:t>
      </w:r>
      <w:proofErr w:type="spellStart"/>
      <w:r>
        <w:t>ispitivanju</w:t>
      </w:r>
      <w:proofErr w:type="spellEnd"/>
      <w:r>
        <w:t xml:space="preserve"> </w:t>
      </w:r>
      <w:proofErr w:type="spellStart"/>
      <w:r>
        <w:t>kemijskih</w:t>
      </w:r>
      <w:proofErr w:type="spellEnd"/>
      <w:r>
        <w:t xml:space="preserve"> </w:t>
      </w:r>
      <w:proofErr w:type="spellStart"/>
      <w:r>
        <w:t>tvari</w:t>
      </w:r>
      <w:proofErr w:type="spellEnd"/>
      <w:r>
        <w:t xml:space="preserve"> (SL L 50, 20.2.2004., str. 44.).</w:t>
      </w:r>
    </w:p>
  </w:footnote>
  <w:footnote w:id="29">
    <w:p w:rsidR="00BA7C22" w:rsidRDefault="00BA7C22" w:rsidP="001169ED">
      <w:pPr>
        <w:pStyle w:val="FootnoteTextForceStyle"/>
      </w:pPr>
      <w:r>
        <w:rPr>
          <w:vertAlign w:val="superscript"/>
        </w:rPr>
        <w:t>1</w:t>
      </w:r>
      <w:r>
        <w:tab/>
      </w:r>
      <w:proofErr w:type="spellStart"/>
      <w:r>
        <w:rPr>
          <w:b/>
          <w:i/>
        </w:rPr>
        <w:t>Uredba</w:t>
      </w:r>
      <w:proofErr w:type="spellEnd"/>
      <w:r>
        <w:rPr>
          <w:b/>
          <w:i/>
        </w:rPr>
        <w:t xml:space="preserve"> (EU) 2020/741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w:t>
      </w:r>
      <w:proofErr w:type="gramStart"/>
      <w:r>
        <w:rPr>
          <w:b/>
          <w:i/>
        </w:rPr>
        <w:t>od</w:t>
      </w:r>
      <w:proofErr w:type="gramEnd"/>
      <w:r>
        <w:rPr>
          <w:b/>
          <w:i/>
        </w:rPr>
        <w:t xml:space="preserve"> 25. </w:t>
      </w:r>
      <w:proofErr w:type="spellStart"/>
      <w:proofErr w:type="gramStart"/>
      <w:r>
        <w:rPr>
          <w:b/>
          <w:i/>
        </w:rPr>
        <w:t>svibnja</w:t>
      </w:r>
      <w:proofErr w:type="spellEnd"/>
      <w:proofErr w:type="gramEnd"/>
      <w:r>
        <w:rPr>
          <w:b/>
          <w:i/>
        </w:rPr>
        <w:t xml:space="preserve"> 2020. </w:t>
      </w:r>
      <w:proofErr w:type="gramStart"/>
      <w:r>
        <w:rPr>
          <w:b/>
          <w:i/>
        </w:rPr>
        <w:t>o</w:t>
      </w:r>
      <w:proofErr w:type="gramEnd"/>
      <w:r>
        <w:rPr>
          <w:b/>
          <w:i/>
        </w:rPr>
        <w:t xml:space="preserve"> </w:t>
      </w:r>
      <w:proofErr w:type="spellStart"/>
      <w:r>
        <w:rPr>
          <w:b/>
          <w:i/>
        </w:rPr>
        <w:t>minimalnim</w:t>
      </w:r>
      <w:proofErr w:type="spellEnd"/>
      <w:r>
        <w:rPr>
          <w:b/>
          <w:i/>
        </w:rPr>
        <w:t xml:space="preserve"> </w:t>
      </w:r>
      <w:proofErr w:type="spellStart"/>
      <w:r>
        <w:rPr>
          <w:b/>
          <w:i/>
        </w:rPr>
        <w:t>zahtjevima</w:t>
      </w:r>
      <w:proofErr w:type="spellEnd"/>
      <w:r>
        <w:rPr>
          <w:b/>
          <w:i/>
        </w:rPr>
        <w:t xml:space="preserve"> </w:t>
      </w:r>
      <w:proofErr w:type="spellStart"/>
      <w:r>
        <w:rPr>
          <w:b/>
          <w:i/>
        </w:rPr>
        <w:t>za</w:t>
      </w:r>
      <w:proofErr w:type="spellEnd"/>
      <w:r>
        <w:rPr>
          <w:b/>
          <w:i/>
        </w:rPr>
        <w:t xml:space="preserve"> </w:t>
      </w:r>
      <w:proofErr w:type="spellStart"/>
      <w:r>
        <w:rPr>
          <w:b/>
          <w:i/>
        </w:rPr>
        <w:t>ponovnu</w:t>
      </w:r>
      <w:proofErr w:type="spellEnd"/>
      <w:r>
        <w:rPr>
          <w:b/>
          <w:i/>
        </w:rPr>
        <w:t xml:space="preserve"> </w:t>
      </w:r>
      <w:proofErr w:type="spellStart"/>
      <w:r>
        <w:rPr>
          <w:b/>
          <w:i/>
        </w:rPr>
        <w:t>upotrebu</w:t>
      </w:r>
      <w:proofErr w:type="spellEnd"/>
      <w:r>
        <w:rPr>
          <w:b/>
          <w:i/>
        </w:rPr>
        <w:t xml:space="preserve"> </w:t>
      </w:r>
      <w:proofErr w:type="spellStart"/>
      <w:r>
        <w:rPr>
          <w:b/>
          <w:i/>
        </w:rPr>
        <w:t>vode</w:t>
      </w:r>
      <w:proofErr w:type="spellEnd"/>
      <w:r>
        <w:rPr>
          <w:b/>
          <w:i/>
        </w:rPr>
        <w:t xml:space="preserve"> (SL L 177, 5.6.2020., str. 32.).</w:t>
      </w:r>
    </w:p>
  </w:footnote>
  <w:footnote w:id="30">
    <w:p w:rsidR="00BA7C22" w:rsidRDefault="00BA7C22" w:rsidP="001169ED">
      <w:pPr>
        <w:pStyle w:val="FootnoteTextForceStyle"/>
      </w:pPr>
      <w:r>
        <w:rPr>
          <w:vertAlign w:val="superscript"/>
        </w:rPr>
        <w:t>2</w:t>
      </w:r>
      <w:r>
        <w:tab/>
      </w:r>
      <w:proofErr w:type="spellStart"/>
      <w:r>
        <w:t>Direktiva</w:t>
      </w:r>
      <w:proofErr w:type="spellEnd"/>
      <w:r>
        <w:t xml:space="preserve"> 2004/10/EZ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11. </w:t>
      </w:r>
      <w:proofErr w:type="spellStart"/>
      <w:proofErr w:type="gramStart"/>
      <w:r>
        <w:t>veljače</w:t>
      </w:r>
      <w:proofErr w:type="spellEnd"/>
      <w:proofErr w:type="gramEnd"/>
      <w:r>
        <w:t xml:space="preserve"> 2004. </w:t>
      </w:r>
      <w:proofErr w:type="gramStart"/>
      <w:r>
        <w:t>o</w:t>
      </w:r>
      <w:proofErr w:type="gramEnd"/>
      <w:r>
        <w:t xml:space="preserve"> </w:t>
      </w:r>
      <w:proofErr w:type="spellStart"/>
      <w:r>
        <w:t>usklađivanju</w:t>
      </w:r>
      <w:proofErr w:type="spellEnd"/>
      <w:r>
        <w:t xml:space="preserve"> </w:t>
      </w:r>
      <w:proofErr w:type="spellStart"/>
      <w:r>
        <w:t>zakona</w:t>
      </w:r>
      <w:proofErr w:type="spellEnd"/>
      <w:r>
        <w:t xml:space="preserve"> </w:t>
      </w:r>
      <w:proofErr w:type="spellStart"/>
      <w:r>
        <w:t>i</w:t>
      </w:r>
      <w:proofErr w:type="spellEnd"/>
      <w:r>
        <w:t xml:space="preserve"> </w:t>
      </w:r>
      <w:proofErr w:type="spellStart"/>
      <w:r>
        <w:t>ostalih</w:t>
      </w:r>
      <w:proofErr w:type="spellEnd"/>
      <w:r>
        <w:t xml:space="preserve"> </w:t>
      </w:r>
      <w:proofErr w:type="spellStart"/>
      <w:r>
        <w:t>propisa</w:t>
      </w:r>
      <w:proofErr w:type="spellEnd"/>
      <w:r>
        <w:t xml:space="preserve"> u </w:t>
      </w:r>
      <w:proofErr w:type="spellStart"/>
      <w:r>
        <w:t>vezi</w:t>
      </w:r>
      <w:proofErr w:type="spellEnd"/>
      <w:r>
        <w:t xml:space="preserve"> s </w:t>
      </w:r>
      <w:proofErr w:type="spellStart"/>
      <w:r>
        <w:t>primjenom</w:t>
      </w:r>
      <w:proofErr w:type="spellEnd"/>
      <w:r>
        <w:t xml:space="preserve"> </w:t>
      </w:r>
      <w:proofErr w:type="spellStart"/>
      <w:r>
        <w:t>načela</w:t>
      </w:r>
      <w:proofErr w:type="spellEnd"/>
      <w:r>
        <w:t xml:space="preserve"> </w:t>
      </w:r>
      <w:proofErr w:type="spellStart"/>
      <w:r>
        <w:t>dobre</w:t>
      </w:r>
      <w:proofErr w:type="spellEnd"/>
      <w:r>
        <w:t xml:space="preserve"> </w:t>
      </w:r>
      <w:proofErr w:type="spellStart"/>
      <w:r>
        <w:t>laboratorijske</w:t>
      </w:r>
      <w:proofErr w:type="spellEnd"/>
      <w:r>
        <w:t xml:space="preserve"> </w:t>
      </w:r>
      <w:proofErr w:type="spellStart"/>
      <w:r>
        <w:t>prakse</w:t>
      </w:r>
      <w:proofErr w:type="spellEnd"/>
      <w:r>
        <w:t xml:space="preserve"> </w:t>
      </w:r>
      <w:proofErr w:type="spellStart"/>
      <w:r>
        <w:t>i</w:t>
      </w:r>
      <w:proofErr w:type="spellEnd"/>
      <w:r>
        <w:t xml:space="preserve"> </w:t>
      </w:r>
      <w:proofErr w:type="spellStart"/>
      <w:r>
        <w:t>provjeri</w:t>
      </w:r>
      <w:proofErr w:type="spellEnd"/>
      <w:r>
        <w:t xml:space="preserve"> </w:t>
      </w:r>
      <w:proofErr w:type="spellStart"/>
      <w:r>
        <w:t>njihove</w:t>
      </w:r>
      <w:proofErr w:type="spellEnd"/>
      <w:r>
        <w:t xml:space="preserve"> </w:t>
      </w:r>
      <w:proofErr w:type="spellStart"/>
      <w:r>
        <w:t>primjene</w:t>
      </w:r>
      <w:proofErr w:type="spellEnd"/>
      <w:r>
        <w:t xml:space="preserve"> u </w:t>
      </w:r>
      <w:proofErr w:type="spellStart"/>
      <w:r>
        <w:t>ispitivanju</w:t>
      </w:r>
      <w:proofErr w:type="spellEnd"/>
      <w:r>
        <w:t xml:space="preserve"> </w:t>
      </w:r>
      <w:proofErr w:type="spellStart"/>
      <w:r>
        <w:t>kemijskih</w:t>
      </w:r>
      <w:proofErr w:type="spellEnd"/>
      <w:r>
        <w:t xml:space="preserve"> </w:t>
      </w:r>
      <w:proofErr w:type="spellStart"/>
      <w:r>
        <w:t>tvari</w:t>
      </w:r>
      <w:proofErr w:type="spellEnd"/>
      <w:r>
        <w:t xml:space="preserve"> (SL L 50, 20.2.2004., str. 44.).</w:t>
      </w:r>
    </w:p>
  </w:footnote>
  <w:footnote w:id="31">
    <w:p w:rsidR="00BA7C22" w:rsidRDefault="00BA7C22" w:rsidP="001169ED">
      <w:pPr>
        <w:pStyle w:val="FootnoteTextForceStyle"/>
      </w:pPr>
      <w:r>
        <w:rPr>
          <w:vertAlign w:val="superscript"/>
        </w:rPr>
        <w:t>1</w:t>
      </w:r>
      <w:r>
        <w:tab/>
      </w:r>
      <w:proofErr w:type="spellStart"/>
      <w:r>
        <w:t>Uredba</w:t>
      </w:r>
      <w:proofErr w:type="spellEnd"/>
      <w:r>
        <w:t xml:space="preserve"> </w:t>
      </w:r>
      <w:proofErr w:type="spellStart"/>
      <w:r>
        <w:t>Vijeća</w:t>
      </w:r>
      <w:proofErr w:type="spellEnd"/>
      <w:r>
        <w:t xml:space="preserve"> (EEZ) br. 2658/87 </w:t>
      </w:r>
      <w:proofErr w:type="gramStart"/>
      <w:r>
        <w:t>od</w:t>
      </w:r>
      <w:proofErr w:type="gramEnd"/>
      <w:r>
        <w:t xml:space="preserve"> 23. </w:t>
      </w:r>
      <w:proofErr w:type="spellStart"/>
      <w:proofErr w:type="gramStart"/>
      <w:r>
        <w:t>srpnja</w:t>
      </w:r>
      <w:proofErr w:type="spellEnd"/>
      <w:proofErr w:type="gramEnd"/>
      <w:r>
        <w:t xml:space="preserve"> 1987. </w:t>
      </w:r>
      <w:proofErr w:type="gramStart"/>
      <w:r>
        <w:t>o</w:t>
      </w:r>
      <w:proofErr w:type="gramEnd"/>
      <w:r>
        <w:t xml:space="preserve"> </w:t>
      </w:r>
      <w:proofErr w:type="spellStart"/>
      <w:r>
        <w:t>tarifnoj</w:t>
      </w:r>
      <w:proofErr w:type="spellEnd"/>
      <w:r>
        <w:t xml:space="preserve"> </w:t>
      </w:r>
      <w:proofErr w:type="spellStart"/>
      <w:r>
        <w:t>i</w:t>
      </w:r>
      <w:proofErr w:type="spellEnd"/>
      <w:r>
        <w:t xml:space="preserve"> </w:t>
      </w:r>
      <w:proofErr w:type="spellStart"/>
      <w:r>
        <w:t>statističkoj</w:t>
      </w:r>
      <w:proofErr w:type="spellEnd"/>
      <w:r>
        <w:t xml:space="preserve"> </w:t>
      </w:r>
      <w:proofErr w:type="spellStart"/>
      <w:r>
        <w:t>nomenklaturi</w:t>
      </w:r>
      <w:proofErr w:type="spellEnd"/>
      <w:r>
        <w:t xml:space="preserve"> </w:t>
      </w:r>
      <w:proofErr w:type="spellStart"/>
      <w:r>
        <w:t>i</w:t>
      </w:r>
      <w:proofErr w:type="spellEnd"/>
      <w:r>
        <w:t xml:space="preserve"> o </w:t>
      </w:r>
      <w:proofErr w:type="spellStart"/>
      <w:r>
        <w:t>Zajedničkoj</w:t>
      </w:r>
      <w:proofErr w:type="spellEnd"/>
      <w:r>
        <w:t xml:space="preserve"> </w:t>
      </w:r>
      <w:proofErr w:type="spellStart"/>
      <w:r>
        <w:t>carinskoj</w:t>
      </w:r>
      <w:proofErr w:type="spellEnd"/>
      <w:r>
        <w:t xml:space="preserve"> </w:t>
      </w:r>
      <w:proofErr w:type="spellStart"/>
      <w:r>
        <w:t>tarifi</w:t>
      </w:r>
      <w:proofErr w:type="spellEnd"/>
      <w:r>
        <w:t xml:space="preserve"> (SL L 256, 7.9.1987.,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22" w:rsidRPr="005D3E55" w:rsidRDefault="00BA7C2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635"/>
        </w:tabs>
        <w:ind w:left="1635"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F47DB"/>
    <w:multiLevelType w:val="hybridMultilevel"/>
    <w:tmpl w:val="987E9C8C"/>
    <w:lvl w:ilvl="0" w:tplc="5AD06FEA">
      <w:numFmt w:val="bullet"/>
      <w:lvlText w:val="–"/>
      <w:lvlJc w:val="left"/>
      <w:pPr>
        <w:ind w:left="720" w:hanging="360"/>
      </w:pPr>
      <w:rPr>
        <w:rFonts w:ascii="Times New Roman" w:eastAsia="Times New Roman" w:hAnsi="Times New Roman" w:cs="Times New Roman" w:hint="default"/>
      </w:rPr>
    </w:lvl>
    <w:lvl w:ilvl="1" w:tplc="DACA3236">
      <w:start w:val="1"/>
      <w:numFmt w:val="bullet"/>
      <w:lvlText w:val="o"/>
      <w:lvlJc w:val="left"/>
      <w:pPr>
        <w:ind w:left="1440" w:hanging="360"/>
      </w:pPr>
      <w:rPr>
        <w:rFonts w:ascii="Courier New" w:hAnsi="Courier New" w:cs="Courier New" w:hint="default"/>
      </w:rPr>
    </w:lvl>
    <w:lvl w:ilvl="2" w:tplc="937A2CB0">
      <w:start w:val="1"/>
      <w:numFmt w:val="bullet"/>
      <w:lvlText w:val=""/>
      <w:lvlJc w:val="left"/>
      <w:pPr>
        <w:ind w:left="2160" w:hanging="360"/>
      </w:pPr>
      <w:rPr>
        <w:rFonts w:ascii="Wingdings" w:hAnsi="Wingdings" w:hint="default"/>
      </w:rPr>
    </w:lvl>
    <w:lvl w:ilvl="3" w:tplc="BC1AA206">
      <w:start w:val="1"/>
      <w:numFmt w:val="bullet"/>
      <w:lvlText w:val=""/>
      <w:lvlJc w:val="left"/>
      <w:pPr>
        <w:ind w:left="2880" w:hanging="360"/>
      </w:pPr>
      <w:rPr>
        <w:rFonts w:ascii="Symbol" w:hAnsi="Symbol" w:hint="default"/>
      </w:rPr>
    </w:lvl>
    <w:lvl w:ilvl="4" w:tplc="5922D852">
      <w:start w:val="1"/>
      <w:numFmt w:val="bullet"/>
      <w:lvlText w:val="o"/>
      <w:lvlJc w:val="left"/>
      <w:pPr>
        <w:ind w:left="3600" w:hanging="360"/>
      </w:pPr>
      <w:rPr>
        <w:rFonts w:ascii="Courier New" w:hAnsi="Courier New" w:cs="Courier New" w:hint="default"/>
      </w:rPr>
    </w:lvl>
    <w:lvl w:ilvl="5" w:tplc="3D4E2B84">
      <w:start w:val="1"/>
      <w:numFmt w:val="bullet"/>
      <w:lvlText w:val=""/>
      <w:lvlJc w:val="left"/>
      <w:pPr>
        <w:ind w:left="4320" w:hanging="360"/>
      </w:pPr>
      <w:rPr>
        <w:rFonts w:ascii="Wingdings" w:hAnsi="Wingdings" w:hint="default"/>
      </w:rPr>
    </w:lvl>
    <w:lvl w:ilvl="6" w:tplc="D7965722">
      <w:start w:val="1"/>
      <w:numFmt w:val="bullet"/>
      <w:lvlText w:val=""/>
      <w:lvlJc w:val="left"/>
      <w:pPr>
        <w:ind w:left="5040" w:hanging="360"/>
      </w:pPr>
      <w:rPr>
        <w:rFonts w:ascii="Symbol" w:hAnsi="Symbol" w:hint="default"/>
      </w:rPr>
    </w:lvl>
    <w:lvl w:ilvl="7" w:tplc="1E88C3D4">
      <w:start w:val="1"/>
      <w:numFmt w:val="bullet"/>
      <w:lvlText w:val="o"/>
      <w:lvlJc w:val="left"/>
      <w:pPr>
        <w:ind w:left="5760" w:hanging="360"/>
      </w:pPr>
      <w:rPr>
        <w:rFonts w:ascii="Courier New" w:hAnsi="Courier New" w:cs="Courier New" w:hint="default"/>
      </w:rPr>
    </w:lvl>
    <w:lvl w:ilvl="8" w:tplc="4E4C2A0E">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57395EAC"/>
    <w:multiLevelType w:val="multilevel"/>
    <w:tmpl w:val="7A92A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75D5A21"/>
    <w:multiLevelType w:val="multilevel"/>
    <w:tmpl w:val="DFCC2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AF80888"/>
    <w:multiLevelType w:val="hybridMultilevel"/>
    <w:tmpl w:val="7DDCF1C6"/>
    <w:lvl w:ilvl="0" w:tplc="3E8C1108">
      <w:start w:val="1"/>
      <w:numFmt w:val="decimal"/>
      <w:lvlText w:val="%1."/>
      <w:lvlJc w:val="left"/>
      <w:pPr>
        <w:ind w:left="924" w:hanging="564"/>
      </w:pPr>
    </w:lvl>
    <w:lvl w:ilvl="1" w:tplc="A76EC44E">
      <w:start w:val="1"/>
      <w:numFmt w:val="lowerLetter"/>
      <w:lvlText w:val="%2."/>
      <w:lvlJc w:val="left"/>
      <w:pPr>
        <w:ind w:left="1440" w:hanging="360"/>
      </w:pPr>
    </w:lvl>
    <w:lvl w:ilvl="2" w:tplc="92F070C0">
      <w:start w:val="1"/>
      <w:numFmt w:val="lowerRoman"/>
      <w:lvlText w:val="%3."/>
      <w:lvlJc w:val="right"/>
      <w:pPr>
        <w:ind w:left="2160" w:hanging="180"/>
      </w:pPr>
    </w:lvl>
    <w:lvl w:ilvl="3" w:tplc="D7742B06">
      <w:start w:val="1"/>
      <w:numFmt w:val="decimal"/>
      <w:lvlText w:val="%4."/>
      <w:lvlJc w:val="left"/>
      <w:pPr>
        <w:ind w:left="2880" w:hanging="360"/>
      </w:pPr>
    </w:lvl>
    <w:lvl w:ilvl="4" w:tplc="FF6EC7B6">
      <w:start w:val="1"/>
      <w:numFmt w:val="lowerLetter"/>
      <w:lvlText w:val="%5."/>
      <w:lvlJc w:val="left"/>
      <w:pPr>
        <w:ind w:left="3600" w:hanging="360"/>
      </w:pPr>
    </w:lvl>
    <w:lvl w:ilvl="5" w:tplc="47D6551C">
      <w:start w:val="1"/>
      <w:numFmt w:val="lowerRoman"/>
      <w:lvlText w:val="%6."/>
      <w:lvlJc w:val="right"/>
      <w:pPr>
        <w:ind w:left="4320" w:hanging="180"/>
      </w:pPr>
    </w:lvl>
    <w:lvl w:ilvl="6" w:tplc="9AAEAF7A">
      <w:start w:val="1"/>
      <w:numFmt w:val="decimal"/>
      <w:lvlText w:val="%7."/>
      <w:lvlJc w:val="left"/>
      <w:pPr>
        <w:ind w:left="5040" w:hanging="360"/>
      </w:pPr>
    </w:lvl>
    <w:lvl w:ilvl="7" w:tplc="54D01756">
      <w:start w:val="1"/>
      <w:numFmt w:val="lowerLetter"/>
      <w:lvlText w:val="%8."/>
      <w:lvlJc w:val="left"/>
      <w:pPr>
        <w:ind w:left="5760" w:hanging="360"/>
      </w:pPr>
    </w:lvl>
    <w:lvl w:ilvl="8" w:tplc="9F4A548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5"/>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9">
    <w:abstractNumId w:val="1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abstractNumId w:val="13"/>
    <w:lvlOverride w:ilvl="0">
      <w:startOverride w:val="1"/>
    </w:lvlOverride>
  </w:num>
  <w:num w:numId="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HR"/>
    <w:docVar w:name="dvnumam" w:val="272"/>
    <w:docVar w:name="dvpe" w:val="753.691"/>
    <w:docVar w:name="dvrapporteur" w:val="Izvjestiteljica: "/>
    <w:docVar w:name="dvstar" w:val="***I"/>
    <w:docVar w:name="dvtitre" w:val="Zakonodavna rezolucija Europskog parlamenta od .... 2024. o Prijedlogu uredbe Europskog parlamenta i Vijeća o deterdžentima i površinski aktivnim tvarima, izmjeni Uredbe (EU) 2019/1020 i stavljanju izvan snage Uredbe (EZ) br. 648/2004(COM(2023)0217 – C9-0154/2023 – 2023/0124(COD))"/>
  </w:docVars>
  <w:rsids>
    <w:rsidRoot w:val="00154697"/>
    <w:rsid w:val="00002272"/>
    <w:rsid w:val="0003585A"/>
    <w:rsid w:val="00064002"/>
    <w:rsid w:val="00065D4E"/>
    <w:rsid w:val="000677B9"/>
    <w:rsid w:val="000831BA"/>
    <w:rsid w:val="00086E71"/>
    <w:rsid w:val="000A42CC"/>
    <w:rsid w:val="000E6710"/>
    <w:rsid w:val="000E7DD9"/>
    <w:rsid w:val="0010095E"/>
    <w:rsid w:val="001169ED"/>
    <w:rsid w:val="00125B37"/>
    <w:rsid w:val="001374E9"/>
    <w:rsid w:val="00154697"/>
    <w:rsid w:val="00187494"/>
    <w:rsid w:val="001E0529"/>
    <w:rsid w:val="001F2C39"/>
    <w:rsid w:val="001F32AE"/>
    <w:rsid w:val="00270F20"/>
    <w:rsid w:val="002767FF"/>
    <w:rsid w:val="0028466E"/>
    <w:rsid w:val="002B18FE"/>
    <w:rsid w:val="002B5493"/>
    <w:rsid w:val="00340DE1"/>
    <w:rsid w:val="00343214"/>
    <w:rsid w:val="00361C00"/>
    <w:rsid w:val="00395FA1"/>
    <w:rsid w:val="003A633C"/>
    <w:rsid w:val="003E15D4"/>
    <w:rsid w:val="003E2B52"/>
    <w:rsid w:val="00403D20"/>
    <w:rsid w:val="00411CCE"/>
    <w:rsid w:val="0041666E"/>
    <w:rsid w:val="00421060"/>
    <w:rsid w:val="00424FDE"/>
    <w:rsid w:val="00471C19"/>
    <w:rsid w:val="004867E3"/>
    <w:rsid w:val="00494A28"/>
    <w:rsid w:val="004B531B"/>
    <w:rsid w:val="004C0004"/>
    <w:rsid w:val="004C5D52"/>
    <w:rsid w:val="0050519A"/>
    <w:rsid w:val="005072A1"/>
    <w:rsid w:val="00514517"/>
    <w:rsid w:val="00545827"/>
    <w:rsid w:val="00560270"/>
    <w:rsid w:val="00566BC1"/>
    <w:rsid w:val="005C2568"/>
    <w:rsid w:val="005D3E55"/>
    <w:rsid w:val="006037C0"/>
    <w:rsid w:val="00617A71"/>
    <w:rsid w:val="00624081"/>
    <w:rsid w:val="006310A9"/>
    <w:rsid w:val="006631B6"/>
    <w:rsid w:val="0067391F"/>
    <w:rsid w:val="00680577"/>
    <w:rsid w:val="00685679"/>
    <w:rsid w:val="00690673"/>
    <w:rsid w:val="006F74FA"/>
    <w:rsid w:val="00731ADD"/>
    <w:rsid w:val="00734777"/>
    <w:rsid w:val="00747932"/>
    <w:rsid w:val="00751A4A"/>
    <w:rsid w:val="00756632"/>
    <w:rsid w:val="00762C74"/>
    <w:rsid w:val="00765631"/>
    <w:rsid w:val="00786EC0"/>
    <w:rsid w:val="007D1690"/>
    <w:rsid w:val="007E22AD"/>
    <w:rsid w:val="007F079A"/>
    <w:rsid w:val="00817416"/>
    <w:rsid w:val="00822372"/>
    <w:rsid w:val="00842779"/>
    <w:rsid w:val="0084624C"/>
    <w:rsid w:val="00865F67"/>
    <w:rsid w:val="00881A7B"/>
    <w:rsid w:val="008840E5"/>
    <w:rsid w:val="00886636"/>
    <w:rsid w:val="00887B3E"/>
    <w:rsid w:val="00897862"/>
    <w:rsid w:val="008C2AC6"/>
    <w:rsid w:val="008F1E5C"/>
    <w:rsid w:val="00930C23"/>
    <w:rsid w:val="0093193B"/>
    <w:rsid w:val="009509D8"/>
    <w:rsid w:val="00950B64"/>
    <w:rsid w:val="00981893"/>
    <w:rsid w:val="009E4F92"/>
    <w:rsid w:val="009E572A"/>
    <w:rsid w:val="00A1687D"/>
    <w:rsid w:val="00A43E52"/>
    <w:rsid w:val="00A4678D"/>
    <w:rsid w:val="00A778C7"/>
    <w:rsid w:val="00AB441E"/>
    <w:rsid w:val="00AB6293"/>
    <w:rsid w:val="00AE0928"/>
    <w:rsid w:val="00AE49D7"/>
    <w:rsid w:val="00AF3B82"/>
    <w:rsid w:val="00B12E95"/>
    <w:rsid w:val="00B22876"/>
    <w:rsid w:val="00B558F0"/>
    <w:rsid w:val="00BA7C22"/>
    <w:rsid w:val="00BC3448"/>
    <w:rsid w:val="00BD48FE"/>
    <w:rsid w:val="00BD7BD8"/>
    <w:rsid w:val="00BE6ADC"/>
    <w:rsid w:val="00C05BFE"/>
    <w:rsid w:val="00C23CD4"/>
    <w:rsid w:val="00C61C0C"/>
    <w:rsid w:val="00C63F22"/>
    <w:rsid w:val="00C941CB"/>
    <w:rsid w:val="00CC2357"/>
    <w:rsid w:val="00CD2A80"/>
    <w:rsid w:val="00CF071A"/>
    <w:rsid w:val="00D058B8"/>
    <w:rsid w:val="00D07299"/>
    <w:rsid w:val="00D56C11"/>
    <w:rsid w:val="00D834A0"/>
    <w:rsid w:val="00D872DF"/>
    <w:rsid w:val="00D91E21"/>
    <w:rsid w:val="00DA7FCD"/>
    <w:rsid w:val="00E365E1"/>
    <w:rsid w:val="00E820A4"/>
    <w:rsid w:val="00EB006A"/>
    <w:rsid w:val="00EB4772"/>
    <w:rsid w:val="00ED169E"/>
    <w:rsid w:val="00ED4235"/>
    <w:rsid w:val="00EF5589"/>
    <w:rsid w:val="00F04346"/>
    <w:rsid w:val="00F075DC"/>
    <w:rsid w:val="00F149E9"/>
    <w:rsid w:val="00F17635"/>
    <w:rsid w:val="00F5134D"/>
    <w:rsid w:val="00F74202"/>
    <w:rsid w:val="00F87713"/>
    <w:rsid w:val="00FB4360"/>
    <w:rsid w:val="00FB7EE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0A60B4-A49B-49C3-90F3-D93ED83B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E572A"/>
    <w:rPr>
      <w:b/>
      <w:kern w:val="28"/>
      <w:sz w:val="28"/>
      <w:lang w:val="fr-FR" w:eastAsia="fr-FR"/>
    </w:rPr>
  </w:style>
  <w:style w:type="character" w:customStyle="1" w:styleId="Heading2Char">
    <w:name w:val="Heading 2 Char"/>
    <w:basedOn w:val="DefaultParagraphFont"/>
    <w:link w:val="Heading2"/>
    <w:rsid w:val="009E572A"/>
    <w:rPr>
      <w:sz w:val="24"/>
      <w:lang w:val="fr-FR" w:eastAsia="fr-FR"/>
    </w:rPr>
  </w:style>
  <w:style w:type="character" w:customStyle="1" w:styleId="Heading3Char">
    <w:name w:val="Heading 3 Char"/>
    <w:basedOn w:val="DefaultParagraphFont"/>
    <w:link w:val="Heading3"/>
    <w:rsid w:val="009E572A"/>
    <w:rPr>
      <w:rFonts w:ascii="Arial" w:hAnsi="Arial"/>
      <w:sz w:val="24"/>
      <w:lang w:val="fr-FR" w:eastAsia="fr-FR"/>
    </w:rPr>
  </w:style>
  <w:style w:type="character" w:customStyle="1" w:styleId="Heading4Char">
    <w:name w:val="Heading 4 Char"/>
    <w:basedOn w:val="DefaultParagraphFont"/>
    <w:link w:val="Heading4"/>
    <w:rsid w:val="009E572A"/>
    <w:rPr>
      <w:sz w:val="24"/>
      <w:lang w:val="en-US" w:eastAsia="fr-FR"/>
    </w:rPr>
  </w:style>
  <w:style w:type="character" w:customStyle="1" w:styleId="Heading5Char">
    <w:name w:val="Heading 5 Char"/>
    <w:basedOn w:val="DefaultParagraphFont"/>
    <w:link w:val="Heading5"/>
    <w:semiHidden/>
    <w:rsid w:val="009E572A"/>
    <w:rPr>
      <w:sz w:val="24"/>
      <w:lang w:val="en-US" w:eastAsia="fr-FR"/>
    </w:rPr>
  </w:style>
  <w:style w:type="character" w:customStyle="1" w:styleId="Heading6Char">
    <w:name w:val="Heading 6 Char"/>
    <w:basedOn w:val="DefaultParagraphFont"/>
    <w:link w:val="Heading6"/>
    <w:semiHidden/>
    <w:rsid w:val="009E572A"/>
    <w:rPr>
      <w:i/>
      <w:sz w:val="22"/>
      <w:lang w:val="hr-HR"/>
    </w:rPr>
  </w:style>
  <w:style w:type="character" w:customStyle="1" w:styleId="Heading7Char">
    <w:name w:val="Heading 7 Char"/>
    <w:basedOn w:val="DefaultParagraphFont"/>
    <w:link w:val="Heading7"/>
    <w:semiHidden/>
    <w:rsid w:val="009E572A"/>
    <w:rPr>
      <w:rFonts w:ascii="Arial" w:hAnsi="Arial"/>
      <w:sz w:val="24"/>
      <w:lang w:val="hr-HR"/>
    </w:rPr>
  </w:style>
  <w:style w:type="character" w:customStyle="1" w:styleId="Heading8Char">
    <w:name w:val="Heading 8 Char"/>
    <w:basedOn w:val="DefaultParagraphFont"/>
    <w:link w:val="Heading8"/>
    <w:semiHidden/>
    <w:rsid w:val="009E572A"/>
    <w:rPr>
      <w:rFonts w:ascii="Arial" w:hAnsi="Arial"/>
      <w:i/>
      <w:sz w:val="24"/>
      <w:lang w:val="hr-HR"/>
    </w:rPr>
  </w:style>
  <w:style w:type="character" w:customStyle="1" w:styleId="Heading9Char">
    <w:name w:val="Heading 9 Char"/>
    <w:basedOn w:val="DefaultParagraphFont"/>
    <w:link w:val="Heading9"/>
    <w:semiHidden/>
    <w:rsid w:val="009E572A"/>
    <w:rPr>
      <w:rFonts w:ascii="Arial" w:hAnsi="Arial"/>
      <w:b/>
      <w:i/>
      <w:sz w:val="18"/>
      <w:lang w:val="hr-HR"/>
    </w:rPr>
  </w:style>
  <w:style w:type="paragraph" w:styleId="TOCHeading">
    <w:name w:val="TOC Heading"/>
    <w:basedOn w:val="Normal"/>
    <w:next w:val="Normal"/>
    <w:uiPriority w:val="39"/>
    <w:unhideWhenUsed/>
    <w:qFormat/>
    <w:rsid w:val="009E572A"/>
    <w:pPr>
      <w:widowControl/>
      <w:spacing w:after="240"/>
    </w:pPr>
    <w:rPr>
      <w:lang w:val="en-GB"/>
    </w:rPr>
  </w:style>
  <w:style w:type="paragraph" w:customStyle="1" w:styleId="EPFooter2">
    <w:name w:val="EPFooter2"/>
    <w:basedOn w:val="Normal"/>
    <w:next w:val="Normal"/>
    <w:rsid w:val="009E57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E572A"/>
    <w:pPr>
      <w:keepNext/>
      <w:spacing w:after="240"/>
      <w:jc w:val="right"/>
    </w:pPr>
    <w:rPr>
      <w:rFonts w:ascii="Arial" w:hAnsi="Arial"/>
      <w:b/>
    </w:rPr>
  </w:style>
  <w:style w:type="paragraph" w:customStyle="1" w:styleId="Normal6a">
    <w:name w:val="Normal6a"/>
    <w:basedOn w:val="Normal"/>
    <w:rsid w:val="009E572A"/>
    <w:pPr>
      <w:spacing w:after="120"/>
    </w:pPr>
  </w:style>
  <w:style w:type="paragraph" w:customStyle="1" w:styleId="PageHeading">
    <w:name w:val="PageHeading"/>
    <w:basedOn w:val="Normal"/>
    <w:rsid w:val="009E572A"/>
    <w:pPr>
      <w:keepNext/>
      <w:spacing w:after="480"/>
      <w:jc w:val="center"/>
    </w:pPr>
    <w:rPr>
      <w:rFonts w:ascii="Arial" w:hAnsi="Arial" w:cs="Arial"/>
      <w:b/>
    </w:rPr>
  </w:style>
  <w:style w:type="paragraph" w:customStyle="1" w:styleId="NormalBold">
    <w:name w:val="NormalBold"/>
    <w:basedOn w:val="Normal"/>
    <w:link w:val="NormalBoldChar"/>
    <w:rsid w:val="009E572A"/>
    <w:rPr>
      <w:b/>
    </w:rPr>
  </w:style>
  <w:style w:type="paragraph" w:customStyle="1" w:styleId="NormalBold12a">
    <w:name w:val="NormalBold12a"/>
    <w:basedOn w:val="Normal"/>
    <w:rsid w:val="009E572A"/>
    <w:pPr>
      <w:spacing w:after="240"/>
    </w:pPr>
    <w:rPr>
      <w:b/>
    </w:rPr>
  </w:style>
  <w:style w:type="paragraph" w:customStyle="1" w:styleId="AmJustText">
    <w:name w:val="AmJustText"/>
    <w:basedOn w:val="Normal"/>
    <w:rsid w:val="009E572A"/>
    <w:pPr>
      <w:spacing w:after="240"/>
    </w:pPr>
    <w:rPr>
      <w:i/>
    </w:rPr>
  </w:style>
  <w:style w:type="paragraph" w:customStyle="1" w:styleId="NormalHanging12a">
    <w:name w:val="NormalHanging12a"/>
    <w:basedOn w:val="Normal"/>
    <w:rsid w:val="009E572A"/>
    <w:pPr>
      <w:spacing w:after="240"/>
      <w:ind w:left="567" w:hanging="567"/>
    </w:pPr>
  </w:style>
  <w:style w:type="paragraph" w:customStyle="1" w:styleId="CoverNormal24a">
    <w:name w:val="CoverNormal24a"/>
    <w:basedOn w:val="Normal"/>
    <w:rsid w:val="009E572A"/>
    <w:pPr>
      <w:spacing w:after="480"/>
      <w:ind w:left="1417"/>
    </w:pPr>
  </w:style>
  <w:style w:type="paragraph" w:customStyle="1" w:styleId="CoverNormal">
    <w:name w:val="CoverNormal"/>
    <w:basedOn w:val="Normal"/>
    <w:rsid w:val="009E572A"/>
    <w:pPr>
      <w:ind w:left="1418"/>
    </w:pPr>
  </w:style>
  <w:style w:type="paragraph" w:customStyle="1" w:styleId="AmCrossRef">
    <w:name w:val="AmCrossRef"/>
    <w:basedOn w:val="Normal"/>
    <w:rsid w:val="009E572A"/>
    <w:pPr>
      <w:spacing w:before="240" w:after="240"/>
      <w:jc w:val="center"/>
    </w:pPr>
    <w:rPr>
      <w:i/>
    </w:rPr>
  </w:style>
  <w:style w:type="paragraph" w:customStyle="1" w:styleId="AmJustTitle">
    <w:name w:val="AmJustTitle"/>
    <w:basedOn w:val="Normal"/>
    <w:next w:val="AmJustText"/>
    <w:rsid w:val="009E572A"/>
    <w:pPr>
      <w:keepNext/>
      <w:spacing w:before="240" w:after="240"/>
      <w:jc w:val="center"/>
    </w:pPr>
    <w:rPr>
      <w:i/>
    </w:rPr>
  </w:style>
  <w:style w:type="paragraph" w:customStyle="1" w:styleId="CoverReference">
    <w:name w:val="CoverReference"/>
    <w:basedOn w:val="Normal"/>
    <w:rsid w:val="009E572A"/>
    <w:pPr>
      <w:spacing w:before="1080"/>
      <w:jc w:val="right"/>
    </w:pPr>
    <w:rPr>
      <w:rFonts w:ascii="Arial" w:hAnsi="Arial" w:cs="Arial"/>
      <w:b/>
    </w:rPr>
  </w:style>
  <w:style w:type="paragraph" w:customStyle="1" w:styleId="CoverDocType">
    <w:name w:val="CoverDocType"/>
    <w:basedOn w:val="Normal"/>
    <w:rsid w:val="009E572A"/>
    <w:pPr>
      <w:ind w:left="1418"/>
    </w:pPr>
    <w:rPr>
      <w:rFonts w:ascii="Arial" w:hAnsi="Arial"/>
      <w:b/>
      <w:sz w:val="48"/>
    </w:rPr>
  </w:style>
  <w:style w:type="paragraph" w:customStyle="1" w:styleId="CoverDocType24a">
    <w:name w:val="CoverDocType24a"/>
    <w:basedOn w:val="Normal"/>
    <w:rsid w:val="009E572A"/>
    <w:pPr>
      <w:spacing w:after="480"/>
      <w:ind w:left="1418"/>
    </w:pPr>
    <w:rPr>
      <w:rFonts w:ascii="Arial" w:hAnsi="Arial"/>
      <w:b/>
      <w:sz w:val="48"/>
    </w:rPr>
  </w:style>
  <w:style w:type="paragraph" w:customStyle="1" w:styleId="CoverDate">
    <w:name w:val="CoverDate"/>
    <w:basedOn w:val="Normal"/>
    <w:rsid w:val="009E572A"/>
    <w:pPr>
      <w:spacing w:before="240" w:after="1200"/>
    </w:pPr>
  </w:style>
  <w:style w:type="paragraph" w:styleId="Header">
    <w:name w:val="header"/>
    <w:basedOn w:val="Normal"/>
    <w:link w:val="HeaderChar"/>
    <w:rsid w:val="009E572A"/>
    <w:pPr>
      <w:tabs>
        <w:tab w:val="center" w:pos="4513"/>
        <w:tab w:val="right" w:pos="9026"/>
      </w:tabs>
    </w:pPr>
  </w:style>
  <w:style w:type="character" w:customStyle="1" w:styleId="HeaderChar">
    <w:name w:val="Header Char"/>
    <w:basedOn w:val="DefaultParagraphFont"/>
    <w:link w:val="Header"/>
    <w:rsid w:val="009E572A"/>
    <w:rPr>
      <w:sz w:val="24"/>
      <w:lang w:val="hr-HR"/>
    </w:rPr>
  </w:style>
  <w:style w:type="paragraph" w:customStyle="1" w:styleId="AmOrLang">
    <w:name w:val="AmOrLang"/>
    <w:basedOn w:val="Normal"/>
    <w:rsid w:val="009E572A"/>
    <w:pPr>
      <w:spacing w:before="240" w:after="240"/>
      <w:jc w:val="right"/>
    </w:pPr>
  </w:style>
  <w:style w:type="paragraph" w:customStyle="1" w:styleId="AmColumnHeading">
    <w:name w:val="AmColumnHeading"/>
    <w:basedOn w:val="Normal"/>
    <w:rsid w:val="009E572A"/>
    <w:pPr>
      <w:spacing w:after="240"/>
      <w:jc w:val="center"/>
    </w:pPr>
    <w:rPr>
      <w:i/>
    </w:rPr>
  </w:style>
  <w:style w:type="paragraph" w:customStyle="1" w:styleId="AmNumberTabs">
    <w:name w:val="AmNumberTabs"/>
    <w:basedOn w:val="Normal"/>
    <w:link w:val="AmNumberTabsChar"/>
    <w:rsid w:val="009E57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E572A"/>
    <w:pPr>
      <w:spacing w:before="240"/>
    </w:pPr>
    <w:rPr>
      <w:b/>
    </w:rPr>
  </w:style>
  <w:style w:type="paragraph" w:customStyle="1" w:styleId="EPBody">
    <w:name w:val="EPBody"/>
    <w:basedOn w:val="Normal"/>
    <w:rsid w:val="009E572A"/>
    <w:pPr>
      <w:jc w:val="center"/>
    </w:pPr>
    <w:rPr>
      <w:rFonts w:ascii="Arial" w:hAnsi="Arial" w:cs="Arial"/>
      <w:i/>
      <w:sz w:val="22"/>
      <w:szCs w:val="22"/>
    </w:rPr>
  </w:style>
  <w:style w:type="paragraph" w:customStyle="1" w:styleId="EPFooter">
    <w:name w:val="EPFooter"/>
    <w:basedOn w:val="Normal"/>
    <w:rsid w:val="009E572A"/>
    <w:pPr>
      <w:tabs>
        <w:tab w:val="center" w:pos="4535"/>
        <w:tab w:val="right" w:pos="9071"/>
      </w:tabs>
      <w:spacing w:before="240" w:after="240"/>
    </w:pPr>
    <w:rPr>
      <w:color w:val="010000"/>
      <w:sz w:val="22"/>
    </w:rPr>
  </w:style>
  <w:style w:type="paragraph" w:customStyle="1" w:styleId="EPComma">
    <w:name w:val="EPComma"/>
    <w:basedOn w:val="Normal"/>
    <w:rsid w:val="009E572A"/>
    <w:pPr>
      <w:spacing w:before="480" w:after="240"/>
    </w:pPr>
  </w:style>
  <w:style w:type="paragraph" w:customStyle="1" w:styleId="Lgendesigne">
    <w:name w:val="Légende signe"/>
    <w:basedOn w:val="Normal"/>
    <w:rsid w:val="009E572A"/>
    <w:pPr>
      <w:tabs>
        <w:tab w:val="right" w:pos="454"/>
        <w:tab w:val="left" w:pos="737"/>
      </w:tabs>
      <w:ind w:left="737" w:hanging="737"/>
    </w:pPr>
    <w:rPr>
      <w:snapToGrid w:val="0"/>
      <w:sz w:val="18"/>
      <w:lang w:eastAsia="en-US"/>
    </w:rPr>
  </w:style>
  <w:style w:type="paragraph" w:customStyle="1" w:styleId="Lgendetitre">
    <w:name w:val="Légende titre"/>
    <w:basedOn w:val="Normal"/>
    <w:rsid w:val="009E572A"/>
    <w:pPr>
      <w:spacing w:before="240" w:after="240"/>
    </w:pPr>
    <w:rPr>
      <w:b/>
      <w:i/>
      <w:snapToGrid w:val="0"/>
      <w:lang w:eastAsia="en-US"/>
    </w:rPr>
  </w:style>
  <w:style w:type="paragraph" w:customStyle="1" w:styleId="Lgendestandard">
    <w:name w:val="Légende standard"/>
    <w:basedOn w:val="Normal"/>
    <w:rsid w:val="009E572A"/>
    <w:rPr>
      <w:sz w:val="18"/>
    </w:rPr>
  </w:style>
  <w:style w:type="paragraph" w:customStyle="1" w:styleId="Normal24a">
    <w:name w:val="Normal24a"/>
    <w:basedOn w:val="Normal"/>
    <w:rsid w:val="009E572A"/>
    <w:pPr>
      <w:spacing w:after="480"/>
    </w:pPr>
  </w:style>
  <w:style w:type="paragraph" w:customStyle="1" w:styleId="NormalBoldCenter">
    <w:name w:val="NormalBoldCenter"/>
    <w:basedOn w:val="Normal"/>
    <w:rsid w:val="009E572A"/>
    <w:pPr>
      <w:jc w:val="center"/>
    </w:pPr>
    <w:rPr>
      <w:b/>
    </w:rPr>
  </w:style>
  <w:style w:type="paragraph" w:styleId="Footer">
    <w:name w:val="footer"/>
    <w:basedOn w:val="Normal"/>
    <w:link w:val="FooterChar"/>
    <w:rsid w:val="009E572A"/>
    <w:pPr>
      <w:tabs>
        <w:tab w:val="center" w:pos="4513"/>
        <w:tab w:val="right" w:pos="9026"/>
      </w:tabs>
    </w:pPr>
  </w:style>
  <w:style w:type="character" w:customStyle="1" w:styleId="FooterChar">
    <w:name w:val="Footer Char"/>
    <w:basedOn w:val="DefaultParagraphFont"/>
    <w:link w:val="Footer"/>
    <w:rsid w:val="009E572A"/>
    <w:rPr>
      <w:sz w:val="24"/>
      <w:lang w:val="hr-HR"/>
    </w:rPr>
  </w:style>
  <w:style w:type="paragraph" w:customStyle="1" w:styleId="msonormal0">
    <w:name w:val="msonormal"/>
    <w:basedOn w:val="Normal"/>
    <w:rsid w:val="009E572A"/>
    <w:pPr>
      <w:widowControl/>
      <w:spacing w:before="100" w:beforeAutospacing="1" w:after="100" w:afterAutospacing="1"/>
    </w:pPr>
    <w:rPr>
      <w:szCs w:val="24"/>
    </w:rPr>
  </w:style>
  <w:style w:type="character" w:customStyle="1" w:styleId="Normal12Char">
    <w:name w:val="Normal12 Char"/>
    <w:basedOn w:val="DefaultParagraphFont"/>
    <w:link w:val="Normal12"/>
    <w:locked/>
    <w:rsid w:val="009E572A"/>
    <w:rPr>
      <w:noProof/>
      <w:sz w:val="24"/>
    </w:rPr>
  </w:style>
  <w:style w:type="paragraph" w:customStyle="1" w:styleId="Normal12">
    <w:name w:val="Normal12"/>
    <w:basedOn w:val="Normal"/>
    <w:link w:val="Normal12Char"/>
    <w:rsid w:val="009E572A"/>
    <w:pPr>
      <w:spacing w:after="240"/>
    </w:pPr>
    <w:rPr>
      <w:noProof/>
      <w:lang w:val="en-GB"/>
    </w:rPr>
  </w:style>
  <w:style w:type="paragraph" w:customStyle="1" w:styleId="CommitteeAM">
    <w:name w:val="CommitteeAM"/>
    <w:basedOn w:val="Normal"/>
    <w:rsid w:val="009E572A"/>
    <w:pPr>
      <w:spacing w:before="240" w:after="600"/>
      <w:jc w:val="center"/>
    </w:pPr>
    <w:rPr>
      <w:i/>
    </w:rPr>
  </w:style>
  <w:style w:type="paragraph" w:customStyle="1" w:styleId="ZDateAM">
    <w:name w:val="ZDateAM"/>
    <w:basedOn w:val="Normal"/>
    <w:rsid w:val="009E572A"/>
    <w:pPr>
      <w:tabs>
        <w:tab w:val="right" w:pos="9356"/>
      </w:tabs>
      <w:spacing w:after="480"/>
    </w:pPr>
    <w:rPr>
      <w:noProof/>
    </w:rPr>
  </w:style>
  <w:style w:type="paragraph" w:customStyle="1" w:styleId="ProjRap">
    <w:name w:val="ProjRap"/>
    <w:basedOn w:val="Normal"/>
    <w:rsid w:val="009E572A"/>
    <w:pPr>
      <w:tabs>
        <w:tab w:val="right" w:pos="9356"/>
      </w:tabs>
    </w:pPr>
    <w:rPr>
      <w:b/>
      <w:noProof/>
    </w:rPr>
  </w:style>
  <w:style w:type="paragraph" w:customStyle="1" w:styleId="PELeft">
    <w:name w:val="PELeft"/>
    <w:basedOn w:val="Normal"/>
    <w:rsid w:val="009E572A"/>
    <w:pPr>
      <w:spacing w:before="40" w:after="40"/>
    </w:pPr>
    <w:rPr>
      <w:rFonts w:ascii="Arial" w:hAnsi="Arial" w:cs="Arial"/>
      <w:sz w:val="22"/>
      <w:szCs w:val="22"/>
    </w:rPr>
  </w:style>
  <w:style w:type="paragraph" w:customStyle="1" w:styleId="PERight">
    <w:name w:val="PERight"/>
    <w:basedOn w:val="Normal"/>
    <w:next w:val="Normal"/>
    <w:rsid w:val="009E572A"/>
    <w:pPr>
      <w:jc w:val="right"/>
    </w:pPr>
    <w:rPr>
      <w:rFonts w:ascii="Arial" w:hAnsi="Arial" w:cs="Arial"/>
      <w:sz w:val="22"/>
      <w:szCs w:val="22"/>
    </w:rPr>
  </w:style>
  <w:style w:type="character" w:customStyle="1" w:styleId="Normal6Char">
    <w:name w:val="Normal6 Char"/>
    <w:basedOn w:val="DefaultParagraphFont"/>
    <w:link w:val="Normal6"/>
    <w:locked/>
    <w:rsid w:val="009E572A"/>
    <w:rPr>
      <w:sz w:val="24"/>
      <w:lang w:val="hr-HR"/>
    </w:rPr>
  </w:style>
  <w:style w:type="paragraph" w:customStyle="1" w:styleId="Normal6">
    <w:name w:val="Normal6"/>
    <w:basedOn w:val="Normal"/>
    <w:link w:val="Normal6Char"/>
    <w:rsid w:val="009E572A"/>
    <w:pPr>
      <w:spacing w:after="120"/>
    </w:pPr>
  </w:style>
  <w:style w:type="character" w:customStyle="1" w:styleId="NormalBoldChar">
    <w:name w:val="NormalBold Char"/>
    <w:basedOn w:val="DefaultParagraphFont"/>
    <w:link w:val="NormalBold"/>
    <w:locked/>
    <w:rsid w:val="009E572A"/>
    <w:rPr>
      <w:b/>
      <w:sz w:val="24"/>
      <w:lang w:val="hr-HR"/>
    </w:rPr>
  </w:style>
  <w:style w:type="paragraph" w:customStyle="1" w:styleId="Normal12Italic">
    <w:name w:val="Normal12Italic"/>
    <w:basedOn w:val="Normal12"/>
    <w:rsid w:val="009E572A"/>
    <w:rPr>
      <w:i/>
    </w:rPr>
  </w:style>
  <w:style w:type="paragraph" w:customStyle="1" w:styleId="JustificationTitle">
    <w:name w:val="JustificationTitle"/>
    <w:basedOn w:val="Normal"/>
    <w:next w:val="Normal12"/>
    <w:rsid w:val="009E572A"/>
    <w:pPr>
      <w:keepNext/>
      <w:spacing w:before="240" w:after="240"/>
      <w:jc w:val="center"/>
    </w:pPr>
    <w:rPr>
      <w:i/>
      <w:noProof/>
    </w:rPr>
  </w:style>
  <w:style w:type="paragraph" w:customStyle="1" w:styleId="Olang">
    <w:name w:val="Olang"/>
    <w:basedOn w:val="Normal"/>
    <w:rsid w:val="009E572A"/>
    <w:pPr>
      <w:spacing w:before="240" w:after="240"/>
      <w:jc w:val="right"/>
    </w:pPr>
    <w:rPr>
      <w:noProof/>
      <w:szCs w:val="24"/>
    </w:rPr>
  </w:style>
  <w:style w:type="paragraph" w:customStyle="1" w:styleId="ColumnHeading">
    <w:name w:val="ColumnHeading"/>
    <w:basedOn w:val="Normal"/>
    <w:rsid w:val="009E572A"/>
    <w:pPr>
      <w:spacing w:after="240"/>
      <w:jc w:val="center"/>
    </w:pPr>
    <w:rPr>
      <w:i/>
    </w:rPr>
  </w:style>
  <w:style w:type="paragraph" w:customStyle="1" w:styleId="AMNumberTabs0">
    <w:name w:val="AMNumberTabs"/>
    <w:basedOn w:val="Normal"/>
    <w:rsid w:val="009E57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E572A"/>
    <w:pPr>
      <w:spacing w:before="240"/>
      <w:jc w:val="center"/>
    </w:pPr>
    <w:rPr>
      <w:i/>
    </w:rPr>
  </w:style>
  <w:style w:type="paragraph" w:customStyle="1" w:styleId="Footer2">
    <w:name w:val="Footer2"/>
    <w:basedOn w:val="Normal12"/>
    <w:rsid w:val="009E572A"/>
    <w:pPr>
      <w:tabs>
        <w:tab w:val="center" w:pos="4535"/>
        <w:tab w:val="right" w:pos="9923"/>
      </w:tabs>
      <w:spacing w:line="480" w:lineRule="auto"/>
      <w:ind w:left="-851"/>
    </w:pPr>
    <w:rPr>
      <w:rFonts w:ascii="Arial" w:cs="Arial"/>
      <w:b/>
      <w:sz w:val="48"/>
    </w:rPr>
  </w:style>
  <w:style w:type="character" w:customStyle="1" w:styleId="Footer2Middle">
    <w:name w:val="Footer2Middle"/>
    <w:rsid w:val="009E572A"/>
    <w:rPr>
      <w:rFonts w:ascii="Arial" w:hAnsi="Arial" w:cs="Arial" w:hint="default"/>
      <w:b w:val="0"/>
      <w:bCs w:val="0"/>
      <w:i/>
      <w:iCs w:val="0"/>
      <w:color w:val="C0C0C0"/>
      <w:sz w:val="22"/>
    </w:rPr>
  </w:style>
  <w:style w:type="paragraph" w:customStyle="1" w:styleId="EntPE">
    <w:name w:val="EntPE"/>
    <w:basedOn w:val="Normal12"/>
    <w:rsid w:val="009E572A"/>
    <w:pPr>
      <w:jc w:val="center"/>
    </w:pPr>
    <w:rPr>
      <w:noProof w:val="0"/>
      <w:sz w:val="56"/>
    </w:rPr>
  </w:style>
  <w:style w:type="paragraph" w:styleId="NormalWeb">
    <w:name w:val="Normal (Web)"/>
    <w:basedOn w:val="Normal"/>
    <w:uiPriority w:val="99"/>
    <w:unhideWhenUsed/>
    <w:rsid w:val="009E572A"/>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9E572A"/>
    <w:rPr>
      <w:sz w:val="20"/>
    </w:rPr>
  </w:style>
  <w:style w:type="character" w:customStyle="1" w:styleId="CommentTextChar">
    <w:name w:val="Comment Text Char"/>
    <w:basedOn w:val="DefaultParagraphFont"/>
    <w:link w:val="CommentText"/>
    <w:uiPriority w:val="99"/>
    <w:rsid w:val="009E572A"/>
    <w:rPr>
      <w:lang w:val="hr-HR"/>
    </w:rPr>
  </w:style>
  <w:style w:type="paragraph" w:customStyle="1" w:styleId="Tiret0">
    <w:name w:val="Tiret 0"/>
    <w:basedOn w:val="Normal"/>
    <w:uiPriority w:val="99"/>
    <w:rsid w:val="009E572A"/>
    <w:pPr>
      <w:widowControl/>
      <w:numPr>
        <w:numId w:val="47"/>
      </w:numPr>
      <w:spacing w:before="120" w:after="120"/>
      <w:jc w:val="both"/>
    </w:pPr>
    <w:rPr>
      <w:rFonts w:eastAsiaTheme="minorHAnsi"/>
      <w:szCs w:val="22"/>
      <w:lang w:eastAsia="en-US"/>
    </w:rPr>
  </w:style>
  <w:style w:type="character" w:styleId="CommentReference">
    <w:name w:val="annotation reference"/>
    <w:basedOn w:val="DefaultParagraphFont"/>
    <w:unhideWhenUsed/>
    <w:rsid w:val="009E572A"/>
    <w:rPr>
      <w:sz w:val="16"/>
      <w:szCs w:val="16"/>
    </w:rPr>
  </w:style>
  <w:style w:type="paragraph" w:styleId="BalloonText">
    <w:name w:val="Balloon Text"/>
    <w:basedOn w:val="Normal"/>
    <w:link w:val="BalloonTextChar"/>
    <w:unhideWhenUsed/>
    <w:rsid w:val="009E572A"/>
    <w:rPr>
      <w:rFonts w:ascii="Segoe UI" w:hAnsi="Segoe UI" w:cs="Segoe UI"/>
      <w:sz w:val="18"/>
      <w:szCs w:val="18"/>
    </w:rPr>
  </w:style>
  <w:style w:type="character" w:customStyle="1" w:styleId="BalloonTextChar">
    <w:name w:val="Balloon Text Char"/>
    <w:basedOn w:val="DefaultParagraphFont"/>
    <w:link w:val="BalloonText"/>
    <w:rsid w:val="009E572A"/>
    <w:rPr>
      <w:rFonts w:ascii="Segoe UI" w:hAnsi="Segoe UI" w:cs="Segoe UI"/>
      <w:sz w:val="18"/>
      <w:szCs w:val="18"/>
      <w:lang w:val="hr-HR"/>
    </w:rPr>
  </w:style>
  <w:style w:type="character" w:styleId="Hyperlink">
    <w:name w:val="Hyperlink"/>
    <w:basedOn w:val="DefaultParagraphFont"/>
    <w:uiPriority w:val="99"/>
    <w:unhideWhenUsed/>
    <w:rsid w:val="009E572A"/>
    <w:rPr>
      <w:color w:val="0563C1" w:themeColor="hyperlink"/>
      <w:u w:val="single"/>
    </w:rPr>
  </w:style>
  <w:style w:type="paragraph" w:styleId="CommentSubject">
    <w:name w:val="annotation subject"/>
    <w:basedOn w:val="CommentText"/>
    <w:next w:val="CommentText"/>
    <w:link w:val="CommentSubjectChar"/>
    <w:unhideWhenUsed/>
    <w:rsid w:val="009E572A"/>
    <w:rPr>
      <w:b/>
      <w:bCs/>
    </w:rPr>
  </w:style>
  <w:style w:type="character" w:customStyle="1" w:styleId="CommentSubjectChar">
    <w:name w:val="Comment Subject Char"/>
    <w:basedOn w:val="CommentTextChar"/>
    <w:link w:val="CommentSubject"/>
    <w:rsid w:val="009E572A"/>
    <w:rPr>
      <w:b/>
      <w:bCs/>
      <w:lang w:val="hr-HR"/>
    </w:rPr>
  </w:style>
  <w:style w:type="character" w:styleId="Emphasis">
    <w:name w:val="Emphasis"/>
    <w:basedOn w:val="DefaultParagraphFont"/>
    <w:uiPriority w:val="20"/>
    <w:qFormat/>
    <w:rsid w:val="009E572A"/>
    <w:rPr>
      <w:i/>
      <w:iCs/>
    </w:rPr>
  </w:style>
  <w:style w:type="character" w:customStyle="1" w:styleId="AmNumberTabsChar">
    <w:name w:val="AmNumberTabs Char"/>
    <w:basedOn w:val="DefaultParagraphFont"/>
    <w:link w:val="AmNumberTabs"/>
    <w:rsid w:val="009E572A"/>
    <w:rPr>
      <w:b/>
      <w:sz w:val="24"/>
      <w:lang w:val="hr-HR"/>
    </w:rPr>
  </w:style>
  <w:style w:type="character" w:customStyle="1" w:styleId="NormalBold12bChar">
    <w:name w:val="NormalBold12b Char"/>
    <w:basedOn w:val="AmNumberTabsChar"/>
    <w:link w:val="NormalBold12b"/>
    <w:rsid w:val="009E572A"/>
    <w:rPr>
      <w:b/>
      <w:sz w:val="24"/>
      <w:lang w:val="hr-HR"/>
    </w:rPr>
  </w:style>
  <w:style w:type="paragraph" w:customStyle="1" w:styleId="Normal12a">
    <w:name w:val="Normal12a"/>
    <w:basedOn w:val="Normal"/>
    <w:rsid w:val="009E572A"/>
    <w:pPr>
      <w:spacing w:after="240"/>
    </w:pPr>
  </w:style>
  <w:style w:type="paragraph" w:customStyle="1" w:styleId="RollCallVotes">
    <w:name w:val="RollCallVotes"/>
    <w:basedOn w:val="Normal"/>
    <w:rsid w:val="009E572A"/>
    <w:pPr>
      <w:spacing w:before="120" w:after="120"/>
      <w:jc w:val="center"/>
    </w:pPr>
    <w:rPr>
      <w:b/>
      <w:bCs/>
      <w:snapToGrid w:val="0"/>
      <w:sz w:val="16"/>
      <w:lang w:eastAsia="en-US"/>
    </w:rPr>
  </w:style>
  <w:style w:type="paragraph" w:customStyle="1" w:styleId="RollCallTabs">
    <w:name w:val="RollCallTabs"/>
    <w:basedOn w:val="Normal"/>
    <w:qFormat/>
    <w:rsid w:val="009E572A"/>
    <w:pPr>
      <w:tabs>
        <w:tab w:val="center" w:pos="284"/>
        <w:tab w:val="left" w:pos="426"/>
      </w:tabs>
    </w:pPr>
    <w:rPr>
      <w:snapToGrid w:val="0"/>
      <w:lang w:eastAsia="en-US"/>
    </w:rPr>
  </w:style>
  <w:style w:type="paragraph" w:customStyle="1" w:styleId="RollCallSymbols14pt">
    <w:name w:val="RollCallSymbols14pt"/>
    <w:basedOn w:val="Normal"/>
    <w:rsid w:val="009E572A"/>
    <w:pPr>
      <w:spacing w:before="120" w:after="120"/>
      <w:jc w:val="center"/>
    </w:pPr>
    <w:rPr>
      <w:rFonts w:ascii="Arial" w:hAnsi="Arial"/>
      <w:b/>
      <w:bCs/>
      <w:snapToGrid w:val="0"/>
      <w:sz w:val="28"/>
      <w:lang w:eastAsia="en-US"/>
    </w:rPr>
  </w:style>
  <w:style w:type="paragraph" w:customStyle="1" w:styleId="RollCallTable">
    <w:name w:val="RollCallTable"/>
    <w:basedOn w:val="Normal"/>
    <w:rsid w:val="009E572A"/>
    <w:pPr>
      <w:spacing w:before="120" w:after="120"/>
    </w:pPr>
    <w:rPr>
      <w:snapToGrid w:val="0"/>
      <w:sz w:val="16"/>
      <w:lang w:eastAsia="en-US"/>
    </w:rPr>
  </w:style>
  <w:style w:type="paragraph" w:customStyle="1" w:styleId="PageHeadingNotTOC">
    <w:name w:val="PageHeadingNotTOC"/>
    <w:basedOn w:val="Normal"/>
    <w:rsid w:val="009E572A"/>
    <w:pPr>
      <w:keepNext/>
      <w:spacing w:after="480"/>
      <w:jc w:val="center"/>
    </w:pPr>
    <w:rPr>
      <w:rFonts w:ascii="Arial" w:hAnsi="Arial" w:cs="Arial"/>
      <w:b/>
    </w:rPr>
  </w:style>
  <w:style w:type="paragraph" w:customStyle="1" w:styleId="AmHeadingPA">
    <w:name w:val="AmHeadingPA"/>
    <w:basedOn w:val="Normal"/>
    <w:next w:val="Normal"/>
    <w:rsid w:val="009E572A"/>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9E572A"/>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E572A"/>
    <w:rPr>
      <w:rFonts w:ascii="Calibri" w:eastAsiaTheme="minorHAnsi" w:hAnsi="Calibri" w:cstheme="minorBidi"/>
      <w:sz w:val="22"/>
      <w:szCs w:val="21"/>
      <w:lang w:val="hr-HR" w:eastAsia="en-US"/>
    </w:rPr>
  </w:style>
  <w:style w:type="paragraph" w:styleId="Title">
    <w:name w:val="Title"/>
    <w:basedOn w:val="Normal"/>
    <w:next w:val="Normal"/>
    <w:link w:val="TitleChar"/>
    <w:uiPriority w:val="10"/>
    <w:qFormat/>
    <w:rsid w:val="009E572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E572A"/>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9E572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E572A"/>
    <w:rPr>
      <w:rFonts w:ascii="Arial" w:eastAsiaTheme="majorEastAsia" w:hAnsi="Arial" w:cs="Arial"/>
      <w:sz w:val="24"/>
      <w:szCs w:val="24"/>
      <w:lang w:val="hr-HR" w:eastAsia="en-US"/>
    </w:rPr>
  </w:style>
  <w:style w:type="character" w:styleId="Strong">
    <w:name w:val="Strong"/>
    <w:basedOn w:val="DefaultParagraphFont"/>
    <w:uiPriority w:val="22"/>
    <w:qFormat/>
    <w:rsid w:val="009E572A"/>
    <w:rPr>
      <w:b/>
      <w:bCs/>
    </w:rPr>
  </w:style>
  <w:style w:type="paragraph" w:styleId="NoSpacing">
    <w:name w:val="No Spacing"/>
    <w:basedOn w:val="Normal"/>
    <w:uiPriority w:val="1"/>
    <w:qFormat/>
    <w:rsid w:val="009E572A"/>
    <w:pPr>
      <w:widowControl/>
      <w:jc w:val="both"/>
    </w:pPr>
    <w:rPr>
      <w:rFonts w:eastAsiaTheme="minorHAnsi"/>
      <w:szCs w:val="32"/>
      <w:lang w:eastAsia="en-US"/>
    </w:rPr>
  </w:style>
  <w:style w:type="paragraph" w:styleId="ListParagraph">
    <w:name w:val="List Paragraph"/>
    <w:basedOn w:val="Normal"/>
    <w:uiPriority w:val="34"/>
    <w:qFormat/>
    <w:rsid w:val="009E572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9E572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E572A"/>
    <w:rPr>
      <w:rFonts w:eastAsiaTheme="minorHAnsi"/>
      <w:i/>
      <w:sz w:val="24"/>
      <w:szCs w:val="24"/>
      <w:lang w:val="hr-HR" w:eastAsia="en-US"/>
    </w:rPr>
  </w:style>
  <w:style w:type="paragraph" w:styleId="IntenseQuote">
    <w:name w:val="Intense Quote"/>
    <w:basedOn w:val="Normal"/>
    <w:next w:val="Normal"/>
    <w:link w:val="IntenseQuoteChar"/>
    <w:uiPriority w:val="30"/>
    <w:qFormat/>
    <w:rsid w:val="009E572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E572A"/>
    <w:rPr>
      <w:rFonts w:eastAsiaTheme="minorHAnsi"/>
      <w:b/>
      <w:i/>
      <w:sz w:val="24"/>
      <w:szCs w:val="22"/>
      <w:lang w:val="hr-HR" w:eastAsia="en-US"/>
    </w:rPr>
  </w:style>
  <w:style w:type="character" w:styleId="SubtleEmphasis">
    <w:name w:val="Subtle Emphasis"/>
    <w:uiPriority w:val="19"/>
    <w:qFormat/>
    <w:rsid w:val="009E572A"/>
    <w:rPr>
      <w:i/>
      <w:color w:val="5A5A5A" w:themeColor="text1" w:themeTint="A5"/>
    </w:rPr>
  </w:style>
  <w:style w:type="character" w:styleId="IntenseEmphasis">
    <w:name w:val="Intense Emphasis"/>
    <w:basedOn w:val="DefaultParagraphFont"/>
    <w:uiPriority w:val="21"/>
    <w:qFormat/>
    <w:rsid w:val="009E572A"/>
    <w:rPr>
      <w:b/>
      <w:i/>
      <w:sz w:val="24"/>
      <w:szCs w:val="24"/>
      <w:u w:val="single"/>
    </w:rPr>
  </w:style>
  <w:style w:type="character" w:styleId="SubtleReference">
    <w:name w:val="Subtle Reference"/>
    <w:basedOn w:val="DefaultParagraphFont"/>
    <w:uiPriority w:val="31"/>
    <w:qFormat/>
    <w:rsid w:val="009E572A"/>
    <w:rPr>
      <w:sz w:val="24"/>
      <w:szCs w:val="24"/>
      <w:u w:val="single"/>
    </w:rPr>
  </w:style>
  <w:style w:type="character" w:styleId="IntenseReference">
    <w:name w:val="Intense Reference"/>
    <w:basedOn w:val="DefaultParagraphFont"/>
    <w:uiPriority w:val="32"/>
    <w:qFormat/>
    <w:rsid w:val="009E572A"/>
    <w:rPr>
      <w:b/>
      <w:sz w:val="24"/>
      <w:u w:val="single"/>
    </w:rPr>
  </w:style>
  <w:style w:type="character" w:styleId="BookTitle">
    <w:name w:val="Book Title"/>
    <w:basedOn w:val="DefaultParagraphFont"/>
    <w:uiPriority w:val="33"/>
    <w:qFormat/>
    <w:rsid w:val="009E572A"/>
    <w:rPr>
      <w:rFonts w:asciiTheme="majorHAnsi" w:eastAsiaTheme="majorEastAsia" w:hAnsiTheme="majorHAnsi"/>
      <w:b/>
      <w:i/>
      <w:sz w:val="24"/>
      <w:szCs w:val="24"/>
    </w:rPr>
  </w:style>
  <w:style w:type="numbering" w:customStyle="1" w:styleId="NoList1">
    <w:name w:val="No List1"/>
    <w:next w:val="NoList"/>
    <w:uiPriority w:val="99"/>
    <w:semiHidden/>
    <w:unhideWhenUsed/>
    <w:rsid w:val="001169ED"/>
  </w:style>
  <w:style w:type="paragraph" w:customStyle="1" w:styleId="SignaturePersonne">
    <w:name w:val="Signature Personne"/>
    <w:basedOn w:val="Normal"/>
    <w:rsid w:val="001169ED"/>
    <w:pPr>
      <w:widowControl/>
      <w:tabs>
        <w:tab w:val="left" w:pos="4252"/>
      </w:tabs>
      <w:spacing w:line="360" w:lineRule="auto"/>
    </w:pPr>
    <w:rPr>
      <w:i/>
      <w:szCs w:val="24"/>
      <w:lang w:val="en-GB" w:eastAsia="en-US"/>
    </w:rPr>
  </w:style>
  <w:style w:type="paragraph" w:customStyle="1" w:styleId="Considrant">
    <w:name w:val="Considérant"/>
    <w:basedOn w:val="Normal"/>
    <w:rsid w:val="001169E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169ED"/>
    <w:pPr>
      <w:keepNext/>
      <w:spacing w:before="600" w:after="120" w:line="360" w:lineRule="auto"/>
    </w:pPr>
    <w:rPr>
      <w:szCs w:val="24"/>
      <w:lang w:val="en-GB" w:eastAsia="en-US"/>
    </w:rPr>
  </w:style>
  <w:style w:type="paragraph" w:customStyle="1" w:styleId="Institutionquisigne">
    <w:name w:val="Institution qui signe"/>
    <w:basedOn w:val="Normal"/>
    <w:next w:val="Normal"/>
    <w:rsid w:val="001169ED"/>
    <w:pPr>
      <w:keepNext/>
      <w:tabs>
        <w:tab w:val="left" w:pos="4252"/>
      </w:tabs>
      <w:spacing w:before="720" w:line="360" w:lineRule="auto"/>
    </w:pPr>
    <w:rPr>
      <w:i/>
      <w:szCs w:val="24"/>
      <w:lang w:val="en-GB" w:eastAsia="en-US"/>
    </w:rPr>
  </w:style>
  <w:style w:type="paragraph" w:customStyle="1" w:styleId="Fait">
    <w:name w:val="Fait à"/>
    <w:basedOn w:val="Normal"/>
    <w:rsid w:val="001169ED"/>
    <w:pPr>
      <w:keepNext/>
      <w:widowControl/>
      <w:spacing w:before="120" w:line="360" w:lineRule="auto"/>
    </w:pPr>
    <w:rPr>
      <w:szCs w:val="24"/>
      <w:lang w:val="en-GB" w:eastAsia="en-US"/>
    </w:rPr>
  </w:style>
  <w:style w:type="paragraph" w:customStyle="1" w:styleId="FootnoteTextForceStyle">
    <w:name w:val="Footnote Text ForceStyle"/>
    <w:rsid w:val="001169ED"/>
    <w:pPr>
      <w:keepLines/>
      <w:widowControl w:val="0"/>
      <w:ind w:left="850" w:hanging="850"/>
    </w:pPr>
    <w:rPr>
      <w:sz w:val="24"/>
      <w:lang w:eastAsia="en-US"/>
    </w:rPr>
  </w:style>
  <w:style w:type="paragraph" w:customStyle="1" w:styleId="Applicationdirecte">
    <w:name w:val="Application directe"/>
    <w:basedOn w:val="Normal"/>
    <w:next w:val="Normal"/>
    <w:rsid w:val="001169ED"/>
    <w:pPr>
      <w:spacing w:before="120" w:after="120" w:line="360" w:lineRule="auto"/>
    </w:pPr>
    <w:rPr>
      <w:szCs w:val="24"/>
      <w:lang w:val="en-GB" w:eastAsia="en-US"/>
    </w:rPr>
  </w:style>
  <w:style w:type="paragraph" w:customStyle="1" w:styleId="Normale">
    <w:name w:val="Normale"/>
    <w:rsid w:val="001169ED"/>
    <w:pPr>
      <w:widowControl w:val="0"/>
      <w:spacing w:before="120" w:after="120" w:line="360" w:lineRule="auto"/>
    </w:pPr>
    <w:rPr>
      <w:sz w:val="24"/>
      <w:lang w:eastAsia="en-US"/>
    </w:rPr>
  </w:style>
  <w:style w:type="paragraph" w:customStyle="1" w:styleId="Formuledadoption">
    <w:name w:val="Formule d'adoption"/>
    <w:basedOn w:val="Normal"/>
    <w:next w:val="Normal"/>
    <w:rsid w:val="001169E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169ED"/>
    <w:pPr>
      <w:widowControl/>
      <w:spacing w:after="240" w:line="360" w:lineRule="auto"/>
      <w:ind w:left="5102"/>
    </w:pPr>
    <w:rPr>
      <w:szCs w:val="24"/>
      <w:lang w:val="en-GB" w:eastAsia="en-US"/>
    </w:rPr>
  </w:style>
  <w:style w:type="paragraph" w:customStyle="1" w:styleId="Footer1">
    <w:name w:val="Footer1"/>
    <w:basedOn w:val="Normal"/>
    <w:rsid w:val="001169E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169E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169ED"/>
    <w:pPr>
      <w:widowControl/>
      <w:spacing w:before="840" w:line="360" w:lineRule="auto"/>
      <w:jc w:val="center"/>
    </w:pPr>
    <w:rPr>
      <w:szCs w:val="24"/>
      <w:lang w:val="en-GB" w:eastAsia="en-US"/>
    </w:rPr>
  </w:style>
  <w:style w:type="paragraph" w:customStyle="1" w:styleId="Typedudocument">
    <w:name w:val="Type du document"/>
    <w:basedOn w:val="Normal"/>
    <w:next w:val="Normal"/>
    <w:rsid w:val="001169ED"/>
    <w:pPr>
      <w:widowControl/>
      <w:spacing w:before="360" w:line="360" w:lineRule="auto"/>
      <w:jc w:val="center"/>
    </w:pPr>
    <w:rPr>
      <w:b/>
      <w:szCs w:val="24"/>
      <w:lang w:val="en-GB" w:eastAsia="en-US"/>
    </w:rPr>
  </w:style>
  <w:style w:type="paragraph" w:customStyle="1" w:styleId="Titreobjet">
    <w:name w:val="Titre objet"/>
    <w:basedOn w:val="Normal"/>
    <w:next w:val="Normal"/>
    <w:rsid w:val="001169E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169ED"/>
    <w:pPr>
      <w:widowControl/>
      <w:spacing w:before="360" w:after="240" w:line="360" w:lineRule="auto"/>
      <w:jc w:val="center"/>
    </w:pPr>
    <w:rPr>
      <w:szCs w:val="24"/>
      <w:lang w:val="en-GB" w:eastAsia="en-US"/>
    </w:rPr>
  </w:style>
  <w:style w:type="character" w:customStyle="1" w:styleId="CMissingStyle">
    <w:name w:val="C_MissingStyle"/>
    <w:rsid w:val="001169ED"/>
    <w:rPr>
      <w:color w:val="FFFFFF"/>
      <w:sz w:val="22"/>
      <w:shd w:val="clear" w:color="000000" w:fill="000000"/>
    </w:rPr>
  </w:style>
  <w:style w:type="paragraph" w:customStyle="1" w:styleId="PMissingStyle">
    <w:name w:val="P_MissingStyle"/>
    <w:basedOn w:val="Normal"/>
    <w:rsid w:val="001169ED"/>
    <w:pPr>
      <w:spacing w:before="120" w:after="120" w:line="360" w:lineRule="auto"/>
    </w:pPr>
    <w:rPr>
      <w:color w:val="FFFFFF"/>
      <w:szCs w:val="24"/>
      <w:shd w:val="clear" w:color="000000" w:fill="000000"/>
      <w:lang w:val="en-GB" w:eastAsia="en-US"/>
    </w:rPr>
  </w:style>
  <w:style w:type="paragraph" w:customStyle="1" w:styleId="Warning">
    <w:name w:val="Warning"/>
    <w:rsid w:val="001169ED"/>
    <w:rPr>
      <w:lang w:eastAsia="en-US"/>
    </w:rPr>
  </w:style>
  <w:style w:type="paragraph" w:customStyle="1" w:styleId="Tiret1">
    <w:name w:val="Tiret 1"/>
    <w:basedOn w:val="Normal"/>
    <w:rsid w:val="001169ED"/>
    <w:pPr>
      <w:widowControl/>
      <w:numPr>
        <w:numId w:val="50"/>
      </w:numPr>
      <w:spacing w:before="120" w:after="12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8732B-0F12-47B8-9B65-2D7092C93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23731</Words>
  <Characters>139003</Characters>
  <Application>Microsoft Office Word</Application>
  <DocSecurity>4</DocSecurity>
  <Lines>1158</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SOLTYSOVA Zuzana</cp:lastModifiedBy>
  <cp:revision>2</cp:revision>
  <cp:lastPrinted>2004-11-19T15:42:00Z</cp:lastPrinted>
  <dcterms:created xsi:type="dcterms:W3CDTF">2024-11-18T16:40:00Z</dcterms:created>
  <dcterms:modified xsi:type="dcterms:W3CDTF">2024-11-18T16:40:00Z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A9-0039/2024</vt:lpwstr>
  </property>
  <property fmtid="{D5CDD505-2E9C-101B-9397-08002B2CF9AE}" pid="4" name="&lt;Type&gt;">
    <vt:lpwstr>RR</vt:lpwstr>
  </property>
</Properties>
</file>