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85F7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85F78" w:rsidRDefault="001837AB" w:rsidP="0010095E">
            <w:pPr>
              <w:pStyle w:val="EPName"/>
            </w:pPr>
            <w:r w:rsidRPr="00A85F78">
              <w:t>Parlement européen</w:t>
            </w:r>
          </w:p>
          <w:p w:rsidR="00751A4A" w:rsidRPr="00A85F78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8052F">
              <w:t>2019</w:t>
            </w:r>
            <w:r w:rsidRPr="00A85F78">
              <w:t>-</w:t>
            </w:r>
            <w:r w:rsidRPr="0088052F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A85F78" w:rsidRDefault="00187494" w:rsidP="0010095E">
            <w:pPr>
              <w:pStyle w:val="EPLogo"/>
            </w:pPr>
            <w:r w:rsidRPr="00A85F7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85F78" w:rsidRDefault="00D058B8" w:rsidP="004C5D52">
      <w:pPr>
        <w:pStyle w:val="LineTop"/>
      </w:pPr>
    </w:p>
    <w:p w:rsidR="00680577" w:rsidRPr="009233E1" w:rsidRDefault="001837AB" w:rsidP="00680577">
      <w:pPr>
        <w:pStyle w:val="EPBodyTA1"/>
      </w:pPr>
      <w:r w:rsidRPr="009233E1">
        <w:t>TEXTES ADOPTÉS</w:t>
      </w:r>
    </w:p>
    <w:p w:rsidR="00D058B8" w:rsidRPr="009233E1" w:rsidRDefault="00D058B8" w:rsidP="00D058B8">
      <w:pPr>
        <w:pStyle w:val="LineBottom"/>
      </w:pPr>
    </w:p>
    <w:p w:rsidR="001837AB" w:rsidRPr="0071405F" w:rsidRDefault="001837AB" w:rsidP="001837AB">
      <w:pPr>
        <w:pStyle w:val="ATHeading1"/>
      </w:pPr>
      <w:bookmarkStart w:id="0" w:name="TANumber"/>
      <w:r w:rsidRPr="0071405F">
        <w:t>P</w:t>
      </w:r>
      <w:r w:rsidRPr="0088052F">
        <w:t>9</w:t>
      </w:r>
      <w:r w:rsidRPr="0071405F">
        <w:t>_</w:t>
      </w:r>
      <w:proofErr w:type="gramStart"/>
      <w:r w:rsidRPr="0071405F">
        <w:t>TA(</w:t>
      </w:r>
      <w:proofErr w:type="gramEnd"/>
      <w:r w:rsidRPr="0088052F">
        <w:t>2024</w:t>
      </w:r>
      <w:r w:rsidRPr="0071405F">
        <w:t>)</w:t>
      </w:r>
      <w:bookmarkEnd w:id="0"/>
      <w:r w:rsidR="00D828D9" w:rsidRPr="0088052F">
        <w:t>0092</w:t>
      </w:r>
    </w:p>
    <w:p w:rsidR="001837AB" w:rsidRPr="0071405F" w:rsidRDefault="0071405F" w:rsidP="001837AB">
      <w:pPr>
        <w:pStyle w:val="ATHeading2"/>
      </w:pPr>
      <w:r w:rsidRPr="0071405F">
        <w:t xml:space="preserve">Modification de la décision (UE) </w:t>
      </w:r>
      <w:r w:rsidRPr="0088052F">
        <w:t>2017</w:t>
      </w:r>
      <w:r w:rsidRPr="0071405F">
        <w:t>/</w:t>
      </w:r>
      <w:r w:rsidRPr="0088052F">
        <w:t>1324</w:t>
      </w:r>
      <w:r w:rsidRPr="0071405F">
        <w:t xml:space="preserve"> en ce qui concerne la poursuite de la participation de l’Union au partenariat en matière de recherche et d’innovation dans la zone méditerranéenne (PRIMA) au titre d’Horizon Europe</w:t>
      </w:r>
    </w:p>
    <w:p w:rsidR="001837AB" w:rsidRPr="00A85F78" w:rsidRDefault="001837AB" w:rsidP="001837AB">
      <w:pPr>
        <w:rPr>
          <w:i/>
          <w:vanish/>
        </w:rPr>
      </w:pPr>
      <w:r w:rsidRPr="00A85F78">
        <w:rPr>
          <w:i/>
        </w:rPr>
        <w:fldChar w:fldCharType="begin"/>
      </w:r>
      <w:r w:rsidRPr="00A85F78">
        <w:rPr>
          <w:i/>
        </w:rPr>
        <w:instrText xml:space="preserve"> TC"(A</w:instrText>
      </w:r>
      <w:r w:rsidRPr="0088052F">
        <w:rPr>
          <w:i/>
        </w:rPr>
        <w:instrText>9</w:instrText>
      </w:r>
      <w:r w:rsidRPr="00A85F78">
        <w:rPr>
          <w:i/>
        </w:rPr>
        <w:instrText>-</w:instrText>
      </w:r>
      <w:r w:rsidRPr="0088052F">
        <w:rPr>
          <w:i/>
        </w:rPr>
        <w:instrText>0378</w:instrText>
      </w:r>
      <w:r w:rsidRPr="00A85F78">
        <w:rPr>
          <w:i/>
        </w:rPr>
        <w:instrText>/</w:instrText>
      </w:r>
      <w:r w:rsidRPr="0088052F">
        <w:rPr>
          <w:i/>
        </w:rPr>
        <w:instrText>2023</w:instrText>
      </w:r>
      <w:r w:rsidRPr="00A85F78">
        <w:rPr>
          <w:i/>
        </w:rPr>
        <w:instrText xml:space="preserve"> - Rapporteur: Paolo </w:instrText>
      </w:r>
      <w:proofErr w:type="spellStart"/>
      <w:r w:rsidRPr="00A85F78">
        <w:rPr>
          <w:i/>
        </w:rPr>
        <w:instrText>Borchia</w:instrText>
      </w:r>
      <w:proofErr w:type="spellEnd"/>
      <w:r w:rsidRPr="00A85F78">
        <w:rPr>
          <w:i/>
        </w:rPr>
        <w:instrText>)"\l</w:instrText>
      </w:r>
      <w:r w:rsidRPr="0088052F">
        <w:rPr>
          <w:i/>
        </w:rPr>
        <w:instrText>3</w:instrText>
      </w:r>
      <w:r w:rsidRPr="00A85F78">
        <w:rPr>
          <w:i/>
        </w:rPr>
        <w:instrText xml:space="preserve"> \n&gt; \* MERGEFORMAT </w:instrText>
      </w:r>
      <w:r w:rsidRPr="00A85F78">
        <w:rPr>
          <w:i/>
        </w:rPr>
        <w:fldChar w:fldCharType="end"/>
      </w:r>
    </w:p>
    <w:p w:rsidR="001837AB" w:rsidRPr="00A85F78" w:rsidRDefault="001837AB" w:rsidP="001837AB">
      <w:pPr>
        <w:rPr>
          <w:vanish/>
        </w:rPr>
      </w:pPr>
      <w:bookmarkStart w:id="1" w:name="Commission"/>
      <w:r w:rsidRPr="00A85F78">
        <w:rPr>
          <w:vanish/>
        </w:rPr>
        <w:t>Commission de l’industrie, de la recherche et de l’énergie</w:t>
      </w:r>
      <w:bookmarkEnd w:id="1"/>
    </w:p>
    <w:p w:rsidR="001837AB" w:rsidRPr="00A85F78" w:rsidRDefault="001837AB" w:rsidP="001837AB">
      <w:pPr>
        <w:rPr>
          <w:vanish/>
        </w:rPr>
      </w:pPr>
      <w:bookmarkStart w:id="2" w:name="PE"/>
      <w:r w:rsidRPr="00A85F78">
        <w:rPr>
          <w:vanish/>
        </w:rPr>
        <w:t>PE</w:t>
      </w:r>
      <w:r w:rsidRPr="0088052F">
        <w:rPr>
          <w:vanish/>
        </w:rPr>
        <w:t>752</w:t>
      </w:r>
      <w:r w:rsidRPr="00A85F78">
        <w:rPr>
          <w:vanish/>
        </w:rPr>
        <w:t>.</w:t>
      </w:r>
      <w:r w:rsidRPr="0088052F">
        <w:rPr>
          <w:vanish/>
        </w:rPr>
        <w:t>796</w:t>
      </w:r>
      <w:bookmarkEnd w:id="2"/>
    </w:p>
    <w:p w:rsidR="001837AB" w:rsidRPr="00A85F78" w:rsidRDefault="001837AB" w:rsidP="001837AB">
      <w:pPr>
        <w:pStyle w:val="ATHeading3"/>
      </w:pPr>
      <w:bookmarkStart w:id="3" w:name="Sujet"/>
      <w:r w:rsidRPr="00A85F78">
        <w:t xml:space="preserve">Résolution législative du Parlement européen du </w:t>
      </w:r>
      <w:r w:rsidR="00800F26" w:rsidRPr="0088052F">
        <w:t>2</w:t>
      </w:r>
      <w:r w:rsidR="00F37BA8" w:rsidRPr="0088052F">
        <w:t>7</w:t>
      </w:r>
      <w:r w:rsidR="00800F26">
        <w:t xml:space="preserve"> février</w:t>
      </w:r>
      <w:r w:rsidRPr="00A85F78">
        <w:t xml:space="preserve"> </w:t>
      </w:r>
      <w:r w:rsidRPr="0088052F">
        <w:t>2024</w:t>
      </w:r>
      <w:r w:rsidRPr="00A85F78">
        <w:t xml:space="preserve"> sur la proposition de décision du Parlement européen et du Conseil modifiant la décision (UE) </w:t>
      </w:r>
      <w:r w:rsidRPr="0088052F">
        <w:t>2017</w:t>
      </w:r>
      <w:r w:rsidRPr="00A85F78">
        <w:t>/</w:t>
      </w:r>
      <w:r w:rsidRPr="0088052F">
        <w:t>1324</w:t>
      </w:r>
      <w:r w:rsidRPr="00A85F78">
        <w:t xml:space="preserve"> en ce qui concerne la poursuite de la participation de l’Union au partenariat en matière de recherche et d’innovation dans la zone méditerranéenne (PRIMA) au titre d’Horizon Europe</w:t>
      </w:r>
      <w:bookmarkEnd w:id="3"/>
      <w:r w:rsidRPr="00A85F78">
        <w:t xml:space="preserve"> </w:t>
      </w:r>
      <w:bookmarkStart w:id="4" w:name="References"/>
      <w:r w:rsidRPr="00A85F78">
        <w:t>(</w:t>
      </w:r>
      <w:proofErr w:type="gramStart"/>
      <w:r w:rsidRPr="00A85F78">
        <w:t>COM(</w:t>
      </w:r>
      <w:proofErr w:type="gramEnd"/>
      <w:r w:rsidRPr="0088052F">
        <w:t>2023</w:t>
      </w:r>
      <w:r w:rsidRPr="00A85F78">
        <w:t>)</w:t>
      </w:r>
      <w:r w:rsidRPr="0088052F">
        <w:t>0359</w:t>
      </w:r>
      <w:r w:rsidRPr="00A85F78">
        <w:t xml:space="preserve"> – C</w:t>
      </w:r>
      <w:r w:rsidRPr="0088052F">
        <w:t>9</w:t>
      </w:r>
      <w:r w:rsidRPr="00A85F78">
        <w:t>-</w:t>
      </w:r>
      <w:r w:rsidRPr="0088052F">
        <w:t>0213</w:t>
      </w:r>
      <w:r w:rsidRPr="00A85F78">
        <w:t>/</w:t>
      </w:r>
      <w:r w:rsidRPr="0088052F">
        <w:t>2023</w:t>
      </w:r>
      <w:r w:rsidRPr="00A85F78">
        <w:t xml:space="preserve"> – </w:t>
      </w:r>
      <w:r w:rsidRPr="0088052F">
        <w:t>2023</w:t>
      </w:r>
      <w:r w:rsidRPr="00A85F78">
        <w:t>/</w:t>
      </w:r>
      <w:r w:rsidRPr="0088052F">
        <w:t>0207</w:t>
      </w:r>
      <w:r w:rsidRPr="00A85F78">
        <w:t>(COD))</w:t>
      </w:r>
      <w:bookmarkEnd w:id="4"/>
    </w:p>
    <w:p w:rsidR="001837AB" w:rsidRPr="00A85F78" w:rsidRDefault="001837AB" w:rsidP="001837AB"/>
    <w:p w:rsidR="0003699C" w:rsidRPr="00A85F78" w:rsidRDefault="0003699C" w:rsidP="0003699C">
      <w:pPr>
        <w:pStyle w:val="NormalBold"/>
      </w:pPr>
      <w:bookmarkStart w:id="5" w:name="TextBodyBegin"/>
      <w:bookmarkEnd w:id="5"/>
      <w:r w:rsidRPr="00A85F78">
        <w:t>(Procédure législative ordinaire: première lecture)</w:t>
      </w:r>
    </w:p>
    <w:p w:rsidR="0003699C" w:rsidRPr="00A85F78" w:rsidRDefault="0003699C" w:rsidP="0003699C">
      <w:pPr>
        <w:pStyle w:val="EPComma"/>
      </w:pPr>
      <w:r w:rsidRPr="00A85F78">
        <w:rPr>
          <w:i/>
        </w:rPr>
        <w:t>Le Parlement européen</w:t>
      </w:r>
      <w:r w:rsidRPr="00A85F78">
        <w:t>,</w:t>
      </w:r>
    </w:p>
    <w:p w:rsidR="0003699C" w:rsidRPr="00A85F78" w:rsidRDefault="0003699C" w:rsidP="0003699C">
      <w:pPr>
        <w:pStyle w:val="NormalHanging12a"/>
      </w:pPr>
      <w:r w:rsidRPr="00A85F78">
        <w:t>–</w:t>
      </w:r>
      <w:r w:rsidRPr="00A85F78">
        <w:tab/>
        <w:t>vu la proposition de la Commission au Parlement européen et au Conseil (</w:t>
      </w:r>
      <w:proofErr w:type="gramStart"/>
      <w:r w:rsidRPr="00A85F78">
        <w:t>COM(</w:t>
      </w:r>
      <w:proofErr w:type="gramEnd"/>
      <w:r w:rsidRPr="0088052F">
        <w:t>2023</w:t>
      </w:r>
      <w:r w:rsidRPr="00A85F78">
        <w:t>)</w:t>
      </w:r>
      <w:r w:rsidRPr="0088052F">
        <w:t>0359</w:t>
      </w:r>
      <w:r w:rsidRPr="00A85F78">
        <w:t>),</w:t>
      </w:r>
    </w:p>
    <w:p w:rsidR="0003699C" w:rsidRPr="00A85F78" w:rsidRDefault="0003699C" w:rsidP="0003699C">
      <w:pPr>
        <w:pStyle w:val="NormalHanging12a"/>
      </w:pPr>
      <w:r w:rsidRPr="00A85F78">
        <w:t>–</w:t>
      </w:r>
      <w:r w:rsidRPr="00A85F78">
        <w:tab/>
        <w:t>vu l’article </w:t>
      </w:r>
      <w:r w:rsidRPr="0088052F">
        <w:t>294</w:t>
      </w:r>
      <w:r w:rsidRPr="00A85F78">
        <w:t>, paragraphe </w:t>
      </w:r>
      <w:r w:rsidRPr="0088052F">
        <w:t>2</w:t>
      </w:r>
      <w:r w:rsidRPr="00A85F78">
        <w:t>, l’article </w:t>
      </w:r>
      <w:r w:rsidRPr="0088052F">
        <w:t>185</w:t>
      </w:r>
      <w:r w:rsidRPr="00A85F78">
        <w:t xml:space="preserve"> et l’article </w:t>
      </w:r>
      <w:r w:rsidRPr="0088052F">
        <w:t>188</w:t>
      </w:r>
      <w:r w:rsidRPr="00A85F78">
        <w:t>, paragraphe </w:t>
      </w:r>
      <w:r w:rsidRPr="0088052F">
        <w:t>2</w:t>
      </w:r>
      <w:r w:rsidRPr="00A85F78">
        <w:t>, du traité sur le fonctionnement de l’Union européenne, conformément auxquels la proposition lui a été présentée par la Commission (C</w:t>
      </w:r>
      <w:r w:rsidRPr="0088052F">
        <w:t>9</w:t>
      </w:r>
      <w:r w:rsidRPr="00A85F78">
        <w:t>-</w:t>
      </w:r>
      <w:r w:rsidRPr="0088052F">
        <w:t>0213</w:t>
      </w:r>
      <w:r w:rsidRPr="00A85F78">
        <w:t>/</w:t>
      </w:r>
      <w:r w:rsidRPr="0088052F">
        <w:t>2023</w:t>
      </w:r>
      <w:r w:rsidRPr="00A85F78">
        <w:t>),</w:t>
      </w:r>
    </w:p>
    <w:p w:rsidR="0003699C" w:rsidRPr="00A85F78" w:rsidRDefault="0003699C" w:rsidP="0003699C">
      <w:pPr>
        <w:pStyle w:val="NormalHanging12a"/>
      </w:pPr>
      <w:r w:rsidRPr="00A85F78">
        <w:t>–</w:t>
      </w:r>
      <w:r w:rsidRPr="00A85F78">
        <w:tab/>
        <w:t>vu l’article </w:t>
      </w:r>
      <w:r w:rsidRPr="0088052F">
        <w:t>294</w:t>
      </w:r>
      <w:r w:rsidRPr="00A85F78">
        <w:t>, paragraphe </w:t>
      </w:r>
      <w:r w:rsidRPr="0088052F">
        <w:t>3</w:t>
      </w:r>
      <w:r w:rsidRPr="00A85F78">
        <w:t>, du traité sur le fonctionnement de l’Union européenne,</w:t>
      </w:r>
    </w:p>
    <w:p w:rsidR="0003699C" w:rsidRDefault="0003699C" w:rsidP="0003699C">
      <w:pPr>
        <w:pStyle w:val="NormalHanging12a"/>
      </w:pPr>
      <w:r w:rsidRPr="00A85F78">
        <w:t>–</w:t>
      </w:r>
      <w:r w:rsidRPr="00A85F78">
        <w:tab/>
        <w:t>vu l’avis du Comité économique et social européen du </w:t>
      </w:r>
      <w:r w:rsidRPr="0088052F">
        <w:t>20</w:t>
      </w:r>
      <w:r w:rsidRPr="00A85F78">
        <w:t> septembre </w:t>
      </w:r>
      <w:r w:rsidRPr="0088052F">
        <w:t>2023</w:t>
      </w:r>
      <w:r w:rsidR="00F37BA8">
        <w:rPr>
          <w:rStyle w:val="FootnoteReference"/>
        </w:rPr>
        <w:footnoteReference w:id="1"/>
      </w:r>
      <w:r w:rsidRPr="00A85F78">
        <w:t>,</w:t>
      </w:r>
    </w:p>
    <w:p w:rsidR="0071405F" w:rsidRPr="00A85F78" w:rsidRDefault="0071405F" w:rsidP="0003699C">
      <w:pPr>
        <w:pStyle w:val="NormalHanging12a"/>
      </w:pPr>
      <w:r w:rsidRPr="0071405F">
        <w:t>–</w:t>
      </w:r>
      <w:r w:rsidRPr="0071405F">
        <w:tab/>
        <w:t xml:space="preserve">vu l’accord provisoire approuvé en vertu de l’article </w:t>
      </w:r>
      <w:r w:rsidRPr="0088052F">
        <w:t>74</w:t>
      </w:r>
      <w:r w:rsidRPr="0071405F">
        <w:t xml:space="preserve">, paragraphe </w:t>
      </w:r>
      <w:r w:rsidRPr="0088052F">
        <w:t>4</w:t>
      </w:r>
      <w:r w:rsidRPr="0071405F">
        <w:t xml:space="preserve">, de son règlement </w:t>
      </w:r>
      <w:proofErr w:type="gramStart"/>
      <w:r w:rsidRPr="0071405F">
        <w:t>intérieur</w:t>
      </w:r>
      <w:proofErr w:type="gramEnd"/>
      <w:r w:rsidRPr="0071405F">
        <w:t xml:space="preserve"> par la commission compétente et l’engagement pris par le représentant du Conseil, par lettre du </w:t>
      </w:r>
      <w:r w:rsidRPr="0088052F">
        <w:t>20</w:t>
      </w:r>
      <w:r>
        <w:t xml:space="preserve"> décembre </w:t>
      </w:r>
      <w:r w:rsidRPr="0088052F">
        <w:t>2023</w:t>
      </w:r>
      <w:r w:rsidRPr="0071405F">
        <w:t xml:space="preserve">, d’approuver la position du Parlement européen, conformément à l’article </w:t>
      </w:r>
      <w:r w:rsidRPr="0088052F">
        <w:t>294</w:t>
      </w:r>
      <w:r w:rsidRPr="0071405F">
        <w:t xml:space="preserve">, paragraphe </w:t>
      </w:r>
      <w:r w:rsidRPr="0088052F">
        <w:t>4</w:t>
      </w:r>
      <w:r w:rsidRPr="0071405F">
        <w:t>, du traité sur le fonctionnement de l’Union européenne,</w:t>
      </w:r>
    </w:p>
    <w:p w:rsidR="0003699C" w:rsidRPr="00A85F78" w:rsidRDefault="0003699C" w:rsidP="0003699C">
      <w:pPr>
        <w:pStyle w:val="NormalHanging12a"/>
      </w:pPr>
      <w:r w:rsidRPr="00A85F78">
        <w:t>–</w:t>
      </w:r>
      <w:r w:rsidRPr="00A85F78">
        <w:tab/>
        <w:t>vu l’article </w:t>
      </w:r>
      <w:r w:rsidRPr="0088052F">
        <w:t>59</w:t>
      </w:r>
      <w:r w:rsidRPr="00A85F78">
        <w:t xml:space="preserve"> de son règlement intérieur,</w:t>
      </w:r>
    </w:p>
    <w:p w:rsidR="0003699C" w:rsidRPr="00A85F78" w:rsidRDefault="0003699C" w:rsidP="0003699C">
      <w:pPr>
        <w:pStyle w:val="NormalHanging12a"/>
      </w:pPr>
      <w:r w:rsidRPr="00A85F78">
        <w:t>–</w:t>
      </w:r>
      <w:r w:rsidRPr="00A85F78">
        <w:tab/>
        <w:t>vu le rapport de la commission de l’industrie, de la recherche et de l’énergie (A</w:t>
      </w:r>
      <w:r w:rsidRPr="0088052F">
        <w:t>9</w:t>
      </w:r>
      <w:r w:rsidRPr="00A85F78">
        <w:t>-</w:t>
      </w:r>
      <w:r w:rsidRPr="0088052F">
        <w:lastRenderedPageBreak/>
        <w:t>0378</w:t>
      </w:r>
      <w:r w:rsidRPr="00A85F78">
        <w:t>/</w:t>
      </w:r>
      <w:r w:rsidRPr="0088052F">
        <w:t>2023</w:t>
      </w:r>
      <w:r w:rsidRPr="00A85F78">
        <w:t>),</w:t>
      </w:r>
    </w:p>
    <w:p w:rsidR="0003699C" w:rsidRPr="00A85F78" w:rsidRDefault="0003699C" w:rsidP="0003699C">
      <w:pPr>
        <w:pStyle w:val="NormalHanging12a"/>
      </w:pPr>
      <w:r w:rsidRPr="0088052F">
        <w:t>1</w:t>
      </w:r>
      <w:r w:rsidRPr="00A85F78">
        <w:t>.</w:t>
      </w:r>
      <w:r w:rsidRPr="00A85F78">
        <w:tab/>
        <w:t>arrête la position en première lecture figurant ci-après;</w:t>
      </w:r>
    </w:p>
    <w:p w:rsidR="0003699C" w:rsidRPr="00A85F78" w:rsidRDefault="0003699C" w:rsidP="0003699C">
      <w:pPr>
        <w:pStyle w:val="NormalHanging12a"/>
      </w:pPr>
      <w:r w:rsidRPr="0088052F">
        <w:t>2</w:t>
      </w:r>
      <w:r w:rsidRPr="00A85F78">
        <w:t>.</w:t>
      </w:r>
      <w:r w:rsidRPr="00A85F78">
        <w:tab/>
        <w:t>demande à la Commission de le saisir à nouveau, si elle remplace, modifie de manière substantielle ou entend modifier de manière substantielle sa proposition;</w:t>
      </w:r>
    </w:p>
    <w:p w:rsidR="00F37BA8" w:rsidRDefault="0003699C" w:rsidP="0003699C">
      <w:pPr>
        <w:pStyle w:val="NormalHanging12a"/>
        <w:sectPr w:rsidR="00F37BA8" w:rsidSect="00A85F78"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88052F">
        <w:t>3</w:t>
      </w:r>
      <w:r w:rsidRPr="00A85F78">
        <w:t>.</w:t>
      </w:r>
      <w:r w:rsidRPr="00A85F78">
        <w:tab/>
        <w:t>charge sa Présidente de transmettre la position du Parlement au Conseil et à la Commission ai</w:t>
      </w:r>
      <w:r w:rsidR="00F37BA8">
        <w:t>nsi qu’aux parlements nationaux</w:t>
      </w:r>
    </w:p>
    <w:p w:rsidR="0051083F" w:rsidRPr="0051083F" w:rsidRDefault="0051083F" w:rsidP="0051083F">
      <w:pPr>
        <w:spacing w:after="240"/>
        <w:rPr>
          <w:b/>
          <w:szCs w:val="24"/>
        </w:rPr>
      </w:pPr>
      <w:r w:rsidRPr="0051083F">
        <w:rPr>
          <w:b/>
          <w:szCs w:val="24"/>
        </w:rPr>
        <w:lastRenderedPageBreak/>
        <w:t>P</w:t>
      </w:r>
      <w:r w:rsidRPr="0088052F">
        <w:rPr>
          <w:b/>
          <w:szCs w:val="24"/>
        </w:rPr>
        <w:t>9</w:t>
      </w:r>
      <w:r w:rsidRPr="0051083F">
        <w:rPr>
          <w:b/>
          <w:szCs w:val="24"/>
        </w:rPr>
        <w:t>_TC</w:t>
      </w:r>
      <w:r w:rsidRPr="0088052F">
        <w:rPr>
          <w:b/>
          <w:szCs w:val="24"/>
        </w:rPr>
        <w:t>1</w:t>
      </w:r>
      <w:r w:rsidRPr="0051083F">
        <w:rPr>
          <w:b/>
          <w:szCs w:val="24"/>
        </w:rPr>
        <w:t>-</w:t>
      </w:r>
      <w:proofErr w:type="gramStart"/>
      <w:r w:rsidRPr="0051083F">
        <w:rPr>
          <w:b/>
          <w:szCs w:val="24"/>
        </w:rPr>
        <w:t>COD(</w:t>
      </w:r>
      <w:proofErr w:type="gramEnd"/>
      <w:r w:rsidR="00F37BA8" w:rsidRPr="0088052F">
        <w:rPr>
          <w:b/>
          <w:szCs w:val="24"/>
        </w:rPr>
        <w:t>2023</w:t>
      </w:r>
      <w:r w:rsidRPr="0051083F">
        <w:rPr>
          <w:b/>
          <w:szCs w:val="24"/>
        </w:rPr>
        <w:t>)</w:t>
      </w:r>
      <w:r w:rsidR="00F37BA8" w:rsidRPr="0088052F">
        <w:rPr>
          <w:b/>
          <w:szCs w:val="24"/>
        </w:rPr>
        <w:t>0207</w:t>
      </w:r>
    </w:p>
    <w:p w:rsidR="0051083F" w:rsidRDefault="0051083F" w:rsidP="0051083F">
      <w:pPr>
        <w:widowControl/>
        <w:spacing w:after="240"/>
        <w:rPr>
          <w:rFonts w:eastAsiaTheme="minorHAnsi"/>
          <w:b/>
          <w:szCs w:val="22"/>
          <w:lang w:eastAsia="en-US"/>
        </w:rPr>
      </w:pPr>
      <w:r w:rsidRPr="0051083F">
        <w:rPr>
          <w:b/>
          <w:szCs w:val="24"/>
        </w:rPr>
        <w:t xml:space="preserve">Position du Parlement européen arrêtée en première lecture le </w:t>
      </w:r>
      <w:r w:rsidRPr="0088052F">
        <w:rPr>
          <w:b/>
          <w:szCs w:val="24"/>
        </w:rPr>
        <w:t>27</w:t>
      </w:r>
      <w:r>
        <w:rPr>
          <w:b/>
          <w:szCs w:val="24"/>
        </w:rPr>
        <w:t xml:space="preserve"> février</w:t>
      </w:r>
      <w:r w:rsidRPr="0051083F">
        <w:rPr>
          <w:b/>
          <w:szCs w:val="24"/>
        </w:rPr>
        <w:t xml:space="preserve"> </w:t>
      </w:r>
      <w:r w:rsidRPr="0088052F">
        <w:rPr>
          <w:b/>
          <w:szCs w:val="24"/>
        </w:rPr>
        <w:t>2024</w:t>
      </w:r>
      <w:r w:rsidRPr="0051083F">
        <w:rPr>
          <w:b/>
          <w:szCs w:val="24"/>
        </w:rPr>
        <w:t xml:space="preserve"> en vue de l’adoption de la </w:t>
      </w:r>
      <w:r w:rsidR="00D15B3A" w:rsidRPr="00D15B3A">
        <w:rPr>
          <w:b/>
          <w:szCs w:val="24"/>
        </w:rPr>
        <w:t>décision</w:t>
      </w:r>
      <w:r w:rsidRPr="0051083F">
        <w:rPr>
          <w:b/>
          <w:szCs w:val="24"/>
        </w:rPr>
        <w:t xml:space="preserve"> </w:t>
      </w:r>
      <w:r w:rsidRPr="0088052F">
        <w:rPr>
          <w:b/>
          <w:szCs w:val="24"/>
        </w:rPr>
        <w:t>2024</w:t>
      </w:r>
      <w:r w:rsidRPr="0051083F">
        <w:rPr>
          <w:b/>
          <w:szCs w:val="24"/>
        </w:rPr>
        <w:t>/.../UE du Parl</w:t>
      </w:r>
      <w:r>
        <w:rPr>
          <w:b/>
          <w:szCs w:val="24"/>
        </w:rPr>
        <w:t xml:space="preserve">ement européen et du Conseil </w:t>
      </w:r>
      <w:r w:rsidRPr="0051083F">
        <w:rPr>
          <w:rFonts w:eastAsiaTheme="minorHAnsi"/>
          <w:b/>
          <w:szCs w:val="22"/>
          <w:lang w:eastAsia="en-US"/>
        </w:rPr>
        <w:t>modifiant la décision (UE) </w:t>
      </w:r>
      <w:r w:rsidRPr="0088052F">
        <w:rPr>
          <w:rFonts w:eastAsiaTheme="minorHAnsi"/>
          <w:b/>
          <w:szCs w:val="22"/>
          <w:lang w:eastAsia="en-US"/>
        </w:rPr>
        <w:t>2017</w:t>
      </w:r>
      <w:r w:rsidRPr="0051083F">
        <w:rPr>
          <w:rFonts w:eastAsiaTheme="minorHAnsi"/>
          <w:b/>
          <w:szCs w:val="22"/>
          <w:lang w:eastAsia="en-US"/>
        </w:rPr>
        <w:t>/</w:t>
      </w:r>
      <w:r w:rsidRPr="0088052F">
        <w:rPr>
          <w:rFonts w:eastAsiaTheme="minorHAnsi"/>
          <w:b/>
          <w:szCs w:val="22"/>
          <w:lang w:eastAsia="en-US"/>
        </w:rPr>
        <w:t>1324</w:t>
      </w:r>
      <w:r w:rsidRPr="0051083F">
        <w:rPr>
          <w:rFonts w:eastAsiaTheme="minorHAnsi"/>
          <w:b/>
          <w:szCs w:val="22"/>
          <w:lang w:eastAsia="en-US"/>
        </w:rPr>
        <w:t xml:space="preserve"> en ce qui concerne la poursuite de la participation de l’Union au partenariat en matière de recherche et d’innovation dans la zone méditerranéenne (PRIMA) au titre d’Horizon Europe</w:t>
      </w:r>
    </w:p>
    <w:p w:rsidR="00C77E2C" w:rsidRPr="0051083F" w:rsidRDefault="00C77E2C" w:rsidP="00C77E2C">
      <w:pPr>
        <w:pStyle w:val="Datedadoption"/>
        <w:spacing w:after="240" w:line="240" w:lineRule="auto"/>
        <w:jc w:val="left"/>
        <w:rPr>
          <w:b w:val="0"/>
          <w:szCs w:val="24"/>
        </w:rPr>
      </w:pPr>
      <w:r w:rsidRPr="00EB53D5">
        <w:rPr>
          <w:b w:val="0"/>
          <w:i/>
        </w:rPr>
        <w:t xml:space="preserve">(Étant donné l'accord intervenu entre le Parlement et le Conseil, la position du Parlement correspond à l'acte législatif final, la </w:t>
      </w:r>
      <w:r>
        <w:rPr>
          <w:b w:val="0"/>
          <w:i/>
        </w:rPr>
        <w:t>décision (</w:t>
      </w:r>
      <w:r w:rsidRPr="00EB53D5">
        <w:rPr>
          <w:b w:val="0"/>
          <w:i/>
        </w:rPr>
        <w:t>UE</w:t>
      </w:r>
      <w:r>
        <w:rPr>
          <w:b w:val="0"/>
          <w:i/>
        </w:rPr>
        <w:t>) 2024/</w:t>
      </w:r>
      <w:r>
        <w:rPr>
          <w:b w:val="0"/>
          <w:i/>
        </w:rPr>
        <w:t>1167</w:t>
      </w:r>
      <w:bookmarkStart w:id="6" w:name="_GoBack"/>
      <w:bookmarkEnd w:id="6"/>
      <w:r w:rsidRPr="00EB53D5">
        <w:rPr>
          <w:b w:val="0"/>
          <w:i/>
        </w:rPr>
        <w:t>.)</w:t>
      </w:r>
    </w:p>
    <w:sectPr w:rsidR="00C77E2C" w:rsidRPr="0051083F" w:rsidSect="00A85F78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5B3A" w:rsidRPr="00A85F78" w:rsidRDefault="00D15B3A">
      <w:r w:rsidRPr="00A85F78">
        <w:separator/>
      </w:r>
    </w:p>
  </w:endnote>
  <w:endnote w:type="continuationSeparator" w:id="0">
    <w:p w:rsidR="00D15B3A" w:rsidRPr="00A85F78" w:rsidRDefault="00D15B3A">
      <w:r w:rsidRPr="00A85F7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5B3A" w:rsidRPr="00A85F78" w:rsidRDefault="00D15B3A">
      <w:r w:rsidRPr="00A85F78">
        <w:separator/>
      </w:r>
    </w:p>
  </w:footnote>
  <w:footnote w:type="continuationSeparator" w:id="0">
    <w:p w:rsidR="00D15B3A" w:rsidRPr="00A85F78" w:rsidRDefault="00D15B3A">
      <w:r w:rsidRPr="00A85F78">
        <w:continuationSeparator/>
      </w:r>
    </w:p>
  </w:footnote>
  <w:footnote w:id="1">
    <w:p w:rsidR="00D15B3A" w:rsidRPr="00F37BA8" w:rsidRDefault="00D15B3A" w:rsidP="00F37BA8">
      <w:pPr>
        <w:pStyle w:val="FootnoteText"/>
        <w:ind w:left="567" w:hanging="567"/>
        <w:rPr>
          <w:lang w:val="fi-FI"/>
        </w:rPr>
      </w:pPr>
      <w:r>
        <w:rPr>
          <w:rStyle w:val="FootnoteReference"/>
        </w:rPr>
        <w:footnoteRef/>
      </w:r>
      <w:r w:rsidRPr="00F37BA8">
        <w:rPr>
          <w:lang w:val="fi-FI"/>
        </w:rPr>
        <w:t xml:space="preserve"> </w:t>
      </w:r>
      <w:r w:rsidRPr="00F37BA8">
        <w:rPr>
          <w:lang w:val="fi-FI"/>
        </w:rPr>
        <w:tab/>
      </w:r>
      <w:r w:rsidRPr="00F37BA8">
        <w:rPr>
          <w:sz w:val="24"/>
          <w:szCs w:val="24"/>
          <w:lang w:val="fi-FI"/>
        </w:rPr>
        <w:t>JO C, C/</w:t>
      </w:r>
      <w:r w:rsidRPr="0088052F">
        <w:rPr>
          <w:sz w:val="24"/>
          <w:szCs w:val="24"/>
          <w:lang w:val="fi-FI"/>
        </w:rPr>
        <w:t>2023</w:t>
      </w:r>
      <w:r w:rsidRPr="00F37BA8">
        <w:rPr>
          <w:sz w:val="24"/>
          <w:szCs w:val="24"/>
          <w:lang w:val="fi-FI"/>
        </w:rPr>
        <w:t>/</w:t>
      </w:r>
      <w:r w:rsidRPr="0088052F">
        <w:rPr>
          <w:sz w:val="24"/>
          <w:szCs w:val="24"/>
          <w:lang w:val="fi-FI"/>
        </w:rPr>
        <w:t>863</w:t>
      </w:r>
      <w:r w:rsidRPr="00F37BA8">
        <w:rPr>
          <w:sz w:val="24"/>
          <w:szCs w:val="24"/>
          <w:lang w:val="fi-FI"/>
        </w:rPr>
        <w:t xml:space="preserve">, </w:t>
      </w:r>
      <w:r w:rsidRPr="0088052F">
        <w:rPr>
          <w:sz w:val="24"/>
          <w:szCs w:val="24"/>
          <w:lang w:val="fi-FI"/>
        </w:rPr>
        <w:t>8</w:t>
      </w:r>
      <w:r w:rsidRPr="00F37BA8">
        <w:rPr>
          <w:sz w:val="24"/>
          <w:szCs w:val="24"/>
          <w:lang w:val="fi-FI"/>
        </w:rPr>
        <w:t>.</w:t>
      </w:r>
      <w:r w:rsidRPr="0088052F">
        <w:rPr>
          <w:sz w:val="24"/>
          <w:szCs w:val="24"/>
          <w:lang w:val="fi-FI"/>
        </w:rPr>
        <w:t>12</w:t>
      </w:r>
      <w:r w:rsidRPr="00F37BA8">
        <w:rPr>
          <w:sz w:val="24"/>
          <w:szCs w:val="24"/>
          <w:lang w:val="fi-FI"/>
        </w:rPr>
        <w:t>.</w:t>
      </w:r>
      <w:r w:rsidRPr="0088052F">
        <w:rPr>
          <w:sz w:val="24"/>
          <w:szCs w:val="24"/>
          <w:lang w:val="fi-FI"/>
        </w:rPr>
        <w:t>2023</w:t>
      </w:r>
      <w:r w:rsidRPr="00F37BA8">
        <w:rPr>
          <w:sz w:val="24"/>
          <w:szCs w:val="24"/>
          <w:lang w:val="fi-FI"/>
        </w:rPr>
        <w:t>,</w:t>
      </w:r>
      <w:r>
        <w:rPr>
          <w:sz w:val="24"/>
          <w:szCs w:val="24"/>
          <w:lang w:val="fi-FI"/>
        </w:rPr>
        <w:t xml:space="preserve"> </w:t>
      </w:r>
      <w:r w:rsidRPr="00F37BA8">
        <w:rPr>
          <w:sz w:val="24"/>
          <w:szCs w:val="24"/>
          <w:lang w:val="fi-FI"/>
        </w:rPr>
        <w:t xml:space="preserve">ELI: </w:t>
      </w:r>
      <w:hyperlink r:id="rId1" w:tooltip="Gives access to this document through its ELI URI." w:history="1">
        <w:r w:rsidRPr="00F37BA8">
          <w:rPr>
            <w:rFonts w:ascii="Roboto" w:hAnsi="Roboto"/>
            <w:color w:val="23527C"/>
            <w:sz w:val="24"/>
            <w:szCs w:val="24"/>
            <w:u w:val="single"/>
            <w:shd w:val="clear" w:color="auto" w:fill="FFFFFF"/>
            <w:lang w:val="fi-FI" w:eastAsia="en-GB"/>
          </w:rPr>
          <w:t>http://data.europa.eu/eli/C/</w:t>
        </w:r>
        <w:r w:rsidRPr="0088052F">
          <w:rPr>
            <w:rFonts w:ascii="Roboto" w:hAnsi="Roboto"/>
            <w:color w:val="23527C"/>
            <w:sz w:val="24"/>
            <w:szCs w:val="24"/>
            <w:u w:val="single"/>
            <w:shd w:val="clear" w:color="auto" w:fill="FFFFFF"/>
            <w:lang w:val="fi-FI" w:eastAsia="en-GB"/>
          </w:rPr>
          <w:t>2023</w:t>
        </w:r>
        <w:r w:rsidRPr="00F37BA8">
          <w:rPr>
            <w:rFonts w:ascii="Roboto" w:hAnsi="Roboto"/>
            <w:color w:val="23527C"/>
            <w:sz w:val="24"/>
            <w:szCs w:val="24"/>
            <w:u w:val="single"/>
            <w:shd w:val="clear" w:color="auto" w:fill="FFFFFF"/>
            <w:lang w:val="fi-FI" w:eastAsia="en-GB"/>
          </w:rPr>
          <w:t>/</w:t>
        </w:r>
        <w:r w:rsidRPr="0088052F">
          <w:rPr>
            <w:rFonts w:ascii="Roboto" w:hAnsi="Roboto"/>
            <w:color w:val="23527C"/>
            <w:sz w:val="24"/>
            <w:szCs w:val="24"/>
            <w:u w:val="single"/>
            <w:shd w:val="clear" w:color="auto" w:fill="FFFFFF"/>
            <w:lang w:val="fi-FI" w:eastAsia="en-GB"/>
          </w:rPr>
          <w:t>863</w:t>
        </w:r>
        <w:r w:rsidRPr="00F37BA8">
          <w:rPr>
            <w:rFonts w:ascii="Roboto" w:hAnsi="Roboto"/>
            <w:color w:val="23527C"/>
            <w:sz w:val="24"/>
            <w:szCs w:val="24"/>
            <w:u w:val="single"/>
            <w:shd w:val="clear" w:color="auto" w:fill="FFFFFF"/>
            <w:lang w:val="fi-FI" w:eastAsia="en-GB"/>
          </w:rPr>
          <w:t>/oj</w:t>
        </w:r>
      </w:hyperlink>
      <w:r>
        <w:rPr>
          <w:rFonts w:ascii="Roboto" w:hAnsi="Roboto"/>
          <w:color w:val="23527C"/>
          <w:sz w:val="24"/>
          <w:szCs w:val="24"/>
          <w:u w:val="single"/>
          <w:shd w:val="clear" w:color="auto" w:fill="FFFFFF"/>
          <w:lang w:val="fi-FI" w:eastAsia="en-GB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78/2023"/>
    <w:docVar w:name="dvlangue" w:val="FR"/>
    <w:docVar w:name="dvnumam" w:val="0"/>
    <w:docVar w:name="dvpe" w:val="752.796"/>
    <w:docVar w:name="dvrapporteur" w:val="Rapporteur: "/>
    <w:docVar w:name="dvstar" w:val="***I"/>
    <w:docVar w:name="dvtitre" w:val="Résolution législative du Parlement européen du ... 2024 sur la proposition de décision du Parlement européen et du Conseil modifiant la décision (UE) 2017/1324 en ce qui concerne la poursuite de la participation de l’Union au partenariat en matière de recherche et d’innovation dans la zone méditerranéenne (PRIMA) au titre d’Horizon Europe(COM(2023)0359 – C9-0213/2023 – 2023/0207(COD))"/>
  </w:docVars>
  <w:rsids>
    <w:rsidRoot w:val="001837AB"/>
    <w:rsid w:val="00002272"/>
    <w:rsid w:val="0003699C"/>
    <w:rsid w:val="00064002"/>
    <w:rsid w:val="000677B9"/>
    <w:rsid w:val="000831BA"/>
    <w:rsid w:val="000A42CC"/>
    <w:rsid w:val="000E7DD9"/>
    <w:rsid w:val="0010095E"/>
    <w:rsid w:val="00125B37"/>
    <w:rsid w:val="001837AB"/>
    <w:rsid w:val="00186276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3702C"/>
    <w:rsid w:val="0044682A"/>
    <w:rsid w:val="00471C19"/>
    <w:rsid w:val="004867E3"/>
    <w:rsid w:val="00494A28"/>
    <w:rsid w:val="004C0004"/>
    <w:rsid w:val="004C5D52"/>
    <w:rsid w:val="0050519A"/>
    <w:rsid w:val="005072A1"/>
    <w:rsid w:val="0051083F"/>
    <w:rsid w:val="00514517"/>
    <w:rsid w:val="00545827"/>
    <w:rsid w:val="00560270"/>
    <w:rsid w:val="005C2568"/>
    <w:rsid w:val="006037C0"/>
    <w:rsid w:val="006631B6"/>
    <w:rsid w:val="00680577"/>
    <w:rsid w:val="006F74FA"/>
    <w:rsid w:val="0071405F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0F26"/>
    <w:rsid w:val="00817416"/>
    <w:rsid w:val="00842779"/>
    <w:rsid w:val="00865F67"/>
    <w:rsid w:val="0088052F"/>
    <w:rsid w:val="00881A7B"/>
    <w:rsid w:val="008840E5"/>
    <w:rsid w:val="00887B3E"/>
    <w:rsid w:val="008C2AC6"/>
    <w:rsid w:val="009233E1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85F78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77E2C"/>
    <w:rsid w:val="00C941CB"/>
    <w:rsid w:val="00CC2357"/>
    <w:rsid w:val="00CE473A"/>
    <w:rsid w:val="00CF071A"/>
    <w:rsid w:val="00D058B8"/>
    <w:rsid w:val="00D15B3A"/>
    <w:rsid w:val="00D56C11"/>
    <w:rsid w:val="00D828D9"/>
    <w:rsid w:val="00D834A0"/>
    <w:rsid w:val="00D872DF"/>
    <w:rsid w:val="00D91E21"/>
    <w:rsid w:val="00DA7FCD"/>
    <w:rsid w:val="00DF2E6A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7BA8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D7F55B"/>
  <w15:chartTrackingRefBased/>
  <w15:docId w15:val="{8A9FC3A6-9DA7-4A1E-8B07-1B99CBCEE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03699C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03699C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03699C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03699C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03699C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03699C"/>
    <w:rPr>
      <w:i/>
      <w:sz w:val="22"/>
      <w:lang w:val="fr-FR"/>
    </w:rPr>
  </w:style>
  <w:style w:type="character" w:customStyle="1" w:styleId="Heading7Char">
    <w:name w:val="Heading 7 Char"/>
    <w:basedOn w:val="DefaultParagraphFont"/>
    <w:link w:val="Heading7"/>
    <w:semiHidden/>
    <w:rsid w:val="0003699C"/>
    <w:rPr>
      <w:rFonts w:ascii="Arial" w:hAnsi="Arial"/>
      <w:sz w:val="24"/>
      <w:lang w:val="fr-FR"/>
    </w:rPr>
  </w:style>
  <w:style w:type="character" w:customStyle="1" w:styleId="Heading8Char">
    <w:name w:val="Heading 8 Char"/>
    <w:basedOn w:val="DefaultParagraphFont"/>
    <w:link w:val="Heading8"/>
    <w:semiHidden/>
    <w:rsid w:val="0003699C"/>
    <w:rPr>
      <w:rFonts w:ascii="Arial" w:hAnsi="Arial"/>
      <w:i/>
      <w:sz w:val="24"/>
      <w:lang w:val="fr-FR"/>
    </w:rPr>
  </w:style>
  <w:style w:type="character" w:customStyle="1" w:styleId="Heading9Char">
    <w:name w:val="Heading 9 Char"/>
    <w:basedOn w:val="DefaultParagraphFont"/>
    <w:link w:val="Heading9"/>
    <w:semiHidden/>
    <w:rsid w:val="0003699C"/>
    <w:rPr>
      <w:rFonts w:ascii="Arial" w:hAnsi="Arial"/>
      <w:b/>
      <w:i/>
      <w:sz w:val="18"/>
      <w:lang w:val="fr-FR"/>
    </w:rPr>
  </w:style>
  <w:style w:type="paragraph" w:styleId="TOCHeading">
    <w:name w:val="TOC Heading"/>
    <w:basedOn w:val="Normal"/>
    <w:next w:val="Normal"/>
    <w:unhideWhenUsed/>
    <w:qFormat/>
    <w:rsid w:val="0003699C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03699C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03699C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03699C"/>
    <w:pPr>
      <w:spacing w:after="120"/>
    </w:pPr>
  </w:style>
  <w:style w:type="paragraph" w:customStyle="1" w:styleId="PageHeading">
    <w:name w:val="PageHeading"/>
    <w:basedOn w:val="Normal"/>
    <w:rsid w:val="0003699C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03699C"/>
    <w:rPr>
      <w:b/>
    </w:rPr>
  </w:style>
  <w:style w:type="paragraph" w:customStyle="1" w:styleId="NormalBold12a">
    <w:name w:val="NormalBold12a"/>
    <w:basedOn w:val="Normal"/>
    <w:rsid w:val="0003699C"/>
    <w:pPr>
      <w:spacing w:after="240"/>
    </w:pPr>
    <w:rPr>
      <w:b/>
    </w:rPr>
  </w:style>
  <w:style w:type="paragraph" w:customStyle="1" w:styleId="AmJustText">
    <w:name w:val="AmJustText"/>
    <w:basedOn w:val="Normal"/>
    <w:rsid w:val="0003699C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03699C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03699C"/>
    <w:pPr>
      <w:spacing w:after="480"/>
      <w:ind w:left="1417"/>
    </w:pPr>
  </w:style>
  <w:style w:type="paragraph" w:customStyle="1" w:styleId="CoverNormal">
    <w:name w:val="CoverNormal"/>
    <w:basedOn w:val="Normal"/>
    <w:rsid w:val="0003699C"/>
    <w:pPr>
      <w:ind w:left="1418"/>
    </w:pPr>
  </w:style>
  <w:style w:type="paragraph" w:customStyle="1" w:styleId="AmCrossRef">
    <w:name w:val="AmCrossRef"/>
    <w:basedOn w:val="Normal"/>
    <w:rsid w:val="0003699C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03699C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03699C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03699C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03699C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03699C"/>
    <w:pPr>
      <w:spacing w:before="240" w:after="1200"/>
    </w:pPr>
  </w:style>
  <w:style w:type="paragraph" w:styleId="Header">
    <w:name w:val="header"/>
    <w:basedOn w:val="Normal"/>
    <w:link w:val="HeaderChar"/>
    <w:rsid w:val="0003699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3699C"/>
    <w:rPr>
      <w:sz w:val="24"/>
      <w:lang w:val="fr-FR"/>
    </w:rPr>
  </w:style>
  <w:style w:type="paragraph" w:customStyle="1" w:styleId="AmOrLang">
    <w:name w:val="AmOrLang"/>
    <w:basedOn w:val="Normal"/>
    <w:rsid w:val="0003699C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03699C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03699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03699C"/>
    <w:pPr>
      <w:spacing w:before="240"/>
    </w:pPr>
    <w:rPr>
      <w:b/>
    </w:rPr>
  </w:style>
  <w:style w:type="paragraph" w:customStyle="1" w:styleId="EPBody">
    <w:name w:val="EPBody"/>
    <w:basedOn w:val="Normal"/>
    <w:rsid w:val="0003699C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03699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03699C"/>
    <w:pPr>
      <w:spacing w:before="480" w:after="240"/>
    </w:pPr>
  </w:style>
  <w:style w:type="paragraph" w:customStyle="1" w:styleId="Lgendesigne">
    <w:name w:val="Légende signe"/>
    <w:basedOn w:val="Normal"/>
    <w:rsid w:val="0003699C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03699C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03699C"/>
    <w:rPr>
      <w:sz w:val="18"/>
    </w:rPr>
  </w:style>
  <w:style w:type="paragraph" w:customStyle="1" w:styleId="Normal24a">
    <w:name w:val="Normal24a"/>
    <w:basedOn w:val="Normal"/>
    <w:rsid w:val="0003699C"/>
    <w:pPr>
      <w:spacing w:after="480"/>
    </w:pPr>
  </w:style>
  <w:style w:type="paragraph" w:styleId="Footer">
    <w:name w:val="footer"/>
    <w:basedOn w:val="Normal"/>
    <w:link w:val="FooterChar"/>
    <w:rsid w:val="0003699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03699C"/>
    <w:rPr>
      <w:sz w:val="24"/>
      <w:lang w:val="fr-FR"/>
    </w:rPr>
  </w:style>
  <w:style w:type="paragraph" w:styleId="BalloonText">
    <w:name w:val="Balloon Text"/>
    <w:basedOn w:val="Normal"/>
    <w:link w:val="BalloonTextChar"/>
    <w:unhideWhenUsed/>
    <w:rsid w:val="0003699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3699C"/>
    <w:rPr>
      <w:rFonts w:ascii="Segoe UI" w:hAnsi="Segoe UI" w:cs="Segoe UI"/>
      <w:sz w:val="18"/>
      <w:szCs w:val="18"/>
      <w:lang w:val="fr-FR"/>
    </w:rPr>
  </w:style>
  <w:style w:type="character" w:styleId="CommentReference">
    <w:name w:val="annotation reference"/>
    <w:basedOn w:val="DefaultParagraphFont"/>
    <w:rsid w:val="0003699C"/>
    <w:rPr>
      <w:sz w:val="16"/>
      <w:szCs w:val="16"/>
    </w:rPr>
  </w:style>
  <w:style w:type="paragraph" w:styleId="CommentText">
    <w:name w:val="annotation text"/>
    <w:basedOn w:val="Normal"/>
    <w:link w:val="CommentTextChar"/>
    <w:rsid w:val="0003699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3699C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03699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3699C"/>
    <w:rPr>
      <w:b/>
      <w:bCs/>
      <w:lang w:val="fr-FR"/>
    </w:rPr>
  </w:style>
  <w:style w:type="paragraph" w:customStyle="1" w:styleId="NormalCenter12a">
    <w:name w:val="NormalCenter12a"/>
    <w:basedOn w:val="Normal"/>
    <w:rsid w:val="0003699C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rsid w:val="0003699C"/>
    <w:pPr>
      <w:spacing w:before="720" w:after="240"/>
      <w:jc w:val="center"/>
    </w:pPr>
  </w:style>
  <w:style w:type="paragraph" w:styleId="ListParagraph">
    <w:name w:val="List Paragraph"/>
    <w:basedOn w:val="Normal"/>
    <w:uiPriority w:val="34"/>
    <w:qFormat/>
    <w:rsid w:val="0003699C"/>
    <w:pPr>
      <w:widowControl/>
      <w:spacing w:before="120" w:after="120"/>
      <w:ind w:left="720"/>
      <w:contextualSpacing/>
      <w:jc w:val="both"/>
    </w:pPr>
    <w:rPr>
      <w:rFonts w:eastAsiaTheme="minorHAnsi"/>
      <w:szCs w:val="22"/>
      <w:lang w:eastAsia="en-US"/>
    </w:rPr>
  </w:style>
  <w:style w:type="character" w:customStyle="1" w:styleId="normaltextrun">
    <w:name w:val="normaltextrun"/>
    <w:basedOn w:val="DefaultParagraphFont"/>
    <w:rsid w:val="0003699C"/>
  </w:style>
  <w:style w:type="character" w:customStyle="1" w:styleId="eop">
    <w:name w:val="eop"/>
    <w:basedOn w:val="DefaultParagraphFont"/>
    <w:rsid w:val="0003699C"/>
  </w:style>
  <w:style w:type="paragraph" w:customStyle="1" w:styleId="paragraph">
    <w:name w:val="paragraph"/>
    <w:basedOn w:val="Normal"/>
    <w:rsid w:val="0003699C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Fait">
    <w:name w:val="Fait à"/>
    <w:basedOn w:val="Normal"/>
    <w:next w:val="Institutionquisigne"/>
    <w:rsid w:val="0003699C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03699C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03699C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03699C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03699C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03699C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03699C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03699C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03699C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Titreobjet">
    <w:name w:val="Titre objet"/>
    <w:basedOn w:val="Normal"/>
    <w:next w:val="Normal"/>
    <w:rsid w:val="0003699C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03699C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Normal12a">
    <w:name w:val="Normal12a"/>
    <w:basedOn w:val="Normal"/>
    <w:rsid w:val="0003699C"/>
    <w:pPr>
      <w:spacing w:after="240"/>
    </w:pPr>
  </w:style>
  <w:style w:type="paragraph" w:customStyle="1" w:styleId="RollCallVotes">
    <w:name w:val="RollCallVotes"/>
    <w:basedOn w:val="Normal"/>
    <w:rsid w:val="0003699C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03699C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03699C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03699C"/>
    <w:pPr>
      <w:spacing w:before="120" w:after="120"/>
    </w:pPr>
    <w:rPr>
      <w:snapToGrid w:val="0"/>
      <w:sz w:val="16"/>
      <w:lang w:eastAsia="en-US"/>
    </w:rPr>
  </w:style>
  <w:style w:type="character" w:customStyle="1" w:styleId="diff-tte-added">
    <w:name w:val="diff-tte-added"/>
    <w:basedOn w:val="DefaultParagraphFont"/>
    <w:rsid w:val="0051083F"/>
    <w:rPr>
      <w:b/>
      <w:i/>
    </w:rPr>
  </w:style>
  <w:style w:type="paragraph" w:customStyle="1" w:styleId="Datedadoption">
    <w:name w:val="Date d'adoption"/>
    <w:basedOn w:val="Normal"/>
    <w:next w:val="Normal"/>
    <w:rsid w:val="00C77E2C"/>
    <w:pPr>
      <w:widowControl/>
      <w:spacing w:before="360" w:line="360" w:lineRule="auto"/>
      <w:jc w:val="center"/>
    </w:pPr>
    <w:rPr>
      <w:b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3/86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1F4670-3E24-45E3-9606-A39469A64F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387</Words>
  <Characters>2411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CHABOTEAU Viviane</dc:creator>
  <cp:keywords/>
  <cp:lastModifiedBy>DELECROIX Dorothee</cp:lastModifiedBy>
  <cp:revision>2</cp:revision>
  <cp:lastPrinted>2004-11-19T15:42:00Z</cp:lastPrinted>
  <dcterms:created xsi:type="dcterms:W3CDTF">2024-06-10T13:45:00Z</dcterms:created>
  <dcterms:modified xsi:type="dcterms:W3CDTF">2024-06-10T13:45:00Z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P9_TA(2024)0092_</vt:lpwstr>
  </property>
  <property fmtid="{D5CDD505-2E9C-101B-9397-08002B2CF9AE}" pid="4" name="&lt;Type&gt;">
    <vt:lpwstr>RR</vt:lpwstr>
  </property>
</Properties>
</file>