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239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2239F" w:rsidRDefault="002E2205" w:rsidP="0010095E">
            <w:pPr>
              <w:pStyle w:val="EPName"/>
            </w:pPr>
            <w:r w:rsidRPr="0082239F">
              <w:t>Európsky parlament</w:t>
            </w:r>
          </w:p>
          <w:p w:rsidR="00751A4A" w:rsidRPr="0082239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239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2239F" w:rsidRDefault="00187494" w:rsidP="0010095E">
            <w:pPr>
              <w:pStyle w:val="EPLogo"/>
            </w:pPr>
            <w:r w:rsidRPr="0082239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2239F" w:rsidRDefault="00D058B8" w:rsidP="004C5D52">
      <w:pPr>
        <w:pStyle w:val="LineTop"/>
      </w:pPr>
    </w:p>
    <w:p w:rsidR="00680577" w:rsidRPr="0082239F" w:rsidRDefault="002E2205" w:rsidP="00680577">
      <w:pPr>
        <w:pStyle w:val="EPBodyTA1"/>
      </w:pPr>
      <w:r w:rsidRPr="0082239F">
        <w:t>PRIJATÉ TEXTY</w:t>
      </w:r>
    </w:p>
    <w:p w:rsidR="00D058B8" w:rsidRPr="0082239F" w:rsidRDefault="00D058B8" w:rsidP="00D058B8">
      <w:pPr>
        <w:pStyle w:val="LineBottom"/>
      </w:pPr>
    </w:p>
    <w:p w:rsidR="002E2205" w:rsidRPr="0082239F" w:rsidRDefault="002E2205" w:rsidP="002E2205">
      <w:pPr>
        <w:pStyle w:val="ATHeading1"/>
      </w:pPr>
      <w:bookmarkStart w:id="0" w:name="TANumber"/>
      <w:r w:rsidRPr="0082239F">
        <w:t>P9_TA(2024)00</w:t>
      </w:r>
      <w:r w:rsidR="0082239F" w:rsidRPr="0082239F">
        <w:t>92</w:t>
      </w:r>
      <w:bookmarkEnd w:id="0"/>
    </w:p>
    <w:p w:rsidR="002E2205" w:rsidRPr="0082239F" w:rsidRDefault="00805DF7" w:rsidP="00805DF7">
      <w:pPr>
        <w:pStyle w:val="ATHeading2"/>
      </w:pPr>
      <w:bookmarkStart w:id="1" w:name="title"/>
      <w:r w:rsidRPr="0082239F">
        <w:t>Zmena rozhodnutia (EÚ) 2017/1324, pokiaľ ide o pokračovanie účasti Únie na Partnerstve pre výskum a inováciu v oblasti Stredozemia (PRIMA) v rámci programu Horizont Európa</w:t>
      </w:r>
      <w:bookmarkEnd w:id="1"/>
    </w:p>
    <w:p w:rsidR="002E2205" w:rsidRPr="0082239F" w:rsidRDefault="002E2205" w:rsidP="002E2205">
      <w:pPr>
        <w:rPr>
          <w:i/>
          <w:vanish/>
        </w:rPr>
      </w:pPr>
      <w:r w:rsidRPr="0082239F">
        <w:rPr>
          <w:i/>
        </w:rPr>
        <w:fldChar w:fldCharType="begin"/>
      </w:r>
      <w:r w:rsidRPr="0082239F">
        <w:rPr>
          <w:i/>
        </w:rPr>
        <w:instrText xml:space="preserve"> TC"(</w:instrText>
      </w:r>
      <w:bookmarkStart w:id="2" w:name="DocNumber"/>
      <w:r w:rsidRPr="0082239F">
        <w:rPr>
          <w:i/>
        </w:rPr>
        <w:instrText>A9-0378/2023</w:instrText>
      </w:r>
      <w:bookmarkEnd w:id="2"/>
      <w:r w:rsidRPr="0082239F">
        <w:rPr>
          <w:i/>
        </w:rPr>
        <w:instrText xml:space="preserve"> - Spravodajca: Paolo Borchia)"\l3 \n&gt; \* MERGEFORMAT </w:instrText>
      </w:r>
      <w:r w:rsidRPr="0082239F">
        <w:rPr>
          <w:i/>
        </w:rPr>
        <w:fldChar w:fldCharType="end"/>
      </w:r>
    </w:p>
    <w:p w:rsidR="002E2205" w:rsidRPr="0082239F" w:rsidRDefault="002E2205" w:rsidP="002E2205">
      <w:pPr>
        <w:rPr>
          <w:vanish/>
        </w:rPr>
      </w:pPr>
      <w:bookmarkStart w:id="3" w:name="Commission"/>
      <w:r w:rsidRPr="0082239F">
        <w:rPr>
          <w:vanish/>
        </w:rPr>
        <w:t>Výbor pre priemysel, výskum a energetiku</w:t>
      </w:r>
      <w:bookmarkEnd w:id="3"/>
    </w:p>
    <w:p w:rsidR="002E2205" w:rsidRPr="0082239F" w:rsidRDefault="002E2205" w:rsidP="002E2205">
      <w:pPr>
        <w:rPr>
          <w:vanish/>
        </w:rPr>
      </w:pPr>
      <w:bookmarkStart w:id="4" w:name="PE"/>
      <w:r w:rsidRPr="0082239F">
        <w:rPr>
          <w:vanish/>
        </w:rPr>
        <w:t>PE752.796</w:t>
      </w:r>
      <w:bookmarkEnd w:id="4"/>
    </w:p>
    <w:p w:rsidR="002E2205" w:rsidRPr="0082239F" w:rsidRDefault="002E2205" w:rsidP="002E2205">
      <w:pPr>
        <w:pStyle w:val="ATHeading3"/>
      </w:pPr>
      <w:bookmarkStart w:id="5" w:name="Sujet"/>
      <w:r w:rsidRPr="0082239F">
        <w:t>Legislatívne uznesenie Európskeho parlamentu z</w:t>
      </w:r>
      <w:r w:rsidR="00E200C3" w:rsidRPr="0082239F">
        <w:t> </w:t>
      </w:r>
      <w:r w:rsidR="00F97522" w:rsidRPr="0082239F">
        <w:t>27</w:t>
      </w:r>
      <w:r w:rsidRPr="0082239F">
        <w:t>. februára 2024 o návrhu rozhodnutia Európskeho parlamentu a Rady, ktorým sa mení rozhodnutie (EÚ) 2017/1324, pokiaľ ide o pokračovanie účasti Únie na Partnerstve pre výskum a inováciu v oblasti Stredozemia (PRIMA) v rámci programu Horizont Európa</w:t>
      </w:r>
      <w:bookmarkEnd w:id="5"/>
      <w:r w:rsidRPr="0082239F">
        <w:t xml:space="preserve"> </w:t>
      </w:r>
      <w:bookmarkStart w:id="6" w:name="References"/>
      <w:r w:rsidRPr="0082239F">
        <w:t>(COM(2023)0359 – C9-0213/2023 – 2023/0207(COD))</w:t>
      </w:r>
      <w:bookmarkEnd w:id="6"/>
    </w:p>
    <w:p w:rsidR="002E2205" w:rsidRPr="0082239F" w:rsidRDefault="002E2205" w:rsidP="002E2205"/>
    <w:p w:rsidR="001B312F" w:rsidRPr="0082239F" w:rsidRDefault="001B312F" w:rsidP="001B312F">
      <w:pPr>
        <w:pStyle w:val="NormalBold"/>
      </w:pPr>
      <w:bookmarkStart w:id="7" w:name="TextBodyBegin"/>
      <w:bookmarkEnd w:id="7"/>
      <w:r w:rsidRPr="0082239F">
        <w:t>(Riadny legislatívny postup: prvé čítanie)</w:t>
      </w:r>
    </w:p>
    <w:p w:rsidR="001B312F" w:rsidRPr="0082239F" w:rsidRDefault="001B312F" w:rsidP="001B312F">
      <w:pPr>
        <w:pStyle w:val="EPComma"/>
      </w:pPr>
      <w:r w:rsidRPr="0082239F">
        <w:rPr>
          <w:i/>
        </w:rPr>
        <w:t>Európsky parlament</w:t>
      </w:r>
      <w:r w:rsidRPr="0082239F">
        <w:t>,</w:t>
      </w:r>
    </w:p>
    <w:p w:rsidR="001B312F" w:rsidRPr="0082239F" w:rsidRDefault="001B312F" w:rsidP="001B312F">
      <w:pPr>
        <w:pStyle w:val="NormalHanging12a"/>
      </w:pPr>
      <w:r w:rsidRPr="0082239F">
        <w:t>–</w:t>
      </w:r>
      <w:r w:rsidRPr="0082239F">
        <w:tab/>
        <w:t>so zreteľom na návrh Komisie pre Európsky parlament a Radu (COM(2023)0359),</w:t>
      </w:r>
    </w:p>
    <w:p w:rsidR="001B312F" w:rsidRPr="0082239F" w:rsidRDefault="001B312F" w:rsidP="001B312F">
      <w:pPr>
        <w:pStyle w:val="NormalHanging12a"/>
      </w:pPr>
      <w:r w:rsidRPr="0082239F">
        <w:t>–</w:t>
      </w:r>
      <w:r w:rsidRPr="0082239F">
        <w:tab/>
        <w:t>so zrete</w:t>
      </w:r>
      <w:r w:rsidR="00A861F1">
        <w:t>ľom na článok 294 ods. 2 a článok</w:t>
      </w:r>
      <w:r w:rsidRPr="0082239F">
        <w:t xml:space="preserve"> 185 a</w:t>
      </w:r>
      <w:r w:rsidR="00A861F1">
        <w:t xml:space="preserve"> článok </w:t>
      </w:r>
      <w:r w:rsidRPr="0082239F">
        <w:t>188 ods. 2 Zmluvy o fungovaní Európskej únie, v súlade s ktorými Komisia predložila návrh Európskemu parlamentu (C9-0213/2023),</w:t>
      </w:r>
    </w:p>
    <w:p w:rsidR="001B312F" w:rsidRPr="0082239F" w:rsidRDefault="001B312F" w:rsidP="001B312F">
      <w:pPr>
        <w:pStyle w:val="NormalHanging12a"/>
      </w:pPr>
      <w:r w:rsidRPr="0082239F">
        <w:t>–</w:t>
      </w:r>
      <w:r w:rsidRPr="0082239F">
        <w:tab/>
        <w:t>so zreteľom na článok 294 ods. 3 Zmluvy o fungovaní Európskej únie,</w:t>
      </w:r>
    </w:p>
    <w:p w:rsidR="001B312F" w:rsidRPr="0082239F" w:rsidRDefault="001B312F" w:rsidP="001B312F">
      <w:pPr>
        <w:pStyle w:val="NormalHanging12a"/>
      </w:pPr>
      <w:r w:rsidRPr="0082239F">
        <w:t>–</w:t>
      </w:r>
      <w:r w:rsidRPr="0082239F">
        <w:tab/>
        <w:t>so zreteľom na stanovisko Európskeho hospodárskeho a sociálneho výboru z 20. septembra 2023</w:t>
      </w:r>
      <w:r w:rsidR="00F97522" w:rsidRPr="0082239F">
        <w:rPr>
          <w:rStyle w:val="FootnoteReference"/>
        </w:rPr>
        <w:footnoteReference w:id="1"/>
      </w:r>
      <w:r w:rsidRPr="0082239F">
        <w:t>,</w:t>
      </w:r>
    </w:p>
    <w:p w:rsidR="00E200C3" w:rsidRPr="0082239F" w:rsidRDefault="00E200C3" w:rsidP="001B312F">
      <w:pPr>
        <w:pStyle w:val="NormalHanging12a"/>
      </w:pPr>
      <w:r w:rsidRPr="0082239F">
        <w:t>–</w:t>
      </w:r>
      <w:r w:rsidRPr="0082239F">
        <w:tab/>
        <w:t>so zreteľom na predbežnú dohodu schválenú gestorským výborom podľa článku 74 ods. 4 rokovacieho poriadku, a na záväzok zástupcu Rady, vyjadrený v liste z 20. decembra 2023, schváliť pozíciu Európskeho parlamentu v súlade s článkom 294 ods. 4 Zmluvy o fungovaní Európskej únie,</w:t>
      </w:r>
    </w:p>
    <w:p w:rsidR="001B312F" w:rsidRPr="0082239F" w:rsidRDefault="001B312F" w:rsidP="001B312F">
      <w:pPr>
        <w:pStyle w:val="NormalHanging12a"/>
      </w:pPr>
      <w:r w:rsidRPr="0082239F">
        <w:t>–</w:t>
      </w:r>
      <w:r w:rsidRPr="0082239F">
        <w:tab/>
        <w:t>so zreteľom na článok 59 rokovacieho poriadku,</w:t>
      </w:r>
    </w:p>
    <w:p w:rsidR="001B312F" w:rsidRPr="0082239F" w:rsidRDefault="001B312F" w:rsidP="001B312F">
      <w:pPr>
        <w:pStyle w:val="NormalHanging12a"/>
      </w:pPr>
      <w:r w:rsidRPr="0082239F">
        <w:t>–</w:t>
      </w:r>
      <w:r w:rsidRPr="0082239F">
        <w:tab/>
        <w:t>so zreteľom na správu Výboru pre priemysel, výskum a energetiku (A9-0378/2023),</w:t>
      </w:r>
    </w:p>
    <w:p w:rsidR="001B312F" w:rsidRPr="0082239F" w:rsidRDefault="001B312F" w:rsidP="001B312F">
      <w:pPr>
        <w:pStyle w:val="NormalHanging12a"/>
      </w:pPr>
      <w:r w:rsidRPr="0082239F">
        <w:lastRenderedPageBreak/>
        <w:t>1.</w:t>
      </w:r>
      <w:r w:rsidRPr="0082239F">
        <w:tab/>
        <w:t>prijíma nasledujúcu pozíciu v prvom čítaní;</w:t>
      </w:r>
    </w:p>
    <w:p w:rsidR="001B312F" w:rsidRPr="0082239F" w:rsidRDefault="001B312F" w:rsidP="001B312F">
      <w:pPr>
        <w:pStyle w:val="NormalHanging12a"/>
      </w:pPr>
      <w:r w:rsidRPr="0082239F">
        <w:t>2.</w:t>
      </w:r>
      <w:r w:rsidRPr="0082239F">
        <w:tab/>
        <w:t xml:space="preserve">žiada Komisiu, aby mu vec znovu predložila, ak </w:t>
      </w:r>
      <w:r w:rsidR="00DA20BE" w:rsidRPr="0082239F">
        <w:t xml:space="preserve">nahrádza, podstatne mení alebo </w:t>
      </w:r>
      <w:r w:rsidRPr="0082239F">
        <w:t>má v úmysle podstatne zmeniť svoj návrh;</w:t>
      </w:r>
    </w:p>
    <w:p w:rsidR="001B312F" w:rsidRPr="0082239F" w:rsidRDefault="001B312F" w:rsidP="001B312F">
      <w:pPr>
        <w:pStyle w:val="NormalHanging12a"/>
      </w:pPr>
      <w:r w:rsidRPr="0082239F">
        <w:t>3.</w:t>
      </w:r>
      <w:r w:rsidRPr="0082239F">
        <w:tab/>
        <w:t>poveruje svoju predsedníčku, aby postúpila túto pozíciu Rade, Komisii a národným parlamentom.</w:t>
      </w:r>
    </w:p>
    <w:p w:rsidR="00F97522" w:rsidRPr="0082239F" w:rsidRDefault="00F97522" w:rsidP="001B312F">
      <w:pPr>
        <w:sectPr w:rsidR="00F97522" w:rsidRPr="0082239F" w:rsidSect="00BB6F5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976B4" w:rsidRPr="0082239F" w:rsidRDefault="00E976B4" w:rsidP="00E976B4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 w:rsidRPr="0082239F">
        <w:rPr>
          <w:b/>
        </w:rPr>
        <w:lastRenderedPageBreak/>
        <w:t>P9_TC1-COD(2023)0207</w:t>
      </w:r>
    </w:p>
    <w:p w:rsidR="00F97522" w:rsidRDefault="00E976B4" w:rsidP="00E976B4">
      <w:pPr>
        <w:spacing w:after="240"/>
        <w:rPr>
          <w:rFonts w:eastAsia="Calibri"/>
          <w:b/>
          <w:szCs w:val="22"/>
          <w:lang w:eastAsia="en-US"/>
        </w:rPr>
      </w:pPr>
      <w:r w:rsidRPr="0082239F">
        <w:rPr>
          <w:b/>
        </w:rPr>
        <w:t xml:space="preserve">Pozícia Európskeho parlamentu prijatá v prvom čítaní 27. februára 2024 na účely prijatia rozhodnutia Európskeho parlamentu a Rady (EÚ) 2024/..., </w:t>
      </w:r>
      <w:r w:rsidR="00F97522" w:rsidRPr="0082239F">
        <w:rPr>
          <w:rFonts w:eastAsia="Calibri"/>
          <w:b/>
          <w:szCs w:val="22"/>
          <w:lang w:eastAsia="en-US"/>
        </w:rPr>
        <w:t>ktorým sa mení rozhodnutie (EÚ) 2017/1324, pokiaľ ide o pokračovanie účasti Únie na Partnerstve pre výskum a inováciu v oblasti Stredozemia (PRIMA) v rámci programu Horizont Európa</w:t>
      </w:r>
    </w:p>
    <w:p w:rsidR="006A560C" w:rsidRDefault="006A560C" w:rsidP="00E976B4">
      <w:pPr>
        <w:spacing w:after="240"/>
        <w:rPr>
          <w:rFonts w:eastAsia="Calibri"/>
          <w:b/>
          <w:szCs w:val="22"/>
          <w:lang w:eastAsia="en-US"/>
        </w:rPr>
      </w:pPr>
    </w:p>
    <w:p w:rsidR="006A560C" w:rsidRPr="00731EF8" w:rsidRDefault="006A560C" w:rsidP="006A560C">
      <w:r w:rsidRPr="00731EF8">
        <w:rPr>
          <w:i/>
          <w:iCs/>
        </w:rPr>
        <w:t xml:space="preserve">(Keďže bola dosiahnutá dohoda medzi Európskym parlamentom a Radou, pozícia Európskeho parlamentu zodpovedá záverečnému </w:t>
      </w:r>
      <w:r w:rsidRPr="000B5400">
        <w:rPr>
          <w:i/>
          <w:iCs/>
        </w:rPr>
        <w:t xml:space="preserve">legislatívnemu aktu, </w:t>
      </w:r>
      <w:r>
        <w:rPr>
          <w:i/>
          <w:iCs/>
        </w:rPr>
        <w:t>rozhodnutie</w:t>
      </w:r>
      <w:r w:rsidRPr="000B5400">
        <w:rPr>
          <w:i/>
          <w:iCs/>
        </w:rPr>
        <w:t xml:space="preserve"> (EÚ) 202</w:t>
      </w:r>
      <w:r>
        <w:rPr>
          <w:i/>
          <w:iCs/>
        </w:rPr>
        <w:t>4</w:t>
      </w:r>
      <w:r w:rsidRPr="000B5400">
        <w:rPr>
          <w:i/>
          <w:iCs/>
        </w:rPr>
        <w:t>/</w:t>
      </w:r>
      <w:r>
        <w:rPr>
          <w:i/>
          <w:iCs/>
        </w:rPr>
        <w:t>1167</w:t>
      </w:r>
      <w:bookmarkStart w:id="8" w:name="_GoBack"/>
      <w:bookmarkEnd w:id="8"/>
      <w:r w:rsidRPr="000B5400">
        <w:rPr>
          <w:i/>
          <w:iCs/>
        </w:rPr>
        <w:t>.)</w:t>
      </w:r>
    </w:p>
    <w:p w:rsidR="006A560C" w:rsidRDefault="006A560C" w:rsidP="00E976B4">
      <w:pPr>
        <w:spacing w:after="240"/>
        <w:rPr>
          <w:rFonts w:eastAsia="Calibri"/>
          <w:b/>
          <w:szCs w:val="22"/>
          <w:lang w:eastAsia="en-US"/>
        </w:rPr>
      </w:pPr>
    </w:p>
    <w:sectPr w:rsidR="006A560C" w:rsidSect="00BB6F5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205" w:rsidRPr="00BB6F52" w:rsidRDefault="002E2205">
      <w:r w:rsidRPr="00BB6F52">
        <w:separator/>
      </w:r>
    </w:p>
  </w:endnote>
  <w:endnote w:type="continuationSeparator" w:id="0">
    <w:p w:rsidR="002E2205" w:rsidRPr="00BB6F52" w:rsidRDefault="002E2205">
      <w:r w:rsidRPr="00BB6F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6F5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6F5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6F5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205" w:rsidRPr="00BB6F52" w:rsidRDefault="002E2205">
      <w:r w:rsidRPr="00BB6F52">
        <w:separator/>
      </w:r>
    </w:p>
  </w:footnote>
  <w:footnote w:type="continuationSeparator" w:id="0">
    <w:p w:rsidR="002E2205" w:rsidRPr="00BB6F52" w:rsidRDefault="002E2205">
      <w:r w:rsidRPr="00BB6F52">
        <w:continuationSeparator/>
      </w:r>
    </w:p>
  </w:footnote>
  <w:footnote w:id="1">
    <w:p w:rsidR="00F97522" w:rsidRPr="0082239F" w:rsidRDefault="00F97522" w:rsidP="00F97522">
      <w:pPr>
        <w:pStyle w:val="FootnoteText"/>
        <w:rPr>
          <w:sz w:val="24"/>
          <w:szCs w:val="24"/>
          <w:lang w:val="sk-SK"/>
        </w:rPr>
      </w:pPr>
      <w:r w:rsidRPr="0082239F">
        <w:rPr>
          <w:rStyle w:val="FootnoteReference"/>
          <w:sz w:val="24"/>
          <w:szCs w:val="24"/>
          <w:lang w:val="sk-SK"/>
        </w:rPr>
        <w:footnoteRef/>
      </w:r>
      <w:r w:rsidRPr="0082239F">
        <w:rPr>
          <w:sz w:val="24"/>
          <w:szCs w:val="24"/>
          <w:lang w:val="sk-SK"/>
        </w:rPr>
        <w:t xml:space="preserve"> </w:t>
      </w:r>
      <w:r w:rsidRPr="0082239F">
        <w:rPr>
          <w:sz w:val="24"/>
          <w:szCs w:val="24"/>
          <w:lang w:val="sk-SK"/>
        </w:rPr>
        <w:tab/>
      </w:r>
      <w:r w:rsidRPr="00E976B4">
        <w:rPr>
          <w:sz w:val="24"/>
          <w:szCs w:val="24"/>
          <w:lang w:val="sk-SK"/>
        </w:rPr>
        <w:t>Ú. v. EÚ</w:t>
      </w:r>
      <w:r w:rsidRPr="0082239F">
        <w:rPr>
          <w:sz w:val="24"/>
          <w:szCs w:val="24"/>
          <w:lang w:val="sk-SK"/>
        </w:rPr>
        <w:t xml:space="preserve"> C, C/2023/863, 8.12.2023,</w:t>
      </w:r>
      <w:r w:rsidRPr="00E976B4">
        <w:rPr>
          <w:sz w:val="24"/>
          <w:szCs w:val="24"/>
          <w:lang w:val="sk-SK"/>
        </w:rPr>
        <w:t xml:space="preserve"> </w:t>
      </w:r>
      <w:r w:rsidRPr="0082239F">
        <w:rPr>
          <w:sz w:val="24"/>
          <w:szCs w:val="24"/>
          <w:lang w:val="sk-SK"/>
        </w:rPr>
        <w:t xml:space="preserve">ELI: </w:t>
      </w:r>
      <w:hyperlink r:id="rId1" w:tooltip="Gives access to this document through its ELI URI." w:history="1">
        <w:r w:rsidRPr="0082239F">
          <w:rPr>
            <w:color w:val="23527C"/>
            <w:sz w:val="24"/>
            <w:szCs w:val="24"/>
            <w:u w:val="single"/>
            <w:shd w:val="clear" w:color="auto" w:fill="FFFFFF"/>
            <w:lang w:val="sk-SK" w:eastAsia="en-GB"/>
          </w:rPr>
          <w:t>http://data.europa.eu/eli/C/2023/863/oj</w:t>
        </w:r>
      </w:hyperlink>
      <w:r w:rsidRPr="0082239F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6F5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6F5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6F5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8/2023"/>
    <w:docVar w:name="dvlangue" w:val="SK"/>
    <w:docVar w:name="dvnumam" w:val="0"/>
    <w:docVar w:name="dvpe" w:val="752.796"/>
    <w:docVar w:name="dvrapporteur" w:val="Spravodajca: "/>
    <w:docVar w:name="dvstar" w:val="***I"/>
    <w:docVar w:name="dvtitre" w:val="Legislatívne uznesenie Európskeho parlamentu z xx. februára 2024 o návrhu rozhodnutia Európskeho parlamentu a Rady, ktorým sa mení rozhodnutie (EÚ) 2017/1324, pokiaľ ide o pokračovanie účasti Únie na Partnerstve pre výskum a inováciu v oblasti Stredozemia (PRIMA) v rámci programu Horizont Európa(COM(2023)0359 – C9-0213/2023 – 2023/0207(COD))"/>
  </w:docVars>
  <w:rsids>
    <w:rsidRoot w:val="002E220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312F"/>
    <w:rsid w:val="001F32AE"/>
    <w:rsid w:val="002767FF"/>
    <w:rsid w:val="002B18FE"/>
    <w:rsid w:val="002B5493"/>
    <w:rsid w:val="002E220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63A8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560C"/>
    <w:rsid w:val="006B715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5DF7"/>
    <w:rsid w:val="00807193"/>
    <w:rsid w:val="00817416"/>
    <w:rsid w:val="0082239F"/>
    <w:rsid w:val="00842779"/>
    <w:rsid w:val="00865F67"/>
    <w:rsid w:val="00881A7B"/>
    <w:rsid w:val="008840E5"/>
    <w:rsid w:val="00887B3E"/>
    <w:rsid w:val="008B6876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4AF"/>
    <w:rsid w:val="00A778C7"/>
    <w:rsid w:val="00A861F1"/>
    <w:rsid w:val="00AB441E"/>
    <w:rsid w:val="00AB6293"/>
    <w:rsid w:val="00AE0928"/>
    <w:rsid w:val="00AF3B82"/>
    <w:rsid w:val="00B12E95"/>
    <w:rsid w:val="00B22876"/>
    <w:rsid w:val="00B32F7C"/>
    <w:rsid w:val="00B558F0"/>
    <w:rsid w:val="00BB6F5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20BE"/>
    <w:rsid w:val="00DA7FCD"/>
    <w:rsid w:val="00E200C3"/>
    <w:rsid w:val="00E365E1"/>
    <w:rsid w:val="00E820A4"/>
    <w:rsid w:val="00E976B4"/>
    <w:rsid w:val="00EB006A"/>
    <w:rsid w:val="00EB4772"/>
    <w:rsid w:val="00ED169E"/>
    <w:rsid w:val="00ED4235"/>
    <w:rsid w:val="00F00C2A"/>
    <w:rsid w:val="00F04346"/>
    <w:rsid w:val="00F075DC"/>
    <w:rsid w:val="00F149E9"/>
    <w:rsid w:val="00F5134D"/>
    <w:rsid w:val="00F65F19"/>
    <w:rsid w:val="00F74202"/>
    <w:rsid w:val="00F87713"/>
    <w:rsid w:val="00F9752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D201D9"/>
  <w15:chartTrackingRefBased/>
  <w15:docId w15:val="{CF46EFE1-05A4-48A7-81E9-601659B5F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B312F"/>
    <w:pPr>
      <w:spacing w:before="480" w:after="240"/>
    </w:pPr>
  </w:style>
  <w:style w:type="paragraph" w:customStyle="1" w:styleId="NormalBold">
    <w:name w:val="NormalBold"/>
    <w:basedOn w:val="Normal"/>
    <w:rsid w:val="001B312F"/>
    <w:rPr>
      <w:b/>
    </w:rPr>
  </w:style>
  <w:style w:type="paragraph" w:customStyle="1" w:styleId="NormalHanging12a">
    <w:name w:val="NormalHanging12a"/>
    <w:basedOn w:val="Normal"/>
    <w:rsid w:val="001B312F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1B312F"/>
    <w:pPr>
      <w:spacing w:after="240"/>
      <w:jc w:val="center"/>
    </w:pPr>
  </w:style>
  <w:style w:type="paragraph" w:customStyle="1" w:styleId="AmNumberTabs">
    <w:name w:val="AmNumberTabs"/>
    <w:basedOn w:val="Normal"/>
    <w:rsid w:val="001B312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1B312F"/>
    <w:pPr>
      <w:spacing w:before="720" w:after="240"/>
      <w:jc w:val="center"/>
    </w:pPr>
  </w:style>
  <w:style w:type="paragraph" w:styleId="ListParagraph">
    <w:name w:val="List Paragraph"/>
    <w:basedOn w:val="Normal"/>
    <w:uiPriority w:val="34"/>
    <w:qFormat/>
    <w:rsid w:val="001B312F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1B312F"/>
  </w:style>
  <w:style w:type="character" w:customStyle="1" w:styleId="eop">
    <w:name w:val="eop"/>
    <w:basedOn w:val="DefaultParagraphFont"/>
    <w:rsid w:val="001B312F"/>
  </w:style>
  <w:style w:type="paragraph" w:customStyle="1" w:styleId="paragraph">
    <w:name w:val="paragraph"/>
    <w:basedOn w:val="Normal"/>
    <w:rsid w:val="001B312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Fait">
    <w:name w:val="Fait à"/>
    <w:basedOn w:val="Normal"/>
    <w:next w:val="Institutionquisigne"/>
    <w:rsid w:val="001B312F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B312F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B312F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B312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1B312F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B312F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1B312F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1B312F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B312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1B312F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1B312F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diff-tte-added">
    <w:name w:val="diff-tte-added"/>
    <w:basedOn w:val="DefaultParagraphFont"/>
    <w:rsid w:val="00F97522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0A1CC-4676-4AC4-9CE7-841613A29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335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2024-05-30T14:50:00Z</dcterms:created>
  <dcterms:modified xsi:type="dcterms:W3CDTF">2024-05-30T14:50:00Z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P9_TA(2024)0092_</vt:lpwstr>
  </property>
  <property fmtid="{D5CDD505-2E9C-101B-9397-08002B2CF9AE}" pid="4" name="&lt;Type&gt;">
    <vt:lpwstr>RR</vt:lpwstr>
  </property>
</Properties>
</file>