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37A" w:rsidTr="0010095E">
        <w:trPr>
          <w:trHeight w:hRule="exact" w:val="1418"/>
        </w:trPr>
        <w:tc>
          <w:tcPr>
            <w:tcW w:w="6804" w:type="dxa"/>
            <w:shd w:val="clear" w:color="auto" w:fill="auto"/>
            <w:vAlign w:val="center"/>
          </w:tcPr>
          <w:p w:rsidR="00751A4A" w:rsidRPr="00C6437A" w:rsidRDefault="00C44638" w:rsidP="0010095E">
            <w:pPr>
              <w:pStyle w:val="EPName"/>
            </w:pPr>
            <w:r w:rsidRPr="00C6437A">
              <w:t>Европейски</w:t>
            </w:r>
            <w:r w:rsidR="006E5D60" w:rsidRPr="00C6437A">
              <w:t xml:space="preserve"> парламент</w:t>
            </w:r>
          </w:p>
          <w:p w:rsidR="00751A4A" w:rsidRPr="00C6437A" w:rsidRDefault="00817416" w:rsidP="00756632">
            <w:pPr>
              <w:pStyle w:val="EPTerm"/>
              <w:rPr>
                <w:rStyle w:val="HideTWBExt"/>
                <w:noProof w:val="0"/>
                <w:vanish w:val="0"/>
                <w:color w:val="auto"/>
              </w:rPr>
            </w:pPr>
            <w:r w:rsidRPr="00C6437A">
              <w:t>2019</w:t>
            </w:r>
            <w:r w:rsidR="00C44638">
              <w:rPr>
                <w:lang w:val="en-GB"/>
              </w:rPr>
              <w:t> – </w:t>
            </w:r>
            <w:r w:rsidRPr="00C6437A">
              <w:t>2024</w:t>
            </w:r>
          </w:p>
        </w:tc>
        <w:tc>
          <w:tcPr>
            <w:tcW w:w="2268" w:type="dxa"/>
            <w:shd w:val="clear" w:color="auto" w:fill="auto"/>
          </w:tcPr>
          <w:p w:rsidR="00751A4A" w:rsidRPr="00C6437A" w:rsidRDefault="00187494" w:rsidP="0010095E">
            <w:pPr>
              <w:pStyle w:val="EPLogo"/>
            </w:pPr>
            <w:r w:rsidRPr="00C643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437A" w:rsidRDefault="00D058B8" w:rsidP="004C5D52">
      <w:pPr>
        <w:pStyle w:val="LineTop"/>
      </w:pPr>
    </w:p>
    <w:p w:rsidR="00680577" w:rsidRPr="00C6437A" w:rsidRDefault="006E5D60" w:rsidP="00680577">
      <w:pPr>
        <w:pStyle w:val="EPBodyTA1"/>
      </w:pPr>
      <w:r w:rsidRPr="00C6437A">
        <w:t>ПРИЕТИ ТЕКСТОВЕ</w:t>
      </w:r>
    </w:p>
    <w:p w:rsidR="00D058B8" w:rsidRPr="00C6437A" w:rsidRDefault="00D058B8" w:rsidP="00D058B8">
      <w:pPr>
        <w:pStyle w:val="LineBottom"/>
      </w:pPr>
    </w:p>
    <w:p w:rsidR="006E5D60" w:rsidRPr="00C6437A" w:rsidRDefault="006E5D60" w:rsidP="006E5D60">
      <w:pPr>
        <w:pStyle w:val="ATHeading1"/>
      </w:pPr>
      <w:bookmarkStart w:id="0" w:name="TANumber"/>
      <w:r w:rsidRPr="00C6437A">
        <w:t>P9_TA(2024)00</w:t>
      </w:r>
      <w:r w:rsidR="001D58BF">
        <w:t>94</w:t>
      </w:r>
      <w:bookmarkEnd w:id="0"/>
    </w:p>
    <w:p w:rsidR="006E5D60" w:rsidRPr="00C6437A" w:rsidRDefault="006E5D60" w:rsidP="006E5D60">
      <w:pPr>
        <w:pStyle w:val="ATHeading2"/>
      </w:pPr>
      <w:bookmarkStart w:id="1" w:name="title"/>
      <w:r w:rsidRPr="00C6437A">
        <w:t>Европейска централна банка – годишен доклад за 2023 г.</w:t>
      </w:r>
      <w:bookmarkEnd w:id="1"/>
    </w:p>
    <w:p w:rsidR="006E5D60" w:rsidRPr="00C6437A" w:rsidRDefault="006E5D60" w:rsidP="006E5D60">
      <w:pPr>
        <w:rPr>
          <w:i/>
          <w:vanish/>
        </w:rPr>
      </w:pPr>
      <w:r w:rsidRPr="00C6437A">
        <w:rPr>
          <w:i/>
        </w:rPr>
        <w:fldChar w:fldCharType="begin"/>
      </w:r>
      <w:r w:rsidRPr="00C6437A">
        <w:rPr>
          <w:i/>
        </w:rPr>
        <w:instrText xml:space="preserve"> TC"(</w:instrText>
      </w:r>
      <w:bookmarkStart w:id="2" w:name="DocNumber"/>
      <w:r w:rsidRPr="00C6437A">
        <w:rPr>
          <w:i/>
        </w:rPr>
        <w:instrText>A9-0412/2023</w:instrText>
      </w:r>
      <w:bookmarkEnd w:id="2"/>
      <w:r w:rsidRPr="00C6437A">
        <w:rPr>
          <w:i/>
        </w:rPr>
        <w:instrText xml:space="preserve"> - Докладчик: Йохан Ван Овертвелд)"\l3 \n&gt; \* MERGEFORMAT </w:instrText>
      </w:r>
      <w:r w:rsidRPr="00C6437A">
        <w:rPr>
          <w:i/>
        </w:rPr>
        <w:fldChar w:fldCharType="end"/>
      </w:r>
    </w:p>
    <w:p w:rsidR="006E5D60" w:rsidRPr="00C6437A" w:rsidRDefault="006E5D60" w:rsidP="006E5D60">
      <w:pPr>
        <w:rPr>
          <w:vanish/>
        </w:rPr>
      </w:pPr>
      <w:bookmarkStart w:id="3" w:name="Commission"/>
      <w:r w:rsidRPr="00C6437A">
        <w:rPr>
          <w:vanish/>
        </w:rPr>
        <w:t>Комисия по икономически и парични въпроси</w:t>
      </w:r>
      <w:bookmarkEnd w:id="3"/>
    </w:p>
    <w:p w:rsidR="006E5D60" w:rsidRPr="00C6437A" w:rsidRDefault="006E5D60" w:rsidP="006E5D60">
      <w:pPr>
        <w:rPr>
          <w:vanish/>
        </w:rPr>
      </w:pPr>
      <w:bookmarkStart w:id="4" w:name="PE"/>
      <w:r w:rsidRPr="00C6437A">
        <w:rPr>
          <w:vanish/>
        </w:rPr>
        <w:t>PE752.845</w:t>
      </w:r>
      <w:bookmarkEnd w:id="4"/>
    </w:p>
    <w:p w:rsidR="006E5D60" w:rsidRPr="00C6437A" w:rsidRDefault="006E5D60" w:rsidP="00C44638">
      <w:pPr>
        <w:pStyle w:val="ATHeading3"/>
      </w:pPr>
      <w:bookmarkStart w:id="5" w:name="Sujet"/>
      <w:r w:rsidRPr="00C6437A">
        <w:t xml:space="preserve">Резолюция на Европейския парламент от </w:t>
      </w:r>
      <w:r w:rsidR="001D58BF">
        <w:t>27</w:t>
      </w:r>
      <w:r w:rsidR="001D58BF" w:rsidRPr="00C6437A">
        <w:t xml:space="preserve"> </w:t>
      </w:r>
      <w:r w:rsidR="00C44638">
        <w:t xml:space="preserve">февруари </w:t>
      </w:r>
      <w:r w:rsidRPr="00C6437A">
        <w:t>2024 г. относно Европейската централна банка – годишен доклад за 2023 г.</w:t>
      </w:r>
      <w:bookmarkEnd w:id="5"/>
      <w:r w:rsidRPr="00C6437A">
        <w:t xml:space="preserve"> </w:t>
      </w:r>
      <w:bookmarkStart w:id="6" w:name="References"/>
      <w:r w:rsidRPr="00C6437A">
        <w:t>(2023/2064(INI))</w:t>
      </w:r>
      <w:bookmarkEnd w:id="6"/>
    </w:p>
    <w:p w:rsidR="00D26507" w:rsidRPr="00C6437A" w:rsidRDefault="00D26507" w:rsidP="00D26507">
      <w:pPr>
        <w:pStyle w:val="EPComma"/>
      </w:pPr>
      <w:bookmarkStart w:id="7" w:name="TextBodyBegin"/>
      <w:bookmarkEnd w:id="7"/>
      <w:r w:rsidRPr="00C6437A">
        <w:rPr>
          <w:i/>
        </w:rPr>
        <w:t>Европейският парламент</w:t>
      </w:r>
      <w:r w:rsidRPr="00C6437A">
        <w:t>,</w:t>
      </w:r>
    </w:p>
    <w:p w:rsidR="00D26507" w:rsidRPr="00C6437A" w:rsidRDefault="00D26507" w:rsidP="00C44638">
      <w:pPr>
        <w:pStyle w:val="NormalHanging12a"/>
      </w:pPr>
      <w:r w:rsidRPr="00C6437A">
        <w:t>–</w:t>
      </w:r>
      <w:r w:rsidRPr="00C6437A">
        <w:tab/>
        <w:t>като взе предвид годишния доклад на Европейската централна банка (ЕЦБ) за 2022 г.,</w:t>
      </w:r>
    </w:p>
    <w:p w:rsidR="00D26507" w:rsidRPr="00C6437A" w:rsidRDefault="00D26507" w:rsidP="00C44638">
      <w:pPr>
        <w:pStyle w:val="NormalHanging12a"/>
      </w:pPr>
      <w:r w:rsidRPr="00C6437A">
        <w:t>–</w:t>
      </w:r>
      <w:r w:rsidRPr="00C6437A">
        <w:tab/>
        <w:t>като взе предвид обратната връзка от страна на ЕЦБ от 25 май 2023 г. относно приноса на Парламента като част от неговата резолюция относно годишния доклад на ЕЦБ за 2021 г.,</w:t>
      </w:r>
    </w:p>
    <w:p w:rsidR="00D26507" w:rsidRPr="00C6437A" w:rsidRDefault="00D26507" w:rsidP="00C44638">
      <w:pPr>
        <w:pStyle w:val="NormalHanging12a"/>
      </w:pPr>
      <w:r w:rsidRPr="00C6437A">
        <w:t>–</w:t>
      </w:r>
      <w:r w:rsidRPr="00C6437A">
        <w:tab/>
        <w:t xml:space="preserve">като взе предвид устава на Европейската система на централните банки (ЕСЦБ) и на ЕЦБ, и по-специално членове 15 и 21 от него, </w:t>
      </w:r>
    </w:p>
    <w:p w:rsidR="00D26507" w:rsidRPr="00C6437A" w:rsidRDefault="00D26507" w:rsidP="00C44638">
      <w:pPr>
        <w:pStyle w:val="NormalHanging12a"/>
      </w:pPr>
      <w:r w:rsidRPr="00C6437A">
        <w:t>–</w:t>
      </w:r>
      <w:r w:rsidRPr="00C6437A">
        <w:tab/>
        <w:t>като взе предвид член 123, член 127, параграфи 1 и 2, член 130 и член 284, параграф 3 от Договора за функционирането на Европейския съюз (ДФЕС),</w:t>
      </w:r>
    </w:p>
    <w:p w:rsidR="00D26507" w:rsidRPr="00C6437A" w:rsidRDefault="00D26507" w:rsidP="00C44638">
      <w:pPr>
        <w:pStyle w:val="NormalHanging12a"/>
      </w:pPr>
      <w:r w:rsidRPr="00C6437A">
        <w:t>–</w:t>
      </w:r>
      <w:r w:rsidRPr="00C6437A">
        <w:tab/>
        <w:t>като взе предвид член 3 и член 119 от Договора за Европейския съюз (ДЕС),</w:t>
      </w:r>
    </w:p>
    <w:p w:rsidR="00D26507" w:rsidRPr="00C6437A" w:rsidRDefault="00D26507" w:rsidP="00C44638">
      <w:pPr>
        <w:pStyle w:val="NormalHanging12a"/>
      </w:pPr>
      <w:r w:rsidRPr="00C6437A">
        <w:t>–</w:t>
      </w:r>
      <w:r w:rsidRPr="00C6437A">
        <w:tab/>
        <w:t>като взе предвид макроикономическите прогнози за еврозоната на експертите на Евросистемата от 15 юни 2023 г. и решенията, приети от Управителния съвет на ЕЦБ,</w:t>
      </w:r>
    </w:p>
    <w:p w:rsidR="00D26507" w:rsidRPr="00C6437A" w:rsidRDefault="00D26507" w:rsidP="00C44638">
      <w:pPr>
        <w:pStyle w:val="NormalHanging12a"/>
      </w:pPr>
      <w:r w:rsidRPr="00C6437A">
        <w:t>–</w:t>
      </w:r>
      <w:r w:rsidRPr="00C6437A">
        <w:tab/>
        <w:t>като взе предвид проведените на 20 март 2023 г. и на 5 юни 2023 г. диалози по въпросите на паричната политика между комисията по икономически и парични въпроси на Парламента и г‑жа Кристин Лагард, председател на ЕЦБ,</w:t>
      </w:r>
    </w:p>
    <w:p w:rsidR="00D26507" w:rsidRPr="00C6437A" w:rsidRDefault="00D26507" w:rsidP="00C44638">
      <w:pPr>
        <w:pStyle w:val="NormalHanging12a"/>
      </w:pPr>
      <w:r w:rsidRPr="00C6437A">
        <w:t>–</w:t>
      </w:r>
      <w:r w:rsidRPr="00C6437A">
        <w:tab/>
        <w:t xml:space="preserve">като взе предвид предложението на Комисията от 28 юни 2023 г. за регламент на Европейския парламент и на Съвета относно създаването на цифровото евро (COM(2023)0369), </w:t>
      </w:r>
    </w:p>
    <w:p w:rsidR="00D26507" w:rsidRPr="00C6437A" w:rsidRDefault="00D26507" w:rsidP="00C44638">
      <w:pPr>
        <w:pStyle w:val="NormalHanging12a"/>
      </w:pPr>
      <w:r w:rsidRPr="00C6437A">
        <w:t>–</w:t>
      </w:r>
      <w:r w:rsidRPr="00C6437A">
        <w:tab/>
        <w:t>като взе предвид своето решение от 1 юни 2023 г. относно договореностите под формата на размяна на писма между Европейския парламент и Европейската централна банка относно структурирането на практиките за взаимодействие в областта на централното банкиране</w:t>
      </w:r>
      <w:r w:rsidRPr="00C6437A">
        <w:rPr>
          <w:rStyle w:val="FootnoteReference"/>
        </w:rPr>
        <w:footnoteReference w:id="1"/>
      </w:r>
      <w:r w:rsidRPr="00C6437A">
        <w:t>,</w:t>
      </w:r>
    </w:p>
    <w:p w:rsidR="00D26507" w:rsidRPr="00C6437A" w:rsidRDefault="00D26507" w:rsidP="00C44638">
      <w:pPr>
        <w:pStyle w:val="NormalHanging12a"/>
      </w:pPr>
      <w:r w:rsidRPr="00C6437A">
        <w:lastRenderedPageBreak/>
        <w:t>–</w:t>
      </w:r>
      <w:r w:rsidRPr="00C6437A">
        <w:tab/>
        <w:t>като взе предвид своята резолюция от 19 май 2022 г. относно социалните и икономическите последици за ЕС от войната на Русия в Украйна — укрепване на капацитета на ЕС за действие</w:t>
      </w:r>
      <w:bookmarkStart w:id="8" w:name="_GoBack"/>
      <w:bookmarkEnd w:id="8"/>
      <w:r w:rsidRPr="001D58BF">
        <w:rPr>
          <w:rStyle w:val="FootnoteReference"/>
          <w:bCs/>
          <w:iCs/>
        </w:rPr>
        <w:footnoteReference w:id="2"/>
      </w:r>
      <w:r w:rsidRPr="00C6437A">
        <w:t>,</w:t>
      </w:r>
    </w:p>
    <w:p w:rsidR="00D26507" w:rsidRPr="00C6437A" w:rsidRDefault="00D26507" w:rsidP="00D26507">
      <w:pPr>
        <w:pStyle w:val="NormalHanging12a"/>
        <w:jc w:val="both"/>
      </w:pPr>
      <w:r w:rsidRPr="00C6437A">
        <w:t>–</w:t>
      </w:r>
      <w:r w:rsidRPr="00C6437A">
        <w:tab/>
        <w:t>като взе предвид Парижкото споразумение, сключено по силата на Рамковата конвенция на ООН по изменение на климата,</w:t>
      </w:r>
    </w:p>
    <w:p w:rsidR="00D26507" w:rsidRPr="00C6437A" w:rsidRDefault="00D26507" w:rsidP="00D26507">
      <w:pPr>
        <w:pStyle w:val="NormalHanging12a"/>
        <w:jc w:val="both"/>
        <w:rPr>
          <w:b/>
          <w:bCs/>
        </w:rPr>
      </w:pPr>
      <w:r w:rsidRPr="00C6437A">
        <w:t>–</w:t>
      </w:r>
      <w:r w:rsidRPr="00C6437A">
        <w:tab/>
        <w:t>като взе предвид Европейския стълб на социалните права,</w:t>
      </w:r>
    </w:p>
    <w:p w:rsidR="00D26507" w:rsidRPr="00C6437A" w:rsidRDefault="00D26507" w:rsidP="00D26507">
      <w:pPr>
        <w:pStyle w:val="NormalHanging12a"/>
        <w:jc w:val="both"/>
      </w:pPr>
      <w:r w:rsidRPr="00C6437A">
        <w:t>–</w:t>
      </w:r>
      <w:r w:rsidRPr="00C6437A">
        <w:tab/>
        <w:t>като взе предвид член 142, параграф 1 от своя Правилник за дейността,</w:t>
      </w:r>
    </w:p>
    <w:p w:rsidR="00D26507" w:rsidRPr="00C6437A" w:rsidRDefault="00D26507" w:rsidP="00D26507">
      <w:pPr>
        <w:pStyle w:val="NormalHanging12a"/>
      </w:pPr>
      <w:r w:rsidRPr="00C6437A">
        <w:t>–</w:t>
      </w:r>
      <w:r w:rsidRPr="00C6437A">
        <w:tab/>
        <w:t>като взе предвид доклада на комисията по икономически и парични въпроси (A9-0412/2023),</w:t>
      </w:r>
    </w:p>
    <w:p w:rsidR="00D26507" w:rsidRPr="00C6437A" w:rsidRDefault="00D26507" w:rsidP="00C44638">
      <w:pPr>
        <w:pStyle w:val="NormalHanging12a"/>
      </w:pPr>
      <w:r w:rsidRPr="00C6437A">
        <w:t>А.</w:t>
      </w:r>
      <w:r w:rsidRPr="00C6437A">
        <w:tab/>
        <w:t>като има предвид, че съгласно макроикономическите прогнози на експертите на Евросистемата от юни 2023 г. се очаква ръстът на икономиката на еврозоната да се забави от 3,5% през 2022 г. на 0,9% през 2023 г., преди да се повиши до 1,5% през 2024 г.; като има предвид, че според експресна оценка на Евростат ръстът на еврозоната е бил едва 0,6% през 2023 г.; като има предвид, че това е най-лошият резултат от рецесията през 2020 г. насам;</w:t>
      </w:r>
    </w:p>
    <w:p w:rsidR="00D26507" w:rsidRDefault="00D26507" w:rsidP="00C44638">
      <w:pPr>
        <w:pStyle w:val="NormalHanging12a"/>
      </w:pPr>
      <w:r w:rsidRPr="00C6437A">
        <w:t>Б.</w:t>
      </w:r>
      <w:r w:rsidRPr="00C6437A">
        <w:tab/>
        <w:t xml:space="preserve">като има предвид, че съгласно макроикономическите прогнози за еврозоната на експертите на Евросистемата от септември 2023 г. общата инфлация се очаква да бъде средно 5,6% през 2023 г., 3,2% през 2024 г. и 2,1% през 2025 г., въпреки спадащите цени на енергията и облекчаването на затрудненията в доставките; като има предвид, че същинската инфлация беше по-постоянна, повишавайки се до 5,5% през юни 2023 г. и спадайки след това на 4,2% през септември 2023 г.; като има предвид, че според прогнозите същинската инфлация ще изпревари основната инфлация в краткосрочен план и ще остане над нея до началото на 2024 г., главно поради голямо увеличение на заплатите; </w:t>
      </w:r>
    </w:p>
    <w:p w:rsidR="001D58BF" w:rsidRPr="00C6437A" w:rsidRDefault="001D58BF" w:rsidP="00C44638">
      <w:pPr>
        <w:pStyle w:val="NormalHanging12a"/>
      </w:pPr>
      <w:r>
        <w:t>В</w:t>
      </w:r>
      <w:r w:rsidRPr="001D58BF">
        <w:t>.</w:t>
      </w:r>
      <w:r w:rsidRPr="001D58BF">
        <w:tab/>
        <w:t>като има предвид, че 10-те последователни увеличения на референтните лихвени проценти оказват особено вредно въздействие върху платежоспособността на домакинствата и микропредприятията и МСП в държави, които използват предимно модели на променлив лихвен процент;</w:t>
      </w:r>
    </w:p>
    <w:p w:rsidR="00D26507" w:rsidRPr="00C6437A" w:rsidRDefault="00821E36" w:rsidP="00C44638">
      <w:pPr>
        <w:pStyle w:val="NormalHanging12a"/>
      </w:pPr>
      <w:r>
        <w:t>Г</w:t>
      </w:r>
      <w:r w:rsidR="00D26507" w:rsidRPr="00C6437A">
        <w:t>.</w:t>
      </w:r>
      <w:r w:rsidR="00D26507" w:rsidRPr="00C6437A">
        <w:tab/>
        <w:t>като има предвид, че според икономическата прогноза на Комисията за 2023 г. бюджетните дефицити се очаква да намалеят до 3,1% от брутния вътрешен продукт (БВП) през 2023 г. и до 2,4% през 2024 г.; като има предвид, че съотношението на държавния дълг към БВП намаля в еврозоната от 95,0 на 91,2%, а в ЕС‑27 – от 87,4 на 83,7%, съответно през 2022 и 2023 г.; като има предвид, че това все още е над референтните стойности в Договора; като има предвид, че държавният дълг и дефицит се различават значително в отделните държави членки;</w:t>
      </w:r>
    </w:p>
    <w:p w:rsidR="00D26507" w:rsidRPr="00C6437A" w:rsidRDefault="00821E36" w:rsidP="00C44638">
      <w:pPr>
        <w:pStyle w:val="NormalHanging12a"/>
      </w:pPr>
      <w:r>
        <w:t>Д</w:t>
      </w:r>
      <w:r w:rsidR="00D26507" w:rsidRPr="00C6437A">
        <w:t>.</w:t>
      </w:r>
      <w:r w:rsidR="00D26507" w:rsidRPr="00C6437A">
        <w:tab/>
        <w:t>като има предвид, че ЕЦБ е политически независима, което означава, че нито институциите и агенциите на ЕС, нито правителствата на държавите членки следва да се опитват да ѝ влияят; тази независимост изисква от ЕЦБ да се въздържа от вземане на политически решения;</w:t>
      </w:r>
    </w:p>
    <w:p w:rsidR="00D26507" w:rsidRPr="00C6437A" w:rsidRDefault="00821E36" w:rsidP="00C44638">
      <w:pPr>
        <w:pStyle w:val="NormalHanging12a"/>
      </w:pPr>
      <w:r>
        <w:t>Е</w:t>
      </w:r>
      <w:r w:rsidR="00D26507" w:rsidRPr="00C6437A">
        <w:t>.</w:t>
      </w:r>
      <w:r w:rsidR="00D26507" w:rsidRPr="00C6437A">
        <w:tab/>
        <w:t xml:space="preserve">като има предвид, че Европейската комисия заяви, че „допълнителните нужди от </w:t>
      </w:r>
      <w:r w:rsidR="00D26507" w:rsidRPr="00C6437A">
        <w:lastRenderedPageBreak/>
        <w:t>частни и публични инвестиции във връзка с двойния преход и неговите цели на политиката се оценяват на почти 650 милиарда евро годишно до 2030 г.“</w:t>
      </w:r>
      <w:r w:rsidR="00D26507" w:rsidRPr="001D58BF">
        <w:rPr>
          <w:rStyle w:val="FootnoteReference"/>
          <w:bCs/>
          <w:iCs/>
        </w:rPr>
        <w:footnoteReference w:id="3"/>
      </w:r>
      <w:r w:rsidR="00D26507" w:rsidRPr="00C6437A">
        <w:t>;</w:t>
      </w:r>
    </w:p>
    <w:p w:rsidR="00D26507" w:rsidRPr="00C6437A" w:rsidRDefault="00821E36" w:rsidP="00C44638">
      <w:pPr>
        <w:pStyle w:val="NormalHanging12a"/>
      </w:pPr>
      <w:r>
        <w:t>Ж</w:t>
      </w:r>
      <w:r w:rsidR="00D26507" w:rsidRPr="00C6437A">
        <w:t>.</w:t>
      </w:r>
      <w:r w:rsidR="00D26507" w:rsidRPr="00C6437A">
        <w:tab/>
        <w:t>като има предвид, че основната цел на ЕЦБ е да поддържа ценова стабилност, която тя е определила като симетрична инфлация от 2% в средносрочен план;</w:t>
      </w:r>
    </w:p>
    <w:p w:rsidR="00D26507" w:rsidRPr="00C6437A" w:rsidRDefault="00821E36" w:rsidP="00C44638">
      <w:pPr>
        <w:pStyle w:val="NormalHanging12a"/>
      </w:pPr>
      <w:r>
        <w:t>З</w:t>
      </w:r>
      <w:r w:rsidR="00D26507" w:rsidRPr="00C6437A">
        <w:t>.</w:t>
      </w:r>
      <w:r w:rsidR="00D26507" w:rsidRPr="00C6437A">
        <w:tab/>
        <w:t>като има предвид, че без да се засяга основната цел за ценова стабилност, ЕЦБ следва да подкрепя и общите икономически политики на ЕС, за да допринася за постигането на целите на ЕС, както са посочени в член 3 от ДЕС;</w:t>
      </w:r>
    </w:p>
    <w:p w:rsidR="00D26507" w:rsidRPr="00C6437A" w:rsidRDefault="00821E36" w:rsidP="00C44638">
      <w:pPr>
        <w:pStyle w:val="NormalHanging12a"/>
      </w:pPr>
      <w:r>
        <w:t>И</w:t>
      </w:r>
      <w:r w:rsidR="00D26507" w:rsidRPr="00C6437A">
        <w:t>.</w:t>
      </w:r>
      <w:r w:rsidR="00D26507" w:rsidRPr="00C6437A">
        <w:tab/>
        <w:t>като има предвид, че член 123 от ДФЕС и член 21 от устава на ЕСЦБ и на ЕЦБ забраняват паричното финансиране на държавите;</w:t>
      </w:r>
    </w:p>
    <w:p w:rsidR="00D26507" w:rsidRPr="00C6437A" w:rsidRDefault="00821E36" w:rsidP="00C44638">
      <w:pPr>
        <w:pStyle w:val="NormalHanging12a"/>
      </w:pPr>
      <w:r>
        <w:t>Й</w:t>
      </w:r>
      <w:r w:rsidR="00D26507" w:rsidRPr="00C6437A">
        <w:t>.</w:t>
      </w:r>
      <w:r w:rsidR="00D26507" w:rsidRPr="00C6437A">
        <w:tab/>
        <w:t>като има предвид, че ЕЦБ се отчита пред Парламента в качеството му на институция, представляваща гражданите на ЕС;</w:t>
      </w:r>
    </w:p>
    <w:p w:rsidR="00D26507" w:rsidRPr="00C6437A" w:rsidRDefault="00D26507" w:rsidP="00C44638">
      <w:pPr>
        <w:pStyle w:val="NormalHanging12a"/>
        <w:rPr>
          <w:b/>
          <w:i/>
        </w:rPr>
      </w:pPr>
      <w:r w:rsidRPr="00C6437A">
        <w:rPr>
          <w:b/>
          <w:i/>
        </w:rPr>
        <w:t>Общ преглед</w:t>
      </w:r>
    </w:p>
    <w:p w:rsidR="00D26507" w:rsidRPr="00C6437A" w:rsidRDefault="00D26507" w:rsidP="00C44638">
      <w:pPr>
        <w:pStyle w:val="NormalHanging12a"/>
      </w:pPr>
      <w:r w:rsidRPr="00C6437A">
        <w:t>1.</w:t>
      </w:r>
      <w:r w:rsidRPr="00C6437A">
        <w:tab/>
        <w:t xml:space="preserve">припомня, че съгласно член 127 от ДФЕС „основната цел на Европейска система на централните банки, наричана по-нататък „ЕСЦБ“, е да поддържа ценова стабилност. Без да се накърнява тази цел, ЕСЦБ подкрепя основните икономически политики на Съюза с цел да допринесе за постигането на неговите цели, както са посочени в член 3 от Договора за Европейския съюз. ЕСЦБ действа в съответствие с принципа на отворената пазарна икономика при свободна конкуренция, като подкрепя ефективното разпределение на ресурсите и спазва принципите, посочени в член 119“; </w:t>
      </w:r>
    </w:p>
    <w:p w:rsidR="00D26507" w:rsidRPr="00C6437A" w:rsidRDefault="00D26507" w:rsidP="00C44638">
      <w:pPr>
        <w:pStyle w:val="NormalHanging12a"/>
      </w:pPr>
      <w:r w:rsidRPr="00C6437A">
        <w:t>2.</w:t>
      </w:r>
      <w:r w:rsidRPr="00C6437A">
        <w:tab/>
        <w:t>потвърждава законоустановената независимост на ЕЦБ, както е посочено в член 130 от ДФЕС, и изтъква освен това, че тази независимост следва винаги да бъде допълвана от съответно равнище на отчетност;</w:t>
      </w:r>
    </w:p>
    <w:p w:rsidR="00D26507" w:rsidRPr="00C6437A" w:rsidRDefault="00D26507" w:rsidP="00C44638">
      <w:pPr>
        <w:pStyle w:val="NormalHanging12a"/>
      </w:pPr>
      <w:r w:rsidRPr="00C6437A">
        <w:t>3.</w:t>
      </w:r>
      <w:r w:rsidRPr="00C6437A">
        <w:tab/>
        <w:t>изразява загриженост, че ако ЕЦБ не успее своевременно да намали инфлацията до целевото равнище, като едновременно с това се повишат разходите за финансиране в еврозоната, особено за гражданите и дружествата, ЕЦБ рискува да загуби надеждността си;</w:t>
      </w:r>
    </w:p>
    <w:p w:rsidR="00D26507" w:rsidRPr="00C6437A" w:rsidRDefault="00D26507" w:rsidP="00C44638">
      <w:pPr>
        <w:pStyle w:val="NormalHanging12a"/>
      </w:pPr>
      <w:r w:rsidRPr="00C6437A">
        <w:t>4.</w:t>
      </w:r>
      <w:r w:rsidRPr="00C6437A">
        <w:tab/>
        <w:t>изразява дълбоко безпокойство относно постоянно високата инфлация, особено същинската инфлация, и пагубното им въздействие върху конкурентоспособността, инвестициите, създаването на работни места и покупателната способност на потребителите, като те засягат по-конкретно хората с фиксирани и ограничени доходи; призовава ЕЦБ да предприеме всички необходими мерки за намаляване на процента на инфлацията в съответствие със своята цел; припомня, че подобна ситуация е причина за икономическа несигурност и повишава издръжката на живота на гражданите; подчертава, че това може да доведе до повишени инфлационни очаквания, които поддържат цикъл на покачване на цените и подкопават икономическата стабилност; отбелязва, че количествените цели по отношение на инфлацията трябва да бъдат постигнати в средносрочен план; приканва ЕЦБ да предоставя повече информация относно мониторинга и определянето на неутралния лихвен процент;</w:t>
      </w:r>
    </w:p>
    <w:p w:rsidR="00D26507" w:rsidRPr="00C6437A" w:rsidRDefault="00D26507" w:rsidP="00C44638">
      <w:pPr>
        <w:pStyle w:val="NormalHanging12a"/>
      </w:pPr>
      <w:r w:rsidRPr="00C6437A">
        <w:lastRenderedPageBreak/>
        <w:t>5.</w:t>
      </w:r>
      <w:r w:rsidRPr="00C6437A">
        <w:tab/>
        <w:t>отбелязва различаващите се равнища на дълг, бюджетни дефицити и публични инвестиции в държавите членки и потенциалните рискове и проблеми, които това поражда за икономическата стабилност, доверието на инвеститорите, икономическия растеж и дългосрочния просперитет; изразява съжаление във връзка с недостатъчните усилия за реформиране на конкурентоспособността и публични инвестиции, докато лихвените проценти бяха ниски; подчертава особена загриженост във връзка с нарастващите разходи за финансиране на дълга, особено в случая на държавния дълг, вследствие на покачването на лихвените проценти; припомня, че е от решаващо значение да се предприемат отговорни действия във връзка с равнищата на публичния дефицит и дълг, за да се избегнат рисковете, свързани със сегашната инфлация, така че да се поддържат стабилна икономика и устойчив растеж; настоятелно призовава за бързи резултати от законодателните предложения на Комисията относно преразглеждането на правилата на ЕС за икономическо управление; приветства становището на ЕЦБ по този въпрос; посочва, че експанзивните фискални политики биха могли да противодействат на политиката на ЕЦБ за затягане на паричната политика;</w:t>
      </w:r>
    </w:p>
    <w:p w:rsidR="00D26507" w:rsidRPr="00C6437A" w:rsidRDefault="00D26507" w:rsidP="00C44638">
      <w:pPr>
        <w:pStyle w:val="NormalHanging12a"/>
      </w:pPr>
      <w:r w:rsidRPr="00C6437A">
        <w:t>6.</w:t>
      </w:r>
      <w:r w:rsidRPr="00C6437A">
        <w:tab/>
        <w:t>осъжда непровокираната инвазия и продължаващата агресия на Русия срещу Украйна, както и продължаващите отрицателни сътресения в предлагането, предизвикани от нея; изразява загриженост във връзка с нейните трайни, непредсказуеми и тежки последици за европейската икономика и европейското общество, и особено за най-изложените и уязвими групи, като домакинствата с по-ниски доходи и МСП; приветства в това отношение включването на REPowerEU в плановете за възстановяване и устойчивост с цел намаляване на енергийната зависимост от Русия, подкрепа за стратегическата автономност и коригиране на тези смущения в предлагането;</w:t>
      </w:r>
    </w:p>
    <w:p w:rsidR="00D26507" w:rsidRPr="00C6437A" w:rsidRDefault="00D26507" w:rsidP="00C44638">
      <w:pPr>
        <w:pStyle w:val="NormalHanging12a"/>
      </w:pPr>
      <w:r w:rsidRPr="00C6437A">
        <w:t>7.</w:t>
      </w:r>
      <w:r w:rsidRPr="00C6437A">
        <w:tab/>
        <w:t>изтъква, че заплахите за европейската конкурентоспособност и международната роля на еврото произтичат не само от високите равнища на инфлацията, продължаващата война в Украйна и високите и разнородни равнища на дълг в държавите членки, но и от институционалната структура на еврозоната, все по-обременяващите разходи за регулиране, нарастващата фрагментираност на световната търговия и неизбежната надпревара между държавите в отпускането на субсидии в рамките на протекционистки политики; призовава ЕЦБ да помисли как да се подсили международната роля на еврото с оглед на повишаване на неговата привлекателност като резервна валута;</w:t>
      </w:r>
    </w:p>
    <w:p w:rsidR="00D26507" w:rsidRPr="00C6437A" w:rsidRDefault="00D26507" w:rsidP="00C44638">
      <w:pPr>
        <w:pStyle w:val="NormalHanging12a"/>
      </w:pPr>
      <w:r w:rsidRPr="00C6437A">
        <w:t>8.</w:t>
      </w:r>
      <w:r w:rsidRPr="00C6437A">
        <w:tab/>
        <w:t xml:space="preserve">повтаря предупреждението на председателя Лагард, че фискалната подкрепа следва да бъде временна, целенасочена и приспособена и следва да не противодейства на задачата на паричната политика; призовава държавите членки да приведат съответните си фискални политики в съответствие с общата цел на паричната политика на ЕЦБ; припомня, че Икономическият и паричен съюз изисква стабилни фискални политики в държавите членки, за да може да реагира на външни сътресения; призовава фискалните усилия да се съсредоточат върху продуктивни инвестиции и реформи; посочва, че правителствата, а също така и Комисията, могат да подпомогнат гражданите и отраслите не само чрез фискални мерки, но и като се съсредоточат върху стимулиращи растежа и социално балансирани реформи, както и публични и частни инвестиции в инфраструктура; отбелязва обаче, че понастоящем структурата на еврозоната продължава да се основава на предпоставката за парично господство; отбелязва, че високите равнища на инфлация изискват силен ангажимент от страна на всички институции на ЕС и национални органи с цел справяне с икономическите и социалните </w:t>
      </w:r>
      <w:r w:rsidRPr="00C6437A">
        <w:lastRenderedPageBreak/>
        <w:t xml:space="preserve">последици от инфлационната криза; </w:t>
      </w:r>
    </w:p>
    <w:p w:rsidR="00D26507" w:rsidRPr="00C6437A" w:rsidRDefault="00D26507" w:rsidP="00C44638">
      <w:pPr>
        <w:pStyle w:val="NormalHanging12a"/>
      </w:pPr>
      <w:r w:rsidRPr="00C6437A">
        <w:t>9.</w:t>
      </w:r>
      <w:r w:rsidRPr="00C6437A">
        <w:tab/>
        <w:t>отбелязва, че паричните политики на ЕЦБ, насочени към изпълнение на нейната основна цел, подлежат на оценка на пропорционалността; отбелязва, че при оценката на пропорционалността се взема предвид въздействието на мерките на паричната политика върху икономиката и икономическите политики като цяло; подчертава, че когато е изправена пред избор между различни набори от политики, които в еднаква степен допринасят за ценовата стабилност, ЕЦБ трябва да предпочита тези, които в най-голяма степен подкрепят общите икономически политики на ЕС;</w:t>
      </w:r>
    </w:p>
    <w:p w:rsidR="00D26507" w:rsidRPr="00C6437A" w:rsidRDefault="00D26507" w:rsidP="00C44638">
      <w:pPr>
        <w:pStyle w:val="NormalHanging12a"/>
      </w:pPr>
      <w:r w:rsidRPr="00C6437A">
        <w:t>10.</w:t>
      </w:r>
      <w:r w:rsidRPr="00C6437A">
        <w:tab/>
        <w:t>приветства дългогодишната подкрепа на ЕЦБ за добре обмислено завършване на изграждането на Икономическия и паричен съюз, на банковия съюз и на съюза на капиталовите пазари; припомня, че това ще допринесе за по-широко разпределяне на рисковете в рамките на паричния съюз и за повишената му финансова стабилност, както и за икономическото и социалното възстановяване на ЕС, намаляването на зависимостта от банковото кредитиране и конкуренцията с азиатските и американските пазари; припомня, че е необходима ясна политическа воля за постигане на напредък по завършването на изграждането на банковия съюз и на съюза на капиталовите пазари; отбелязва подкрепата на ЕЦБ за установяването на пълноценна европейска схема за застраховане на депозитите; потвърждава, че поделянето на риска и намаляването на риска са взаимосвързани и че институционалните защитни схеми играят важна роля за защитата и стабилизирането на институциите членки; приканва ЕЦБ да наблюдава положението с необслужваните заеми;</w:t>
      </w:r>
    </w:p>
    <w:p w:rsidR="00D26507" w:rsidRPr="00C6437A" w:rsidRDefault="00D26507" w:rsidP="00C44638">
      <w:pPr>
        <w:pStyle w:val="NormalHanging12a"/>
      </w:pPr>
      <w:r w:rsidRPr="00C6437A">
        <w:t>11.</w:t>
      </w:r>
      <w:r w:rsidRPr="00C6437A">
        <w:tab/>
        <w:t>подчертава важната роля на малките и средните предприятия (МСП) в икономиката на ЕС и за икономическото и социалното сближаване и заетостта; изразява особена загриженост относно въздействието на пандемията от COVID-19 и на руската агресивна война в Украйна върху МСП; отново изтъква необходимостта от премахване на бюрократичните пречки пред трансграничните инвестиции в ЕС, облекчаване на данъчната тежест за МСП в сравнение с големите корпорации, опростяване на правните рамки с цел привличане на капитал, насърчаване на навлизането на МСП на финансовите пазари и насърчаване на финансовата грамотност на гражданите с цел повишаване на осведомеността относно ползите от инвестициите;</w:t>
      </w:r>
    </w:p>
    <w:p w:rsidR="00D26507" w:rsidRPr="00C6437A" w:rsidRDefault="00D26507" w:rsidP="00C44638">
      <w:pPr>
        <w:pStyle w:val="NormalHanging12a"/>
        <w:rPr>
          <w:b/>
          <w:i/>
        </w:rPr>
      </w:pPr>
      <w:r w:rsidRPr="00C6437A">
        <w:rPr>
          <w:b/>
          <w:i/>
        </w:rPr>
        <w:t>Парична политика</w:t>
      </w:r>
    </w:p>
    <w:p w:rsidR="00D26507" w:rsidRPr="00C6437A" w:rsidRDefault="00D26507" w:rsidP="00C44638">
      <w:pPr>
        <w:pStyle w:val="NormalHanging12a"/>
      </w:pPr>
      <w:r w:rsidRPr="00C6437A">
        <w:t>12.</w:t>
      </w:r>
      <w:r w:rsidRPr="00C6437A">
        <w:tab/>
        <w:t>отбелязва, че общата инфлация намаля от 8,4% през 2022 г. на 5,2% през 2023 г., което е обусловено главно от по-ниските цени на енергията и облекчаването на затрудненията в доставките; отбелязва обаче, че инфлацията продължава да бъде доста над целевото равнище от 2%; признава прогнозата на ЕЦБ за 2,1% през 2025 г.; изразява загриженост относно вторичните ефекти, относно последващата промяна на инфлационните очаквания на предприятията и домакинствата и относно възможността за развитие на съотношението „заплати — цени“, когато инфлационните очаквания, и следователно заплатите, нарастват прекомерно, както и необходимостта да се вземат под внимание неговите последици за растежа и заетостта;</w:t>
      </w:r>
    </w:p>
    <w:p w:rsidR="00D26507" w:rsidRPr="00C6437A" w:rsidRDefault="00D26507" w:rsidP="00C44638">
      <w:pPr>
        <w:pStyle w:val="NormalHanging12a"/>
      </w:pPr>
      <w:r w:rsidRPr="00C6437A">
        <w:t>13.</w:t>
      </w:r>
      <w:r w:rsidRPr="00C6437A">
        <w:tab/>
        <w:t xml:space="preserve">отбелязва, че високите равнища на инфлация засягат непропорционално домакинствата с по-ниски доходи, които изразходват по-голяма част от бюджета </w:t>
      </w:r>
      <w:r w:rsidRPr="00C6437A">
        <w:lastRenderedPageBreak/>
        <w:t>си за насъщни потребности; подчертава, че възстановяването на инфлацията до целевото равнище е следователно важно и за поддържането на социалното сближаване;</w:t>
      </w:r>
    </w:p>
    <w:p w:rsidR="00D26507" w:rsidRPr="00C6437A" w:rsidRDefault="00D26507" w:rsidP="00C44638">
      <w:pPr>
        <w:pStyle w:val="NormalHanging12a"/>
      </w:pPr>
      <w:r w:rsidRPr="00C6437A">
        <w:t>14.</w:t>
      </w:r>
      <w:r w:rsidRPr="00C6437A">
        <w:tab/>
        <w:t>изразява безпокойство във връзка с постоянно високото равнище на същинската инфлация, въпреки че от няколко месеца се отчита тенденция на понижаване; отбелязва, че инфлацията първоначално започна да нараства вследствие на затрудненията в доставките; разбира, че се очаква заплатите да продължат да нарастват, което е обусловено от компенсирането на инфлацията и свития пазар на труда;</w:t>
      </w:r>
    </w:p>
    <w:p w:rsidR="00D26507" w:rsidRPr="00C6437A" w:rsidRDefault="00D26507" w:rsidP="00C44638">
      <w:pPr>
        <w:pStyle w:val="NormalHanging12a"/>
      </w:pPr>
      <w:r w:rsidRPr="00C6437A">
        <w:t>15.</w:t>
      </w:r>
      <w:r w:rsidRPr="00C6437A">
        <w:tab/>
        <w:t>посочва, че инфлацията вече беше започнала да се повишава над целевите равнища през юли 2021 г. вследствие на затрудненията в доставките, т.е. още преди пълномащабната непровокирана и незаконна агресия на Русия срещу Украйна, която увеличи инфлационния натиск; отбелязва обаче, че ЕЦБ започна да противодейства на инфлацията чак през юни 2022 г., въпреки че кризата, предизвикана от COVID-19, доказа, че ЕЦБ може да действа своевременно; отбелязва, че други централни банки предприеха действия по-бързо; посочва, че ЕЦБ следва да действа експедитивно, като изпълнява своята цел да взема всички свои решения въз основа на икономически и финансови показатели; счита, че една по-бърза реакция можеше да окаже въздействие върху динамиката на цените на по-ранен етап, като по този начин щеше да бъде избегната върховата стойност от 10,6%, отчетена през октомври 2022 г.;</w:t>
      </w:r>
    </w:p>
    <w:p w:rsidR="00D26507" w:rsidRPr="00C6437A" w:rsidRDefault="00D26507" w:rsidP="00C44638">
      <w:pPr>
        <w:pStyle w:val="NormalHanging12a"/>
      </w:pPr>
      <w:r w:rsidRPr="00C6437A">
        <w:t>16.</w:t>
      </w:r>
      <w:r w:rsidRPr="00C6437A">
        <w:tab/>
        <w:t>приканва ЕЦБ да продължи да анализира свързаната с доставките/търсенето устойчивост на инфлацията;</w:t>
      </w:r>
    </w:p>
    <w:p w:rsidR="00D26507" w:rsidRPr="00C6437A" w:rsidRDefault="00D26507" w:rsidP="00C44638">
      <w:pPr>
        <w:pStyle w:val="NormalHanging12a"/>
      </w:pPr>
      <w:r w:rsidRPr="00C6437A">
        <w:t>17.</w:t>
      </w:r>
      <w:r w:rsidRPr="00C6437A">
        <w:tab/>
        <w:t>напълно подкрепя изявлението на председателя Лагард относно борбата с инфлацията толкова дълго, колкото е необходимо, като същевременно подчертава, че нормализирането на паричната политика може да бъде постигнато чрез съчетание от мерки на фискалната, паричната и структурната политика; приветства призива на председателя Лагард за скромност и за редовно актуализиране на моделите на ЕЦБ; приканва все пак ЕЦБ да преразгледа и да усъвършенства из основи своите модели и ролята им при изготвянето на политики на ЕЦБ с оглед на постиганите от моделите незадоволителни резултати през последните години, за да ги адаптира към новите икономически тенденции и към тенденциите на финансовите пазари в ЕС и по света, като вземе предвид поуките, извлечени от продължаващата и предишните кризи и предизвикателствата пред паричната политика;</w:t>
      </w:r>
    </w:p>
    <w:p w:rsidR="00D26507" w:rsidRPr="00C6437A" w:rsidRDefault="00D26507" w:rsidP="00C44638">
      <w:pPr>
        <w:pStyle w:val="NormalHanging12a"/>
      </w:pPr>
      <w:r w:rsidRPr="00C6437A">
        <w:t>18.</w:t>
      </w:r>
      <w:r w:rsidRPr="00C6437A">
        <w:tab/>
        <w:t xml:space="preserve">припомня, че ценова стабилност далеч не е постигната; отбелязва целевото равнище на симетрична инфлация от 2% в средносрочен план; отбелязва, че през последните десет години инфлацията беше или доста под, или доста над това целево равнище; отбелязва също така, че инфлацията бележи низходяща тенденция, близка до средносрочната цел на ЕЦБ; </w:t>
      </w:r>
    </w:p>
    <w:p w:rsidR="00D26507" w:rsidRPr="00C6437A" w:rsidRDefault="00D26507" w:rsidP="00C44638">
      <w:pPr>
        <w:pStyle w:val="NormalHanging12a"/>
      </w:pPr>
      <w:r w:rsidRPr="00C6437A">
        <w:t>19.</w:t>
      </w:r>
      <w:r w:rsidRPr="00C6437A">
        <w:tab/>
        <w:t>призовава ЕЦБ да определи по-добре значението на понятието „средносрочен план“ и да проучи един по-качествен подход към ценова стабилност, запазвайки необходимия марж за оползотворяване на ценовата стабилност, като същевременно осигури необходимия марж за намаляване на риска от дефлация;</w:t>
      </w:r>
    </w:p>
    <w:p w:rsidR="00D26507" w:rsidRPr="00C6437A" w:rsidRDefault="00D26507" w:rsidP="00C44638">
      <w:pPr>
        <w:pStyle w:val="NormalHanging12a"/>
      </w:pPr>
      <w:r w:rsidRPr="00C6437A">
        <w:t>20.</w:t>
      </w:r>
      <w:r w:rsidRPr="00C6437A">
        <w:tab/>
        <w:t xml:space="preserve">подкрепя решението на ЕЦБ да намали своите програми за закупуване на активи с </w:t>
      </w:r>
      <w:r w:rsidRPr="00C6437A">
        <w:lastRenderedPageBreak/>
        <w:t>оглед на прекомерната ликвидност на пазара; отбелязва обаче, че ЕЦБ все още възнамерява да реинвестира плащанията по главницата от ценни книжа с настъпващ падеж, закупени по програмата за закупуване на активи в условията на извънредна ситуация, причинена от пандемия, поне до края на 2024 г.; отбелязва съобщението на ЕЦБ за декарбонизация на притежаваните от нея корпоративни облигации, въпреки че ефективността на пренасочването се губи, ако не се направят нови инвестиции; подчертава колко е важно качеството на обезпечението;</w:t>
      </w:r>
    </w:p>
    <w:p w:rsidR="00D26507" w:rsidRPr="00C6437A" w:rsidRDefault="00D26507" w:rsidP="00C44638">
      <w:pPr>
        <w:pStyle w:val="NormalHanging12a"/>
      </w:pPr>
      <w:r w:rsidRPr="00C6437A">
        <w:t>21.</w:t>
      </w:r>
      <w:r w:rsidRPr="00C6437A">
        <w:tab/>
        <w:t>отбелязва, че концепцията за пазарна неутралност е свързана с принципа за „отворена пазарна икономика, при свободна конкуренция“; приканва ЕЦБ, запазвайки независимостта си, да предприеме действия във връзка с нарушенията на пазара и да осигурява ефективно разпределяне на ресурсите в дългосрочен план, като същевременно остане възможно най-аполитична и зачита принципа на пазарна неутралност в различни ситуации; подчертава, че подобни решения не следва да бъдат вземани за сметка на постигането на основната цел на ЕЦБ;</w:t>
      </w:r>
    </w:p>
    <w:p w:rsidR="00D26507" w:rsidRPr="00C6437A" w:rsidRDefault="00D26507" w:rsidP="00C44638">
      <w:pPr>
        <w:pStyle w:val="NormalHanging12a"/>
      </w:pPr>
      <w:r w:rsidRPr="00C6437A">
        <w:t>22.</w:t>
      </w:r>
      <w:r w:rsidRPr="00C6437A">
        <w:tab/>
        <w:t>признава необходимостта от публични и частни инвестиции след десетилетия на недостатъчно инвестиции, с цел да се намали динамиката на инфлация, обусловена от предлагането, и да се подобри потенциалът за устойчив растеж;</w:t>
      </w:r>
    </w:p>
    <w:p w:rsidR="00D26507" w:rsidRPr="00C6437A" w:rsidRDefault="00D26507" w:rsidP="00C44638">
      <w:pPr>
        <w:pStyle w:val="NormalHanging12a"/>
      </w:pPr>
      <w:r w:rsidRPr="00C6437A">
        <w:t>23.</w:t>
      </w:r>
      <w:r w:rsidRPr="00C6437A">
        <w:tab/>
        <w:t>подчертава, че равномерната трансмисия на паричната политика е жизненоважна за постигането на целта на ЕЦБ за поддържане на ценова стабилност; подчертава, че прекомерните различия в доходността на държавните облигации правят кредитните условия несъвместими с по-уеднаквената трансмисия на паричната политика и затрудняват прекалено много намаляването на държавния дълг; отбелязва в този контекст привеждането в действие на инструмента за защита на трансмисионния механизъм в подкрепа на ефективната трансмисия на паричната политика в еврозоната;</w:t>
      </w:r>
    </w:p>
    <w:p w:rsidR="00D26507" w:rsidRPr="00C6437A" w:rsidRDefault="00D26507" w:rsidP="00C44638">
      <w:pPr>
        <w:pStyle w:val="NormalHanging12a"/>
        <w:rPr>
          <w:b/>
          <w:i/>
        </w:rPr>
      </w:pPr>
      <w:r w:rsidRPr="00C6437A">
        <w:rPr>
          <w:b/>
          <w:i/>
        </w:rPr>
        <w:t>Второстепенна цел</w:t>
      </w:r>
    </w:p>
    <w:p w:rsidR="00D26507" w:rsidRPr="00C6437A" w:rsidRDefault="00D26507" w:rsidP="00C44638">
      <w:pPr>
        <w:pStyle w:val="NormalHanging12a"/>
      </w:pPr>
      <w:r w:rsidRPr="00C6437A">
        <w:t>24.</w:t>
      </w:r>
      <w:r w:rsidRPr="00C6437A">
        <w:tab/>
        <w:t>припомня, че съгласно член 127 от ДФЕС от ЕЦБ се изисква да подкрепя основните икономически политики на Съюза, както са посочени в член 3 от ДЕС, което е в обхвата на нейния мандат, доколкото това не засяга целта за ценова стабилност; посочва, че целите на ЕЦБ са подчинени на ясна йерархия; припомня, че екологичният и цифровият преход са сред общите приоритети на ЕС;</w:t>
      </w:r>
    </w:p>
    <w:p w:rsidR="001D58BF" w:rsidRDefault="00D26507" w:rsidP="00C44638">
      <w:pPr>
        <w:pStyle w:val="NormalHanging12a"/>
      </w:pPr>
      <w:r w:rsidRPr="00C6437A">
        <w:t>25.</w:t>
      </w:r>
      <w:r w:rsidRPr="00C6437A">
        <w:tab/>
      </w:r>
      <w:r w:rsidR="001D58BF" w:rsidRPr="001D58BF">
        <w:t>изразява дълбока загриженост във връзка с неотдавнашните съобщения в медиите за политически предубеждения в рамките на ЕЦБ по отношение на т.нар. „екологизиране“ на политиките; припомня, че неотклонната съсредоточеност върху целта на ЕЦБ за поддържане на ценова стабилност е от първостепенно значение за почтеността на институцията и оказваната ѝ обществена подкрепа; отбелязва значението на плурализма за институционалната култура на ЕЦБ; призовава ЕЦБ да разследва и бързо да предприеме действия по всички подозрения за идеологическа пристрастност;</w:t>
      </w:r>
    </w:p>
    <w:p w:rsidR="00D26507" w:rsidRPr="00C6437A" w:rsidRDefault="001D58BF" w:rsidP="00C44638">
      <w:pPr>
        <w:pStyle w:val="NormalHanging12a"/>
      </w:pPr>
      <w:r>
        <w:t>26.</w:t>
      </w:r>
      <w:r>
        <w:tab/>
      </w:r>
      <w:r w:rsidR="00D26507" w:rsidRPr="00C6437A">
        <w:t>припомня на ЕЦБ да посвети специална глава в годишния си доклад за разясняване на това как е тълкувала второстепенните си цели и какви действия е предприела във връзка с тях, както и за представяне на потенциалното си въздействие върху основните цели;</w:t>
      </w:r>
    </w:p>
    <w:p w:rsidR="00D26507" w:rsidRPr="00C6437A" w:rsidRDefault="006116AC" w:rsidP="00C44638">
      <w:pPr>
        <w:pStyle w:val="NormalHanging12a"/>
      </w:pPr>
      <w:r>
        <w:lastRenderedPageBreak/>
        <w:t>27</w:t>
      </w:r>
      <w:r w:rsidR="00D26507" w:rsidRPr="00C6437A">
        <w:t>.</w:t>
      </w:r>
      <w:r w:rsidR="00D26507" w:rsidRPr="00C6437A">
        <w:tab/>
        <w:t>отбелязва, че ЕЦБ, като институция на ЕС, която действа съобразно своя мандат, е обвързана с поетите от ЕС ангажименти по Парижкото споразумение; приканва ЕЦБ да продължи да прави оценка на това до каква степен изменението на климата е възможно да засяга способността ѝ да поддържа ценова стабилност;</w:t>
      </w:r>
    </w:p>
    <w:p w:rsidR="00D26507" w:rsidRPr="00C6437A" w:rsidRDefault="006116AC" w:rsidP="00C44638">
      <w:pPr>
        <w:pStyle w:val="NormalHanging12a"/>
      </w:pPr>
      <w:r>
        <w:t>28</w:t>
      </w:r>
      <w:r w:rsidR="00D26507" w:rsidRPr="00C6437A">
        <w:t>.</w:t>
      </w:r>
      <w:r w:rsidR="00D26507" w:rsidRPr="00C6437A">
        <w:tab/>
        <w:t>приветства съобщението на ЕЦБ за по-нататъшно укрепване на инструментите и способностите на Евросистемата за оценка на риска с цел по-пълноценно включване на рисковете, свързани с климата и околната среда, особено поради това, че изменението на климата и екстремните метеорологични явления биха могли да доведат до по-голяма променливост на цените, особено в хранително-вкусовата промишленост; приканва ЕЦБ да продължи работата си по свързаните с климатичния риск стрес тестове, разработени с цел оценка на устойчивостта на банките и корпорациите по отношение на риска, свързан с климатичния преход;</w:t>
      </w:r>
    </w:p>
    <w:p w:rsidR="00D26507" w:rsidRPr="00C6437A" w:rsidRDefault="006116AC" w:rsidP="00C44638">
      <w:pPr>
        <w:pStyle w:val="NormalHanging12a"/>
      </w:pPr>
      <w:r>
        <w:t>29</w:t>
      </w:r>
      <w:r w:rsidR="00D26507" w:rsidRPr="00C6437A">
        <w:t>.</w:t>
      </w:r>
      <w:r w:rsidR="00D26507" w:rsidRPr="00C6437A">
        <w:tab/>
        <w:t>отбелязва плана за действие на ЕЦБ и подробната ѝ пътна карта за действия, свързани с изменението на климата, за по-нататъшно включване на съображенията, свързани с изменението на климата, в нейната политическа рамка и модели; отбелязва, че пътната карта за климата не включва по-дългосрочни екосъобразни целеви операции по рефинансиране или сходни инструменти;</w:t>
      </w:r>
    </w:p>
    <w:p w:rsidR="00D26507" w:rsidRPr="00C6437A" w:rsidRDefault="006116AC" w:rsidP="00C44638">
      <w:pPr>
        <w:pStyle w:val="NormalHanging12a"/>
      </w:pPr>
      <w:r>
        <w:t>30</w:t>
      </w:r>
      <w:r w:rsidR="00D26507" w:rsidRPr="00C6437A">
        <w:t>.</w:t>
      </w:r>
      <w:r w:rsidR="00D26507" w:rsidRPr="00C6437A">
        <w:tab/>
        <w:t>подчертава значението на Европейския стълб на социалните права за социално-икономическото сближаване; посочва, че тези цели се постигат най-добре когато социалната пазарна икономика функционира в устойчива макроикономическа среда въз основа на предвидими равнища на цените;</w:t>
      </w:r>
    </w:p>
    <w:p w:rsidR="00D26507" w:rsidRPr="00C6437A" w:rsidRDefault="00D26507" w:rsidP="00C44638">
      <w:pPr>
        <w:pStyle w:val="NormalHanging12a"/>
        <w:rPr>
          <w:b/>
          <w:i/>
        </w:rPr>
      </w:pPr>
      <w:r w:rsidRPr="00C6437A">
        <w:rPr>
          <w:b/>
          <w:i/>
        </w:rPr>
        <w:t>Други аспекти</w:t>
      </w:r>
    </w:p>
    <w:p w:rsidR="00D26507" w:rsidRPr="00C6437A" w:rsidRDefault="006116AC" w:rsidP="00C44638">
      <w:pPr>
        <w:pStyle w:val="NormalHanging12a"/>
      </w:pPr>
      <w:r>
        <w:t>31</w:t>
      </w:r>
      <w:r w:rsidR="00D26507" w:rsidRPr="00C6437A">
        <w:t>.</w:t>
      </w:r>
      <w:r w:rsidR="00D26507" w:rsidRPr="00C6437A">
        <w:tab/>
        <w:t>обръща внимание на постоянните различия в салдата на TARGET2 в рамките на ЕСЦБ; изразява опасение, че това може да причини конфликт в бъдеще; отбелязва, че тълкуването на тези различия се оспорва;</w:t>
      </w:r>
    </w:p>
    <w:p w:rsidR="00D26507" w:rsidRPr="00C6437A" w:rsidRDefault="006116AC" w:rsidP="00C44638">
      <w:pPr>
        <w:pStyle w:val="NormalHanging12a"/>
      </w:pPr>
      <w:r>
        <w:t>32</w:t>
      </w:r>
      <w:r w:rsidR="00D26507" w:rsidRPr="00C6437A">
        <w:t>.</w:t>
      </w:r>
      <w:r w:rsidR="00D26507" w:rsidRPr="00C6437A">
        <w:tab/>
        <w:t>приветства вниманието, което ЕЦБ обръща на риска от кибератаки; насърчава ЕЦБ да запази тази бдителност, особено с оглед на настоящия геополитически контекст; призовава ЕЦБ да не отслабва своя мониторинг на развитието на новите видове цифрови активи, като криптоактивите, а именно криптовалутите, и свързаните с това рискове по отношение на киберсигурността, изпирането на пари, данъчните измами, финансирането на тероризма и други престъпни дейности, свързани с анонимността, предоставяна от криптоактивите, и призовава в това отношение ЕЦБ да поддържа ангажимента си по отношение на устойчивостта на своята цифрова инфраструктура;</w:t>
      </w:r>
    </w:p>
    <w:p w:rsidR="00D26507" w:rsidRPr="00C6437A" w:rsidRDefault="006116AC" w:rsidP="00C44638">
      <w:pPr>
        <w:pStyle w:val="NormalHanging12a"/>
      </w:pPr>
      <w:r>
        <w:t>33</w:t>
      </w:r>
      <w:r w:rsidR="00D26507" w:rsidRPr="00C6437A">
        <w:t>.</w:t>
      </w:r>
      <w:r w:rsidR="00D26507" w:rsidRPr="00C6437A">
        <w:tab/>
        <w:t>отбелязва напредъка на ЕЦБ по проекта за цифрово евро и приветства диалога ѝ с Парламента в това отношение; отново изтъква, че за да застане ЕС начело на цифровите трансформации в сектора на плащанията, цифровото евро трябва да зачита конкуренцията в областта на банковото дело и цифровите плащания; подчертава, че цифровото евро не трябва да замени парите в брой като средство за плащане, трябва да зачита неприкосновеността на личния живот на гражданите и предприятията и не трябва да застрашава финансовата стабилност; счита, че цифровото евро ще пожъне успех само ако предлага осезаема добавена стойност, която е ясно представена на европейските граждани; припомня, че въвеждането на цифровото евро зависи от решение на Европейския парламент и Съвета като съзаконодатели;</w:t>
      </w:r>
    </w:p>
    <w:p w:rsidR="00D26507" w:rsidRPr="00C6437A" w:rsidRDefault="006116AC" w:rsidP="00C44638">
      <w:pPr>
        <w:pStyle w:val="NormalHanging12a"/>
      </w:pPr>
      <w:r>
        <w:lastRenderedPageBreak/>
        <w:t>34</w:t>
      </w:r>
      <w:r w:rsidR="00D26507" w:rsidRPr="00C6437A">
        <w:t>.</w:t>
      </w:r>
      <w:r w:rsidR="00D26507" w:rsidRPr="00C6437A">
        <w:tab/>
        <w:t>споделя опасението на ЕЦБ относно разрастването на банковия сектор в сянка и риска, който той може да представлява за финансовата стабилност; подчертава необходимостта от подобаващо регулиране на небанковите финансови посредници, така че да може секторът да се конкурира при равни условия с банковия сектор;</w:t>
      </w:r>
    </w:p>
    <w:p w:rsidR="00D26507" w:rsidRPr="00C6437A" w:rsidRDefault="006116AC" w:rsidP="00C44638">
      <w:pPr>
        <w:pStyle w:val="NormalHanging12a"/>
      </w:pPr>
      <w:r>
        <w:t>35</w:t>
      </w:r>
      <w:r w:rsidR="00D26507" w:rsidRPr="00C6437A">
        <w:t>.</w:t>
      </w:r>
      <w:r w:rsidR="00D26507" w:rsidRPr="00C6437A">
        <w:tab/>
        <w:t>приветства рамката „Базел III“, тъй като тя ще повиши устойчивостта на банковия сектор; предупреждава за риска от неспазване на правилата; споделя загрижеността на ЕЦБ в това отношение; подчертава, че банковият надзор следва да се основава на риска; изтъква значението на равнопоставените условия на конкуренция в международен план и конкурентоспособността на европейските банки;</w:t>
      </w:r>
    </w:p>
    <w:p w:rsidR="00D26507" w:rsidRPr="00C6437A" w:rsidRDefault="006116AC" w:rsidP="00C44638">
      <w:pPr>
        <w:pStyle w:val="NormalHanging12a"/>
      </w:pPr>
      <w:r>
        <w:t>36</w:t>
      </w:r>
      <w:r w:rsidR="00D26507" w:rsidRPr="00C6437A">
        <w:t>.</w:t>
      </w:r>
      <w:r w:rsidR="00D26507" w:rsidRPr="00C6437A">
        <w:tab/>
        <w:t>отбелязва, че ЕЦБ адаптира своите системи към технологичния напредък, например като интегрира изкуствения интелект в своите модели за обработка и анализ на данни, за да допринесе за подобряване на анализа и вземането на решения в областта на паричната политика; подчертава, че всички тези промени следва винаги да се извършват в рамките на параметри за безопасност, за да се избегнат оперативни рискове;</w:t>
      </w:r>
    </w:p>
    <w:p w:rsidR="00D26507" w:rsidRPr="00C6437A" w:rsidRDefault="00D26507" w:rsidP="00C44638">
      <w:pPr>
        <w:pStyle w:val="NormalHanging12a"/>
        <w:rPr>
          <w:b/>
          <w:i/>
        </w:rPr>
      </w:pPr>
      <w:r w:rsidRPr="00C6437A">
        <w:rPr>
          <w:b/>
          <w:i/>
        </w:rPr>
        <w:t>Отчетност</w:t>
      </w:r>
    </w:p>
    <w:p w:rsidR="00D26507" w:rsidRPr="00C6437A" w:rsidRDefault="006116AC" w:rsidP="00C44638">
      <w:pPr>
        <w:pStyle w:val="NormalHanging12a"/>
      </w:pPr>
      <w:r>
        <w:t>37</w:t>
      </w:r>
      <w:r w:rsidR="00D26507" w:rsidRPr="00C6437A">
        <w:t>.</w:t>
      </w:r>
      <w:r w:rsidR="00D26507" w:rsidRPr="00C6437A">
        <w:tab/>
        <w:t>приветства формализирането в писмена форма на настоящите практики относно отчетността между ЕЦБ и Парламента; потвърждава откритостта на ЕЦБ и факта, че е на разположение на Парламента; приканва ЕЦБ и Парламента да използват пълноценно механизмите за отчетност и прозрачност, и по възможност — да подсилят тези механизми, без да се засяга независимостта на ЕЦБ;</w:t>
      </w:r>
    </w:p>
    <w:p w:rsidR="00D26507" w:rsidRPr="00C6437A" w:rsidRDefault="006116AC" w:rsidP="00C44638">
      <w:pPr>
        <w:pStyle w:val="NormalHanging12a"/>
      </w:pPr>
      <w:r>
        <w:t>38</w:t>
      </w:r>
      <w:r w:rsidR="00D26507" w:rsidRPr="00C6437A">
        <w:t>.</w:t>
      </w:r>
      <w:r w:rsidR="00D26507" w:rsidRPr="00C6437A">
        <w:tab/>
        <w:t>предлага ЕЦБ да създаде служба за вътрешна оценка за последваща оценка на нейните решения в областта на политиката, без да се нарушава независимостта на ЕЦБ;</w:t>
      </w:r>
    </w:p>
    <w:p w:rsidR="00D26507" w:rsidRPr="00C6437A" w:rsidRDefault="006116AC" w:rsidP="00C44638">
      <w:pPr>
        <w:pStyle w:val="NormalHanging12a"/>
      </w:pPr>
      <w:r>
        <w:t>39</w:t>
      </w:r>
      <w:r w:rsidR="00D26507" w:rsidRPr="00C6437A">
        <w:t>.</w:t>
      </w:r>
      <w:r w:rsidR="00D26507" w:rsidRPr="00C6437A">
        <w:tab/>
        <w:t>приветства важните и подробни отзиви на ЕЦБ във връзка с резолюцията на Парламента относно годишния доклад на ЕЦБ за 2021 г.; призовава ЕЦБ и занапред да поддържа този ангажимент за отчетност и прозрачност и да продължи да публикува ежегодно писмените си отзиви във връзка с резолюциите на Парламента относно годишните доклади на ЕЦБ;</w:t>
      </w:r>
    </w:p>
    <w:p w:rsidR="00D26507" w:rsidRPr="00C6437A" w:rsidRDefault="006116AC" w:rsidP="00C44638">
      <w:pPr>
        <w:pStyle w:val="NormalHanging12a"/>
      </w:pPr>
      <w:r>
        <w:t>40</w:t>
      </w:r>
      <w:r w:rsidR="00D26507" w:rsidRPr="00C6437A">
        <w:t>.</w:t>
      </w:r>
      <w:r w:rsidR="00D26507" w:rsidRPr="00C6437A">
        <w:tab/>
        <w:t>отбелязва, че само двама членове на Изпълнителния съвет и на Управителния съвет на ЕЦБ са жени; призовава държавите членки от еврозоната да дадат своя принос и да интегрират принципа на равенство между половете в процедурите си по назначаване, за да осигурят равни възможности за всички полове по отношение на длъжността „управител на национална централна банка“;</w:t>
      </w:r>
    </w:p>
    <w:p w:rsidR="00D26507" w:rsidRPr="00C6437A" w:rsidRDefault="006116AC" w:rsidP="00C44638">
      <w:pPr>
        <w:pStyle w:val="NormalHanging12a"/>
      </w:pPr>
      <w:r>
        <w:t>41</w:t>
      </w:r>
      <w:r w:rsidR="00D26507" w:rsidRPr="00C6437A">
        <w:t>.</w:t>
      </w:r>
      <w:r w:rsidR="00D26507" w:rsidRPr="00C6437A">
        <w:tab/>
        <w:t>отбелязва, че последните налични статистически данни относно дисбаланса между половете в организационната структура на ЕЦБ сочат, че като цяло делът на жените на ръководни длъжности в ЕЦБ се е увеличил; приканва ЕЦБ да продължи да работи за укрепване на равните възможности за всички полове в своята структура;</w:t>
      </w:r>
    </w:p>
    <w:p w:rsidR="00D26507" w:rsidRPr="00C6437A" w:rsidRDefault="006116AC" w:rsidP="00C44638">
      <w:pPr>
        <w:pStyle w:val="NormalHanging12a"/>
      </w:pPr>
      <w:r>
        <w:t>42</w:t>
      </w:r>
      <w:r w:rsidR="00D26507" w:rsidRPr="00C6437A">
        <w:t>.</w:t>
      </w:r>
      <w:r w:rsidR="00D26507" w:rsidRPr="00C6437A">
        <w:tab/>
        <w:t xml:space="preserve">приветства новата политика на ЕЦБ в областта на комуникациите, която включва по-достъпни начини за обяснение и представяне на решенията на ЕЦБ относно </w:t>
      </w:r>
      <w:r w:rsidR="00D26507" w:rsidRPr="00C6437A">
        <w:lastRenderedPageBreak/>
        <w:t xml:space="preserve">политиките пред гражданите и заинтересованите лица, и приканва ЕЦБ допълнително да укрепи своята комуникация относно целите на политиката на централните банки и реакцията при кризи; </w:t>
      </w:r>
    </w:p>
    <w:p w:rsidR="00D26507" w:rsidRPr="00C6437A" w:rsidRDefault="006116AC" w:rsidP="00C44638">
      <w:pPr>
        <w:pStyle w:val="NormalHanging12a"/>
      </w:pPr>
      <w:r>
        <w:t>43</w:t>
      </w:r>
      <w:r w:rsidR="00D26507" w:rsidRPr="00C6437A">
        <w:t>.</w:t>
      </w:r>
      <w:r w:rsidR="00D26507" w:rsidRPr="00C6437A">
        <w:tab/>
        <w:t>отбелязва неотдавнашното назначаване на нов председател на Надзорния съвет и призовава ЕЦБ да отчита по-добре и да зачита прерогативите на Европейския парламент в бъдещите процедури по назначаване, особено във връзка с единния надзорен механизъм;</w:t>
      </w:r>
    </w:p>
    <w:p w:rsidR="00D26507" w:rsidRPr="00C6437A" w:rsidRDefault="006116AC" w:rsidP="00C44638">
      <w:pPr>
        <w:pStyle w:val="NormalHanging12a"/>
      </w:pPr>
      <w:r>
        <w:t>44</w:t>
      </w:r>
      <w:r w:rsidR="00D26507" w:rsidRPr="00C6437A">
        <w:t>.</w:t>
      </w:r>
      <w:r w:rsidR="00D26507" w:rsidRPr="00C6437A">
        <w:tab/>
        <w:t>подчертава значението на етичната рамка на ЕЦБ и нейния кодекс на поведение, тъй като те са гаранция за почтеността на ЕЦБ и служат за основа на доверието на обществеността, и в крайна сметка — за надеждността на ЕЦБ; отбелязва, че тази рамка направлява служителите и високопоставените длъжностни лица на ЕЦБ в отношенията им с лобистите; приканва ЕЦБ редовно да преразглежда рамката в това отношение;</w:t>
      </w:r>
    </w:p>
    <w:p w:rsidR="00D26507" w:rsidRPr="00C6437A" w:rsidRDefault="006116AC" w:rsidP="00C44638">
      <w:pPr>
        <w:pStyle w:val="NormalHanging12a"/>
      </w:pPr>
      <w:r>
        <w:t>45</w:t>
      </w:r>
      <w:r w:rsidR="00D26507" w:rsidRPr="00C6437A">
        <w:t>.</w:t>
      </w:r>
      <w:r w:rsidR="00D26507" w:rsidRPr="00C6437A">
        <w:tab/>
        <w:t xml:space="preserve">приканва ЕЦБ да започне диалог с националните парламенти, като същевременно зачита стриктно своята политическа независимост; счита, че това ще укрепи легитимността и политиките на ЕЦБ; </w:t>
      </w:r>
    </w:p>
    <w:p w:rsidR="00D26507" w:rsidRPr="00C6437A" w:rsidRDefault="006116AC" w:rsidP="00C44638">
      <w:pPr>
        <w:pStyle w:val="NormalHanging12a"/>
      </w:pPr>
      <w:r>
        <w:t>46</w:t>
      </w:r>
      <w:r w:rsidR="00D26507" w:rsidRPr="00C6437A">
        <w:t>.</w:t>
      </w:r>
      <w:r w:rsidR="00D26507" w:rsidRPr="00C6437A">
        <w:tab/>
        <w:t>призовава за привеждане на вътрешната рамка на ЕЦБ за подаване на сигнали за нередности в съответствие с Директивата на ЕС за лицата, сигнализиращи за нередности;</w:t>
      </w:r>
    </w:p>
    <w:p w:rsidR="00D26507" w:rsidRPr="00C6437A" w:rsidRDefault="00D26507" w:rsidP="00C44638">
      <w:pPr>
        <w:pStyle w:val="NormalHanging12a"/>
        <w:jc w:val="center"/>
      </w:pPr>
      <w:r w:rsidRPr="00C6437A">
        <w:t>°</w:t>
      </w:r>
    </w:p>
    <w:p w:rsidR="00D26507" w:rsidRPr="00C6437A" w:rsidRDefault="00D26507" w:rsidP="00C44638">
      <w:pPr>
        <w:pStyle w:val="NormalHanging12a"/>
        <w:jc w:val="center"/>
      </w:pPr>
      <w:r w:rsidRPr="00C6437A">
        <w:t>°</w:t>
      </w:r>
      <w:r w:rsidRPr="00C6437A">
        <w:tab/>
        <w:t>°</w:t>
      </w:r>
    </w:p>
    <w:p w:rsidR="00D26507" w:rsidRPr="00C6437A" w:rsidRDefault="006116AC" w:rsidP="00C44638">
      <w:pPr>
        <w:pStyle w:val="NormalHanging12a"/>
      </w:pPr>
      <w:r>
        <w:t>47</w:t>
      </w:r>
      <w:r w:rsidR="00D26507" w:rsidRPr="00C6437A">
        <w:t>.</w:t>
      </w:r>
      <w:r w:rsidR="00D26507" w:rsidRPr="00C6437A">
        <w:tab/>
        <w:t>възлага на своя председател да предаде настоящата резолюция на Съвета, на Комисията и на Европейската централна банка.</w:t>
      </w:r>
    </w:p>
    <w:p w:rsidR="00D26507" w:rsidRPr="00C6437A" w:rsidRDefault="00D26507" w:rsidP="00D26507">
      <w:pPr>
        <w:pStyle w:val="NormalHanging12a"/>
        <w:jc w:val="both"/>
      </w:pPr>
    </w:p>
    <w:p w:rsidR="00E365E1" w:rsidRPr="00C6437A" w:rsidRDefault="00E365E1" w:rsidP="00D26507"/>
    <w:sectPr w:rsidR="00E365E1" w:rsidRPr="00C6437A" w:rsidSect="00C6437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D60" w:rsidRPr="00C6437A" w:rsidRDefault="006E5D60">
      <w:r w:rsidRPr="00C6437A">
        <w:separator/>
      </w:r>
    </w:p>
  </w:endnote>
  <w:endnote w:type="continuationSeparator" w:id="0">
    <w:p w:rsidR="006E5D60" w:rsidRPr="00C6437A" w:rsidRDefault="006E5D60">
      <w:r w:rsidRPr="00C643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D60" w:rsidRPr="00C6437A" w:rsidRDefault="006E5D60">
      <w:r w:rsidRPr="00C6437A">
        <w:separator/>
      </w:r>
    </w:p>
  </w:footnote>
  <w:footnote w:type="continuationSeparator" w:id="0">
    <w:p w:rsidR="006E5D60" w:rsidRPr="00C6437A" w:rsidRDefault="006E5D60">
      <w:r w:rsidRPr="00C6437A">
        <w:continuationSeparator/>
      </w:r>
    </w:p>
  </w:footnote>
  <w:footnote w:id="1">
    <w:p w:rsidR="00D26507" w:rsidRPr="00C6437A" w:rsidRDefault="00D26507" w:rsidP="00C6437A">
      <w:pPr>
        <w:pStyle w:val="FootnoteText"/>
        <w:ind w:left="567" w:hanging="567"/>
        <w:rPr>
          <w:sz w:val="24"/>
          <w:lang w:val="bg-BG"/>
        </w:rPr>
      </w:pPr>
      <w:r w:rsidRPr="00C6437A">
        <w:rPr>
          <w:rStyle w:val="FootnoteReference"/>
          <w:sz w:val="24"/>
          <w:lang w:val="bg-BG"/>
        </w:rPr>
        <w:footnoteRef/>
      </w:r>
      <w:r w:rsidR="00C6437A" w:rsidRPr="00C6437A">
        <w:rPr>
          <w:sz w:val="24"/>
          <w:lang w:val="bg-BG"/>
        </w:rPr>
        <w:t xml:space="preserve"> </w:t>
      </w:r>
      <w:r w:rsidR="00C6437A" w:rsidRPr="00C6437A">
        <w:rPr>
          <w:sz w:val="24"/>
          <w:lang w:val="bg-BG"/>
        </w:rPr>
        <w:tab/>
      </w:r>
      <w:r w:rsidRPr="00C6437A">
        <w:rPr>
          <w:sz w:val="24"/>
          <w:lang w:val="bg-BG"/>
        </w:rPr>
        <w:t xml:space="preserve">Приети текстове, </w:t>
      </w:r>
      <w:r w:rsidRPr="00C44638">
        <w:rPr>
          <w:sz w:val="24"/>
          <w:lang w:val="bg-BG"/>
        </w:rPr>
        <w:t>P9_TA(2023)0214</w:t>
      </w:r>
      <w:r w:rsidRPr="00C6437A">
        <w:rPr>
          <w:sz w:val="24"/>
          <w:lang w:val="bg-BG"/>
        </w:rPr>
        <w:t>.</w:t>
      </w:r>
    </w:p>
  </w:footnote>
  <w:footnote w:id="2">
    <w:p w:rsidR="00D26507" w:rsidRPr="00C6437A" w:rsidRDefault="00D26507" w:rsidP="00C6437A">
      <w:pPr>
        <w:pStyle w:val="FootnoteText"/>
        <w:ind w:left="567" w:hanging="567"/>
        <w:rPr>
          <w:sz w:val="24"/>
          <w:lang w:val="bg-BG"/>
        </w:rPr>
      </w:pPr>
      <w:r w:rsidRPr="00C6437A">
        <w:rPr>
          <w:rStyle w:val="FootnoteReference"/>
          <w:sz w:val="24"/>
          <w:lang w:val="bg-BG"/>
        </w:rPr>
        <w:footnoteRef/>
      </w:r>
      <w:r w:rsidR="00C6437A" w:rsidRPr="00C6437A">
        <w:rPr>
          <w:sz w:val="24"/>
          <w:lang w:val="bg-BG"/>
        </w:rPr>
        <w:t xml:space="preserve"> </w:t>
      </w:r>
      <w:r w:rsidR="00C6437A" w:rsidRPr="00C6437A">
        <w:rPr>
          <w:sz w:val="24"/>
          <w:lang w:val="bg-BG"/>
        </w:rPr>
        <w:tab/>
      </w:r>
      <w:r w:rsidRPr="00C44638">
        <w:rPr>
          <w:sz w:val="24"/>
          <w:lang w:val="bg-BG"/>
        </w:rPr>
        <w:t>ОВ C 479, 16.12.2022 г., стр. 75</w:t>
      </w:r>
      <w:r w:rsidRPr="00C6437A">
        <w:rPr>
          <w:sz w:val="24"/>
          <w:lang w:val="bg-BG"/>
        </w:rPr>
        <w:t>.</w:t>
      </w:r>
    </w:p>
  </w:footnote>
  <w:footnote w:id="3">
    <w:p w:rsidR="00D26507" w:rsidRPr="00C6437A" w:rsidRDefault="00D26507" w:rsidP="00C6437A">
      <w:pPr>
        <w:pStyle w:val="FootnoteText"/>
        <w:ind w:left="567" w:hanging="567"/>
        <w:rPr>
          <w:sz w:val="24"/>
          <w:lang w:val="bg-BG"/>
        </w:rPr>
      </w:pPr>
      <w:r w:rsidRPr="00C6437A">
        <w:rPr>
          <w:rStyle w:val="FootnoteReference"/>
          <w:sz w:val="24"/>
          <w:lang w:val="bg-BG"/>
        </w:rPr>
        <w:footnoteRef/>
      </w:r>
      <w:r w:rsidR="00C6437A" w:rsidRPr="00C6437A">
        <w:rPr>
          <w:sz w:val="24"/>
          <w:lang w:val="bg-BG"/>
        </w:rPr>
        <w:t xml:space="preserve"> </w:t>
      </w:r>
      <w:r w:rsidR="00C6437A" w:rsidRPr="00C6437A">
        <w:rPr>
          <w:sz w:val="24"/>
          <w:lang w:val="bg-BG"/>
        </w:rPr>
        <w:tab/>
      </w:r>
      <w:r w:rsidRPr="00C6437A">
        <w:rPr>
          <w:sz w:val="24"/>
          <w:lang w:val="bg-BG"/>
        </w:rPr>
        <w:t>Европейска комисия (2021), Икономиката на ЕС след COVID-19: последици за икономическото управление.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BG"/>
    <w:docVar w:name="dvnumam" w:val="0"/>
    <w:docVar w:name="dvpe" w:val="752.845"/>
    <w:docVar w:name="dvrapporteur" w:val="Докладчик: "/>
    <w:docVar w:name="dvtitre" w:val="Резолюция на Европейския парламент от ... 2024 г. относно Европейската централна банка – годишен доклад за 2023 г.(2023/2064(INI))"/>
  </w:docVars>
  <w:rsids>
    <w:rsidRoot w:val="006E5D60"/>
    <w:rsid w:val="00002272"/>
    <w:rsid w:val="00064002"/>
    <w:rsid w:val="000677B9"/>
    <w:rsid w:val="000831BA"/>
    <w:rsid w:val="000A42CC"/>
    <w:rsid w:val="000E7DD9"/>
    <w:rsid w:val="0010095E"/>
    <w:rsid w:val="00125B37"/>
    <w:rsid w:val="00187494"/>
    <w:rsid w:val="001D58BF"/>
    <w:rsid w:val="001F32AE"/>
    <w:rsid w:val="002767FF"/>
    <w:rsid w:val="002A642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6AC"/>
    <w:rsid w:val="006631B6"/>
    <w:rsid w:val="00680577"/>
    <w:rsid w:val="006E5D60"/>
    <w:rsid w:val="006F74FA"/>
    <w:rsid w:val="00711218"/>
    <w:rsid w:val="00731ADD"/>
    <w:rsid w:val="00734777"/>
    <w:rsid w:val="00747932"/>
    <w:rsid w:val="00751A4A"/>
    <w:rsid w:val="00756632"/>
    <w:rsid w:val="00762C74"/>
    <w:rsid w:val="00786EC0"/>
    <w:rsid w:val="007D1690"/>
    <w:rsid w:val="007E22AD"/>
    <w:rsid w:val="00817416"/>
    <w:rsid w:val="00821E3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4638"/>
    <w:rsid w:val="00C61C0C"/>
    <w:rsid w:val="00C6437A"/>
    <w:rsid w:val="00C941CB"/>
    <w:rsid w:val="00CC2357"/>
    <w:rsid w:val="00CF071A"/>
    <w:rsid w:val="00D058B8"/>
    <w:rsid w:val="00D2650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35C8C"/>
  <w15:chartTrackingRefBased/>
  <w15:docId w15:val="{38E76BE1-6046-4DDC-A72F-92B779F9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26507"/>
    <w:pPr>
      <w:spacing w:before="480" w:after="240"/>
    </w:pPr>
  </w:style>
  <w:style w:type="paragraph" w:customStyle="1" w:styleId="NormalHanging12a">
    <w:name w:val="NormalHanging12a"/>
    <w:basedOn w:val="Normal"/>
    <w:rsid w:val="00D26507"/>
    <w:pPr>
      <w:spacing w:after="240"/>
      <w:ind w:left="567" w:hanging="567"/>
    </w:pPr>
  </w:style>
  <w:style w:type="character" w:styleId="Hyperlink">
    <w:name w:val="Hyperlink"/>
    <w:basedOn w:val="DefaultParagraphFont"/>
    <w:rsid w:val="00D26507"/>
    <w:rPr>
      <w:color w:val="0563C1" w:themeColor="hyperlink"/>
      <w:u w:val="single"/>
    </w:rPr>
  </w:style>
  <w:style w:type="paragraph" w:styleId="BalloonText">
    <w:name w:val="Balloon Text"/>
    <w:basedOn w:val="Normal"/>
    <w:link w:val="BalloonTextChar"/>
    <w:rsid w:val="00C44638"/>
    <w:rPr>
      <w:rFonts w:ascii="Segoe UI" w:hAnsi="Segoe UI" w:cs="Segoe UI"/>
      <w:sz w:val="18"/>
      <w:szCs w:val="18"/>
    </w:rPr>
  </w:style>
  <w:style w:type="character" w:customStyle="1" w:styleId="BalloonTextChar">
    <w:name w:val="Balloon Text Char"/>
    <w:basedOn w:val="DefaultParagraphFont"/>
    <w:link w:val="BalloonText"/>
    <w:rsid w:val="00C44638"/>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8E298-E382-433A-B999-F5EA03DDB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4004</Words>
  <Characters>23446</Characters>
  <Application>Microsoft Office Word</Application>
  <DocSecurity>0</DocSecurity>
  <Lines>558</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2024-03-26T10:48:00Z</dcterms:created>
  <dcterms:modified xsi:type="dcterms:W3CDTF">2024-03-26T10:48:00Z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A9-0412/2023</vt:lpwstr>
  </property>
  <property fmtid="{D5CDD505-2E9C-101B-9397-08002B2CF9AE}" pid="4" name="&lt;Type&gt;">
    <vt:lpwstr>RR</vt:lpwstr>
  </property>
</Properties>
</file>