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16B6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16B6C" w:rsidRDefault="003247FF" w:rsidP="0010095E">
            <w:pPr>
              <w:pStyle w:val="EPName"/>
            </w:pPr>
            <w:bookmarkStart w:id="0" w:name="_GoBack"/>
            <w:bookmarkEnd w:id="0"/>
            <w:r w:rsidRPr="00F16B6C">
              <w:t>Evropský parlament</w:t>
            </w:r>
          </w:p>
          <w:p w:rsidR="00751A4A" w:rsidRPr="00F16B6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16B6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16B6C" w:rsidRDefault="00187494" w:rsidP="0010095E">
            <w:pPr>
              <w:pStyle w:val="EPLogo"/>
            </w:pPr>
            <w:r w:rsidRPr="00F16B6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16B6C" w:rsidRDefault="00D058B8" w:rsidP="004C5D52">
      <w:pPr>
        <w:pStyle w:val="LineTop"/>
      </w:pPr>
    </w:p>
    <w:p w:rsidR="00680577" w:rsidRPr="00F16B6C" w:rsidRDefault="003247FF" w:rsidP="00680577">
      <w:pPr>
        <w:pStyle w:val="EPBodyTA1"/>
      </w:pPr>
      <w:r w:rsidRPr="00F16B6C">
        <w:t>PŘIJATÉ TEXTY</w:t>
      </w:r>
    </w:p>
    <w:p w:rsidR="00D058B8" w:rsidRPr="00F16B6C" w:rsidRDefault="00D058B8" w:rsidP="00D058B8">
      <w:pPr>
        <w:pStyle w:val="LineBottom"/>
      </w:pPr>
    </w:p>
    <w:p w:rsidR="003247FF" w:rsidRPr="00F16B6C" w:rsidRDefault="003247FF" w:rsidP="003247FF">
      <w:pPr>
        <w:pStyle w:val="ATHeading1"/>
      </w:pPr>
      <w:bookmarkStart w:id="1" w:name="TANumber"/>
      <w:r w:rsidRPr="00F16B6C">
        <w:t>P9_TA(2024)00</w:t>
      </w:r>
      <w:bookmarkEnd w:id="1"/>
      <w:r w:rsidR="00C55A2B">
        <w:t>94</w:t>
      </w:r>
    </w:p>
    <w:p w:rsidR="003247FF" w:rsidRPr="00F16B6C" w:rsidRDefault="0085249A" w:rsidP="003247FF">
      <w:pPr>
        <w:pStyle w:val="ATHeading2"/>
      </w:pPr>
      <w:r w:rsidRPr="0085249A">
        <w:t>Evropská centrální banka – výroční zpráva za rok 2023</w:t>
      </w:r>
    </w:p>
    <w:p w:rsidR="003247FF" w:rsidRPr="00F16B6C" w:rsidRDefault="003247FF" w:rsidP="003247FF">
      <w:pPr>
        <w:rPr>
          <w:i/>
          <w:vanish/>
        </w:rPr>
      </w:pPr>
      <w:r w:rsidRPr="00F16B6C">
        <w:rPr>
          <w:i/>
        </w:rPr>
        <w:fldChar w:fldCharType="begin"/>
      </w:r>
      <w:r w:rsidRPr="00F16B6C">
        <w:rPr>
          <w:i/>
        </w:rPr>
        <w:instrText xml:space="preserve"> TC"(</w:instrText>
      </w:r>
      <w:bookmarkStart w:id="2" w:name="DocNumber"/>
      <w:r w:rsidRPr="00F16B6C">
        <w:rPr>
          <w:i/>
        </w:rPr>
        <w:instrText>A9-0412/2023</w:instrText>
      </w:r>
      <w:bookmarkEnd w:id="2"/>
      <w:r w:rsidRPr="00F16B6C">
        <w:rPr>
          <w:i/>
        </w:rPr>
        <w:instrText xml:space="preserve"> - Zpravodaj: Johan Van Overtveldt)"\l3 \n&gt; \* MERGEFORMAT </w:instrText>
      </w:r>
      <w:r w:rsidRPr="00F16B6C">
        <w:rPr>
          <w:i/>
        </w:rPr>
        <w:fldChar w:fldCharType="end"/>
      </w:r>
    </w:p>
    <w:p w:rsidR="003247FF" w:rsidRPr="00F16B6C" w:rsidRDefault="003247FF" w:rsidP="003247FF">
      <w:pPr>
        <w:rPr>
          <w:vanish/>
        </w:rPr>
      </w:pPr>
      <w:bookmarkStart w:id="3" w:name="Commission"/>
      <w:r w:rsidRPr="00F16B6C">
        <w:rPr>
          <w:vanish/>
        </w:rPr>
        <w:t>Hospodářský a měnový výbor</w:t>
      </w:r>
      <w:bookmarkEnd w:id="3"/>
    </w:p>
    <w:p w:rsidR="003247FF" w:rsidRPr="00F16B6C" w:rsidRDefault="003247FF" w:rsidP="003247FF">
      <w:pPr>
        <w:rPr>
          <w:vanish/>
        </w:rPr>
      </w:pPr>
      <w:bookmarkStart w:id="4" w:name="PE"/>
      <w:r w:rsidRPr="00F16B6C">
        <w:rPr>
          <w:vanish/>
        </w:rPr>
        <w:t>PE752.845</w:t>
      </w:r>
      <w:bookmarkEnd w:id="4"/>
    </w:p>
    <w:p w:rsidR="003247FF" w:rsidRPr="00F16B6C" w:rsidRDefault="003247FF" w:rsidP="003247FF">
      <w:pPr>
        <w:pStyle w:val="ATHeading3"/>
      </w:pPr>
      <w:bookmarkStart w:id="5" w:name="Sujet"/>
      <w:r w:rsidRPr="00F16B6C">
        <w:t xml:space="preserve">Usnesení </w:t>
      </w:r>
      <w:r w:rsidR="00C55A2B">
        <w:t>Evropského parlamentu ze dne 27</w:t>
      </w:r>
      <w:r w:rsidR="00677574">
        <w:t>. února</w:t>
      </w:r>
      <w:r w:rsidRPr="00F16B6C">
        <w:t xml:space="preserve"> 2024 o Evropské centrální bance – výroční zpráva za rok 2023</w:t>
      </w:r>
      <w:bookmarkEnd w:id="5"/>
      <w:r w:rsidRPr="00F16B6C">
        <w:t xml:space="preserve"> </w:t>
      </w:r>
      <w:bookmarkStart w:id="6" w:name="References"/>
      <w:r w:rsidRPr="00F16B6C">
        <w:t>(2023/2064(INI))</w:t>
      </w:r>
      <w:bookmarkEnd w:id="6"/>
    </w:p>
    <w:p w:rsidR="00AB0144" w:rsidRPr="00F16B6C" w:rsidRDefault="00AB0144" w:rsidP="00AB0144">
      <w:pPr>
        <w:pStyle w:val="EPComma"/>
      </w:pPr>
      <w:bookmarkStart w:id="7" w:name="TextBodyBegin"/>
      <w:bookmarkEnd w:id="7"/>
      <w:r w:rsidRPr="00F16B6C">
        <w:rPr>
          <w:i/>
        </w:rPr>
        <w:t>Evropský parlament</w:t>
      </w:r>
      <w:r w:rsidRPr="00F16B6C">
        <w:t>,</w:t>
      </w:r>
    </w:p>
    <w:p w:rsidR="00AB0144" w:rsidRPr="00F16B6C" w:rsidRDefault="00AB0144" w:rsidP="00B12988">
      <w:pPr>
        <w:pStyle w:val="NormalHanging12a"/>
      </w:pPr>
      <w:r w:rsidRPr="00F16B6C">
        <w:t>–</w:t>
      </w:r>
      <w:r w:rsidRPr="00F16B6C">
        <w:tab/>
        <w:t>s ohledem na výroční zprávu Evropské centrální banky (ECB) za rok 2022,</w:t>
      </w:r>
    </w:p>
    <w:p w:rsidR="00AB0144" w:rsidRPr="00F16B6C" w:rsidRDefault="00AB0144" w:rsidP="00B12988">
      <w:pPr>
        <w:pStyle w:val="NormalHanging12a"/>
      </w:pPr>
      <w:r w:rsidRPr="00F16B6C">
        <w:t>–</w:t>
      </w:r>
      <w:r w:rsidRPr="00F16B6C">
        <w:tab/>
        <w:t>s ohledem na reakci ECB ze dne 25. května 2023 na podněty, které Parlament vyjádřil ve svém usnesení o výroční zprávě ECB za rok 2021,</w:t>
      </w:r>
    </w:p>
    <w:p w:rsidR="00AB0144" w:rsidRPr="00F16B6C" w:rsidRDefault="00AB0144" w:rsidP="00B12988">
      <w:pPr>
        <w:pStyle w:val="NormalHanging12a"/>
      </w:pPr>
      <w:r w:rsidRPr="00F16B6C">
        <w:t>–</w:t>
      </w:r>
      <w:r w:rsidRPr="00F16B6C">
        <w:tab/>
        <w:t xml:space="preserve">s ohledem na statut Evropského systému centrálních bank (ESCB) a ECB, zejména na články 15 a 21 tohoto statutu, </w:t>
      </w:r>
    </w:p>
    <w:p w:rsidR="00AB0144" w:rsidRPr="00F16B6C" w:rsidRDefault="00AB0144" w:rsidP="00B12988">
      <w:pPr>
        <w:pStyle w:val="NormalHanging12a"/>
      </w:pPr>
      <w:r w:rsidRPr="00F16B6C">
        <w:t>–</w:t>
      </w:r>
      <w:r w:rsidRPr="00F16B6C">
        <w:tab/>
        <w:t>s ohledem na článek 123, čl. 127 odst. 1 a 2, článek 130 a čl. 284 odst. 3 Smlouvy o fungování Evropské unie (SFEU),</w:t>
      </w:r>
    </w:p>
    <w:p w:rsidR="00AB0144" w:rsidRPr="00F16B6C" w:rsidRDefault="00AB0144" w:rsidP="00B12988">
      <w:pPr>
        <w:pStyle w:val="NormalHanging12a"/>
      </w:pPr>
      <w:r w:rsidRPr="00F16B6C">
        <w:t>–</w:t>
      </w:r>
      <w:r w:rsidRPr="00F16B6C">
        <w:tab/>
        <w:t>s ohledem na články 3 a 119 Smlouvy o Evropské unii (SEU),</w:t>
      </w:r>
    </w:p>
    <w:p w:rsidR="00AB0144" w:rsidRPr="00F16B6C" w:rsidRDefault="00AB0144" w:rsidP="00B12988">
      <w:pPr>
        <w:pStyle w:val="NormalHanging12a"/>
      </w:pPr>
      <w:r w:rsidRPr="00F16B6C">
        <w:t>–</w:t>
      </w:r>
      <w:r w:rsidRPr="00F16B6C">
        <w:tab/>
        <w:t xml:space="preserve">s ohledem na makroekonomické projekce odborníků </w:t>
      </w:r>
      <w:proofErr w:type="spellStart"/>
      <w:r w:rsidRPr="00F16B6C">
        <w:t>Eurosystému</w:t>
      </w:r>
      <w:proofErr w:type="spellEnd"/>
      <w:r w:rsidRPr="00F16B6C">
        <w:t xml:space="preserve"> ze dne 15. června 2023 pro eurozónu a na rozhodnutí přijatá Radou guvernérů ECB,</w:t>
      </w:r>
    </w:p>
    <w:p w:rsidR="00AB0144" w:rsidRPr="00F16B6C" w:rsidRDefault="00AB0144" w:rsidP="00B12988">
      <w:pPr>
        <w:pStyle w:val="NormalHanging12a"/>
      </w:pPr>
      <w:r w:rsidRPr="00F16B6C">
        <w:t>–</w:t>
      </w:r>
      <w:r w:rsidRPr="00F16B6C">
        <w:tab/>
        <w:t xml:space="preserve">s ohledem na měnové dialogy mezi Hospodářským a měnovým výborem a prezidentkou ECB Christine </w:t>
      </w:r>
      <w:proofErr w:type="spellStart"/>
      <w:r w:rsidRPr="00F16B6C">
        <w:t>Lagardeovou</w:t>
      </w:r>
      <w:proofErr w:type="spellEnd"/>
      <w:r w:rsidRPr="00F16B6C">
        <w:t xml:space="preserve"> ve dnech 20. března 2023 a 5. června 2023,</w:t>
      </w:r>
    </w:p>
    <w:p w:rsidR="00AB0144" w:rsidRPr="00F16B6C" w:rsidRDefault="00AB0144" w:rsidP="00B12988">
      <w:pPr>
        <w:pStyle w:val="NormalHanging12a"/>
      </w:pPr>
      <w:r w:rsidRPr="00F16B6C">
        <w:t>–</w:t>
      </w:r>
      <w:r w:rsidRPr="00F16B6C">
        <w:tab/>
        <w:t>s ohledem na návrh nařízení Evropského parlamentu a Rady o zavedení projektu digitálního eura, který předložila Komise dne 28. června 2023 (</w:t>
      </w:r>
      <w:proofErr w:type="gramStart"/>
      <w:r w:rsidRPr="00F16B6C">
        <w:t>COM(2023</w:t>
      </w:r>
      <w:proofErr w:type="gramEnd"/>
      <w:r w:rsidRPr="00F16B6C">
        <w:t xml:space="preserve">)0369), </w:t>
      </w:r>
    </w:p>
    <w:p w:rsidR="00AB0144" w:rsidRPr="00F16B6C" w:rsidRDefault="00AB0144" w:rsidP="00B12988">
      <w:pPr>
        <w:pStyle w:val="NormalHanging12a"/>
      </w:pPr>
      <w:r w:rsidRPr="00F16B6C">
        <w:t>–</w:t>
      </w:r>
      <w:r w:rsidRPr="00F16B6C">
        <w:tab/>
        <w:t>s ohledem na své rozhodnutí ze dne 1. června 2023 o ujednáních ve formě výměny dopisů mezi Evropským parlamentem a Evropskou centrální bankou o struktuře postupů vzájemné interakce v oblasti centrálního bankovnictví</w:t>
      </w:r>
      <w:r w:rsidRPr="00F16B6C">
        <w:rPr>
          <w:rStyle w:val="FootnoteReference"/>
        </w:rPr>
        <w:footnoteReference w:id="1"/>
      </w:r>
      <w:r w:rsidRPr="00F16B6C">
        <w:t>,</w:t>
      </w:r>
    </w:p>
    <w:p w:rsidR="00AB0144" w:rsidRPr="00F16B6C" w:rsidRDefault="00AB0144" w:rsidP="00B12988">
      <w:pPr>
        <w:pStyle w:val="NormalHanging12a"/>
      </w:pPr>
      <w:r w:rsidRPr="00F16B6C">
        <w:t>–</w:t>
      </w:r>
      <w:r w:rsidRPr="00F16B6C">
        <w:tab/>
        <w:t xml:space="preserve">s ohledem na své usnesení ze dne 19. května 2022 nazvané Sociální a hospodářské </w:t>
      </w:r>
      <w:r w:rsidRPr="00F16B6C">
        <w:lastRenderedPageBreak/>
        <w:t>důsledky ruské války na Ukrajině pro EU – posílení akceschopnosti EU</w:t>
      </w:r>
      <w:r w:rsidRPr="0098207A">
        <w:rPr>
          <w:rStyle w:val="FootnoteReference"/>
        </w:rPr>
        <w:footnoteReference w:id="2"/>
      </w:r>
      <w:r w:rsidRPr="00F16B6C">
        <w:t>,</w:t>
      </w:r>
    </w:p>
    <w:p w:rsidR="00AB0144" w:rsidRPr="00F16B6C" w:rsidRDefault="00AB0144" w:rsidP="00B12988">
      <w:pPr>
        <w:pStyle w:val="NormalHanging12a"/>
      </w:pPr>
      <w:r w:rsidRPr="00F16B6C">
        <w:t>–</w:t>
      </w:r>
      <w:r w:rsidRPr="00F16B6C">
        <w:tab/>
        <w:t>s ohledem na Pařížskou dohodu přijatou v rámci Rámcové úmluvy OSN o změně klimatu,</w:t>
      </w:r>
    </w:p>
    <w:p w:rsidR="00AB0144" w:rsidRPr="00F16B6C" w:rsidRDefault="00AB0144" w:rsidP="00B12988">
      <w:pPr>
        <w:pStyle w:val="NormalHanging12a"/>
        <w:rPr>
          <w:b/>
          <w:bCs/>
        </w:rPr>
      </w:pPr>
      <w:r w:rsidRPr="00F16B6C">
        <w:t>–</w:t>
      </w:r>
      <w:r w:rsidRPr="00F16B6C">
        <w:tab/>
        <w:t>s ohledem na evropský pilíř sociálních práv,</w:t>
      </w:r>
    </w:p>
    <w:p w:rsidR="00AB0144" w:rsidRPr="00F16B6C" w:rsidRDefault="00AB0144" w:rsidP="00B12988">
      <w:pPr>
        <w:pStyle w:val="NormalHanging12a"/>
      </w:pPr>
      <w:r w:rsidRPr="00F16B6C">
        <w:t>–</w:t>
      </w:r>
      <w:r w:rsidRPr="00F16B6C">
        <w:tab/>
        <w:t>s ohledem na čl. 142 odst. 1 jednacího řádu,</w:t>
      </w:r>
    </w:p>
    <w:p w:rsidR="00AB0144" w:rsidRPr="00F16B6C" w:rsidRDefault="00AB0144" w:rsidP="00FD147C">
      <w:pPr>
        <w:pStyle w:val="NormalHanging12a"/>
      </w:pPr>
      <w:r w:rsidRPr="00F16B6C">
        <w:t>–</w:t>
      </w:r>
      <w:r w:rsidRPr="00F16B6C">
        <w:tab/>
        <w:t>s ohledem na zprávu Hospodářského a měnového výboru (A9-0412/2023),</w:t>
      </w:r>
    </w:p>
    <w:p w:rsidR="00AB0144" w:rsidRPr="00F16B6C" w:rsidRDefault="00AB0144" w:rsidP="00B12988">
      <w:pPr>
        <w:pStyle w:val="NormalHanging12a"/>
      </w:pPr>
      <w:r w:rsidRPr="00F16B6C">
        <w:t>A.</w:t>
      </w:r>
      <w:r w:rsidRPr="00F16B6C">
        <w:tab/>
        <w:t xml:space="preserve">vzhledem k tomu, že podle makroekonomických projekcí odborníků </w:t>
      </w:r>
      <w:proofErr w:type="spellStart"/>
      <w:r w:rsidRPr="00F16B6C">
        <w:t>Eurosystému</w:t>
      </w:r>
      <w:proofErr w:type="spellEnd"/>
      <w:r w:rsidRPr="00F16B6C">
        <w:t xml:space="preserve"> z června 2023 se očekává, že růst hospodářství eurozóny zpomalí z 3,5 % v roce 2022 na 0,9 % v roce 2023 a v roce 2024 se opět zvýší na 1,5 %; vzhledem k tomu, že podle předběžného odhadu </w:t>
      </w:r>
      <w:proofErr w:type="spellStart"/>
      <w:r w:rsidRPr="00F16B6C">
        <w:t>Eurostatu</w:t>
      </w:r>
      <w:proofErr w:type="spellEnd"/>
      <w:r w:rsidRPr="00F16B6C">
        <w:t xml:space="preserve"> vzrostlo hospodářství eurozóny v roce 2023 o pouhých 0,6 %; vzhledem k tomu, že to představuje nejhorší výsledek od recese v roce 2020;</w:t>
      </w:r>
    </w:p>
    <w:p w:rsidR="00AB0144" w:rsidRDefault="00AB0144" w:rsidP="00B12988">
      <w:pPr>
        <w:pStyle w:val="NormalHanging12a"/>
      </w:pPr>
      <w:r w:rsidRPr="00F16B6C">
        <w:t>B.</w:t>
      </w:r>
      <w:r w:rsidRPr="00F16B6C">
        <w:tab/>
        <w:t xml:space="preserve">vzhledem k tomu, že podle makroekonomických projekcí pro eurozónu ze září 2023, které sestavili odborníci </w:t>
      </w:r>
      <w:proofErr w:type="spellStart"/>
      <w:r w:rsidRPr="00F16B6C">
        <w:t>Eurosystému</w:t>
      </w:r>
      <w:proofErr w:type="spellEnd"/>
      <w:r w:rsidRPr="00F16B6C">
        <w:t xml:space="preserve">, se očekává, že celková inflace dosáhne v roce 2023 průměrné hodnoty 5,6 %, v roce 2024 3,2 % a v roce 2025 2,1 %, a to navzdory poklesu cen energií a uvolnění úzkých míst v dodávkách; vzhledem k tomu, že jádrová inflace je setrvalejší a v červnu 2023 vzrostla na 5,5 %, poté v září 2023 klesla na 4,2 %; vzhledem k tomu, že se předpokládá, že jádrová inflace v blízké budoucnosti převýší celkovou inflaci a bude ji přesahovat až do začátku roku 2024, zejména v důsledku silného růstu mezd; </w:t>
      </w:r>
    </w:p>
    <w:p w:rsidR="00C55A2B" w:rsidRPr="00F16B6C" w:rsidRDefault="00C55A2B" w:rsidP="00B12988">
      <w:pPr>
        <w:pStyle w:val="NormalHanging12a"/>
      </w:pPr>
      <w:r>
        <w:t>C</w:t>
      </w:r>
      <w:r w:rsidRPr="00C55A2B">
        <w:t>.</w:t>
      </w:r>
      <w:r w:rsidRPr="00C55A2B">
        <w:tab/>
        <w:t xml:space="preserve">vzhledem k tomu, že desetkrát po sobě jdoucí zvýšení referenční úrokové sazby má obzvláště negativní dopad na solventnost domácností, </w:t>
      </w:r>
      <w:proofErr w:type="spellStart"/>
      <w:r w:rsidRPr="00C55A2B">
        <w:t>mikropodniků</w:t>
      </w:r>
      <w:proofErr w:type="spellEnd"/>
      <w:r w:rsidRPr="00C55A2B">
        <w:t xml:space="preserve"> a malých a středních podniků v zemích, které používají převážně model s pohyblivými úrokovými sazbami;</w:t>
      </w:r>
    </w:p>
    <w:p w:rsidR="00AB0144" w:rsidRPr="00F16B6C" w:rsidRDefault="00C55A2B" w:rsidP="00B12988">
      <w:pPr>
        <w:pStyle w:val="NormalHanging12a"/>
      </w:pPr>
      <w:r>
        <w:t>D</w:t>
      </w:r>
      <w:r w:rsidR="00AB0144" w:rsidRPr="00F16B6C">
        <w:t>.</w:t>
      </w:r>
      <w:r w:rsidR="00AB0144" w:rsidRPr="00F16B6C">
        <w:tab/>
        <w:t>vzhledem k tomu, že podle ekonomické prognózy Komise z roku 2023 se předpokládá, že schodek veřejných financí klesne na 3,1 % hrubého domácího produktu (HDP) v roce 2023 a 2,4 % v roce 2024; vzhledem k tomu, že poměr veřejného dluhu k HDP se v eurozóně snížil z 95,0 % na 91,2 % a v EU-27 z 87,4 % v roce 2022 na 83,7 % v roce 2023; vzhledem k tomu, že to stále překračuje referenční hodnoty Smlouvy; vzhledem k tomu, že veřejný dluh a schodky se v jednotlivých členských státech značně liší;</w:t>
      </w:r>
    </w:p>
    <w:p w:rsidR="00AB0144" w:rsidRPr="00F16B6C" w:rsidRDefault="00C55A2B" w:rsidP="00B12988">
      <w:pPr>
        <w:pStyle w:val="NormalHanging12a"/>
      </w:pPr>
      <w:r>
        <w:t>E</w:t>
      </w:r>
      <w:r w:rsidR="00AB0144" w:rsidRPr="00F16B6C">
        <w:t>.</w:t>
      </w:r>
      <w:r w:rsidR="00AB0144" w:rsidRPr="00F16B6C">
        <w:tab/>
        <w:t>vzhledem k tomu, že ECB je politicky nezávislá, takže ani orgány a agentury EU ani vlády členských států by se ji neměly snažit ovlivňovat; tato nezávislost vyžaduje, aby se ECB zdržela přijímání politických rozhodnutí;</w:t>
      </w:r>
    </w:p>
    <w:p w:rsidR="00AB0144" w:rsidRPr="00F16B6C" w:rsidRDefault="00C55A2B" w:rsidP="00B12988">
      <w:pPr>
        <w:pStyle w:val="NormalHanging12a"/>
      </w:pPr>
      <w:r>
        <w:t>F</w:t>
      </w:r>
      <w:r w:rsidR="00AB0144" w:rsidRPr="00F16B6C">
        <w:t>.</w:t>
      </w:r>
      <w:r w:rsidR="00AB0144" w:rsidRPr="00F16B6C">
        <w:tab/>
        <w:t>vzhledem k tomu, že Evropská komise uvedla, že „další potřeby soukromých a veřejných investic v souvislosti se souběžnou transformací a jejími politickými cíli se odhadují na téměř 650 miliard EUR ročně do roku 2030“</w:t>
      </w:r>
      <w:r w:rsidR="00AB0144" w:rsidRPr="00F16B6C">
        <w:rPr>
          <w:rStyle w:val="FootnoteReference"/>
          <w:b/>
          <w:i/>
        </w:rPr>
        <w:footnoteReference w:id="3"/>
      </w:r>
      <w:r w:rsidR="00AB0144" w:rsidRPr="00F16B6C">
        <w:t>;</w:t>
      </w:r>
    </w:p>
    <w:p w:rsidR="00AB0144" w:rsidRPr="00F16B6C" w:rsidRDefault="00C55A2B" w:rsidP="00B12988">
      <w:pPr>
        <w:pStyle w:val="NormalHanging12a"/>
      </w:pPr>
      <w:r>
        <w:t>G</w:t>
      </w:r>
      <w:r w:rsidR="00AB0144" w:rsidRPr="00F16B6C">
        <w:t>.</w:t>
      </w:r>
      <w:r w:rsidR="00AB0144" w:rsidRPr="00F16B6C">
        <w:tab/>
        <w:t xml:space="preserve">vzhledem k tomu, že prvořadým cílem ECB je udržovat cenovou stabilitu, kterou </w:t>
      </w:r>
      <w:r w:rsidR="00AB0144" w:rsidRPr="00F16B6C">
        <w:lastRenderedPageBreak/>
        <w:t>definovala jako symetrickou 2% inflaci ve střednědobém horizontu;</w:t>
      </w:r>
    </w:p>
    <w:p w:rsidR="00AB0144" w:rsidRPr="00F16B6C" w:rsidRDefault="00C55A2B" w:rsidP="00B12988">
      <w:pPr>
        <w:pStyle w:val="NormalHanging12a"/>
      </w:pPr>
      <w:r>
        <w:t>H</w:t>
      </w:r>
      <w:r w:rsidR="00AB0144" w:rsidRPr="00F16B6C">
        <w:t>.</w:t>
      </w:r>
      <w:r w:rsidR="00AB0144" w:rsidRPr="00F16B6C">
        <w:tab/>
        <w:t>vzhledem k tomu, že aniž je dotčen prvořadý cíl cenové stability, ECB by měla rovněž podporovat obecné hospodářské politiky v EU, a přispívat tak k plnění cílů Unie vymezených v článku 3 SEU;</w:t>
      </w:r>
    </w:p>
    <w:p w:rsidR="00AB0144" w:rsidRPr="00F16B6C" w:rsidRDefault="00C55A2B" w:rsidP="00B12988">
      <w:pPr>
        <w:pStyle w:val="NormalHanging12a"/>
      </w:pPr>
      <w:r>
        <w:t>I</w:t>
      </w:r>
      <w:r w:rsidR="00AB0144" w:rsidRPr="00F16B6C">
        <w:t>.</w:t>
      </w:r>
      <w:r w:rsidR="00AB0144" w:rsidRPr="00F16B6C">
        <w:tab/>
        <w:t>vzhledem k tomu, že článek 123 SFEU a článek 21 statutu ESCB a ECB zakazují měnové financování vlád;</w:t>
      </w:r>
    </w:p>
    <w:p w:rsidR="00AB0144" w:rsidRPr="00F16B6C" w:rsidRDefault="00C55A2B" w:rsidP="00B12988">
      <w:pPr>
        <w:pStyle w:val="NormalHanging12a"/>
      </w:pPr>
      <w:r>
        <w:t>J</w:t>
      </w:r>
      <w:r w:rsidR="00AB0144" w:rsidRPr="00F16B6C">
        <w:t>.</w:t>
      </w:r>
      <w:r w:rsidR="00AB0144" w:rsidRPr="00F16B6C">
        <w:tab/>
        <w:t>vzhledem k tomu, že ECB je odpovědná Parlamentu jako orgánu zastupujícímu občany EU;</w:t>
      </w:r>
    </w:p>
    <w:p w:rsidR="00AB0144" w:rsidRPr="00F16B6C" w:rsidRDefault="00AB0144" w:rsidP="00B12988">
      <w:pPr>
        <w:pStyle w:val="NormalHanging12a"/>
        <w:rPr>
          <w:b/>
          <w:i/>
        </w:rPr>
      </w:pPr>
      <w:r w:rsidRPr="00F16B6C">
        <w:rPr>
          <w:b/>
          <w:i/>
        </w:rPr>
        <w:t>Celkový přehled</w:t>
      </w:r>
    </w:p>
    <w:p w:rsidR="00AB0144" w:rsidRPr="00F16B6C" w:rsidRDefault="00AB0144" w:rsidP="00FD147C">
      <w:pPr>
        <w:pStyle w:val="NormalHanging12a"/>
      </w:pPr>
      <w:r w:rsidRPr="00F16B6C">
        <w:t>1.</w:t>
      </w:r>
      <w:r w:rsidRPr="00F16B6C">
        <w:tab/>
        <w:t xml:space="preserve">připomíná, že článek 127 SFEU stanoví, že „prvořadým cílem Evropského systému centrálních bank (ESCB) je udržovat cenovou stabilitu. Aniž je však dotčen cíl cenové stability, podporuje ESCB obecné hospodářské politiky v Unii se záměrem přispět k dosažení cílů Unie, jak jsou vymezeny v článku 3 Smlouvy o Evropské unii. ESCB jedná ve shodě se zásadami stanovenými v článku 119 a v souladu se zásadou otevřeného tržního hospodářství s volnou soutěží, čímž podporuje efektivní umisťování zdrojů.“; </w:t>
      </w:r>
    </w:p>
    <w:p w:rsidR="00AB0144" w:rsidRPr="00F16B6C" w:rsidRDefault="00AB0144">
      <w:pPr>
        <w:pStyle w:val="NormalHanging12a"/>
      </w:pPr>
      <w:r w:rsidRPr="00F16B6C">
        <w:t>2.</w:t>
      </w:r>
      <w:r w:rsidRPr="00F16B6C">
        <w:tab/>
        <w:t>připomíná zákonnou nezávislost ECB, jak je zakotvena v článku 130 SFEU, a dále zdůrazňuje, že tato nezávislost by měla být vždy doplněna odpovídající úrovní odpovědnosti;</w:t>
      </w:r>
    </w:p>
    <w:p w:rsidR="00AB0144" w:rsidRPr="00F16B6C" w:rsidRDefault="00AB0144">
      <w:pPr>
        <w:pStyle w:val="NormalHanging12a"/>
      </w:pPr>
      <w:r w:rsidRPr="00F16B6C">
        <w:t>3.</w:t>
      </w:r>
      <w:r w:rsidRPr="00F16B6C">
        <w:tab/>
        <w:t>je znepokojen tím, že pokud ECB nedostane inflaci včas na cílovou úroveň a zároveň zvýší náklady na financování v eurozóně, zejména pro občany a podniky, hrozí ECB, že ztratí svou důvěryhodnost;</w:t>
      </w:r>
    </w:p>
    <w:p w:rsidR="00AB0144" w:rsidRPr="00F16B6C" w:rsidRDefault="00AB0144">
      <w:pPr>
        <w:pStyle w:val="NormalHanging12a"/>
      </w:pPr>
      <w:r w:rsidRPr="00F16B6C">
        <w:t>4.</w:t>
      </w:r>
      <w:r w:rsidRPr="00F16B6C">
        <w:tab/>
        <w:t>je hluboce znepokojen přetrvávající vysokou mírou inflace, zejména mírou jádrové inflace, a jejím škodlivým dopadem na konkurenceschopnost, investice, tvorbu pracovních míst a kupní sílu spotřebitelů, což ovlivňuje zejména ty, kteří mají fixní nebo omezené příjmy; vyzývá ECB, aby přijala veškerá nezbytná opatření ke snížení míry inflace v souladu se svým mandátem; připomíná, že taková situace způsobuje hospodářskou nejistotu a zvyšuje životní náklady občanů; zdůrazňuje, že to může vést k inflačním očekáváním, která udržují cyklus zvyšování cen a narušují hospodářskou stabilitu; konstatuje, že kvantitativní inflační cíle musí být splněny ve střednědobém horizontu; vyzývá ECB, aby poskytovala více informací o sledování a stanovování neutrální úrokové sazby;</w:t>
      </w:r>
    </w:p>
    <w:p w:rsidR="00AB0144" w:rsidRPr="00F16B6C" w:rsidRDefault="00AB0144">
      <w:pPr>
        <w:pStyle w:val="NormalHanging12a"/>
      </w:pPr>
      <w:r w:rsidRPr="00F16B6C">
        <w:t>5.</w:t>
      </w:r>
      <w:r w:rsidRPr="00F16B6C">
        <w:tab/>
        <w:t xml:space="preserve">bere na vědomí různé úrovně zadlužení, schodků veřejných financí a veřejných investic v členských státech a možná rizika a problémy, které to s sebou nese pro hospodářskou stabilitu, důvěru investorů, hospodářský růst a dlouhodobou prosperitu; vyjadřuje politování nad tím, že nebyly učiněny dostatečné kroky k reformě konkurenceschopnosti a veřejných investic v době, kdy byly úrokové sazby nízké; zdůrazňuje své mimořádné znepokojení nad rostoucími náklady na dluhové financování, zejména v případě státního dluhu, v důsledku rostoucích úrokových sazeb; připomíná, že odpovědný přístup ke schodku veřejných financí a míře zadlužení je zásadní pro to, aby se zabránilo riziku spojenému se současnou mírou inflace s cílem zachovat stabilní hospodářství a udržitelný růst; naléhavě vyzývá k rychlé realizaci </w:t>
      </w:r>
      <w:r w:rsidRPr="00F16B6C">
        <w:lastRenderedPageBreak/>
        <w:t>legislativních návrhů Komise týkajících se revize pravidel EU pro správu ekonomických záležitostí; vítá stanovisko ECB v tomto ohledu; poukazuje na to, že expanzivní fiskální politiky by mohly působit proti zpřísňování měnové politiky ECB;</w:t>
      </w:r>
    </w:p>
    <w:p w:rsidR="00AB0144" w:rsidRPr="00F16B6C" w:rsidRDefault="00AB0144">
      <w:pPr>
        <w:pStyle w:val="NormalHanging12a"/>
      </w:pPr>
      <w:r w:rsidRPr="00F16B6C">
        <w:t>6.</w:t>
      </w:r>
      <w:r w:rsidRPr="00F16B6C">
        <w:tab/>
        <w:t xml:space="preserve">odsuzuje nevyprovokovanou agresi vůči Ukrajině a pokračující negativní otřesy na straně nabídky, které přináší; je znepokojen jejími přetrvávajícími, nepředvídatelnými a závažnými důsledky pro evropské hospodářství a společnost, zejména pro nejexponovanější a nejohroženější skupiny, jako jsou domácnosti s nižšími příjmy a malé a střední podniky; vítá v tomto ohledu začlenění plánu </w:t>
      </w:r>
      <w:proofErr w:type="spellStart"/>
      <w:r w:rsidRPr="00F16B6C">
        <w:t>REPowerEU</w:t>
      </w:r>
      <w:proofErr w:type="spellEnd"/>
      <w:r w:rsidRPr="00F16B6C">
        <w:t xml:space="preserve"> do plánů pro oživení a odolnost s cílem snížit energetickou závislost na Rusku, podpořit strategickou autonomii a vyřešit otřesy na straně nabídky;</w:t>
      </w:r>
    </w:p>
    <w:p w:rsidR="00AB0144" w:rsidRPr="00F16B6C" w:rsidRDefault="00AB0144">
      <w:pPr>
        <w:pStyle w:val="NormalHanging12a"/>
      </w:pPr>
      <w:r w:rsidRPr="00F16B6C">
        <w:t>7.</w:t>
      </w:r>
      <w:r w:rsidRPr="00F16B6C">
        <w:tab/>
        <w:t>zdůrazňuje, že hrozby pro evropskou konkurenceschopnost a mezinárodní úlohu eura vyplývají nejen z vysoké míry inflace, probíhající války na Ukrajině a z vysoké a rozdílné úrovně veřejného dluhu v členských státech, ale také z institucionální struktury eurozóny, stále více zatěžujících nákladů na regulaci, zvětšující se roztříštěnosti mezinárodního obchodu a hrozícího soupeření o dotace mezi jednotlivými státy v rámci jejich ochranářských politik; vyzývá ECB, aby se zaměřovala na posilování mezinárodní úlohy eura s cílem zvýšit jeho atraktivitu jako rezervní měny;</w:t>
      </w:r>
    </w:p>
    <w:p w:rsidR="00AB0144" w:rsidRPr="00F16B6C" w:rsidRDefault="00AB0144">
      <w:pPr>
        <w:pStyle w:val="NormalHanging12a"/>
      </w:pPr>
      <w:r w:rsidRPr="00F16B6C">
        <w:t>8.</w:t>
      </w:r>
      <w:r w:rsidRPr="00F16B6C">
        <w:tab/>
        <w:t xml:space="preserve">souhlasí s varováním prezidentky </w:t>
      </w:r>
      <w:proofErr w:type="spellStart"/>
      <w:r w:rsidRPr="00F16B6C">
        <w:t>Lagardeové</w:t>
      </w:r>
      <w:proofErr w:type="spellEnd"/>
      <w:r w:rsidRPr="00F16B6C">
        <w:t xml:space="preserve">, že fiskální podpora by měla být dočasná, cílená a navržená na míru a neměla by být v rozporu s úkoly měnové politiky; vyzývá členské státy, aby sladily své příslušné fiskální politiky s obecným cílem měnové politiky ECB; připomíná, že hospodářská a měnová unie vyžaduje solidní fiskální politiky v členských státech, aby mohla reagovat na vnější otřesy; vyzývá k tomu, aby se fiskální úsilí zaměřovalo na produktivní investice a reformy; poukazuje na to, že vlády i Komise mohou podporovat občany a průmyslová odvětví nejen prostřednictvím fiskálních opatření, ale také tím, že se zaměří na sociálně vyvážené reformy podporující růst a na veřejné a soukromé investice do infrastruktury; konstatuje však, že struktura eurozóny je v současnosti stále založena na  předpokladu měnové dominance; konstatuje, že vysoká míra inflace vyžaduje pevné odhodlání všech orgánů EU a vnitrostátních orgánů řešit hospodářské a sociální důsledky inflační krize; </w:t>
      </w:r>
    </w:p>
    <w:p w:rsidR="00AB0144" w:rsidRPr="00F16B6C" w:rsidRDefault="00AB0144">
      <w:pPr>
        <w:pStyle w:val="NormalHanging12a"/>
      </w:pPr>
      <w:r w:rsidRPr="00F16B6C">
        <w:t>9.</w:t>
      </w:r>
      <w:r w:rsidRPr="00F16B6C">
        <w:tab/>
        <w:t>konstatuje, že měnové politiky ECB zaměřené na plnění jejího primárního mandátu podléhají posouzení proporcionality; konstatuje, že posouzení proporcionality zohledňuje dopad opatření měnové politiky na širší ekonomiku a hospodářské politiky; zdůrazňuje, že v případech, kdy ECB stojí před volbou mezi různými soubory politik, které stejnou měrou přispívají k cenové stabilitě, musí zvolit ty, které nejlépe podporují obecné hospodářské politiky EU;</w:t>
      </w:r>
    </w:p>
    <w:p w:rsidR="00AB0144" w:rsidRPr="00F16B6C" w:rsidRDefault="00AB0144">
      <w:pPr>
        <w:pStyle w:val="NormalHanging12a"/>
      </w:pPr>
      <w:r w:rsidRPr="00F16B6C">
        <w:t>10.</w:t>
      </w:r>
      <w:r w:rsidRPr="00F16B6C">
        <w:tab/>
        <w:t>vítá dlouhodobou podporu ze strany ECB zaměřenou na dobře promyšlené dokončení hospodářské a měnové unie, bankovní unie a unie kapitálových trhů; připomíná, že může přispět k většímu rozložení rizik v rámci měnové unie a k její větší finanční stabilitě a k hospodářské a sociální obnově EU, snížení závislosti na bankovních úvěrech a k posílení hospodářské soutěže s asijskými a americkými trhy; připomíná, že je třeba prokázat jednoznačnou politickou vůli pokročit při dokončování bankovní unie a unie kapitálových trhů; bere na vědomí, že ECB podporuje vytvoření plnohodnotného evropského systému pojištění vkladů; uznává, že sdílení rizik a snižování rizik je vzájemně propojeno a že institucionální systémy ochrany hrají klíčovou úlohu při ochraně a stabilizaci členských institucí; vyzývá ECB, aby sledovala situaci v oblasti úvěrů v selhání;</w:t>
      </w:r>
    </w:p>
    <w:p w:rsidR="00AB0144" w:rsidRPr="00F16B6C" w:rsidRDefault="00AB0144">
      <w:pPr>
        <w:pStyle w:val="NormalHanging12a"/>
      </w:pPr>
      <w:r w:rsidRPr="00F16B6C">
        <w:lastRenderedPageBreak/>
        <w:t>11.</w:t>
      </w:r>
      <w:r w:rsidRPr="00F16B6C">
        <w:tab/>
        <w:t>zdůrazňuje klíčovou úlohu malých a středních podniků v rámci hospodářství EU a při dosahování hospodářské a sociální konvergence a zaměstnanosti; je obzvláště znepokojen dopadem pandemie COVID-19 a ruské útočné války na Ukrajině na malé a střední podniky; připomíná, že je třeba odstranit byrokratické překážky bránící přeshraničním investicím v EU, snížit daňovou zátěž malých a středních podniků ve srovnání s velkými korporacemi, zjednodušit právní rámce pro přilákání kapitálu a podporovat vstup malých a středních podniků na finanční trhy a finanční gramotnost občanů s cílem zvýšit povědomí o výhodách investic;</w:t>
      </w:r>
    </w:p>
    <w:p w:rsidR="00AB0144" w:rsidRPr="00F16B6C" w:rsidRDefault="00AB0144">
      <w:pPr>
        <w:pStyle w:val="NormalHanging12a"/>
        <w:rPr>
          <w:b/>
          <w:i/>
        </w:rPr>
      </w:pPr>
      <w:r w:rsidRPr="00F16B6C">
        <w:rPr>
          <w:b/>
          <w:i/>
        </w:rPr>
        <w:t>Měnová politika</w:t>
      </w:r>
    </w:p>
    <w:p w:rsidR="00AB0144" w:rsidRPr="00F16B6C" w:rsidRDefault="00AB0144">
      <w:pPr>
        <w:pStyle w:val="NormalHanging12a"/>
      </w:pPr>
      <w:r w:rsidRPr="00F16B6C">
        <w:t>12.</w:t>
      </w:r>
      <w:r w:rsidRPr="00F16B6C">
        <w:tab/>
        <w:t>konstatuje, že celková inflace klesla z 8,4 % v roce 2022 na 5,2 % v roce 2023, zejména v důsledku nižších cen energií a uvolnění úzkých míst v dodávkách; konstatuje však, že inflace zůstává nad cílovou 2% úrovní; bere na vědomí prognózu ECB ve výši 2,1 % v roce 2025; je znepokojen sekundárními dopady inflace, skutečností, že inflační očekávání podniků a domácností bude neukotvené, a možným vývojem mezd a cen v případě, že inflační očekávání, a tudíž i mzdy plošně rostou, a potřebou zohledňovat související důsledky pro růst a zaměstnanost;</w:t>
      </w:r>
    </w:p>
    <w:p w:rsidR="00AB0144" w:rsidRPr="00F16B6C" w:rsidRDefault="00AB0144">
      <w:pPr>
        <w:pStyle w:val="NormalHanging12a"/>
      </w:pPr>
      <w:r w:rsidRPr="00F16B6C">
        <w:t>13.</w:t>
      </w:r>
      <w:r w:rsidRPr="00F16B6C">
        <w:tab/>
        <w:t>konstatuje, že vysoká míra inflace neúměrně ovlivňuje domácnosti s nižšími příjmy, které vynakládají větší část svého rozpočtu na nejnutnější výdaje; zdůrazňuje, že snížení inflace zpět na cílovou úroveň je proto rovněž důležité pro zachování sociální soudržnosti;</w:t>
      </w:r>
    </w:p>
    <w:p w:rsidR="00AB0144" w:rsidRPr="00F16B6C" w:rsidRDefault="00AB0144">
      <w:pPr>
        <w:pStyle w:val="NormalHanging12a"/>
      </w:pPr>
      <w:r w:rsidRPr="00F16B6C">
        <w:t>14.</w:t>
      </w:r>
      <w:r w:rsidRPr="00F16B6C">
        <w:tab/>
        <w:t>vyjadřuje znepokojení nad trvale vysokou mírou jádrové inflace, přestože nyní již několik měsíců klesá; konstatuje, že inflace začala zpočátku růst v důsledku úzkých míst v dodávkách; chápe, že se očekává, že růst mezd bude nadále pokračovat, což je způsobeno kompenzací inflace a napjatou situací na trhu práce;</w:t>
      </w:r>
    </w:p>
    <w:p w:rsidR="00AB0144" w:rsidRPr="00F16B6C" w:rsidRDefault="00AB0144">
      <w:pPr>
        <w:pStyle w:val="NormalHanging12a"/>
      </w:pPr>
      <w:r w:rsidRPr="00F16B6C">
        <w:t>15.</w:t>
      </w:r>
      <w:r w:rsidRPr="00F16B6C">
        <w:tab/>
        <w:t>poukazuje na to, že inflace začala růst nad cílovou úroveň již v červenci 2021 kvůli úzkým místům v dodávkách, tedy ještě před plošnou, nevyprovokovanou a nezákonnou ruskou agresí na Ukrajině, která inflační tlak dále zvýšila; konstatuje však, že ECB začala řešit inflaci teprve v červnu 2022, přestože krize COVID-19 prokázala, že je schopna jednat včas; konstatuje, že ostatní centrální banky jednaly rychleji; konstatuje, že ECB by měla jednat rychle, a plnit tak svůj úkol, aby veškerá její rozhodnutí byla založena na hospodářských a finančních ukazatelích; je přesvědčen, že rychlejší reakce mohla mít dřívější dopad na dynamiku cen a odvrátit vrchol inflace ve výši 10,6 %, která byla zaznamenána v říjnu 2022;</w:t>
      </w:r>
    </w:p>
    <w:p w:rsidR="00AB0144" w:rsidRPr="00F16B6C" w:rsidRDefault="00AB0144">
      <w:pPr>
        <w:pStyle w:val="NormalHanging12a"/>
      </w:pPr>
      <w:r w:rsidRPr="00F16B6C">
        <w:t>16.</w:t>
      </w:r>
      <w:r w:rsidRPr="00F16B6C">
        <w:tab/>
        <w:t xml:space="preserve">vyzývá ECB, aby pokračovala v analýze nabídky a poptávky po inflaci; </w:t>
      </w:r>
    </w:p>
    <w:p w:rsidR="00AB0144" w:rsidRPr="00F16B6C" w:rsidRDefault="00AB0144">
      <w:pPr>
        <w:pStyle w:val="NormalHanging12a"/>
      </w:pPr>
      <w:r w:rsidRPr="00F16B6C">
        <w:t>17.</w:t>
      </w:r>
      <w:r w:rsidRPr="00F16B6C">
        <w:tab/>
        <w:t xml:space="preserve">plně podporuje prohlášení prezidentky </w:t>
      </w:r>
      <w:proofErr w:type="spellStart"/>
      <w:r w:rsidRPr="00F16B6C">
        <w:t>Lagardeové</w:t>
      </w:r>
      <w:proofErr w:type="spellEnd"/>
      <w:r w:rsidRPr="00F16B6C">
        <w:t xml:space="preserve">, že bude bojovat proti inflaci tak dlouho, jak to bude nutné, s tím, že normalizace měnové politiky je možné dosáhnout kombinací fiskální, měnové a strukturální politiky; vítá závazek prezidentky </w:t>
      </w:r>
      <w:proofErr w:type="spellStart"/>
      <w:r w:rsidRPr="00F16B6C">
        <w:t>Lagardeové</w:t>
      </w:r>
      <w:proofErr w:type="spellEnd"/>
      <w:r w:rsidRPr="00F16B6C">
        <w:t xml:space="preserve"> týkající se pokory a pravidelné aktualizace modelů ECB; vyzývá však ECB, aby zásadně přezkoumala a zlepšila své modely a jejich úlohu při tvorbě politik s ohledem na nedostatečnou výkonnost těchto modelů v posledních letech s cílem přizpůsobit je novým hospodářským trendům a trendům na unijních a světových finančních trzích a zároveň zohlednit zkušenosti získané z probíhajících a předchozích krizí a výzvy spojené s tvorbou měnové politiky;</w:t>
      </w:r>
    </w:p>
    <w:p w:rsidR="00AB0144" w:rsidRPr="00F16B6C" w:rsidRDefault="00AB0144">
      <w:pPr>
        <w:pStyle w:val="NormalHanging12a"/>
      </w:pPr>
      <w:r w:rsidRPr="00F16B6C">
        <w:lastRenderedPageBreak/>
        <w:t>18.</w:t>
      </w:r>
      <w:r w:rsidRPr="00F16B6C">
        <w:tab/>
        <w:t xml:space="preserve">připomíná, že cenové stability nebylo zdaleka dosaženo; připomíná 2% symetrický inflační cíl ve střednědobém horizontu; konstatuje, že posledních deseti </w:t>
      </w:r>
      <w:proofErr w:type="gramStart"/>
      <w:r w:rsidRPr="00F16B6C">
        <w:t>letech</w:t>
      </w:r>
      <w:proofErr w:type="gramEnd"/>
      <w:r w:rsidRPr="00F16B6C">
        <w:t xml:space="preserve"> byla inflace buď výrazně pod touto cílovou úrovní, nebo výrazně nad ní; bere rovněž na vědomí, že inflace má klesající tendenci, která se blíží střednědobému cíli ECB; </w:t>
      </w:r>
    </w:p>
    <w:p w:rsidR="00AB0144" w:rsidRPr="00F16B6C" w:rsidRDefault="00AB0144">
      <w:pPr>
        <w:pStyle w:val="NormalHanging12a"/>
      </w:pPr>
      <w:r w:rsidRPr="00F16B6C">
        <w:t>19.</w:t>
      </w:r>
      <w:r w:rsidRPr="00F16B6C">
        <w:tab/>
        <w:t xml:space="preserve">vyzývá ECB, aby lépe definovala pojem „střednědobý“ a zaměřila se na </w:t>
      </w:r>
      <w:proofErr w:type="spellStart"/>
      <w:r w:rsidRPr="00F16B6C">
        <w:t>kvalitativnější</w:t>
      </w:r>
      <w:proofErr w:type="spellEnd"/>
      <w:r w:rsidRPr="00F16B6C">
        <w:t xml:space="preserve"> přístup k cenové stabilitě s cílem zachovat dostatek prostoru k využívání přínosů cenové stability a zároveň poskytnout dostatek prostoru ke snížení rizika deflace;</w:t>
      </w:r>
    </w:p>
    <w:p w:rsidR="00AB0144" w:rsidRPr="00F16B6C" w:rsidRDefault="00AB0144">
      <w:pPr>
        <w:pStyle w:val="NormalHanging12a"/>
      </w:pPr>
      <w:r w:rsidRPr="00F16B6C">
        <w:t>20.</w:t>
      </w:r>
      <w:r w:rsidRPr="00F16B6C">
        <w:tab/>
        <w:t>podporuje rozhodnutí ECB omezit své programy nákupu aktiv s ohledem na přebytečnou likviditu na trhu; konstatuje však, že ECB stále hodlá reinvestovat splátky jistiny ze splatných cenných papírů zakoupených v rámci nouzového pandemického programu nákupu aktiv (PEPP) alespoň do konce roku 2024; bere na vědomí oznámení ECB týkající se dekarbonizace jejího portfolia podnikových dluhopisů, přestože postupná změna struktury portfolia přestává být účinná, pokud nedochází k reinvesticím; zdůrazňuje význam kvality kolaterálu;</w:t>
      </w:r>
    </w:p>
    <w:p w:rsidR="00AB0144" w:rsidRPr="00F16B6C" w:rsidRDefault="00AB0144">
      <w:pPr>
        <w:pStyle w:val="NormalHanging12a"/>
      </w:pPr>
      <w:r w:rsidRPr="00F16B6C">
        <w:t>21.</w:t>
      </w:r>
      <w:r w:rsidRPr="00F16B6C">
        <w:tab/>
        <w:t>konstatuje, že koncept tržní neutrality souvisí se zásadou „otevřeného tržního hospodářství s volnou soutěží“; respektuje nezávislost ECB, současně ji však vybízí, aby řešila selhání trhu a zajistila účinné rozdělování zdrojů v dlouhodobém horizontu a zároveň zůstala co nejvíce apolitická a respektovala neutralitu trhu v různých situacích; zdůrazňuje, že tato rozhodnutí nesmí být přijímána na úkor dosažení hlavního cíle ECB;</w:t>
      </w:r>
    </w:p>
    <w:p w:rsidR="00AB0144" w:rsidRPr="00F16B6C" w:rsidRDefault="00AB0144">
      <w:pPr>
        <w:pStyle w:val="NormalHanging12a"/>
      </w:pPr>
      <w:r w:rsidRPr="00F16B6C">
        <w:t>22.</w:t>
      </w:r>
      <w:r w:rsidRPr="00F16B6C">
        <w:tab/>
        <w:t>uznává potřebu veřejných a soukromých investic po desetiletích nedostatečných investic s cílem snížit dynamiku inflace na straně nabídky a zlepšit potenciál udržitelného růstu;</w:t>
      </w:r>
    </w:p>
    <w:p w:rsidR="00AB0144" w:rsidRPr="00F16B6C" w:rsidRDefault="00AB0144">
      <w:pPr>
        <w:pStyle w:val="NormalHanging12a"/>
      </w:pPr>
      <w:r w:rsidRPr="00F16B6C">
        <w:t>23.</w:t>
      </w:r>
      <w:r w:rsidRPr="00F16B6C">
        <w:tab/>
        <w:t>zdůrazňuje, že pro dosažení mandátu ECB v oblasti cenové stability je zásadní rovnoměrná transmise měnové politiky; zdůrazňuje, že nadměrné rozdíly ve výnosech státních dluhopisů způsobují, že úvěrové podmínky nejsou v souladu s jednotnou transmisí měnové politiky a nadměrně ztěžují snižování veřejného dluhu; v této souvislosti bere na vědomí zavedení nástroje na ochranu transmise určeného k podpoře účinné transmise měnové politiky v eurozóně;</w:t>
      </w:r>
    </w:p>
    <w:p w:rsidR="00AB0144" w:rsidRPr="00F16B6C" w:rsidRDefault="00AB0144">
      <w:pPr>
        <w:pStyle w:val="NormalHanging12a"/>
        <w:rPr>
          <w:b/>
          <w:i/>
        </w:rPr>
      </w:pPr>
      <w:r w:rsidRPr="00F16B6C">
        <w:rPr>
          <w:b/>
          <w:i/>
        </w:rPr>
        <w:t>Sekundární mandát</w:t>
      </w:r>
    </w:p>
    <w:p w:rsidR="00AB0144" w:rsidRDefault="00AB0144">
      <w:pPr>
        <w:pStyle w:val="NormalHanging12a"/>
      </w:pPr>
      <w:r w:rsidRPr="00F16B6C">
        <w:t>24.</w:t>
      </w:r>
      <w:r w:rsidRPr="00F16B6C">
        <w:tab/>
        <w:t>připomíná, že článek 127 SFEU vyžaduje, aby ECB podporovala obecné hospodářské politiky Unie, jak je stanoveno v článku 3 SEU, který spadá do jejího mandátu, pokud tím není dotčen cíl cenové stability; zdůrazňuje, že cíle ECB podléhají jednoznačné hierarchii; připomíná, že ekologická a digitální transformace patří mezi společné priority EU;</w:t>
      </w:r>
    </w:p>
    <w:p w:rsidR="00C55A2B" w:rsidRPr="00F16B6C" w:rsidRDefault="00FD147C">
      <w:pPr>
        <w:pStyle w:val="NormalHanging12a"/>
      </w:pPr>
      <w:r>
        <w:t>25</w:t>
      </w:r>
      <w:r w:rsidR="00C55A2B" w:rsidRPr="00C55A2B">
        <w:t>.</w:t>
      </w:r>
      <w:r w:rsidR="00C55A2B" w:rsidRPr="00C55A2B">
        <w:tab/>
        <w:t>vyjadřuje vážné znepokojení nad nedávnými zprávami v médiích o politické předpojatosti ECB v souvislosti s tzv. ekologizací politik; připomíná, že pro integritu a podporu této instituce ze strany veřejnosti je nesmírně důležité soustředit se na mandát ECB v oblasti cenové stability; bere na vědomí význam pluralismu pro institucionální kulturu ECB; vyzývá ECB, aby vyšetřila a urychleně řešila veškerá podezření na ideologickou předpojatost;</w:t>
      </w:r>
    </w:p>
    <w:p w:rsidR="00AB0144" w:rsidRPr="00F16B6C" w:rsidRDefault="00AB0144">
      <w:pPr>
        <w:pStyle w:val="NormalHanging12a"/>
      </w:pPr>
      <w:r w:rsidRPr="00F16B6C">
        <w:t>2</w:t>
      </w:r>
      <w:r w:rsidR="00FD147C">
        <w:t>6</w:t>
      </w:r>
      <w:r w:rsidRPr="00F16B6C">
        <w:t>.</w:t>
      </w:r>
      <w:r w:rsidRPr="00F16B6C">
        <w:tab/>
        <w:t>připomíná ECB, aby do své výroční zprávy začleňovala zvláštní kapitolu zaměřenou na to, jakým způsobem interpretuje a plní své vedlejší cíle a jaký je jejich potenciální dopad na primární mandát;</w:t>
      </w:r>
    </w:p>
    <w:p w:rsidR="00AB0144" w:rsidRPr="00F16B6C" w:rsidRDefault="00AB0144">
      <w:pPr>
        <w:pStyle w:val="NormalHanging12a"/>
      </w:pPr>
      <w:r w:rsidRPr="00F16B6C">
        <w:lastRenderedPageBreak/>
        <w:t>2</w:t>
      </w:r>
      <w:r w:rsidR="00FD147C">
        <w:t>7</w:t>
      </w:r>
      <w:r w:rsidRPr="00F16B6C">
        <w:t>.</w:t>
      </w:r>
      <w:r w:rsidRPr="00F16B6C">
        <w:tab/>
        <w:t>konstatuje, že ECB je jakožto jeden z unijních orgánů v rámci svého mandátu vázána závazky EU vyplývajícími z Pařížské dohody; vyzývá ECB, aby nadále posuzovala, do jaké míry může změna klimatu ovlivňovat schopnost EU udržovat cenovou stabilitu;</w:t>
      </w:r>
    </w:p>
    <w:p w:rsidR="00AB0144" w:rsidRPr="00F16B6C" w:rsidRDefault="00AB0144">
      <w:pPr>
        <w:pStyle w:val="NormalHanging12a"/>
      </w:pPr>
      <w:r w:rsidRPr="00F16B6C">
        <w:t>2</w:t>
      </w:r>
      <w:r w:rsidR="00FD147C">
        <w:t>8</w:t>
      </w:r>
      <w:r w:rsidRPr="00F16B6C">
        <w:t>.</w:t>
      </w:r>
      <w:r w:rsidRPr="00F16B6C">
        <w:tab/>
        <w:t xml:space="preserve">vítá oznámení ECB o dalším zlepšování nástrojů a kapacit </w:t>
      </w:r>
      <w:proofErr w:type="spellStart"/>
      <w:r w:rsidRPr="00F16B6C">
        <w:t>Eurosystému</w:t>
      </w:r>
      <w:proofErr w:type="spellEnd"/>
      <w:r w:rsidRPr="00F16B6C">
        <w:t xml:space="preserve"> v oblasti posuzování rizik s cílem lépe zohledňovat rizika související s klimatem a životním prostředím, zejména proto, že změna klimatu a extrémní povětrnostní jevy by mohly vést k větší volatilitě cen, především v zemědělsko-potravinářském odvětví; vyzývá ECB, aby pokračovala ve své práci na zátěžových testech týkajících se rizika transformace souvisejícího se změnou klimatu, které byly vyvinuty s cílem posuzovat odolnost bank a podniků vůči riziku transformace souvisejícímu se změnou klimatu;</w:t>
      </w:r>
    </w:p>
    <w:p w:rsidR="00AB0144" w:rsidRPr="00F16B6C" w:rsidRDefault="00AB0144">
      <w:pPr>
        <w:pStyle w:val="NormalHanging12a"/>
      </w:pPr>
      <w:r w:rsidRPr="00F16B6C">
        <w:t>2</w:t>
      </w:r>
      <w:r w:rsidR="00FD147C">
        <w:t>9</w:t>
      </w:r>
      <w:r w:rsidRPr="00F16B6C">
        <w:t>.</w:t>
      </w:r>
      <w:r w:rsidRPr="00F16B6C">
        <w:tab/>
        <w:t>bere na vědomí akční plán ECB a její podrobný plán opatření souvisejících se změnou klimatu, jejichž cílem je lépe začleňovat otázky související se změnou klimatu do politického rámce a modelů ECB; konstatuje, že klimatický plán nezahrnuje cílené dlouhodobější ekologické refinanční operace nebo podobné nástroje;</w:t>
      </w:r>
    </w:p>
    <w:p w:rsidR="00AB0144" w:rsidRPr="00F16B6C" w:rsidRDefault="00FD147C">
      <w:pPr>
        <w:pStyle w:val="NormalHanging12a"/>
      </w:pPr>
      <w:r>
        <w:t>30</w:t>
      </w:r>
      <w:r w:rsidR="00AB0144" w:rsidRPr="00F16B6C">
        <w:t>.</w:t>
      </w:r>
      <w:r w:rsidR="00AB0144" w:rsidRPr="00F16B6C">
        <w:tab/>
        <w:t>zdůrazňuje význam evropského pilíře sociálních práv pro sociálně-ekonomickou konvergenci; zdůrazňuje, že těchto cílů lze nejlépe dosáhnout, pokud sociálně tržní hospodářství funguje ve stabilním makroekonomickém prostředí založeném na předvídatelných úrovních cen;</w:t>
      </w:r>
    </w:p>
    <w:p w:rsidR="00AB0144" w:rsidRPr="00F16B6C" w:rsidRDefault="00AB0144">
      <w:pPr>
        <w:pStyle w:val="NormalHanging12a"/>
        <w:rPr>
          <w:b/>
          <w:i/>
        </w:rPr>
      </w:pPr>
      <w:r w:rsidRPr="00F16B6C">
        <w:rPr>
          <w:b/>
          <w:i/>
        </w:rPr>
        <w:t>Ostatní aspekty</w:t>
      </w:r>
    </w:p>
    <w:p w:rsidR="00AB0144" w:rsidRPr="00F16B6C" w:rsidRDefault="00AB0144">
      <w:pPr>
        <w:pStyle w:val="NormalHanging12a"/>
      </w:pPr>
      <w:r w:rsidRPr="00F16B6C">
        <w:t>3</w:t>
      </w:r>
      <w:r w:rsidR="00FD147C">
        <w:t>1</w:t>
      </w:r>
      <w:r w:rsidRPr="00F16B6C">
        <w:t>.</w:t>
      </w:r>
      <w:r w:rsidRPr="00F16B6C">
        <w:tab/>
        <w:t>upozorňuje na neustále se zvětšujícím rozdíl v zůstatcích systému TARGET2 v rámci ESCB; obává se, že to může v budoucnu vést ke konfliktům; konstatuje, že výklad těchto rozdílů je předmětem debaty;</w:t>
      </w:r>
    </w:p>
    <w:p w:rsidR="00AB0144" w:rsidRPr="00F16B6C" w:rsidRDefault="00AB0144">
      <w:pPr>
        <w:pStyle w:val="NormalHanging12a"/>
      </w:pPr>
      <w:r w:rsidRPr="00F16B6C">
        <w:t>3</w:t>
      </w:r>
      <w:r w:rsidR="00FD147C">
        <w:t>2</w:t>
      </w:r>
      <w:r w:rsidRPr="00F16B6C">
        <w:t>.</w:t>
      </w:r>
      <w:r w:rsidRPr="00F16B6C">
        <w:tab/>
        <w:t xml:space="preserve">vítá pozornost, kterou ECB věnuje rizikům kybernetických útoků; vybízí ECB, aby v této pozornosti nepolevovala, zejména s ohledem na stávající geopolitický rámec; vyzývá ECB, aby nepolevovala v monitorování vývoje nových typů digitálních aktiv, jako jsou </w:t>
      </w:r>
      <w:proofErr w:type="spellStart"/>
      <w:r w:rsidRPr="00F16B6C">
        <w:t>kryptoaktiva</w:t>
      </w:r>
      <w:proofErr w:type="spellEnd"/>
      <w:r w:rsidRPr="00F16B6C">
        <w:t xml:space="preserve">, konkrétně </w:t>
      </w:r>
      <w:proofErr w:type="spellStart"/>
      <w:r w:rsidRPr="00F16B6C">
        <w:t>kryptoměny</w:t>
      </w:r>
      <w:proofErr w:type="spellEnd"/>
      <w:r w:rsidRPr="00F16B6C">
        <w:t xml:space="preserve"> a související rizika, pokud jde o kybernetickou bezpečnost, praní peněz, daňové podvody, financování terorismu a další trestnou činnost související s anonymitou, kterou </w:t>
      </w:r>
      <w:proofErr w:type="spellStart"/>
      <w:r w:rsidRPr="00F16B6C">
        <w:t>kryptoaktiva</w:t>
      </w:r>
      <w:proofErr w:type="spellEnd"/>
      <w:r w:rsidRPr="00F16B6C">
        <w:t xml:space="preserve"> poskytují, a vyzývá v tomto ohledu ECB, aby i nadále usilovala o udržování odolnosti své digitální infrastruktury;</w:t>
      </w:r>
    </w:p>
    <w:p w:rsidR="00AB0144" w:rsidRPr="00F16B6C" w:rsidRDefault="00AB0144">
      <w:pPr>
        <w:pStyle w:val="NormalHanging12a"/>
      </w:pPr>
      <w:r w:rsidRPr="00F16B6C">
        <w:t>3</w:t>
      </w:r>
      <w:r w:rsidR="00FD147C">
        <w:t>3</w:t>
      </w:r>
      <w:r w:rsidRPr="00F16B6C">
        <w:t>.</w:t>
      </w:r>
      <w:r w:rsidRPr="00F16B6C">
        <w:tab/>
        <w:t xml:space="preserve">bere na vědomí pokrok ECB v projektu digitálního eura a vítá přitom dialog s Parlamentem v této oblasti; opakuje, že s ohledem na to, že EU stojí v čele digitální transformace v odvětví plateb, musí digitální euro respektovat hospodářskou soutěž v bankovním a digitálním platebním prostředí; zdůrazňuje, že digitální euro nesmí nahradit hotovost jako platební prostředek, musí respektovat soukromí občanů a podniků a nesmí ohrozit finanční stabilitu; domnívá se, že digitální euro bude úspěšné pouze tehdy, pokud nabídne hmatatelnou přidanou hodnotu, která bude evropským občanům jasně sdělena; připomíná, že zavedení digitálního eura závisí na rozhodnutí Evropského parlamentu a Rady jakožto </w:t>
      </w:r>
      <w:proofErr w:type="spellStart"/>
      <w:r w:rsidRPr="00F16B6C">
        <w:t>spolunormotvůrců</w:t>
      </w:r>
      <w:proofErr w:type="spellEnd"/>
      <w:r w:rsidRPr="00F16B6C">
        <w:t>;</w:t>
      </w:r>
    </w:p>
    <w:p w:rsidR="00AB0144" w:rsidRPr="00F16B6C" w:rsidRDefault="00AB0144">
      <w:pPr>
        <w:pStyle w:val="NormalHanging12a"/>
      </w:pPr>
      <w:r w:rsidRPr="00F16B6C">
        <w:t>3</w:t>
      </w:r>
      <w:r w:rsidR="00FD147C">
        <w:t>4</w:t>
      </w:r>
      <w:r w:rsidRPr="00F16B6C">
        <w:t>.</w:t>
      </w:r>
      <w:r w:rsidRPr="00F16B6C">
        <w:tab/>
        <w:t>sdílí obavy ECB, pokud jde o vzestup stínového bankovnictví a riziko, které může představovat pro finanční stabilitu; zdůrazňuje potřebu odpovídající regulace nebankovních finančních zprostředkovatelů, která umožní, aby toto odvětví mohlo soutěžit s bankovním sektorem za rovných podmínek;</w:t>
      </w:r>
    </w:p>
    <w:p w:rsidR="00AB0144" w:rsidRPr="00F16B6C" w:rsidRDefault="00AB0144">
      <w:pPr>
        <w:pStyle w:val="NormalHanging12a"/>
      </w:pPr>
      <w:r w:rsidRPr="00F16B6C">
        <w:lastRenderedPageBreak/>
        <w:t>3</w:t>
      </w:r>
      <w:r w:rsidR="00FD147C">
        <w:t>5</w:t>
      </w:r>
      <w:r w:rsidRPr="00F16B6C">
        <w:t>.</w:t>
      </w:r>
      <w:r w:rsidRPr="00F16B6C">
        <w:tab/>
        <w:t xml:space="preserve">vítá rámec </w:t>
      </w:r>
      <w:proofErr w:type="spellStart"/>
      <w:r w:rsidRPr="00F16B6C">
        <w:t>Basel</w:t>
      </w:r>
      <w:proofErr w:type="spellEnd"/>
      <w:r w:rsidRPr="00F16B6C">
        <w:t xml:space="preserve"> III, neboť posílí odolnost bankovního sektoru; varuje před rizikem nedodržování předpisů; souhlasí s obavami ECB v tomto ohledu; zdůrazňuje, že bankovní dohled by měl být založen na rizicích; zdůrazňuje význam rovných podmínek na mezinárodní úrovni a konkurenceschopnosti evropských bank;</w:t>
      </w:r>
    </w:p>
    <w:p w:rsidR="00AB0144" w:rsidRPr="00F16B6C" w:rsidRDefault="00AB0144">
      <w:pPr>
        <w:pStyle w:val="NormalHanging12a"/>
      </w:pPr>
      <w:r w:rsidRPr="00F16B6C">
        <w:t>3</w:t>
      </w:r>
      <w:r w:rsidR="00FD147C">
        <w:t>6</w:t>
      </w:r>
      <w:r w:rsidRPr="00F16B6C">
        <w:t>.</w:t>
      </w:r>
      <w:r w:rsidRPr="00F16B6C">
        <w:tab/>
        <w:t>konstatuje, že ECB přizpůsobuje své systémy technologickému vývoji, jako je začleňování umělé inteligence do jejích modelů zpracování a analýzy údajů, a to s cílem pomáhat zlepšovat měnovou analýzu a rozhodování; zdůrazňuje, že veškerý tento vývoj by měl vždy probíhat v rámci bezpečnostních parametrů, aby se předešlo provozním rizikům;</w:t>
      </w:r>
    </w:p>
    <w:p w:rsidR="00AB0144" w:rsidRPr="00F16B6C" w:rsidRDefault="00AB0144">
      <w:pPr>
        <w:pStyle w:val="NormalHanging12a"/>
        <w:rPr>
          <w:b/>
          <w:i/>
        </w:rPr>
      </w:pPr>
      <w:r w:rsidRPr="00F16B6C">
        <w:rPr>
          <w:b/>
          <w:i/>
        </w:rPr>
        <w:t>Odpovědnost</w:t>
      </w:r>
    </w:p>
    <w:p w:rsidR="00AB0144" w:rsidRPr="00F16B6C" w:rsidRDefault="00AB0144">
      <w:pPr>
        <w:pStyle w:val="NormalHanging12a"/>
      </w:pPr>
      <w:r w:rsidRPr="00F16B6C">
        <w:t>3</w:t>
      </w:r>
      <w:r w:rsidR="00FD147C">
        <w:t>7</w:t>
      </w:r>
      <w:r w:rsidRPr="00F16B6C">
        <w:t>.</w:t>
      </w:r>
      <w:r w:rsidRPr="00F16B6C">
        <w:tab/>
        <w:t>vítá písemnou formalizaci stávajících postupů vyvozování odpovědnosti mezi ECB a Parlamentem; bere na vědomí otevřenost a dostupnost ECB pro Parlament; vyzývá ECB a Parlament, aby plně využívaly ujednání o odpovědnosti a transparentnosti a pokud možno tato opatření dále posilovaly, aniž by tím byla dotčena nezávislost ECB;</w:t>
      </w:r>
    </w:p>
    <w:p w:rsidR="00AB0144" w:rsidRPr="00F16B6C" w:rsidRDefault="00AB0144">
      <w:pPr>
        <w:pStyle w:val="NormalHanging12a"/>
      </w:pPr>
      <w:r w:rsidRPr="00F16B6C">
        <w:t>3</w:t>
      </w:r>
      <w:r w:rsidR="00FD147C">
        <w:t>8</w:t>
      </w:r>
      <w:r w:rsidRPr="00F16B6C">
        <w:t>.</w:t>
      </w:r>
      <w:r w:rsidRPr="00F16B6C">
        <w:tab/>
        <w:t>navrhuje, aby ECB vytvořila interní hodnotící úřad pro následné hodnocení svých politických rozhodnutí, aniž by to narušovalo její nezávislost;</w:t>
      </w:r>
    </w:p>
    <w:p w:rsidR="00AB0144" w:rsidRPr="00F16B6C" w:rsidRDefault="00AB0144">
      <w:pPr>
        <w:pStyle w:val="NormalHanging12a"/>
      </w:pPr>
      <w:r w:rsidRPr="00F16B6C">
        <w:t>3</w:t>
      </w:r>
      <w:r w:rsidR="00FD147C">
        <w:t>9</w:t>
      </w:r>
      <w:r w:rsidRPr="00F16B6C">
        <w:t>.</w:t>
      </w:r>
      <w:r w:rsidRPr="00F16B6C">
        <w:tab/>
        <w:t>vítá rozsáhlou a podrobnou zpětnou vazbu ECB k usnesení Parlamentu o výroční zprávě ECB za rok 2021; žádá ECB, aby ve svém odpovědném a transparentním přístupu pokračovala a aby i nadále písemně zveřejňovala své reakce na usnesení o výroční zprávě ECB, jež Parlament každoročně přijímá;</w:t>
      </w:r>
    </w:p>
    <w:p w:rsidR="00AB0144" w:rsidRPr="00F16B6C" w:rsidRDefault="00FD147C">
      <w:pPr>
        <w:pStyle w:val="NormalHanging12a"/>
      </w:pPr>
      <w:r>
        <w:t>40</w:t>
      </w:r>
      <w:r w:rsidR="00AB0144" w:rsidRPr="00F16B6C">
        <w:t>.</w:t>
      </w:r>
      <w:r w:rsidR="00AB0144" w:rsidRPr="00F16B6C">
        <w:tab/>
        <w:t>konstatuje, že mezi členy Výkonné rady a Rady guvernérů ECB jsou pouze dvě ženy; vyzývá členské státy eurozóny, aby dostály svému závazku a do svých postupů jmenování začlenily zásadu genderové rovnosti s cílem zajistit při obsazování pozic guvernérů národních centrálních bank rovné příležitosti pro všechna pohlaví;</w:t>
      </w:r>
    </w:p>
    <w:p w:rsidR="00AB0144" w:rsidRPr="00F16B6C" w:rsidRDefault="00AB0144">
      <w:pPr>
        <w:pStyle w:val="NormalHanging12a"/>
      </w:pPr>
      <w:r w:rsidRPr="00F16B6C">
        <w:t>4</w:t>
      </w:r>
      <w:r w:rsidR="00FD147C">
        <w:t>1</w:t>
      </w:r>
      <w:r w:rsidRPr="00F16B6C">
        <w:t>.</w:t>
      </w:r>
      <w:r w:rsidRPr="00F16B6C">
        <w:tab/>
        <w:t>konstatuje, že nejnovější statistické údaje o genderové nerovnováze v organizační struktuře ECB ukazují na to, že vzrostl podíl žen ve všech vyšších řídících funkcích; vyzývá ECB, aby pokračovala ve své snaze o posilování rovných příležitostí pro všechna pohlaví ve své organizaci;</w:t>
      </w:r>
    </w:p>
    <w:p w:rsidR="00AB0144" w:rsidRPr="00F16B6C" w:rsidRDefault="00AB0144">
      <w:pPr>
        <w:pStyle w:val="NormalHanging12a"/>
      </w:pPr>
      <w:r w:rsidRPr="00F16B6C">
        <w:t>4</w:t>
      </w:r>
      <w:r w:rsidR="00FD147C">
        <w:t>2</w:t>
      </w:r>
      <w:r w:rsidRPr="00F16B6C">
        <w:t>.</w:t>
      </w:r>
      <w:r w:rsidRPr="00F16B6C">
        <w:tab/>
        <w:t xml:space="preserve">vítá novou komunikační politiku ECB, která zahrnuje přístupnější způsoby, jak vysvětlovat a prezentovat politická rozhodnutí ECB občanům a zúčastněným stranám, a vyzývá ECB, aby dále posílila svou komunikaci o politických cílech centrálních bank a reakcích na krize; </w:t>
      </w:r>
    </w:p>
    <w:p w:rsidR="00AB0144" w:rsidRPr="00F16B6C" w:rsidRDefault="00AB0144">
      <w:pPr>
        <w:pStyle w:val="NormalHanging12a"/>
      </w:pPr>
      <w:r w:rsidRPr="00F16B6C">
        <w:t>4</w:t>
      </w:r>
      <w:r w:rsidR="00FD147C">
        <w:t>3</w:t>
      </w:r>
      <w:r w:rsidRPr="00F16B6C">
        <w:t>.</w:t>
      </w:r>
      <w:r w:rsidRPr="00F16B6C">
        <w:tab/>
        <w:t>bere na vědomí nedávné jmenování nového předsedy Rady dohledu a připomíná ECB, aby v budoucích postupech jmenování lépe zohledňovala a respektovala výsady Evropského parlamentu, zejména v souvislosti s jednotným mechanismem dohledu;</w:t>
      </w:r>
    </w:p>
    <w:p w:rsidR="00AB0144" w:rsidRPr="00F16B6C" w:rsidRDefault="00AB0144">
      <w:pPr>
        <w:pStyle w:val="NormalHanging12a"/>
      </w:pPr>
      <w:r w:rsidRPr="00F16B6C">
        <w:t>4</w:t>
      </w:r>
      <w:r w:rsidR="00FD147C">
        <w:t>4</w:t>
      </w:r>
      <w:r w:rsidRPr="00F16B6C">
        <w:t>.</w:t>
      </w:r>
      <w:r w:rsidRPr="00F16B6C">
        <w:tab/>
        <w:t>zdůrazňuje význam etického rámce ECB a kodexu chování, neboť představují záruku integrity ECB a slouží jako základ důvěry veřejnosti a v konečném důsledku i důvěryhodnosti ECB; konstatuje, že tento rámec poskytuje zaměstnancům ECB a vysoce postaveným úředníkům pokyny k tomu, jak jednat s lobbisty; vyzývá ECB, aby v této souvislosti rámec pravidelně přezkoumávala;</w:t>
      </w:r>
    </w:p>
    <w:p w:rsidR="00AB0144" w:rsidRPr="00F16B6C" w:rsidRDefault="00AB0144">
      <w:pPr>
        <w:pStyle w:val="NormalHanging12a"/>
      </w:pPr>
      <w:r w:rsidRPr="00F16B6C">
        <w:t>4</w:t>
      </w:r>
      <w:r w:rsidR="00FD147C">
        <w:t>5</w:t>
      </w:r>
      <w:r w:rsidRPr="00F16B6C">
        <w:t>.</w:t>
      </w:r>
      <w:r w:rsidRPr="00F16B6C">
        <w:tab/>
        <w:t xml:space="preserve">vyzývá ECB, aby zahájila dialog s vnitrostátními parlamenty a současně striktně </w:t>
      </w:r>
      <w:r w:rsidRPr="00F16B6C">
        <w:lastRenderedPageBreak/>
        <w:t xml:space="preserve">zachovávala svou politickou nezávislost; domnívá se, že by to posílilo legitimitu a politiku ECB; </w:t>
      </w:r>
    </w:p>
    <w:p w:rsidR="00AB0144" w:rsidRPr="00F16B6C" w:rsidRDefault="00AB0144">
      <w:pPr>
        <w:pStyle w:val="NormalHanging12a"/>
      </w:pPr>
      <w:r w:rsidRPr="00F16B6C">
        <w:t>4</w:t>
      </w:r>
      <w:r w:rsidR="00FD147C">
        <w:t>6</w:t>
      </w:r>
      <w:r w:rsidRPr="00F16B6C">
        <w:t>.</w:t>
      </w:r>
      <w:r w:rsidRPr="00F16B6C">
        <w:tab/>
        <w:t xml:space="preserve">vyzývá ECB, aby uvedla svůj interní rámec pro </w:t>
      </w:r>
      <w:proofErr w:type="spellStart"/>
      <w:r w:rsidRPr="00F16B6C">
        <w:t>whistleblowing</w:t>
      </w:r>
      <w:proofErr w:type="spellEnd"/>
      <w:r w:rsidRPr="00F16B6C">
        <w:t xml:space="preserve"> do souladu se směrnicí EU o oznamovatelích;</w:t>
      </w:r>
    </w:p>
    <w:p w:rsidR="00AB0144" w:rsidRPr="00F16B6C" w:rsidRDefault="00AB0144">
      <w:pPr>
        <w:pStyle w:val="NormalHanging12a"/>
        <w:jc w:val="center"/>
      </w:pPr>
      <w:r w:rsidRPr="00F16B6C">
        <w:t>°</w:t>
      </w:r>
    </w:p>
    <w:p w:rsidR="00AB0144" w:rsidRPr="00F16B6C" w:rsidRDefault="00AB0144">
      <w:pPr>
        <w:pStyle w:val="NormalHanging12a"/>
        <w:jc w:val="center"/>
      </w:pPr>
      <w:r w:rsidRPr="00F16B6C">
        <w:t>°</w:t>
      </w:r>
      <w:r w:rsidRPr="00F16B6C">
        <w:tab/>
        <w:t>°</w:t>
      </w:r>
    </w:p>
    <w:p w:rsidR="00677574" w:rsidRDefault="00AB0144" w:rsidP="00FD147C">
      <w:pPr>
        <w:pStyle w:val="NormalHanging12a"/>
      </w:pPr>
      <w:r w:rsidRPr="00F16B6C">
        <w:t>4</w:t>
      </w:r>
      <w:r w:rsidR="00FD147C">
        <w:t>7</w:t>
      </w:r>
      <w:r w:rsidRPr="00F16B6C">
        <w:t>.</w:t>
      </w:r>
      <w:r w:rsidRPr="00F16B6C">
        <w:tab/>
        <w:t>pověřuje svou předsedkyni, aby předala toto usnesení Radě, Komisi a Evropské centrální bance.</w:t>
      </w:r>
    </w:p>
    <w:sectPr w:rsidR="00677574" w:rsidSect="00F16B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7FF" w:rsidRPr="00F16B6C" w:rsidRDefault="003247FF">
      <w:r w:rsidRPr="00F16B6C">
        <w:separator/>
      </w:r>
    </w:p>
  </w:endnote>
  <w:endnote w:type="continuationSeparator" w:id="0">
    <w:p w:rsidR="003247FF" w:rsidRPr="00F16B6C" w:rsidRDefault="003247FF">
      <w:r w:rsidRPr="00F16B6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6B6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6B6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6B6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7FF" w:rsidRPr="00F16B6C" w:rsidRDefault="003247FF">
      <w:r w:rsidRPr="00F16B6C">
        <w:separator/>
      </w:r>
    </w:p>
  </w:footnote>
  <w:footnote w:type="continuationSeparator" w:id="0">
    <w:p w:rsidR="003247FF" w:rsidRPr="00F16B6C" w:rsidRDefault="003247FF">
      <w:r w:rsidRPr="00F16B6C">
        <w:continuationSeparator/>
      </w:r>
    </w:p>
  </w:footnote>
  <w:footnote w:id="1">
    <w:p w:rsidR="00AB0144" w:rsidRPr="00F16B6C" w:rsidRDefault="00AB0144" w:rsidP="00F16B6C">
      <w:pPr>
        <w:pStyle w:val="FootnoteText"/>
        <w:ind w:left="567" w:hanging="567"/>
        <w:rPr>
          <w:sz w:val="24"/>
          <w:lang w:val="cs-CZ"/>
        </w:rPr>
      </w:pPr>
      <w:r w:rsidRPr="00F16B6C">
        <w:rPr>
          <w:rStyle w:val="FootnoteReference"/>
          <w:sz w:val="24"/>
          <w:lang w:val="cs-CZ"/>
        </w:rPr>
        <w:footnoteRef/>
      </w:r>
      <w:r w:rsidR="00F16B6C" w:rsidRPr="00F16B6C">
        <w:rPr>
          <w:sz w:val="24"/>
          <w:lang w:val="cs-CZ"/>
        </w:rPr>
        <w:t xml:space="preserve"> </w:t>
      </w:r>
      <w:r w:rsidR="00F16B6C" w:rsidRPr="00F16B6C">
        <w:rPr>
          <w:sz w:val="24"/>
          <w:lang w:val="cs-CZ"/>
        </w:rPr>
        <w:tab/>
      </w:r>
      <w:r w:rsidRPr="00F16B6C">
        <w:rPr>
          <w:sz w:val="24"/>
          <w:lang w:val="cs-CZ"/>
        </w:rPr>
        <w:t xml:space="preserve">Přijaté texty, </w:t>
      </w:r>
      <w:r w:rsidRPr="0098207A">
        <w:rPr>
          <w:sz w:val="24"/>
          <w:lang w:val="cs-CZ"/>
        </w:rPr>
        <w:t>P9_TA(2023)0214</w:t>
      </w:r>
      <w:r w:rsidRPr="00F16B6C">
        <w:rPr>
          <w:sz w:val="24"/>
          <w:lang w:val="cs-CZ"/>
        </w:rPr>
        <w:t>.</w:t>
      </w:r>
    </w:p>
  </w:footnote>
  <w:footnote w:id="2">
    <w:p w:rsidR="00AB0144" w:rsidRPr="00F16B6C" w:rsidRDefault="00AB0144" w:rsidP="00F16B6C">
      <w:pPr>
        <w:pStyle w:val="FootnoteText"/>
        <w:ind w:left="567" w:hanging="567"/>
        <w:rPr>
          <w:sz w:val="24"/>
          <w:lang w:val="cs-CZ"/>
        </w:rPr>
      </w:pPr>
      <w:r w:rsidRPr="00F16B6C">
        <w:rPr>
          <w:rStyle w:val="FootnoteReference"/>
          <w:sz w:val="24"/>
          <w:lang w:val="cs-CZ"/>
        </w:rPr>
        <w:footnoteRef/>
      </w:r>
      <w:r w:rsidR="00F16B6C" w:rsidRPr="00F16B6C">
        <w:rPr>
          <w:sz w:val="24"/>
          <w:lang w:val="cs-CZ"/>
        </w:rPr>
        <w:t xml:space="preserve"> </w:t>
      </w:r>
      <w:r w:rsidR="00F16B6C" w:rsidRPr="00F16B6C">
        <w:rPr>
          <w:sz w:val="24"/>
          <w:lang w:val="cs-CZ"/>
        </w:rPr>
        <w:tab/>
      </w:r>
      <w:proofErr w:type="spellStart"/>
      <w:r w:rsidRPr="0098207A">
        <w:rPr>
          <w:sz w:val="24"/>
          <w:lang w:val="cs-CZ"/>
        </w:rPr>
        <w:t>Úř</w:t>
      </w:r>
      <w:proofErr w:type="spellEnd"/>
      <w:r w:rsidRPr="0098207A">
        <w:rPr>
          <w:sz w:val="24"/>
          <w:lang w:val="cs-CZ"/>
        </w:rPr>
        <w:t xml:space="preserve">. </w:t>
      </w:r>
      <w:proofErr w:type="spellStart"/>
      <w:proofErr w:type="gramStart"/>
      <w:r w:rsidRPr="0098207A">
        <w:rPr>
          <w:sz w:val="24"/>
          <w:lang w:val="cs-CZ"/>
        </w:rPr>
        <w:t>věst</w:t>
      </w:r>
      <w:proofErr w:type="spellEnd"/>
      <w:proofErr w:type="gramEnd"/>
      <w:r w:rsidRPr="0098207A">
        <w:rPr>
          <w:sz w:val="24"/>
          <w:lang w:val="cs-CZ"/>
        </w:rPr>
        <w:t xml:space="preserve">. C 479, </w:t>
      </w:r>
      <w:proofErr w:type="gramStart"/>
      <w:r w:rsidRPr="0098207A">
        <w:rPr>
          <w:sz w:val="24"/>
          <w:lang w:val="cs-CZ"/>
        </w:rPr>
        <w:t>16.12.2022</w:t>
      </w:r>
      <w:proofErr w:type="gramEnd"/>
      <w:r w:rsidRPr="0098207A">
        <w:rPr>
          <w:sz w:val="24"/>
          <w:lang w:val="cs-CZ"/>
        </w:rPr>
        <w:t>, s. 75</w:t>
      </w:r>
      <w:r w:rsidRPr="00F16B6C">
        <w:rPr>
          <w:sz w:val="24"/>
          <w:lang w:val="cs-CZ"/>
        </w:rPr>
        <w:t>.</w:t>
      </w:r>
    </w:p>
  </w:footnote>
  <w:footnote w:id="3">
    <w:p w:rsidR="00AB0144" w:rsidRPr="00F16B6C" w:rsidRDefault="00AB0144" w:rsidP="00F16B6C">
      <w:pPr>
        <w:pStyle w:val="FootnoteText"/>
        <w:ind w:left="567" w:hanging="567"/>
        <w:rPr>
          <w:sz w:val="24"/>
          <w:lang w:val="cs-CZ"/>
        </w:rPr>
      </w:pPr>
      <w:r w:rsidRPr="00F16B6C">
        <w:rPr>
          <w:rStyle w:val="FootnoteReference"/>
          <w:sz w:val="24"/>
          <w:lang w:val="cs-CZ"/>
        </w:rPr>
        <w:footnoteRef/>
      </w:r>
      <w:r w:rsidR="00F16B6C" w:rsidRPr="00F16B6C">
        <w:rPr>
          <w:sz w:val="24"/>
          <w:lang w:val="cs-CZ"/>
        </w:rPr>
        <w:t xml:space="preserve"> </w:t>
      </w:r>
      <w:r w:rsidR="00F16B6C" w:rsidRPr="00F16B6C">
        <w:rPr>
          <w:sz w:val="24"/>
          <w:lang w:val="cs-CZ"/>
        </w:rPr>
        <w:tab/>
      </w:r>
      <w:r w:rsidRPr="00F16B6C">
        <w:rPr>
          <w:sz w:val="24"/>
          <w:lang w:val="cs-CZ"/>
        </w:rPr>
        <w:t>Evropská komise. (2021). Hospodářství EU po pandemii COVID-19: důsledky pro správu ekonomických záležitostí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6B6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6B6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6B6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2/2023"/>
    <w:docVar w:name="dvlangue" w:val="CS"/>
    <w:docVar w:name="dvnumam" w:val="0"/>
    <w:docVar w:name="dvpe" w:val="752.845"/>
    <w:docVar w:name="dvrapporteur" w:val="Zpravodaj: "/>
    <w:docVar w:name="dvtitre" w:val="Usnesení Evropského parlamentu ze dne.... 2024 o Evropské centrální bance – výroční zpráva za rok 2023(2023/2064(INI))"/>
  </w:docVars>
  <w:rsids>
    <w:rsidRoot w:val="003247F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47F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7574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49A"/>
    <w:rsid w:val="00865F67"/>
    <w:rsid w:val="00881A7B"/>
    <w:rsid w:val="008840E5"/>
    <w:rsid w:val="00887B3E"/>
    <w:rsid w:val="008C2AC6"/>
    <w:rsid w:val="008D2B3C"/>
    <w:rsid w:val="00930C23"/>
    <w:rsid w:val="0093193B"/>
    <w:rsid w:val="009509D8"/>
    <w:rsid w:val="00950B64"/>
    <w:rsid w:val="00981893"/>
    <w:rsid w:val="0098207A"/>
    <w:rsid w:val="00A1687D"/>
    <w:rsid w:val="00A43E52"/>
    <w:rsid w:val="00A4678D"/>
    <w:rsid w:val="00A778C7"/>
    <w:rsid w:val="00AB0144"/>
    <w:rsid w:val="00AB441E"/>
    <w:rsid w:val="00AB6293"/>
    <w:rsid w:val="00AE0928"/>
    <w:rsid w:val="00AF3B82"/>
    <w:rsid w:val="00B12988"/>
    <w:rsid w:val="00B12E95"/>
    <w:rsid w:val="00B22876"/>
    <w:rsid w:val="00B558F0"/>
    <w:rsid w:val="00BD48FE"/>
    <w:rsid w:val="00BD7BD8"/>
    <w:rsid w:val="00BE6ADC"/>
    <w:rsid w:val="00C05BFE"/>
    <w:rsid w:val="00C23CD4"/>
    <w:rsid w:val="00C55A2B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6B6C"/>
    <w:rsid w:val="00F5134D"/>
    <w:rsid w:val="00F74202"/>
    <w:rsid w:val="00F87713"/>
    <w:rsid w:val="00FB4360"/>
    <w:rsid w:val="00FD0C70"/>
    <w:rsid w:val="00FD1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FBFD14-2595-42C4-928D-EA0BBEE03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B0144"/>
    <w:pPr>
      <w:spacing w:before="480" w:after="240"/>
    </w:pPr>
  </w:style>
  <w:style w:type="paragraph" w:customStyle="1" w:styleId="NormalHanging12a">
    <w:name w:val="NormalHanging12a"/>
    <w:basedOn w:val="Normal"/>
    <w:rsid w:val="00AB0144"/>
    <w:pPr>
      <w:spacing w:after="240"/>
      <w:ind w:left="567" w:hanging="567"/>
    </w:pPr>
  </w:style>
  <w:style w:type="character" w:styleId="Hyperlink">
    <w:name w:val="Hyperlink"/>
    <w:basedOn w:val="DefaultParagraphFont"/>
    <w:rsid w:val="00AB014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FD14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D147C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60B67-6CE9-4ED2-9D70-77CB8DD6D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3519</Words>
  <Characters>20331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2024-02-27T12:55:00Z</dcterms:created>
  <dcterms:modified xsi:type="dcterms:W3CDTF">2024-02-27T12:55:00Z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A9-0412/2023</vt:lpwstr>
  </property>
  <property fmtid="{D5CDD505-2E9C-101B-9397-08002B2CF9AE}" pid="4" name="&lt;Type&gt;">
    <vt:lpwstr>RR</vt:lpwstr>
  </property>
</Properties>
</file>