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2C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2CF3" w:rsidRDefault="007B34C7" w:rsidP="0010095E">
            <w:pPr>
              <w:pStyle w:val="EPName"/>
            </w:pPr>
            <w:r w:rsidRPr="00522CF3">
              <w:t>Parlament Europejski</w:t>
            </w:r>
          </w:p>
          <w:p w:rsidR="00751A4A" w:rsidRPr="00522CF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2CF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22CF3" w:rsidRDefault="00187494" w:rsidP="0010095E">
            <w:pPr>
              <w:pStyle w:val="EPLogo"/>
            </w:pPr>
            <w:r w:rsidRPr="00522CF3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2CF3" w:rsidRDefault="00D058B8" w:rsidP="004C5D52">
      <w:pPr>
        <w:pStyle w:val="LineTop"/>
      </w:pPr>
    </w:p>
    <w:p w:rsidR="00680577" w:rsidRPr="00522CF3" w:rsidRDefault="007B34C7" w:rsidP="00680577">
      <w:pPr>
        <w:pStyle w:val="EPBodyTA1"/>
      </w:pPr>
      <w:r w:rsidRPr="00522CF3">
        <w:t>TEKSTY PRZYJĘTE</w:t>
      </w:r>
    </w:p>
    <w:p w:rsidR="00D058B8" w:rsidRPr="00522CF3" w:rsidRDefault="00D058B8" w:rsidP="00D058B8">
      <w:pPr>
        <w:pStyle w:val="LineBottom"/>
      </w:pPr>
    </w:p>
    <w:p w:rsidR="007B34C7" w:rsidRPr="00522CF3" w:rsidRDefault="007B34C7" w:rsidP="007B34C7">
      <w:pPr>
        <w:pStyle w:val="ATHeading1"/>
      </w:pPr>
      <w:bookmarkStart w:id="0" w:name="TANumber"/>
      <w:r w:rsidRPr="00522CF3">
        <w:t>P9_TA(2024)00</w:t>
      </w:r>
      <w:bookmarkEnd w:id="0"/>
      <w:r w:rsidR="007A514D">
        <w:t>94</w:t>
      </w:r>
    </w:p>
    <w:p w:rsidR="007B34C7" w:rsidRPr="00EE5B50" w:rsidRDefault="00EE5B50" w:rsidP="007B34C7">
      <w:pPr>
        <w:pStyle w:val="ATHeading2"/>
      </w:pPr>
      <w:r w:rsidRPr="00EE5B50">
        <w:rPr>
          <w:bCs/>
        </w:rPr>
        <w:t>Europejski Bank Centralny – sprawozdanie roczne – 2023 r.</w:t>
      </w:r>
    </w:p>
    <w:p w:rsidR="007B34C7" w:rsidRPr="00522CF3" w:rsidRDefault="007B34C7" w:rsidP="007B34C7">
      <w:pPr>
        <w:rPr>
          <w:i/>
          <w:vanish/>
        </w:rPr>
      </w:pPr>
      <w:r w:rsidRPr="00522CF3">
        <w:rPr>
          <w:i/>
        </w:rPr>
        <w:fldChar w:fldCharType="begin"/>
      </w:r>
      <w:r w:rsidRPr="00522CF3">
        <w:rPr>
          <w:i/>
        </w:rPr>
        <w:instrText xml:space="preserve"> TC"(</w:instrText>
      </w:r>
      <w:bookmarkStart w:id="1" w:name="DocNumber"/>
      <w:r w:rsidRPr="00522CF3">
        <w:rPr>
          <w:i/>
        </w:rPr>
        <w:instrText>A9-0412/2023</w:instrText>
      </w:r>
      <w:bookmarkEnd w:id="1"/>
      <w:r w:rsidRPr="00522CF3">
        <w:rPr>
          <w:i/>
        </w:rPr>
        <w:instrText xml:space="preserve"> - Sprawozdawca: Johan Van Overtveldt)"\l3 \n&gt; \* MERGEFORMAT </w:instrText>
      </w:r>
      <w:r w:rsidRPr="00522CF3">
        <w:rPr>
          <w:i/>
        </w:rPr>
        <w:fldChar w:fldCharType="end"/>
      </w:r>
    </w:p>
    <w:p w:rsidR="007B34C7" w:rsidRPr="00522CF3" w:rsidRDefault="007B34C7" w:rsidP="007B34C7">
      <w:pPr>
        <w:rPr>
          <w:vanish/>
        </w:rPr>
      </w:pPr>
      <w:bookmarkStart w:id="2" w:name="Commission"/>
      <w:r w:rsidRPr="00522CF3">
        <w:rPr>
          <w:vanish/>
        </w:rPr>
        <w:t>Komisja Gospodarcza i Monetarna</w:t>
      </w:r>
      <w:bookmarkEnd w:id="2"/>
    </w:p>
    <w:p w:rsidR="007B34C7" w:rsidRPr="00522CF3" w:rsidRDefault="007B34C7" w:rsidP="007B34C7">
      <w:pPr>
        <w:rPr>
          <w:vanish/>
        </w:rPr>
      </w:pPr>
      <w:bookmarkStart w:id="3" w:name="PE"/>
      <w:r w:rsidRPr="00522CF3">
        <w:rPr>
          <w:vanish/>
        </w:rPr>
        <w:t>PE752.845</w:t>
      </w:r>
      <w:bookmarkEnd w:id="3"/>
    </w:p>
    <w:p w:rsidR="007B34C7" w:rsidRPr="00522CF3" w:rsidRDefault="007B34C7" w:rsidP="007B34C7">
      <w:pPr>
        <w:pStyle w:val="ATHeading3"/>
      </w:pPr>
      <w:bookmarkStart w:id="4" w:name="Sujet"/>
      <w:r w:rsidRPr="00522CF3">
        <w:t xml:space="preserve">Rezolucja Parlamentu Europejskiego z dnia </w:t>
      </w:r>
      <w:r w:rsidR="002039BB">
        <w:t>27</w:t>
      </w:r>
      <w:r w:rsidR="00EE5B50">
        <w:t xml:space="preserve"> lutego</w:t>
      </w:r>
      <w:r w:rsidRPr="00522CF3">
        <w:t xml:space="preserve"> 2024 r. w sprawie Europejskiego Banku Centralnego – raport roczny za rok 2023</w:t>
      </w:r>
      <w:bookmarkEnd w:id="4"/>
      <w:r w:rsidRPr="00522CF3">
        <w:t xml:space="preserve"> </w:t>
      </w:r>
      <w:bookmarkStart w:id="5" w:name="References"/>
      <w:r w:rsidRPr="00522CF3">
        <w:t>(2023/2064(INI))</w:t>
      </w:r>
      <w:bookmarkEnd w:id="5"/>
    </w:p>
    <w:p w:rsidR="007B34C7" w:rsidRPr="00522CF3" w:rsidRDefault="007B34C7" w:rsidP="007B34C7"/>
    <w:p w:rsidR="00A8415D" w:rsidRPr="00522CF3" w:rsidRDefault="00A8415D" w:rsidP="00A8415D">
      <w:pPr>
        <w:pStyle w:val="EPComma"/>
      </w:pPr>
      <w:bookmarkStart w:id="6" w:name="TextBodyBegin"/>
      <w:bookmarkEnd w:id="6"/>
      <w:r w:rsidRPr="00522CF3">
        <w:rPr>
          <w:i/>
        </w:rPr>
        <w:t>Parlament Europejski</w:t>
      </w:r>
      <w:r w:rsidRPr="00522CF3">
        <w:t>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raport roczny Europejskiego Banku Centralnego (EBC) za rok 2022,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informacje zwrotne, które EBC przekazał 25 maja 2023 r. w odpowiedzi na uwagi Parlamentu zawarte w rezolucji w sprawie raportu rocznego Europejskiego Banku Centralnego za rok 2021,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 xml:space="preserve">uwzględniając Statut Europejskiego Systemu Banków Centralnych (ESBC) i Europejskiego Banku Centralnego, w szczególności jego art. 15 i 21, 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art. 123, art. 127 ust. 1 i 2, art. 130 i art. 284 ust. 3 Traktatu o funkcjonowaniu Unii Europejskiej (TFUE),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art. 3 i 119 Traktatu o Unii Europejskiej (TUE),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projekcje makroekonomiczne ekspertów Eurosystemu dla strefy euro z 15 czerwca 2023 r. oraz decyzje podjęte przez Radę Prezesów EBC,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</w:t>
      </w:r>
      <w:bookmarkStart w:id="7" w:name="_GoBack"/>
      <w:bookmarkEnd w:id="7"/>
      <w:r w:rsidRPr="00522CF3">
        <w:t xml:space="preserve">iając dialogi monetarne między Komisją Gospodarczą i Monetarną a prezes EBC Christine Lagarde z </w:t>
      </w:r>
      <w:r w:rsidR="00EE5B50">
        <w:t xml:space="preserve">dnia </w:t>
      </w:r>
      <w:r w:rsidRPr="00522CF3">
        <w:t xml:space="preserve">20 marca i z </w:t>
      </w:r>
      <w:r w:rsidR="00EE5B50">
        <w:t xml:space="preserve">dnia </w:t>
      </w:r>
      <w:r w:rsidRPr="00522CF3">
        <w:t>5 czerwca 2023 r.,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 xml:space="preserve">uwzględniając wniosek Komisji z dnia 28 czerwca 2023 r. dotyczący rozporządzenia Parlamentu Europejskiego i Rady w sprawie ustanowienia cyfrowego euro (COM(2023)0369), 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swoją decyzję z dnia 1 czerwca 2023 r. w sprawie porozumienia międzyinstytucjonalnego w formie wymiany listów między Parlamentem Europejskim a Europejskim Bankiem Centralnym (EBC): uporządkowanie praktyk w zakresie współdziałania w dziedzinie bankowości centralnej</w:t>
      </w:r>
      <w:r w:rsidRPr="00522CF3">
        <w:rPr>
          <w:rStyle w:val="FootnoteReference"/>
        </w:rPr>
        <w:footnoteReference w:id="1"/>
      </w:r>
      <w:r w:rsidRPr="00522CF3">
        <w:t>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 xml:space="preserve">uwzględniając swoją rezolucję z dnia 19 maja 2022 r. w sprawie skutków społecznych i </w:t>
      </w:r>
      <w:r w:rsidRPr="00522CF3">
        <w:lastRenderedPageBreak/>
        <w:t>gospodarczych dla UE związanych z rosyjską wojną w Ukrainie – zwiększanie zdolności UE do działania</w:t>
      </w:r>
      <w:r w:rsidRPr="00522CF3">
        <w:rPr>
          <w:rStyle w:val="FootnoteReference"/>
          <w:b/>
          <w:i/>
        </w:rPr>
        <w:footnoteReference w:id="2"/>
      </w:r>
      <w:r w:rsidRPr="00522CF3">
        <w:t>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porozumienie paryskie zawarte na podstawie Ramowej konwencji Narodów Zjednoczonych w sprawie zmian klimatu,</w:t>
      </w:r>
    </w:p>
    <w:p w:rsidR="00A8415D" w:rsidRPr="00522CF3" w:rsidRDefault="00A8415D" w:rsidP="00EE5B50">
      <w:pPr>
        <w:pStyle w:val="NormalHanging12a"/>
        <w:rPr>
          <w:b/>
          <w:bCs/>
        </w:rPr>
      </w:pPr>
      <w:r w:rsidRPr="00522CF3">
        <w:t>–</w:t>
      </w:r>
      <w:r w:rsidRPr="00522CF3">
        <w:tab/>
        <w:t>uwzględniając Europejski filar praw socjalnych,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art. 142 ust. 1 Regulaminu,</w:t>
      </w:r>
    </w:p>
    <w:p w:rsidR="00A8415D" w:rsidRPr="00522CF3" w:rsidRDefault="00A8415D" w:rsidP="00EE5B50">
      <w:pPr>
        <w:pStyle w:val="NormalHanging12a"/>
      </w:pPr>
      <w:r w:rsidRPr="00522CF3">
        <w:t>–</w:t>
      </w:r>
      <w:r w:rsidRPr="00522CF3">
        <w:tab/>
        <w:t>uwzględniając sprawozdanie Komisji Gospodarczej i Monetarnej (A9-0412/2023),</w:t>
      </w:r>
    </w:p>
    <w:p w:rsidR="00A8415D" w:rsidRPr="00522CF3" w:rsidRDefault="00A8415D" w:rsidP="00EE5B50">
      <w:pPr>
        <w:pStyle w:val="NormalHanging12a"/>
      </w:pPr>
      <w:r w:rsidRPr="00522CF3">
        <w:t>A.</w:t>
      </w:r>
      <w:r w:rsidRPr="00522CF3">
        <w:tab/>
      </w:r>
      <w:proofErr w:type="gramStart"/>
      <w:r w:rsidRPr="00522CF3">
        <w:t>mając</w:t>
      </w:r>
      <w:proofErr w:type="gramEnd"/>
      <w:r w:rsidRPr="00522CF3">
        <w:t xml:space="preserve"> na uwadze, że zgodnie z projekcjami makroekonomicznymi ekspertów Eurosystemu z czerwca 2023 r. przewiduje się spowolnienie wzrostu gospodarki strefy euro z 3,5 % w 2022 r. do 0,9 % w 2023 r., a następnie odbicie do 1,5 % w 2024 r.; mając na uwadze, że według wstępnych szacunków Eurostatu wzrost w strefie euro w 2023 r. wyniósł zaledwie 0,6 %; mając na uwadze, że jest to najgorszy wynik od czasu recesji w 2020 r.;</w:t>
      </w:r>
    </w:p>
    <w:p w:rsidR="00A8415D" w:rsidRDefault="00A8415D" w:rsidP="00EE5B50">
      <w:pPr>
        <w:pStyle w:val="NormalHanging12a"/>
      </w:pPr>
      <w:r w:rsidRPr="00522CF3">
        <w:t>B.</w:t>
      </w:r>
      <w:r w:rsidRPr="00522CF3">
        <w:tab/>
        <w:t xml:space="preserve">mając na uwadze, że zgodnie z projekcjami makroekonomicznymi ekspertów Eurosystemu dla strefy euro z września 2023 r. przewiduje się, że inflacja ogólna wyniesie średnio 5,6 % w 2023 r., 3,2 % w 2024 r. i 2,1 % w 2025 r. pomimo spadku cen energii i poluzowania wąskich gardeł w dostawach; mając na uwadze, że inflacja bazowa była stabilniejsza, gdyż wzrosła do 5,5 % w czerwcu 2023 r., a następnie spadła do 4,2 % we wrześniu 2023 r.; mając na uwadze, że inflacja bazowa ma wkrótce wyprzedzić inflację ogólną i utrzymać się powyżej tej inflacji do początku 2024 r., głównie ze względu na silny wzrost płac; </w:t>
      </w:r>
    </w:p>
    <w:p w:rsidR="007A514D" w:rsidRPr="007A514D" w:rsidRDefault="007A514D" w:rsidP="00EE5B50">
      <w:pPr>
        <w:pStyle w:val="NormalHanging12a"/>
      </w:pPr>
      <w:r w:rsidRPr="007A514D">
        <w:t>C</w:t>
      </w:r>
      <w:r w:rsidRPr="00657178">
        <w:t>.</w:t>
      </w:r>
      <w:r w:rsidRPr="00657178">
        <w:tab/>
      </w:r>
      <w:proofErr w:type="gramStart"/>
      <w:r w:rsidRPr="00657178">
        <w:t>mając</w:t>
      </w:r>
      <w:proofErr w:type="gramEnd"/>
      <w:r w:rsidRPr="00657178">
        <w:t xml:space="preserve"> na uwadze wyjątkowo negatywne skutki dziesięciu kolejnych podwyżek stóp referencyjnych dla wypłacalności gospodarstw domowych, mikroprzedsiębiorstw i MŚP w krajach, w których przeważają modele pożyczek o zmiennej stopie procentowej;</w:t>
      </w:r>
    </w:p>
    <w:p w:rsidR="00A8415D" w:rsidRPr="00522CF3" w:rsidRDefault="007A514D" w:rsidP="00EE5B50">
      <w:pPr>
        <w:pStyle w:val="NormalHanging12a"/>
      </w:pPr>
      <w:r>
        <w:t>D</w:t>
      </w:r>
      <w:r w:rsidR="00A8415D" w:rsidRPr="00522CF3">
        <w:t>.</w:t>
      </w:r>
      <w:r w:rsidR="00A8415D" w:rsidRPr="00522CF3">
        <w:tab/>
      </w:r>
      <w:proofErr w:type="gramStart"/>
      <w:r w:rsidR="00A8415D" w:rsidRPr="00522CF3">
        <w:t>mając</w:t>
      </w:r>
      <w:proofErr w:type="gramEnd"/>
      <w:r w:rsidR="00A8415D" w:rsidRPr="00522CF3">
        <w:t xml:space="preserve"> na uwadze, że zgodnie z prognozą gospodarczą Komisji na 2023 r. przewiduje się, że deficyt sektora instytucji rządowych i samorządowych zmaleje do 3,1 % produktu krajowego brutto (PKB) w 2023 r. i do 2,4 % w 2024 r.; mając na uwadze, że relacja długu publicznego do PKB zmniejszyła się w strefie euro z 95,0 % w 2022 r. do 91,2 % w 2023 r., a w UE-27 odpowiednio z 87,4 % do 83,7 %; mając na uwadze, że jest to nadal powyżej określonych w Traktacie wartości referencyjnych; mając na uwadze, że dług publiczny i deficyty różnią się znacznie pomiędzy poszczególnymi państwami członkowskimi;</w:t>
      </w:r>
    </w:p>
    <w:p w:rsidR="00A8415D" w:rsidRPr="00522CF3" w:rsidRDefault="007A514D" w:rsidP="00EE5B50">
      <w:pPr>
        <w:pStyle w:val="NormalHanging12a"/>
      </w:pPr>
      <w:r>
        <w:t>E</w:t>
      </w:r>
      <w:r w:rsidR="00A8415D" w:rsidRPr="00522CF3">
        <w:t>.</w:t>
      </w:r>
      <w:r w:rsidR="00A8415D" w:rsidRPr="00522CF3">
        <w:tab/>
      </w:r>
      <w:proofErr w:type="gramStart"/>
      <w:r w:rsidR="00A8415D" w:rsidRPr="00522CF3">
        <w:t>mając</w:t>
      </w:r>
      <w:proofErr w:type="gramEnd"/>
      <w:r w:rsidR="00A8415D" w:rsidRPr="00522CF3">
        <w:t xml:space="preserve"> na uwadze, że EBC jest politycznie niezależny, co oznacza, że ani instytucje i agencje UE, ani rządy państw członkowskich nie mogą próbować wywierać na niego wpływu; ta niezależność wymaga od EBC powstrzymania się od podejmowania decyzji politycznych;</w:t>
      </w:r>
    </w:p>
    <w:p w:rsidR="00A8415D" w:rsidRPr="00522CF3" w:rsidRDefault="007A514D" w:rsidP="00EE5B50">
      <w:pPr>
        <w:pStyle w:val="NormalHanging12a"/>
      </w:pPr>
      <w:r>
        <w:t>F</w:t>
      </w:r>
      <w:r w:rsidR="00A8415D" w:rsidRPr="00522CF3">
        <w:t>.</w:t>
      </w:r>
      <w:r w:rsidR="00A8415D" w:rsidRPr="00522CF3">
        <w:tab/>
      </w:r>
      <w:proofErr w:type="gramStart"/>
      <w:r w:rsidR="00A8415D" w:rsidRPr="00522CF3">
        <w:t>mając</w:t>
      </w:r>
      <w:proofErr w:type="gramEnd"/>
      <w:r w:rsidR="00A8415D" w:rsidRPr="00522CF3">
        <w:t xml:space="preserve"> na uwadze, że Komisja Europejska stwierdziła, iż „dodatkowe potrzeby w zakresie inwestycji prywatnych i publicznych w związku z dwojaką transformacją i </w:t>
      </w:r>
      <w:r w:rsidR="00A8415D" w:rsidRPr="00522CF3">
        <w:lastRenderedPageBreak/>
        <w:t>odnośnymi celami polityki szacuje się na prawie 650 mld EUR rocznie do 2030 r.”</w:t>
      </w:r>
      <w:r w:rsidR="00A8415D" w:rsidRPr="00522CF3">
        <w:rPr>
          <w:rStyle w:val="FootnoteReference"/>
          <w:b/>
          <w:i/>
        </w:rPr>
        <w:footnoteReference w:id="3"/>
      </w:r>
      <w:r w:rsidR="00A8415D" w:rsidRPr="00522CF3">
        <w:t>;</w:t>
      </w:r>
    </w:p>
    <w:p w:rsidR="00A8415D" w:rsidRPr="00522CF3" w:rsidRDefault="007A514D" w:rsidP="00EE5B50">
      <w:pPr>
        <w:pStyle w:val="NormalHanging12a"/>
      </w:pPr>
      <w:r>
        <w:t>G</w:t>
      </w:r>
      <w:r w:rsidR="00A8415D" w:rsidRPr="00522CF3">
        <w:t>.</w:t>
      </w:r>
      <w:r w:rsidR="00A8415D" w:rsidRPr="00522CF3">
        <w:tab/>
        <w:t>mając na uwadze, że głównym celem EBC jest utrzymanie stabilności cen, co zgodnie z definicją EBC oznacza symetryczny cel inflacyjny w średnim okresie na poziomie 2 %;</w:t>
      </w:r>
    </w:p>
    <w:p w:rsidR="00A8415D" w:rsidRPr="00522CF3" w:rsidRDefault="007A514D" w:rsidP="00EE5B50">
      <w:pPr>
        <w:pStyle w:val="NormalHanging12a"/>
      </w:pPr>
      <w:r>
        <w:t>H</w:t>
      </w:r>
      <w:r w:rsidR="00A8415D" w:rsidRPr="00522CF3">
        <w:t>.</w:t>
      </w:r>
      <w:r w:rsidR="00A8415D" w:rsidRPr="00522CF3">
        <w:tab/>
      </w:r>
      <w:proofErr w:type="gramStart"/>
      <w:r w:rsidR="00A8415D" w:rsidRPr="00522CF3">
        <w:t>mając</w:t>
      </w:r>
      <w:proofErr w:type="gramEnd"/>
      <w:r w:rsidR="00A8415D" w:rsidRPr="00522CF3">
        <w:t xml:space="preserve"> na uwadze, że bez uszczerbku dla głównego celu, tj. stabilności cen, EBC powinien wspierać również ogólne polityki gospodarcze w UE, aby przyczynić się do osiągnięcia celów UE zapisanych w art. 3 TUE;</w:t>
      </w:r>
    </w:p>
    <w:p w:rsidR="00A8415D" w:rsidRPr="00522CF3" w:rsidRDefault="007A514D" w:rsidP="00EE5B50">
      <w:pPr>
        <w:pStyle w:val="NormalHanging12a"/>
      </w:pPr>
      <w:r>
        <w:t>I</w:t>
      </w:r>
      <w:r w:rsidR="00A8415D" w:rsidRPr="00522CF3">
        <w:t>.</w:t>
      </w:r>
      <w:r w:rsidR="00A8415D" w:rsidRPr="00522CF3">
        <w:tab/>
      </w:r>
      <w:proofErr w:type="gramStart"/>
      <w:r w:rsidR="00A8415D" w:rsidRPr="00522CF3">
        <w:t>mając</w:t>
      </w:r>
      <w:proofErr w:type="gramEnd"/>
      <w:r w:rsidR="00A8415D" w:rsidRPr="00522CF3">
        <w:t xml:space="preserve"> na uwadze, że w art. 123 TFUE i w art. 21 statutu ESBC i EBC zakazuje się finansowania rządów ze środków banku centralnego;</w:t>
      </w:r>
    </w:p>
    <w:p w:rsidR="00A8415D" w:rsidRPr="00522CF3" w:rsidRDefault="007A514D" w:rsidP="00EE5B50">
      <w:pPr>
        <w:pStyle w:val="NormalHanging12a"/>
      </w:pPr>
      <w:r>
        <w:t>J</w:t>
      </w:r>
      <w:r w:rsidR="00A8415D" w:rsidRPr="00522CF3">
        <w:t>.</w:t>
      </w:r>
      <w:r w:rsidR="00A8415D" w:rsidRPr="00522CF3">
        <w:tab/>
        <w:t>mając na uwadze, że EBC odpowiada przed Parlamentem jako instytucją reprezentującą obywateli UE;</w:t>
      </w:r>
    </w:p>
    <w:p w:rsidR="00A8415D" w:rsidRPr="00522CF3" w:rsidRDefault="00A8415D" w:rsidP="00EE5B50">
      <w:pPr>
        <w:pStyle w:val="NormalHanging12a"/>
        <w:rPr>
          <w:b/>
          <w:i/>
        </w:rPr>
      </w:pPr>
      <w:r w:rsidRPr="00522CF3">
        <w:rPr>
          <w:b/>
          <w:i/>
        </w:rPr>
        <w:t>Informacje ogólne</w:t>
      </w:r>
    </w:p>
    <w:p w:rsidR="00A8415D" w:rsidRPr="00522CF3" w:rsidRDefault="00A8415D" w:rsidP="00EE5B50">
      <w:pPr>
        <w:pStyle w:val="NormalHanging12a"/>
      </w:pPr>
      <w:r w:rsidRPr="00522CF3">
        <w:t>1.</w:t>
      </w:r>
      <w:r w:rsidRPr="00522CF3">
        <w:tab/>
      </w:r>
      <w:proofErr w:type="gramStart"/>
      <w:r w:rsidRPr="00522CF3">
        <w:t>przypomina</w:t>
      </w:r>
      <w:proofErr w:type="gramEnd"/>
      <w:r w:rsidRPr="00522CF3">
        <w:t xml:space="preserve">, że art. 127 TFUE stanowi, iż „głównym celem Europejskiego Systemu Banków Centralnych (ESBC) jest utrzymanie stabilności cen. Bez uszczerbku dla celu stabilności cen, ESBC wspiera ogólne polityki gospodarcze w Unii, mając na względzie przyczynianie się do osiągnięcia celów Unii ustanowionych w artykule 3 Traktatu o Unii Europejskiej. ESBC działa w poszanowaniu zasady otwartej gospodarki rynkowej z wolną konkurencją, sprzyjając efektywnej alokacji zasobów oraz zgodnie z zasadami określonymi w artykule 119.”; </w:t>
      </w:r>
    </w:p>
    <w:p w:rsidR="00A8415D" w:rsidRPr="00522CF3" w:rsidRDefault="00A8415D" w:rsidP="00EE5B50">
      <w:pPr>
        <w:pStyle w:val="NormalHanging12a"/>
      </w:pPr>
      <w:r w:rsidRPr="00522CF3">
        <w:t>2.</w:t>
      </w:r>
      <w:r w:rsidRPr="00522CF3">
        <w:tab/>
      </w:r>
      <w:proofErr w:type="gramStart"/>
      <w:r w:rsidRPr="00522CF3">
        <w:t>przypomina</w:t>
      </w:r>
      <w:proofErr w:type="gramEnd"/>
      <w:r w:rsidRPr="00522CF3">
        <w:t xml:space="preserve"> o statutowej niezależność EBC zapisanej w art. 130 TFUE; podkreśla przy tym, że niezależność ta powinna zawsze iść w parze z odpowiednim poziomem rozliczalności;</w:t>
      </w:r>
    </w:p>
    <w:p w:rsidR="00A8415D" w:rsidRPr="00522CF3" w:rsidRDefault="00A8415D" w:rsidP="00EE5B50">
      <w:pPr>
        <w:pStyle w:val="NormalHanging12a"/>
      </w:pPr>
      <w:r w:rsidRPr="00522CF3">
        <w:t>3.</w:t>
      </w:r>
      <w:r w:rsidRPr="00522CF3">
        <w:tab/>
      </w:r>
      <w:proofErr w:type="gramStart"/>
      <w:r w:rsidRPr="00522CF3">
        <w:t>jest</w:t>
      </w:r>
      <w:proofErr w:type="gramEnd"/>
      <w:r w:rsidRPr="00522CF3">
        <w:t xml:space="preserve"> zaniepokojony tym, że jeżeli EBC w odpowiednim czasie nie doprowadzi inflacji do poziomu docelowego, a jednocześnie zwiększy koszty finansowania w strefie euro, zwłaszcza dla obywateli i przedsiębiorstw, grozi mu utrata wiarygodności;</w:t>
      </w:r>
    </w:p>
    <w:p w:rsidR="00A8415D" w:rsidRPr="00522CF3" w:rsidRDefault="00A8415D" w:rsidP="00EE5B50">
      <w:pPr>
        <w:pStyle w:val="NormalHanging12a"/>
      </w:pPr>
      <w:r w:rsidRPr="00522CF3">
        <w:t>4.</w:t>
      </w:r>
      <w:r w:rsidRPr="00522CF3">
        <w:tab/>
      </w:r>
      <w:proofErr w:type="gramStart"/>
      <w:r w:rsidRPr="00522CF3">
        <w:t>jest</w:t>
      </w:r>
      <w:proofErr w:type="gramEnd"/>
      <w:r w:rsidRPr="00522CF3">
        <w:t xml:space="preserve"> głęboko zaniepokojony utrzymującymi się wysokimi stopami inflacji, zwłaszcza stopami inflacji bazowej, oraz ich szkodliwym wpływem na konkurencyjność, inwestycje, tworzenie miejsc pracy i siłę nabywczą konsumentów, co szczególnie dotyka obywateli mających stałe lub niskie dochody; wzywa EBC, aby podjął wszelkie niezbędne działania, by obniżyć stopę inflacji zgodnie ze swoim mandatem; przypomina, że taka sytuacja prowadzi do niepewności gospodarczej i zwiększa koszty życia obywateli; podkreśla, że może to wpływać na wzrost oczekiwań inflacyjnych, które utrwalają cykl podwyżek cen i osłabiają stabilność gospodarczą; zauważa, że ilościowe cele inflacyjne należy osiągnąć w perspektywie średnioterminowej; zachęca EBC do dostarczania obszerniejszych informacji o monitorowaniu i </w:t>
      </w:r>
      <w:proofErr w:type="gramStart"/>
      <w:r w:rsidRPr="00522CF3">
        <w:t>ustalaniu</w:t>
      </w:r>
      <w:proofErr w:type="gramEnd"/>
      <w:r w:rsidRPr="00522CF3">
        <w:t xml:space="preserve"> neutralnej stopy procentowej;</w:t>
      </w:r>
    </w:p>
    <w:p w:rsidR="00A8415D" w:rsidRPr="00522CF3" w:rsidRDefault="00A8415D" w:rsidP="00EE5B50">
      <w:pPr>
        <w:pStyle w:val="NormalHanging12a"/>
      </w:pPr>
      <w:r w:rsidRPr="00522CF3">
        <w:t>5.</w:t>
      </w:r>
      <w:r w:rsidRPr="00522CF3">
        <w:tab/>
      </w:r>
      <w:proofErr w:type="gramStart"/>
      <w:r w:rsidRPr="00522CF3">
        <w:t>odnotowuje</w:t>
      </w:r>
      <w:proofErr w:type="gramEnd"/>
      <w:r w:rsidRPr="00522CF3">
        <w:t xml:space="preserve"> różne poziomy zadłużenia, deficytów publicznych i inwestycji publicznych w państwach członkowskich oraz związane z tym potencjalne trudności i zagrożenia dla stabilności gospodarczej, zaufania inwestorów, wzrostu gospodarczego i długoterminowego dobrobytu; ubolewa, że w czasie, gdy stopy procentowe były niskie, </w:t>
      </w:r>
      <w:r w:rsidRPr="00522CF3">
        <w:lastRenderedPageBreak/>
        <w:t xml:space="preserve">nie podjęto wystarczających kroków na rzecz zreformowania konkurencyjności i inwestycji publicznych; podkreśla swoje szczególne zaniepokojenie rosnącymi kosztami finansowania dłużnego, zwłaszcza w przypadku długu publicznego, z powodu rosnących stóp procentowych; przypomina, że należy w odpowiedzialny sposób zająć się poziomem długu i deficytu sektora instytucji rządowych i samorządowych, aby uniknąć ryzyka związanego z obecną stopą inflacji i utrzymać stabilność gospodarki oraz zrównoważony wzrost; </w:t>
      </w:r>
      <w:proofErr w:type="gramStart"/>
      <w:r w:rsidRPr="00522CF3">
        <w:t>wzywa</w:t>
      </w:r>
      <w:proofErr w:type="gramEnd"/>
      <w:r w:rsidRPr="00522CF3">
        <w:t xml:space="preserve"> do szybkiej finalizacji wniosków ustawodawczych Komisji w sprawie przeglądu unijnych przepisów dotyczących zarządzania gospodarczego; z zadowoleniem przyjmuje opinię ECB w tej sprawie; zwraca uwagę, że zaostrzeniu polityki pieniężnej EBC mogłaby przeciwdziałać ekspansywna polityka fiskalna;</w:t>
      </w:r>
    </w:p>
    <w:p w:rsidR="00A8415D" w:rsidRPr="00522CF3" w:rsidRDefault="00A8415D" w:rsidP="00EE5B50">
      <w:pPr>
        <w:pStyle w:val="NormalHanging12a"/>
      </w:pPr>
      <w:r w:rsidRPr="00522CF3">
        <w:t>6.</w:t>
      </w:r>
      <w:r w:rsidRPr="00522CF3">
        <w:tab/>
      </w:r>
      <w:proofErr w:type="gramStart"/>
      <w:r w:rsidRPr="00522CF3">
        <w:t>potępia</w:t>
      </w:r>
      <w:proofErr w:type="gramEnd"/>
      <w:r w:rsidRPr="00522CF3">
        <w:t xml:space="preserve"> niesprowokowaną napaść Rosji na Ukrainę i trwającą tam wojnę oraz związane z nią obecne negatywne wstrząsy po stronie podaży; jest zaniepokojony jej trwałymi, nieprzewidywalnymi i poważnymi konsekwencjami dla europejskiej gospodarki i społeczeństwa, w szczególności dla najbardziej narażonych i wrażliwych grup, takich jak gospodarstwa domowe o niższych dochodach i MŚP; z zadowoleniem przyjmuje w związku z tym włączenie do planów odbudowy i zwiększania odporności REPowerEU, aby zmniejszyć zależność od rosyjskich dostaw energii, wesprzeć autonomię strategiczną i skorygować wstrząsy po stronie podaży;</w:t>
      </w:r>
    </w:p>
    <w:p w:rsidR="00A8415D" w:rsidRPr="00522CF3" w:rsidRDefault="00A8415D" w:rsidP="00EE5B50">
      <w:pPr>
        <w:pStyle w:val="NormalHanging12a"/>
      </w:pPr>
      <w:r w:rsidRPr="00522CF3">
        <w:t>7.</w:t>
      </w:r>
      <w:r w:rsidRPr="00522CF3">
        <w:tab/>
      </w:r>
      <w:proofErr w:type="gramStart"/>
      <w:r w:rsidRPr="00522CF3">
        <w:t>podkreśla</w:t>
      </w:r>
      <w:proofErr w:type="gramEnd"/>
      <w:r w:rsidRPr="00522CF3">
        <w:t>, że zagrożenia względem europejskiej konkurencyjności i międzynarodowej roli euro wynikają nie tylko z wysokiego poziomu inflacji, trwającej wojny w Ukrainie oraz z wysokich i znacznie różniących się między sobą poziomów długu publicznego w państwach członkowskich, lecz również z instytucjonalnej struktury strefy euro, coraz bardziej uciążliwych kosztów regulacji, rosnącej fragmentacji w światowym handlu oraz szkodliwego prześcigania się przez państwa w dotowaniu przedsiębiorstw; wzywa EBC, aby zastanowił się nad wzmocnieniem międzynarodowej roli euro, aby zwiększyć jego atrakcyjność jako waluty rezerwowej;</w:t>
      </w:r>
    </w:p>
    <w:p w:rsidR="00A8415D" w:rsidRPr="00522CF3" w:rsidRDefault="00A8415D" w:rsidP="00EE5B50">
      <w:pPr>
        <w:pStyle w:val="NormalHanging12a"/>
      </w:pPr>
      <w:r w:rsidRPr="00522CF3">
        <w:t>8.</w:t>
      </w:r>
      <w:r w:rsidRPr="00522CF3">
        <w:tab/>
      </w:r>
      <w:proofErr w:type="gramStart"/>
      <w:r w:rsidRPr="00522CF3">
        <w:t>przypomina</w:t>
      </w:r>
      <w:proofErr w:type="gramEnd"/>
      <w:r w:rsidRPr="00522CF3">
        <w:t xml:space="preserve"> ostrzeżenie prezes Lagarde, że wsparcie fiskalne powinno być tymczasowe, ukierunkowane i dostosowane do potrzeb oraz nie może być sprzeczne z celami polityki pieniężnej; wzywa państwa członkowskie, aby dostosowały swoją politykę fiskalną do ogólnego celu polityki pieniężnej EBC; przypomina, że aby móc reagować na wstrząsy zewnętrzne, unia gospodarcza i walutowa wymaga solidnej polityki fiskalnej w państwach członkowskich; wzywa do skoncentrowania bodźców fiskalnych na inwestycjach produkcyjnych i na reformach; zwraca uwagę, że zarówno rządy, jak i Komisja mogą wpierać obywateli i przemysł nie tylko za pomocą środków fiskalnych, lecz również skupiając się na społecznie zrównoważonych reformach pobudzających wzrost gospodarczy oraz na </w:t>
      </w:r>
      <w:proofErr w:type="gramStart"/>
      <w:r w:rsidRPr="00522CF3">
        <w:t>publicznych</w:t>
      </w:r>
      <w:proofErr w:type="gramEnd"/>
      <w:r w:rsidRPr="00522CF3">
        <w:t xml:space="preserve"> i prywatnych inwestycjach w infrastrukturę; zauważa jednak, że architektura strefy euro wciąż pozostaje oparta na założeniu dominacji walutowej; zauważa, że wysokie poziomy inflacji oznaczają dla wszystkich instytucji UE i organów krajowych konieczność silnego zaangażowania się na rzecz zaradzenia gospodarczym i społecznym skutkom kryzysu inflacyjnego; </w:t>
      </w:r>
    </w:p>
    <w:p w:rsidR="00A8415D" w:rsidRPr="00522CF3" w:rsidRDefault="00A8415D" w:rsidP="00EE5B50">
      <w:pPr>
        <w:pStyle w:val="NormalHanging12a"/>
      </w:pPr>
      <w:r w:rsidRPr="00522CF3">
        <w:t>9.</w:t>
      </w:r>
      <w:r w:rsidRPr="00522CF3">
        <w:tab/>
      </w:r>
      <w:proofErr w:type="gramStart"/>
      <w:r w:rsidRPr="00522CF3">
        <w:t>zauważa</w:t>
      </w:r>
      <w:proofErr w:type="gramEnd"/>
      <w:r w:rsidRPr="00522CF3">
        <w:t>, że polityka pieniężna EBC zmierzająca do wywiązywania się z jego głównego mandatu podlega ocenie proporcjonalności; zauważa, że w ocenie proporcjonalności uwzględnia się wpływ środków polityki pieniężnej na szerzej rozumianą gospodarkę i politykę gospodarczą; podkreśla, że gdy EBC staje przed wyborem między różnymi pakietami strategii politycznych, które w równym stopniu sprzyjają stabilności cen, musi wybierać te, które najlepiej wspierają ogólną politykę gospodarczą UE;</w:t>
      </w:r>
    </w:p>
    <w:p w:rsidR="00A8415D" w:rsidRPr="00522CF3" w:rsidRDefault="00A8415D" w:rsidP="00EE5B50">
      <w:pPr>
        <w:pStyle w:val="NormalHanging12a"/>
      </w:pPr>
      <w:r w:rsidRPr="00522CF3">
        <w:lastRenderedPageBreak/>
        <w:t>10.</w:t>
      </w:r>
      <w:r w:rsidRPr="00522CF3">
        <w:tab/>
      </w:r>
      <w:proofErr w:type="gramStart"/>
      <w:r w:rsidRPr="00522CF3">
        <w:t>z</w:t>
      </w:r>
      <w:proofErr w:type="gramEnd"/>
      <w:r w:rsidRPr="00522CF3">
        <w:t xml:space="preserve"> zadowoleniem przyjmuje długotrwałe poparcie EBC dla przemyślanego ukończenia tworzenia unii gospodarczej i walutowej, unii bankowej i unii rynków kapitałowych; przypomina, że przyczyniłoby się to do lepszej dywersyfikacji ryzyka w ramach unii walutowej oraz do jej większej stabilności finansowej, a także do odbudowy gospodarczej i społecznej UE, zmniejszenia zależności od pożyczek bankowych, jak również do konkurowania z rynkami azjatyckimi i rynkiem amerykańskim; przypomina, że potrzebna jest wyraźna wola polityczna, aby poczynić postępy ku ukończeniu tworzenia unii bankowej i unii rynków kapitałowych; odnotowuje poparcie EBC dla ustanowienia pełnoprawnego europejskiego systemu gwarantowania depozytów; uznaje, że podział ryzyka i ograniczanie ryzyka są ze </w:t>
      </w:r>
      <w:proofErr w:type="gramStart"/>
      <w:r w:rsidRPr="00522CF3">
        <w:t>sobą</w:t>
      </w:r>
      <w:proofErr w:type="gramEnd"/>
      <w:r w:rsidRPr="00522CF3">
        <w:t xml:space="preserve"> powiązane oraz że instytucjonalne systemy ochrony odgrywają kluczową rolę w ochronie i stabilizowaniu instytucji członkowskich; zwraca się do EBC o monitorowanie sytuacji w zakresie kredytów zagrożonych;</w:t>
      </w:r>
    </w:p>
    <w:p w:rsidR="00A8415D" w:rsidRPr="00522CF3" w:rsidRDefault="00A8415D" w:rsidP="00EE5B50">
      <w:pPr>
        <w:pStyle w:val="NormalHanging12a"/>
      </w:pPr>
      <w:r w:rsidRPr="00522CF3">
        <w:t>11.</w:t>
      </w:r>
      <w:r w:rsidRPr="00522CF3">
        <w:tab/>
      </w:r>
      <w:proofErr w:type="gramStart"/>
      <w:r w:rsidRPr="00522CF3">
        <w:t>podkreśla</w:t>
      </w:r>
      <w:proofErr w:type="gramEnd"/>
      <w:r w:rsidRPr="00522CF3">
        <w:t xml:space="preserve"> kluczową rolę małych i średnich przedsiębiorstw (MŚP) w unijnej gospodarce oraz ich znaczenie dla konwergencji gospodarczej i społecznej i dla zatrudnienia; jest szczególnie zaniepokojony wpływem pandemii COVID-19 i rosyjskiej wojny napastniczej w Ukrainie na MŚP; podkreśla, że należy wyeliminować bariery biurokratyczne utrudniające inwestycje transgraniczne w Unii, zmniejszyć obciążenia fiskalne dla MŚP w stosunku do dużych korporacji, uprościć ramy prawne w celu przyciągnięcia kapitału, sprzyjać dostępowi MŚP do rynków finansowych i propagować kulturę finansową wśród obywateli, aby uświadamiać im korzyści płynące z inwestycji;</w:t>
      </w:r>
    </w:p>
    <w:p w:rsidR="00A8415D" w:rsidRPr="00522CF3" w:rsidRDefault="00A8415D" w:rsidP="00EE5B50">
      <w:pPr>
        <w:pStyle w:val="NormalHanging12a"/>
        <w:rPr>
          <w:b/>
          <w:i/>
        </w:rPr>
      </w:pPr>
      <w:r w:rsidRPr="00522CF3">
        <w:rPr>
          <w:b/>
          <w:i/>
        </w:rPr>
        <w:t>Polityka monetarna</w:t>
      </w:r>
    </w:p>
    <w:p w:rsidR="00A8415D" w:rsidRPr="00522CF3" w:rsidRDefault="00A8415D" w:rsidP="00EE5B50">
      <w:pPr>
        <w:pStyle w:val="NormalHanging12a"/>
      </w:pPr>
      <w:r w:rsidRPr="00522CF3">
        <w:t>12.</w:t>
      </w:r>
      <w:r w:rsidRPr="00522CF3">
        <w:tab/>
      </w:r>
      <w:proofErr w:type="gramStart"/>
      <w:r w:rsidRPr="00522CF3">
        <w:t>zauważa</w:t>
      </w:r>
      <w:proofErr w:type="gramEnd"/>
      <w:r w:rsidRPr="00522CF3">
        <w:t>, że inflacja ogólna spadła z 8,4 % w 2022 r. do 5,2 % w 2023 r., głównie ze względu na niższe ceny energii i likwidowanie wąskich gardeł w dostawach; zauważa jednak, że inflacja utrzymuje się powyżej docelowego poziomu 2 %; przyjmuje do wiadomości prognozę EBC co do inflacji na poziomie 2,1 % w 2025 r.; wyraża zaniepokojenie efektami drugiej rundy, oderwaniem oczekiwań inflacyjnych przedsiębiorstw i gospodarstw domowych od realiów oraz ewentualną ewolucją stosunku płac do cen, gdy oczekiwania inflacyjne, a co za tym idzie – płace, wszędzie rosną, a także potrzebą uwzględnienia ich skutków dla wzrostu gospodarczego i zatrudnienia;</w:t>
      </w:r>
    </w:p>
    <w:p w:rsidR="00A8415D" w:rsidRPr="00522CF3" w:rsidRDefault="00A8415D" w:rsidP="00EE5B50">
      <w:pPr>
        <w:pStyle w:val="NormalHanging12a"/>
      </w:pPr>
      <w:r w:rsidRPr="00522CF3">
        <w:t>13.</w:t>
      </w:r>
      <w:r w:rsidRPr="00522CF3">
        <w:tab/>
      </w:r>
      <w:proofErr w:type="gramStart"/>
      <w:r w:rsidRPr="00522CF3">
        <w:t>zauważa</w:t>
      </w:r>
      <w:proofErr w:type="gramEnd"/>
      <w:r w:rsidRPr="00522CF3">
        <w:t>, że wysokie poziomy inflacji w nieproporcjonalny sposób dotykają gospodarstwa domowe o niższych dochodach, które wydają większą część swojego budżetu na artykuły pierwszej potrzeby; podkreśla, że sprowadzenie inflacji z powrotem do jej docelowego poziomu jest zatem również ważne dla utrzymania spójności społecznej;</w:t>
      </w:r>
    </w:p>
    <w:p w:rsidR="00A8415D" w:rsidRPr="00522CF3" w:rsidRDefault="00A8415D" w:rsidP="00EE5B50">
      <w:pPr>
        <w:pStyle w:val="NormalHanging12a"/>
      </w:pPr>
      <w:r w:rsidRPr="00522CF3">
        <w:t>14.</w:t>
      </w:r>
      <w:r w:rsidRPr="00522CF3">
        <w:tab/>
      </w:r>
      <w:proofErr w:type="gramStart"/>
      <w:r w:rsidRPr="00522CF3">
        <w:t>wyraża</w:t>
      </w:r>
      <w:proofErr w:type="gramEnd"/>
      <w:r w:rsidRPr="00522CF3">
        <w:t xml:space="preserve"> zaniepokojenie utrzymującą się wysoką stopą inflacji bazowej, choć od kilku miesięcy wykazuje ona tendencję spadkową; zauważa, że początkowo inflacja zaczęła rosnąć z powodu wąskich gardeł w dostawach; rozumie, że należy się spodziewać, iż płace będą nadal rosły, co jest wynikiem kompensowania inflacji i kurczących się zasobów pracy;</w:t>
      </w:r>
    </w:p>
    <w:p w:rsidR="00A8415D" w:rsidRPr="00522CF3" w:rsidRDefault="00A8415D" w:rsidP="00EE5B50">
      <w:pPr>
        <w:pStyle w:val="NormalHanging12a"/>
      </w:pPr>
      <w:r w:rsidRPr="00522CF3">
        <w:t>15.</w:t>
      </w:r>
      <w:r w:rsidRPr="00522CF3">
        <w:tab/>
      </w:r>
      <w:proofErr w:type="gramStart"/>
      <w:r w:rsidRPr="00522CF3">
        <w:t>zwraca</w:t>
      </w:r>
      <w:proofErr w:type="gramEnd"/>
      <w:r w:rsidRPr="00522CF3">
        <w:t xml:space="preserve"> uwagę, że inflacja zaczęła rosnąć powyżej poziomów docelowych już w lipcu 2021 r. z powodu wąskich gardeł w dostawach, a zatem jeszcze przed przeprowadzoną na szeroką skalę, niczym niesprowokowaną i nielegalną napaścią Rosji na Ukrainę, </w:t>
      </w:r>
      <w:r w:rsidRPr="00522CF3">
        <w:lastRenderedPageBreak/>
        <w:t xml:space="preserve">która zwiększyła presję inflacyjną; zauważa jednak, że EBC rozpoczął walkę z inflacją dopiero w czerwcu 2022 r., mimo że kryzys związany z COVID-19 dowiódł, że EBC jest w stanie działać szybko; zauważa, że inne banki centralne zaczęły działać szybciej; podkreśla, że EBC powinien działać niezwłocznie, wywiązując się z mandatu, którym jest podejmowanie wszystkich decyzji na podstawie wskaźników ekonomicznych i finansowych; uważa, że dzięki szybszej reakcji można </w:t>
      </w:r>
      <w:proofErr w:type="gramStart"/>
      <w:r w:rsidRPr="00522CF3">
        <w:t>było</w:t>
      </w:r>
      <w:proofErr w:type="gramEnd"/>
      <w:r w:rsidRPr="00522CF3">
        <w:t xml:space="preserve"> wcześniej wpłynąć na dynamikę cen i uniknąć szczytu na poziomie 10,6 %, który odnotowano w październiku 2022 r.;</w:t>
      </w:r>
    </w:p>
    <w:p w:rsidR="00A8415D" w:rsidRPr="00522CF3" w:rsidRDefault="00A8415D" w:rsidP="00EE5B50">
      <w:pPr>
        <w:pStyle w:val="NormalHanging12a"/>
      </w:pPr>
      <w:r w:rsidRPr="00522CF3">
        <w:t>16.</w:t>
      </w:r>
      <w:r w:rsidRPr="00522CF3">
        <w:tab/>
      </w:r>
      <w:proofErr w:type="gramStart"/>
      <w:r w:rsidRPr="00522CF3">
        <w:t>zwraca</w:t>
      </w:r>
      <w:proofErr w:type="gramEnd"/>
      <w:r w:rsidRPr="00522CF3">
        <w:t xml:space="preserve"> się do EBC o dalsze analizowanie wpływu podaży i popytu na utrzymywanie się inflacji;</w:t>
      </w:r>
    </w:p>
    <w:p w:rsidR="00A8415D" w:rsidRPr="00522CF3" w:rsidRDefault="00A8415D" w:rsidP="00EE5B50">
      <w:pPr>
        <w:pStyle w:val="NormalHanging12a"/>
      </w:pPr>
      <w:r w:rsidRPr="00522CF3">
        <w:t>17.</w:t>
      </w:r>
      <w:r w:rsidRPr="00522CF3">
        <w:tab/>
      </w:r>
      <w:proofErr w:type="gramStart"/>
      <w:r w:rsidRPr="00522CF3">
        <w:t>w</w:t>
      </w:r>
      <w:proofErr w:type="gramEnd"/>
      <w:r w:rsidRPr="00522CF3">
        <w:t xml:space="preserve"> pełni popiera oświadczenie prezes Lagarde co do walki z inflacją tak długo, jak to będzie konieczne, przy czym podkreśla, że normalizację polityki pieniężnej można osiągnąć dzięki powiązaniu polityki budżetowej, pieniężnej i strukturalnej; pochwala apel prezes Lagarde o pokorę i regularne aktualizowanie modeli EBC; zachęca jednak EBC do gruntownego przeglądu i udoskonalenia swoich modeli i ich roli w kształtowaniu polityki – w świetle słabych wyników posługiwania się nimi w ostatnich latach – w taki sposób, by dostosować je do nowych trendów i tendencji gospodarczych na rynkach finansowych UE i na świecie, uwzględniając przy tym wnioski wyciągnięte z trwających i minionych kryzysów oraz </w:t>
      </w:r>
      <w:proofErr w:type="gramStart"/>
      <w:r w:rsidRPr="00522CF3">
        <w:t>wyzwania</w:t>
      </w:r>
      <w:proofErr w:type="gramEnd"/>
      <w:r w:rsidRPr="00522CF3">
        <w:t xml:space="preserve"> w kształtowaniu polityki pieniężnej;</w:t>
      </w:r>
    </w:p>
    <w:p w:rsidR="00A8415D" w:rsidRPr="00522CF3" w:rsidRDefault="00A8415D" w:rsidP="00EE5B50">
      <w:pPr>
        <w:pStyle w:val="NormalHanging12a"/>
      </w:pPr>
      <w:r w:rsidRPr="00522CF3">
        <w:t>18.</w:t>
      </w:r>
      <w:r w:rsidRPr="00522CF3">
        <w:tab/>
      </w:r>
      <w:proofErr w:type="gramStart"/>
      <w:r w:rsidRPr="00522CF3">
        <w:t>przypomina</w:t>
      </w:r>
      <w:proofErr w:type="gramEnd"/>
      <w:r w:rsidRPr="00522CF3">
        <w:t xml:space="preserve">, że daleko nam do osiągnięcia stabilności cen; odnotowuje symetryczny cel inflacyjny na poziomie 2 % w średnim okresie; zauważa, że w ostatnich dziesięciu latach inflacja była znacznie niższa lub znacznie wyższa od tego poziomu docelowego; zauważa również, że inflacja wykazuje tendencję spadkową, zbliżając się do średnioterminowego celu EBC; </w:t>
      </w:r>
    </w:p>
    <w:p w:rsidR="00A8415D" w:rsidRPr="00522CF3" w:rsidRDefault="00A8415D" w:rsidP="00EE5B50">
      <w:pPr>
        <w:pStyle w:val="NormalHanging12a"/>
      </w:pPr>
      <w:r w:rsidRPr="00522CF3">
        <w:t>19.</w:t>
      </w:r>
      <w:r w:rsidRPr="00522CF3">
        <w:tab/>
      </w:r>
      <w:proofErr w:type="gramStart"/>
      <w:r w:rsidRPr="00522CF3">
        <w:t>apeluje</w:t>
      </w:r>
      <w:proofErr w:type="gramEnd"/>
      <w:r w:rsidRPr="00522CF3">
        <w:t xml:space="preserve"> do EBC o dokładniejsze zdefiniowanie określenia „średnioterminowy” i o zastanowienie się nad bardziej jakościowym podejściem do stabilności cen, z zachowaniem niezbędnego marginesu umożliwiającego czerpanie korzyści ze stabilności cen, a zarazem przy zapewnieniu niezbędnego pola manewru do zmniejszenia ryzyka deflacji;</w:t>
      </w:r>
    </w:p>
    <w:p w:rsidR="00A8415D" w:rsidRPr="00522CF3" w:rsidRDefault="00A8415D" w:rsidP="00EE5B50">
      <w:pPr>
        <w:pStyle w:val="NormalHanging12a"/>
      </w:pPr>
      <w:r w:rsidRPr="00522CF3">
        <w:t>20.</w:t>
      </w:r>
      <w:r w:rsidRPr="00522CF3">
        <w:tab/>
      </w:r>
      <w:proofErr w:type="gramStart"/>
      <w:r w:rsidRPr="00522CF3">
        <w:t>popiera</w:t>
      </w:r>
      <w:proofErr w:type="gramEnd"/>
      <w:r w:rsidRPr="00522CF3">
        <w:t xml:space="preserve"> decyzję EBC o zredukowaniu programów zakupu aktywów w związku z nadmierną płynnością na rynku; zauważa jednak, że EBC nadal zamierza reinwestować spłaty kwoty głównej z tytułu zapadających papierów wartościowych nabytych w ramach nadzwyczajnego programu zakupów w czasie pandemii co najmniej do końca 2024 r.; odnotowuje zapowiedź EBC dotyczącą dekarbonizacji posiadanych przez niego obligacji korporacyjnych, choć „przechylenie szali” jest mniej skuteczne, gdy nie dokonuje się reinwestycji; podkreśla znaczenie zabezpieczenia wysokiej jakości;</w:t>
      </w:r>
    </w:p>
    <w:p w:rsidR="00A8415D" w:rsidRPr="00522CF3" w:rsidRDefault="00A8415D" w:rsidP="00EE5B50">
      <w:pPr>
        <w:pStyle w:val="NormalHanging12a"/>
      </w:pPr>
      <w:r w:rsidRPr="00522CF3">
        <w:t>21.</w:t>
      </w:r>
      <w:r w:rsidRPr="00522CF3">
        <w:tab/>
      </w:r>
      <w:proofErr w:type="gramStart"/>
      <w:r w:rsidRPr="00522CF3">
        <w:t>zauważa</w:t>
      </w:r>
      <w:proofErr w:type="gramEnd"/>
      <w:r w:rsidRPr="00522CF3">
        <w:t>, że z zasadą „otwartej gospodarki rynkowej z wolną konkurencją” wiąże się idea neutralności rynkowej; zwraca się do EBC, z poszanowaniem jego niezależności, by zajął się nieprawidłowościami w funkcjonowaniu rynku i zapewnił efektywną alokację zasobów w perspektywie długoterminowej, zachowując przy tym jak najbardziej apolityczny charakter i przestrzegając w różnych przypadkach neutralności rynkowej; podkreśla, że takie decyzje nie mogą być podejmowane kosztem głównego celu EBC;</w:t>
      </w:r>
    </w:p>
    <w:p w:rsidR="00A8415D" w:rsidRPr="00522CF3" w:rsidRDefault="00A8415D" w:rsidP="00EE5B50">
      <w:pPr>
        <w:pStyle w:val="NormalHanging12a"/>
      </w:pPr>
      <w:r w:rsidRPr="00522CF3">
        <w:t>22.</w:t>
      </w:r>
      <w:r w:rsidRPr="00522CF3">
        <w:tab/>
      </w:r>
      <w:proofErr w:type="gramStart"/>
      <w:r w:rsidRPr="00522CF3">
        <w:t>uznaje</w:t>
      </w:r>
      <w:proofErr w:type="gramEnd"/>
      <w:r w:rsidRPr="00522CF3">
        <w:t xml:space="preserve">, po dziesięcioleciach niedoinwestowania, potrzebę inwestycji publicznych i </w:t>
      </w:r>
      <w:r w:rsidRPr="00522CF3">
        <w:lastRenderedPageBreak/>
        <w:t>prywatnych z zamiarem zmniejszenia dynamiki inflacji po stronie podaży oraz zwiększenia potencjału zrównoważonego wzrostu;</w:t>
      </w:r>
    </w:p>
    <w:p w:rsidR="00A8415D" w:rsidRPr="00522CF3" w:rsidRDefault="00A8415D" w:rsidP="00EE5B50">
      <w:pPr>
        <w:pStyle w:val="NormalHanging12a"/>
      </w:pPr>
      <w:r w:rsidRPr="00522CF3">
        <w:t>23.</w:t>
      </w:r>
      <w:r w:rsidRPr="00522CF3">
        <w:tab/>
      </w:r>
      <w:proofErr w:type="gramStart"/>
      <w:r w:rsidRPr="00522CF3">
        <w:t>podkreśla</w:t>
      </w:r>
      <w:proofErr w:type="gramEnd"/>
      <w:r w:rsidRPr="00522CF3">
        <w:t>, że równomierna transmisja polityki pieniężnej jest niezbędna, by EBC wywiązywał się ze swojego mandatu dotyczącego stabilności cen; podkreśla, że nadmierne rozbieżności w rentowności obligacji skarbowych sprawiają, że warunki kredytowe są niespójne z jednolitą transmisją polityki pieniężnej i niezwykle utrudniają redukcję długu publicznego; odnotowuje w związku z tym uruchomienie instrumentu ochrony transmisji w celu wsparcia transmisji polityki pieniężnej w całej strefie euro;</w:t>
      </w:r>
    </w:p>
    <w:p w:rsidR="00A8415D" w:rsidRPr="00522CF3" w:rsidRDefault="00A8415D" w:rsidP="00A8415D">
      <w:pPr>
        <w:pStyle w:val="NormalHanging12a"/>
        <w:jc w:val="both"/>
        <w:rPr>
          <w:b/>
          <w:i/>
        </w:rPr>
      </w:pPr>
      <w:r w:rsidRPr="00522CF3">
        <w:rPr>
          <w:b/>
          <w:i/>
        </w:rPr>
        <w:t>Drugorzędny mandat</w:t>
      </w:r>
    </w:p>
    <w:p w:rsidR="00A8415D" w:rsidRDefault="00A8415D" w:rsidP="00EE5B50">
      <w:pPr>
        <w:pStyle w:val="NormalHanging12a"/>
      </w:pPr>
      <w:r w:rsidRPr="00522CF3">
        <w:t>24.</w:t>
      </w:r>
      <w:r w:rsidRPr="00522CF3">
        <w:tab/>
      </w:r>
      <w:proofErr w:type="gramStart"/>
      <w:r w:rsidRPr="00522CF3">
        <w:t>przypomina</w:t>
      </w:r>
      <w:proofErr w:type="gramEnd"/>
      <w:r w:rsidRPr="00522CF3">
        <w:t>, że art. 127 TFUE wymaga, aby EBC wspierał ogólną politykę gospodarczą Unii, o której mowa w art. 3 TUE, co wchodzi w zakres jego mandatu o tyle, o ile nie zagraża celowi dotyczącemu stabilności cen; zwraca uwagę, że istnieje wyraźna hierarchia między celami EBC; przypomina, że transformacja ekologiczna i cyfrowa należą do wspólnych priorytetów UE;</w:t>
      </w:r>
    </w:p>
    <w:p w:rsidR="007A514D" w:rsidRPr="007A514D" w:rsidRDefault="007A514D" w:rsidP="00EE5B50">
      <w:pPr>
        <w:pStyle w:val="NormalHanging12a"/>
      </w:pPr>
      <w:r w:rsidRPr="007A514D">
        <w:t>25</w:t>
      </w:r>
      <w:r w:rsidRPr="00657178">
        <w:t>.</w:t>
      </w:r>
      <w:r w:rsidRPr="007A514D">
        <w:tab/>
      </w:r>
      <w:proofErr w:type="gramStart"/>
      <w:r w:rsidRPr="00657178">
        <w:t>wyraża</w:t>
      </w:r>
      <w:proofErr w:type="gramEnd"/>
      <w:r w:rsidRPr="00657178">
        <w:t xml:space="preserve"> głębokie zaniepokojenie niedawnymi doniesieniami mediów o stronniczości politycznej EBC względem tzw. ekologizacji polityki; przypomina, że nieustępliwy nacisk na mandat EBC dotyczący stabilności cen ma zasadnicze znaczenie dla uczciwości instytucji i publicznego poparcia dla niej; zwraca uwagę na znaczenie pluralizmu w kulturze instytucjonalnej EBC; wzywa EBC do zbadania wszelkich podejrzeń o stronniczość ideologiczną oraz do szybkiego zajęcia się takimi przypadkami;</w:t>
      </w:r>
    </w:p>
    <w:p w:rsidR="00A8415D" w:rsidRPr="00522CF3" w:rsidRDefault="00A8415D" w:rsidP="00EE5B50">
      <w:pPr>
        <w:pStyle w:val="NormalHanging12a"/>
      </w:pPr>
      <w:r w:rsidRPr="00522CF3">
        <w:t>2</w:t>
      </w:r>
      <w:r w:rsidR="007A514D">
        <w:t>6</w:t>
      </w:r>
      <w:r w:rsidRPr="00522CF3">
        <w:t>.</w:t>
      </w:r>
      <w:r w:rsidRPr="00522CF3">
        <w:tab/>
      </w:r>
      <w:proofErr w:type="gramStart"/>
      <w:r w:rsidRPr="00522CF3">
        <w:t>przypomina</w:t>
      </w:r>
      <w:proofErr w:type="gramEnd"/>
      <w:r w:rsidRPr="00522CF3">
        <w:t xml:space="preserve"> EBC o obowiązku zawarcia w jego raporcie rocznym osobnego rozdziału poświęconego sposobowi, w jaki pojmował on i realizował swoje drugorzędne cele, oraz ich ewentualnym skutkom dla wywiązywania się z jego głównego mandatu;</w:t>
      </w:r>
    </w:p>
    <w:p w:rsidR="00A8415D" w:rsidRPr="00522CF3" w:rsidRDefault="00A8415D" w:rsidP="00EE5B50">
      <w:pPr>
        <w:pStyle w:val="NormalHanging12a"/>
      </w:pPr>
      <w:r w:rsidRPr="00522CF3">
        <w:t>2</w:t>
      </w:r>
      <w:r w:rsidR="007A514D">
        <w:t>7</w:t>
      </w:r>
      <w:r w:rsidRPr="00522CF3">
        <w:t>.</w:t>
      </w:r>
      <w:r w:rsidRPr="00522CF3">
        <w:tab/>
      </w:r>
      <w:proofErr w:type="gramStart"/>
      <w:r w:rsidRPr="00522CF3">
        <w:t>zauważa</w:t>
      </w:r>
      <w:proofErr w:type="gramEnd"/>
      <w:r w:rsidRPr="00522CF3">
        <w:t>, że jako instytucja UE EBC w swoich działaniach w ramach mandatu jest związany zobowiązaniami podjętymi przez UE na mocy porozumienia paryskiego; zachęca EBC do dalszego badania, w jakim stopniu zmiana klimatu może wpływać na zdolność UE do utrzymania stabilności cen;</w:t>
      </w:r>
    </w:p>
    <w:p w:rsidR="00A8415D" w:rsidRPr="00522CF3" w:rsidRDefault="00A8415D" w:rsidP="00EE5B50">
      <w:pPr>
        <w:pStyle w:val="NormalHanging12a"/>
      </w:pPr>
      <w:r w:rsidRPr="00522CF3">
        <w:t>2</w:t>
      </w:r>
      <w:r w:rsidR="007A514D">
        <w:t>8</w:t>
      </w:r>
      <w:r w:rsidRPr="00522CF3">
        <w:t>.</w:t>
      </w:r>
      <w:r w:rsidRPr="00522CF3">
        <w:tab/>
      </w:r>
      <w:proofErr w:type="gramStart"/>
      <w:r w:rsidRPr="00522CF3">
        <w:t>z</w:t>
      </w:r>
      <w:proofErr w:type="gramEnd"/>
      <w:r w:rsidRPr="00522CF3">
        <w:t xml:space="preserve"> zadowoleniem przyjmuje zapowiedź EBC dotyczącą dalszego udoskonalenia narzędzi i zdolności Eurosystemu w zakresie oceny ryzyka, aby lepiej uwzględniać ryzyko związane ze zmianą klimatu i środowiskiem, zwłaszcza ze względu na to, że zmiana klimatu i ekstremalne zjawiska pogodowe mogą skutkować większą zmiennością cen, zwłaszcza w sektorze rolno-spożywczym; zachęca EBC, by kontynuował prace nad testami warunków skrajnych w zakresie ryzyka związanego z klimatem, opracowanymi w celu oceny odporności banków i przedsiębiorstw w obliczu ryzyka przejścia związanego ze zmianami klimatu;</w:t>
      </w:r>
    </w:p>
    <w:p w:rsidR="00A8415D" w:rsidRPr="00522CF3" w:rsidRDefault="00A8415D" w:rsidP="00EE5B50">
      <w:pPr>
        <w:pStyle w:val="NormalHanging12a"/>
      </w:pPr>
      <w:r w:rsidRPr="00522CF3">
        <w:t>2</w:t>
      </w:r>
      <w:r w:rsidR="007A514D">
        <w:t>9</w:t>
      </w:r>
      <w:r w:rsidRPr="00522CF3">
        <w:t>.</w:t>
      </w:r>
      <w:r w:rsidRPr="00522CF3">
        <w:tab/>
      </w:r>
      <w:proofErr w:type="gramStart"/>
      <w:r w:rsidRPr="00522CF3">
        <w:t>odnotowuje</w:t>
      </w:r>
      <w:proofErr w:type="gramEnd"/>
      <w:r w:rsidRPr="00522CF3">
        <w:t xml:space="preserve"> plan działania EBC i zawarty w nim szczegółowy program działań związanych ze zmianą klimatu, mające na celu większe uwzględnienie problematyki zmiany klimatu w ramach polityki i w modelach EBC; zauważa, że plan działania na rzecz klimatu nie obejmuje zielonych warunkowych długoterminowych operacji refinansujących ani innych podobnych instrumentów;</w:t>
      </w:r>
    </w:p>
    <w:p w:rsidR="00A8415D" w:rsidRPr="00522CF3" w:rsidRDefault="007A514D" w:rsidP="00EE5B50">
      <w:pPr>
        <w:pStyle w:val="NormalHanging12a"/>
      </w:pPr>
      <w:r>
        <w:t>30</w:t>
      </w:r>
      <w:r w:rsidR="00A8415D" w:rsidRPr="00522CF3">
        <w:t>.</w:t>
      </w:r>
      <w:r w:rsidR="00A8415D" w:rsidRPr="00522CF3">
        <w:tab/>
      </w:r>
      <w:proofErr w:type="gramStart"/>
      <w:r w:rsidR="00A8415D" w:rsidRPr="00522CF3">
        <w:t>podkreśla</w:t>
      </w:r>
      <w:proofErr w:type="gramEnd"/>
      <w:r w:rsidR="00A8415D" w:rsidRPr="00522CF3">
        <w:t xml:space="preserve"> znaczenie Europejskiego filaru praw socjalnych dla konwergencji społeczno-</w:t>
      </w:r>
      <w:r w:rsidR="00A8415D" w:rsidRPr="00522CF3">
        <w:lastRenderedPageBreak/>
        <w:t>gospodarczej; zaznacza, że cele te najlepiej osiąga się, gdy społeczna gospodarka rynkowa funkcjonuje w stabilnym otoczeniu makroekonomicznym opartym na przewidywalnych poziomach cen;</w:t>
      </w:r>
    </w:p>
    <w:p w:rsidR="00A8415D" w:rsidRPr="00522CF3" w:rsidRDefault="00A8415D" w:rsidP="00A8415D">
      <w:pPr>
        <w:pStyle w:val="NormalHanging12a"/>
        <w:jc w:val="both"/>
        <w:rPr>
          <w:b/>
          <w:i/>
        </w:rPr>
      </w:pPr>
      <w:r w:rsidRPr="00522CF3">
        <w:rPr>
          <w:b/>
          <w:i/>
        </w:rPr>
        <w:t>Inne aspekty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1</w:t>
      </w:r>
      <w:r w:rsidRPr="00522CF3">
        <w:t>.</w:t>
      </w:r>
      <w:r w:rsidRPr="00522CF3">
        <w:tab/>
      </w:r>
      <w:proofErr w:type="gramStart"/>
      <w:r w:rsidRPr="00522CF3">
        <w:t>zwraca</w:t>
      </w:r>
      <w:proofErr w:type="gramEnd"/>
      <w:r w:rsidRPr="00522CF3">
        <w:t xml:space="preserve"> uwagę na stałą rozbieżność sald w systemie TARGET2 w ramach ESBC; obawia się, że w przyszłości może to doprowadzić do konfliktu; zauważa, że interpretację tych rozbieżności podaje się w wątpliwość;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2</w:t>
      </w:r>
      <w:r w:rsidRPr="00522CF3">
        <w:t>.</w:t>
      </w:r>
      <w:r w:rsidRPr="00522CF3">
        <w:tab/>
      </w:r>
      <w:proofErr w:type="gramStart"/>
      <w:r w:rsidRPr="00522CF3">
        <w:t>z</w:t>
      </w:r>
      <w:proofErr w:type="gramEnd"/>
      <w:r w:rsidRPr="00522CF3">
        <w:t xml:space="preserve"> zadowoleniem przyjmuje należytą uwagę, jaką EBC poświęca zagrożeniom związanym z cyberatakami; zachęca EBC, by nadal był ich świadom, zwłaszcza w obecnym kontekście geopolitycznym; apeluje do EBC, aby nadal ściśle monitorował rozkwit nowych rodzajów aktywów cyfrowych, takich jak kryptoaktywa, a konkretnie kryptowaluty i związane z nimi zagrożenia: naruszenia cyberbezpieczeństwa, pranie pieniędzy, oszustwa podatkowe, finansowanie terroryzmu i inną działalność przestępczą korzystającą z anonimowości, którą zapewniają kryptoaktywa; w związku z tym wzywa EBC do stałego czuwania nad odpornością jego infrastruktury cyfrowej;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3</w:t>
      </w:r>
      <w:r w:rsidRPr="00522CF3">
        <w:t>.</w:t>
      </w:r>
      <w:r w:rsidRPr="00522CF3">
        <w:tab/>
      </w:r>
      <w:proofErr w:type="gramStart"/>
      <w:r w:rsidRPr="00522CF3">
        <w:t>odnotowuje</w:t>
      </w:r>
      <w:proofErr w:type="gramEnd"/>
      <w:r w:rsidRPr="00522CF3">
        <w:t xml:space="preserve"> postępy EBC w realizacji projektu cyfrowego euro i z zadowoleniem przyjmuje dialog z Parlamentem na ten temat; przypomina, że aby UE mogła wieść prym w transformacji cyfrowej w sektorze płatności, cyfrowe euro musi respektować zasadę konkurencji w sferze bankowości i płatności cyfrowych; podkreśla, że cyfrowe euro nie może zastąpić gotówki jako środka płatniczego, musi respektować prywatność obywateli i przedsiębiorstw oraz nie może zagrażać stabilności finansowej; uważa, że cyfrowe euro odniesie sukces tylko wtedy, gdy będzie miało wymierną wartość dodaną, która będzie jasno komunikowana obywatelom Unii; przypomina, że wprowadzenie cyfrowego euro zależy od decyzji Parlamentu Europejskiego i Rady jako współprawodawców;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4</w:t>
      </w:r>
      <w:r w:rsidRPr="00522CF3">
        <w:t>.</w:t>
      </w:r>
      <w:r w:rsidRPr="00522CF3">
        <w:tab/>
      </w:r>
      <w:proofErr w:type="gramStart"/>
      <w:r w:rsidRPr="00522CF3">
        <w:t>podziela</w:t>
      </w:r>
      <w:proofErr w:type="gramEnd"/>
      <w:r w:rsidRPr="00522CF3">
        <w:t xml:space="preserve"> obawy EBC co do rozwoju sektora działalności parabankowej i zagrożeń, jakie może on stwarzać dla stabilności finansowej; podkreśla potrzebę odpowiedniego uregulowania działalności pośredników finansowych niebędących bankami, co umożliwi temu sektorowi konkurowanie na równych zasadach z sektorem bankowym;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5</w:t>
      </w:r>
      <w:r w:rsidRPr="00522CF3">
        <w:t>.</w:t>
      </w:r>
      <w:r w:rsidRPr="00522CF3">
        <w:tab/>
      </w:r>
      <w:proofErr w:type="gramStart"/>
      <w:r w:rsidRPr="00522CF3">
        <w:t>z</w:t>
      </w:r>
      <w:proofErr w:type="gramEnd"/>
      <w:r w:rsidRPr="00522CF3">
        <w:t xml:space="preserve"> zadowoleniem przyjmuje ramy Bazylea III, ponieważ wzmocnią one odporność sektora bankowego; ostrzega przed ryzykiem niezgodności; podziela obawy EBC w tym względzie; zaznacza, że nadzór bankowy powinien opierać się na analizie ryzyka; podkreśla znaczenie równych warunków działania na szczeblu międzynarodowym i konkurencyjności europejskich banków;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6</w:t>
      </w:r>
      <w:r w:rsidRPr="00522CF3">
        <w:t>.</w:t>
      </w:r>
      <w:r w:rsidRPr="00522CF3">
        <w:tab/>
      </w:r>
      <w:proofErr w:type="gramStart"/>
      <w:r w:rsidRPr="00522CF3">
        <w:t>zauważa</w:t>
      </w:r>
      <w:proofErr w:type="gramEnd"/>
      <w:r w:rsidRPr="00522CF3">
        <w:t>, że EBC dostosowuje swoje systemy do postępu technologicznego, m.in. wykorzystując sztuczną inteligencję w swoich modelach przetwarzania i analizy danych, aby przyczynić się do udoskonalenia analiz i do lepszego podejmowania decyzji w kwestiach monetarnych; podkreśla, że wszystkie te zmiany zawsze powinny być podporządkowane kryteriom bezpieczeństwa w celu uniknięcia ryzyka operacyjnego;</w:t>
      </w:r>
    </w:p>
    <w:p w:rsidR="00A8415D" w:rsidRPr="00522CF3" w:rsidRDefault="00A8415D" w:rsidP="00A8415D">
      <w:pPr>
        <w:pStyle w:val="NormalHanging12a"/>
        <w:jc w:val="both"/>
        <w:rPr>
          <w:b/>
          <w:i/>
        </w:rPr>
      </w:pPr>
      <w:r w:rsidRPr="00522CF3">
        <w:rPr>
          <w:b/>
          <w:i/>
        </w:rPr>
        <w:t>Rozliczalność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7</w:t>
      </w:r>
      <w:r w:rsidRPr="00522CF3">
        <w:t>.</w:t>
      </w:r>
      <w:r w:rsidRPr="00522CF3">
        <w:tab/>
      </w:r>
      <w:proofErr w:type="gramStart"/>
      <w:r w:rsidRPr="00522CF3">
        <w:t>z</w:t>
      </w:r>
      <w:proofErr w:type="gramEnd"/>
      <w:r w:rsidRPr="00522CF3">
        <w:t xml:space="preserve"> zadowoleniem przyjmuje sformalizowanie na piśmie obecnych praktyk w zakresie </w:t>
      </w:r>
      <w:r w:rsidRPr="00522CF3">
        <w:lastRenderedPageBreak/>
        <w:t>rozliczalności między EBC a Parlamentem; dostrzega otwartość EBC względem Parlamentu i jego dostępność; zachęca EBC i Parlament, bez uszczerbku dla niezależności EBC, do wykorzystywania w pełni mechanizmów rozliczalności i przejrzystości oraz, w miarę możliwości, do dalszego wzmacniania tych mechanizmów;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8</w:t>
      </w:r>
      <w:r w:rsidRPr="00522CF3">
        <w:t>.</w:t>
      </w:r>
      <w:r w:rsidRPr="00522CF3">
        <w:tab/>
      </w:r>
      <w:proofErr w:type="gramStart"/>
      <w:r w:rsidRPr="00522CF3">
        <w:t>proponuje</w:t>
      </w:r>
      <w:proofErr w:type="gramEnd"/>
      <w:r w:rsidRPr="00522CF3">
        <w:t>, nie podważając niezależności EBC, by utworzył on wewnętrzne biuro ds. oceny ex post jego decyzji politycznych;</w:t>
      </w:r>
    </w:p>
    <w:p w:rsidR="00A8415D" w:rsidRPr="00522CF3" w:rsidRDefault="00A8415D" w:rsidP="00EE5B50">
      <w:pPr>
        <w:pStyle w:val="NormalHanging12a"/>
      </w:pPr>
      <w:r w:rsidRPr="00522CF3">
        <w:t>3</w:t>
      </w:r>
      <w:r w:rsidR="007A514D">
        <w:t>9</w:t>
      </w:r>
      <w:r w:rsidRPr="00522CF3">
        <w:t>.</w:t>
      </w:r>
      <w:r w:rsidRPr="00522CF3">
        <w:tab/>
      </w:r>
      <w:proofErr w:type="gramStart"/>
      <w:r w:rsidRPr="00522CF3">
        <w:t>z</w:t>
      </w:r>
      <w:proofErr w:type="gramEnd"/>
      <w:r w:rsidRPr="00522CF3">
        <w:t xml:space="preserve"> zadowoleniem przyjmuje merytoryczne i szczegółowe informacje zwrotne EBC w odpowiedzi na rezolucję Parlamentu w sprawie raportu rocznego EBC za rok 2021; apeluje do EBC, by podtrzymał swoje zobowiązanie do rozliczalności i przejrzystości i nadal co roku publikował pisemne informacje w odpowiedzi na rezolucje Parlamentu w sprawie raportu rocznego EBC;</w:t>
      </w:r>
    </w:p>
    <w:p w:rsidR="00A8415D" w:rsidRPr="00522CF3" w:rsidRDefault="007A514D" w:rsidP="00EE5B50">
      <w:pPr>
        <w:pStyle w:val="NormalHanging12a"/>
      </w:pPr>
      <w:r>
        <w:t>40</w:t>
      </w:r>
      <w:r w:rsidR="00A8415D" w:rsidRPr="00522CF3">
        <w:t>.</w:t>
      </w:r>
      <w:r w:rsidR="00A8415D" w:rsidRPr="00522CF3">
        <w:tab/>
      </w:r>
      <w:proofErr w:type="gramStart"/>
      <w:r w:rsidR="00A8415D" w:rsidRPr="00522CF3">
        <w:t>zauważa</w:t>
      </w:r>
      <w:proofErr w:type="gramEnd"/>
      <w:r w:rsidR="00A8415D" w:rsidRPr="00522CF3">
        <w:t>, że tylko dwóch członków Zarządu i Rady Prezesów EBC to kobiety; wzywa państwa członkowskie należące do strefy euro, by ze swojej strony stosowały zasadę równości płci w procedurach nominacji, aby przy obsadzaniu stanowiska prezesa krajowego banku centralnego zapewnić równe szanse osobom każdej z płci;</w:t>
      </w:r>
    </w:p>
    <w:p w:rsidR="00A8415D" w:rsidRPr="00522CF3" w:rsidRDefault="00A8415D" w:rsidP="00EE5B50">
      <w:pPr>
        <w:pStyle w:val="NormalHanging12a"/>
      </w:pPr>
      <w:r w:rsidRPr="00522CF3">
        <w:t>4</w:t>
      </w:r>
      <w:r w:rsidR="007A514D">
        <w:t>1</w:t>
      </w:r>
      <w:r w:rsidRPr="00522CF3">
        <w:t>.</w:t>
      </w:r>
      <w:r w:rsidRPr="00522CF3">
        <w:tab/>
      </w:r>
      <w:proofErr w:type="gramStart"/>
      <w:r w:rsidRPr="00522CF3">
        <w:t>zauważa</w:t>
      </w:r>
      <w:proofErr w:type="gramEnd"/>
      <w:r w:rsidRPr="00522CF3">
        <w:t>, że najnowsze statystyki dotyczące nierównowagi płci w całej strukturze organizacyjnej EBC wykazują, że odsetek kobiet na wszystkich stanowiskach kierowniczych wysokiego szczebla EBC wzrósł; zachęca EBC do dalszych starań na rzecz większej równości szans dla osób każdej z płci w jego strukturze;</w:t>
      </w:r>
    </w:p>
    <w:p w:rsidR="00A8415D" w:rsidRPr="00522CF3" w:rsidRDefault="00A8415D" w:rsidP="00EE5B50">
      <w:pPr>
        <w:pStyle w:val="NormalHanging12a"/>
      </w:pPr>
      <w:r w:rsidRPr="00522CF3">
        <w:t>4</w:t>
      </w:r>
      <w:r w:rsidR="007A514D">
        <w:t>2</w:t>
      </w:r>
      <w:r w:rsidRPr="00522CF3">
        <w:t>.</w:t>
      </w:r>
      <w:r w:rsidRPr="00522CF3">
        <w:tab/>
      </w:r>
      <w:proofErr w:type="gramStart"/>
      <w:r w:rsidRPr="00522CF3">
        <w:t>z</w:t>
      </w:r>
      <w:proofErr w:type="gramEnd"/>
      <w:r w:rsidRPr="00522CF3">
        <w:t xml:space="preserve"> zadowoleniem przyjmuje nową politykę komunikacyjną EBC, która obejmuje bardziej przystępne sposoby objaśniania i prezentowania decyzji politycznych EBC obywatelom i zainteresowanym stronom, oraz zachęca EBC do postępów w komunikowaniu na temat celów polityki banku centralnego i reagowania kryzysowego; </w:t>
      </w:r>
    </w:p>
    <w:p w:rsidR="00A8415D" w:rsidRPr="00522CF3" w:rsidRDefault="00A8415D" w:rsidP="00EE5B50">
      <w:pPr>
        <w:pStyle w:val="NormalHanging12a"/>
      </w:pPr>
      <w:r w:rsidRPr="00522CF3">
        <w:t>4</w:t>
      </w:r>
      <w:r w:rsidR="007A514D">
        <w:t>3</w:t>
      </w:r>
      <w:r w:rsidRPr="00522CF3">
        <w:t>.</w:t>
      </w:r>
      <w:r w:rsidRPr="00522CF3">
        <w:tab/>
      </w:r>
      <w:proofErr w:type="gramStart"/>
      <w:r w:rsidRPr="00522CF3">
        <w:t>odnotowuje</w:t>
      </w:r>
      <w:proofErr w:type="gramEnd"/>
      <w:r w:rsidRPr="00522CF3">
        <w:t xml:space="preserve"> niedawne mianowanie nowego przewodniczącego Rady ds. Nadzoru i przypomina EBC o potrzebie większego uwzględniania i respektowania prerogatyw Parlamentu Europejskiego w ramach przyszłych procedur nominacji, zwłaszcza w przypadku Jednolitego Mechanizmu Nadzorczego;</w:t>
      </w:r>
    </w:p>
    <w:p w:rsidR="00A8415D" w:rsidRPr="00522CF3" w:rsidRDefault="00A8415D" w:rsidP="00EE5B50">
      <w:pPr>
        <w:pStyle w:val="NormalHanging12a"/>
      </w:pPr>
      <w:r w:rsidRPr="00522CF3">
        <w:t>4</w:t>
      </w:r>
      <w:r w:rsidR="007A514D">
        <w:t>4</w:t>
      </w:r>
      <w:r w:rsidRPr="00522CF3">
        <w:t>.</w:t>
      </w:r>
      <w:r w:rsidRPr="00522CF3">
        <w:tab/>
      </w:r>
      <w:proofErr w:type="gramStart"/>
      <w:r w:rsidRPr="00522CF3">
        <w:t>podkreśla</w:t>
      </w:r>
      <w:proofErr w:type="gramEnd"/>
      <w:r w:rsidRPr="00522CF3">
        <w:t xml:space="preserve"> znaczenie ram etycznych i kodeksu postępowania EBC, ponieważ są one zabezpieczeniem integralności EBC i stanowią podstawę zaufania publicznego, a więc i wiarygodności EBC; zauważa, że ramy te wskazują pracownikom i urzędnikom wysokiego szczebla EBC, jak postępować z lobbystami; zwraca się do EBC o regularny przegląd ram pod tym kątem;</w:t>
      </w:r>
    </w:p>
    <w:p w:rsidR="00A8415D" w:rsidRPr="00522CF3" w:rsidRDefault="00A8415D" w:rsidP="00EE5B50">
      <w:pPr>
        <w:pStyle w:val="NormalHanging12a"/>
      </w:pPr>
      <w:r w:rsidRPr="00522CF3">
        <w:t>4</w:t>
      </w:r>
      <w:r w:rsidR="007A514D">
        <w:t>5</w:t>
      </w:r>
      <w:r w:rsidRPr="00522CF3">
        <w:t>.</w:t>
      </w:r>
      <w:r w:rsidRPr="00522CF3">
        <w:tab/>
      </w:r>
      <w:proofErr w:type="gramStart"/>
      <w:r w:rsidRPr="00522CF3">
        <w:t>zachęca</w:t>
      </w:r>
      <w:proofErr w:type="gramEnd"/>
      <w:r w:rsidRPr="00522CF3">
        <w:t xml:space="preserve"> EBC do nawiązania dialogu z parlamentami narodowymi, przy jednoczesnym ścisłym dochowaniu jego niezależności politycznej; uważa, że wzmocniłoby to legitymację EBC i jego politykę; </w:t>
      </w:r>
    </w:p>
    <w:p w:rsidR="00A8415D" w:rsidRPr="00522CF3" w:rsidRDefault="00A8415D" w:rsidP="00EE5B50">
      <w:pPr>
        <w:pStyle w:val="NormalHanging12a"/>
      </w:pPr>
      <w:r w:rsidRPr="00522CF3">
        <w:t>4</w:t>
      </w:r>
      <w:r w:rsidR="007A514D">
        <w:t>6</w:t>
      </w:r>
      <w:r w:rsidRPr="00522CF3">
        <w:t>.</w:t>
      </w:r>
      <w:r w:rsidRPr="00522CF3">
        <w:tab/>
      </w:r>
      <w:proofErr w:type="gramStart"/>
      <w:r w:rsidRPr="00522CF3">
        <w:t>wzywa</w:t>
      </w:r>
      <w:proofErr w:type="gramEnd"/>
      <w:r w:rsidRPr="00522CF3">
        <w:t xml:space="preserve"> EBC do dostosowania swoich ram wewnętrznego informowania o nieprawidłowościach do dyrektywy o ochronie sygnalistów;</w:t>
      </w:r>
    </w:p>
    <w:p w:rsidR="00A8415D" w:rsidRPr="00522CF3" w:rsidRDefault="00A8415D" w:rsidP="00A8415D">
      <w:pPr>
        <w:pStyle w:val="NormalHanging12a"/>
        <w:jc w:val="center"/>
      </w:pPr>
      <w:r w:rsidRPr="00522CF3">
        <w:t>°</w:t>
      </w:r>
    </w:p>
    <w:p w:rsidR="00A8415D" w:rsidRPr="00522CF3" w:rsidRDefault="00A8415D" w:rsidP="00A8415D">
      <w:pPr>
        <w:pStyle w:val="NormalHanging12a"/>
        <w:jc w:val="center"/>
      </w:pPr>
      <w:r w:rsidRPr="00522CF3">
        <w:t>°</w:t>
      </w:r>
      <w:r w:rsidRPr="00522CF3">
        <w:tab/>
        <w:t>°</w:t>
      </w:r>
    </w:p>
    <w:p w:rsidR="00A8415D" w:rsidRPr="00522CF3" w:rsidRDefault="00A8415D" w:rsidP="00EE5B50">
      <w:pPr>
        <w:pStyle w:val="NormalHanging12a"/>
      </w:pPr>
      <w:r w:rsidRPr="00522CF3">
        <w:t>4</w:t>
      </w:r>
      <w:r w:rsidR="007A514D">
        <w:t>7</w:t>
      </w:r>
      <w:r w:rsidRPr="00522CF3">
        <w:t>.</w:t>
      </w:r>
      <w:r w:rsidRPr="00522CF3">
        <w:tab/>
      </w:r>
      <w:proofErr w:type="gramStart"/>
      <w:r w:rsidRPr="00522CF3">
        <w:t>zobowiązuje</w:t>
      </w:r>
      <w:proofErr w:type="gramEnd"/>
      <w:r w:rsidRPr="00522CF3">
        <w:t xml:space="preserve"> swoją przewodniczącą do przekazania niniejszej rezolucji Radzie, Komisji </w:t>
      </w:r>
      <w:r w:rsidRPr="00522CF3">
        <w:lastRenderedPageBreak/>
        <w:t>oraz Europejskiemu Bankowi Centralnemu.</w:t>
      </w:r>
    </w:p>
    <w:p w:rsidR="00E365E1" w:rsidRPr="00522CF3" w:rsidRDefault="00E365E1" w:rsidP="007B34C7">
      <w:bookmarkStart w:id="8" w:name="TextBodyEnd"/>
      <w:bookmarkEnd w:id="8"/>
    </w:p>
    <w:sectPr w:rsidR="00E365E1" w:rsidRPr="00522CF3" w:rsidSect="00522C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4C7" w:rsidRPr="00522CF3" w:rsidRDefault="007B34C7">
      <w:r w:rsidRPr="00522CF3">
        <w:separator/>
      </w:r>
    </w:p>
  </w:endnote>
  <w:endnote w:type="continuationSeparator" w:id="0">
    <w:p w:rsidR="007B34C7" w:rsidRPr="00522CF3" w:rsidRDefault="007B34C7">
      <w:r w:rsidRPr="00522C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4C7" w:rsidRPr="00522CF3" w:rsidRDefault="007B34C7">
      <w:r w:rsidRPr="00522CF3">
        <w:separator/>
      </w:r>
    </w:p>
  </w:footnote>
  <w:footnote w:type="continuationSeparator" w:id="0">
    <w:p w:rsidR="007B34C7" w:rsidRPr="00522CF3" w:rsidRDefault="007B34C7">
      <w:r w:rsidRPr="00522CF3">
        <w:continuationSeparator/>
      </w:r>
    </w:p>
  </w:footnote>
  <w:footnote w:id="1">
    <w:p w:rsidR="00A8415D" w:rsidRPr="00522CF3" w:rsidRDefault="00A8415D" w:rsidP="00522CF3">
      <w:pPr>
        <w:pStyle w:val="FootnoteText"/>
        <w:ind w:left="567" w:hanging="567"/>
        <w:rPr>
          <w:sz w:val="24"/>
          <w:lang w:val="pl-PL"/>
        </w:rPr>
      </w:pPr>
      <w:r w:rsidRPr="00522CF3">
        <w:rPr>
          <w:rStyle w:val="FootnoteReference"/>
          <w:sz w:val="24"/>
          <w:lang w:val="pl-PL"/>
        </w:rPr>
        <w:footnoteRef/>
      </w:r>
      <w:r w:rsidR="00522CF3" w:rsidRPr="00522CF3">
        <w:rPr>
          <w:sz w:val="24"/>
          <w:lang w:val="pl-PL"/>
        </w:rPr>
        <w:t xml:space="preserve"> </w:t>
      </w:r>
      <w:r w:rsidR="00522CF3" w:rsidRPr="00522CF3">
        <w:rPr>
          <w:sz w:val="24"/>
          <w:lang w:val="pl-PL"/>
        </w:rPr>
        <w:tab/>
      </w:r>
      <w:r w:rsidRPr="00522CF3">
        <w:rPr>
          <w:sz w:val="24"/>
          <w:lang w:val="pl-PL"/>
        </w:rPr>
        <w:t xml:space="preserve">Teksty przyjęte, </w:t>
      </w:r>
      <w:hyperlink r:id="rId1" w:history="1">
        <w:r w:rsidRPr="00522CF3">
          <w:rPr>
            <w:rStyle w:val="Hyperlink"/>
            <w:sz w:val="24"/>
            <w:lang w:val="pl-PL"/>
          </w:rPr>
          <w:t>P9_TA(2023)0214</w:t>
        </w:r>
      </w:hyperlink>
      <w:r w:rsidRPr="00522CF3">
        <w:rPr>
          <w:sz w:val="24"/>
          <w:lang w:val="pl-PL"/>
        </w:rPr>
        <w:t>.</w:t>
      </w:r>
    </w:p>
  </w:footnote>
  <w:footnote w:id="2">
    <w:p w:rsidR="00A8415D" w:rsidRPr="00522CF3" w:rsidRDefault="00A8415D" w:rsidP="00522CF3">
      <w:pPr>
        <w:pStyle w:val="FootnoteText"/>
        <w:ind w:left="567" w:hanging="567"/>
        <w:rPr>
          <w:sz w:val="24"/>
          <w:lang w:val="pl-PL"/>
        </w:rPr>
      </w:pPr>
      <w:r w:rsidRPr="00522CF3">
        <w:rPr>
          <w:rStyle w:val="FootnoteReference"/>
          <w:sz w:val="24"/>
          <w:lang w:val="pl-PL"/>
        </w:rPr>
        <w:footnoteRef/>
      </w:r>
      <w:r w:rsidR="00522CF3" w:rsidRPr="00522CF3">
        <w:rPr>
          <w:sz w:val="24"/>
          <w:lang w:val="pl-PL"/>
        </w:rPr>
        <w:t xml:space="preserve"> </w:t>
      </w:r>
      <w:r w:rsidR="00522CF3" w:rsidRPr="00522CF3">
        <w:rPr>
          <w:sz w:val="24"/>
          <w:lang w:val="pl-PL"/>
        </w:rPr>
        <w:tab/>
      </w:r>
      <w:hyperlink r:id="rId2" w:history="1">
        <w:r w:rsidRPr="00522CF3">
          <w:rPr>
            <w:rStyle w:val="Hyperlink"/>
            <w:sz w:val="24"/>
            <w:lang w:val="pl-PL"/>
          </w:rPr>
          <w:t xml:space="preserve">Dz.U. C 479 z 16.12.2022, </w:t>
        </w:r>
        <w:proofErr w:type="gramStart"/>
        <w:r w:rsidRPr="00522CF3">
          <w:rPr>
            <w:rStyle w:val="Hyperlink"/>
            <w:sz w:val="24"/>
            <w:lang w:val="pl-PL"/>
          </w:rPr>
          <w:t>s</w:t>
        </w:r>
        <w:proofErr w:type="gramEnd"/>
        <w:r w:rsidRPr="00522CF3">
          <w:rPr>
            <w:rStyle w:val="Hyperlink"/>
            <w:sz w:val="24"/>
            <w:lang w:val="pl-PL"/>
          </w:rPr>
          <w:t>. 75</w:t>
        </w:r>
      </w:hyperlink>
      <w:r w:rsidRPr="00522CF3">
        <w:rPr>
          <w:sz w:val="24"/>
          <w:lang w:val="pl-PL"/>
        </w:rPr>
        <w:t>.</w:t>
      </w:r>
    </w:p>
  </w:footnote>
  <w:footnote w:id="3">
    <w:p w:rsidR="00A8415D" w:rsidRPr="00522CF3" w:rsidRDefault="00A8415D" w:rsidP="00522CF3">
      <w:pPr>
        <w:pStyle w:val="FootnoteText"/>
        <w:ind w:left="567" w:hanging="567"/>
        <w:rPr>
          <w:sz w:val="24"/>
          <w:lang w:val="pl-PL"/>
        </w:rPr>
      </w:pPr>
      <w:r w:rsidRPr="00522CF3">
        <w:rPr>
          <w:rStyle w:val="FootnoteReference"/>
          <w:sz w:val="24"/>
          <w:lang w:val="pl-PL"/>
        </w:rPr>
        <w:footnoteRef/>
      </w:r>
      <w:r w:rsidR="00522CF3" w:rsidRPr="00522CF3">
        <w:rPr>
          <w:sz w:val="24"/>
          <w:lang w:val="pl-PL"/>
        </w:rPr>
        <w:t xml:space="preserve"> </w:t>
      </w:r>
      <w:r w:rsidR="00522CF3" w:rsidRPr="00522CF3">
        <w:rPr>
          <w:sz w:val="24"/>
          <w:lang w:val="pl-PL"/>
        </w:rPr>
        <w:tab/>
      </w:r>
      <w:r w:rsidRPr="00522CF3">
        <w:rPr>
          <w:sz w:val="24"/>
          <w:lang w:val="pl-PL"/>
        </w:rPr>
        <w:t>Komisja Europejska, „Gospodarka UE po pandemii COVID-19: wpływ na zarządzanie gospodarcze”, 2021.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2/2023"/>
    <w:docVar w:name="dvlangue" w:val="PL"/>
    <w:docVar w:name="dvnumam" w:val="0"/>
    <w:docVar w:name="dvpe" w:val="752.845"/>
    <w:docVar w:name="dvrapporteur" w:val="Sprawozdawca: "/>
    <w:docVar w:name="dvstar" w:val="??"/>
    <w:docVar w:name="dvtitre" w:val="Rezolucja Parlamentu Europejskiego z dnia  2024 r. w sprawie Europejskiego Banku Centralnego – raport roczny za rok 2023(2023/2064(INI))"/>
  </w:docVars>
  <w:rsids>
    <w:rsidRoot w:val="007B34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9B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CF3"/>
    <w:rsid w:val="00545827"/>
    <w:rsid w:val="00560270"/>
    <w:rsid w:val="005C2568"/>
    <w:rsid w:val="006037C0"/>
    <w:rsid w:val="0065717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14D"/>
    <w:rsid w:val="007B34C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15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B5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6114D7-2047-4B97-9BD7-53C0D7B4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415D"/>
    <w:pPr>
      <w:spacing w:before="480" w:after="240"/>
    </w:pPr>
  </w:style>
  <w:style w:type="paragraph" w:customStyle="1" w:styleId="NormalHanging12a">
    <w:name w:val="NormalHanging12a"/>
    <w:basedOn w:val="Normal"/>
    <w:rsid w:val="00A8415D"/>
    <w:pPr>
      <w:spacing w:after="240"/>
      <w:ind w:left="567" w:hanging="567"/>
    </w:pPr>
  </w:style>
  <w:style w:type="character" w:styleId="Hyperlink">
    <w:name w:val="Hyperlink"/>
    <w:basedOn w:val="DefaultParagraphFont"/>
    <w:rsid w:val="00A841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A51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514D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PL/TXT/?uri=CELEX:52022IP0219" TargetMode="External"/><Relationship Id="rId1" Type="http://schemas.openxmlformats.org/officeDocument/2006/relationships/hyperlink" Target="https://www.europarl.europa.eu/doceo/document/TA-9-2023-0214_P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9CC04-7C00-4106-90CB-32DBB42A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3582</Words>
  <Characters>22772</Characters>
  <Application>Microsoft Office Word</Application>
  <DocSecurity>0</DocSecurity>
  <Lines>189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3</cp:revision>
  <cp:lastPrinted>2004-11-19T15:42:00Z</cp:lastPrinted>
  <dcterms:created xsi:type="dcterms:W3CDTF">2024-02-27T13:07:00Z</dcterms:created>
  <dcterms:modified xsi:type="dcterms:W3CDTF">2024-03-15T10:30:00Z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A9-0412/2023</vt:lpwstr>
  </property>
  <property fmtid="{D5CDD505-2E9C-101B-9397-08002B2CF9AE}" pid="4" name="&lt;Type&gt;">
    <vt:lpwstr>RR</vt:lpwstr>
  </property>
</Properties>
</file>