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34FE4" w14:paraId="1CC0957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1878DC8" w14:textId="77777777" w:rsidR="00751A4A" w:rsidRPr="00F34FE4" w:rsidRDefault="00735236" w:rsidP="0010095E">
            <w:pPr>
              <w:pStyle w:val="EPName"/>
            </w:pPr>
            <w:bookmarkStart w:id="0" w:name="_GoBack"/>
            <w:bookmarkEnd w:id="0"/>
            <w:r w:rsidRPr="00F34FE4">
              <w:t>Parlamento Europeu</w:t>
            </w:r>
          </w:p>
          <w:p w14:paraId="6856F910" w14:textId="77777777" w:rsidR="00751A4A" w:rsidRPr="00F34FE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34FE4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6B9DB89F" w14:textId="77777777" w:rsidR="00751A4A" w:rsidRPr="00F34FE4" w:rsidRDefault="00187494" w:rsidP="0010095E">
            <w:pPr>
              <w:pStyle w:val="EPLogo"/>
            </w:pPr>
            <w:r w:rsidRPr="00F34FE4">
              <w:rPr>
                <w:noProof/>
                <w:lang w:val="en-GB"/>
              </w:rPr>
              <w:drawing>
                <wp:inline distT="0" distB="0" distL="0" distR="0" wp14:anchorId="55838E3A" wp14:editId="32F4238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339B47" w14:textId="77777777" w:rsidR="00D058B8" w:rsidRPr="00F34FE4" w:rsidRDefault="00D058B8" w:rsidP="004C5D52">
      <w:pPr>
        <w:pStyle w:val="LineTop"/>
      </w:pPr>
    </w:p>
    <w:p w14:paraId="0DD8B57C" w14:textId="77777777" w:rsidR="00680577" w:rsidRPr="00F34FE4" w:rsidRDefault="00735236" w:rsidP="00680577">
      <w:pPr>
        <w:pStyle w:val="EPBodyTA1"/>
      </w:pPr>
      <w:r w:rsidRPr="00F34FE4">
        <w:t>TEXTOS APROVADOS</w:t>
      </w:r>
    </w:p>
    <w:p w14:paraId="4DB6FC7C" w14:textId="77777777" w:rsidR="00D058B8" w:rsidRPr="00F34FE4" w:rsidRDefault="00D058B8" w:rsidP="00D058B8">
      <w:pPr>
        <w:pStyle w:val="LineBottom"/>
      </w:pPr>
    </w:p>
    <w:p w14:paraId="000101DC" w14:textId="59B24076" w:rsidR="00735236" w:rsidRPr="00F34FE4" w:rsidRDefault="00735236" w:rsidP="00735236">
      <w:pPr>
        <w:pStyle w:val="ATHeading1"/>
      </w:pPr>
      <w:bookmarkStart w:id="1" w:name="TANumber"/>
      <w:r w:rsidRPr="00F34FE4">
        <w:t>P9_TA(2024)00</w:t>
      </w:r>
      <w:r w:rsidR="00EA01C0">
        <w:t>94</w:t>
      </w:r>
      <w:bookmarkEnd w:id="1"/>
    </w:p>
    <w:p w14:paraId="41B0FC1C" w14:textId="77777777" w:rsidR="00735236" w:rsidRPr="00F34FE4" w:rsidRDefault="00735236" w:rsidP="00735236">
      <w:pPr>
        <w:pStyle w:val="ATHeading2"/>
      </w:pPr>
      <w:bookmarkStart w:id="2" w:name="title"/>
      <w:r w:rsidRPr="00F34FE4">
        <w:t>Banco Central Europeu - relatório anual de 2023</w:t>
      </w:r>
      <w:bookmarkEnd w:id="2"/>
    </w:p>
    <w:p w14:paraId="3DC497F0" w14:textId="77777777" w:rsidR="00735236" w:rsidRPr="00F34FE4" w:rsidRDefault="00735236" w:rsidP="00735236">
      <w:pPr>
        <w:rPr>
          <w:i/>
          <w:vanish/>
        </w:rPr>
      </w:pPr>
      <w:r w:rsidRPr="00F34FE4">
        <w:rPr>
          <w:i/>
        </w:rPr>
        <w:fldChar w:fldCharType="begin"/>
      </w:r>
      <w:r w:rsidRPr="00F34FE4">
        <w:rPr>
          <w:i/>
        </w:rPr>
        <w:instrText xml:space="preserve"> TC"(</w:instrText>
      </w:r>
      <w:bookmarkStart w:id="3" w:name="DocNumber"/>
      <w:r w:rsidRPr="00F34FE4">
        <w:rPr>
          <w:i/>
        </w:rPr>
        <w:instrText>A9-0412/2023</w:instrText>
      </w:r>
      <w:bookmarkEnd w:id="3"/>
      <w:r w:rsidRPr="00F34FE4">
        <w:rPr>
          <w:i/>
        </w:rPr>
        <w:instrText xml:space="preserve"> - Relator: Johan Van Overtveldt)"\l3 \n&gt; \* MERGEFORMAT </w:instrText>
      </w:r>
      <w:r w:rsidRPr="00F34FE4">
        <w:rPr>
          <w:i/>
        </w:rPr>
        <w:fldChar w:fldCharType="end"/>
      </w:r>
    </w:p>
    <w:p w14:paraId="3A05AAC1" w14:textId="77777777" w:rsidR="00735236" w:rsidRPr="00F34FE4" w:rsidRDefault="00735236" w:rsidP="00735236">
      <w:pPr>
        <w:rPr>
          <w:vanish/>
        </w:rPr>
      </w:pPr>
      <w:bookmarkStart w:id="4" w:name="Commission"/>
      <w:r w:rsidRPr="00F34FE4">
        <w:rPr>
          <w:vanish/>
        </w:rPr>
        <w:t>Comissão dos Assuntos Económicos e Monetários</w:t>
      </w:r>
      <w:bookmarkEnd w:id="4"/>
    </w:p>
    <w:p w14:paraId="06747C6B" w14:textId="77777777" w:rsidR="00735236" w:rsidRPr="00F34FE4" w:rsidRDefault="00735236" w:rsidP="00735236">
      <w:pPr>
        <w:rPr>
          <w:vanish/>
        </w:rPr>
      </w:pPr>
      <w:bookmarkStart w:id="5" w:name="PE"/>
      <w:r w:rsidRPr="00F34FE4">
        <w:rPr>
          <w:vanish/>
        </w:rPr>
        <w:t>PE752.845</w:t>
      </w:r>
      <w:bookmarkEnd w:id="5"/>
    </w:p>
    <w:p w14:paraId="3DD5C13B" w14:textId="1C6EB86C" w:rsidR="00735236" w:rsidRPr="00F34FE4" w:rsidRDefault="00735236" w:rsidP="00F34FE4">
      <w:pPr>
        <w:pStyle w:val="ATHeading3"/>
      </w:pPr>
      <w:bookmarkStart w:id="6" w:name="Sujet"/>
      <w:r w:rsidRPr="00F34FE4">
        <w:t xml:space="preserve">Resolução do Parlamento Europeu, de </w:t>
      </w:r>
      <w:r w:rsidR="00EA01C0">
        <w:t>27</w:t>
      </w:r>
      <w:r w:rsidRPr="00F34FE4">
        <w:t xml:space="preserve"> de </w:t>
      </w:r>
      <w:r w:rsidR="00F34FE4">
        <w:t>fevereiro</w:t>
      </w:r>
      <w:r w:rsidRPr="00F34FE4">
        <w:t xml:space="preserve"> de 2024, sobre o Banco Central Europeu – relatório anual de 2023</w:t>
      </w:r>
      <w:bookmarkEnd w:id="6"/>
      <w:r w:rsidRPr="00F34FE4">
        <w:t xml:space="preserve"> </w:t>
      </w:r>
      <w:bookmarkStart w:id="7" w:name="References"/>
      <w:r w:rsidRPr="00F34FE4">
        <w:t>(2023/2064(INI))</w:t>
      </w:r>
      <w:bookmarkEnd w:id="7"/>
    </w:p>
    <w:p w14:paraId="4C62BC4A" w14:textId="77777777" w:rsidR="003C2A04" w:rsidRPr="00F34FE4" w:rsidRDefault="003C2A04" w:rsidP="003C2A04">
      <w:pPr>
        <w:pStyle w:val="EPComma"/>
      </w:pPr>
      <w:bookmarkStart w:id="8" w:name="TextBodyBegin"/>
      <w:bookmarkEnd w:id="8"/>
      <w:r w:rsidRPr="00F34FE4">
        <w:rPr>
          <w:i/>
        </w:rPr>
        <w:t>O Parlamento Europeu</w:t>
      </w:r>
      <w:r w:rsidRPr="00F34FE4">
        <w:t>,</w:t>
      </w:r>
    </w:p>
    <w:p w14:paraId="02DE4425" w14:textId="77777777" w:rsidR="003C2A04" w:rsidRPr="00F34FE4" w:rsidRDefault="003C2A04" w:rsidP="007D1089">
      <w:pPr>
        <w:pStyle w:val="NormalHanging12a"/>
      </w:pPr>
      <w:r w:rsidRPr="00F34FE4">
        <w:t>–</w:t>
      </w:r>
      <w:r w:rsidRPr="00F34FE4">
        <w:tab/>
        <w:t>Tendo em conta o relatório anual do Banco Central Europeu (BCE) de 2022,</w:t>
      </w:r>
    </w:p>
    <w:p w14:paraId="23E8EA14" w14:textId="77777777" w:rsidR="003C2A04" w:rsidRPr="00F34FE4" w:rsidRDefault="003C2A04" w:rsidP="007D1089">
      <w:pPr>
        <w:pStyle w:val="NormalHanging12a"/>
      </w:pPr>
      <w:r w:rsidRPr="00F34FE4">
        <w:t>–</w:t>
      </w:r>
      <w:r w:rsidRPr="00F34FE4">
        <w:tab/>
        <w:t>Tendo em conta os comentários do BCE, de 25 de maio de 2023, sobre o contributo prestado pelo Parlamento na sua resolução sobre o relatório anual do BCE de 2021,</w:t>
      </w:r>
    </w:p>
    <w:p w14:paraId="3968C24E" w14:textId="77777777" w:rsidR="003C2A04" w:rsidRPr="00F34FE4" w:rsidRDefault="003C2A04" w:rsidP="007D1089">
      <w:pPr>
        <w:pStyle w:val="NormalHanging12a"/>
      </w:pPr>
      <w:r w:rsidRPr="00F34FE4">
        <w:t>–</w:t>
      </w:r>
      <w:r w:rsidRPr="00F34FE4">
        <w:tab/>
        <w:t xml:space="preserve">Tendo em conta os Estatutos do Sistema Europeu de Bancos Centrais (SEBC) e do BCE e, em particular, os seus artigos 15.º e 21.º, </w:t>
      </w:r>
    </w:p>
    <w:p w14:paraId="02F30E4B" w14:textId="77777777" w:rsidR="003C2A04" w:rsidRPr="00F34FE4" w:rsidRDefault="003C2A04" w:rsidP="007D1089">
      <w:pPr>
        <w:pStyle w:val="NormalHanging12a"/>
      </w:pPr>
      <w:r w:rsidRPr="00F34FE4">
        <w:t>–</w:t>
      </w:r>
      <w:r w:rsidRPr="00F34FE4">
        <w:tab/>
        <w:t>Tendo em conta o artigo 123.º, o artigo 127.º, n.</w:t>
      </w:r>
      <w:r w:rsidRPr="00F34FE4">
        <w:rPr>
          <w:vertAlign w:val="superscript"/>
        </w:rPr>
        <w:t>os</w:t>
      </w:r>
      <w:r w:rsidRPr="00F34FE4">
        <w:t> 1 e 2, o artigo 130.º e o artigo 284.º, n.º 3, do Tratado sobre o Funcionamento da União Europeia (TFUE),</w:t>
      </w:r>
    </w:p>
    <w:p w14:paraId="41781290" w14:textId="77777777" w:rsidR="003C2A04" w:rsidRPr="00F34FE4" w:rsidRDefault="003C2A04" w:rsidP="007D1089">
      <w:pPr>
        <w:pStyle w:val="NormalHanging12a"/>
      </w:pPr>
      <w:r w:rsidRPr="00F34FE4">
        <w:t>–</w:t>
      </w:r>
      <w:r w:rsidRPr="00F34FE4">
        <w:tab/>
        <w:t>Tendo em conta os artigos 3.º e 119.º do Tratado da União Europeia (TUE),</w:t>
      </w:r>
    </w:p>
    <w:p w14:paraId="366CE473" w14:textId="77777777" w:rsidR="003C2A04" w:rsidRPr="00F34FE4" w:rsidRDefault="003C2A04" w:rsidP="007D1089">
      <w:pPr>
        <w:pStyle w:val="NormalHanging12a"/>
      </w:pPr>
      <w:r w:rsidRPr="00F34FE4">
        <w:t>–</w:t>
      </w:r>
      <w:r w:rsidRPr="00F34FE4">
        <w:tab/>
        <w:t>Tendo em conta as projeções macroeconómicas dos serviços do Eurosistema para a área do euro, de 15 de junho de 2023, e as decisões tomadas pelo Conselho do BCE,</w:t>
      </w:r>
    </w:p>
    <w:p w14:paraId="0A84DADC" w14:textId="77777777" w:rsidR="003C2A04" w:rsidRPr="00F34FE4" w:rsidRDefault="003C2A04" w:rsidP="007D1089">
      <w:pPr>
        <w:pStyle w:val="NormalHanging12a"/>
      </w:pPr>
      <w:r w:rsidRPr="00F34FE4">
        <w:t>–</w:t>
      </w:r>
      <w:r w:rsidRPr="00F34FE4">
        <w:tab/>
        <w:t>Tendo em conta os diálogos monetários entre a Comissão dos Assuntos Económicos e Monetários e a presidente do BCE, Christine Lagarde, em 20 de março de 2023 e 5 de junho de 2023,</w:t>
      </w:r>
    </w:p>
    <w:p w14:paraId="25CCDD8D" w14:textId="77777777" w:rsidR="003C2A04" w:rsidRPr="00F34FE4" w:rsidRDefault="003C2A04" w:rsidP="007D1089">
      <w:pPr>
        <w:pStyle w:val="NormalHanging12a"/>
      </w:pPr>
      <w:r w:rsidRPr="00F34FE4">
        <w:t>–</w:t>
      </w:r>
      <w:r w:rsidRPr="00F34FE4">
        <w:tab/>
        <w:t xml:space="preserve">Tendo em conta a proposta da Comissão, de 28 de junho de 2023, de regulamento do Parlamento Europeu e do Conselho relativo à criação do euro digital (COM(2023)0369), </w:t>
      </w:r>
    </w:p>
    <w:p w14:paraId="3F5C2378" w14:textId="77777777" w:rsidR="003C2A04" w:rsidRPr="00F34FE4" w:rsidRDefault="003C2A04" w:rsidP="007D1089">
      <w:pPr>
        <w:pStyle w:val="NormalHanging12a"/>
      </w:pPr>
      <w:r w:rsidRPr="00F34FE4">
        <w:t>–</w:t>
      </w:r>
      <w:r w:rsidRPr="00F34FE4">
        <w:tab/>
        <w:t>Tendo em conta a sua decisão, de 1 de junho de 2023, referente ao acordo sob forma de troca de cartas entre o Parlamento Europeu e o Banco Central Europeu sobre a estruturação das suas práticas em matéria de interação no domínio da banca central</w:t>
      </w:r>
      <w:r w:rsidRPr="00F34FE4">
        <w:rPr>
          <w:rStyle w:val="FootnoteReference"/>
        </w:rPr>
        <w:footnoteReference w:id="1"/>
      </w:r>
      <w:r w:rsidRPr="00F34FE4">
        <w:t>,</w:t>
      </w:r>
    </w:p>
    <w:p w14:paraId="4CC983BE" w14:textId="77777777" w:rsidR="003C2A04" w:rsidRPr="00F34FE4" w:rsidRDefault="003C2A04" w:rsidP="007D1089">
      <w:pPr>
        <w:pStyle w:val="NormalHanging12a"/>
      </w:pPr>
      <w:r w:rsidRPr="00F34FE4">
        <w:t>–</w:t>
      </w:r>
      <w:r w:rsidRPr="00F34FE4">
        <w:tab/>
        <w:t xml:space="preserve">Tendo em conta a sua resolução, de 19 de maio de 2022, sobre as consequências sociais </w:t>
      </w:r>
      <w:r w:rsidRPr="00F34FE4">
        <w:lastRenderedPageBreak/>
        <w:t>e económicas para a UE da guerra da Rússia contra a Ucrânia: reforçar a capacidade da UE para agir</w:t>
      </w:r>
      <w:r w:rsidRPr="00EA01C0">
        <w:rPr>
          <w:rStyle w:val="FootnoteReference"/>
          <w:b/>
        </w:rPr>
        <w:footnoteReference w:id="2"/>
      </w:r>
      <w:r w:rsidRPr="00F34FE4">
        <w:t>,</w:t>
      </w:r>
    </w:p>
    <w:p w14:paraId="69CFDEFF" w14:textId="77777777" w:rsidR="003C2A04" w:rsidRPr="00F34FE4" w:rsidRDefault="003C2A04" w:rsidP="007D1089">
      <w:pPr>
        <w:pStyle w:val="NormalHanging12a"/>
      </w:pPr>
      <w:r w:rsidRPr="00F34FE4">
        <w:t>–</w:t>
      </w:r>
      <w:r w:rsidRPr="00F34FE4">
        <w:tab/>
        <w:t>Tendo em conta o Acordo de Paris adotado no âmbito da Convenção</w:t>
      </w:r>
      <w:r w:rsidRPr="00F34FE4">
        <w:noBreakHyphen/>
        <w:t>Quadro das Nações Unidas sobre Alterações Climáticas,</w:t>
      </w:r>
    </w:p>
    <w:p w14:paraId="66AAC7B5" w14:textId="77777777" w:rsidR="003C2A04" w:rsidRPr="00F34FE4" w:rsidRDefault="003C2A04" w:rsidP="007D1089">
      <w:pPr>
        <w:pStyle w:val="NormalHanging12a"/>
        <w:rPr>
          <w:b/>
          <w:bCs/>
        </w:rPr>
      </w:pPr>
      <w:r w:rsidRPr="00F34FE4">
        <w:t>–</w:t>
      </w:r>
      <w:r w:rsidRPr="00F34FE4">
        <w:tab/>
        <w:t>Tendo em conta o Pilar Europeu dos Direitos Sociais,</w:t>
      </w:r>
    </w:p>
    <w:p w14:paraId="40BC5A3F" w14:textId="77777777" w:rsidR="003C2A04" w:rsidRPr="00F34FE4" w:rsidRDefault="003C2A04" w:rsidP="007D1089">
      <w:pPr>
        <w:pStyle w:val="NormalHanging12a"/>
      </w:pPr>
      <w:r w:rsidRPr="00F34FE4">
        <w:t>–</w:t>
      </w:r>
      <w:r w:rsidRPr="00F34FE4">
        <w:tab/>
        <w:t>Tendo em conta o artigo 142.º, n.º 1, do seu Regimento,</w:t>
      </w:r>
    </w:p>
    <w:p w14:paraId="14DF0785" w14:textId="77777777" w:rsidR="003C2A04" w:rsidRPr="00F34FE4" w:rsidRDefault="003C2A04" w:rsidP="003C2A04">
      <w:pPr>
        <w:pStyle w:val="NormalHanging12a"/>
      </w:pPr>
      <w:r w:rsidRPr="00F34FE4">
        <w:t>–</w:t>
      </w:r>
      <w:r w:rsidRPr="00F34FE4">
        <w:tab/>
        <w:t>Tendo em conta o relatório da Comissão dos Assuntos Económicos e Monetários (A9</w:t>
      </w:r>
      <w:r w:rsidRPr="00F34FE4">
        <w:noBreakHyphen/>
        <w:t>0412/2023),</w:t>
      </w:r>
    </w:p>
    <w:p w14:paraId="4B302A9E" w14:textId="77777777" w:rsidR="003C2A04" w:rsidRPr="00F34FE4" w:rsidRDefault="003C2A04" w:rsidP="007D1089">
      <w:pPr>
        <w:pStyle w:val="NormalHanging12a"/>
      </w:pPr>
      <w:r w:rsidRPr="00F34FE4">
        <w:t>A.</w:t>
      </w:r>
      <w:r w:rsidRPr="00F34FE4">
        <w:tab/>
        <w:t>Considerando que, segundo as projeções macroeconómicas de junho de 2023 dos serviços do Eurosistema, o crescimento da economia da área do euro deverá abrandar, passando de 3,5 % em 2022 para 0,9 % em 2023, antes de recuperar para 1,5 % em 2024</w:t>
      </w:r>
      <w:r w:rsidR="00483F1A">
        <w:t>; considerando que</w:t>
      </w:r>
      <w:r w:rsidRPr="00F34FE4">
        <w:t>, de acordo com uma estimativa provisória do Eurostat, a área do euro cresceu apenas 0,6 % em 2023</w:t>
      </w:r>
      <w:r w:rsidR="00483F1A">
        <w:t>; considerando que</w:t>
      </w:r>
      <w:r w:rsidRPr="00F34FE4">
        <w:t xml:space="preserve"> tal representa o pior desempenho desde a recessão de 2020;</w:t>
      </w:r>
    </w:p>
    <w:p w14:paraId="11DFDD2C" w14:textId="77777777" w:rsidR="003C2A04" w:rsidRDefault="003C2A04" w:rsidP="007D1089">
      <w:pPr>
        <w:pStyle w:val="NormalHanging12a"/>
      </w:pPr>
      <w:r w:rsidRPr="00F34FE4">
        <w:t>B.</w:t>
      </w:r>
      <w:r w:rsidRPr="00F34FE4">
        <w:tab/>
        <w:t>Considerando que, segundo as projeções macroeconómicas de setembro de 2023 dos serviços do Eurosistema para a área do euro, a inflação global deverá atingir, em média, 5,6 % em 2023, 3,2 % em 2024 e 2,1 % em 2025, apesar da queda dos preços da energia e da redução dos estrangulamentos na oferta</w:t>
      </w:r>
      <w:r w:rsidR="00483F1A">
        <w:t>; considerando que</w:t>
      </w:r>
      <w:r w:rsidRPr="00F34FE4">
        <w:t xml:space="preserve"> a inflação subjacente tem sido mais persistente, aumentando para 5,5 % em junho de 2023 e depois descendo para 4,2 % em setembro de 2023</w:t>
      </w:r>
      <w:r w:rsidR="00483F1A">
        <w:t>; considerando que</w:t>
      </w:r>
      <w:r w:rsidRPr="00F34FE4">
        <w:t xml:space="preserve"> se prevê que a inflação subjacente supere a inflação global a curto prazo e permaneça acima desta até ao início de 2024, principalmente devido ao forte aumento dos salários; </w:t>
      </w:r>
    </w:p>
    <w:p w14:paraId="5434986E" w14:textId="77777777" w:rsidR="00D10FD2" w:rsidRPr="00F34FE4" w:rsidRDefault="00D10FD2" w:rsidP="007D1089">
      <w:pPr>
        <w:pStyle w:val="NormalHanging12a"/>
      </w:pPr>
      <w:r>
        <w:t>C.</w:t>
      </w:r>
      <w:r>
        <w:tab/>
      </w:r>
      <w:r w:rsidRPr="00D10FD2">
        <w:t>Considerando as consequências particularmente nefastas de dez aumentos consecutivos das taxas de juro de referência para a solvência dos agregados familiares e das microempresas e das PME dos países em que os modelos de taxas de juro variável predominam;</w:t>
      </w:r>
    </w:p>
    <w:p w14:paraId="00C89DB0" w14:textId="2B740F0A" w:rsidR="003C2A04" w:rsidRPr="00F34FE4" w:rsidRDefault="004975E7" w:rsidP="007D1089">
      <w:pPr>
        <w:pStyle w:val="NormalHanging12a"/>
      </w:pPr>
      <w:r>
        <w:t>D</w:t>
      </w:r>
      <w:r w:rsidR="003C2A04" w:rsidRPr="00F34FE4">
        <w:t>.</w:t>
      </w:r>
      <w:r w:rsidR="003C2A04" w:rsidRPr="00F34FE4">
        <w:tab/>
        <w:t>Considerando que, de acordo com as previsões económicas da Comissão para 2023, os défices públicos deverão diminuir para 3,1 % do produto interno bruto (PIB) em 2023 e 2,4 % em 2024</w:t>
      </w:r>
      <w:r w:rsidR="00483F1A">
        <w:t>; considerando que</w:t>
      </w:r>
      <w:r w:rsidR="003C2A04" w:rsidRPr="00F34FE4">
        <w:t xml:space="preserve"> o rácio da dívida pública em relação ao PIB diminuiu na área do euro, de 95,0 % para 91,2 %, e na UE</w:t>
      </w:r>
      <w:r w:rsidR="003C2A04" w:rsidRPr="00F34FE4">
        <w:noBreakHyphen/>
        <w:t>27, de 87,4 % para 83,7 %, em 2022 e 2023, respetivamente</w:t>
      </w:r>
      <w:r w:rsidR="00483F1A">
        <w:t>; considerando que</w:t>
      </w:r>
      <w:r w:rsidR="003C2A04" w:rsidRPr="00F34FE4">
        <w:t xml:space="preserve"> estes valores continuam a exceder os valores de referência do Tratado</w:t>
      </w:r>
      <w:r w:rsidR="00483F1A">
        <w:t>; considerando que</w:t>
      </w:r>
      <w:r w:rsidR="003C2A04" w:rsidRPr="00F34FE4">
        <w:t xml:space="preserve"> as dívidas e os défices públicos variam fortemente entre os Estados</w:t>
      </w:r>
      <w:r w:rsidR="003C2A04" w:rsidRPr="00F34FE4">
        <w:noBreakHyphen/>
        <w:t>Membros;</w:t>
      </w:r>
    </w:p>
    <w:p w14:paraId="2B5627BB" w14:textId="1E71C1E9" w:rsidR="003C2A04" w:rsidRPr="00F34FE4" w:rsidRDefault="004975E7" w:rsidP="007D1089">
      <w:pPr>
        <w:pStyle w:val="NormalHanging12a"/>
      </w:pPr>
      <w:r>
        <w:t>E</w:t>
      </w:r>
      <w:r w:rsidR="003C2A04" w:rsidRPr="00F34FE4">
        <w:t>.</w:t>
      </w:r>
      <w:r w:rsidR="003C2A04" w:rsidRPr="00F34FE4">
        <w:tab/>
        <w:t>Considerando que o BCE é politicamente independente, o que significa que nem as instituições e agências da UE nem os governos dos Estados</w:t>
      </w:r>
      <w:r w:rsidR="003C2A04" w:rsidRPr="00F34FE4">
        <w:noBreakHyphen/>
        <w:t>Membros devem tentar influenciá</w:t>
      </w:r>
      <w:r w:rsidR="003C2A04" w:rsidRPr="00F34FE4">
        <w:noBreakHyphen/>
        <w:t>lo</w:t>
      </w:r>
      <w:r w:rsidR="00483F1A">
        <w:t>; considerando que</w:t>
      </w:r>
      <w:r w:rsidR="003C2A04" w:rsidRPr="00F34FE4">
        <w:t xml:space="preserve"> tal independência implica que o BCE se abstenha de tomar decisões políticas;</w:t>
      </w:r>
    </w:p>
    <w:p w14:paraId="233EECA8" w14:textId="0D28C1DE" w:rsidR="003C2A04" w:rsidRPr="00F34FE4" w:rsidRDefault="004975E7" w:rsidP="007D1089">
      <w:pPr>
        <w:pStyle w:val="NormalHanging12a"/>
      </w:pPr>
      <w:r>
        <w:t>F</w:t>
      </w:r>
      <w:r w:rsidR="003C2A04" w:rsidRPr="00F34FE4">
        <w:t>.</w:t>
      </w:r>
      <w:r w:rsidR="003C2A04" w:rsidRPr="00F34FE4">
        <w:tab/>
        <w:t xml:space="preserve">Considerando que a Comissão Europeia afirmou que se estima «que as necessidades adicionais em termos de investimento privado e público no quadro da dupla transição e dos seus objetivos estratégicos ascenderão a cerca de 650 mil milhões de EUR por ano </w:t>
      </w:r>
      <w:r w:rsidR="003C2A04" w:rsidRPr="00F34FE4">
        <w:lastRenderedPageBreak/>
        <w:t>até 2030»</w:t>
      </w:r>
      <w:r w:rsidR="003C2A04" w:rsidRPr="00F34FE4">
        <w:rPr>
          <w:rStyle w:val="FootnoteReference"/>
          <w:b/>
          <w:i/>
        </w:rPr>
        <w:footnoteReference w:id="3"/>
      </w:r>
      <w:r w:rsidR="003C2A04" w:rsidRPr="00F34FE4">
        <w:t>;</w:t>
      </w:r>
    </w:p>
    <w:p w14:paraId="40099F18" w14:textId="6FA21A4B" w:rsidR="003C2A04" w:rsidRPr="00F34FE4" w:rsidRDefault="004975E7" w:rsidP="007D1089">
      <w:pPr>
        <w:pStyle w:val="NormalHanging12a"/>
      </w:pPr>
      <w:r>
        <w:t>G</w:t>
      </w:r>
      <w:r w:rsidR="003C2A04" w:rsidRPr="00F34FE4">
        <w:t>.</w:t>
      </w:r>
      <w:r w:rsidR="003C2A04" w:rsidRPr="00F34FE4">
        <w:tab/>
        <w:t>Considerando que o objetivo primordial do BCE é manter a estabilidade dos preços, que definiu como uma inflação simétrica de 2 % a médio prazo;</w:t>
      </w:r>
    </w:p>
    <w:p w14:paraId="4C292470" w14:textId="38D79560" w:rsidR="003C2A04" w:rsidRPr="00F34FE4" w:rsidRDefault="004975E7" w:rsidP="007D1089">
      <w:pPr>
        <w:pStyle w:val="NormalHanging12a"/>
      </w:pPr>
      <w:r>
        <w:t>H</w:t>
      </w:r>
      <w:r w:rsidR="003C2A04" w:rsidRPr="00F34FE4">
        <w:t>.</w:t>
      </w:r>
      <w:r w:rsidR="003C2A04" w:rsidRPr="00F34FE4">
        <w:tab/>
        <w:t>Considerando que, sem prejuízo do objetivo primordial da estabilidade dos preços, o BCE deve também apoiar as políticas económicas gerais na UE tendo em vista contribuir para a realização dos objetivos da UE tal como se encontram definidos no artigo 3.º do TUE;</w:t>
      </w:r>
    </w:p>
    <w:p w14:paraId="6167AE35" w14:textId="418A4D88" w:rsidR="003C2A04" w:rsidRPr="00F34FE4" w:rsidRDefault="004975E7" w:rsidP="007D1089">
      <w:pPr>
        <w:pStyle w:val="NormalHanging12a"/>
      </w:pPr>
      <w:r>
        <w:t>I</w:t>
      </w:r>
      <w:r w:rsidR="003C2A04" w:rsidRPr="00F34FE4">
        <w:t>.</w:t>
      </w:r>
      <w:r w:rsidR="003C2A04" w:rsidRPr="00F34FE4">
        <w:tab/>
        <w:t>Considerando que o artigo 123.º do TFUE e o artigo 21.º dos Estatutos do SEBC e do BCE proíbem o financiamento monetário dos Estados;</w:t>
      </w:r>
    </w:p>
    <w:p w14:paraId="61931911" w14:textId="71CD2315" w:rsidR="003C2A04" w:rsidRPr="00F34FE4" w:rsidRDefault="004975E7" w:rsidP="007D1089">
      <w:pPr>
        <w:pStyle w:val="NormalHanging12a"/>
      </w:pPr>
      <w:r>
        <w:t>J</w:t>
      </w:r>
      <w:r w:rsidR="003C2A04" w:rsidRPr="00F34FE4">
        <w:t>.</w:t>
      </w:r>
      <w:r w:rsidR="003C2A04" w:rsidRPr="00F34FE4">
        <w:tab/>
        <w:t>Considerando que o BCE é responsável perante o Parlamento enquanto instituição que representa os cidadãos da UE;</w:t>
      </w:r>
    </w:p>
    <w:p w14:paraId="63359E01" w14:textId="77777777" w:rsidR="003C2A04" w:rsidRPr="00F34FE4" w:rsidRDefault="003C2A04" w:rsidP="007D1089">
      <w:pPr>
        <w:pStyle w:val="NormalHanging12a"/>
        <w:rPr>
          <w:b/>
          <w:i/>
        </w:rPr>
      </w:pPr>
      <w:r w:rsidRPr="00F34FE4">
        <w:rPr>
          <w:b/>
          <w:i/>
        </w:rPr>
        <w:t>Observações gerais</w:t>
      </w:r>
    </w:p>
    <w:p w14:paraId="1AFB7DBB" w14:textId="77777777" w:rsidR="003C2A04" w:rsidRPr="00F34FE4" w:rsidRDefault="003C2A04" w:rsidP="007D1089">
      <w:pPr>
        <w:pStyle w:val="NormalHanging12a"/>
      </w:pPr>
      <w:r w:rsidRPr="00F34FE4">
        <w:t>1.</w:t>
      </w:r>
      <w:r w:rsidRPr="00F34FE4">
        <w:tab/>
        <w:t xml:space="preserve">Recorda que o artigo 127.º do TFUE estabelece que «[o] objetivo primordial do Sistema Europeu de Bancos Centrais [SEBC] é a manutenção da estabilidade dos preços. Sem prejuízo do objetivo da estabilidade dos preços, o SEBC apoiará as políticas económicas gerais na União tendo em vista contribuir para a realização dos objetivos da União tal como se encontram definidos no artigo 3.º do Tratado da União Europeia. O SEBC atuará de acordo com o princípio de uma economia de mercado aberto e de livre concorrência, incentivando a repartição eficaz dos recursos e observando os princípios definidos no artigo 119.º»; </w:t>
      </w:r>
    </w:p>
    <w:p w14:paraId="3D1341F4" w14:textId="77777777" w:rsidR="003C2A04" w:rsidRPr="00F34FE4" w:rsidRDefault="003C2A04" w:rsidP="007D1089">
      <w:pPr>
        <w:pStyle w:val="NormalHanging12a"/>
      </w:pPr>
      <w:r w:rsidRPr="00F34FE4">
        <w:t>2.</w:t>
      </w:r>
      <w:r w:rsidRPr="00F34FE4">
        <w:tab/>
        <w:t>Reitera a independência legal do BCE, tal como consagrada no artigo 130.º do TFUE, e salienta, além disso, que esta independência deve ser sempre complementada por um nível de responsabilização correspondente;</w:t>
      </w:r>
    </w:p>
    <w:p w14:paraId="26D6115F" w14:textId="77777777" w:rsidR="003C2A04" w:rsidRPr="00F34FE4" w:rsidRDefault="003C2A04" w:rsidP="007D1089">
      <w:pPr>
        <w:pStyle w:val="NormalHanging12a"/>
      </w:pPr>
      <w:r w:rsidRPr="00F34FE4">
        <w:t>3.</w:t>
      </w:r>
      <w:r w:rsidRPr="00F34FE4">
        <w:tab/>
        <w:t>Manifesta a sua preocupação pelo facto de, se o BCE não conseguir reduzir a inflação para o nível visado em tempo útil, aumentando simultaneamente os custos de financiamento na área do euro, em particular para os cidadãos e as empresas, o BCE correr o risco de perder a sua credibilidade;</w:t>
      </w:r>
    </w:p>
    <w:p w14:paraId="7D653A48" w14:textId="77777777" w:rsidR="003C2A04" w:rsidRPr="00F34FE4" w:rsidRDefault="003C2A04" w:rsidP="007D1089">
      <w:pPr>
        <w:pStyle w:val="NormalHanging12a"/>
      </w:pPr>
      <w:r w:rsidRPr="00F34FE4">
        <w:t>4.</w:t>
      </w:r>
      <w:r w:rsidRPr="00F34FE4">
        <w:tab/>
        <w:t>Manifesta a sua profunda preocupação com as taxas de inflação persistentemente elevadas, em especial as taxas de inflação subjacente, e com o seu impacto negativo na competitividade, nos investimentos, na criação de emprego e no poder de compra dos consumidores, afetando principalmente os que têm rendimentos fixos ou limitados; insta o BCE a adotar todas as medidas necessárias para reduzir a taxa de inflação em conformidade com o seu mandato; lembra que uma situação assim gera incerteza económica e aumenta o custo de vida dos cidadãos; salienta que tal pode conduzir ao aumento das expectativas inflacionistas, que perpetuam um ciclo de aumentos de preços e prejudicam a estabilidade económica; observa que os objetivos quantitativos de inflação devem ser cumpridos a médio prazo; sublinha a necessidade de o BCE fornecer informações relativas ao acompanhamento e à fixação da taxa de juro neutra;</w:t>
      </w:r>
    </w:p>
    <w:p w14:paraId="2F79D504" w14:textId="77777777" w:rsidR="003C2A04" w:rsidRPr="00F34FE4" w:rsidRDefault="003C2A04" w:rsidP="007D1089">
      <w:pPr>
        <w:pStyle w:val="NormalHanging12a"/>
      </w:pPr>
      <w:r w:rsidRPr="00F34FE4">
        <w:t>5.</w:t>
      </w:r>
      <w:r w:rsidRPr="00F34FE4">
        <w:tab/>
        <w:t>Regista os diferentes níveis de dívida, défices públicos e níveis de investimento público nos Estados</w:t>
      </w:r>
      <w:r w:rsidRPr="00F34FE4">
        <w:noBreakHyphen/>
        <w:t xml:space="preserve">Membros, bem como os potenciais riscos e problemas que tal implica para </w:t>
      </w:r>
      <w:r w:rsidRPr="00F34FE4">
        <w:lastRenderedPageBreak/>
        <w:t>a estabilidade económica, a confiança dos investidores, o crescimento económico e a prosperidade a longo prazo; lamenta que tenham sido tomadas medidas insuficientes para reformar a competitividade e o investimento público, enquanto as taxas de juro foram baixas; salienta a sua especial preocupação com o aumento dos custos de financiamento da dívida, especialmente no caso da dívida soberana, devido ao aumento das taxas de juro; recorda que é crucial abordar de forma responsável os níveis da dívida e do défice público para evitar os riscos associados à inflação atual, a fim de manter uma economia estável e um crescimento sustentável; insta a que sejam rapidamente ultimadas as propostas legislativas da Comissão sobre a revisão das regras de governação económica da UE; congratula</w:t>
      </w:r>
      <w:r w:rsidRPr="00F34FE4">
        <w:noBreakHyphen/>
        <w:t>se com o parecer do BCE a este respeito; assinala que políticas orçamentais expansionistas poderiam contrabalançar a política de endurecimento monetário do BCE;</w:t>
      </w:r>
    </w:p>
    <w:p w14:paraId="6FEDD3D7" w14:textId="77777777" w:rsidR="003C2A04" w:rsidRPr="00F34FE4" w:rsidRDefault="003C2A04" w:rsidP="007D1089">
      <w:pPr>
        <w:pStyle w:val="NormalHanging12a"/>
      </w:pPr>
      <w:r w:rsidRPr="00F34FE4">
        <w:t>6.</w:t>
      </w:r>
      <w:r w:rsidRPr="00F34FE4">
        <w:tab/>
        <w:t>Denuncia a invasão não provocada e a contínua agressão perpetrada pela Rússia contra a Ucrânia, bem como as perturbações negativas que tal tem gerado do lado da oferta; manifesta</w:t>
      </w:r>
      <w:r w:rsidRPr="00F34FE4">
        <w:noBreakHyphen/>
        <w:t>se preocupado com as suas repercussões duradouras, imprevisíveis e graves na economia e na sociedade europeias, e sobretudo nos grupos mais expostos e vulneráveis, como as famílias com baixos rendimentos e as PME; congratula</w:t>
      </w:r>
      <w:r w:rsidRPr="00F34FE4">
        <w:noBreakHyphen/>
        <w:t>se com a inclusão do REPowerEU nos planos de recuperação e resiliência com o objetivo de diminuir a dependência energética da Rússia, apoiar a autonomia estratégica e corrigir as perturbações do lado da oferta;</w:t>
      </w:r>
    </w:p>
    <w:p w14:paraId="11E4D3B2" w14:textId="77777777" w:rsidR="003C2A04" w:rsidRPr="00F34FE4" w:rsidRDefault="003C2A04" w:rsidP="007D1089">
      <w:pPr>
        <w:pStyle w:val="NormalHanging12a"/>
      </w:pPr>
      <w:r w:rsidRPr="00F34FE4">
        <w:t>7.</w:t>
      </w:r>
      <w:r w:rsidRPr="00F34FE4">
        <w:tab/>
        <w:t>Salienta que as ameaças para a competitividade europeia e o papel internacional do euro não resultam apenas das elevadas taxas de inflação, da guerra em curso na Ucrânia e dos níveis elevados e divergentes de dívida pública nos Estados</w:t>
      </w:r>
      <w:r w:rsidRPr="00F34FE4">
        <w:noBreakHyphen/>
        <w:t>Membros, mas também da arquitetura institucional da área do euro, dos custos regulamentares cada vez mais onerosos, da crescente fragmentação do comércio mundial e de uma iminente corrida às subvenções de políticas protecionistas entre Estados; insta o BCE a estudar o reforço do papel internacional do euro com vista a torná</w:t>
      </w:r>
      <w:r w:rsidRPr="00F34FE4">
        <w:noBreakHyphen/>
        <w:t>lo mais atrativo enquanto moeda de reserva;</w:t>
      </w:r>
    </w:p>
    <w:p w14:paraId="129A1F6B" w14:textId="77777777" w:rsidR="003C2A04" w:rsidRPr="00F34FE4" w:rsidRDefault="003C2A04" w:rsidP="007D1089">
      <w:pPr>
        <w:pStyle w:val="NormalHanging12a"/>
      </w:pPr>
      <w:r w:rsidRPr="00F34FE4">
        <w:t>8.</w:t>
      </w:r>
      <w:r w:rsidRPr="00F34FE4">
        <w:tab/>
        <w:t>Reitera a advertência da presidente Lagarde, segundo a qual o apoio orçamental deve ser temporário, direcionado e adaptado e não deve contrariar a missão da política monetária; insta os Estados</w:t>
      </w:r>
      <w:r w:rsidRPr="00F34FE4">
        <w:noBreakHyphen/>
        <w:t>Membros a alinhar as respetivas políticas orçamentais com o objetivo geral da política monetária do BCE; recorda que a capacidade da União Económica e Monetária para responder a choques externos depende de políticas orçamentais robustas a nível dos Estados</w:t>
      </w:r>
      <w:r w:rsidRPr="00F34FE4">
        <w:noBreakHyphen/>
        <w:t>Membros; solicita que os esforços orçamentais se centrem em reformas e investimentos produtivos; salienta que os governos, bem como a Comissão, podem apoiar os cidadãos e as indústrias, não só através de medidas orçamentais mas, também, de reformas favoráveis ao crescimento e equilibradas no plano social, e ainda através do investimento público e privado em infraestruturas; assinala, todavia, que a arquitetura da área do euro continua atualmente a basear</w:t>
      </w:r>
      <w:r w:rsidRPr="00F34FE4">
        <w:noBreakHyphen/>
        <w:t xml:space="preserve">se no primado da dimensão monetária; assinala que os elevados níveis de inflação exigem que todas as instituições da UE e autoridades nacionais assumam um compromisso firme no sentido de dar resposta às consequências económicas e sociais da crise inflacionista; </w:t>
      </w:r>
    </w:p>
    <w:p w14:paraId="3DB417D9" w14:textId="77777777" w:rsidR="003C2A04" w:rsidRPr="00F34FE4" w:rsidRDefault="003C2A04" w:rsidP="007D1089">
      <w:pPr>
        <w:pStyle w:val="NormalHanging12a"/>
      </w:pPr>
      <w:r w:rsidRPr="00F34FE4">
        <w:t>9.</w:t>
      </w:r>
      <w:r w:rsidRPr="00F34FE4">
        <w:tab/>
        <w:t xml:space="preserve">Observa que as políticas monetárias do BCE destinadas a dar cumprimento ao seu mandato principal estão sujeitas a uma avaliação da proporcionalidade; assinala que a avaliação da proporcionalidade tem em conta o impacto das medidas de política monetária na economia em geral e nas políticas económicas; destaca que, sempre que se depare com uma escolha entre diferentes conjuntos de políticas que sejam igualmente </w:t>
      </w:r>
      <w:r w:rsidRPr="00F34FE4">
        <w:lastRenderedPageBreak/>
        <w:t>conducentes à estabilidade dos preços, o BCE tem de escolher aqueles que melhor apoiam as políticas económicas gerais da UE;</w:t>
      </w:r>
    </w:p>
    <w:p w14:paraId="4103C0B7" w14:textId="77777777" w:rsidR="003C2A04" w:rsidRPr="00F34FE4" w:rsidRDefault="003C2A04" w:rsidP="007D1089">
      <w:pPr>
        <w:pStyle w:val="NormalHanging12a"/>
      </w:pPr>
      <w:r w:rsidRPr="00F34FE4">
        <w:t>10.</w:t>
      </w:r>
      <w:r w:rsidRPr="00F34FE4">
        <w:tab/>
        <w:t>Congratula</w:t>
      </w:r>
      <w:r w:rsidRPr="00F34FE4">
        <w:noBreakHyphen/>
        <w:t>se com o apoio de longa data do BCE a uma conclusão bem pensada da união económica e monetária, da união bancária e da união dos mercados de capitais; recorda que tal contribuiria para uma maior dispersão dos riscos no interior da união monetária e para uma maior estabilidade financeira da união monetária, bem como para a recuperação económica e social da UE, para a redução da dependência dos empréstimos bancários e para a concorrência com os mercados asiáticos e americanos; lembra que é necessária uma vontade política clara para avançar na conclusão da união bancária e da união dos mercados de capitais; regista o apoio do BCE à criação de um sistema europeu de seguro de depósitos com todos os seus elementos; reconhece que a partilha e a redução dos riscos estão interligadas e que os sistemas de proteção institucional têm um papel fundamental na proteção e estabilização das instituições que são seus membros; convida o BCE a acompanhar a situação relativa aos créditos não produtivos;</w:t>
      </w:r>
    </w:p>
    <w:p w14:paraId="48050100" w14:textId="77777777" w:rsidR="003C2A04" w:rsidRPr="00F34FE4" w:rsidRDefault="003C2A04" w:rsidP="007D1089">
      <w:pPr>
        <w:pStyle w:val="NormalHanging12a"/>
      </w:pPr>
      <w:r w:rsidRPr="00F34FE4">
        <w:t>11.</w:t>
      </w:r>
      <w:r w:rsidRPr="00F34FE4">
        <w:tab/>
        <w:t>Sublinha o papel central das pequenas e médias empresas (PME) na economia da UE, na convergência económica e social e no emprego; manifesta</w:t>
      </w:r>
      <w:r w:rsidRPr="00F34FE4">
        <w:noBreakHyphen/>
        <w:t>se particularmente preocupado com o efeito que a pandemia de COVID</w:t>
      </w:r>
      <w:r w:rsidRPr="00F34FE4">
        <w:noBreakHyphen/>
        <w:t>19 e a guerra de agressão da Rússia contra a Ucrânia estão a ter nas PME; reitera a necessidade de eliminar os entraves burocráticos ao investimento transfronteiriço na UE, aliviar a carga fiscal sobre as PME em comparação com as grandes empresas, simplificar os quadros jurídicos para atrair capitais, incentivar a entrada das PME nos mercados financeiros e promover a literacia financeira entre os cidadãos para os sensibilizar para os benefícios do investimento;</w:t>
      </w:r>
    </w:p>
    <w:p w14:paraId="030432A6" w14:textId="77777777" w:rsidR="003C2A04" w:rsidRPr="00F34FE4" w:rsidRDefault="003C2A04" w:rsidP="007D1089">
      <w:pPr>
        <w:pStyle w:val="NormalHanging12a"/>
        <w:rPr>
          <w:b/>
          <w:i/>
        </w:rPr>
      </w:pPr>
      <w:r w:rsidRPr="00F34FE4">
        <w:rPr>
          <w:b/>
          <w:i/>
        </w:rPr>
        <w:t>Política monetária</w:t>
      </w:r>
    </w:p>
    <w:p w14:paraId="5317AF05" w14:textId="77777777" w:rsidR="003C2A04" w:rsidRPr="00F34FE4" w:rsidRDefault="003C2A04" w:rsidP="007D1089">
      <w:pPr>
        <w:pStyle w:val="NormalHanging12a"/>
      </w:pPr>
      <w:r w:rsidRPr="00F34FE4">
        <w:t>12.</w:t>
      </w:r>
      <w:r w:rsidRPr="00F34FE4">
        <w:tab/>
        <w:t>Observa que a inflação global decresceu de 8,4 %, em 2022, para 5,2 %, em 2023, principalmente devido à descida dos preços da energia e à redução dos estrangulamentos na oferta; constata, no entanto, que a inflação continua a ser superior ao nível visado de 2 %; reconhece a previsão do BCE de 2,1 % para 2025; manifesta a sua preocupação com os efeitos indiretos, com a desancoragem das previsões de inflação das empresas e das famílias, com a possibilidade de uma evolução inflacionista de preços e salários ante um aumento generalizado das previsões de inflação e, por conseguinte, dos salários, e salienta a necessidade de ter em conta as suas implicações para o crescimento e o emprego;</w:t>
      </w:r>
    </w:p>
    <w:p w14:paraId="4EA22CCF" w14:textId="77777777" w:rsidR="003C2A04" w:rsidRPr="00F34FE4" w:rsidRDefault="003C2A04" w:rsidP="007D1089">
      <w:pPr>
        <w:pStyle w:val="NormalHanging12a"/>
      </w:pPr>
      <w:r w:rsidRPr="00F34FE4">
        <w:t>13.</w:t>
      </w:r>
      <w:r w:rsidRPr="00F34FE4">
        <w:tab/>
        <w:t>Assinala que os elevados níveis de inflação afetam desproporcionalmente as famílias com baixos rendimentos que despendem uma maior percentagem do seu orçamento em bens essenciais; salienta, por conseguinte, que a redução da inflação para o nível visado é igualmente importante para a manutenção da coesão social;</w:t>
      </w:r>
    </w:p>
    <w:p w14:paraId="3E9DD173" w14:textId="77777777" w:rsidR="003C2A04" w:rsidRPr="00F34FE4" w:rsidRDefault="003C2A04" w:rsidP="007D1089">
      <w:pPr>
        <w:pStyle w:val="NormalHanging12a"/>
      </w:pPr>
      <w:r w:rsidRPr="00F34FE4">
        <w:t>14.</w:t>
      </w:r>
      <w:r w:rsidRPr="00F34FE4">
        <w:tab/>
        <w:t>Manifesta a sua apreensão face à taxa persistentemente elevada de inflação subjacente, apesar de esta se encontrar numa trajetória descendente há vários meses; observa que, inicialmente, a inflação começou a aumentar devido a estrangulamentos na oferta; entende que se prevê um aumento do crescimento dos salários, impulsionado pela compensação da inflação e pelas tensões no mercado de trabalho;</w:t>
      </w:r>
    </w:p>
    <w:p w14:paraId="4778F0DC" w14:textId="77777777" w:rsidR="003C2A04" w:rsidRPr="00F34FE4" w:rsidRDefault="003C2A04" w:rsidP="007D1089">
      <w:pPr>
        <w:pStyle w:val="NormalHanging12a"/>
      </w:pPr>
      <w:r w:rsidRPr="00F34FE4">
        <w:t>15.</w:t>
      </w:r>
      <w:r w:rsidRPr="00F34FE4">
        <w:tab/>
        <w:t xml:space="preserve">Salienta que a inflação já começou a superar os níveis visados em julho de 2021, devido aos estrangulamentos na oferta, ou seja, ainda antes da agressão em larga escala não </w:t>
      </w:r>
      <w:r w:rsidRPr="00F34FE4">
        <w:lastRenderedPageBreak/>
        <w:t>provocada e ilegal da Rússia contra a Ucrânia, que agravou a pressão inflacionista; regista, no entanto, que o BCE só começou a combater a inflação em junho de 2022, apesar de a crise da COVID</w:t>
      </w:r>
      <w:r w:rsidRPr="00F34FE4">
        <w:noBreakHyphen/>
        <w:t>19 ter demonstrado que o banco é capaz de agir em tempo útil; observa que outros bancos centrais agiram mais rapidamente; verifica que o BCE deve agir rapidamente, cumprindo o seu mandato de basear todas as suas decisões em indicadores económicos e financeiros; considera que uma resposta mais célere poderia ter travado prematuramente a dinâmica dos preços, evitando picos de 10,6 % como os que se registaram em outubro de 2022;</w:t>
      </w:r>
    </w:p>
    <w:p w14:paraId="05BCF7B9" w14:textId="77777777" w:rsidR="003C2A04" w:rsidRPr="00F34FE4" w:rsidRDefault="003C2A04" w:rsidP="007D1089">
      <w:pPr>
        <w:pStyle w:val="NormalHanging12a"/>
      </w:pPr>
      <w:r w:rsidRPr="00F34FE4">
        <w:t>16.</w:t>
      </w:r>
      <w:r w:rsidRPr="00F34FE4">
        <w:tab/>
        <w:t>Convida o BCE a prosseguir com a análise do prolongamento da inflação entre a oferta e a procura;</w:t>
      </w:r>
    </w:p>
    <w:p w14:paraId="3D7838D8" w14:textId="77777777" w:rsidR="003C2A04" w:rsidRPr="00F34FE4" w:rsidRDefault="003C2A04" w:rsidP="007D1089">
      <w:pPr>
        <w:pStyle w:val="NormalHanging12a"/>
      </w:pPr>
      <w:r w:rsidRPr="00F34FE4">
        <w:t>17.</w:t>
      </w:r>
      <w:r w:rsidRPr="00F34FE4">
        <w:tab/>
        <w:t>Apoia plenamente a declaração da presidente Lagarde sobre a luta contra a inflação durante o tempo necessário, salientando, no entanto, que a normalização da política monetária pode ser alcançada através de uma conjugação entre as políticas orçamental, monetária e estrutural; louva o apelo da presidente Lagarde à humildade e à atualização regular dos modelos do BCE; convida, no entanto, o BCE a rever e a melhorar profundamente os seus modelos – e o papel dos mesmos na elaboração das suas políticas –, atendendo a que, nos últimos anos, o desempenho desses modelos ficou aquém das expectativas, a fim de os ajustar às novas tendências económicas e dos mercados financeiros mundiais e da UE, tendo simultaneamente em conta os ensinamentos retirados das crises atuais e anteriores e os desafios da elaboração de políticas monetárias;</w:t>
      </w:r>
    </w:p>
    <w:p w14:paraId="482978A1" w14:textId="77777777" w:rsidR="003C2A04" w:rsidRPr="00F34FE4" w:rsidRDefault="003C2A04" w:rsidP="007D1089">
      <w:pPr>
        <w:pStyle w:val="NormalHanging12a"/>
      </w:pPr>
      <w:r w:rsidRPr="00F34FE4">
        <w:t>18.</w:t>
      </w:r>
      <w:r w:rsidRPr="00F34FE4">
        <w:tab/>
        <w:t>Recorda que a estabilidade dos preços está longe de ser alcançada; regista o objetivo simétrico de 2 % como nível visado para a inflação no médio prazo; observa que, até à data, a inflação tem sido ou muito inferior ou muito superior a este nível visado; assinala ainda que a inflação regista uma tendência descendente, aproximando</w:t>
      </w:r>
      <w:r w:rsidRPr="00F34FE4">
        <w:noBreakHyphen/>
        <w:t xml:space="preserve">se do objetivo do BCE no médio prazo; </w:t>
      </w:r>
    </w:p>
    <w:p w14:paraId="7A05A13C" w14:textId="77777777" w:rsidR="003C2A04" w:rsidRPr="00F34FE4" w:rsidRDefault="003C2A04" w:rsidP="007D1089">
      <w:pPr>
        <w:pStyle w:val="NormalHanging12a"/>
      </w:pPr>
      <w:r w:rsidRPr="00F34FE4">
        <w:t>19.</w:t>
      </w:r>
      <w:r w:rsidRPr="00F34FE4">
        <w:tab/>
        <w:t>Convida o BCE a definir melhor o significado de «médio prazo» e a estudar uma abordagem mais qualitativa da estabilidade dos preços, mantendo a margem necessária para tirar partido dos benefícios da estabilidade de preços e proporcionando ao mesmo tempo a margem necessária para reduzir o risco de deflação;</w:t>
      </w:r>
    </w:p>
    <w:p w14:paraId="45077874" w14:textId="77777777" w:rsidR="003C2A04" w:rsidRPr="00F34FE4" w:rsidRDefault="003C2A04" w:rsidP="007D1089">
      <w:pPr>
        <w:pStyle w:val="NormalHanging12a"/>
      </w:pPr>
      <w:r w:rsidRPr="00F34FE4">
        <w:t>20.</w:t>
      </w:r>
      <w:r w:rsidRPr="00F34FE4">
        <w:tab/>
        <w:t>Apoia a decisão do BCE de reduzir a intensidade dos seus programas de aquisição de ativos, tendo em conta o excesso de liquidez no mercado; observa, todavia, que o BCE continua a pretender reinvestir, pelo menos até ao final de 2024, os pagamentos de capital decorrentes do vencimento de valores mobiliários comprados ao abrigo do programa de compras de emergência por pandemia; regista o anúncio do BCE sobre a descarbonização das suas posições em obrigações de empresas, embora este «redirecionamento» perca a sua eficácia quando não são efetuados reinvestimentos; salienta a importância da qualidade das garantias;</w:t>
      </w:r>
    </w:p>
    <w:p w14:paraId="4AA4C525" w14:textId="77777777" w:rsidR="003C2A04" w:rsidRPr="00F34FE4" w:rsidRDefault="003C2A04" w:rsidP="007D1089">
      <w:pPr>
        <w:pStyle w:val="NormalHanging12a"/>
      </w:pPr>
      <w:r w:rsidRPr="00F34FE4">
        <w:t>21.</w:t>
      </w:r>
      <w:r w:rsidRPr="00F34FE4">
        <w:tab/>
        <w:t>Observa que o conceito de neutralidade de mercado está relacionado com o princípio de «uma economia de mercado aberto e de livre concorrência»; convida o BCE a, no respeito da sua independência, corrigir as falhas do mercado e garantir uma afetação eficiente dos recursos num horizonte de longo prazo, ao mesmo tempo que se mantém o mais apolítico possível, respeitando o princípio da neutralidade do mercado nas diversas situações; destaca que tais decisões não devem ser tomadas em detrimento da consecução do objetivo primordial do BCE;</w:t>
      </w:r>
    </w:p>
    <w:p w14:paraId="2E2BEF77" w14:textId="77777777" w:rsidR="003C2A04" w:rsidRPr="00F34FE4" w:rsidRDefault="003C2A04" w:rsidP="007D1089">
      <w:pPr>
        <w:pStyle w:val="NormalHanging12a"/>
      </w:pPr>
      <w:r w:rsidRPr="00F34FE4">
        <w:lastRenderedPageBreak/>
        <w:t>22.</w:t>
      </w:r>
      <w:r w:rsidRPr="00F34FE4">
        <w:tab/>
        <w:t>Reconhece a necessidade de investimentos públicos e privados após décadas de subinvestimento, a fim de reduzir a dinâmica da inflação do lado da oferta e melhorar o potencial de crescimento sustentável;</w:t>
      </w:r>
    </w:p>
    <w:p w14:paraId="668E6598" w14:textId="77777777" w:rsidR="003C2A04" w:rsidRPr="00F34FE4" w:rsidRDefault="003C2A04" w:rsidP="007D1089">
      <w:pPr>
        <w:pStyle w:val="NormalHanging12a"/>
      </w:pPr>
      <w:r w:rsidRPr="00F34FE4">
        <w:t>23.</w:t>
      </w:r>
      <w:r w:rsidRPr="00F34FE4">
        <w:tab/>
        <w:t>Destaca que uma transmissão uniforme da política monetária é vital para a realização do mandato do BCE em matéria de estabilidade dos preços; sublinha que a divergência excessiva em termos de rendimentos da dívida soberana faz com que as condições de crédito sejam incompatíveis com uma transmissão uniforme da política monetária e torna extremamente difícil a redução da dívida pública; toma nota, neste contexto, do lançamento do Instrumento de Proteção da Transmissão, destinado a apoiar a transmissão eficaz da política monetária em toda a área do euro;</w:t>
      </w:r>
    </w:p>
    <w:p w14:paraId="7FDC6F5A" w14:textId="77777777" w:rsidR="003C2A04" w:rsidRPr="00F34FE4" w:rsidRDefault="003C2A04" w:rsidP="007D1089">
      <w:pPr>
        <w:pStyle w:val="NormalHanging12a"/>
        <w:rPr>
          <w:b/>
          <w:i/>
        </w:rPr>
      </w:pPr>
      <w:r w:rsidRPr="00F34FE4">
        <w:rPr>
          <w:b/>
          <w:i/>
        </w:rPr>
        <w:t>Mandato secundário</w:t>
      </w:r>
    </w:p>
    <w:p w14:paraId="46A8C88E" w14:textId="77777777" w:rsidR="003C2A04" w:rsidRDefault="003C2A04" w:rsidP="007D1089">
      <w:pPr>
        <w:pStyle w:val="NormalHanging12a"/>
      </w:pPr>
      <w:r w:rsidRPr="00F34FE4">
        <w:t>24.</w:t>
      </w:r>
      <w:r w:rsidRPr="00F34FE4">
        <w:tab/>
        <w:t>Recorda que o artigo 127.º do TFUE exige que o BCE apoie as políticas económicas gerais da União, tal como estabelecidas no artigo 3.º do TUE, o que se insere no âmbito do seu mandato, desde que não prejudique o objetivo da estabilidade dos preços; faz notar que existe uma clara hierarquia entre os objetivos do BCE; recorda que as transições ecológica e digital estão entre as prioridades comuns da UE;</w:t>
      </w:r>
    </w:p>
    <w:p w14:paraId="5422C8F9" w14:textId="77777777" w:rsidR="00D10FD2" w:rsidRPr="00F34FE4" w:rsidRDefault="00D10FD2" w:rsidP="007D1089">
      <w:pPr>
        <w:pStyle w:val="NormalHanging12a"/>
      </w:pPr>
      <w:r>
        <w:t>25.</w:t>
      </w:r>
      <w:r>
        <w:tab/>
      </w:r>
      <w:r w:rsidRPr="00D10FD2">
        <w:t>Manifesta a sua profunda preocupação com os recentes relatos dos meios de comunicação social sobre o enviesamento político no BCE relativamente à chamada ecologização das políticas; recorda que, para manter a integridade da instituição e o apoio do público, é essencial que o BCE continue firmemente centrado na estabilidade dos preços; assinala a importância do pluralismo para a cultura institucional do BCE; insta o BCE a investigar e a resolver rapidamente quaisquer suspeitas de enviesamento ideológico;</w:t>
      </w:r>
    </w:p>
    <w:p w14:paraId="5584ED0B" w14:textId="65C7E42C" w:rsidR="003C2A04" w:rsidRPr="00F34FE4" w:rsidRDefault="004975E7" w:rsidP="007D1089">
      <w:pPr>
        <w:pStyle w:val="NormalHanging12a"/>
      </w:pPr>
      <w:r>
        <w:t>26</w:t>
      </w:r>
      <w:r w:rsidR="003C2A04" w:rsidRPr="00F34FE4">
        <w:t>.</w:t>
      </w:r>
      <w:r w:rsidR="003C2A04" w:rsidRPr="00F34FE4">
        <w:tab/>
        <w:t>Lembra ao BCE que deverá dedicar um capítulo específico no seu relatório anual a explicar a forma como interpretou e agiu em conformidade com os seus objetivos secundários e a apresentar os seus potenciais efeitos no mandato principal;</w:t>
      </w:r>
    </w:p>
    <w:p w14:paraId="6786B11C" w14:textId="40895C74" w:rsidR="003C2A04" w:rsidRPr="00F34FE4" w:rsidRDefault="004975E7" w:rsidP="007D1089">
      <w:pPr>
        <w:pStyle w:val="NormalHanging12a"/>
      </w:pPr>
      <w:r>
        <w:t>27</w:t>
      </w:r>
      <w:r w:rsidR="003C2A04" w:rsidRPr="00F34FE4">
        <w:t>.</w:t>
      </w:r>
      <w:r w:rsidR="003C2A04" w:rsidRPr="00F34FE4">
        <w:tab/>
        <w:t>Observa que o BCE, enquanto instituição da UE, no âmbito do seu mandato, está vinculado pelos compromissos da UE no quadro do Acordo de Paris; incentiva o BCE a continuar a avaliar em que medida as alterações climáticas afetam potencialmente a sua capacidade de manter a estabilidade dos preços;</w:t>
      </w:r>
    </w:p>
    <w:p w14:paraId="35457183" w14:textId="70AC9A44" w:rsidR="003C2A04" w:rsidRPr="00F34FE4" w:rsidRDefault="004975E7" w:rsidP="007D1089">
      <w:pPr>
        <w:pStyle w:val="NormalHanging12a"/>
      </w:pPr>
      <w:r>
        <w:t>28</w:t>
      </w:r>
      <w:r w:rsidR="003C2A04" w:rsidRPr="00F34FE4">
        <w:t>.</w:t>
      </w:r>
      <w:r w:rsidR="003C2A04" w:rsidRPr="00F34FE4">
        <w:tab/>
        <w:t>Acolhe com agrado o anúncio do BCE de novas melhorias nas ferramentas e capacidades de avaliação de riscos do Eurosistema, visando incluir melhor os riscos relacionados com o clima e o ambiente, especialmente porque as alterações climáticas e os fenómenos meteorológicos extremos podem conduzir a uma maior volatilidade dos preços, principalmente no setor agroalimentar; convida o BCE a prosseguir o seu trabalho em matéria de testes de esforço centrados no risco climático, desenvolvidos para avaliar a resiliência dos bancos e das sociedades face aos riscos inerentes à transição climática;</w:t>
      </w:r>
    </w:p>
    <w:p w14:paraId="44208F79" w14:textId="28A71186" w:rsidR="003C2A04" w:rsidRPr="00F34FE4" w:rsidRDefault="004975E7" w:rsidP="007D1089">
      <w:pPr>
        <w:pStyle w:val="NormalHanging12a"/>
      </w:pPr>
      <w:r>
        <w:t>29</w:t>
      </w:r>
      <w:r w:rsidR="003C2A04" w:rsidRPr="00F34FE4">
        <w:t>.</w:t>
      </w:r>
      <w:r w:rsidR="003C2A04" w:rsidRPr="00F34FE4">
        <w:tab/>
        <w:t>Toma nota do plano de ação do BCE e do seu roteiro pormenorizado de medidas relacionadas com as alterações climáticas, que visam melhorar a integração das questões relativas às alterações climáticas no seu quadro estratégico e nos seus modelos; observa que o roteiro para o clima não inclui operações de refinanciamento verde específicas e a mais longo prazo, ou instrumentos semelhantes;</w:t>
      </w:r>
    </w:p>
    <w:p w14:paraId="302CE97A" w14:textId="2C580E08" w:rsidR="003C2A04" w:rsidRPr="00F34FE4" w:rsidRDefault="004975E7" w:rsidP="007D1089">
      <w:pPr>
        <w:pStyle w:val="NormalHanging12a"/>
      </w:pPr>
      <w:r>
        <w:lastRenderedPageBreak/>
        <w:t>30</w:t>
      </w:r>
      <w:r w:rsidR="003C2A04" w:rsidRPr="00F34FE4">
        <w:t>.</w:t>
      </w:r>
      <w:r w:rsidR="003C2A04" w:rsidRPr="00F34FE4">
        <w:tab/>
        <w:t>Sublinha a importância do Pilar Europeu dos Direitos Sociais para a convergência socioeconómica; refere que estes objetivos são mais bem alcançados quando a economia social de mercado funciona num ambiente macroeconómico estável com base em níveis de preços previsíveis;</w:t>
      </w:r>
    </w:p>
    <w:p w14:paraId="4605C2F7" w14:textId="77777777" w:rsidR="003C2A04" w:rsidRPr="00F34FE4" w:rsidRDefault="003C2A04" w:rsidP="007D1089">
      <w:pPr>
        <w:pStyle w:val="NormalHanging12a"/>
        <w:rPr>
          <w:b/>
          <w:i/>
        </w:rPr>
      </w:pPr>
      <w:r w:rsidRPr="00F34FE4">
        <w:rPr>
          <w:b/>
          <w:i/>
        </w:rPr>
        <w:t>Outros aspetos</w:t>
      </w:r>
    </w:p>
    <w:p w14:paraId="661548CE" w14:textId="491F2644" w:rsidR="003C2A04" w:rsidRPr="00F34FE4" w:rsidRDefault="004975E7" w:rsidP="007D1089">
      <w:pPr>
        <w:pStyle w:val="NormalHanging12a"/>
      </w:pPr>
      <w:r>
        <w:t>31</w:t>
      </w:r>
      <w:r w:rsidR="003C2A04" w:rsidRPr="00F34FE4">
        <w:t>.</w:t>
      </w:r>
      <w:r w:rsidR="003C2A04" w:rsidRPr="00F34FE4">
        <w:tab/>
        <w:t>Chama a atenção para a constante divergência dos saldos TARGET2 no âmbito do SEBC; receia que tal possa dar origem a conflitos no futuro; assinala que a interpretação destas divergências é contestada;</w:t>
      </w:r>
    </w:p>
    <w:p w14:paraId="59970730" w14:textId="4B0BE4FB" w:rsidR="003C2A04" w:rsidRPr="00F34FE4" w:rsidRDefault="004975E7" w:rsidP="007D1089">
      <w:pPr>
        <w:pStyle w:val="NormalHanging12a"/>
      </w:pPr>
      <w:r>
        <w:t>32</w:t>
      </w:r>
      <w:r w:rsidR="003C2A04" w:rsidRPr="00F34FE4">
        <w:t>.</w:t>
      </w:r>
      <w:r w:rsidR="003C2A04" w:rsidRPr="00F34FE4">
        <w:tab/>
        <w:t>Congratula</w:t>
      </w:r>
      <w:r w:rsidR="003C2A04" w:rsidRPr="00F34FE4">
        <w:noBreakHyphen/>
        <w:t>se com a atenção que o BCE presta aos riscos de ciberataques; incentiva o BCE a manter esta atitude, especialmente à luz do atual contexto geopolítico; apela a que o BCE não relaxe o seu acompanhamento do desenvolvimento de novos tipos de ativos digitais, como os criptoativos, e mais concretamente as criptomoedas, e dos riscos conexos em termos de cibersegurança, branqueamento de capitais, fraude fiscal, financiamento do terrorismo e outras atividades criminosas relacionadas com o anonimato proporcionado pelos criptoativos, instando, neste contexto, o BCE a manter o seu empenho na resiliência da sua infraestrutura digital;</w:t>
      </w:r>
    </w:p>
    <w:p w14:paraId="11FB9C0D" w14:textId="225C48B4" w:rsidR="003C2A04" w:rsidRPr="00F34FE4" w:rsidRDefault="004975E7" w:rsidP="007D1089">
      <w:pPr>
        <w:pStyle w:val="NormalHanging12a"/>
      </w:pPr>
      <w:r>
        <w:t>33</w:t>
      </w:r>
      <w:r w:rsidR="003C2A04" w:rsidRPr="00F34FE4">
        <w:t>.</w:t>
      </w:r>
      <w:r w:rsidR="003C2A04" w:rsidRPr="00F34FE4">
        <w:tab/>
        <w:t>Regista os progressos do BCE no projeto relativo ao euro digital e saúda o diálogo com o Parlamento a este respeito; reitera que, para que a UE esteja na vanguarda das transformações digitais no setor dos pagamentos, o euro digital deve respeitar a concorrência no panorama bancário e dos pagamentos digitais; sublinha que um euro digital não deve substituir o numerário como meio de pagamento, deve respeitar a privacidade dos cidadãos e das empresas e não deve pôr em perigo a estabilidade financeira; considera que o euro digital apenas será bem</w:t>
      </w:r>
      <w:r w:rsidR="003C2A04" w:rsidRPr="00F34FE4">
        <w:noBreakHyphen/>
        <w:t>sucedido se oferecer um valor acrescentado tangível e claramente comunicado aos cidadãos europeus; recorda que a introdução do euro digital depende de uma decisão do Parlamento Europeu e do Conselho enquanto colegisladores;</w:t>
      </w:r>
    </w:p>
    <w:p w14:paraId="7C9E4981" w14:textId="495DDADC" w:rsidR="003C2A04" w:rsidRPr="00F34FE4" w:rsidRDefault="004975E7" w:rsidP="007D1089">
      <w:pPr>
        <w:pStyle w:val="NormalHanging12a"/>
      </w:pPr>
      <w:r>
        <w:t>34</w:t>
      </w:r>
      <w:r w:rsidR="003C2A04" w:rsidRPr="00F34FE4">
        <w:t>.</w:t>
      </w:r>
      <w:r w:rsidR="003C2A04" w:rsidRPr="00F34FE4">
        <w:tab/>
        <w:t>Partilha a preocupação do BCE relativamente ao aumento da importância do setor bancário paralelo e aos riscos que este pode representar para a estabilidade financeira; salienta a necessidade de uma regulamentação adequada dos intermediários financeiros não bancários, que permita ao setor competir em pé de igualdade com o setor bancário;</w:t>
      </w:r>
    </w:p>
    <w:p w14:paraId="5F76CF33" w14:textId="30A20FFA" w:rsidR="003C2A04" w:rsidRPr="00F34FE4" w:rsidRDefault="004975E7" w:rsidP="007D1089">
      <w:pPr>
        <w:pStyle w:val="NormalHanging12a"/>
      </w:pPr>
      <w:r>
        <w:t>35</w:t>
      </w:r>
      <w:r w:rsidR="003C2A04" w:rsidRPr="00F34FE4">
        <w:t>.</w:t>
      </w:r>
      <w:r w:rsidR="003C2A04" w:rsidRPr="00F34FE4">
        <w:tab/>
        <w:t>Congratula</w:t>
      </w:r>
      <w:r w:rsidR="003C2A04" w:rsidRPr="00F34FE4">
        <w:noBreakHyphen/>
        <w:t>se com o Acordo de Basileia III, uma vez que reforçará a resiliência do setor bancário; alerta para o risco de incumprimento; reitera as preocupações do BCE a este respeito; salienta que a supervisão bancária deve basear</w:t>
      </w:r>
      <w:r w:rsidR="003C2A04" w:rsidRPr="00F34FE4">
        <w:noBreakHyphen/>
        <w:t>se no risco; sublinha a importância de condições de concorrência equitativas no plano internacional e da competitividade dos bancos europeus;</w:t>
      </w:r>
    </w:p>
    <w:p w14:paraId="6BF7C2BF" w14:textId="544BAC6E" w:rsidR="003C2A04" w:rsidRPr="00F34FE4" w:rsidRDefault="004975E7" w:rsidP="007D1089">
      <w:pPr>
        <w:pStyle w:val="NormalHanging12a"/>
      </w:pPr>
      <w:r>
        <w:t>36</w:t>
      </w:r>
      <w:r w:rsidR="003C2A04" w:rsidRPr="00F34FE4">
        <w:t>.</w:t>
      </w:r>
      <w:r w:rsidR="003C2A04" w:rsidRPr="00F34FE4">
        <w:tab/>
        <w:t>Observa que o BCE adapta os seus sistemas aos avanços tecnológicos, por exemplo, através da integração da inteligência artificial nos seus modelos de tratamento e análise de dados, com vista a melhorar a análise e a tomada de decisões no âmbito da política monetária; frisa que todos estes avanços devem ser sempre realizados dentro dos parâmetros de segurança, a fim de evitar riscos operacionais;</w:t>
      </w:r>
    </w:p>
    <w:p w14:paraId="1AF716D2" w14:textId="77777777" w:rsidR="003C2A04" w:rsidRPr="00F34FE4" w:rsidRDefault="003C2A04" w:rsidP="007D1089">
      <w:pPr>
        <w:pStyle w:val="NormalHanging12a"/>
        <w:rPr>
          <w:b/>
          <w:i/>
        </w:rPr>
      </w:pPr>
      <w:r w:rsidRPr="00F34FE4">
        <w:rPr>
          <w:b/>
          <w:i/>
        </w:rPr>
        <w:t>Responsabilização</w:t>
      </w:r>
    </w:p>
    <w:p w14:paraId="14332C77" w14:textId="7622E428" w:rsidR="003C2A04" w:rsidRPr="00F34FE4" w:rsidRDefault="004975E7" w:rsidP="007D1089">
      <w:pPr>
        <w:pStyle w:val="NormalHanging12a"/>
      </w:pPr>
      <w:r>
        <w:t>37</w:t>
      </w:r>
      <w:r w:rsidR="003C2A04" w:rsidRPr="00F34FE4">
        <w:t>.</w:t>
      </w:r>
      <w:r w:rsidR="003C2A04" w:rsidRPr="00F34FE4">
        <w:tab/>
        <w:t>Congratula</w:t>
      </w:r>
      <w:r w:rsidR="003C2A04" w:rsidRPr="00F34FE4">
        <w:noBreakHyphen/>
        <w:t xml:space="preserve">se com a formalização, por escrito, das atuais práticas de prestação de contas entre o BCE e o Parlamento; reconhece a abertura e a disponibilidade do BCE </w:t>
      </w:r>
      <w:r w:rsidR="003C2A04" w:rsidRPr="00F34FE4">
        <w:lastRenderedPageBreak/>
        <w:t>relativamente ao Parlamento; convida o BCE e o Parlamento a fazerem pleno uso dos mecanismos de prestação de contas e transparência e, sempre que possível, a reforçarem ainda mais esses mecanismos, sem prejuízo da independência do BCE;</w:t>
      </w:r>
    </w:p>
    <w:p w14:paraId="0A3D9139" w14:textId="3397B776" w:rsidR="003C2A04" w:rsidRPr="00F34FE4" w:rsidRDefault="004975E7" w:rsidP="007D1089">
      <w:pPr>
        <w:pStyle w:val="NormalHanging12a"/>
      </w:pPr>
      <w:r>
        <w:t>38</w:t>
      </w:r>
      <w:r w:rsidR="003C2A04" w:rsidRPr="00F34FE4">
        <w:t>.</w:t>
      </w:r>
      <w:r w:rsidR="003C2A04" w:rsidRPr="00F34FE4">
        <w:tab/>
        <w:t xml:space="preserve">Insta o BCE a criar um gabinete de avaliação interna para efeitos de avaliação </w:t>
      </w:r>
      <w:r w:rsidR="003C2A04" w:rsidRPr="00F34FE4">
        <w:rPr>
          <w:i/>
        </w:rPr>
        <w:t>ex post</w:t>
      </w:r>
      <w:r w:rsidR="003C2A04" w:rsidRPr="00F34FE4">
        <w:t xml:space="preserve"> das suas decisões estratégicas, sem infringir a independência do BCE;</w:t>
      </w:r>
    </w:p>
    <w:p w14:paraId="76F8EFD3" w14:textId="5E65F71E" w:rsidR="003C2A04" w:rsidRPr="00F34FE4" w:rsidRDefault="004975E7" w:rsidP="007D1089">
      <w:pPr>
        <w:pStyle w:val="NormalHanging12a"/>
      </w:pPr>
      <w:r>
        <w:t>39</w:t>
      </w:r>
      <w:r w:rsidR="003C2A04" w:rsidRPr="00F34FE4">
        <w:t>.</w:t>
      </w:r>
      <w:r w:rsidR="003C2A04" w:rsidRPr="00F34FE4">
        <w:tab/>
        <w:t>Acolhe com agrado a resposta substancial e pormenorizada do BCE à resolução do Parlamento sobre o relatório anual de 2021 do BCE; insta o BCE a manter este esforço de prestação de contas e de transparência e a continuar a publicar todos os anos as suas respostas escritas às resoluções do Parlamento sobre os relatórios anuais do BCE;</w:t>
      </w:r>
    </w:p>
    <w:p w14:paraId="471573BA" w14:textId="08C61E28" w:rsidR="003C2A04" w:rsidRPr="00F34FE4" w:rsidRDefault="004975E7" w:rsidP="007D1089">
      <w:pPr>
        <w:pStyle w:val="NormalHanging12a"/>
      </w:pPr>
      <w:r>
        <w:t>40</w:t>
      </w:r>
      <w:r w:rsidR="003C2A04" w:rsidRPr="00F34FE4">
        <w:t>.</w:t>
      </w:r>
      <w:r w:rsidR="003C2A04" w:rsidRPr="00F34FE4">
        <w:tab/>
        <w:t>Observa que apenas dois membros da Comissão Executiva e do Conselho do BCE são mulheres; insta os Estados</w:t>
      </w:r>
      <w:r w:rsidR="003C2A04" w:rsidRPr="00F34FE4">
        <w:noBreakHyphen/>
        <w:t>Membros da área do euro a darem o seu contributo e a integrarem o princípio da igualdade de género nos seus processos de nomeação, com vista a garantirem a igualdade de oportunidades para todos os géneros nas escolhas para o cargo de governador dos bancos centrais nacionais;</w:t>
      </w:r>
    </w:p>
    <w:p w14:paraId="1D058D00" w14:textId="337F995B" w:rsidR="003C2A04" w:rsidRPr="00F34FE4" w:rsidRDefault="004975E7" w:rsidP="007D1089">
      <w:pPr>
        <w:pStyle w:val="NormalHanging12a"/>
      </w:pPr>
      <w:r>
        <w:t>41</w:t>
      </w:r>
      <w:r w:rsidR="003C2A04" w:rsidRPr="00F34FE4">
        <w:t>.</w:t>
      </w:r>
      <w:r w:rsidR="003C2A04" w:rsidRPr="00F34FE4">
        <w:tab/>
        <w:t>Constata que, segundo as mais recentes estatísticas sobre o desequilíbrio de género em toda a estrutura organizacional do BCE, aumentou a percentagem de mulheres que ocupam cargos de direção no BCE; solicita ao BCE que continue a reforçar a igualdade de oportunidades para todos os géneros na sua organização;</w:t>
      </w:r>
    </w:p>
    <w:p w14:paraId="78FEF816" w14:textId="412B1412" w:rsidR="003C2A04" w:rsidRPr="00F34FE4" w:rsidRDefault="004975E7" w:rsidP="007D1089">
      <w:pPr>
        <w:pStyle w:val="NormalHanging12a"/>
      </w:pPr>
      <w:r>
        <w:t>42</w:t>
      </w:r>
      <w:r w:rsidR="003C2A04" w:rsidRPr="00F34FE4">
        <w:t>.</w:t>
      </w:r>
      <w:r w:rsidR="003C2A04" w:rsidRPr="00F34FE4">
        <w:tab/>
        <w:t>Congratula</w:t>
      </w:r>
      <w:r w:rsidR="003C2A04" w:rsidRPr="00F34FE4">
        <w:noBreakHyphen/>
        <w:t xml:space="preserve">se com a nova política de comunicação do BCE, que inclui formas mais acessíveis de explicar e apresentar as decisões estratégicas do BCE aos cidadãos e às partes interessadas, e convida o BCE a reforçar a sua comunicação sobre os objetivos estratégicos do banco central e as respetivas respostas em situações de crise; </w:t>
      </w:r>
    </w:p>
    <w:p w14:paraId="688061F2" w14:textId="2CADD27A" w:rsidR="003C2A04" w:rsidRPr="00F34FE4" w:rsidRDefault="004975E7" w:rsidP="007D1089">
      <w:pPr>
        <w:pStyle w:val="NormalHanging12a"/>
      </w:pPr>
      <w:r>
        <w:t>43</w:t>
      </w:r>
      <w:r w:rsidR="003C2A04" w:rsidRPr="00F34FE4">
        <w:t>.</w:t>
      </w:r>
      <w:r w:rsidR="003C2A04" w:rsidRPr="00F34FE4">
        <w:tab/>
        <w:t>Regista a recente nomeação do novo presidente do Conselho de Supervisão e lembra ao BCE que deve ter em maior consideração e respeitar as prerrogativas do Parlamento Europeu em futuros procedimentos de nomeação, designadamente no que concerne ao Mecanismo Único de Supervisão;</w:t>
      </w:r>
    </w:p>
    <w:p w14:paraId="203A67CB" w14:textId="2370674B" w:rsidR="003C2A04" w:rsidRPr="00F34FE4" w:rsidRDefault="004975E7" w:rsidP="007D1089">
      <w:pPr>
        <w:pStyle w:val="NormalHanging12a"/>
      </w:pPr>
      <w:r>
        <w:t>44</w:t>
      </w:r>
      <w:r w:rsidR="003C2A04" w:rsidRPr="00F34FE4">
        <w:t>.</w:t>
      </w:r>
      <w:r w:rsidR="003C2A04" w:rsidRPr="00F34FE4">
        <w:tab/>
        <w:t>Sublinha a importância do Código Deontológico do BCE e do Código de Conduta, uma vez que salvaguardam a integridade do BCE e constituem a base da confiança do público e, em última análise, da credibilidade do BCE; observa que estes dão orientações ao pessoal e aos altos responsáveis do BCE sobre a forma de lidar com lobistas; convida o BCE a reexaminá</w:t>
      </w:r>
      <w:r w:rsidR="003C2A04" w:rsidRPr="00F34FE4">
        <w:noBreakHyphen/>
        <w:t>los regularmente a este respeito;</w:t>
      </w:r>
    </w:p>
    <w:p w14:paraId="7BAC9947" w14:textId="2A375AF9" w:rsidR="003C2A04" w:rsidRPr="00F34FE4" w:rsidRDefault="004975E7" w:rsidP="007D1089">
      <w:pPr>
        <w:pStyle w:val="NormalHanging12a"/>
      </w:pPr>
      <w:r>
        <w:t>45</w:t>
      </w:r>
      <w:r w:rsidR="003C2A04" w:rsidRPr="00F34FE4">
        <w:t>.</w:t>
      </w:r>
      <w:r w:rsidR="003C2A04" w:rsidRPr="00F34FE4">
        <w:tab/>
        <w:t xml:space="preserve">Insta o BCE a encetar um diálogo com os parlamentos nacionais, respeitando rigorosamente a sua independência política; considera que tal reforçaria a legitimidade e as políticas do BCE; </w:t>
      </w:r>
    </w:p>
    <w:p w14:paraId="27814463" w14:textId="28A9DB2D" w:rsidR="003C2A04" w:rsidRPr="00F34FE4" w:rsidRDefault="004975E7" w:rsidP="007D1089">
      <w:pPr>
        <w:pStyle w:val="NormalHanging12a"/>
      </w:pPr>
      <w:r>
        <w:t>46</w:t>
      </w:r>
      <w:r w:rsidR="003C2A04" w:rsidRPr="00F34FE4">
        <w:t>.</w:t>
      </w:r>
      <w:r w:rsidR="003C2A04" w:rsidRPr="00F34FE4">
        <w:tab/>
        <w:t>Solicita ao BCE que alinhe o seu quadro interno em matéria de denúncia de irregularidades pela Diretiva Denúncia de Irregularidades;</w:t>
      </w:r>
    </w:p>
    <w:p w14:paraId="25294CBA" w14:textId="77777777" w:rsidR="003C2A04" w:rsidRPr="00F34FE4" w:rsidRDefault="003C2A04" w:rsidP="003C2A04">
      <w:pPr>
        <w:pStyle w:val="NormalHanging12a"/>
        <w:jc w:val="center"/>
      </w:pPr>
      <w:r w:rsidRPr="00F34FE4">
        <w:t>°</w:t>
      </w:r>
    </w:p>
    <w:p w14:paraId="3C714F57" w14:textId="77777777" w:rsidR="003C2A04" w:rsidRPr="00F34FE4" w:rsidRDefault="003C2A04" w:rsidP="003C2A04">
      <w:pPr>
        <w:pStyle w:val="NormalHanging12a"/>
        <w:jc w:val="center"/>
      </w:pPr>
      <w:r w:rsidRPr="00F34FE4">
        <w:t>°</w:t>
      </w:r>
      <w:r w:rsidRPr="00F34FE4">
        <w:tab/>
        <w:t>°</w:t>
      </w:r>
    </w:p>
    <w:p w14:paraId="58EEA02C" w14:textId="174A0339" w:rsidR="00E365E1" w:rsidRPr="00F34FE4" w:rsidRDefault="004975E7" w:rsidP="004975E7">
      <w:pPr>
        <w:pStyle w:val="NormalHanging12a"/>
      </w:pPr>
      <w:r>
        <w:t>47</w:t>
      </w:r>
      <w:r w:rsidR="003C2A04" w:rsidRPr="00F34FE4">
        <w:t>.</w:t>
      </w:r>
      <w:r w:rsidR="003C2A04" w:rsidRPr="00F34FE4">
        <w:tab/>
        <w:t>Encarrega a sua Presidente de transmitir a presente resolução ao Conselho, à Comissão e ao Banco Central Europeu.</w:t>
      </w:r>
      <w:bookmarkStart w:id="9" w:name="TextBodyEnd"/>
      <w:bookmarkEnd w:id="9"/>
    </w:p>
    <w:sectPr w:rsidR="00E365E1" w:rsidRPr="00F34FE4" w:rsidSect="001A2AF5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483FDC" w14:textId="77777777" w:rsidR="00735236" w:rsidRPr="001A2AF5" w:rsidRDefault="00735236">
      <w:r w:rsidRPr="001A2AF5">
        <w:separator/>
      </w:r>
    </w:p>
  </w:endnote>
  <w:endnote w:type="continuationSeparator" w:id="0">
    <w:p w14:paraId="19E9DE5D" w14:textId="77777777" w:rsidR="00735236" w:rsidRPr="001A2AF5" w:rsidRDefault="00735236">
      <w:r w:rsidRPr="001A2AF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9C6F02" w14:textId="77777777" w:rsidR="00735236" w:rsidRPr="001A2AF5" w:rsidRDefault="00735236">
      <w:r w:rsidRPr="001A2AF5">
        <w:separator/>
      </w:r>
    </w:p>
  </w:footnote>
  <w:footnote w:type="continuationSeparator" w:id="0">
    <w:p w14:paraId="35AC1ACF" w14:textId="77777777" w:rsidR="00735236" w:rsidRPr="001A2AF5" w:rsidRDefault="00735236">
      <w:r w:rsidRPr="001A2AF5">
        <w:continuationSeparator/>
      </w:r>
    </w:p>
  </w:footnote>
  <w:footnote w:id="1">
    <w:p w14:paraId="1EF5D2E2" w14:textId="77777777" w:rsidR="003C2A04" w:rsidRPr="001A2AF5" w:rsidRDefault="003C2A04" w:rsidP="001A2AF5">
      <w:pPr>
        <w:pStyle w:val="FootnoteText"/>
        <w:ind w:left="567" w:hanging="567"/>
        <w:rPr>
          <w:sz w:val="24"/>
          <w:lang w:val="pt-PT"/>
        </w:rPr>
      </w:pPr>
      <w:r w:rsidRPr="001A2AF5">
        <w:rPr>
          <w:rStyle w:val="FootnoteReference"/>
          <w:sz w:val="24"/>
          <w:lang w:val="pt-PT"/>
        </w:rPr>
        <w:footnoteRef/>
      </w:r>
      <w:r w:rsidR="001A2AF5" w:rsidRPr="001A2AF5">
        <w:rPr>
          <w:sz w:val="24"/>
          <w:lang w:val="pt-PT"/>
        </w:rPr>
        <w:t xml:space="preserve"> </w:t>
      </w:r>
      <w:r w:rsidR="001A2AF5" w:rsidRPr="001A2AF5">
        <w:rPr>
          <w:sz w:val="24"/>
          <w:lang w:val="pt-PT"/>
        </w:rPr>
        <w:tab/>
      </w:r>
      <w:r w:rsidRPr="001A2AF5">
        <w:rPr>
          <w:sz w:val="24"/>
          <w:lang w:val="pt-PT"/>
        </w:rPr>
        <w:t xml:space="preserve">Textos Aprovados, </w:t>
      </w:r>
      <w:r w:rsidR="007D1089" w:rsidRPr="00EA01C0">
        <w:rPr>
          <w:lang w:val="pt-PT"/>
        </w:rPr>
        <w:t>P9_TA(2023)0214</w:t>
      </w:r>
      <w:r w:rsidRPr="001A2AF5">
        <w:rPr>
          <w:sz w:val="24"/>
          <w:lang w:val="pt-PT"/>
        </w:rPr>
        <w:t>.</w:t>
      </w:r>
    </w:p>
  </w:footnote>
  <w:footnote w:id="2">
    <w:p w14:paraId="57A7EE3C" w14:textId="77777777" w:rsidR="003C2A04" w:rsidRPr="001A2AF5" w:rsidRDefault="003C2A04" w:rsidP="001A2AF5">
      <w:pPr>
        <w:pStyle w:val="FootnoteText"/>
        <w:ind w:left="567" w:hanging="567"/>
        <w:rPr>
          <w:sz w:val="24"/>
          <w:lang w:val="pt-PT"/>
        </w:rPr>
      </w:pPr>
      <w:r w:rsidRPr="001A2AF5">
        <w:rPr>
          <w:rStyle w:val="FootnoteReference"/>
          <w:sz w:val="24"/>
          <w:lang w:val="pt-PT"/>
        </w:rPr>
        <w:footnoteRef/>
      </w:r>
      <w:r w:rsidR="001A2AF5" w:rsidRPr="001A2AF5">
        <w:rPr>
          <w:sz w:val="24"/>
          <w:lang w:val="pt-PT"/>
        </w:rPr>
        <w:t xml:space="preserve"> </w:t>
      </w:r>
      <w:r w:rsidR="001A2AF5" w:rsidRPr="001A2AF5">
        <w:rPr>
          <w:sz w:val="24"/>
          <w:lang w:val="pt-PT"/>
        </w:rPr>
        <w:tab/>
      </w:r>
      <w:r w:rsidR="00483F1A" w:rsidRPr="00EA01C0">
        <w:rPr>
          <w:lang w:val="pt-PT"/>
        </w:rPr>
        <w:t>JO C 479 de 16.12.2022, p. 75</w:t>
      </w:r>
      <w:r w:rsidRPr="001A2AF5">
        <w:rPr>
          <w:sz w:val="24"/>
          <w:lang w:val="pt-PT"/>
        </w:rPr>
        <w:t>.</w:t>
      </w:r>
    </w:p>
  </w:footnote>
  <w:footnote w:id="3">
    <w:p w14:paraId="606B4E3C" w14:textId="77777777" w:rsidR="003C2A04" w:rsidRPr="001A2AF5" w:rsidRDefault="003C2A04" w:rsidP="001A2AF5">
      <w:pPr>
        <w:pStyle w:val="FootnoteText"/>
        <w:ind w:left="567" w:hanging="567"/>
        <w:rPr>
          <w:sz w:val="24"/>
          <w:lang w:val="pt-PT"/>
        </w:rPr>
      </w:pPr>
      <w:r w:rsidRPr="001A2AF5">
        <w:rPr>
          <w:rStyle w:val="FootnoteReference"/>
          <w:sz w:val="24"/>
          <w:lang w:val="pt-PT"/>
        </w:rPr>
        <w:footnoteRef/>
      </w:r>
      <w:r w:rsidR="001A2AF5" w:rsidRPr="001A2AF5">
        <w:rPr>
          <w:sz w:val="24"/>
          <w:lang w:val="pt-PT"/>
        </w:rPr>
        <w:t xml:space="preserve"> </w:t>
      </w:r>
      <w:r w:rsidR="001A2AF5" w:rsidRPr="001A2AF5">
        <w:rPr>
          <w:sz w:val="24"/>
          <w:lang w:val="pt-PT"/>
        </w:rPr>
        <w:tab/>
      </w:r>
      <w:r w:rsidRPr="001A2AF5">
        <w:rPr>
          <w:sz w:val="24"/>
          <w:lang w:val="pt-PT"/>
        </w:rPr>
        <w:t>Comissão Europeia (2021), «A economia da UE após o surto de COVID</w:t>
      </w:r>
      <w:r w:rsidRPr="001A2AF5">
        <w:rPr>
          <w:sz w:val="24"/>
          <w:lang w:val="pt-PT"/>
        </w:rPr>
        <w:noBreakHyphen/>
        <w:t>19: quais as implicações para a governação económica?»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12/2023"/>
    <w:docVar w:name="dvlangue" w:val="PT"/>
    <w:docVar w:name="dvnumam" w:val="0"/>
    <w:docVar w:name="dvpe" w:val="752.845"/>
    <w:docVar w:name="dvrapporteur" w:val="Relator: "/>
    <w:docVar w:name="dvtitre" w:val="Resolução do Parlamento Europeu, de ... de ... de 2024,_x000d__x000a_ sobre o Banco Central Europeu – relatório anual de 2023(2023/2064(INI))"/>
  </w:docVars>
  <w:rsids>
    <w:rsidRoot w:val="0073523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2AF5"/>
    <w:rsid w:val="001F32AE"/>
    <w:rsid w:val="002767FF"/>
    <w:rsid w:val="002B18FE"/>
    <w:rsid w:val="002B5493"/>
    <w:rsid w:val="00343214"/>
    <w:rsid w:val="00361C00"/>
    <w:rsid w:val="00395FA1"/>
    <w:rsid w:val="003C2A04"/>
    <w:rsid w:val="003E15D4"/>
    <w:rsid w:val="00411CCE"/>
    <w:rsid w:val="0041666E"/>
    <w:rsid w:val="00421060"/>
    <w:rsid w:val="00471C19"/>
    <w:rsid w:val="00483F1A"/>
    <w:rsid w:val="004867E3"/>
    <w:rsid w:val="00494A28"/>
    <w:rsid w:val="004975E7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35236"/>
    <w:rsid w:val="00747932"/>
    <w:rsid w:val="00751A4A"/>
    <w:rsid w:val="00756632"/>
    <w:rsid w:val="00762C74"/>
    <w:rsid w:val="00786EC0"/>
    <w:rsid w:val="007D1089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0FD2"/>
    <w:rsid w:val="00D56C11"/>
    <w:rsid w:val="00D834A0"/>
    <w:rsid w:val="00D872DF"/>
    <w:rsid w:val="00D91E21"/>
    <w:rsid w:val="00DA7FCD"/>
    <w:rsid w:val="00E365E1"/>
    <w:rsid w:val="00E37D1D"/>
    <w:rsid w:val="00E820A4"/>
    <w:rsid w:val="00EA01C0"/>
    <w:rsid w:val="00EB006A"/>
    <w:rsid w:val="00EB4772"/>
    <w:rsid w:val="00ED169E"/>
    <w:rsid w:val="00ED4235"/>
    <w:rsid w:val="00F04346"/>
    <w:rsid w:val="00F075DC"/>
    <w:rsid w:val="00F149E9"/>
    <w:rsid w:val="00F34FE4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7E3B68"/>
  <w15:chartTrackingRefBased/>
  <w15:docId w15:val="{AE3BBE9C-EF2B-433D-91E3-2BDA1493F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C2A04"/>
    <w:pPr>
      <w:spacing w:before="480" w:after="240"/>
    </w:pPr>
  </w:style>
  <w:style w:type="paragraph" w:customStyle="1" w:styleId="NormalHanging12a">
    <w:name w:val="NormalHanging12a"/>
    <w:basedOn w:val="Normal"/>
    <w:rsid w:val="003C2A04"/>
    <w:pPr>
      <w:spacing w:after="240"/>
      <w:ind w:left="567" w:hanging="567"/>
    </w:pPr>
  </w:style>
  <w:style w:type="character" w:styleId="Hyperlink">
    <w:name w:val="Hyperlink"/>
    <w:basedOn w:val="DefaultParagraphFont"/>
    <w:rsid w:val="003C2A04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7D108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D1089"/>
    <w:rPr>
      <w:rFonts w:ascii="Segoe UI" w:hAnsi="Segoe UI" w:cs="Segoe UI"/>
      <w:sz w:val="18"/>
      <w:szCs w:val="18"/>
      <w:lang w:val="pt-PT"/>
    </w:rPr>
  </w:style>
  <w:style w:type="character" w:styleId="CommentReference">
    <w:name w:val="annotation reference"/>
    <w:basedOn w:val="DefaultParagraphFont"/>
    <w:rsid w:val="00EA01C0"/>
    <w:rPr>
      <w:sz w:val="16"/>
      <w:szCs w:val="16"/>
    </w:rPr>
  </w:style>
  <w:style w:type="paragraph" w:styleId="CommentText">
    <w:name w:val="annotation text"/>
    <w:basedOn w:val="Normal"/>
    <w:link w:val="CommentTextChar"/>
    <w:rsid w:val="00EA01C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A01C0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EA01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A01C0"/>
    <w:rPr>
      <w:b/>
      <w:bCs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6BE9C2-B9BB-4E84-8DCC-2D5379759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4192</Words>
  <Characters>23393</Characters>
  <Application>Microsoft Office Word</Application>
  <DocSecurity>0</DocSecurity>
  <Lines>974</Lines>
  <Paragraphs>336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Teresa_Plenary</dc:creator>
  <cp:keywords/>
  <cp:lastModifiedBy>SEMEDO Teresa</cp:lastModifiedBy>
  <cp:revision>2</cp:revision>
  <cp:lastPrinted>2004-11-19T15:42:00Z</cp:lastPrinted>
  <dcterms:created xsi:type="dcterms:W3CDTF">2024-02-27T14:34:00Z</dcterms:created>
  <dcterms:modified xsi:type="dcterms:W3CDTF">2024-02-27T14:34:00Z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A9-0412/2023</vt:lpwstr>
  </property>
  <property fmtid="{D5CDD505-2E9C-101B-9397-08002B2CF9AE}" pid="4" name="&lt;Type&gt;">
    <vt:lpwstr>RR</vt:lpwstr>
  </property>
</Properties>
</file>