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536B9F" w14:paraId="2C2821AC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363E0404" w14:textId="77777777" w:rsidR="00751A4A" w:rsidRPr="00536B9F" w:rsidRDefault="00C64470" w:rsidP="0010095E">
            <w:pPr>
              <w:pStyle w:val="EPName"/>
            </w:pPr>
            <w:bookmarkStart w:id="0" w:name="_GoBack"/>
            <w:bookmarkEnd w:id="0"/>
            <w:r w:rsidRPr="00536B9F">
              <w:t>Európsky parlament</w:t>
            </w:r>
          </w:p>
          <w:p w14:paraId="042CECD7" w14:textId="77777777" w:rsidR="00751A4A" w:rsidRPr="00536B9F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536B9F">
              <w:t>2019-2024</w:t>
            </w:r>
          </w:p>
        </w:tc>
        <w:tc>
          <w:tcPr>
            <w:tcW w:w="2268" w:type="dxa"/>
            <w:shd w:val="clear" w:color="auto" w:fill="auto"/>
          </w:tcPr>
          <w:p w14:paraId="4A86B059" w14:textId="77777777" w:rsidR="00751A4A" w:rsidRPr="00536B9F" w:rsidRDefault="00187494" w:rsidP="0010095E">
            <w:pPr>
              <w:pStyle w:val="EPLogo"/>
            </w:pPr>
            <w:r w:rsidRPr="00536B9F">
              <w:rPr>
                <w:noProof/>
                <w:lang w:val="en-GB"/>
              </w:rPr>
              <w:drawing>
                <wp:inline distT="0" distB="0" distL="0" distR="0" wp14:anchorId="0EA996B3" wp14:editId="1B071CDB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AA08713" w14:textId="77777777" w:rsidR="00D058B8" w:rsidRPr="00536B9F" w:rsidRDefault="00D058B8" w:rsidP="004C5D52">
      <w:pPr>
        <w:pStyle w:val="LineTop"/>
      </w:pPr>
    </w:p>
    <w:p w14:paraId="1B6A913D" w14:textId="77777777" w:rsidR="00680577" w:rsidRPr="00536B9F" w:rsidRDefault="00C64470" w:rsidP="00680577">
      <w:pPr>
        <w:pStyle w:val="EPBodyTA1"/>
      </w:pPr>
      <w:r w:rsidRPr="00536B9F">
        <w:t>PRIJATÉ TEXTY</w:t>
      </w:r>
    </w:p>
    <w:p w14:paraId="62528083" w14:textId="77777777" w:rsidR="00D058B8" w:rsidRPr="00536B9F" w:rsidRDefault="00D058B8" w:rsidP="00D058B8">
      <w:pPr>
        <w:pStyle w:val="LineBottom"/>
      </w:pPr>
    </w:p>
    <w:p w14:paraId="12191A01" w14:textId="72EE2443" w:rsidR="00C64470" w:rsidRPr="00536B9F" w:rsidRDefault="00C64470" w:rsidP="00C64470">
      <w:pPr>
        <w:pStyle w:val="ATHeading1"/>
      </w:pPr>
      <w:bookmarkStart w:id="1" w:name="TANumber"/>
      <w:r w:rsidRPr="00536B9F">
        <w:t>P9_TA(2024)00</w:t>
      </w:r>
      <w:r w:rsidR="0026139D" w:rsidRPr="00536B9F">
        <w:t>94</w:t>
      </w:r>
      <w:bookmarkEnd w:id="1"/>
    </w:p>
    <w:p w14:paraId="680747DE" w14:textId="1746185E" w:rsidR="00C64470" w:rsidRPr="00536B9F" w:rsidRDefault="00866968" w:rsidP="00C64470">
      <w:pPr>
        <w:pStyle w:val="ATHeading2"/>
      </w:pPr>
      <w:r w:rsidRPr="00536B9F">
        <w:t>Európska centrálna banka – výročná správa za rok 2023</w:t>
      </w:r>
    </w:p>
    <w:p w14:paraId="7A5CEFA1" w14:textId="77777777" w:rsidR="00C64470" w:rsidRPr="00536B9F" w:rsidRDefault="00C64470" w:rsidP="00C64470">
      <w:pPr>
        <w:rPr>
          <w:i/>
          <w:vanish/>
        </w:rPr>
      </w:pPr>
      <w:r w:rsidRPr="00536B9F">
        <w:rPr>
          <w:i/>
        </w:rPr>
        <w:fldChar w:fldCharType="begin"/>
      </w:r>
      <w:r w:rsidRPr="00536B9F">
        <w:rPr>
          <w:i/>
        </w:rPr>
        <w:instrText xml:space="preserve"> TC"(</w:instrText>
      </w:r>
      <w:bookmarkStart w:id="2" w:name="DocNumber"/>
      <w:r w:rsidRPr="00536B9F">
        <w:rPr>
          <w:i/>
        </w:rPr>
        <w:instrText>A9-0412/2023</w:instrText>
      </w:r>
      <w:bookmarkEnd w:id="2"/>
      <w:r w:rsidRPr="00536B9F">
        <w:rPr>
          <w:i/>
        </w:rPr>
        <w:instrText xml:space="preserve"> - Spravodajca: Johan Van Overtveldt)"\l3 \n&gt; \* MERGEFORMAT </w:instrText>
      </w:r>
      <w:r w:rsidRPr="00536B9F">
        <w:rPr>
          <w:i/>
        </w:rPr>
        <w:fldChar w:fldCharType="end"/>
      </w:r>
    </w:p>
    <w:p w14:paraId="5A61E77A" w14:textId="77777777" w:rsidR="00C64470" w:rsidRPr="00536B9F" w:rsidRDefault="00C64470" w:rsidP="00C64470">
      <w:pPr>
        <w:rPr>
          <w:vanish/>
        </w:rPr>
      </w:pPr>
      <w:bookmarkStart w:id="3" w:name="Commission"/>
      <w:r w:rsidRPr="00536B9F">
        <w:rPr>
          <w:vanish/>
        </w:rPr>
        <w:t>Výbor pre hospodárske a menové veci</w:t>
      </w:r>
      <w:bookmarkEnd w:id="3"/>
    </w:p>
    <w:p w14:paraId="78FA140D" w14:textId="77777777" w:rsidR="00C64470" w:rsidRPr="00536B9F" w:rsidRDefault="00C64470" w:rsidP="00C64470">
      <w:pPr>
        <w:rPr>
          <w:vanish/>
        </w:rPr>
      </w:pPr>
      <w:bookmarkStart w:id="4" w:name="PE"/>
      <w:r w:rsidRPr="00536B9F">
        <w:rPr>
          <w:vanish/>
        </w:rPr>
        <w:t>PE752.845</w:t>
      </w:r>
      <w:bookmarkEnd w:id="4"/>
    </w:p>
    <w:p w14:paraId="2CE023AB" w14:textId="4C93F944" w:rsidR="00C64470" w:rsidRPr="00536B9F" w:rsidRDefault="00C64470" w:rsidP="00C64470">
      <w:pPr>
        <w:pStyle w:val="ATHeading3"/>
      </w:pPr>
      <w:bookmarkStart w:id="5" w:name="Sujet"/>
      <w:r w:rsidRPr="00536B9F">
        <w:t>Uzne</w:t>
      </w:r>
      <w:r w:rsidR="00BF77A5" w:rsidRPr="00536B9F">
        <w:t>senie Európskeho parlamentu z 27</w:t>
      </w:r>
      <w:r w:rsidRPr="00536B9F">
        <w:t>. februára 2024 o výročnej správe Európskej centrálnej banky za rok 2023</w:t>
      </w:r>
      <w:bookmarkEnd w:id="5"/>
      <w:r w:rsidRPr="00536B9F">
        <w:t xml:space="preserve"> </w:t>
      </w:r>
      <w:bookmarkStart w:id="6" w:name="References"/>
      <w:r w:rsidRPr="00536B9F">
        <w:t>(2023/2064(INI))</w:t>
      </w:r>
      <w:bookmarkEnd w:id="6"/>
    </w:p>
    <w:p w14:paraId="2DC53528" w14:textId="77777777" w:rsidR="005711F5" w:rsidRPr="00536B9F" w:rsidRDefault="005711F5" w:rsidP="005711F5">
      <w:pPr>
        <w:pStyle w:val="EPComma"/>
      </w:pPr>
      <w:bookmarkStart w:id="7" w:name="TextBodyBegin"/>
      <w:bookmarkEnd w:id="7"/>
      <w:r w:rsidRPr="00536B9F">
        <w:rPr>
          <w:i/>
        </w:rPr>
        <w:t>Európsky parlament</w:t>
      </w:r>
      <w:r w:rsidRPr="00536B9F">
        <w:t>,</w:t>
      </w:r>
    </w:p>
    <w:p w14:paraId="019517CD" w14:textId="77777777" w:rsidR="005711F5" w:rsidRPr="00536B9F" w:rsidRDefault="005711F5" w:rsidP="00EE338E">
      <w:pPr>
        <w:pStyle w:val="NormalHanging12a"/>
      </w:pPr>
      <w:r w:rsidRPr="00536B9F">
        <w:t>–</w:t>
      </w:r>
      <w:r w:rsidRPr="00536B9F">
        <w:tab/>
        <w:t>so zreteľom na výročnú správu Európskej centrálnej banky (ďalej len „ECB“) za rok 2022,</w:t>
      </w:r>
    </w:p>
    <w:p w14:paraId="4FBEC5E6" w14:textId="2DFF8378" w:rsidR="005711F5" w:rsidRPr="00536B9F" w:rsidRDefault="005711F5" w:rsidP="00EE338E">
      <w:pPr>
        <w:pStyle w:val="NormalHanging12a"/>
      </w:pPr>
      <w:r w:rsidRPr="00536B9F">
        <w:t>–</w:t>
      </w:r>
      <w:r w:rsidRPr="00536B9F">
        <w:tab/>
        <w:t xml:space="preserve">so zreteľom na spätnú väzbu ECB z 25. mája 2023 v súvislosti s príspevkom, ktorý poskytol </w:t>
      </w:r>
      <w:r w:rsidR="008E7F7C" w:rsidRPr="00536B9F">
        <w:t>Európsky p</w:t>
      </w:r>
      <w:r w:rsidRPr="00536B9F">
        <w:t>arlament ako súčasť svojho uznesenia o výročnej správe ECB za rok 2021,</w:t>
      </w:r>
    </w:p>
    <w:p w14:paraId="64BAEBC2" w14:textId="11A9C968" w:rsidR="005711F5" w:rsidRPr="00536B9F" w:rsidRDefault="005711F5" w:rsidP="00EE338E">
      <w:pPr>
        <w:pStyle w:val="NormalHanging12a"/>
      </w:pPr>
      <w:r w:rsidRPr="00536B9F">
        <w:t>–</w:t>
      </w:r>
      <w:r w:rsidRPr="00536B9F">
        <w:tab/>
        <w:t>so zreteľom na Štatút Európskeho systému centrálnych bánk (</w:t>
      </w:r>
      <w:r w:rsidR="00452AD6" w:rsidRPr="00536B9F">
        <w:t>ďalej len „</w:t>
      </w:r>
      <w:r w:rsidRPr="00536B9F">
        <w:t>ESCB</w:t>
      </w:r>
      <w:r w:rsidR="00452AD6" w:rsidRPr="00536B9F">
        <w:t>“</w:t>
      </w:r>
      <w:r w:rsidRPr="00536B9F">
        <w:t xml:space="preserve">) a ECB, najmä na jeho články 15 a 21, </w:t>
      </w:r>
    </w:p>
    <w:p w14:paraId="71F369A9" w14:textId="3CDB6B71" w:rsidR="005711F5" w:rsidRPr="00536B9F" w:rsidRDefault="005711F5" w:rsidP="00EE338E">
      <w:pPr>
        <w:pStyle w:val="NormalHanging12a"/>
      </w:pPr>
      <w:r w:rsidRPr="00536B9F">
        <w:t>–</w:t>
      </w:r>
      <w:r w:rsidRPr="00536B9F">
        <w:tab/>
        <w:t>so zreteľom na článok 123, článok 127 ods. 1 a</w:t>
      </w:r>
      <w:r w:rsidR="00721D18" w:rsidRPr="00536B9F">
        <w:t> </w:t>
      </w:r>
      <w:r w:rsidRPr="00536B9F">
        <w:t>2</w:t>
      </w:r>
      <w:r w:rsidR="00721D18" w:rsidRPr="00536B9F">
        <w:t>,</w:t>
      </w:r>
      <w:r w:rsidRPr="00536B9F">
        <w:t xml:space="preserve"> člán</w:t>
      </w:r>
      <w:r w:rsidR="00721D18" w:rsidRPr="00536B9F">
        <w:t>o</w:t>
      </w:r>
      <w:r w:rsidRPr="00536B9F">
        <w:t>k 130 a</w:t>
      </w:r>
      <w:r w:rsidR="00721D18" w:rsidRPr="00536B9F">
        <w:t xml:space="preserve"> článok </w:t>
      </w:r>
      <w:r w:rsidRPr="00536B9F">
        <w:t>284 ods. 3 Zmluvy o fungovaní Európskej únie (ďalej len „ZFEÚ“),</w:t>
      </w:r>
    </w:p>
    <w:p w14:paraId="22295FB9" w14:textId="6FB6EE78" w:rsidR="005711F5" w:rsidRPr="00536B9F" w:rsidRDefault="005711F5" w:rsidP="00EE338E">
      <w:pPr>
        <w:pStyle w:val="NormalHanging12a"/>
      </w:pPr>
      <w:r w:rsidRPr="00536B9F">
        <w:t>–</w:t>
      </w:r>
      <w:r w:rsidRPr="00536B9F">
        <w:tab/>
        <w:t>so zreteľom na články 3 a 119 Zmluvy o Európskej únii (</w:t>
      </w:r>
      <w:r w:rsidR="00452AD6" w:rsidRPr="00536B9F">
        <w:t>ďalej len „</w:t>
      </w:r>
      <w:r w:rsidRPr="00536B9F">
        <w:t>Z</w:t>
      </w:r>
      <w:r w:rsidR="00452AD6" w:rsidRPr="00536B9F">
        <w:t>mluva o </w:t>
      </w:r>
      <w:r w:rsidRPr="00536B9F">
        <w:t>EÚ</w:t>
      </w:r>
      <w:r w:rsidR="00452AD6" w:rsidRPr="00536B9F">
        <w:t>“</w:t>
      </w:r>
      <w:r w:rsidRPr="00536B9F">
        <w:t>),</w:t>
      </w:r>
    </w:p>
    <w:p w14:paraId="284A0244" w14:textId="77777777" w:rsidR="005711F5" w:rsidRPr="00536B9F" w:rsidRDefault="005711F5" w:rsidP="00EE338E">
      <w:pPr>
        <w:pStyle w:val="NormalHanging12a"/>
      </w:pPr>
      <w:r w:rsidRPr="00536B9F">
        <w:t>–</w:t>
      </w:r>
      <w:r w:rsidRPr="00536B9F">
        <w:tab/>
        <w:t>so zreteľom na makroekonomické prognózy odborníkov Eurosystému z 15. júna 2023 pre eurozónu a rozhodnutia prijaté Radou guvernérov ECB,</w:t>
      </w:r>
    </w:p>
    <w:p w14:paraId="3A45BE2D" w14:textId="77777777" w:rsidR="005711F5" w:rsidRPr="00536B9F" w:rsidRDefault="005711F5" w:rsidP="00EE338E">
      <w:pPr>
        <w:pStyle w:val="NormalHanging12a"/>
      </w:pPr>
      <w:r w:rsidRPr="00536B9F">
        <w:t>–</w:t>
      </w:r>
      <w:r w:rsidRPr="00536B9F">
        <w:tab/>
        <w:t xml:space="preserve">so zreteľom na dialógy o menovej politike medzi Výborom pre hospodárske a menové veci a prezidentkou ECB Christine </w:t>
      </w:r>
      <w:proofErr w:type="spellStart"/>
      <w:r w:rsidRPr="00536B9F">
        <w:t>Lagardeovou</w:t>
      </w:r>
      <w:proofErr w:type="spellEnd"/>
      <w:r w:rsidRPr="00536B9F">
        <w:t xml:space="preserve"> z 20. marca 2023 a 5. júna 2023,</w:t>
      </w:r>
    </w:p>
    <w:p w14:paraId="209D852A" w14:textId="3E635641" w:rsidR="005711F5" w:rsidRPr="00536B9F" w:rsidRDefault="005711F5" w:rsidP="00EE338E">
      <w:pPr>
        <w:pStyle w:val="NormalHanging12a"/>
      </w:pPr>
      <w:r w:rsidRPr="00536B9F">
        <w:t>–</w:t>
      </w:r>
      <w:r w:rsidRPr="00536B9F">
        <w:tab/>
        <w:t>so zreteľom na návrh Komisie z 28. júna 2023 na nariadenie Európskeho parlamentu a Rady o zavedení digitálneho eura (COM(2023)</w:t>
      </w:r>
      <w:r w:rsidR="00452AD6" w:rsidRPr="00536B9F">
        <w:t>0</w:t>
      </w:r>
      <w:r w:rsidRPr="00536B9F">
        <w:t xml:space="preserve">369), </w:t>
      </w:r>
    </w:p>
    <w:p w14:paraId="560A544E" w14:textId="77777777" w:rsidR="005711F5" w:rsidRPr="00536B9F" w:rsidRDefault="005711F5" w:rsidP="00EE338E">
      <w:pPr>
        <w:pStyle w:val="NormalHanging12a"/>
      </w:pPr>
      <w:r w:rsidRPr="00536B9F">
        <w:t>–</w:t>
      </w:r>
      <w:r w:rsidRPr="00536B9F">
        <w:tab/>
        <w:t>so zreteľom na svoje rozhodnutie z 1. júna 2023 o dohode vo forme výmeny listov medzi Európskym parlamentom a Európskou centrálnou bankou (ECB) o štruktúrovaní postupov interakcie v oblasti centrálneho bankovníctva</w:t>
      </w:r>
      <w:r w:rsidRPr="00536B9F">
        <w:rPr>
          <w:rStyle w:val="FootnoteReference"/>
        </w:rPr>
        <w:footnoteReference w:id="1"/>
      </w:r>
      <w:r w:rsidRPr="00536B9F">
        <w:t>,</w:t>
      </w:r>
    </w:p>
    <w:p w14:paraId="65510914" w14:textId="77777777" w:rsidR="005711F5" w:rsidRPr="00536B9F" w:rsidRDefault="005711F5" w:rsidP="00EE338E">
      <w:pPr>
        <w:pStyle w:val="NormalHanging12a"/>
      </w:pPr>
      <w:r w:rsidRPr="00536B9F">
        <w:lastRenderedPageBreak/>
        <w:t>–</w:t>
      </w:r>
      <w:r w:rsidRPr="00536B9F">
        <w:tab/>
        <w:t>so zreteľom na svoje uznesenie z 19. mája 2022 o sociálnych a hospodárskych dôsledkoch ruskej vojny na Ukrajine pre EÚ – posilnenie schopnosti EÚ konať</w:t>
      </w:r>
      <w:r w:rsidRPr="00536B9F">
        <w:rPr>
          <w:rStyle w:val="FootnoteReference"/>
          <w:b/>
          <w:i/>
        </w:rPr>
        <w:footnoteReference w:id="2"/>
      </w:r>
      <w:r w:rsidRPr="00536B9F">
        <w:t>,</w:t>
      </w:r>
    </w:p>
    <w:p w14:paraId="70D62ED0" w14:textId="77777777" w:rsidR="005711F5" w:rsidRPr="00536B9F" w:rsidRDefault="005711F5" w:rsidP="00EE338E">
      <w:pPr>
        <w:pStyle w:val="NormalHanging12a"/>
      </w:pPr>
      <w:r w:rsidRPr="00536B9F">
        <w:t>–</w:t>
      </w:r>
      <w:r w:rsidRPr="00536B9F">
        <w:tab/>
        <w:t>so zreteľom na Parížsku dohodu prijatú na základe Rámcového dohovoru Organizácie Spojených národov o zmene klímy,</w:t>
      </w:r>
    </w:p>
    <w:p w14:paraId="63CEC6A4" w14:textId="77777777" w:rsidR="005711F5" w:rsidRPr="00536B9F" w:rsidRDefault="005711F5" w:rsidP="00EE338E">
      <w:pPr>
        <w:pStyle w:val="NormalHanging12a"/>
        <w:rPr>
          <w:b/>
          <w:bCs/>
        </w:rPr>
      </w:pPr>
      <w:r w:rsidRPr="00536B9F">
        <w:t>–</w:t>
      </w:r>
      <w:r w:rsidRPr="00536B9F">
        <w:tab/>
        <w:t>so zreteľom na Európsky pilier sociálnych práv,</w:t>
      </w:r>
    </w:p>
    <w:p w14:paraId="0EA75CC5" w14:textId="77777777" w:rsidR="005711F5" w:rsidRPr="00536B9F" w:rsidRDefault="005711F5" w:rsidP="00EE338E">
      <w:pPr>
        <w:pStyle w:val="NormalHanging12a"/>
      </w:pPr>
      <w:r w:rsidRPr="00536B9F">
        <w:t>–</w:t>
      </w:r>
      <w:r w:rsidRPr="00536B9F">
        <w:tab/>
        <w:t>so zreteľom na článok 142 ods. 1 rokovacieho poriadku,</w:t>
      </w:r>
    </w:p>
    <w:p w14:paraId="459EA737" w14:textId="77777777" w:rsidR="005711F5" w:rsidRPr="00536B9F" w:rsidRDefault="005711F5" w:rsidP="00EE338E">
      <w:pPr>
        <w:pStyle w:val="NormalHanging12a"/>
      </w:pPr>
      <w:r w:rsidRPr="00536B9F">
        <w:t>–</w:t>
      </w:r>
      <w:r w:rsidRPr="00536B9F">
        <w:tab/>
        <w:t>so zreteľom na správu Výboru pre hospodárske a menové veci (A9-0412/2023),</w:t>
      </w:r>
    </w:p>
    <w:p w14:paraId="7281C4EA" w14:textId="77777777" w:rsidR="005711F5" w:rsidRPr="00536B9F" w:rsidRDefault="005711F5" w:rsidP="00EE338E">
      <w:pPr>
        <w:pStyle w:val="NormalHanging12a"/>
      </w:pPr>
      <w:r w:rsidRPr="00536B9F">
        <w:t>A.</w:t>
      </w:r>
      <w:r w:rsidRPr="00536B9F">
        <w:tab/>
        <w:t xml:space="preserve">keďže podľa makroekonomických prognóz odborníkov Eurosystému z júna 2023 sa očakáva, že rast hospodárstva eurozóny sa spomalí z 3,5 % v roku 2022 na 0,9 % v roku 2023, kým sa nevráti na 1,5 % v roku 2024; keďže podľa rýchleho odhadu </w:t>
      </w:r>
      <w:proofErr w:type="spellStart"/>
      <w:r w:rsidRPr="00536B9F">
        <w:t>Eurostatu</w:t>
      </w:r>
      <w:proofErr w:type="spellEnd"/>
      <w:r w:rsidRPr="00536B9F">
        <w:t xml:space="preserve"> eurozóna v roku 2023 zaznamenala rast len 0,6 %; keďže to predstavuje najhorší výsledok od recesie v roku 2020;</w:t>
      </w:r>
    </w:p>
    <w:p w14:paraId="776C4056" w14:textId="1E156B77" w:rsidR="005711F5" w:rsidRPr="00536B9F" w:rsidRDefault="005711F5" w:rsidP="00EE338E">
      <w:pPr>
        <w:pStyle w:val="NormalHanging12a"/>
      </w:pPr>
      <w:r w:rsidRPr="00536B9F">
        <w:t>B.</w:t>
      </w:r>
      <w:r w:rsidRPr="00536B9F">
        <w:tab/>
        <w:t>keďže podľa makroekonomických prognóz odborníkov Eurosystému pre eurozónu zo septembra 2023 sa očakáva, že celková inflácia dosiahne v priemere 5,6</w:t>
      </w:r>
      <w:r w:rsidR="00F6278C" w:rsidRPr="00536B9F">
        <w:t> </w:t>
      </w:r>
      <w:r w:rsidRPr="00536B9F">
        <w:t>% v roku 2023, 3,2</w:t>
      </w:r>
      <w:r w:rsidR="00F6278C" w:rsidRPr="00536B9F">
        <w:t> </w:t>
      </w:r>
      <w:r w:rsidRPr="00536B9F">
        <w:t>% v roku 2024 a 2,1</w:t>
      </w:r>
      <w:r w:rsidR="00F6278C" w:rsidRPr="00536B9F">
        <w:t> </w:t>
      </w:r>
      <w:r w:rsidRPr="00536B9F">
        <w:t xml:space="preserve">% v roku 2025, a to napriek poklesu cien energií a zmierneniu prekážok v dodávkach; keďže jadrová inflácia je trvalejšia, pričom v júni 2023 vzrástla na 5,5 %, potom sa v septembri 2023 znížila na 4,2 %; keďže jadrová inflácia v blízkej budúcnosti podľa predpokladov prekoná celkovú infláciu a zostane nad ňou až do začiatku roka 2024, a to najmä v dôsledku silného rastu miezd; </w:t>
      </w:r>
    </w:p>
    <w:p w14:paraId="36C88694" w14:textId="7C2AB617" w:rsidR="00830C65" w:rsidRPr="00536B9F" w:rsidRDefault="00830C65" w:rsidP="00EE338E">
      <w:pPr>
        <w:pStyle w:val="NormalHanging12a"/>
      </w:pPr>
      <w:r w:rsidRPr="00536B9F">
        <w:t>C.</w:t>
      </w:r>
      <w:r w:rsidRPr="00536B9F">
        <w:tab/>
        <w:t xml:space="preserve">keďže týchto </w:t>
      </w:r>
      <w:r w:rsidR="003E574B" w:rsidRPr="00536B9F">
        <w:t xml:space="preserve">10 </w:t>
      </w:r>
      <w:r w:rsidRPr="00536B9F">
        <w:t xml:space="preserve">následných zvýšení referenčných úrokových sadzieb má obzvlášť škodlivý vplyv na platobnú schopnosť domácností, </w:t>
      </w:r>
      <w:proofErr w:type="spellStart"/>
      <w:r w:rsidRPr="00536B9F">
        <w:t>mikropodnikov</w:t>
      </w:r>
      <w:proofErr w:type="spellEnd"/>
      <w:r w:rsidRPr="00536B9F">
        <w:t xml:space="preserve"> a MSP v krajinách, ktoré používajú prevažne modely pohyblivých </w:t>
      </w:r>
      <w:r w:rsidR="00721D18" w:rsidRPr="00536B9F">
        <w:t xml:space="preserve">úrokových </w:t>
      </w:r>
      <w:r w:rsidRPr="00536B9F">
        <w:t>sadzieb;</w:t>
      </w:r>
    </w:p>
    <w:p w14:paraId="0EED22D9" w14:textId="0D9880AD" w:rsidR="005711F5" w:rsidRPr="00536B9F" w:rsidRDefault="00830C65" w:rsidP="00EE338E">
      <w:pPr>
        <w:pStyle w:val="NormalHanging12a"/>
      </w:pPr>
      <w:r w:rsidRPr="00536B9F">
        <w:t>D</w:t>
      </w:r>
      <w:r w:rsidR="005711F5" w:rsidRPr="00536B9F">
        <w:t>.</w:t>
      </w:r>
      <w:r w:rsidR="005711F5" w:rsidRPr="00536B9F">
        <w:tab/>
        <w:t>keďže podľa hospodárskej prognózy Komisie na rok 2023 sa predpokladá, že deficity verejných financií klesnú na 3,1 % hrubého domáceho produktu (</w:t>
      </w:r>
      <w:r w:rsidR="00F6278C" w:rsidRPr="00536B9F">
        <w:t>ďalej len „</w:t>
      </w:r>
      <w:r w:rsidR="005711F5" w:rsidRPr="00536B9F">
        <w:t>HDP</w:t>
      </w:r>
      <w:r w:rsidR="00F6278C" w:rsidRPr="00536B9F">
        <w:t>“</w:t>
      </w:r>
      <w:r w:rsidR="005711F5" w:rsidRPr="00536B9F">
        <w:t>) v roku 2023 a na 2,4 % v roku 2024; keďže pomer verejného dlhu k HDP sa v eurozóne znížil z 95,0 % v roku 2022 na 91,2 % v roku 2023 a v EÚ27 z 87,4 % na 83,7 %; keďže táto hodnota je stále vyššia ako zmluvné referenčné hodnoty; keďže verejný dlh a deficity sa v jednotlivých členských štátoch výrazne líšia;</w:t>
      </w:r>
    </w:p>
    <w:p w14:paraId="3A5E9F32" w14:textId="2E8D2B1D" w:rsidR="005711F5" w:rsidRPr="00536B9F" w:rsidRDefault="00830C65" w:rsidP="00EE338E">
      <w:pPr>
        <w:pStyle w:val="NormalHanging12a"/>
      </w:pPr>
      <w:r w:rsidRPr="00536B9F">
        <w:t>E</w:t>
      </w:r>
      <w:r w:rsidR="005711F5" w:rsidRPr="00536B9F">
        <w:t>.</w:t>
      </w:r>
      <w:r w:rsidR="005711F5" w:rsidRPr="00536B9F">
        <w:tab/>
        <w:t>keďže ECB je politicky nezávislá, čo znamená, že inštitúcie a agentúry EÚ, ani vlády členských štátov by nemali ECB ovplyvňovať; táto nezávislosť si vyžaduje, aby sa ECB zdržala prijímania politických rozhodnutí;</w:t>
      </w:r>
    </w:p>
    <w:p w14:paraId="5B0E1C20" w14:textId="78BBCF33" w:rsidR="005711F5" w:rsidRPr="00536B9F" w:rsidRDefault="00830C65" w:rsidP="00EE338E">
      <w:pPr>
        <w:pStyle w:val="NormalHanging12a"/>
      </w:pPr>
      <w:r w:rsidRPr="00536B9F">
        <w:t>F</w:t>
      </w:r>
      <w:r w:rsidR="005711F5" w:rsidRPr="00536B9F">
        <w:t>.</w:t>
      </w:r>
      <w:r w:rsidR="005711F5" w:rsidRPr="00536B9F">
        <w:tab/>
        <w:t>keďže Európska komisia uviedla, že „dodatočné súkromné a verejné investičné potreby v súvislosti s dvojitou transformáciou a ich politickými cieľmi sa do roku 2030 odhadujú na takmer 650 miliárd EUR ročne“</w:t>
      </w:r>
      <w:r w:rsidR="005711F5" w:rsidRPr="00536B9F">
        <w:rPr>
          <w:rStyle w:val="FootnoteReference"/>
          <w:b/>
          <w:i/>
        </w:rPr>
        <w:footnoteReference w:id="3"/>
      </w:r>
      <w:r w:rsidR="005711F5" w:rsidRPr="00536B9F">
        <w:t>;</w:t>
      </w:r>
    </w:p>
    <w:p w14:paraId="4759E518" w14:textId="5808C54C" w:rsidR="005711F5" w:rsidRPr="00536B9F" w:rsidRDefault="00830C65" w:rsidP="00EE338E">
      <w:pPr>
        <w:pStyle w:val="NormalHanging12a"/>
      </w:pPr>
      <w:r w:rsidRPr="00536B9F">
        <w:t>G</w:t>
      </w:r>
      <w:r w:rsidR="005711F5" w:rsidRPr="00536B9F">
        <w:t>.</w:t>
      </w:r>
      <w:r w:rsidR="005711F5" w:rsidRPr="00536B9F">
        <w:tab/>
        <w:t>keďže hlavným cieľom ECB je udržiavať cenovú stabilitu, ktorú definovala ako symetrickú infláciu na úrovni 2 % v strednodobom horizonte;</w:t>
      </w:r>
    </w:p>
    <w:p w14:paraId="5EB6B204" w14:textId="6385D27E" w:rsidR="005711F5" w:rsidRPr="00536B9F" w:rsidRDefault="00830C65" w:rsidP="00EE338E">
      <w:pPr>
        <w:pStyle w:val="NormalHanging12a"/>
      </w:pPr>
      <w:r w:rsidRPr="00536B9F">
        <w:lastRenderedPageBreak/>
        <w:t>H</w:t>
      </w:r>
      <w:r w:rsidR="005711F5" w:rsidRPr="00536B9F">
        <w:t>.</w:t>
      </w:r>
      <w:r w:rsidR="005711F5" w:rsidRPr="00536B9F">
        <w:tab/>
        <w:t>keďže bez toho, aby bol dotknutý primárny cieľ cenovej stability, by ECB mala podporovať aj všeobecné hospodárske politiky v EÚ so zámerom prispieť k dosiahnutiu cieľov EÚ, ako sú vymedzené v článku 3 Z</w:t>
      </w:r>
      <w:r w:rsidR="00452AD6" w:rsidRPr="00536B9F">
        <w:t xml:space="preserve">mluvy o </w:t>
      </w:r>
      <w:r w:rsidR="005711F5" w:rsidRPr="00536B9F">
        <w:t>EÚ;</w:t>
      </w:r>
    </w:p>
    <w:p w14:paraId="21D83DAA" w14:textId="1FE91C78" w:rsidR="005711F5" w:rsidRPr="00536B9F" w:rsidRDefault="00830C65" w:rsidP="00EE338E">
      <w:pPr>
        <w:pStyle w:val="NormalHanging12a"/>
      </w:pPr>
      <w:r w:rsidRPr="00536B9F">
        <w:t>I</w:t>
      </w:r>
      <w:r w:rsidR="005711F5" w:rsidRPr="00536B9F">
        <w:t>.</w:t>
      </w:r>
      <w:r w:rsidR="005711F5" w:rsidRPr="00536B9F">
        <w:tab/>
        <w:t>keďže článok 123 ZFEÚ a článok 21 Štatútu ESCB a ECB zakazujú menové financovanie vlád;</w:t>
      </w:r>
    </w:p>
    <w:p w14:paraId="7FC2600C" w14:textId="4CF5E243" w:rsidR="005711F5" w:rsidRPr="00536B9F" w:rsidRDefault="00830C65" w:rsidP="00EE338E">
      <w:pPr>
        <w:pStyle w:val="NormalHanging12a"/>
      </w:pPr>
      <w:r w:rsidRPr="00536B9F">
        <w:t>J</w:t>
      </w:r>
      <w:r w:rsidR="005711F5" w:rsidRPr="00536B9F">
        <w:t>.</w:t>
      </w:r>
      <w:r w:rsidR="005711F5" w:rsidRPr="00536B9F">
        <w:tab/>
        <w:t xml:space="preserve">keďže ECB sa zodpovedá </w:t>
      </w:r>
      <w:r w:rsidR="00F6278C" w:rsidRPr="00536B9F">
        <w:t>Európskemu p</w:t>
      </w:r>
      <w:r w:rsidR="005711F5" w:rsidRPr="00536B9F">
        <w:t>arlamentu ako inštitúcii, ktorá zastupuje občanov EÚ;</w:t>
      </w:r>
    </w:p>
    <w:p w14:paraId="5EEB9C87" w14:textId="77777777" w:rsidR="005711F5" w:rsidRPr="00536B9F" w:rsidRDefault="005711F5" w:rsidP="00EE338E">
      <w:pPr>
        <w:pStyle w:val="NormalHanging12a"/>
        <w:rPr>
          <w:b/>
          <w:i/>
        </w:rPr>
      </w:pPr>
      <w:r w:rsidRPr="00536B9F">
        <w:rPr>
          <w:b/>
          <w:i/>
        </w:rPr>
        <w:t>Všeobecný prehľad</w:t>
      </w:r>
    </w:p>
    <w:p w14:paraId="0FE0BDBD" w14:textId="13098F92" w:rsidR="005711F5" w:rsidRPr="00536B9F" w:rsidRDefault="005711F5" w:rsidP="00EE338E">
      <w:pPr>
        <w:pStyle w:val="NormalHanging12a"/>
      </w:pPr>
      <w:r w:rsidRPr="00536B9F">
        <w:t>1.</w:t>
      </w:r>
      <w:r w:rsidRPr="00536B9F">
        <w:tab/>
        <w:t xml:space="preserve">pripomína, že v článku 127 ZFEÚ sa uvádza, že „Hlavným cieľom Európskeho systému centrálnych bánk </w:t>
      </w:r>
      <w:r w:rsidR="00F6278C" w:rsidRPr="00536B9F">
        <w:t>(</w:t>
      </w:r>
      <w:r w:rsidRPr="00536B9F">
        <w:t>ďalej len „ESCB“</w:t>
      </w:r>
      <w:r w:rsidR="00F6278C" w:rsidRPr="00536B9F">
        <w:t>)</w:t>
      </w:r>
      <w:r w:rsidRPr="00536B9F">
        <w:t xml:space="preserve"> je udržať cenovú stabilitu. Bez toho, aby bola dotknutá cenová stabilita, ESCB podporuje všeobecné hospodárske politiky v Únii so zámerom prispieť k dosiahnutiu cieľov Únie, ako sú vymedzené v článku 3 Zmluvy o Európskej únii</w:t>
      </w:r>
      <w:r w:rsidR="00F6278C" w:rsidRPr="00536B9F">
        <w:t>;</w:t>
      </w:r>
      <w:r w:rsidRPr="00536B9F">
        <w:t xml:space="preserve"> ESCB koná v súlade so zásadami uvedenými v článku 119 a so zásadou otvoreného trhového hospodárstva s voľnou súťažou, čím sa podporuje efektívne rozdeľovanie zdrojov; </w:t>
      </w:r>
    </w:p>
    <w:p w14:paraId="3BDBB535" w14:textId="77777777" w:rsidR="005711F5" w:rsidRPr="00536B9F" w:rsidRDefault="005711F5" w:rsidP="00EE338E">
      <w:pPr>
        <w:pStyle w:val="NormalHanging12a"/>
      </w:pPr>
      <w:r w:rsidRPr="00536B9F">
        <w:t>2.</w:t>
      </w:r>
      <w:r w:rsidRPr="00536B9F">
        <w:tab/>
        <w:t>opakuje štatutárnu nezávislosť ECB zakotvenú v článku 130 ZFEÚ a okrem toho zdôrazňuje, že táto nezávislosť by sa mala vždy doplniť zodpovedajúcou úrovňou zodpovednosti;</w:t>
      </w:r>
    </w:p>
    <w:p w14:paraId="76C378E9" w14:textId="77777777" w:rsidR="005711F5" w:rsidRPr="00536B9F" w:rsidRDefault="005711F5" w:rsidP="00EE338E">
      <w:pPr>
        <w:pStyle w:val="NormalHanging12a"/>
      </w:pPr>
      <w:r w:rsidRPr="00536B9F">
        <w:t>3.</w:t>
      </w:r>
      <w:r w:rsidRPr="00536B9F">
        <w:tab/>
        <w:t>vyjadruje znepokojenie nad tým, že ak ECB včas neupraví infláciu na cieľovú úroveň, pričom zvýši náklady na financovanie v eurozóne, najmä pre občanov a spoločnosti, hrozí, že stratí dôveryhodnosť;</w:t>
      </w:r>
    </w:p>
    <w:p w14:paraId="44026780" w14:textId="77777777" w:rsidR="005711F5" w:rsidRPr="00536B9F" w:rsidRDefault="005711F5" w:rsidP="00EE338E">
      <w:pPr>
        <w:pStyle w:val="NormalHanging12a"/>
      </w:pPr>
      <w:r w:rsidRPr="00536B9F">
        <w:t>4.</w:t>
      </w:r>
      <w:r w:rsidRPr="00536B9F">
        <w:tab/>
        <w:t>vyjadruje hlboké znepokojenie nad pretrvávajúcimi vysokými mierami inflácie, najmä mierou jadrovej inflácie, a ich škodlivým vplyvom na konkurencieschopnosť, investície, vytváranie pracovných miest a kúpnu silu spotrebiteľov, čo ovplyvňuje najmä tých, ktorí majú fixné alebo obmedzené príjmy; vyzýva ECB, aby prijala všetky potrebné opatrenia na zníženie miery inflácie v súlade so svojím mandátom; pripomína, že takáto situácia spôsobuje hospodársku neistotu a zvyšuje životné náklady občanov; zdôrazňuje, že to môže viesť k očakávaniam rastúcej inflácie, čo udržiava cyklus rastúcich cien a podkopáva hospodársku stabilitu; poznamenáva, že kvantitatívne inflačné ciele sa majú plniť v strednodobom horizonte; vyzýva ECB, aby poskytovala viac informácií o monitorovaní a stanovovaní neutrálnej úrokovej sadzby;</w:t>
      </w:r>
    </w:p>
    <w:p w14:paraId="2B495FDC" w14:textId="77777777" w:rsidR="005711F5" w:rsidRPr="00536B9F" w:rsidRDefault="005711F5" w:rsidP="00EE338E">
      <w:pPr>
        <w:pStyle w:val="NormalHanging12a"/>
      </w:pPr>
      <w:r w:rsidRPr="00536B9F">
        <w:t>5.</w:t>
      </w:r>
      <w:r w:rsidRPr="00536B9F">
        <w:tab/>
        <w:t xml:space="preserve">berie na vedomie rôzne úrovne dlhu, deficitov verejných financií a verejných investícií v členských štátoch a potenciálne riziká a problémy, ktoré z toho vyplývajú pre hospodársku stabilitu, dôveru investorov, hospodársky rast a dlhodobú prosperitu; vyjadruje poľutovanie nad tým, že neboli prijaté dostatočné opatrenia na reformu konkurencieschopnosti a verejných investícií, kým boli úrokové sadzby nízke; zdôrazňuje osobitné znepokojenie nad rastúcimi nákladmi na dlhové financovanie, najmä v prípade štátneho dlhu, a to v dôsledku rastúcich úrokových sadzieb; pripomína, že zodpovedné riešenie úrovne verejného dlhu a deficitu má zásadný význam pre zamedzenie rizík spojených so súčasnou infláciou v záujme zachovania stabilného hospodárstva a udržateľného rastu; naliehavo žiada rýchly výsledok legislatívnych návrhov Komisie týkajúcich sa revízie pravidiel správy hospodárskych záležitostí EÚ; v tejto súvislosti víta stanovisko ECB; poukazuje na to, že expanzívna fiškálna politika by </w:t>
      </w:r>
      <w:r w:rsidRPr="00536B9F">
        <w:lastRenderedPageBreak/>
        <w:t>mohla pôsobiť proti politike sprísňovania menovej politiky ECB;</w:t>
      </w:r>
    </w:p>
    <w:p w14:paraId="38EF43E7" w14:textId="77777777" w:rsidR="005711F5" w:rsidRPr="00536B9F" w:rsidRDefault="005711F5" w:rsidP="00EE338E">
      <w:pPr>
        <w:pStyle w:val="NormalHanging12a"/>
      </w:pPr>
      <w:r w:rsidRPr="00536B9F">
        <w:t>6.</w:t>
      </w:r>
      <w:r w:rsidRPr="00536B9F">
        <w:tab/>
        <w:t xml:space="preserve">odsudzuje nevyprovokovanú inváziu a pretrvávajúcu agresiu Ruska voči Ukrajine a pretrvávajúce negatívne otrasmi na strane ponuky; vyjadruje znepokojenie nad jeho trvalými, nepredvídateľnými a vážnymi dôsledkami pre európske hospodárstvo a spoločnosť, najmä pre najviac ohrozené a zraniteľné skupiny, ako sú domácnosti s nižšími príjmami a MSP; v tejto súvislosti víta začlenenie projektu </w:t>
      </w:r>
      <w:proofErr w:type="spellStart"/>
      <w:r w:rsidRPr="00536B9F">
        <w:t>REPowerEU</w:t>
      </w:r>
      <w:proofErr w:type="spellEnd"/>
      <w:r w:rsidRPr="00536B9F">
        <w:t xml:space="preserve"> do plánov obnovy a odolnosti s cieľom znížiť energetickú závislosť od Ruska, podporiť strategickú autonómiu a napraviť tieto otrasy na strane ponuky;</w:t>
      </w:r>
    </w:p>
    <w:p w14:paraId="4E0CCB9C" w14:textId="77777777" w:rsidR="005711F5" w:rsidRPr="00536B9F" w:rsidRDefault="005711F5" w:rsidP="00EE338E">
      <w:pPr>
        <w:pStyle w:val="NormalHanging12a"/>
      </w:pPr>
      <w:r w:rsidRPr="00536B9F">
        <w:t>7.</w:t>
      </w:r>
      <w:r w:rsidRPr="00536B9F">
        <w:tab/>
        <w:t xml:space="preserve">zdôrazňuje, že hrozby pre európsku konkurencieschopnosť a medzinárodnú úlohu eura nielenže nevyplývajú z vysokej úrovne inflácie, prebiehajúcej vojny na Ukrajine a vysokými a rozdielnymi úrovňami štátneho dlhu v členských štátoch, ale aj inštitucionálnej štruktúry eurozóny, čoraz väčších nákladov na reguláciu, nárastu fragmentácie v celosvetovom obchode a hroziacich dotačných pretekov </w:t>
      </w:r>
      <w:proofErr w:type="spellStart"/>
      <w:r w:rsidRPr="00536B9F">
        <w:t>protekciotistických</w:t>
      </w:r>
      <w:proofErr w:type="spellEnd"/>
      <w:r w:rsidRPr="00536B9F">
        <w:t xml:space="preserve"> politík medzi štátmi; vyzýva ECB, aby sa zaoberala posilnením medzinárodnej úlohy eura s cieľom zvýšiť jeho atraktívnosť ako rezervnej meny;</w:t>
      </w:r>
    </w:p>
    <w:p w14:paraId="5BEBFF94" w14:textId="77777777" w:rsidR="005711F5" w:rsidRPr="00536B9F" w:rsidRDefault="005711F5" w:rsidP="00EE338E">
      <w:pPr>
        <w:pStyle w:val="NormalHanging12a"/>
      </w:pPr>
      <w:r w:rsidRPr="00536B9F">
        <w:t>8.</w:t>
      </w:r>
      <w:r w:rsidRPr="00536B9F">
        <w:tab/>
        <w:t xml:space="preserve">opakuje varovanie prezidentky ECB </w:t>
      </w:r>
      <w:proofErr w:type="spellStart"/>
      <w:r w:rsidRPr="00536B9F">
        <w:t>Lagardeovej</w:t>
      </w:r>
      <w:proofErr w:type="spellEnd"/>
      <w:r w:rsidRPr="00536B9F">
        <w:t xml:space="preserve">, že fiškálna podpora by mala byť dočasná, cielená a adresná a nemala by byť v rozpore s úlohou menovej politiky; vyzýva členské štáty, aby zosúladili svoje fiškálne politiky s celkovým cieľom menovej politiky ECB; pripomína, že hospodárska a menová únia si vyžaduje spoľahlivé fiškálne politiky v členských štátoch, aby bolo možné reagovať na vonkajšie otrasy; žiada, aby sa fiškálne úsilie zameralo na produktívne investície a reformy; upozorňuje, že vlády, ako aj Komisia môžu podporovať občanov a priemysel nielen prostredníctvom fiškálnych opatrení, ale aj zameraním sa na reformy podporujúce rast a reformy, ktoré sú sociálne vyrovnané, ako aj súkromnými a verejnými investíciami do infraštruktúry; konštatuje však, že štruktúra eurozóny je v súčasnosti postavená na premise menovej dominantnosti; konštatuje, že vysoká miera inflácie si vyžaduje pevné odhodlanie všetkých inštitúcií EÚ a vnútroštátnych orgánov riešiť hospodárske a sociálne dôsledky inflačnej krízy; </w:t>
      </w:r>
    </w:p>
    <w:p w14:paraId="07B8BDCA" w14:textId="77777777" w:rsidR="005711F5" w:rsidRPr="00536B9F" w:rsidRDefault="005711F5" w:rsidP="00EE338E">
      <w:pPr>
        <w:pStyle w:val="NormalHanging12a"/>
      </w:pPr>
      <w:r w:rsidRPr="00536B9F">
        <w:t>9.</w:t>
      </w:r>
      <w:r w:rsidRPr="00536B9F">
        <w:tab/>
        <w:t>konštatuje, že menové politiky ECB zamerané na plnenie jej hlavného mandátu podliehajú posúdeniu proporcionality; poznamenáva, že pri posudzovaní proporcionality sa zohľadňuje vplyv opatrení menovej politiky na širšie hospodárstvo a hospodárske politiky; zdôrazňuje, že ak ECB čelí možnosti výberu medzi rôznymi súbormi politík, ktoré rovnako podporujú cenovú stabilitu, musí vybrať tie, ktoré najlepšie podporia všeobecné hospodárske politiky v EÚ;</w:t>
      </w:r>
    </w:p>
    <w:p w14:paraId="5555ACDF" w14:textId="77777777" w:rsidR="005711F5" w:rsidRPr="00536B9F" w:rsidRDefault="005711F5" w:rsidP="00EE338E">
      <w:pPr>
        <w:pStyle w:val="NormalHanging12a"/>
      </w:pPr>
      <w:r w:rsidRPr="00536B9F">
        <w:t>10.</w:t>
      </w:r>
      <w:r w:rsidRPr="00536B9F">
        <w:tab/>
        <w:t>víta, že ECB dlhodobo podporuje dobre premyslené dokončenie hospodárskej a menovej únie, bankovej únie a únie kapitálových trhov; pripomína, že by to prispelo k väčšiemu rozdeleniu rizík v rámci menovej únie a k jej väčšej finančnej stabilite, ako aj k hospodárskemu a sociálnemu oživeniu EÚ, zníženiu závislosti od bankových úverov a konkurencii s ázijskými a americkými trhmi; pripomína, že na dosiahnutie pokroku pri dokončení bankovej únie a únie kapitálových trhov je potrebná jasná politická vôľa; berie na vedomie podporu ECB vytvoreniu plnohodnotného európskeho systému ochrany vkladov (EDIS); uznáva, že rozdelenie rizika a jeho znižovanie sú vzájomne prepojené a že systémy inštitucionálnej ochrany zohrávajú kľúčovú úlohu pri ochrane a stabilizácii členských inštitúcií; vyzýva ECB, aby monitorovala situáciu týkajúcu sa nesplácaných úverov;</w:t>
      </w:r>
    </w:p>
    <w:p w14:paraId="52D5D395" w14:textId="13A0DD8D" w:rsidR="005711F5" w:rsidRPr="00536B9F" w:rsidRDefault="005711F5" w:rsidP="00EE338E">
      <w:pPr>
        <w:pStyle w:val="NormalHanging12a"/>
      </w:pPr>
      <w:r w:rsidRPr="00536B9F">
        <w:lastRenderedPageBreak/>
        <w:t>11.</w:t>
      </w:r>
      <w:r w:rsidRPr="00536B9F">
        <w:tab/>
        <w:t>zdôrazňuje kľúčovú úlohu malých a stredných podnikov (</w:t>
      </w:r>
      <w:r w:rsidR="00F6278C" w:rsidRPr="00536B9F">
        <w:t>ďalej len „</w:t>
      </w:r>
      <w:r w:rsidRPr="00536B9F">
        <w:t>MSP</w:t>
      </w:r>
      <w:r w:rsidR="00F6278C" w:rsidRPr="00536B9F">
        <w:t>“</w:t>
      </w:r>
      <w:r w:rsidRPr="00536B9F">
        <w:t xml:space="preserve">) v hospodárstve EÚ, ako aj v hospodárskej a sociálnej konvergencii a zamestnanosti; je obzvlášť znepokojený tým, aký vplyv má pandémia </w:t>
      </w:r>
      <w:r w:rsidR="00F6278C" w:rsidRPr="00536B9F">
        <w:t xml:space="preserve">ochorenia </w:t>
      </w:r>
      <w:r w:rsidRPr="00536B9F">
        <w:t>COVID-19 a ruská útočná vojna na Ukrajine na MSP; pripomína, že je potrebné odstrániť byrokratické prekážky cezhraničných investícií v Únii, zmierniť daňové zaťaženie MSP v porovnaní s veľkými korporáciami, zjednodušiť právne rámce na prilákanie kapitálu, posilniť vstup malých a stredných podnikov na finančné trhy a podporovať finančnú gramotnosť občanov s cieľom zvýšiť povedomie o výhodách investícií;</w:t>
      </w:r>
    </w:p>
    <w:p w14:paraId="7022DC88" w14:textId="77777777" w:rsidR="005711F5" w:rsidRPr="00536B9F" w:rsidRDefault="005711F5" w:rsidP="00EE338E">
      <w:pPr>
        <w:pStyle w:val="NormalHanging12a"/>
        <w:rPr>
          <w:b/>
          <w:i/>
        </w:rPr>
      </w:pPr>
      <w:r w:rsidRPr="00536B9F">
        <w:rPr>
          <w:b/>
          <w:i/>
        </w:rPr>
        <w:t>Menová politika</w:t>
      </w:r>
    </w:p>
    <w:p w14:paraId="047352B5" w14:textId="77777777" w:rsidR="005711F5" w:rsidRPr="00536B9F" w:rsidRDefault="005711F5" w:rsidP="00EE338E">
      <w:pPr>
        <w:pStyle w:val="NormalHanging12a"/>
      </w:pPr>
      <w:r w:rsidRPr="00536B9F">
        <w:t>12.</w:t>
      </w:r>
      <w:r w:rsidRPr="00536B9F">
        <w:tab/>
        <w:t>konštatuje, že celková inflácia klesla z 8,4 % v roku 2022 na 5,2 % v roku 2023, a to najmä v dôsledku nižších cien energií a zmiernenia prekážok v dodávkach; konštatuje však, že inflácia zostáva nad cieľovou úrovňou 2 %; uznáva prognózu ECB na úrovni 2,1 % v roku 2025; vyjadruje znepokojenie nad druhotnými účinkami, nad tým, že inflačné očakávania podnikov a domácností budú neukotvené, nad možnosťou vývoja miezd a cien, keď sa inflačné očakávania, a teda aj mzdy vo všeobecnosti zvyšujú, a nad potrebou zohľadniť dôsledky pre rast a zamestnanosť;</w:t>
      </w:r>
    </w:p>
    <w:p w14:paraId="5738A2A0" w14:textId="77777777" w:rsidR="005711F5" w:rsidRPr="00536B9F" w:rsidRDefault="005711F5" w:rsidP="00EE338E">
      <w:pPr>
        <w:pStyle w:val="NormalHanging12a"/>
      </w:pPr>
      <w:r w:rsidRPr="00536B9F">
        <w:t>13.</w:t>
      </w:r>
      <w:r w:rsidRPr="00536B9F">
        <w:tab/>
        <w:t>konštatuje, že vysoká miera inflácie neúmerne postihuje domácnosti s nižšími príjmami, ktoré vynakladajú väčšiu časť svojho rozpočtu na základné potreby; zdôrazňuje, že zníženie inflácie na cieľovú úroveň je preto dôležité aj pre zachovanie sociálnej súdržnosti;</w:t>
      </w:r>
    </w:p>
    <w:p w14:paraId="32C3A8CC" w14:textId="77777777" w:rsidR="005711F5" w:rsidRPr="00536B9F" w:rsidRDefault="005711F5" w:rsidP="00EE338E">
      <w:pPr>
        <w:pStyle w:val="NormalHanging12a"/>
      </w:pPr>
      <w:r w:rsidRPr="00536B9F">
        <w:t>14.</w:t>
      </w:r>
      <w:r w:rsidRPr="00536B9F">
        <w:tab/>
        <w:t>vyjadruje znepokojenie nad pretrvávajúcou vysokou mierou jadrovej inflácie, hoci už niekoľko mesiacov klesá; konštatuje, že inflácia začala spočiatku rásť v dôsledku obmedzenia dodávok; chápe, že rast miezd bude podľa očakávaní rásť, čo je spôsobené kompenzáciou inflácie a prehriatym trhom práce;</w:t>
      </w:r>
    </w:p>
    <w:p w14:paraId="172F5754" w14:textId="77777777" w:rsidR="005711F5" w:rsidRPr="00536B9F" w:rsidRDefault="005711F5" w:rsidP="00EE338E">
      <w:pPr>
        <w:pStyle w:val="NormalHanging12a"/>
      </w:pPr>
      <w:r w:rsidRPr="00536B9F">
        <w:t>15.</w:t>
      </w:r>
      <w:r w:rsidRPr="00536B9F">
        <w:tab/>
        <w:t>poukazuje na to, že inflácia začala v dôsledku obmedzenia dodávok rásť nad cieľové úrovne už v júli 2021, teda už pred nevyprovokovanou a nezákonnou agresiou Ruska na Ukrajine, ktorá zhoršila inflačný tlak; poznamenáva však, že ECB začala riešiť infláciu až v júni 2022, hoci kríza spôsobená ochorením COVID-19 ukázala, že je schopná konať včas; konštatuje, že iné centrálne banky konali rýchlejšie; zdôrazňuje, že ECB musí konať rýchlo tým, že bude plniť svoj mandát prijímať všetky svoje rozhodnutia na základe hospodárskych a finančných ukazovateľov; tvrdí, že rýchlejšia reakcia mohla mať skorší vplyv na dynamiku cien a zabránila by dosiahnutiu maximálnych hodnôt 10,6 %, ako sa to stalo v októbri 2022;</w:t>
      </w:r>
    </w:p>
    <w:p w14:paraId="0E35F45B" w14:textId="77777777" w:rsidR="005711F5" w:rsidRPr="00536B9F" w:rsidRDefault="005711F5" w:rsidP="00EE338E">
      <w:pPr>
        <w:pStyle w:val="NormalHanging12a"/>
      </w:pPr>
      <w:r w:rsidRPr="00536B9F">
        <w:t>16.</w:t>
      </w:r>
      <w:r w:rsidRPr="00536B9F">
        <w:tab/>
        <w:t>vyzýva ECB, aby pokračovala v analýze ponuky a dopytu po inflácii;</w:t>
      </w:r>
    </w:p>
    <w:p w14:paraId="46EBFB6F" w14:textId="77777777" w:rsidR="005711F5" w:rsidRPr="00536B9F" w:rsidRDefault="005711F5" w:rsidP="00EE338E">
      <w:pPr>
        <w:pStyle w:val="NormalHanging12a"/>
      </w:pPr>
      <w:r w:rsidRPr="00536B9F">
        <w:t>17.</w:t>
      </w:r>
      <w:r w:rsidRPr="00536B9F">
        <w:tab/>
        <w:t xml:space="preserve">plne podporuje vyhlásenie prezidentky ECB </w:t>
      </w:r>
      <w:proofErr w:type="spellStart"/>
      <w:r w:rsidRPr="00536B9F">
        <w:t>Lagardeovej</w:t>
      </w:r>
      <w:proofErr w:type="spellEnd"/>
      <w:r w:rsidRPr="00536B9F">
        <w:t xml:space="preserve"> o boji proti inflácii tak dlho, ako to bude potrebné, pričom zdôrazňuje, že normalizáciu menovej politiky možno dosiahnuť kombináciou fiškálnej, menovej a štrukturálnej politiky; víta výzvu prezidentky </w:t>
      </w:r>
      <w:proofErr w:type="spellStart"/>
      <w:r w:rsidRPr="00536B9F">
        <w:t>Lagardeovej</w:t>
      </w:r>
      <w:proofErr w:type="spellEnd"/>
      <w:r w:rsidRPr="00536B9F">
        <w:t xml:space="preserve"> na pokoru, ako aj pravidelnú aktualizáciu modelov ECB; vyzýva však ECB, aby zásadne preskúmala a zlepšila svoje modely a ich úlohu pri tvorbe politiky vzhľadom na podpriemernú výkonnosť modelov v posledných rokoch s cieľom prispôsobiť ich novým hospodárskym trendom a trendom na finančných trhoch EÚ a na svetových finančných trhoch, pričom by mala zohľadniť skúsenosti získané z prebiehajúcich a predchádzajúcich kríz a výzvy spojené s tvorbou menovej politiky;</w:t>
      </w:r>
    </w:p>
    <w:p w14:paraId="6619A9E3" w14:textId="77777777" w:rsidR="005711F5" w:rsidRPr="00536B9F" w:rsidRDefault="005711F5" w:rsidP="00EE338E">
      <w:pPr>
        <w:pStyle w:val="NormalHanging12a"/>
      </w:pPr>
      <w:r w:rsidRPr="00536B9F">
        <w:lastRenderedPageBreak/>
        <w:t>18.</w:t>
      </w:r>
      <w:r w:rsidRPr="00536B9F">
        <w:tab/>
        <w:t xml:space="preserve">pripomína, že cenová stabilita nie je ani zďaleka dosiahnutá; berie na vedomie cieľovú úroveň symetrickej inflácie 2 % v strednodobom horizonte; konštatuje, že inflácia bola v posledných desiatich rokoch buď výrazne pod touto cieľovou úrovňou, alebo ju vysoko prevyšovala; tiež konštatuje, že inflácia má klesajúci trend a blíži sa k strednodobému cieľu ECB; </w:t>
      </w:r>
    </w:p>
    <w:p w14:paraId="01975E22" w14:textId="77777777" w:rsidR="005711F5" w:rsidRPr="00536B9F" w:rsidRDefault="005711F5" w:rsidP="00EE338E">
      <w:pPr>
        <w:pStyle w:val="NormalHanging12a"/>
      </w:pPr>
      <w:r w:rsidRPr="00536B9F">
        <w:t>19.</w:t>
      </w:r>
      <w:r w:rsidRPr="00536B9F">
        <w:tab/>
        <w:t>vyzýva ECB, aby vhodnejšie vymedzila význam pojmu „strednodobý horizont“ a preskúmala kvalitatívnejší prístup k cenovej stabilite zachovaním potrebnej rezervy, ktorá by umožnila využívať výhody cenovej stability, a zároveň poskytla potrebnú rezervu na zníženie rizika deflácie;</w:t>
      </w:r>
    </w:p>
    <w:p w14:paraId="2702EAB6" w14:textId="77777777" w:rsidR="005711F5" w:rsidRPr="00536B9F" w:rsidRDefault="005711F5" w:rsidP="00EE338E">
      <w:pPr>
        <w:pStyle w:val="NormalHanging12a"/>
      </w:pPr>
      <w:r w:rsidRPr="00536B9F">
        <w:t>20.</w:t>
      </w:r>
      <w:r w:rsidRPr="00536B9F">
        <w:tab/>
        <w:t xml:space="preserve">podporuje rozhodnutie ECB obmedziť svoje programy nákupu aktív vzhľadom na nadmernú likviditu na trhu; poznamenáva však, že ECB má stále v úmysle reinvestovať splátky istiny zo splatných cenných papierov nakúpených v rámci núdzového </w:t>
      </w:r>
      <w:proofErr w:type="spellStart"/>
      <w:r w:rsidRPr="00536B9F">
        <w:t>pandemického</w:t>
      </w:r>
      <w:proofErr w:type="spellEnd"/>
      <w:r w:rsidRPr="00536B9F">
        <w:t xml:space="preserve"> programu nákupu aktív (PEPP) minimálne do konca roka 2024; berie na vedomie oznámenie ECB o dekarbonizácii jej podnikových dlhopisov, hoci to stráca účinnosť, keď sa nerealizujú žiadne reinvestície; zdôrazňuje význam kvality </w:t>
      </w:r>
      <w:proofErr w:type="spellStart"/>
      <w:r w:rsidRPr="00536B9F">
        <w:t>kolaterálu</w:t>
      </w:r>
      <w:proofErr w:type="spellEnd"/>
      <w:r w:rsidRPr="00536B9F">
        <w:t>;</w:t>
      </w:r>
    </w:p>
    <w:p w14:paraId="35F30FFA" w14:textId="77777777" w:rsidR="005711F5" w:rsidRPr="00536B9F" w:rsidRDefault="005711F5" w:rsidP="00EE338E">
      <w:pPr>
        <w:pStyle w:val="NormalHanging12a"/>
      </w:pPr>
      <w:r w:rsidRPr="00536B9F">
        <w:t>21.</w:t>
      </w:r>
      <w:r w:rsidRPr="00536B9F">
        <w:tab/>
        <w:t>konštatuje, že pojem „trhová neutralita“ súvisí so zásadou otvoreného trhového hospodárstva s voľnou súťažou; rešpektuje nezávislosť ECB, ale vyzýva ju, aby riešila zlyhania trhu a zabezpečila efektívne rozdeľovanie zdrojov v dlhodobom horizonte a zároveň zostala v čo najväčšej miere apolitická a rešpektovala trhovú neutralitu v rôznych situáciách; zdôrazňuje, že takéto rozhodnutia sa nesmú prijímať na úkor dosiahnutia primárneho cieľa ECB;</w:t>
      </w:r>
    </w:p>
    <w:p w14:paraId="48B8B037" w14:textId="77777777" w:rsidR="005711F5" w:rsidRPr="00536B9F" w:rsidRDefault="005711F5" w:rsidP="00EE338E">
      <w:pPr>
        <w:pStyle w:val="NormalHanging12a"/>
      </w:pPr>
      <w:r w:rsidRPr="00536B9F">
        <w:t>22.</w:t>
      </w:r>
      <w:r w:rsidRPr="00536B9F">
        <w:tab/>
        <w:t>uznáva potrebu verejných a súkromných investícií po desaťročiach s nedostatočnými investíciami, aby sa znížila dynamiku inflácie na strane ponuky a zlepšil udržateľný rastový potenciál;</w:t>
      </w:r>
    </w:p>
    <w:p w14:paraId="704D0D96" w14:textId="77777777" w:rsidR="005711F5" w:rsidRPr="00536B9F" w:rsidRDefault="005711F5" w:rsidP="00EE338E">
      <w:pPr>
        <w:pStyle w:val="NormalHanging12a"/>
      </w:pPr>
      <w:r w:rsidRPr="00536B9F">
        <w:t>23.</w:t>
      </w:r>
      <w:r w:rsidRPr="00536B9F">
        <w:tab/>
        <w:t>zdôrazňuje, že rovnomerná transmisia menovej politiky je nevyhnutná na dosiahnutie mandátu ECB v oblasti cenovej stability; zdôrazňuje, že nadmerná divergencia výnosov štátnych dlhopisov spôsobuje, že úverové podmienky nie sú v súlade s jednotnou transmisiou menovej politiky a mimoriadne sťažujú znižovanie verejného dlhu; v tejto súvislosti víta spustenie nástroja na ochranu transmisie s cieľom podporiť účinnú transmisiu menovej politiky v celej eurozóne;</w:t>
      </w:r>
    </w:p>
    <w:p w14:paraId="570F2B00" w14:textId="77777777" w:rsidR="005711F5" w:rsidRPr="00536B9F" w:rsidRDefault="005711F5" w:rsidP="00EE338E">
      <w:pPr>
        <w:pStyle w:val="NormalHanging12a"/>
        <w:rPr>
          <w:b/>
          <w:i/>
        </w:rPr>
      </w:pPr>
      <w:r w:rsidRPr="00536B9F">
        <w:rPr>
          <w:b/>
          <w:i/>
        </w:rPr>
        <w:t>Sekundárny mandát</w:t>
      </w:r>
    </w:p>
    <w:p w14:paraId="7BF19469" w14:textId="4D8AEB5C" w:rsidR="005711F5" w:rsidRPr="00536B9F" w:rsidRDefault="005711F5" w:rsidP="00EE338E">
      <w:pPr>
        <w:pStyle w:val="NormalHanging12a"/>
      </w:pPr>
      <w:r w:rsidRPr="00536B9F">
        <w:t>24.</w:t>
      </w:r>
      <w:r w:rsidRPr="00536B9F">
        <w:tab/>
        <w:t>pripomína, že v článku 127 ZFEÚ sa vyžaduje, aby ECB podporovala všeobecné hospodárske politiky Únie, ako sa stanovuje v článku 3 Z</w:t>
      </w:r>
      <w:r w:rsidR="00452AD6" w:rsidRPr="00536B9F">
        <w:t xml:space="preserve">mluvy o </w:t>
      </w:r>
      <w:r w:rsidRPr="00536B9F">
        <w:t>EÚ, čo patrí do jej mandátu, pokiaľ tým nie je dotknutý cieľ cenovej stability; poukazuje na to, že medzi cieľmi ECB existuje jasná hierarchia; pripomína, že zelená a digitálna transformácia patria medzi spoločné priority EÚ;</w:t>
      </w:r>
    </w:p>
    <w:p w14:paraId="65740734" w14:textId="0FF606CD" w:rsidR="004777F2" w:rsidRPr="00536B9F" w:rsidRDefault="00830C65" w:rsidP="00EE338E">
      <w:pPr>
        <w:pStyle w:val="NormalHanging12a"/>
      </w:pPr>
      <w:r w:rsidRPr="00536B9F">
        <w:t>25</w:t>
      </w:r>
      <w:r w:rsidR="004777F2" w:rsidRPr="00536B9F">
        <w:t>.</w:t>
      </w:r>
      <w:r w:rsidR="004777F2" w:rsidRPr="00536B9F">
        <w:tab/>
        <w:t>vyjadruje vážne znepokojenie nad nedávnymi správami médií o politickej zaujatosti v rámci ECB, pokiaľ ide o tzv. ekologizáciu politík; pripomína, že v záujme zachovania integrity inštitúcie a jej verejnej podpory je mimoriadne dôležité, aby sa ECB naďalej pevne zamerala na svoj mandát v oblasti cenovej stability; berie na vedomie význam pluralizmu z hľadiska inštitucionálnej kultúry ECB; vyzýva ECB, aby vyšetrila a urýchlene riešila akékoľvek podozrenia z ideologickej zaujatosti;</w:t>
      </w:r>
    </w:p>
    <w:p w14:paraId="7DD7722F" w14:textId="6C6F8D82" w:rsidR="005711F5" w:rsidRPr="00536B9F" w:rsidRDefault="00830C65" w:rsidP="00EE338E">
      <w:pPr>
        <w:pStyle w:val="NormalHanging12a"/>
      </w:pPr>
      <w:r w:rsidRPr="00536B9F">
        <w:lastRenderedPageBreak/>
        <w:t>26</w:t>
      </w:r>
      <w:r w:rsidR="005711F5" w:rsidRPr="00536B9F">
        <w:t>.</w:t>
      </w:r>
      <w:r w:rsidR="005711F5" w:rsidRPr="00536B9F">
        <w:tab/>
        <w:t>pripomína ECB, aby vo svojej výročnej správe venovala osobitnú kapitolu vysvetleniu svojej interpretácie sekundárnych cieľov a konania v súlade s nimi a potenciálneho vplyvu na primárny mandát;</w:t>
      </w:r>
    </w:p>
    <w:p w14:paraId="4D446099" w14:textId="0E94A66C" w:rsidR="005711F5" w:rsidRPr="00536B9F" w:rsidRDefault="00830C65" w:rsidP="00EE338E">
      <w:pPr>
        <w:pStyle w:val="NormalHanging12a"/>
      </w:pPr>
      <w:r w:rsidRPr="00536B9F">
        <w:t>27</w:t>
      </w:r>
      <w:r w:rsidR="005711F5" w:rsidRPr="00536B9F">
        <w:t>.</w:t>
      </w:r>
      <w:r w:rsidR="005711F5" w:rsidRPr="00536B9F">
        <w:tab/>
        <w:t>poznamenáva, že ECB je ako inštitúcia EÚ v rámci svojho mandátu viazaná záväzkami vyplývajúcimi z Parížskej dohody; nabáda ECB, aby pokračovala v posudzovaní toho, do akej miery zmena klímy môže ovplyvňovať jej schopnosť udržiavať cenovú stabilitu;</w:t>
      </w:r>
    </w:p>
    <w:p w14:paraId="533A9A3C" w14:textId="486E13B0" w:rsidR="005711F5" w:rsidRPr="00536B9F" w:rsidRDefault="00830C65" w:rsidP="00EE338E">
      <w:pPr>
        <w:pStyle w:val="NormalHanging12a"/>
      </w:pPr>
      <w:r w:rsidRPr="00536B9F">
        <w:t>28</w:t>
      </w:r>
      <w:r w:rsidR="005711F5" w:rsidRPr="00536B9F">
        <w:t>.</w:t>
      </w:r>
      <w:r w:rsidR="005711F5" w:rsidRPr="00536B9F">
        <w:tab/>
        <w:t>víta oznámenie ECB o ďalšom zlepšovaní nástrojov a kapacít Eurosystému v oblasti posudzovania rizík s cieľom lepšie zahrnúť riziká súvisiace s klímou a životným prostredím, najmä preto, že zmena klímy a extrémne poveternostné javy by mohli viesť k väčšej nestálosti cien, najmä v agropotravinárskom sektore; vyzýva ECB, aby pokračovala vo svojej práci na záťažových testoch týkajúcich sa klimatických rizík, ktoré boli vyvinuté na posúdenie odolnosti bánk a podnikov voči riziku zmeny klímy;</w:t>
      </w:r>
    </w:p>
    <w:p w14:paraId="0A3BC2AC" w14:textId="41F61BFB" w:rsidR="005711F5" w:rsidRPr="00536B9F" w:rsidRDefault="00830C65" w:rsidP="00EE338E">
      <w:pPr>
        <w:pStyle w:val="NormalHanging12a"/>
      </w:pPr>
      <w:r w:rsidRPr="00536B9F">
        <w:t>29</w:t>
      </w:r>
      <w:r w:rsidR="005711F5" w:rsidRPr="00536B9F">
        <w:t>.</w:t>
      </w:r>
      <w:r w:rsidR="005711F5" w:rsidRPr="00536B9F">
        <w:tab/>
        <w:t>berie na vedomie akčný plán ECB a jej podrobný plán opatrení súvisiacich so zmenou klímy s cieľom ďalej začleňovať otázky súvisiace so zmenou klímy do jej politického rámca a modelov; poznamenáva, že plán v oblasti klímy nezahŕňa cielené dlhodobejšie ekologické refinančné operácie alebo podobné nástroje;</w:t>
      </w:r>
    </w:p>
    <w:p w14:paraId="31A7EFEA" w14:textId="199C4C3F" w:rsidR="005711F5" w:rsidRPr="00536B9F" w:rsidRDefault="00830C65" w:rsidP="00EE338E">
      <w:pPr>
        <w:pStyle w:val="NormalHanging12a"/>
      </w:pPr>
      <w:r w:rsidRPr="00536B9F">
        <w:t>30</w:t>
      </w:r>
      <w:r w:rsidR="005711F5" w:rsidRPr="00536B9F">
        <w:t>.</w:t>
      </w:r>
      <w:r w:rsidR="005711F5" w:rsidRPr="00536B9F">
        <w:tab/>
        <w:t>zdôrazňuje význam Európskeho piliera sociálnych práv pre sociálno-ekonomickú konvergenciu; upozorňuje na to, že tieto ciele sa najlepšie dosiahnu vtedy, keď bude sociálne trhové hospodárstvo fungovať v stabilnom makroekonomickom prostredí založenom na predvídateľných cenových úrovniach;</w:t>
      </w:r>
    </w:p>
    <w:p w14:paraId="12ABBD07" w14:textId="77777777" w:rsidR="005711F5" w:rsidRPr="00536B9F" w:rsidRDefault="005711F5" w:rsidP="00EE338E">
      <w:pPr>
        <w:pStyle w:val="NormalHanging12a"/>
        <w:rPr>
          <w:b/>
          <w:i/>
        </w:rPr>
      </w:pPr>
      <w:r w:rsidRPr="00536B9F">
        <w:rPr>
          <w:b/>
          <w:i/>
        </w:rPr>
        <w:t>Ostatné aspekty</w:t>
      </w:r>
    </w:p>
    <w:p w14:paraId="617F60ED" w14:textId="1C25BB1F" w:rsidR="005711F5" w:rsidRPr="00536B9F" w:rsidRDefault="00830C65" w:rsidP="00EE338E">
      <w:pPr>
        <w:pStyle w:val="NormalHanging12a"/>
      </w:pPr>
      <w:r w:rsidRPr="00536B9F">
        <w:t>31</w:t>
      </w:r>
      <w:r w:rsidR="005711F5" w:rsidRPr="00536B9F">
        <w:t>.</w:t>
      </w:r>
      <w:r w:rsidR="005711F5" w:rsidRPr="00536B9F">
        <w:tab/>
        <w:t>upozorňuje na rastúce rozdiely v zostatkoch systému TARGET2 v rámci ESCB; obáva sa, že to v budúcnosti môže viesť k sporom; konštatuje, že interpretácia týchto rozdielov je predmetom diskusie;</w:t>
      </w:r>
    </w:p>
    <w:p w14:paraId="6EB64474" w14:textId="6E884A82" w:rsidR="005711F5" w:rsidRPr="00536B9F" w:rsidRDefault="00830C65" w:rsidP="00EE338E">
      <w:pPr>
        <w:pStyle w:val="NormalHanging12a"/>
      </w:pPr>
      <w:r w:rsidRPr="00536B9F">
        <w:t>32</w:t>
      </w:r>
      <w:r w:rsidR="005711F5" w:rsidRPr="00536B9F">
        <w:t>.</w:t>
      </w:r>
      <w:r w:rsidR="005711F5" w:rsidRPr="00536B9F">
        <w:tab/>
        <w:t xml:space="preserve">víta pozornosť, ktorú ECB venuje rizikám kybernetických útokov; nabáda ju, aby tejto otázke naďalej venovala pozornosť, najmä so zreteľom na aktuálny geopolitický kontext; vyzýva ECB, aby neuvoľnila monitorovanie vývoja nových druhov digitálnych aktív, ako sú </w:t>
      </w:r>
      <w:proofErr w:type="spellStart"/>
      <w:r w:rsidR="005711F5" w:rsidRPr="00536B9F">
        <w:t>kryptoaktíva</w:t>
      </w:r>
      <w:proofErr w:type="spellEnd"/>
      <w:r w:rsidR="005711F5" w:rsidRPr="00536B9F">
        <w:t xml:space="preserve">, konkrétne </w:t>
      </w:r>
      <w:proofErr w:type="spellStart"/>
      <w:r w:rsidR="005711F5" w:rsidRPr="00536B9F">
        <w:t>kryptomeny</w:t>
      </w:r>
      <w:proofErr w:type="spellEnd"/>
      <w:r w:rsidR="005711F5" w:rsidRPr="00536B9F">
        <w:t xml:space="preserve">, a súvisiace riziká z hľadiska kybernetickej bezpečnosti, prania špinavých peňazí, daňových podvodov, financovania terorizmu a inej trestnej činnosti súvisiacej s anonymitou </w:t>
      </w:r>
      <w:proofErr w:type="spellStart"/>
      <w:r w:rsidR="005711F5" w:rsidRPr="00536B9F">
        <w:t>kryptoaktív</w:t>
      </w:r>
      <w:proofErr w:type="spellEnd"/>
      <w:r w:rsidR="005711F5" w:rsidRPr="00536B9F">
        <w:t>; v tejto súvislosti vyzýva ECB, aby zachovala svoj záväzok týkajúci sa odolnosti digitálnej infraštruktúry;</w:t>
      </w:r>
    </w:p>
    <w:p w14:paraId="616D069B" w14:textId="7D9F4A8B" w:rsidR="005711F5" w:rsidRPr="00536B9F" w:rsidRDefault="00830C65" w:rsidP="00EE338E">
      <w:pPr>
        <w:pStyle w:val="NormalHanging12a"/>
      </w:pPr>
      <w:r w:rsidRPr="00536B9F">
        <w:t>33</w:t>
      </w:r>
      <w:r w:rsidR="005711F5" w:rsidRPr="00536B9F">
        <w:t>.</w:t>
      </w:r>
      <w:r w:rsidR="005711F5" w:rsidRPr="00536B9F">
        <w:tab/>
        <w:t>berie na vedomie pokrok ECB v projekte digitálneho eura a víta jej dialóg s</w:t>
      </w:r>
      <w:r w:rsidR="008E7F7C" w:rsidRPr="00536B9F">
        <w:t> Európskym p</w:t>
      </w:r>
      <w:r w:rsidR="005711F5" w:rsidRPr="00536B9F">
        <w:t xml:space="preserve">arlamentom v tejto otázke; opakuje, že vzhľadom na to, že EÚ stojí na čele digitálnej transformácie v platobnom sektore, digitálne euro musí rešpektovať hospodársku súťaž v bankovom a digitálnom platobnom prostredí; zdôrazňuje, že digitálne euro nesmie nahrádzať hotovosť ako platobný prostriedok, musí rešpektovať súkromie občanov a podnikov a nesmie ohrozovať finančnú stabilitu; domnieva sa, že digitálne euro bude úspešné len vtedy, ak bude mať hmatateľnú pridanú hodnotu, o ktorej budú európski občania jasne informovaní; pripomína, že zavedenie digitálneho eura závisí od rozhodnutia Európskeho parlamentu a Rady ako </w:t>
      </w:r>
      <w:proofErr w:type="spellStart"/>
      <w:r w:rsidR="005711F5" w:rsidRPr="00536B9F">
        <w:t>spoluzákonodarcov</w:t>
      </w:r>
      <w:proofErr w:type="spellEnd"/>
      <w:r w:rsidR="005711F5" w:rsidRPr="00536B9F">
        <w:t>;</w:t>
      </w:r>
    </w:p>
    <w:p w14:paraId="2EA35AE0" w14:textId="62FBB74C" w:rsidR="005711F5" w:rsidRPr="00536B9F" w:rsidRDefault="00830C65" w:rsidP="00EE338E">
      <w:pPr>
        <w:pStyle w:val="NormalHanging12a"/>
      </w:pPr>
      <w:r w:rsidRPr="00536B9F">
        <w:t>34</w:t>
      </w:r>
      <w:r w:rsidR="005711F5" w:rsidRPr="00536B9F">
        <w:t>.</w:t>
      </w:r>
      <w:r w:rsidR="005711F5" w:rsidRPr="00536B9F">
        <w:tab/>
        <w:t xml:space="preserve">súhlasí s obavami ECB v súvislosti s nárastom tieňového bankovníctva a rizikami, ktoré môže predstavovať pre finančnú stabilitu; zdôrazňuje potrebu primeranej regulácie </w:t>
      </w:r>
      <w:r w:rsidR="005711F5" w:rsidRPr="00536B9F">
        <w:lastRenderedPageBreak/>
        <w:t>nebankových finančných sprostredkovateľov, ktorá umožní odvetviu súťažiť s bankovým sektorom za rovnakých podmienok;</w:t>
      </w:r>
    </w:p>
    <w:p w14:paraId="4BE212CC" w14:textId="6DB3C1BD" w:rsidR="005711F5" w:rsidRPr="00536B9F" w:rsidRDefault="00830C65" w:rsidP="00EE338E">
      <w:pPr>
        <w:pStyle w:val="NormalHanging12a"/>
      </w:pPr>
      <w:r w:rsidRPr="00536B9F">
        <w:t>35</w:t>
      </w:r>
      <w:r w:rsidR="005711F5" w:rsidRPr="00536B9F">
        <w:t>.</w:t>
      </w:r>
      <w:r w:rsidR="005711F5" w:rsidRPr="00536B9F">
        <w:tab/>
        <w:t>víta rámec Bazilej III, pretože posilní odolnosť bankového sektora; varuje pred rizikom jeho neplnenia; v tejto súvislosti opakuje obavy ECB; zdôrazňuje, že bankový dohľad by mal byť založený na riziku; zdôrazňuje význam rovnakých podmienok na medzinárodnej úrovni a konkurencieschopnosti európskych bánk;</w:t>
      </w:r>
    </w:p>
    <w:p w14:paraId="3AF80AA1" w14:textId="241C556A" w:rsidR="005711F5" w:rsidRPr="00536B9F" w:rsidRDefault="00830C65" w:rsidP="00EE338E">
      <w:pPr>
        <w:pStyle w:val="NormalHanging12a"/>
      </w:pPr>
      <w:r w:rsidRPr="00536B9F">
        <w:t>36</w:t>
      </w:r>
      <w:r w:rsidR="005711F5" w:rsidRPr="00536B9F">
        <w:t>.</w:t>
      </w:r>
      <w:r w:rsidR="005711F5" w:rsidRPr="00536B9F">
        <w:tab/>
        <w:t>poznamenáva, že ECB prispôsobuje svoje systémy technologickému pokroku, napríklad integrácii umelej inteligencie do svojich modelov spracovania a analýzy údajov, a to s cieľom pomôcť zlepšiť menovú analýzu a rozhodovanie; zdôrazňuje, že všetok tento pokrok sa musí vždy uskutočňovať v rámci bezpečnostných parametrov, aby sa predišlo prevádzkovým rizikám;</w:t>
      </w:r>
    </w:p>
    <w:p w14:paraId="58BC9941" w14:textId="77777777" w:rsidR="005711F5" w:rsidRPr="00536B9F" w:rsidRDefault="005711F5" w:rsidP="00EE338E">
      <w:pPr>
        <w:pStyle w:val="NormalHanging12a"/>
        <w:rPr>
          <w:b/>
          <w:i/>
        </w:rPr>
      </w:pPr>
      <w:r w:rsidRPr="00536B9F">
        <w:rPr>
          <w:b/>
          <w:i/>
        </w:rPr>
        <w:t>Zodpovednosť</w:t>
      </w:r>
    </w:p>
    <w:p w14:paraId="5650397D" w14:textId="6E0590C2" w:rsidR="005711F5" w:rsidRPr="00536B9F" w:rsidRDefault="00830C65" w:rsidP="00EE338E">
      <w:pPr>
        <w:pStyle w:val="NormalHanging12a"/>
      </w:pPr>
      <w:r w:rsidRPr="00536B9F">
        <w:t>37</w:t>
      </w:r>
      <w:r w:rsidR="005711F5" w:rsidRPr="00536B9F">
        <w:t>.</w:t>
      </w:r>
      <w:r w:rsidR="005711F5" w:rsidRPr="00536B9F">
        <w:tab/>
        <w:t>víta písomnú formalizáciu súčasných postupov vyvodzovania zodpovednosti medzi ECB a</w:t>
      </w:r>
      <w:r w:rsidR="008E7F7C" w:rsidRPr="00536B9F">
        <w:t> Európskym p</w:t>
      </w:r>
      <w:r w:rsidR="005711F5" w:rsidRPr="00536B9F">
        <w:t>arlamentom; uznáva otvorenosť a ústretovosť ECB voči Európskemu parlamentu; vyzýva ECB a</w:t>
      </w:r>
      <w:r w:rsidR="008E7F7C" w:rsidRPr="00536B9F">
        <w:t> Európsky parlament</w:t>
      </w:r>
      <w:r w:rsidR="005711F5" w:rsidRPr="00536B9F">
        <w:t>, aby v plnej miere využívali opatrenia týkajúce sa zodpovednosti a transparentnosti a podľa možnosti ich ešte posilnili bez toho, aby bola dotknutá nezávislosť ECB;</w:t>
      </w:r>
    </w:p>
    <w:p w14:paraId="5EBA594F" w14:textId="668F46BB" w:rsidR="005711F5" w:rsidRPr="00536B9F" w:rsidRDefault="00830C65" w:rsidP="00EE338E">
      <w:pPr>
        <w:pStyle w:val="NormalHanging12a"/>
      </w:pPr>
      <w:r w:rsidRPr="00536B9F">
        <w:t>38</w:t>
      </w:r>
      <w:r w:rsidR="005711F5" w:rsidRPr="00536B9F">
        <w:t>.</w:t>
      </w:r>
      <w:r w:rsidR="005711F5" w:rsidRPr="00536B9F">
        <w:tab/>
        <w:t>odporúča, aby ECB vytvorila interný hodnotiaci úrad na následné posudzovanie svojich politických rozhodnutí bez narušenia nezávislosti ECB;</w:t>
      </w:r>
    </w:p>
    <w:p w14:paraId="2E0110EE" w14:textId="21994F46" w:rsidR="005711F5" w:rsidRPr="00536B9F" w:rsidRDefault="00830C65" w:rsidP="00EE338E">
      <w:pPr>
        <w:pStyle w:val="NormalHanging12a"/>
      </w:pPr>
      <w:r w:rsidRPr="00536B9F">
        <w:t>39</w:t>
      </w:r>
      <w:r w:rsidR="005711F5" w:rsidRPr="00536B9F">
        <w:t>.</w:t>
      </w:r>
      <w:r w:rsidR="005711F5" w:rsidRPr="00536B9F">
        <w:tab/>
        <w:t xml:space="preserve">víta zásadnú a podrobnú spätnú väzbu ECB k uzneseniu </w:t>
      </w:r>
      <w:r w:rsidR="008E7F7C" w:rsidRPr="00536B9F">
        <w:t>Európskeho p</w:t>
      </w:r>
      <w:r w:rsidR="005711F5" w:rsidRPr="00536B9F">
        <w:t xml:space="preserve">arlamentu o výročnej správe ECB za rok 2021; vyzýva ECB, aby pokračovala vo svojom zodpovednom prístupe a transparentnosti a každoročne naďalej zverejňovala písomnú spätnú väzbu na uznesenia </w:t>
      </w:r>
      <w:r w:rsidR="008E7F7C" w:rsidRPr="00536B9F">
        <w:t>Európskeho p</w:t>
      </w:r>
      <w:r w:rsidR="005711F5" w:rsidRPr="00536B9F">
        <w:t>arlamentu k výročnej správe ECB;</w:t>
      </w:r>
    </w:p>
    <w:p w14:paraId="79F33D25" w14:textId="1182F405" w:rsidR="005711F5" w:rsidRPr="00536B9F" w:rsidRDefault="00830C65" w:rsidP="00EE338E">
      <w:pPr>
        <w:pStyle w:val="NormalHanging12a"/>
      </w:pPr>
      <w:r w:rsidRPr="00536B9F">
        <w:t>40</w:t>
      </w:r>
      <w:r w:rsidR="005711F5" w:rsidRPr="00536B9F">
        <w:t>.</w:t>
      </w:r>
      <w:r w:rsidR="005711F5" w:rsidRPr="00536B9F">
        <w:tab/>
        <w:t>všíma si, že medzi členmi Výkonnej rady ECB a Rady guvernérov sú len dve ženy; vyzýva členské štáty eurozóny, aby si splnili svoju úlohu a začlenili zásadu rodovej rovnosti do svojich postupov vymenúvania a aby zabezpečili rovnaké príležitosti pre všetky pohlavia, pokiaľ ide o pozíciu guvernéra národnej centrálnej banky;</w:t>
      </w:r>
    </w:p>
    <w:p w14:paraId="037DA79C" w14:textId="67D81125" w:rsidR="005711F5" w:rsidRPr="00536B9F" w:rsidRDefault="00830C65" w:rsidP="00EE338E">
      <w:pPr>
        <w:pStyle w:val="NormalHanging12a"/>
      </w:pPr>
      <w:r w:rsidRPr="00536B9F">
        <w:t>41</w:t>
      </w:r>
      <w:r w:rsidR="005711F5" w:rsidRPr="00536B9F">
        <w:t>.</w:t>
      </w:r>
      <w:r w:rsidR="005711F5" w:rsidRPr="00536B9F">
        <w:tab/>
        <w:t>poznamenáva, že najnovšie štatistiky o rodová nerovnováhe v celej organizačnej štruktúre ECB poukazujú na to, že podiel žien na vyšších riadiacich pozíciách sa zvýšil; vyzýva ECB, aby pokračovala vo svojej práci na posilnení rovnakých príležitostí pre všetky pohlavia vo svojej organizácii;</w:t>
      </w:r>
    </w:p>
    <w:p w14:paraId="0693C632" w14:textId="6716B485" w:rsidR="005711F5" w:rsidRPr="00536B9F" w:rsidRDefault="00830C65" w:rsidP="00EE338E">
      <w:pPr>
        <w:pStyle w:val="NormalHanging12a"/>
      </w:pPr>
      <w:r w:rsidRPr="00536B9F">
        <w:t>42</w:t>
      </w:r>
      <w:r w:rsidR="005711F5" w:rsidRPr="00536B9F">
        <w:t>.</w:t>
      </w:r>
      <w:r w:rsidR="005711F5" w:rsidRPr="00536B9F">
        <w:tab/>
        <w:t xml:space="preserve">víta novú komunikačnú politiku ECB, ktorá zahŕňa prístupnejšie spôsoby vysvetľovania a prezentácie politických rozhodnutí ECB občanom a zainteresovaným stranám, a vyzýva ECB, aby ďalej zlepšovala svoju komunikáciu o politických cieľoch centrálnych bánk a reakciách na krízu; </w:t>
      </w:r>
    </w:p>
    <w:p w14:paraId="6E271A51" w14:textId="6D184AB9" w:rsidR="005711F5" w:rsidRPr="00536B9F" w:rsidRDefault="00830C65" w:rsidP="00EE338E">
      <w:pPr>
        <w:pStyle w:val="NormalHanging12a"/>
      </w:pPr>
      <w:r w:rsidRPr="00536B9F">
        <w:t>43</w:t>
      </w:r>
      <w:r w:rsidR="005711F5" w:rsidRPr="00536B9F">
        <w:t>.</w:t>
      </w:r>
      <w:r w:rsidR="005711F5" w:rsidRPr="00536B9F">
        <w:tab/>
        <w:t>berie na vedomie nedávne vymenovanie nového predsedu Rady pre dohľad a pripomína ECB, aby v budúcich postupoch vymenúvania viac zohľadňovala právomoci Európskeho parlamentu a rešpektovala ich, najmä v súvislosti s jednotným mechanizmom dohľadu;</w:t>
      </w:r>
    </w:p>
    <w:p w14:paraId="6D29916E" w14:textId="57F79770" w:rsidR="005711F5" w:rsidRPr="00536B9F" w:rsidRDefault="00830C65" w:rsidP="00EE338E">
      <w:pPr>
        <w:pStyle w:val="NormalHanging12a"/>
      </w:pPr>
      <w:r w:rsidRPr="00536B9F">
        <w:t>44</w:t>
      </w:r>
      <w:r w:rsidR="005711F5" w:rsidRPr="00536B9F">
        <w:t>.</w:t>
      </w:r>
      <w:r w:rsidR="005711F5" w:rsidRPr="00536B9F">
        <w:tab/>
        <w:t xml:space="preserve">zdôrazňuje význam etického rámca ECB a kódexu správania, keďže predstavujú záruku integrity ECB a slúžia ako základ dôvery verejnosti a v konečnom dôsledku aj </w:t>
      </w:r>
      <w:r w:rsidR="005711F5" w:rsidRPr="00536B9F">
        <w:lastRenderedPageBreak/>
        <w:t>dôveryhodnosti ECB; konštatuje, že tento rámec usmerňuje zamestnancov ECB a vysokopostavených úradníkov v tom, ako zaobchádzať s lobistami; vyzýva ECB, aby v tejto súvislosti rámec pravidelne preskúmavala;</w:t>
      </w:r>
    </w:p>
    <w:p w14:paraId="6EBD1A7A" w14:textId="507983D2" w:rsidR="005711F5" w:rsidRPr="00536B9F" w:rsidRDefault="00830C65" w:rsidP="00EE338E">
      <w:pPr>
        <w:pStyle w:val="NormalHanging12a"/>
      </w:pPr>
      <w:r w:rsidRPr="00536B9F">
        <w:t>45</w:t>
      </w:r>
      <w:r w:rsidR="005711F5" w:rsidRPr="00536B9F">
        <w:t>.</w:t>
      </w:r>
      <w:r w:rsidR="005711F5" w:rsidRPr="00536B9F">
        <w:tab/>
        <w:t xml:space="preserve">vyzýva ECB, aby sa zapojila do dialógu s národnými parlamentmi a zároveň prísne rešpektovala ich politickú nezávislosť; domnieva sa, že by to posilnilo legitímnosť a politiky ECB; </w:t>
      </w:r>
    </w:p>
    <w:p w14:paraId="67AD9B5A" w14:textId="60C2EADA" w:rsidR="005711F5" w:rsidRPr="00536B9F" w:rsidRDefault="00830C65" w:rsidP="00EE338E">
      <w:pPr>
        <w:pStyle w:val="NormalHanging12a"/>
      </w:pPr>
      <w:r w:rsidRPr="00536B9F">
        <w:t>46</w:t>
      </w:r>
      <w:r w:rsidR="005711F5" w:rsidRPr="00536B9F">
        <w:t>.</w:t>
      </w:r>
      <w:r w:rsidR="005711F5" w:rsidRPr="00536B9F">
        <w:tab/>
        <w:t>vyzýva ECB, aby svoj interný rámec pre oznamovanie protispoločenskej činnosti zosúladila so smernicou EÚ o oznamovateľoch;</w:t>
      </w:r>
    </w:p>
    <w:p w14:paraId="7715AE15" w14:textId="77777777" w:rsidR="00F6278C" w:rsidRPr="00536B9F" w:rsidRDefault="00F6278C" w:rsidP="00F6278C">
      <w:pPr>
        <w:pStyle w:val="NormalHanging12a"/>
        <w:widowControl/>
        <w:ind w:left="0" w:firstLine="0"/>
        <w:jc w:val="center"/>
      </w:pPr>
      <w:r w:rsidRPr="00536B9F">
        <w:t>°</w:t>
      </w:r>
    </w:p>
    <w:p w14:paraId="1581BB71" w14:textId="212F9887" w:rsidR="005711F5" w:rsidRPr="00536B9F" w:rsidRDefault="00F6278C" w:rsidP="005711F5">
      <w:pPr>
        <w:pStyle w:val="NormalHanging12a"/>
        <w:jc w:val="center"/>
      </w:pPr>
      <w:r w:rsidRPr="00536B9F">
        <w:t>°     °</w:t>
      </w:r>
    </w:p>
    <w:p w14:paraId="2D00A5C2" w14:textId="30B885B0" w:rsidR="005711F5" w:rsidRPr="00536B9F" w:rsidRDefault="00830C65" w:rsidP="00EE338E">
      <w:pPr>
        <w:pStyle w:val="NormalHanging12a"/>
      </w:pPr>
      <w:r w:rsidRPr="00536B9F">
        <w:t>47</w:t>
      </w:r>
      <w:r w:rsidR="005711F5" w:rsidRPr="00536B9F">
        <w:t>.</w:t>
      </w:r>
      <w:r w:rsidR="005711F5" w:rsidRPr="00536B9F">
        <w:tab/>
        <w:t>poveruje svoju predsedníčku, aby postúpila toto uznesenie Rade, Komisii a Európskej centrálnej banke.</w:t>
      </w:r>
    </w:p>
    <w:p w14:paraId="0CE3D6CD" w14:textId="77777777" w:rsidR="005711F5" w:rsidRPr="00536B9F" w:rsidRDefault="005711F5" w:rsidP="005711F5">
      <w:pPr>
        <w:pStyle w:val="NormalHanging12a"/>
        <w:jc w:val="both"/>
      </w:pPr>
    </w:p>
    <w:sectPr w:rsidR="005711F5" w:rsidRPr="00536B9F" w:rsidSect="00CE7D45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D8F91BB" w14:textId="77777777" w:rsidR="00C64470" w:rsidRPr="00CE7D45" w:rsidRDefault="00C64470">
      <w:r w:rsidRPr="00CE7D45">
        <w:separator/>
      </w:r>
    </w:p>
  </w:endnote>
  <w:endnote w:type="continuationSeparator" w:id="0">
    <w:p w14:paraId="52BA166D" w14:textId="77777777" w:rsidR="00C64470" w:rsidRPr="00CE7D45" w:rsidRDefault="00C64470">
      <w:r w:rsidRPr="00CE7D45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FE6D3D1" w14:textId="77777777" w:rsidR="00064002" w:rsidRPr="00CE7D45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B4FBE3E" w14:textId="77777777" w:rsidR="00064002" w:rsidRPr="00CE7D45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63438E5" w14:textId="77777777" w:rsidR="00064002" w:rsidRPr="00CE7D45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B09EC2B" w14:textId="77777777" w:rsidR="00C64470" w:rsidRPr="00CE7D45" w:rsidRDefault="00C64470">
      <w:r w:rsidRPr="00CE7D45">
        <w:separator/>
      </w:r>
    </w:p>
  </w:footnote>
  <w:footnote w:type="continuationSeparator" w:id="0">
    <w:p w14:paraId="2137A0CF" w14:textId="77777777" w:rsidR="00C64470" w:rsidRPr="00CE7D45" w:rsidRDefault="00C64470">
      <w:r w:rsidRPr="00CE7D45">
        <w:continuationSeparator/>
      </w:r>
    </w:p>
  </w:footnote>
  <w:footnote w:id="1">
    <w:p w14:paraId="55715AF2" w14:textId="39FB391A" w:rsidR="005711F5" w:rsidRPr="00721D18" w:rsidRDefault="005711F5" w:rsidP="00CE7D45">
      <w:pPr>
        <w:pStyle w:val="FootnoteText"/>
        <w:ind w:left="567" w:hanging="567"/>
        <w:rPr>
          <w:sz w:val="24"/>
          <w:szCs w:val="24"/>
          <w:lang w:val="sk-SK"/>
        </w:rPr>
      </w:pPr>
      <w:r w:rsidRPr="00CE7D45">
        <w:rPr>
          <w:rStyle w:val="FootnoteReference"/>
          <w:sz w:val="24"/>
          <w:lang w:val="sk-SK"/>
        </w:rPr>
        <w:footnoteRef/>
      </w:r>
      <w:r w:rsidR="00CE7D45" w:rsidRPr="00CE7D45">
        <w:rPr>
          <w:sz w:val="24"/>
          <w:lang w:val="sk-SK"/>
        </w:rPr>
        <w:t xml:space="preserve"> </w:t>
      </w:r>
      <w:r w:rsidR="00CE7D45" w:rsidRPr="00CE7D45">
        <w:rPr>
          <w:sz w:val="24"/>
          <w:lang w:val="sk-SK"/>
        </w:rPr>
        <w:tab/>
      </w:r>
      <w:r w:rsidRPr="00721D18">
        <w:rPr>
          <w:sz w:val="24"/>
          <w:szCs w:val="24"/>
          <w:lang w:val="sk-SK"/>
        </w:rPr>
        <w:t xml:space="preserve">Prijaté texty, </w:t>
      </w:r>
      <w:r w:rsidR="00452AD6" w:rsidRPr="004A1445">
        <w:rPr>
          <w:sz w:val="24"/>
          <w:szCs w:val="24"/>
        </w:rPr>
        <w:t>P9_TA(2023)0214</w:t>
      </w:r>
      <w:r w:rsidRPr="00721D18">
        <w:rPr>
          <w:sz w:val="24"/>
          <w:szCs w:val="24"/>
          <w:lang w:val="sk-SK"/>
        </w:rPr>
        <w:t>.</w:t>
      </w:r>
    </w:p>
  </w:footnote>
  <w:footnote w:id="2">
    <w:p w14:paraId="78BADA04" w14:textId="75CA6DEA" w:rsidR="005711F5" w:rsidRPr="00CE7D45" w:rsidRDefault="005711F5" w:rsidP="00CE7D45">
      <w:pPr>
        <w:pStyle w:val="FootnoteText"/>
        <w:ind w:left="567" w:hanging="567"/>
        <w:rPr>
          <w:sz w:val="24"/>
          <w:lang w:val="sk-SK"/>
        </w:rPr>
      </w:pPr>
      <w:r w:rsidRPr="00721D18">
        <w:rPr>
          <w:rStyle w:val="FootnoteReference"/>
          <w:sz w:val="24"/>
          <w:szCs w:val="24"/>
          <w:lang w:val="sk-SK"/>
        </w:rPr>
        <w:footnoteRef/>
      </w:r>
      <w:r w:rsidR="00CE7D45" w:rsidRPr="00721D18">
        <w:rPr>
          <w:sz w:val="24"/>
          <w:szCs w:val="24"/>
          <w:lang w:val="sk-SK"/>
        </w:rPr>
        <w:t xml:space="preserve"> </w:t>
      </w:r>
      <w:r w:rsidR="00CE7D45" w:rsidRPr="00721D18">
        <w:rPr>
          <w:sz w:val="24"/>
          <w:szCs w:val="24"/>
          <w:lang w:val="sk-SK"/>
        </w:rPr>
        <w:tab/>
      </w:r>
      <w:r w:rsidR="00F6278C" w:rsidRPr="004A1445">
        <w:rPr>
          <w:sz w:val="24"/>
          <w:szCs w:val="24"/>
        </w:rPr>
        <w:t>Ú. v. EÚ C 479, 16.12.2022, s. 75.</w:t>
      </w:r>
    </w:p>
  </w:footnote>
  <w:footnote w:id="3">
    <w:p w14:paraId="334ABF12" w14:textId="77777777" w:rsidR="005711F5" w:rsidRPr="00CE7D45" w:rsidRDefault="005711F5" w:rsidP="00CE7D45">
      <w:pPr>
        <w:pStyle w:val="FootnoteText"/>
        <w:ind w:left="567" w:hanging="567"/>
        <w:rPr>
          <w:sz w:val="24"/>
          <w:lang w:val="sk-SK"/>
        </w:rPr>
      </w:pPr>
      <w:r w:rsidRPr="00CE7D45">
        <w:rPr>
          <w:rStyle w:val="FootnoteReference"/>
          <w:sz w:val="24"/>
          <w:lang w:val="sk-SK"/>
        </w:rPr>
        <w:footnoteRef/>
      </w:r>
      <w:r w:rsidR="00CE7D45" w:rsidRPr="00CE7D45">
        <w:rPr>
          <w:sz w:val="24"/>
          <w:lang w:val="sk-SK"/>
        </w:rPr>
        <w:t xml:space="preserve"> </w:t>
      </w:r>
      <w:r w:rsidR="00CE7D45" w:rsidRPr="00CE7D45">
        <w:rPr>
          <w:sz w:val="24"/>
          <w:lang w:val="sk-SK"/>
        </w:rPr>
        <w:tab/>
      </w:r>
      <w:r w:rsidRPr="00CE7D45">
        <w:rPr>
          <w:sz w:val="24"/>
          <w:lang w:val="sk-SK"/>
        </w:rPr>
        <w:t>Európska komisia (2021). Hospodárstvo EÚ po pandémii COVID-19: dôsledky pre správu hospodárskych záležitostí.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BD3FECD" w14:textId="77777777" w:rsidR="00064002" w:rsidRPr="00CE7D45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94A6F07" w14:textId="77777777" w:rsidR="00064002" w:rsidRPr="00CE7D45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75E5428" w14:textId="77777777" w:rsidR="00064002" w:rsidRPr="00CE7D45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412/2023"/>
    <w:docVar w:name="dvlangue" w:val="SK"/>
    <w:docVar w:name="dvnumam" w:val="0"/>
    <w:docVar w:name="dvpe" w:val="752.845"/>
    <w:docVar w:name="dvrapporteur" w:val="Spravodajca: "/>
    <w:docVar w:name="dvtitre" w:val="Uznesenie Európskeho parlamentu z xx. februára 2024 o výročnej správe Európskej centrálnej banky za rok 2023(2023/2064(INI))"/>
  </w:docVars>
  <w:rsids>
    <w:rsidRoot w:val="00C64470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6139D"/>
    <w:rsid w:val="002767FF"/>
    <w:rsid w:val="002B18FE"/>
    <w:rsid w:val="002B5493"/>
    <w:rsid w:val="00343214"/>
    <w:rsid w:val="00361C00"/>
    <w:rsid w:val="00395FA1"/>
    <w:rsid w:val="003E15D4"/>
    <w:rsid w:val="003E574B"/>
    <w:rsid w:val="00411CCE"/>
    <w:rsid w:val="0041666E"/>
    <w:rsid w:val="00421060"/>
    <w:rsid w:val="00452AD6"/>
    <w:rsid w:val="00471C19"/>
    <w:rsid w:val="004777F2"/>
    <w:rsid w:val="004867E3"/>
    <w:rsid w:val="00494A28"/>
    <w:rsid w:val="004A1445"/>
    <w:rsid w:val="004C0004"/>
    <w:rsid w:val="004C5D52"/>
    <w:rsid w:val="0050519A"/>
    <w:rsid w:val="005072A1"/>
    <w:rsid w:val="00514517"/>
    <w:rsid w:val="00536B9F"/>
    <w:rsid w:val="00545827"/>
    <w:rsid w:val="00560270"/>
    <w:rsid w:val="005711F5"/>
    <w:rsid w:val="005C2568"/>
    <w:rsid w:val="006037C0"/>
    <w:rsid w:val="006631B6"/>
    <w:rsid w:val="00680577"/>
    <w:rsid w:val="006F74FA"/>
    <w:rsid w:val="00721D18"/>
    <w:rsid w:val="00731ADD"/>
    <w:rsid w:val="00732E05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30C65"/>
    <w:rsid w:val="00842779"/>
    <w:rsid w:val="00865F67"/>
    <w:rsid w:val="00866968"/>
    <w:rsid w:val="00881A7B"/>
    <w:rsid w:val="008840E5"/>
    <w:rsid w:val="00887B3E"/>
    <w:rsid w:val="008C2AC6"/>
    <w:rsid w:val="008C3B0F"/>
    <w:rsid w:val="008E7F7C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BF77A5"/>
    <w:rsid w:val="00C05BFE"/>
    <w:rsid w:val="00C23CD4"/>
    <w:rsid w:val="00C61C0C"/>
    <w:rsid w:val="00C64470"/>
    <w:rsid w:val="00C941CB"/>
    <w:rsid w:val="00CC2357"/>
    <w:rsid w:val="00CE7D45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EE338E"/>
    <w:rsid w:val="00F04346"/>
    <w:rsid w:val="00F075DC"/>
    <w:rsid w:val="00F149E9"/>
    <w:rsid w:val="00F5134D"/>
    <w:rsid w:val="00F6278C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B341116"/>
  <w15:chartTrackingRefBased/>
  <w15:docId w15:val="{5D5C35E4-A632-44A5-BE62-21828F7097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sk-SK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5711F5"/>
    <w:pPr>
      <w:spacing w:before="480" w:after="240"/>
    </w:pPr>
  </w:style>
  <w:style w:type="paragraph" w:customStyle="1" w:styleId="NormalHanging12a">
    <w:name w:val="NormalHanging12a"/>
    <w:basedOn w:val="Normal"/>
    <w:rsid w:val="005711F5"/>
    <w:pPr>
      <w:spacing w:after="240"/>
      <w:ind w:left="567" w:hanging="567"/>
    </w:pPr>
  </w:style>
  <w:style w:type="character" w:styleId="Hyperlink">
    <w:name w:val="Hyperlink"/>
    <w:basedOn w:val="DefaultParagraphFont"/>
    <w:rsid w:val="005711F5"/>
    <w:rPr>
      <w:color w:val="0563C1" w:themeColor="hyperlink"/>
      <w:u w:val="single"/>
    </w:rPr>
  </w:style>
  <w:style w:type="character" w:styleId="CommentReference">
    <w:name w:val="annotation reference"/>
    <w:basedOn w:val="DefaultParagraphFont"/>
    <w:rsid w:val="00866968"/>
    <w:rPr>
      <w:sz w:val="16"/>
      <w:szCs w:val="16"/>
    </w:rPr>
  </w:style>
  <w:style w:type="paragraph" w:styleId="CommentText">
    <w:name w:val="annotation text"/>
    <w:basedOn w:val="Normal"/>
    <w:link w:val="CommentTextChar"/>
    <w:rsid w:val="00866968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866968"/>
    <w:rPr>
      <w:lang w:val="sk-SK"/>
    </w:rPr>
  </w:style>
  <w:style w:type="paragraph" w:styleId="CommentSubject">
    <w:name w:val="annotation subject"/>
    <w:basedOn w:val="CommentText"/>
    <w:next w:val="CommentText"/>
    <w:link w:val="CommentSubjectChar"/>
    <w:rsid w:val="00866968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866968"/>
    <w:rPr>
      <w:b/>
      <w:bCs/>
      <w:lang w:val="sk-SK"/>
    </w:rPr>
  </w:style>
  <w:style w:type="paragraph" w:styleId="Revision">
    <w:name w:val="Revision"/>
    <w:hidden/>
    <w:uiPriority w:val="99"/>
    <w:semiHidden/>
    <w:rsid w:val="00866968"/>
    <w:rPr>
      <w:sz w:val="24"/>
      <w:lang w:val="sk-SK"/>
    </w:rPr>
  </w:style>
  <w:style w:type="paragraph" w:styleId="BalloonText">
    <w:name w:val="Balloon Text"/>
    <w:basedOn w:val="Normal"/>
    <w:link w:val="BalloonTextChar"/>
    <w:rsid w:val="00866968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866968"/>
    <w:rPr>
      <w:rFonts w:ascii="Segoe UI" w:hAnsi="Segoe UI" w:cs="Segoe UI"/>
      <w:sz w:val="18"/>
      <w:szCs w:val="18"/>
      <w:lang w:val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807A667-0D1E-498F-9E9C-FA8EC6A691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9</Pages>
  <Words>3469</Words>
  <Characters>20673</Characters>
  <Application>Microsoft Office Word</Application>
  <DocSecurity>0</DocSecurity>
  <Lines>172</Lines>
  <Paragraphs>48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24094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SUCHANOVA Monika</dc:creator>
  <cp:keywords/>
  <cp:lastModifiedBy>SUCHANOVA Monika</cp:lastModifiedBy>
  <cp:revision>2</cp:revision>
  <cp:lastPrinted>2004-11-19T15:42:00Z</cp:lastPrinted>
  <dcterms:created xsi:type="dcterms:W3CDTF">2024-02-27T15:39:00Z</dcterms:created>
  <dcterms:modified xsi:type="dcterms:W3CDTF">2024-02-27T15:39:00Z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SK</vt:lpwstr>
  </property>
  <property fmtid="{D5CDD505-2E9C-101B-9397-08002B2CF9AE}" pid="3" name="&lt;FdR&gt;">
    <vt:lpwstr>A9-0412/2023</vt:lpwstr>
  </property>
  <property fmtid="{D5CDD505-2E9C-101B-9397-08002B2CF9AE}" pid="4" name="&lt;Type&gt;">
    <vt:lpwstr>RR</vt:lpwstr>
  </property>
</Properties>
</file>