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6719">
        <w:trPr>
          <w:trHeight w:hRule="exact" w:val="1418"/>
        </w:trPr>
        <w:tc>
          <w:tcPr>
            <w:tcW w:w="6804" w:type="dxa"/>
            <w:shd w:val="clear" w:color="auto" w:fill="auto"/>
            <w:vAlign w:val="center"/>
          </w:tcPr>
          <w:p w:rsidR="006C6719" w:rsidRDefault="00614864">
            <w:pPr>
              <w:pStyle w:val="EPName"/>
            </w:pPr>
            <w:r>
              <w:t>Európsky parlament</w:t>
            </w:r>
          </w:p>
          <w:p w:rsidR="006C6719" w:rsidRDefault="00614864">
            <w:pPr>
              <w:pStyle w:val="EPTerm"/>
              <w:rPr>
                <w:rStyle w:val="HideTWBExt"/>
                <w:noProof w:val="0"/>
                <w:vanish w:val="0"/>
                <w:color w:val="auto"/>
              </w:rPr>
            </w:pPr>
            <w:r>
              <w:t>2019-2024</w:t>
            </w:r>
          </w:p>
        </w:tc>
        <w:tc>
          <w:tcPr>
            <w:tcW w:w="2268" w:type="dxa"/>
            <w:shd w:val="clear" w:color="auto" w:fill="auto"/>
          </w:tcPr>
          <w:p w:rsidR="006C6719" w:rsidRDefault="00614864">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C6719" w:rsidRDefault="006C6719">
      <w:pPr>
        <w:pStyle w:val="LineTop"/>
      </w:pPr>
    </w:p>
    <w:p w:rsidR="006C6719" w:rsidRDefault="00614864">
      <w:pPr>
        <w:pStyle w:val="EPBodyTA1"/>
      </w:pPr>
      <w:r>
        <w:t>PRIJATÉ TEXTY</w:t>
      </w:r>
    </w:p>
    <w:p w:rsidR="006C6719" w:rsidRDefault="006C6719">
      <w:pPr>
        <w:pStyle w:val="LineBottom"/>
      </w:pPr>
    </w:p>
    <w:p w:rsidR="006C6719" w:rsidRDefault="00614864">
      <w:pPr>
        <w:pStyle w:val="ATHeading1"/>
      </w:pPr>
      <w:bookmarkStart w:id="0" w:name="TANumber"/>
      <w:r>
        <w:t>P9_TA(2024)0095</w:t>
      </w:r>
      <w:bookmarkEnd w:id="0"/>
    </w:p>
    <w:p w:rsidR="006C6719" w:rsidRDefault="00614864">
      <w:pPr>
        <w:pStyle w:val="ATHeading2"/>
      </w:pPr>
      <w:bookmarkStart w:id="1" w:name="title"/>
      <w:r>
        <w:t>Vodičské preukazy</w:t>
      </w:r>
      <w:bookmarkEnd w:id="1"/>
    </w:p>
    <w:p w:rsidR="006C6719" w:rsidRDefault="00614864">
      <w:pPr>
        <w:rPr>
          <w:i/>
          <w:vanish/>
        </w:rPr>
      </w:pPr>
      <w:r>
        <w:rPr>
          <w:i/>
        </w:rPr>
        <w:fldChar w:fldCharType="begin"/>
      </w:r>
      <w:r>
        <w:rPr>
          <w:i/>
        </w:rPr>
        <w:instrText xml:space="preserve"> TC"(</w:instrText>
      </w:r>
      <w:bookmarkStart w:id="2" w:name="DocNumber"/>
      <w:r>
        <w:rPr>
          <w:i/>
        </w:rPr>
        <w:instrText>A9-0445/2023</w:instrText>
      </w:r>
      <w:bookmarkEnd w:id="2"/>
      <w:r>
        <w:rPr>
          <w:i/>
        </w:rPr>
        <w:instrText xml:space="preserve"> - Spravodajkyňa: Karima Delli)"\l3 \n&gt; \* MERGEFORMAT </w:instrText>
      </w:r>
      <w:r>
        <w:rPr>
          <w:i/>
        </w:rPr>
        <w:fldChar w:fldCharType="end"/>
      </w:r>
    </w:p>
    <w:p w:rsidR="006C6719" w:rsidRDefault="00614864">
      <w:pPr>
        <w:rPr>
          <w:vanish/>
        </w:rPr>
      </w:pPr>
      <w:bookmarkStart w:id="3" w:name="Commission"/>
      <w:r>
        <w:rPr>
          <w:vanish/>
        </w:rPr>
        <w:t>Výbor pre dopravu a cestovný ruch</w:t>
      </w:r>
      <w:bookmarkEnd w:id="3"/>
    </w:p>
    <w:p w:rsidR="006C6719" w:rsidRDefault="00614864">
      <w:pPr>
        <w:rPr>
          <w:vanish/>
        </w:rPr>
      </w:pPr>
      <w:bookmarkStart w:id="4" w:name="PE"/>
      <w:r>
        <w:rPr>
          <w:vanish/>
        </w:rPr>
        <w:t>PE750.248</w:t>
      </w:r>
      <w:bookmarkEnd w:id="4"/>
    </w:p>
    <w:p w:rsidR="006C6719" w:rsidRDefault="00614864">
      <w:pPr>
        <w:pStyle w:val="ATHeading3"/>
      </w:pPr>
      <w:bookmarkStart w:id="5" w:name="Sujet"/>
      <w:r>
        <w:t xml:space="preserve">Legislatívne uznesenie Európskeho parlamentu z 28. </w:t>
      </w:r>
      <w:r>
        <w:t>februára 2024 o návrhu smernice Európskeho parlamentu a Rady o vodičských preukazoch, ktorou sa mení smernica Európskeho parlamentu a Rady (EÚ) 2022/2561, nariadenie Európskeho parlamentu a Rady (EÚ) 2018/1724 a zrušuje smernica Európskeho parlamentu a Rad</w:t>
      </w:r>
      <w:r>
        <w:t>y 2006/126/ES a nariadenie Komisie (EÚ) č. 383/2012</w:t>
      </w:r>
      <w:bookmarkEnd w:id="5"/>
      <w:r>
        <w:t xml:space="preserve"> </w:t>
      </w:r>
      <w:bookmarkStart w:id="6" w:name="References"/>
      <w:r>
        <w:t>(COM(2023)0127 – C9-0035/2023 – 2023/0053(COD))</w:t>
      </w:r>
      <w:bookmarkEnd w:id="6"/>
    </w:p>
    <w:p w:rsidR="006C6719" w:rsidRDefault="00614864">
      <w:pPr>
        <w:pStyle w:val="NormalBold"/>
      </w:pPr>
      <w:bookmarkStart w:id="7" w:name="TextBodyBegin"/>
      <w:bookmarkEnd w:id="7"/>
      <w:r>
        <w:t>(Riadny legislatívny postup: prvé čítanie)</w:t>
      </w:r>
    </w:p>
    <w:p w:rsidR="006C6719" w:rsidRDefault="00614864">
      <w:pPr>
        <w:pStyle w:val="EPComma"/>
      </w:pPr>
      <w:r>
        <w:rPr>
          <w:i/>
        </w:rPr>
        <w:t>Európsky parlament</w:t>
      </w:r>
      <w:r>
        <w:t>,</w:t>
      </w:r>
    </w:p>
    <w:p w:rsidR="006C6719" w:rsidRDefault="00614864">
      <w:pPr>
        <w:pStyle w:val="NormalHanging12a"/>
      </w:pPr>
      <w:r>
        <w:t>–</w:t>
      </w:r>
      <w:r>
        <w:tab/>
        <w:t>so zreteľom na návrh Komisie pre Európsky parlament a Radu (COM(2023)0127),</w:t>
      </w:r>
    </w:p>
    <w:p w:rsidR="006C6719" w:rsidRDefault="00614864">
      <w:pPr>
        <w:pStyle w:val="NormalHanging12a"/>
      </w:pPr>
      <w:r>
        <w:t>–</w:t>
      </w:r>
      <w:r>
        <w:tab/>
        <w:t xml:space="preserve">so zreteľom </w:t>
      </w:r>
      <w:r>
        <w:t>na článok 294 ods. 2 a článok 91 ods. 1 Zmluvy o fungovaní Európskej únie, v súlade s ktorými Komisia predložila návrh Európskemu parlamentu (C9</w:t>
      </w:r>
      <w:r>
        <w:noBreakHyphen/>
        <w:t>0035/2023),</w:t>
      </w:r>
    </w:p>
    <w:p w:rsidR="006C6719" w:rsidRDefault="00614864">
      <w:pPr>
        <w:pStyle w:val="NormalHanging12a"/>
      </w:pPr>
      <w:r>
        <w:t>–</w:t>
      </w:r>
      <w:r>
        <w:tab/>
        <w:t>so zreteľom na článok 294 ods. 3 Zmluvy o fungovaní Európskej únie,</w:t>
      </w:r>
    </w:p>
    <w:p w:rsidR="006C6719" w:rsidRDefault="00614864">
      <w:pPr>
        <w:pStyle w:val="NormalHanging12a"/>
      </w:pPr>
      <w:r>
        <w:t>–</w:t>
      </w:r>
      <w:r>
        <w:tab/>
        <w:t>so zreteľom na stanovisko E</w:t>
      </w:r>
      <w:r>
        <w:t>urópskeho hospodárskeho a sociálneho výboru zo 14. júna 2023</w:t>
      </w:r>
      <w:r>
        <w:rPr>
          <w:rStyle w:val="FootnoteReference"/>
        </w:rPr>
        <w:footnoteReference w:id="1"/>
      </w:r>
      <w:r>
        <w:t>,</w:t>
      </w:r>
    </w:p>
    <w:p w:rsidR="006C6719" w:rsidRDefault="00614864">
      <w:pPr>
        <w:pStyle w:val="NormalHanging12a"/>
      </w:pPr>
      <w:r>
        <w:t>–</w:t>
      </w:r>
      <w:r>
        <w:tab/>
        <w:t>po porade s Výborom regiónov,</w:t>
      </w:r>
    </w:p>
    <w:p w:rsidR="006C6719" w:rsidRDefault="00614864">
      <w:pPr>
        <w:pStyle w:val="NormalHanging12a"/>
      </w:pPr>
      <w:r>
        <w:t>–</w:t>
      </w:r>
      <w:r>
        <w:tab/>
        <w:t>so zreteľom na článok 59 rokovacieho poriadku,</w:t>
      </w:r>
    </w:p>
    <w:p w:rsidR="006C6719" w:rsidRDefault="00614864">
      <w:pPr>
        <w:pStyle w:val="NormalHanging12a"/>
      </w:pPr>
      <w:r>
        <w:t>–</w:t>
      </w:r>
      <w:r>
        <w:tab/>
        <w:t>so zreteľom na správu Výboru pre dopravu a cestovný ruch (A9-0445/2023),</w:t>
      </w:r>
    </w:p>
    <w:p w:rsidR="006C6719" w:rsidRDefault="00614864">
      <w:pPr>
        <w:pStyle w:val="NormalHanging12a"/>
      </w:pPr>
      <w:r>
        <w:t>1.</w:t>
      </w:r>
      <w:r>
        <w:tab/>
        <w:t>prijíma nasledujúcu pozíciu v prvo</w:t>
      </w:r>
      <w:r>
        <w:t>m čítaní;</w:t>
      </w:r>
    </w:p>
    <w:p w:rsidR="006C6719" w:rsidRDefault="00614864">
      <w:pPr>
        <w:pStyle w:val="NormalHanging12a"/>
      </w:pPr>
      <w:r>
        <w:t>2.</w:t>
      </w:r>
      <w:r>
        <w:tab/>
        <w:t>žiada Komisiu, aby mu vec znovu predložila, ak nahrádza, podstatne mení alebo má v úmysle podstatne zmeniť svoj návrh;</w:t>
      </w:r>
    </w:p>
    <w:p w:rsidR="006C6719" w:rsidRDefault="00614864">
      <w:pPr>
        <w:pStyle w:val="NormalHanging12a"/>
      </w:pPr>
      <w:r>
        <w:t>3.</w:t>
      </w:r>
      <w:r>
        <w:tab/>
        <w:t xml:space="preserve">poveruje svoju predsedníčku, aby postúpila túto pozíciu Rade, Komisii a národným </w:t>
      </w:r>
      <w:r>
        <w:lastRenderedPageBreak/>
        <w:t>parlamentom.</w:t>
      </w:r>
    </w:p>
    <w:p w:rsidR="006C6719" w:rsidRDefault="006C6719">
      <w:pPr>
        <w:pStyle w:val="NormalHanging12a"/>
        <w:sectPr w:rsidR="006C6719">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C6719" w:rsidRDefault="00614864">
      <w:pPr>
        <w:pStyle w:val="AmNumberTabs"/>
        <w:keepNext/>
        <w:spacing w:before="0" w:after="240"/>
      </w:pPr>
      <w:r>
        <w:lastRenderedPageBreak/>
        <w:t>P9_TC1-COD(2023)0053</w:t>
      </w:r>
    </w:p>
    <w:p w:rsidR="006C6719" w:rsidRDefault="00614864">
      <w:pPr>
        <w:pStyle w:val="NormalHanging12a"/>
        <w:ind w:left="0" w:firstLine="0"/>
        <w:rPr>
          <w:b/>
          <w:szCs w:val="24"/>
          <w:lang w:eastAsia="en-US"/>
        </w:rPr>
      </w:pPr>
      <w:r>
        <w:rPr>
          <w:b/>
        </w:rPr>
        <w:t xml:space="preserve">Pozícia Európskeho parlamentu prijatá v prvom čítaní 28. februára 2024 na účely prijatia smernice Európskeho parlamentu a Rady (EÚ) 2024/… </w:t>
      </w:r>
      <w:r>
        <w:rPr>
          <w:b/>
          <w:szCs w:val="24"/>
          <w:lang w:eastAsia="en-US"/>
        </w:rPr>
        <w:t>o vodičských preukazoch, ktorou sa mení smernica Európskeho parlamentu a Rady (EÚ) 2022/2561, na</w:t>
      </w:r>
      <w:r>
        <w:rPr>
          <w:b/>
          <w:szCs w:val="24"/>
          <w:lang w:eastAsia="en-US"/>
        </w:rPr>
        <w:t>riadenie Európskeho parlamentu a Rady (EÚ) 2018/1724 a zrušuje smernica Európskeho parlamentu a Rady 2006/126/ES a nariadenie Komisie (EÚ) č. 383/2012</w:t>
      </w:r>
    </w:p>
    <w:p w:rsidR="006C6719" w:rsidRDefault="00614864">
      <w:pPr>
        <w:widowControl/>
        <w:spacing w:before="360" w:after="240" w:line="360" w:lineRule="auto"/>
        <w:jc w:val="center"/>
        <w:rPr>
          <w:szCs w:val="24"/>
          <w:lang w:eastAsia="en-US"/>
        </w:rPr>
      </w:pPr>
      <w:r>
        <w:rPr>
          <w:szCs w:val="24"/>
          <w:lang w:eastAsia="en-US"/>
        </w:rPr>
        <w:t>(Text s významom pre EHP)</w:t>
      </w:r>
    </w:p>
    <w:p w:rsidR="006C6719" w:rsidRDefault="00614864">
      <w:pPr>
        <w:keepNext/>
        <w:spacing w:before="600" w:after="120" w:line="360" w:lineRule="auto"/>
        <w:rPr>
          <w:szCs w:val="24"/>
          <w:lang w:eastAsia="en-US"/>
        </w:rPr>
      </w:pPr>
      <w:r>
        <w:rPr>
          <w:szCs w:val="24"/>
          <w:lang w:eastAsia="en-US"/>
        </w:rPr>
        <w:t>EURÓPSKY PARLAMENT A RADA EURÓPSKEJ ÚNIE,</w:t>
      </w:r>
    </w:p>
    <w:p w:rsidR="006C6719" w:rsidRDefault="00614864">
      <w:pPr>
        <w:spacing w:before="120" w:after="120" w:line="360" w:lineRule="auto"/>
        <w:rPr>
          <w:lang w:eastAsia="en-US"/>
        </w:rPr>
      </w:pPr>
      <w:r>
        <w:rPr>
          <w:lang w:eastAsia="en-US"/>
        </w:rPr>
        <w:t>so zreteľom na Zmluvu o fungovaní Eu</w:t>
      </w:r>
      <w:r>
        <w:rPr>
          <w:lang w:eastAsia="en-US"/>
        </w:rPr>
        <w:t>rópskej únie, a najmä na jej článok 91 ods. 1,</w:t>
      </w:r>
    </w:p>
    <w:p w:rsidR="006C6719" w:rsidRDefault="00614864">
      <w:pPr>
        <w:spacing w:before="120" w:after="120" w:line="360" w:lineRule="auto"/>
        <w:rPr>
          <w:lang w:eastAsia="en-US"/>
        </w:rPr>
      </w:pPr>
      <w:r>
        <w:rPr>
          <w:lang w:eastAsia="en-US"/>
        </w:rPr>
        <w:t>so zreteľom na návrh Európskej komisie,</w:t>
      </w:r>
    </w:p>
    <w:p w:rsidR="006C6719" w:rsidRDefault="00614864">
      <w:pPr>
        <w:spacing w:before="120" w:after="120" w:line="360" w:lineRule="auto"/>
        <w:rPr>
          <w:lang w:eastAsia="en-US"/>
        </w:rPr>
      </w:pPr>
      <w:r>
        <w:rPr>
          <w:lang w:eastAsia="en-US"/>
        </w:rPr>
        <w:t>po postúpení návrhu legislatívneho aktu národným parlamentom,</w:t>
      </w:r>
    </w:p>
    <w:p w:rsidR="006C6719" w:rsidRDefault="00614864">
      <w:pPr>
        <w:spacing w:before="120" w:after="120" w:line="360" w:lineRule="auto"/>
        <w:rPr>
          <w:lang w:eastAsia="en-US"/>
        </w:rPr>
      </w:pPr>
      <w:r>
        <w:rPr>
          <w:lang w:eastAsia="en-US"/>
        </w:rPr>
        <w:t>so zreteľom na stanovisko Európskeho hospodárskeho a sociálneho výboru</w:t>
      </w:r>
      <w:r>
        <w:rPr>
          <w:vertAlign w:val="superscript"/>
          <w:lang w:eastAsia="en-US"/>
        </w:rPr>
        <w:footnoteReference w:id="2"/>
      </w:r>
      <w:r>
        <w:rPr>
          <w:lang w:eastAsia="en-US"/>
        </w:rPr>
        <w:t>,</w:t>
      </w:r>
    </w:p>
    <w:p w:rsidR="006C6719" w:rsidRDefault="00614864">
      <w:pPr>
        <w:spacing w:before="120" w:after="120" w:line="360" w:lineRule="auto"/>
        <w:rPr>
          <w:lang w:eastAsia="en-US"/>
        </w:rPr>
      </w:pPr>
      <w:r>
        <w:rPr>
          <w:lang w:eastAsia="en-US"/>
        </w:rPr>
        <w:t xml:space="preserve">so zreteľom na stanovisko Výboru </w:t>
      </w:r>
      <w:r>
        <w:rPr>
          <w:lang w:eastAsia="en-US"/>
        </w:rPr>
        <w:t>regiónov</w:t>
      </w:r>
      <w:r>
        <w:rPr>
          <w:vertAlign w:val="superscript"/>
          <w:lang w:eastAsia="en-US"/>
        </w:rPr>
        <w:footnoteReference w:id="3"/>
      </w:r>
      <w:r>
        <w:rPr>
          <w:lang w:eastAsia="en-US"/>
        </w:rPr>
        <w:t>,</w:t>
      </w:r>
    </w:p>
    <w:p w:rsidR="006C6719" w:rsidRDefault="00614864">
      <w:pPr>
        <w:spacing w:before="120" w:after="120" w:line="360" w:lineRule="auto"/>
        <w:rPr>
          <w:lang w:eastAsia="en-US"/>
        </w:rPr>
      </w:pPr>
      <w:r>
        <w:rPr>
          <w:lang w:eastAsia="en-US"/>
        </w:rPr>
        <w:t>konajúc v súlade s riadnym legislatívnym postupom,</w:t>
      </w:r>
    </w:p>
    <w:p w:rsidR="00614864" w:rsidRDefault="00614864" w:rsidP="00614864">
      <w:pPr>
        <w:widowControl/>
        <w:rPr>
          <w:b/>
          <w:i/>
          <w:szCs w:val="24"/>
          <w:lang w:eastAsia="en-US"/>
        </w:rPr>
      </w:pPr>
      <w:r>
        <w:rPr>
          <w:b/>
          <w:i/>
          <w:szCs w:val="24"/>
          <w:lang w:eastAsia="en-US"/>
        </w:rPr>
        <w:br w:type="page"/>
      </w:r>
    </w:p>
    <w:p w:rsidR="006C6719" w:rsidRDefault="00614864">
      <w:pPr>
        <w:spacing w:before="120" w:after="120" w:line="360" w:lineRule="auto"/>
        <w:rPr>
          <w:lang w:eastAsia="en-US"/>
        </w:rPr>
      </w:pPr>
      <w:r>
        <w:rPr>
          <w:lang w:eastAsia="en-US"/>
        </w:rPr>
        <w:lastRenderedPageBreak/>
        <w:t>keďže:</w:t>
      </w:r>
    </w:p>
    <w:p w:rsidR="006C6719" w:rsidRDefault="00614864">
      <w:pPr>
        <w:spacing w:before="120" w:after="120" w:line="360" w:lineRule="auto"/>
        <w:ind w:left="850" w:hanging="850"/>
        <w:rPr>
          <w:b/>
          <w:szCs w:val="24"/>
          <w:lang w:eastAsia="en-US"/>
        </w:rPr>
      </w:pPr>
      <w:r>
        <w:rPr>
          <w:b/>
          <w:i/>
          <w:szCs w:val="24"/>
          <w:lang w:eastAsia="en-US"/>
        </w:rPr>
        <w:t>(-1)</w:t>
      </w:r>
      <w:r>
        <w:rPr>
          <w:szCs w:val="24"/>
          <w:lang w:eastAsia="en-US"/>
        </w:rPr>
        <w:tab/>
      </w:r>
      <w:r>
        <w:rPr>
          <w:b/>
          <w:i/>
          <w:szCs w:val="24"/>
          <w:lang w:eastAsia="en-US"/>
        </w:rPr>
        <w:t>Únia je odhodlaná naplniť do roku 2050 svoju víziu nulovej úmrtnosti v cestnej premávke, ako sa zdôrazňuje v stratégii pre udržateľnú a inteligentnú mobilitu z roku 2020. V roku 2017 sa neformálne zasadnutie Rady pre dopravu vo Vallette zhodlo na tom, že p</w:t>
      </w:r>
      <w:r>
        <w:rPr>
          <w:b/>
          <w:i/>
          <w:szCs w:val="24"/>
          <w:lang w:eastAsia="en-US"/>
        </w:rPr>
        <w:t>retrvávajúci vysoký počet smrteľných dopravných nehôd a vážnych zranení v cestnej premávke je veľkým spoločenským problémom, a vydalo vyhlásenie, v ktorom okrem iného vyzvalo Komisiu, aby pripravila posilnenú politiku Únie v oblasti bezpečnosti cestnej pre</w:t>
      </w:r>
      <w:r>
        <w:rPr>
          <w:b/>
          <w:i/>
          <w:szCs w:val="24"/>
          <w:lang w:eastAsia="en-US"/>
        </w:rPr>
        <w:t xml:space="preserve">mávky a politický rámec na desaťročie po roku 2020, ktorým sa zabezpečí menej úmrtí a zvýši sa ochrana účastníkov cestnej premávky, najmä tých zraniteľných, ktorí sú najčastejšími obeťami. </w:t>
      </w:r>
      <w:r>
        <w:rPr>
          <w:b/>
          <w:szCs w:val="24"/>
          <w:lang w:eastAsia="en-US"/>
        </w:rPr>
        <w:t>[PN 1]</w:t>
      </w:r>
    </w:p>
    <w:p w:rsidR="006C6719" w:rsidRDefault="00614864">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Doterajšie úsilie orgánov verejnej moci viedlo k zníže</w:t>
      </w:r>
      <w:r>
        <w:rPr>
          <w:b/>
          <w:i/>
          <w:szCs w:val="24"/>
          <w:lang w:eastAsia="en-US"/>
        </w:rPr>
        <w:t>niu počtu smrteľných nehôd na cestách z 51 400 v roku 2001 na 19 800 v roku 2021. Tieto výsledky zaostávajú za cieľom Únie, ktorým bolo znížiť v rokoch 2001 až 2020 počet smrteľných nehôd v cestnej premávke o 75 %. Okrem toho pokrok v znížení počtu úmrtí n</w:t>
      </w:r>
      <w:r>
        <w:rPr>
          <w:b/>
          <w:i/>
          <w:szCs w:val="24"/>
          <w:lang w:eastAsia="en-US"/>
        </w:rPr>
        <w:t>a cestách o polovicu počas prvého desaťročia neskôr stagnoval.</w:t>
      </w:r>
      <w:r>
        <w:rPr>
          <w:b/>
          <w:szCs w:val="24"/>
          <w:lang w:eastAsia="en-US"/>
        </w:rPr>
        <w:t xml:space="preserve"> [PN 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(1)</w:t>
      </w:r>
      <w:r>
        <w:rPr>
          <w:szCs w:val="24"/>
          <w:lang w:eastAsia="en-US"/>
        </w:rPr>
        <w:tab/>
        <w:t>Predpisy o vodičských preukazoch sú základnými prvkami spoločnej dopravnej politiky, prispievajú k zlepšeniu bezpečnosti cestnej premávky a uľahčujú voľný pohyb osôb, ktoré sa usad</w:t>
      </w:r>
      <w:r>
        <w:rPr>
          <w:szCs w:val="24"/>
          <w:lang w:eastAsia="en-US"/>
        </w:rPr>
        <w:t>ili v inom členskom štáte ako v štáte, v ktorom bol vydaný vodičský preukaz. Vzhľadom na význam jednotlivých dopravných prostriedkov držba vodičského preukazu riadne uznaného v hostiteľskom členskom štáte podporuje a uľahčuje voľný pohyb osôb a slobodu usa</w:t>
      </w:r>
      <w:r>
        <w:rPr>
          <w:szCs w:val="24"/>
          <w:lang w:eastAsia="en-US"/>
        </w:rPr>
        <w:t>diť sa. Podobne každé nezákonné získanie takéhoto dokumentu alebo práva viesť vozidlo, alebo strata oprávnene získaného vodičského preukazu nezákonným konaním ovplyvňujú nielen členský štát, v ktorom boli takéto porušenia spáchané, ale aj bezpečnosť cestne</w:t>
      </w:r>
      <w:r>
        <w:rPr>
          <w:szCs w:val="24"/>
          <w:lang w:eastAsia="en-US"/>
        </w:rPr>
        <w:t>j premávky v celej Únii.</w:t>
      </w:r>
    </w:p>
    <w:p w:rsidR="006C6719" w:rsidRDefault="00614864">
      <w:pPr>
        <w:spacing w:before="120" w:after="120" w:line="360" w:lineRule="auto"/>
        <w:ind w:left="850" w:hanging="850"/>
        <w:rPr>
          <w:b/>
          <w:szCs w:val="24"/>
          <w:lang w:eastAsia="en-US"/>
        </w:rPr>
      </w:pPr>
      <w:r>
        <w:rPr>
          <w:szCs w:val="24"/>
          <w:lang w:eastAsia="en-US"/>
        </w:rPr>
        <w:t>(2)</w:t>
      </w:r>
      <w:r>
        <w:rPr>
          <w:szCs w:val="24"/>
          <w:lang w:eastAsia="en-US"/>
        </w:rPr>
        <w:tab/>
        <w:t xml:space="preserve">Súčasný rámec by sa mal aktualizovať, aby bol vhodný pre novú éru, udržateľný, </w:t>
      </w:r>
      <w:proofErr w:type="spellStart"/>
      <w:r>
        <w:rPr>
          <w:szCs w:val="24"/>
          <w:lang w:eastAsia="en-US"/>
        </w:rPr>
        <w:t>inkluzívny</w:t>
      </w:r>
      <w:proofErr w:type="spellEnd"/>
      <w:r>
        <w:rPr>
          <w:szCs w:val="24"/>
          <w:lang w:eastAsia="en-US"/>
        </w:rPr>
        <w:t xml:space="preserve">, inteligentný a odolný. Mal by zohľadňovať potrebu znížiť emisie </w:t>
      </w:r>
      <w:r>
        <w:rPr>
          <w:b/>
          <w:i/>
          <w:szCs w:val="24"/>
          <w:lang w:eastAsia="en-US"/>
        </w:rPr>
        <w:t xml:space="preserve">a spotrebu energie </w:t>
      </w:r>
      <w:r>
        <w:rPr>
          <w:szCs w:val="24"/>
          <w:lang w:eastAsia="en-US"/>
        </w:rPr>
        <w:t>z dopravy</w:t>
      </w:r>
      <w:r>
        <w:rPr>
          <w:b/>
          <w:i/>
          <w:szCs w:val="24"/>
          <w:lang w:eastAsia="en-US"/>
        </w:rPr>
        <w:t>, a to aj väčším zavádzaním vozidiel na alte</w:t>
      </w:r>
      <w:r>
        <w:rPr>
          <w:b/>
          <w:i/>
          <w:szCs w:val="24"/>
          <w:lang w:eastAsia="en-US"/>
        </w:rPr>
        <w:t>rnatívny pohon</w:t>
      </w:r>
      <w:r>
        <w:rPr>
          <w:szCs w:val="24"/>
          <w:lang w:eastAsia="en-US"/>
        </w:rPr>
        <w:t>, digitalizáciu, demografické trendy a technologický vývoj, aby sa posilnila konkurencieschopnosť európskeho hospodárstva. Je dôležité zjednodušiť a digitalizovať administratívne postupy, aby sa odstránili zostávajúce prekážky, ako je adminis</w:t>
      </w:r>
      <w:r>
        <w:rPr>
          <w:szCs w:val="24"/>
          <w:lang w:eastAsia="en-US"/>
        </w:rPr>
        <w:t xml:space="preserve">tratívne zaťaženie, brániace voľnému pohybu vodičov, ktorí sa usadili v inom členskom štáte ako v štáte, v ktorom bol vydaný vodičský preukaz. Harmonizovaný štandardný rámec Únie pre vodičské preukazy by mal zahŕňať fyzické aj mobilné vodičské preukazy </w:t>
      </w:r>
      <w:r>
        <w:rPr>
          <w:b/>
          <w:i/>
          <w:szCs w:val="24"/>
          <w:lang w:eastAsia="en-US"/>
        </w:rPr>
        <w:t>vše</w:t>
      </w:r>
      <w:r>
        <w:rPr>
          <w:b/>
          <w:i/>
          <w:szCs w:val="24"/>
          <w:lang w:eastAsia="en-US"/>
        </w:rPr>
        <w:t xml:space="preserve">tkých skupín </w:t>
      </w:r>
      <w:r>
        <w:rPr>
          <w:szCs w:val="24"/>
          <w:lang w:eastAsia="en-US"/>
        </w:rPr>
        <w:t>a zabezpečiť ich vzájomné uznávanie, ak boli riadne vydané v súlade s touto smernicou.</w:t>
      </w:r>
      <w:r>
        <w:rPr>
          <w:b/>
          <w:szCs w:val="24"/>
          <w:lang w:eastAsia="en-US"/>
        </w:rPr>
        <w:t xml:space="preserve"> [PN 3]</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Európska únia zaviedla prvý „vzor Spoločenstva“ pre fyzické vodičské preukazy 4. decembra 1980. Odvtedy sa pravidlá týkajúce sa takéhoto vzoru </w:t>
      </w:r>
      <w:r>
        <w:rPr>
          <w:szCs w:val="24"/>
          <w:lang w:eastAsia="en-US"/>
        </w:rPr>
        <w:t>Spoločenstva stali základom najmodernejších štruktúr vydávania vodičských preukazov na svete, ktoré pokrývajú viac ako 250 miliónov vodičov. Táto smernica by preto mala vychádzať zo získaných skúseností a z praxe a mali by sa ňou stanoviť harmonizované pra</w:t>
      </w:r>
      <w:r>
        <w:rPr>
          <w:szCs w:val="24"/>
          <w:lang w:eastAsia="en-US"/>
        </w:rPr>
        <w:t>vidlá týkajúce sa noriem Únie pre fyzické vodičské preukazy. Fyzické vodičské preukazy vydávané v Únii by mali predovšetkým zabezpečiť vysokú úroveň ochrany pred podvodmi a falšovaním prostredníctvom opatrení proti falšovaniu a možnosť umiestniť na doklady</w:t>
      </w:r>
      <w:r>
        <w:rPr>
          <w:szCs w:val="24"/>
          <w:lang w:eastAsia="en-US"/>
        </w:rPr>
        <w:t xml:space="preserve"> mikročipy alebo kódy QR.</w:t>
      </w:r>
    </w:p>
    <w:p w:rsidR="006C6719" w:rsidRDefault="00614864">
      <w:pPr>
        <w:spacing w:before="120" w:after="120" w:line="360" w:lineRule="auto"/>
        <w:ind w:left="850" w:hanging="850"/>
        <w:rPr>
          <w:b/>
          <w:szCs w:val="24"/>
          <w:lang w:eastAsia="en-US"/>
        </w:rPr>
      </w:pPr>
      <w:r>
        <w:rPr>
          <w:szCs w:val="24"/>
          <w:lang w:eastAsia="en-US"/>
        </w:rPr>
        <w:t>(4)</w:t>
      </w:r>
      <w:r>
        <w:rPr>
          <w:szCs w:val="24"/>
          <w:lang w:eastAsia="en-US"/>
        </w:rPr>
        <w:tab/>
        <w:t>Malo by sa zaistiť, aby spracúvanie osobných údajov na účely vykonávania tejto smernice bolo v súlade s rámcom Únie pre ochranu osobných údajov, najmä s nariadením Európskeho parlamentu a Rady (EÚ) 2016/679</w:t>
      </w:r>
      <w:r>
        <w:rPr>
          <w:szCs w:val="24"/>
          <w:vertAlign w:val="superscript"/>
          <w:lang w:eastAsia="en-US"/>
        </w:rPr>
        <w:footnoteReference w:id="4"/>
      </w:r>
      <w:r>
        <w:rPr>
          <w:b/>
          <w:i/>
          <w:szCs w:val="24"/>
          <w:lang w:eastAsia="en-US"/>
        </w:rPr>
        <w:t xml:space="preserve"> a smernicou Európs</w:t>
      </w:r>
      <w:r>
        <w:rPr>
          <w:b/>
          <w:i/>
          <w:szCs w:val="24"/>
          <w:lang w:eastAsia="en-US"/>
        </w:rPr>
        <w:t>keho parlamentu a Rady 2002/58/ES</w:t>
      </w:r>
      <w:r>
        <w:rPr>
          <w:szCs w:val="24"/>
          <w:vertAlign w:val="superscript"/>
          <w:lang w:eastAsia="en-US"/>
        </w:rPr>
        <w:footnoteReference w:id="5"/>
      </w:r>
      <w:r>
        <w:rPr>
          <w:szCs w:val="24"/>
          <w:lang w:eastAsia="en-US"/>
        </w:rPr>
        <w:t>.</w:t>
      </w:r>
      <w:r>
        <w:rPr>
          <w:b/>
          <w:szCs w:val="24"/>
          <w:lang w:eastAsia="en-US"/>
        </w:rPr>
        <w:t xml:space="preserve"> [PN 5]</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(5)</w:t>
      </w:r>
      <w:r>
        <w:rPr>
          <w:szCs w:val="24"/>
          <w:lang w:eastAsia="en-US"/>
        </w:rPr>
        <w:tab/>
        <w:t>Touto smernicou sa stanovuje právny základ na uchovávanie povinného súboru osobných údajov vo fyzických vodičských preukazoch a v ich mikročipoch alebo kódoch QR a v mobilných vodičských preukazoch</w:t>
      </w:r>
      <w:r>
        <w:rPr>
          <w:b/>
          <w:i/>
          <w:szCs w:val="24"/>
          <w:lang w:eastAsia="en-US"/>
        </w:rPr>
        <w:t xml:space="preserve"> na preuká</w:t>
      </w:r>
      <w:r>
        <w:rPr>
          <w:b/>
          <w:i/>
          <w:szCs w:val="24"/>
          <w:lang w:eastAsia="en-US"/>
        </w:rPr>
        <w:t>zanie a overenie práva osoby viesť vozidlo a identifikovanie tejto osoby</w:t>
      </w:r>
      <w:r>
        <w:rPr>
          <w:szCs w:val="24"/>
          <w:lang w:eastAsia="en-US"/>
        </w:rPr>
        <w:t xml:space="preserve"> s cieľom zaručiť vysokú úroveň bezpečnosti cestnej premávky v celej Únii, a to v súlade s článkom 6 ods. 1 písm. e) a prípadne článkom 9 ods. 2 písm. g) nariadenia (EÚ) 2016/679. Také</w:t>
      </w:r>
      <w:r>
        <w:rPr>
          <w:szCs w:val="24"/>
          <w:lang w:eastAsia="en-US"/>
        </w:rPr>
        <w:t>to údaje by sa mali obmedziť na to, čo je potrebné na preukázanie práva osoby viesť vozidlo, identifikovanie tejto osoby a overenie vodičských oprávnení a totožnosti tejto osoby. V tejto smernici sa stanovujú aj dodatočné záruky, aby sa zaistila ochrana os</w:t>
      </w:r>
      <w:r>
        <w:rPr>
          <w:szCs w:val="24"/>
          <w:lang w:eastAsia="en-US"/>
        </w:rPr>
        <w:t>obných údajov poskytnutých počas procesu overovania.</w:t>
      </w:r>
      <w:r>
        <w:rPr>
          <w:b/>
          <w:szCs w:val="24"/>
          <w:lang w:eastAsia="en-US"/>
        </w:rPr>
        <w:t xml:space="preserve"> [PN 6]</w:t>
      </w:r>
    </w:p>
    <w:p w:rsidR="006C6719" w:rsidRDefault="00614864">
      <w:pPr>
        <w:spacing w:before="120" w:after="120" w:line="360" w:lineRule="auto"/>
        <w:ind w:left="850" w:hanging="850"/>
        <w:rPr>
          <w:b/>
          <w:szCs w:val="24"/>
          <w:lang w:eastAsia="en-US"/>
        </w:rPr>
      </w:pPr>
      <w:r>
        <w:rPr>
          <w:szCs w:val="24"/>
          <w:lang w:eastAsia="en-US"/>
        </w:rPr>
        <w:t>(6)</w:t>
      </w:r>
      <w:r>
        <w:rPr>
          <w:szCs w:val="24"/>
          <w:lang w:eastAsia="en-US"/>
        </w:rPr>
        <w:tab/>
        <w:t>S cieľom zabezpečiť právnu zrozumiteľnosť a zaručiť bezproblémový prechod medzi touto smernicou a smernicou Európskeho parlamentu a Rady 2006/126/ES o vodičských preukazoch</w:t>
      </w:r>
      <w:r>
        <w:rPr>
          <w:szCs w:val="24"/>
          <w:vertAlign w:val="superscript"/>
          <w:lang w:eastAsia="en-US"/>
        </w:rPr>
        <w:footnoteReference w:id="6"/>
      </w:r>
      <w:r>
        <w:rPr>
          <w:szCs w:val="24"/>
          <w:lang w:eastAsia="en-US"/>
        </w:rPr>
        <w:t xml:space="preserve"> by členské štáty m</w:t>
      </w:r>
      <w:r>
        <w:rPr>
          <w:szCs w:val="24"/>
          <w:lang w:eastAsia="en-US"/>
        </w:rPr>
        <w:t xml:space="preserve">ali byť schopné uložiť na mikročip dodatočné osobné údaje, ak je to stanovené vo vnútroštátnom práve, ktoré je v súlade s nariadením (EÚ) 2016/679. </w:t>
      </w:r>
      <w:r>
        <w:rPr>
          <w:b/>
          <w:i/>
          <w:szCs w:val="24"/>
          <w:lang w:eastAsia="en-US"/>
        </w:rPr>
        <w:t>V každom prípade by sa akékoľvek údaje uložené na takomto mikročipe mali uchovávať len do uplynutia platnost</w:t>
      </w:r>
      <w:r>
        <w:rPr>
          <w:b/>
          <w:i/>
          <w:szCs w:val="24"/>
          <w:lang w:eastAsia="en-US"/>
        </w:rPr>
        <w:t xml:space="preserve">i vodičského preukazu. </w:t>
      </w:r>
      <w:r>
        <w:rPr>
          <w:szCs w:val="24"/>
          <w:lang w:eastAsia="en-US"/>
        </w:rPr>
        <w:t>Táto smernica však neslúži ako právny základ pre začlenenie takýchto dodatočných údajov.</w:t>
      </w:r>
      <w:r>
        <w:rPr>
          <w:b/>
          <w:szCs w:val="24"/>
          <w:lang w:eastAsia="en-US"/>
        </w:rPr>
        <w:t xml:space="preserve"> [PN 7]</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(7)</w:t>
      </w:r>
      <w:r>
        <w:rPr>
          <w:szCs w:val="24"/>
          <w:lang w:eastAsia="en-US"/>
        </w:rPr>
        <w:tab/>
        <w:t>Na rozdiel od toho by kód QR zavedený touto smernicou, ktorý umožňuje overenie pravosti informácií vytlačených na fyzickom vodičsko</w:t>
      </w:r>
      <w:r>
        <w:rPr>
          <w:szCs w:val="24"/>
          <w:lang w:eastAsia="en-US"/>
        </w:rPr>
        <w:t>m preukaze, nemal umožňovať ukladanie väčšieho množstva informácií, než sa uvádza na fyzickom vodičskom preukaze.</w:t>
      </w:r>
    </w:p>
    <w:p w:rsidR="006C6719" w:rsidRDefault="00614864">
      <w:pPr>
        <w:spacing w:before="120" w:after="120" w:line="360" w:lineRule="auto"/>
        <w:ind w:left="850" w:hanging="850"/>
        <w:rPr>
          <w:szCs w:val="24"/>
          <w:lang w:eastAsia="en-US"/>
        </w:rPr>
      </w:pPr>
      <w:r>
        <w:rPr>
          <w:szCs w:val="24"/>
          <w:lang w:eastAsia="en-US"/>
        </w:rPr>
        <w:t>(8)</w:t>
      </w:r>
      <w:r>
        <w:rPr>
          <w:szCs w:val="24"/>
          <w:lang w:eastAsia="en-US"/>
        </w:rPr>
        <w:tab/>
        <w:t xml:space="preserve">Táto smernica neposkytuje právny základ na vytvorenie alebo vedenie databáz na vnútroštátnej úrovni na účely uchovávania biometrických </w:t>
      </w:r>
      <w:r>
        <w:rPr>
          <w:szCs w:val="24"/>
          <w:lang w:eastAsia="en-US"/>
        </w:rPr>
        <w:t>údajov v členských štátoch, čo je záležitosť vnútroštátneho práva, ktoré musí byť v súlade s právom Únie v oblasti ochrany údajov. Navyše táto smernica neposkytuje právny základ na vytvorenie alebo vedenie centralizovanej databázy biometrických údajov na ú</w:t>
      </w:r>
      <w:r>
        <w:rPr>
          <w:szCs w:val="24"/>
          <w:lang w:eastAsia="en-US"/>
        </w:rPr>
        <w:t>rovni Únie.</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(8a)</w:t>
      </w:r>
      <w:r>
        <w:rPr>
          <w:szCs w:val="24"/>
          <w:lang w:eastAsia="en-US"/>
        </w:rPr>
        <w:tab/>
      </w:r>
      <w:r>
        <w:rPr>
          <w:b/>
          <w:i/>
          <w:szCs w:val="24"/>
          <w:lang w:eastAsia="en-US"/>
        </w:rPr>
        <w:t xml:space="preserve">Mobilné vodičské preukazy by mali zaistiť najvyššiu úroveň bezpečnosti osobných údajov používaných na identifikáciu a autentifikáciu bez ohľadu na to, či sa takéto údaje uchovávajú lokálne, v decentralizovaných registroch alebo na </w:t>
      </w:r>
      <w:proofErr w:type="spellStart"/>
      <w:r>
        <w:rPr>
          <w:b/>
          <w:i/>
          <w:szCs w:val="24"/>
          <w:lang w:eastAsia="en-US"/>
        </w:rPr>
        <w:t>cloude</w:t>
      </w:r>
      <w:proofErr w:type="spellEnd"/>
      <w:r>
        <w:rPr>
          <w:b/>
          <w:i/>
          <w:szCs w:val="24"/>
          <w:lang w:eastAsia="en-US"/>
        </w:rPr>
        <w:t>, pričom sa zohľadnia rôzne úrovne rizika. Napriek potrebe silnej autentifikácie používateľa by používanie biometrických údajov na identifikáciu a autentifikáciu osobných údajov nemalo byť podmienkou používania mobilného vodičského preukazu. Biometrické úd</w:t>
      </w:r>
      <w:r>
        <w:rPr>
          <w:b/>
          <w:i/>
          <w:szCs w:val="24"/>
          <w:lang w:eastAsia="en-US"/>
        </w:rPr>
        <w:t xml:space="preserve">aje používané na účely autentifikácie fyzickej osoby podľa nariadenia (EÚ) 2016/679 by sa nemali uchovávať na </w:t>
      </w:r>
      <w:proofErr w:type="spellStart"/>
      <w:r>
        <w:rPr>
          <w:b/>
          <w:i/>
          <w:szCs w:val="24"/>
          <w:lang w:eastAsia="en-US"/>
        </w:rPr>
        <w:t>cloude</w:t>
      </w:r>
      <w:proofErr w:type="spellEnd"/>
      <w:r>
        <w:rPr>
          <w:b/>
          <w:i/>
          <w:szCs w:val="24"/>
          <w:lang w:eastAsia="en-US"/>
        </w:rPr>
        <w:t xml:space="preserve"> bez výslovného súhlasu používateľa. Používanie biometrických údajov by sa malo obmedziť na špecifické scenáre stanovené v článku 9 tohto na</w:t>
      </w:r>
      <w:r>
        <w:rPr>
          <w:b/>
          <w:i/>
          <w:szCs w:val="24"/>
          <w:lang w:eastAsia="en-US"/>
        </w:rPr>
        <w:t>riadenia a vyžaduje si organizačné a bezpečnostné opatrenia, ktoré sú primerané riziku, ktoré takéto spracúvanie môže znamenať pre práva a slobody fyzických osôb, a ktoré musia byť v súlade s nariadením (EÚ) 2016/679.</w:t>
      </w:r>
      <w:r>
        <w:rPr>
          <w:b/>
          <w:szCs w:val="24"/>
          <w:lang w:eastAsia="en-US"/>
        </w:rPr>
        <w:t xml:space="preserve"> [PN 8]</w:t>
      </w:r>
    </w:p>
    <w:p w:rsidR="006C6719" w:rsidRDefault="00614864">
      <w:pPr>
        <w:spacing w:before="120" w:after="120" w:line="360" w:lineRule="auto"/>
        <w:ind w:left="850" w:hanging="850"/>
        <w:rPr>
          <w:szCs w:val="24"/>
          <w:lang w:eastAsia="en-US"/>
        </w:rPr>
      </w:pPr>
      <w:r>
        <w:rPr>
          <w:szCs w:val="24"/>
          <w:lang w:eastAsia="en-US"/>
        </w:rPr>
        <w:t>(9)</w:t>
      </w:r>
      <w:r>
        <w:rPr>
          <w:szCs w:val="24"/>
          <w:lang w:eastAsia="en-US"/>
        </w:rPr>
        <w:tab/>
        <w:t xml:space="preserve">Sú potrebné ďalšie záväzky </w:t>
      </w:r>
      <w:r>
        <w:rPr>
          <w:szCs w:val="24"/>
          <w:lang w:eastAsia="en-US"/>
        </w:rPr>
        <w:t>na urýchlenie boja proti falšovaniu a podvodom v súvislosti s vodičskými preukazmi. Je preto žiaduce posunúť dátum pôvodne stanovený v smernici 2006/126/ES, aby všetky fyzické vodičské preukazy, ktoré boli vydané alebo sa používajú, spĺňali všetky požiadav</w:t>
      </w:r>
      <w:r>
        <w:rPr>
          <w:szCs w:val="24"/>
          <w:lang w:eastAsia="en-US"/>
        </w:rPr>
        <w:t>ky stanovené v práve Únie.</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(10)</w:t>
      </w:r>
      <w:r>
        <w:rPr>
          <w:szCs w:val="24"/>
          <w:lang w:eastAsia="en-US"/>
        </w:rPr>
        <w:tab/>
        <w:t>Jednou z priorít Únie je digitálna transformácia. V prípade cestnej dopravy prispeje k odstráneniu zostávajúcich administratívnych prekážok voľného pohybu osôb, ako sú prekážky týkajúce sa lehoty na vydanie fyzických vodič</w:t>
      </w:r>
      <w:r>
        <w:rPr>
          <w:szCs w:val="24"/>
          <w:lang w:eastAsia="en-US"/>
        </w:rPr>
        <w:t xml:space="preserve">ských preukazov. Mala by sa preto stanoviť samostatná norma Únie pre mobilné vodičské preukazy vydávané v Únii. Na uľahčenie digitálnej transformácie by sa mobilné vodičské preukazy mali </w:t>
      </w:r>
      <w:r>
        <w:rPr>
          <w:strike/>
          <w:szCs w:val="24"/>
          <w:lang w:eastAsia="en-US"/>
        </w:rPr>
        <w:t xml:space="preserve">štandardne </w:t>
      </w:r>
      <w:r>
        <w:rPr>
          <w:szCs w:val="24"/>
          <w:lang w:eastAsia="en-US"/>
        </w:rPr>
        <w:t xml:space="preserve">vydávať </w:t>
      </w:r>
      <w:r>
        <w:rPr>
          <w:b/>
          <w:i/>
          <w:szCs w:val="24"/>
          <w:lang w:eastAsia="en-US"/>
        </w:rPr>
        <w:t>popri fyzických vodičských preukazoch od ...</w:t>
      </w:r>
      <w:r>
        <w:rPr>
          <w:strike/>
          <w:szCs w:val="24"/>
          <w:lang w:eastAsia="en-US"/>
        </w:rPr>
        <w:t>od</w:t>
      </w:r>
      <w:r>
        <w:rPr>
          <w:szCs w:val="24"/>
          <w:lang w:eastAsia="en-US"/>
        </w:rPr>
        <w:t xml:space="preserve"> [dá</w:t>
      </w:r>
      <w:r>
        <w:rPr>
          <w:szCs w:val="24"/>
          <w:lang w:eastAsia="en-US"/>
        </w:rPr>
        <w:t xml:space="preserve">tum prijatia + 4 roky] bez toho, aby bolo dotknuté právo žiadateľa </w:t>
      </w:r>
      <w:r>
        <w:rPr>
          <w:b/>
          <w:i/>
          <w:szCs w:val="24"/>
          <w:lang w:eastAsia="en-US"/>
        </w:rPr>
        <w:t xml:space="preserve">vzdať sa buď fyzického, alebo digitálneho vodičského preukazu. Žiadateľ by mal mať právo kedykoľvek </w:t>
      </w:r>
      <w:r>
        <w:rPr>
          <w:szCs w:val="24"/>
          <w:lang w:eastAsia="en-US"/>
        </w:rPr>
        <w:t xml:space="preserve">získať </w:t>
      </w:r>
      <w:proofErr w:type="spellStart"/>
      <w:r>
        <w:rPr>
          <w:strike/>
          <w:szCs w:val="24"/>
          <w:lang w:eastAsia="en-US"/>
        </w:rPr>
        <w:t>buď</w:t>
      </w:r>
      <w:r>
        <w:rPr>
          <w:b/>
          <w:i/>
          <w:szCs w:val="24"/>
          <w:lang w:eastAsia="en-US"/>
        </w:rPr>
        <w:t>formát</w:t>
      </w:r>
      <w:proofErr w:type="spellEnd"/>
      <w:r>
        <w:rPr>
          <w:b/>
          <w:i/>
          <w:szCs w:val="24"/>
          <w:lang w:eastAsia="en-US"/>
        </w:rPr>
        <w:t xml:space="preserve"> vodičského preukazu, ktorého sa pôvodne vzdal. Pravidlom by mal zostať </w:t>
      </w:r>
      <w:proofErr w:type="spellStart"/>
      <w:r>
        <w:rPr>
          <w:b/>
          <w:i/>
          <w:szCs w:val="24"/>
          <w:lang w:eastAsia="en-US"/>
        </w:rPr>
        <w:t>d</w:t>
      </w:r>
      <w:r>
        <w:rPr>
          <w:b/>
          <w:i/>
          <w:szCs w:val="24"/>
          <w:lang w:eastAsia="en-US"/>
        </w:rPr>
        <w:t>iskrečný</w:t>
      </w:r>
      <w:proofErr w:type="spellEnd"/>
      <w:r>
        <w:rPr>
          <w:b/>
          <w:i/>
          <w:szCs w:val="24"/>
          <w:lang w:eastAsia="en-US"/>
        </w:rPr>
        <w:t xml:space="preserve"> prístup, pričom by sa malo zabezpečiť, aby žiadatelia mali z hospodárskeho a prevádzkového hľadiska rovnaký prístup k fyzickému a mobilnému formátu. Nemalo by sa preto v žiadnom prípade odrádzať od výberu fyzického vodičského preukazu, a najmä by </w:t>
      </w:r>
      <w:r>
        <w:rPr>
          <w:b/>
          <w:i/>
          <w:szCs w:val="24"/>
          <w:lang w:eastAsia="en-US"/>
        </w:rPr>
        <w:t>žiadatelia, ktorí nie sú schopní alebo ochotní získať mobilný vodičský preukaz, mali mať naďalej prístup k fyzickému vodičskému preukazu. Členské štáty by mali zabezpečiť, aby sa</w:t>
      </w:r>
      <w:r>
        <w:rPr>
          <w:szCs w:val="24"/>
          <w:lang w:eastAsia="en-US"/>
        </w:rPr>
        <w:t xml:space="preserve"> fyzický vodičský preukaz</w:t>
      </w:r>
      <w:r>
        <w:rPr>
          <w:strike/>
          <w:szCs w:val="24"/>
          <w:lang w:eastAsia="en-US"/>
        </w:rPr>
        <w:t>,</w:t>
      </w:r>
      <w:r>
        <w:rPr>
          <w:b/>
          <w:i/>
          <w:szCs w:val="24"/>
          <w:lang w:eastAsia="en-US"/>
        </w:rPr>
        <w:t xml:space="preserve"> vydal</w:t>
      </w:r>
      <w:r>
        <w:rPr>
          <w:szCs w:val="24"/>
          <w:lang w:eastAsia="en-US"/>
        </w:rPr>
        <w:t xml:space="preserve"> alebo </w:t>
      </w:r>
      <w:r>
        <w:rPr>
          <w:strike/>
          <w:szCs w:val="24"/>
          <w:lang w:eastAsia="en-US"/>
        </w:rPr>
        <w:t xml:space="preserve">oba </w:t>
      </w:r>
      <w:proofErr w:type="spellStart"/>
      <w:r>
        <w:rPr>
          <w:strike/>
          <w:szCs w:val="24"/>
          <w:lang w:eastAsia="en-US"/>
        </w:rPr>
        <w:t>súčasne</w:t>
      </w:r>
      <w:r>
        <w:rPr>
          <w:b/>
          <w:i/>
          <w:szCs w:val="24"/>
          <w:lang w:eastAsia="en-US"/>
        </w:rPr>
        <w:t>opätovne</w:t>
      </w:r>
      <w:proofErr w:type="spellEnd"/>
      <w:r>
        <w:rPr>
          <w:b/>
          <w:i/>
          <w:szCs w:val="24"/>
          <w:lang w:eastAsia="en-US"/>
        </w:rPr>
        <w:t xml:space="preserve"> vydal bez zbytočnéh</w:t>
      </w:r>
      <w:r>
        <w:rPr>
          <w:b/>
          <w:i/>
          <w:szCs w:val="24"/>
          <w:lang w:eastAsia="en-US"/>
        </w:rPr>
        <w:t>o odkladu a najneskôr do dvoch týždňov odo dňa podania žiadosti</w:t>
      </w:r>
      <w:r>
        <w:rPr>
          <w:szCs w:val="24"/>
          <w:lang w:eastAsia="en-US"/>
        </w:rPr>
        <w:t>.</w:t>
      </w:r>
      <w:r>
        <w:rPr>
          <w:b/>
          <w:szCs w:val="24"/>
          <w:lang w:eastAsia="en-US"/>
        </w:rPr>
        <w:t xml:space="preserve"> [PN 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(11)</w:t>
      </w:r>
      <w:r>
        <w:rPr>
          <w:szCs w:val="24"/>
          <w:lang w:eastAsia="en-US"/>
        </w:rPr>
        <w:tab/>
        <w:t>Mobilný vodičský preukaz by mal obsahovať nielen informácie uvedené na fyzických vodičských preukazoch, ale aj informácie, ktoré umožňujú overiť pravosť údajov</w:t>
      </w:r>
      <w:r>
        <w:rPr>
          <w:strike/>
          <w:szCs w:val="24"/>
          <w:lang w:eastAsia="en-US"/>
        </w:rPr>
        <w:t>,</w:t>
      </w:r>
      <w:r>
        <w:rPr>
          <w:szCs w:val="24"/>
          <w:lang w:eastAsia="en-US"/>
        </w:rPr>
        <w:t xml:space="preserve"> a jednorazového </w:t>
      </w:r>
      <w:r>
        <w:rPr>
          <w:szCs w:val="24"/>
          <w:lang w:eastAsia="en-US"/>
        </w:rPr>
        <w:t>ukazovateľa. Malo by sa však zaistiť, aby sa aj v takýchto prípadoch obmedzilo množstvo sprístupnených osobných údajov na to, čo by bolo uvedené na fyzickom vodičskom preukaze a čo je nevyhnutne potrebné na overenie pravosti takýchto údajov</w:t>
      </w:r>
      <w:r>
        <w:rPr>
          <w:b/>
          <w:i/>
          <w:szCs w:val="24"/>
          <w:lang w:eastAsia="en-US"/>
        </w:rPr>
        <w:t>, najmä elektron</w:t>
      </w:r>
      <w:r>
        <w:rPr>
          <w:b/>
          <w:i/>
          <w:szCs w:val="24"/>
          <w:lang w:eastAsia="en-US"/>
        </w:rPr>
        <w:t>ický podpis vydávajúceho orgánu</w:t>
      </w:r>
      <w:r>
        <w:rPr>
          <w:szCs w:val="24"/>
          <w:lang w:eastAsia="en-US"/>
        </w:rPr>
        <w:t>. Tieto dodatočné údaje by mali byť odlišné v prípade osoby, ktorá je držiteľom viacerých mobilných vodičských preukazov, čo je možné za predpokladu, že ich vydal ten istý členský štát.</w:t>
      </w:r>
      <w:r>
        <w:rPr>
          <w:b/>
          <w:szCs w:val="24"/>
          <w:lang w:eastAsia="en-US"/>
        </w:rPr>
        <w:t xml:space="preserve"> [PN 10]</w:t>
      </w:r>
    </w:p>
    <w:p w:rsidR="006C6719" w:rsidRDefault="00614864">
      <w:pPr>
        <w:spacing w:before="120" w:after="120" w:line="360" w:lineRule="auto"/>
        <w:ind w:left="850" w:hanging="850"/>
        <w:rPr>
          <w:b/>
          <w:szCs w:val="24"/>
          <w:lang w:eastAsia="en-US"/>
        </w:rPr>
      </w:pPr>
      <w:r>
        <w:rPr>
          <w:szCs w:val="24"/>
          <w:lang w:eastAsia="en-US"/>
        </w:rPr>
        <w:t>(12)</w:t>
      </w:r>
      <w:r>
        <w:rPr>
          <w:szCs w:val="24"/>
          <w:lang w:eastAsia="en-US"/>
        </w:rPr>
        <w:tab/>
        <w:t>V stratégii pre udržateľnú</w:t>
      </w:r>
      <w:r>
        <w:rPr>
          <w:szCs w:val="24"/>
          <w:lang w:eastAsia="en-US"/>
        </w:rPr>
        <w:t xml:space="preserve"> a inteligentnú mobilitu sa stanovuje vízia pre EÚ podstatne zlepšiť udržateľnosť mobility a dopravy. Emisie z odvetvia cestnej dopravy zahŕňajú emisie skleníkových plynov, látky znečisťujúce ovzdušie, hluk a </w:t>
      </w:r>
      <w:proofErr w:type="spellStart"/>
      <w:r>
        <w:rPr>
          <w:szCs w:val="24"/>
          <w:lang w:eastAsia="en-US"/>
        </w:rPr>
        <w:t>mikroplasty</w:t>
      </w:r>
      <w:proofErr w:type="spellEnd"/>
      <w:r>
        <w:rPr>
          <w:szCs w:val="24"/>
          <w:lang w:eastAsia="en-US"/>
        </w:rPr>
        <w:t xml:space="preserve"> z opotrebovania pneumatík a ciest. </w:t>
      </w:r>
      <w:r>
        <w:rPr>
          <w:b/>
          <w:i/>
          <w:szCs w:val="24"/>
          <w:lang w:eastAsia="en-US"/>
        </w:rPr>
        <w:t xml:space="preserve">Kľúčom k zelenej transformácii je väčší podiel vozidiel s pohonom na alternatívne palivá. V tejto smernici by sa mala zohľadniť možnosť, že pri vodičských preukazoch skupiny B, C alebo D budú k dispozícii nové modely vyššej hmotnosti. </w:t>
      </w:r>
      <w:r>
        <w:rPr>
          <w:szCs w:val="24"/>
          <w:lang w:eastAsia="en-US"/>
        </w:rPr>
        <w:t>Tieto emisie ovplyvňu</w:t>
      </w:r>
      <w:r>
        <w:rPr>
          <w:szCs w:val="24"/>
          <w:lang w:eastAsia="en-US"/>
        </w:rPr>
        <w:t xml:space="preserve">je štýl jazdy, čo môže mať negatívny vplyv na životné prostredie a zdravie ľudí. Výcvik v autoškole </w:t>
      </w:r>
      <w:r>
        <w:rPr>
          <w:b/>
          <w:i/>
          <w:szCs w:val="24"/>
          <w:lang w:eastAsia="en-US"/>
        </w:rPr>
        <w:t xml:space="preserve">a skúšky </w:t>
      </w:r>
      <w:r>
        <w:rPr>
          <w:szCs w:val="24"/>
          <w:lang w:eastAsia="en-US"/>
        </w:rPr>
        <w:t xml:space="preserve">by preto </w:t>
      </w:r>
      <w:proofErr w:type="spellStart"/>
      <w:r>
        <w:rPr>
          <w:strike/>
          <w:szCs w:val="24"/>
          <w:lang w:eastAsia="en-US"/>
        </w:rPr>
        <w:t>mal</w:t>
      </w:r>
      <w:r>
        <w:rPr>
          <w:b/>
          <w:i/>
          <w:szCs w:val="24"/>
          <w:lang w:eastAsia="en-US"/>
        </w:rPr>
        <w:t>mali</w:t>
      </w:r>
      <w:proofErr w:type="spellEnd"/>
      <w:r>
        <w:rPr>
          <w:szCs w:val="24"/>
          <w:lang w:eastAsia="en-US"/>
        </w:rPr>
        <w:t xml:space="preserve"> naučiť vodičov znižovať ich vplyv na emisie</w:t>
      </w:r>
      <w:r>
        <w:rPr>
          <w:b/>
          <w:i/>
          <w:szCs w:val="24"/>
          <w:lang w:eastAsia="en-US"/>
        </w:rPr>
        <w:t xml:space="preserve"> aj prostredníctvom ekologického jazdenia</w:t>
      </w:r>
      <w:r>
        <w:rPr>
          <w:szCs w:val="24"/>
          <w:lang w:eastAsia="en-US"/>
        </w:rPr>
        <w:t>, ako aj pripraviť ich na vedenie vozidiel s n</w:t>
      </w:r>
      <w:r>
        <w:rPr>
          <w:szCs w:val="24"/>
          <w:lang w:eastAsia="en-US"/>
        </w:rPr>
        <w:t xml:space="preserve">ulovými </w:t>
      </w:r>
      <w:r>
        <w:rPr>
          <w:b/>
          <w:i/>
          <w:szCs w:val="24"/>
          <w:lang w:eastAsia="en-US"/>
        </w:rPr>
        <w:t xml:space="preserve">alebo nízkymi </w:t>
      </w:r>
      <w:r>
        <w:rPr>
          <w:szCs w:val="24"/>
          <w:lang w:eastAsia="en-US"/>
        </w:rPr>
        <w:t>emisiami.</w:t>
      </w:r>
      <w:r>
        <w:rPr>
          <w:b/>
          <w:szCs w:val="24"/>
          <w:lang w:eastAsia="en-US"/>
        </w:rPr>
        <w:t xml:space="preserve"> [PN 11]</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(13)</w:t>
      </w:r>
      <w:r>
        <w:rPr>
          <w:szCs w:val="24"/>
          <w:lang w:eastAsia="en-US"/>
        </w:rPr>
        <w:tab/>
        <w:t>V snahe umožniť občanom a obyvateľom priamo využívať prínosy vnútorného trhu bez toho, aby vzniklo zbytočné ďalšie administratívne zaťaženie, sa v nariadení Európskeho parlamentu a Rady (EÚ) 2018/1724</w:t>
      </w:r>
      <w:r>
        <w:rPr>
          <w:szCs w:val="24"/>
          <w:vertAlign w:val="superscript"/>
          <w:lang w:eastAsia="en-US"/>
        </w:rPr>
        <w:footnoteReference w:id="7"/>
      </w:r>
      <w:r>
        <w:rPr>
          <w:szCs w:val="24"/>
          <w:lang w:eastAsia="en-US"/>
        </w:rPr>
        <w:t xml:space="preserve"> stanovu</w:t>
      </w:r>
      <w:r>
        <w:rPr>
          <w:szCs w:val="24"/>
          <w:lang w:eastAsia="en-US"/>
        </w:rPr>
        <w:t>je prístup k online postupom týkajúcim sa fungovania vnútorného trhu, a to aj pre cezhraničných používateľov. Informácie, na ktoré sa vzťahuje táto smernica, už sú zahrnuté v prílohe I k nariadeniu (EÚ) 2018/1724. Príloha II k uvedenému nariadeniu by sa ma</w:t>
      </w:r>
      <w:r>
        <w:rPr>
          <w:szCs w:val="24"/>
          <w:lang w:eastAsia="en-US"/>
        </w:rPr>
        <w:t>la zmeniť s cieľom zaistiť, aby mal každý žiadateľ prospech z postupov, ktorú v plnom rozsahu online.</w:t>
      </w:r>
    </w:p>
    <w:p w:rsidR="006C6719" w:rsidRDefault="00614864">
      <w:pPr>
        <w:spacing w:before="120" w:after="120" w:line="360" w:lineRule="auto"/>
        <w:ind w:left="850" w:hanging="850"/>
        <w:rPr>
          <w:b/>
          <w:szCs w:val="24"/>
          <w:lang w:eastAsia="en-US"/>
        </w:rPr>
      </w:pPr>
      <w:r>
        <w:rPr>
          <w:b/>
          <w:i/>
          <w:szCs w:val="24"/>
          <w:lang w:eastAsia="en-US"/>
        </w:rPr>
        <w:t>(13a)</w:t>
      </w:r>
      <w:r>
        <w:rPr>
          <w:szCs w:val="24"/>
          <w:lang w:eastAsia="en-US"/>
        </w:rPr>
        <w:tab/>
      </w:r>
      <w:r>
        <w:rPr>
          <w:b/>
          <w:i/>
          <w:szCs w:val="24"/>
          <w:lang w:eastAsia="en-US"/>
        </w:rPr>
        <w:t>Vnútroštátne alebo regionálne rozdiely týkajúce sa kategorizácie sanitných vozidiel a skupín preukazov potrebných na vedenie takýchto vozidiel preds</w:t>
      </w:r>
      <w:r>
        <w:rPr>
          <w:b/>
          <w:i/>
          <w:szCs w:val="24"/>
          <w:lang w:eastAsia="en-US"/>
        </w:rPr>
        <w:t>tavujú riziko narušenia cezhraničnej premávky alebo premávky v rámci toho istého členského štátu. V prípade sanitiek by sa teda mal v rámci tejto smernice uplatňovať osobitný prístup. Preto by za predpokladu, že povolená hmotnosť sanitného vozidla nepresah</w:t>
      </w:r>
      <w:r>
        <w:rPr>
          <w:b/>
          <w:i/>
          <w:szCs w:val="24"/>
          <w:lang w:eastAsia="en-US"/>
        </w:rPr>
        <w:t>uje 4 250 kg, malo byť povolené viesť sanitné vozidlo s vodičským preukazom skupiny B v celej Únii dva roky po prvom vydaní vodičského preukazu skupiny B.</w:t>
      </w:r>
      <w:r>
        <w:rPr>
          <w:b/>
          <w:szCs w:val="24"/>
          <w:lang w:eastAsia="en-US"/>
        </w:rPr>
        <w:t xml:space="preserve"> [PN 12]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(14)</w:t>
      </w:r>
      <w:r>
        <w:rPr>
          <w:szCs w:val="24"/>
          <w:lang w:eastAsia="en-US"/>
        </w:rPr>
        <w:tab/>
        <w:t>Vodičské preukazy by sa mali zatriediť do skupín podľa typov vozidiel, na ktoré sa nim</w:t>
      </w:r>
      <w:r>
        <w:rPr>
          <w:szCs w:val="24"/>
          <w:lang w:eastAsia="en-US"/>
        </w:rPr>
        <w:t>i udeľuje vodičské oprávnenie. Malo by sa to urobiť jasne a zrozumiteľne a pri plnom rešpektovaní technických charakteristík dotknutých vozidiel a zručností potrebných na ich vedenie.</w:t>
      </w:r>
    </w:p>
    <w:p w:rsidR="006C6719" w:rsidRDefault="00614864">
      <w:pPr>
        <w:spacing w:before="120" w:after="120" w:line="360" w:lineRule="auto"/>
        <w:ind w:left="850" w:hanging="850"/>
        <w:rPr>
          <w:b/>
          <w:szCs w:val="24"/>
          <w:lang w:eastAsia="en-US"/>
        </w:rPr>
      </w:pPr>
      <w:r>
        <w:rPr>
          <w:b/>
          <w:i/>
          <w:szCs w:val="24"/>
          <w:lang w:eastAsia="en-US"/>
        </w:rPr>
        <w:t>(14a)</w:t>
      </w:r>
      <w:r>
        <w:rPr>
          <w:szCs w:val="24"/>
          <w:lang w:eastAsia="en-US"/>
        </w:rPr>
        <w:tab/>
      </w:r>
      <w:r>
        <w:rPr>
          <w:b/>
          <w:i/>
          <w:szCs w:val="24"/>
          <w:lang w:eastAsia="en-US"/>
        </w:rPr>
        <w:t xml:space="preserve">Jednotlivé dopravné prostriedky zohrávajú kľúčovú úlohu pri </w:t>
      </w:r>
      <w:r>
        <w:rPr>
          <w:b/>
          <w:i/>
          <w:szCs w:val="24"/>
          <w:lang w:eastAsia="en-US"/>
        </w:rPr>
        <w:t>uspokojovaní potrieb mobility miliónov európskych občanov, najmä vo vidieckych oblastiach a v prípade osôb so zníženou pohyblivosťou. V niektorých prípadoch je však prekážkou cenová dostupnosť vodičského preukazu. Členské štáty by mali v mestských, prímest</w:t>
      </w:r>
      <w:r>
        <w:rPr>
          <w:b/>
          <w:i/>
          <w:szCs w:val="24"/>
          <w:lang w:eastAsia="en-US"/>
        </w:rPr>
        <w:t>ských a vidieckych oblastiach zvážiť rozvoj vhodnej infraštruktúry potrebnej na zníženie dopravných nehôd a dopravného preťaženia, ako aj cielené politiky a systémy podpory pre tých, ktorým hrozí dopravná chudoba.</w:t>
      </w:r>
      <w:r>
        <w:rPr>
          <w:b/>
          <w:szCs w:val="24"/>
          <w:lang w:eastAsia="en-US"/>
        </w:rPr>
        <w:t xml:space="preserve"> [PN 13]</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(15)</w:t>
      </w:r>
      <w:r>
        <w:rPr>
          <w:szCs w:val="24"/>
          <w:lang w:eastAsia="en-US"/>
        </w:rPr>
        <w:tab/>
      </w:r>
      <w:r>
        <w:rPr>
          <w:szCs w:val="24"/>
          <w:lang w:eastAsia="en-US"/>
        </w:rPr>
        <w:t xml:space="preserve">V súlade s Dohovorom o právach osôb so zdravotným postihnutím z 13. decembra 2006, ktorého zmluvnou stranou je EÚ od 21. januára 2011, by sa mali prijať osobitné ustanovenia, aby sa osobám so zdravotným postihnutím uľahčilo vedenie motorových vozidiel. </w:t>
      </w:r>
      <w:r>
        <w:rPr>
          <w:b/>
          <w:i/>
          <w:szCs w:val="24"/>
          <w:lang w:eastAsia="en-US"/>
        </w:rPr>
        <w:t>Okr</w:t>
      </w:r>
      <w:r>
        <w:rPr>
          <w:b/>
          <w:i/>
          <w:szCs w:val="24"/>
          <w:lang w:eastAsia="en-US"/>
        </w:rPr>
        <w:t>em toho musia osoby so zníženou pohyblivosťou bez ohľadu na svoju schopnosť viesť vozidlo požívať svoje práva na mobilitu, aby sa zabránilo dopravnej chudobe. Uplatňovanie týchto práv na mobilitu by mohlo zahŕňať používanie prispôsobených individuálnych al</w:t>
      </w:r>
      <w:r>
        <w:rPr>
          <w:b/>
          <w:i/>
          <w:szCs w:val="24"/>
          <w:lang w:eastAsia="en-US"/>
        </w:rPr>
        <w:t xml:space="preserve">ebo kolektívnych vozidiel vrátane špeciálnych vlastností alebo vybavenia a vhodnej infraštruktúry, najmä vo vidieckych oblastiach. </w:t>
      </w:r>
      <w:r>
        <w:rPr>
          <w:szCs w:val="24"/>
          <w:lang w:eastAsia="en-US"/>
        </w:rPr>
        <w:t>Členské štáty ako také by po predchádzajúcom súhlase Komisie mali mať možnosť vylúčiť z uplatňovania článku 6 určité konkrétn</w:t>
      </w:r>
      <w:r>
        <w:rPr>
          <w:szCs w:val="24"/>
          <w:lang w:eastAsia="en-US"/>
        </w:rPr>
        <w:t>e typy poháňaných vozidiel.</w:t>
      </w:r>
      <w:r>
        <w:rPr>
          <w:b/>
          <w:szCs w:val="24"/>
          <w:lang w:eastAsia="en-US"/>
        </w:rPr>
        <w:t xml:space="preserve"> [PN 14]</w:t>
      </w:r>
    </w:p>
    <w:p w:rsidR="006C6719" w:rsidRDefault="00614864">
      <w:pPr>
        <w:spacing w:before="120" w:after="120" w:line="360" w:lineRule="auto"/>
        <w:ind w:left="850" w:hanging="850"/>
        <w:rPr>
          <w:b/>
          <w:szCs w:val="24"/>
          <w:lang w:eastAsia="en-US"/>
        </w:rPr>
      </w:pPr>
      <w:r>
        <w:rPr>
          <w:szCs w:val="24"/>
          <w:lang w:eastAsia="en-US"/>
        </w:rPr>
        <w:t>(16)</w:t>
      </w:r>
      <w:r>
        <w:rPr>
          <w:szCs w:val="24"/>
          <w:lang w:eastAsia="en-US"/>
        </w:rPr>
        <w:tab/>
        <w:t>Minimálny vek žiadateľov v rôznych skupinách vodičských preukazov by sa mal stanoviť na úrovni Únie. Členské štáty by však mali mať možnosť stanoviť pre vedenie určitých skupín vozidiel vyššiu vekovú hranicu s cieľo</w:t>
      </w:r>
      <w:r>
        <w:rPr>
          <w:szCs w:val="24"/>
          <w:lang w:eastAsia="en-US"/>
        </w:rPr>
        <w:t xml:space="preserve">m ešte viac podporiť bezpečnosť cestnej premávky. Členské štáty by </w:t>
      </w:r>
      <w:r>
        <w:rPr>
          <w:b/>
          <w:i/>
          <w:szCs w:val="24"/>
          <w:lang w:eastAsia="en-US"/>
        </w:rPr>
        <w:t xml:space="preserve">výnimočne </w:t>
      </w:r>
      <w:r>
        <w:rPr>
          <w:szCs w:val="24"/>
          <w:lang w:eastAsia="en-US"/>
        </w:rPr>
        <w:t>mali mať</w:t>
      </w:r>
      <w:r>
        <w:rPr>
          <w:strike/>
          <w:szCs w:val="24"/>
          <w:lang w:eastAsia="en-US"/>
        </w:rPr>
        <w:t xml:space="preserve"> za výnimočných okolností</w:t>
      </w:r>
      <w:r>
        <w:rPr>
          <w:szCs w:val="24"/>
          <w:lang w:eastAsia="en-US"/>
        </w:rPr>
        <w:t xml:space="preserve"> možnosť stanoviť nižšie vekové hranice s cieľom zohľadniť vnútroštátnu situáciu. Konkrétne by mohli umožniť vedenie vozidiel hasičského zboru</w:t>
      </w:r>
      <w:r>
        <w:rPr>
          <w:b/>
          <w:i/>
          <w:szCs w:val="24"/>
          <w:lang w:eastAsia="en-US"/>
        </w:rPr>
        <w:t>, ci</w:t>
      </w:r>
      <w:r>
        <w:rPr>
          <w:b/>
          <w:i/>
          <w:szCs w:val="24"/>
          <w:lang w:eastAsia="en-US"/>
        </w:rPr>
        <w:t>vilnej ochrany</w:t>
      </w:r>
      <w:r>
        <w:rPr>
          <w:szCs w:val="24"/>
          <w:lang w:eastAsia="en-US"/>
        </w:rPr>
        <w:t xml:space="preserve"> a vozidiel zabezpečujúcich udržanie verejného poriadku, alebo pilotné projekty týkajúce sa nových technológií vo vozidlách.</w:t>
      </w:r>
      <w:r>
        <w:rPr>
          <w:b/>
          <w:szCs w:val="24"/>
          <w:lang w:eastAsia="en-US"/>
        </w:rPr>
        <w:t xml:space="preserve"> [PN 15]</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(16a)</w:t>
      </w:r>
      <w:r>
        <w:rPr>
          <w:szCs w:val="24"/>
          <w:lang w:eastAsia="en-US"/>
        </w:rPr>
        <w:tab/>
      </w:r>
      <w:r>
        <w:rPr>
          <w:b/>
          <w:i/>
          <w:szCs w:val="24"/>
          <w:lang w:eastAsia="en-US"/>
        </w:rPr>
        <w:t>Aktívna mobilita, ktorá zahŕňa chôdzu a používanie bicyklov alebo elektrických bicyklov a iných ľahký</w:t>
      </w:r>
      <w:r>
        <w:rPr>
          <w:b/>
          <w:i/>
          <w:szCs w:val="24"/>
          <w:lang w:eastAsia="en-US"/>
        </w:rPr>
        <w:t>ch dopravných prostriedkov, ako sú elektrické kolobežky, je vzhľadom na zelenú transformáciu čoraz populárnejšia. Ich používatelia častejšie vstupujú na európske cesty a využívajú ich spolu s ďalšími individuálnymi dopravnými prostriedkami. Najmladší použí</w:t>
      </w:r>
      <w:r>
        <w:rPr>
          <w:b/>
          <w:i/>
          <w:szCs w:val="24"/>
          <w:lang w:eastAsia="en-US"/>
        </w:rPr>
        <w:t>vatelia, ktorí čoraz častejšie používajú najmä elektronické kolobežky, ich často používajú bez riadnej znalosti platných noriem, keďže ešte nezískali vodičský preukaz pre žiadnu skupinu. Výsledkom je zvyšujúci sa počet nehôd s účasťou elektrických kolobeži</w:t>
      </w:r>
      <w:r>
        <w:rPr>
          <w:b/>
          <w:i/>
          <w:szCs w:val="24"/>
          <w:lang w:eastAsia="en-US"/>
        </w:rPr>
        <w:t>ek, pričom hlavnými obeťami sú chodci aj používatelia elektrických kolobežiek. Vzhľadom na celkové výzvy v oblasti bezpečnosti cestnej premávky by členské štáty mali do svojich učebných osnov zaradiť vekovo primeranú dopravnú výchovu zameranú na pravidlá c</w:t>
      </w:r>
      <w:r>
        <w:rPr>
          <w:b/>
          <w:i/>
          <w:szCs w:val="24"/>
          <w:lang w:eastAsia="en-US"/>
        </w:rPr>
        <w:t>estnej premávky a poučenie o rizikách s cieľom zlepšiť bezpečnosť cestnej premávky. Tým by sa mali zabezpečiť rozsiahle komplexné znalosti o bezpečnostných opatreniach, ako sú bezpečnostné pásy a používanie prilby, a najmä o prítomnosti zraniteľných účastn</w:t>
      </w:r>
      <w:r>
        <w:rPr>
          <w:b/>
          <w:i/>
          <w:szCs w:val="24"/>
          <w:lang w:eastAsia="en-US"/>
        </w:rPr>
        <w:t>íkov cestnej premávky, ako sú chodci, cyklisti alebo elektrické kolobežky, a o bezpečnej interakcii s motorovými vozidlami. Členské štáty by mohli zaviesť ďalšie opatrenia a systémy pre používateľov vozidiel osobnej mobility s cieľom znížiť počet dopravnýc</w:t>
      </w:r>
      <w:r>
        <w:rPr>
          <w:b/>
          <w:i/>
          <w:szCs w:val="24"/>
          <w:lang w:eastAsia="en-US"/>
        </w:rPr>
        <w:t>h nehôd, zlepšiť pravidlá bezpečnosti cestnej premávky a informovanosť o rizikách.</w:t>
      </w:r>
      <w:r>
        <w:rPr>
          <w:b/>
          <w:szCs w:val="24"/>
          <w:lang w:eastAsia="en-US"/>
        </w:rPr>
        <w:t xml:space="preserve"> [PN 16]</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(16b)</w:t>
      </w:r>
      <w:r>
        <w:rPr>
          <w:szCs w:val="24"/>
          <w:lang w:eastAsia="en-US"/>
        </w:rPr>
        <w:tab/>
      </w:r>
      <w:r>
        <w:rPr>
          <w:b/>
          <w:i/>
          <w:szCs w:val="24"/>
          <w:lang w:eastAsia="en-US"/>
        </w:rPr>
        <w:t>Kombinácia stanovenia primeraného minimálneho veku pre vodičské preukazy pre každú skupinu, ktoré uľahčuje nezávislosť mladých vodičov v oblasti mobility a t</w:t>
      </w:r>
      <w:r>
        <w:rPr>
          <w:b/>
          <w:i/>
          <w:szCs w:val="24"/>
          <w:lang w:eastAsia="en-US"/>
        </w:rPr>
        <w:t>iež ich včasný prístup k profesionálnemu vedeniu vozidla, a prísnejších podmienok pre vodičov-začiatočníkov, napríklad pokiaľ ide o limitné hodnoty alkoholu, môže byť prínosom pre bezpečnosť cestnej premávky.</w:t>
      </w:r>
      <w:r>
        <w:rPr>
          <w:b/>
          <w:szCs w:val="24"/>
          <w:lang w:eastAsia="en-US"/>
        </w:rPr>
        <w:t xml:space="preserve"> [PN 17]</w:t>
      </w:r>
    </w:p>
    <w:p w:rsidR="006C6719" w:rsidRDefault="00614864">
      <w:pPr>
        <w:spacing w:before="120" w:after="120" w:line="360" w:lineRule="auto"/>
        <w:ind w:left="850" w:hanging="850"/>
        <w:rPr>
          <w:b/>
          <w:szCs w:val="24"/>
          <w:lang w:eastAsia="en-US"/>
        </w:rPr>
      </w:pPr>
      <w:r>
        <w:rPr>
          <w:b/>
          <w:i/>
          <w:szCs w:val="24"/>
          <w:lang w:eastAsia="en-US"/>
        </w:rPr>
        <w:t>(16c)</w:t>
      </w:r>
      <w:r>
        <w:rPr>
          <w:szCs w:val="24"/>
          <w:lang w:eastAsia="en-US"/>
        </w:rPr>
        <w:tab/>
      </w:r>
      <w:r>
        <w:rPr>
          <w:b/>
          <w:i/>
          <w:szCs w:val="24"/>
          <w:lang w:eastAsia="en-US"/>
        </w:rPr>
        <w:t>Posúdenie spôsobilosti vodiča bez</w:t>
      </w:r>
      <w:r>
        <w:rPr>
          <w:b/>
          <w:i/>
          <w:szCs w:val="24"/>
          <w:lang w:eastAsia="en-US"/>
        </w:rPr>
        <w:t>pečne viesť vozidlo by sa malo vykonať na základe osobitných kritérií, pričom by sa mal zohľadniť najmä zdravotný stav vodiča. Rozhodnutia o obmedzení, pozastavení, odobratí alebo zrušení vodičských preukazov by sa mali prijímať individuálne a mali by vych</w:t>
      </w:r>
      <w:r>
        <w:rPr>
          <w:b/>
          <w:i/>
          <w:szCs w:val="24"/>
          <w:lang w:eastAsia="en-US"/>
        </w:rPr>
        <w:t>ádzať z objektívnych výsledkov skúšok a testov. Akákoľvek forma diskriminácie vodičov, ktorí sú držiteľmi vodičského preukazu, len na základe veku by mala byť neprijateľná.</w:t>
      </w:r>
      <w:r>
        <w:rPr>
          <w:b/>
          <w:szCs w:val="24"/>
          <w:lang w:eastAsia="en-US"/>
        </w:rPr>
        <w:t xml:space="preserve"> [PN 18]</w:t>
      </w:r>
    </w:p>
    <w:p w:rsidR="006C6719" w:rsidRDefault="00614864">
      <w:pPr>
        <w:spacing w:before="120" w:after="120" w:line="360" w:lineRule="auto"/>
        <w:ind w:left="850" w:hanging="850"/>
        <w:rPr>
          <w:b/>
          <w:szCs w:val="24"/>
          <w:lang w:eastAsia="en-US"/>
        </w:rPr>
      </w:pPr>
      <w:r>
        <w:rPr>
          <w:b/>
          <w:i/>
          <w:szCs w:val="24"/>
          <w:lang w:eastAsia="en-US"/>
        </w:rPr>
        <w:t>(16d)</w:t>
      </w:r>
      <w:r>
        <w:rPr>
          <w:szCs w:val="24"/>
          <w:lang w:eastAsia="en-US"/>
        </w:rPr>
        <w:tab/>
      </w:r>
      <w:r>
        <w:rPr>
          <w:b/>
          <w:i/>
          <w:szCs w:val="24"/>
          <w:lang w:eastAsia="en-US"/>
        </w:rPr>
        <w:t>Právo na vodičský preukaz je zárukou voľného pohybu a účasti na hospo</w:t>
      </w:r>
      <w:r>
        <w:rPr>
          <w:b/>
          <w:i/>
          <w:szCs w:val="24"/>
          <w:lang w:eastAsia="en-US"/>
        </w:rPr>
        <w:t>dárskom a sociálnom živote, najmä vo vidieckych a v menej urbanizovaných oblastiach s obmedzenou sieťou verejnej dopravy. Najmä pre staršie osoby, osamelé osoby, osoby so zníženou pohyblivosťou alebo osoby so zdravotným postihnutím je osobná doprava dôleži</w:t>
      </w:r>
      <w:r>
        <w:rPr>
          <w:b/>
          <w:i/>
          <w:szCs w:val="24"/>
          <w:lang w:eastAsia="en-US"/>
        </w:rPr>
        <w:t>tým prvkom pri podpore ich nezávislého a autonómneho fungovania. Obmedzenia práva byť držiteľom vodičského preukazu by mali byť založené na objektívnych kritériách určených na individuálnom základe a nemali by predstavovať riziko diskriminácie.</w:t>
      </w:r>
      <w:r>
        <w:rPr>
          <w:b/>
          <w:szCs w:val="24"/>
          <w:lang w:eastAsia="en-US"/>
        </w:rPr>
        <w:t xml:space="preserve"> [PN 19]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w:t>
      </w:r>
      <w:r>
        <w:rPr>
          <w:szCs w:val="24"/>
          <w:lang w:eastAsia="en-US"/>
        </w:rPr>
        <w:t>17)</w:t>
      </w:r>
      <w:r>
        <w:rPr>
          <w:szCs w:val="24"/>
          <w:lang w:eastAsia="en-US"/>
        </w:rPr>
        <w:tab/>
        <w:t>Mal by sa zaviesť systém odstupňovania – teda stanovenie oprávnenia na získanie vodičského preukazu skupiny B ako podmienky na to, aby bol žiadateľ oprávnený byť držiteľom určitých ďalších skupín</w:t>
      </w:r>
      <w:r>
        <w:rPr>
          <w:b/>
          <w:i/>
          <w:szCs w:val="24"/>
          <w:lang w:eastAsia="en-US"/>
        </w:rPr>
        <w:t>,</w:t>
      </w:r>
      <w:r>
        <w:rPr>
          <w:szCs w:val="24"/>
          <w:lang w:eastAsia="en-US"/>
        </w:rPr>
        <w:t xml:space="preserve"> – a rovnocennosti medzi skupinami</w:t>
      </w:r>
      <w:r>
        <w:rPr>
          <w:b/>
          <w:i/>
          <w:szCs w:val="24"/>
          <w:lang w:eastAsia="en-US"/>
        </w:rPr>
        <w:t>, v náležitých prípado</w:t>
      </w:r>
      <w:r>
        <w:rPr>
          <w:b/>
          <w:i/>
          <w:szCs w:val="24"/>
          <w:lang w:eastAsia="en-US"/>
        </w:rPr>
        <w:t>ch vrátane minimálneho obdobia skúseností pred takouto oprávnenosťou</w:t>
      </w:r>
      <w:r>
        <w:rPr>
          <w:szCs w:val="24"/>
          <w:lang w:eastAsia="en-US"/>
        </w:rPr>
        <w:t>. Takýto systém by mal byť</w:t>
      </w:r>
      <w:r>
        <w:rPr>
          <w:strike/>
          <w:szCs w:val="24"/>
          <w:lang w:eastAsia="en-US"/>
        </w:rPr>
        <w:t xml:space="preserve"> čiastočne</w:t>
      </w:r>
      <w:r>
        <w:rPr>
          <w:szCs w:val="24"/>
          <w:lang w:eastAsia="en-US"/>
        </w:rPr>
        <w:t xml:space="preserve"> záväzný pre všetky členské štáty, ale mal by členským štátom poskytovať aj možnosť uplatňovať ho medzi sebou na svojich príslušných územiach. Členským </w:t>
      </w:r>
      <w:r>
        <w:rPr>
          <w:szCs w:val="24"/>
          <w:lang w:eastAsia="en-US"/>
        </w:rPr>
        <w:t>štátom by takisto malo byť umožnené zaviesť určitú rovnocennosť obmedzenú len na ich vlastné územie.</w:t>
      </w:r>
      <w:r>
        <w:rPr>
          <w:b/>
          <w:szCs w:val="24"/>
          <w:lang w:eastAsia="en-US"/>
        </w:rPr>
        <w:t xml:space="preserve"> [PN 20]</w:t>
      </w:r>
    </w:p>
    <w:p w:rsidR="006C6719" w:rsidRDefault="00614864">
      <w:pPr>
        <w:spacing w:before="120" w:after="120" w:line="360" w:lineRule="auto"/>
        <w:ind w:left="850" w:hanging="850"/>
        <w:rPr>
          <w:b/>
          <w:szCs w:val="24"/>
          <w:lang w:eastAsia="en-US"/>
        </w:rPr>
      </w:pPr>
      <w:r>
        <w:rPr>
          <w:szCs w:val="24"/>
          <w:lang w:eastAsia="en-US"/>
        </w:rPr>
        <w:t>(18)</w:t>
      </w:r>
      <w:r>
        <w:rPr>
          <w:szCs w:val="24"/>
          <w:lang w:eastAsia="en-US"/>
        </w:rPr>
        <w:tab/>
        <w:t>Z dôvodu bezpečnosti cestnej premávky treba stanoviť minimálne požiadavky na vydanie vodičského preukazu. Mali by sa harmonizovať normy týkajú</w:t>
      </w:r>
      <w:r>
        <w:rPr>
          <w:szCs w:val="24"/>
          <w:lang w:eastAsia="en-US"/>
        </w:rPr>
        <w:t>ce sa vodičských skúšok a vydávania vodičských preukazov. Na tento účel by sa mali špecifikovať vedomosti, zručnosti a správanie súvisiace s vedením poháňaného vozidla, vodičská skúška by mala vychádzať z týchto princípov a mali by sa špecifikovať minimáln</w:t>
      </w:r>
      <w:r>
        <w:rPr>
          <w:szCs w:val="24"/>
          <w:lang w:eastAsia="en-US"/>
        </w:rPr>
        <w:t xml:space="preserve">e normy </w:t>
      </w:r>
      <w:r>
        <w:rPr>
          <w:strike/>
          <w:szCs w:val="24"/>
          <w:lang w:eastAsia="en-US"/>
        </w:rPr>
        <w:t xml:space="preserve">telesnej a duševnej </w:t>
      </w:r>
      <w:r>
        <w:rPr>
          <w:szCs w:val="24"/>
          <w:lang w:eastAsia="en-US"/>
        </w:rPr>
        <w:t>spôsobilosti na vedenie takýchto vozidiel.</w:t>
      </w:r>
      <w:r>
        <w:rPr>
          <w:b/>
          <w:i/>
          <w:szCs w:val="24"/>
          <w:lang w:eastAsia="en-US"/>
        </w:rPr>
        <w:t xml:space="preserve"> Takéto požiadavky by mali zohľadňovať rôzne postupy používané vo všetkých členských štátoch.</w:t>
      </w:r>
      <w:r>
        <w:rPr>
          <w:b/>
          <w:szCs w:val="24"/>
          <w:lang w:eastAsia="en-US"/>
        </w:rPr>
        <w:t xml:space="preserve"> [PN 242 a 305]</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(18a)</w:t>
      </w:r>
      <w:r>
        <w:rPr>
          <w:szCs w:val="24"/>
          <w:lang w:eastAsia="en-US"/>
        </w:rPr>
        <w:tab/>
      </w:r>
      <w:r>
        <w:rPr>
          <w:b/>
          <w:i/>
          <w:szCs w:val="24"/>
          <w:lang w:eastAsia="en-US"/>
        </w:rPr>
        <w:t>Pri vydávaní vodičských preukazov pre skupinu 1, konkrétne pre vodičo</w:t>
      </w:r>
      <w:r>
        <w:rPr>
          <w:b/>
          <w:i/>
          <w:szCs w:val="24"/>
          <w:lang w:eastAsia="en-US"/>
        </w:rPr>
        <w:t>v vozidiel skupín A, A1, A2, AM, B, B1 a BE, má v súčasnosti väčšina členských štátov zavedenú určitú formu kontroly spôsobilosti na vedenie vozidla nad rámec skúšky zraku. Takáto kontrola sa môže líšiť, a to od formulára sebahodnotenia až po lekársku preh</w:t>
      </w:r>
      <w:r>
        <w:rPr>
          <w:b/>
          <w:i/>
          <w:szCs w:val="24"/>
          <w:lang w:eastAsia="en-US"/>
        </w:rPr>
        <w:t>liadku vykonanú všeobecným lekárom, špecializovaným lekárom alebo skúšobným strediskom. Pri obnovovaní vodičských preukazov pre skupinu 1 vyžaduje lekársku prehliadku len niekoľko členských štátov. Len niekoľko členských štátov tiež zaviedlo vnútroštátny m</w:t>
      </w:r>
      <w:r>
        <w:rPr>
          <w:b/>
          <w:i/>
          <w:szCs w:val="24"/>
          <w:lang w:eastAsia="en-US"/>
        </w:rPr>
        <w:t>echanizmus nahlasovania významných zmien spôsobilosti viesť motorové vozidlo. Vo všeobecnosti platí, že pri vydávaní a obnovovaní vodičských preukazov pre skupinu 2, konkrétne pre vodičov vozidiel skupín C, CE, C1, C1E, D, DE, D1 a D1E, sú požiadavky prísn</w:t>
      </w:r>
      <w:r>
        <w:rPr>
          <w:b/>
          <w:i/>
          <w:szCs w:val="24"/>
          <w:lang w:eastAsia="en-US"/>
        </w:rPr>
        <w:t>ejšie a podrobnejšie, a to uložením povinnosti vykonať lekársku prehliadku.</w:t>
      </w:r>
      <w:r>
        <w:rPr>
          <w:b/>
          <w:szCs w:val="24"/>
          <w:lang w:eastAsia="en-US"/>
        </w:rPr>
        <w:t xml:space="preserve"> [PN 243 a 306]</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(19)</w:t>
      </w:r>
      <w:r>
        <w:rPr>
          <w:szCs w:val="24"/>
          <w:lang w:eastAsia="en-US"/>
        </w:rPr>
        <w:tab/>
        <w:t>Pri vydávaní vodičského preukazu a následne v pravidelných intervaloch by sa mal poskytnúť dôkaz o splnení minimálnych noriem telesnej a duševnej spôsobilosti</w:t>
      </w:r>
      <w:r>
        <w:rPr>
          <w:szCs w:val="24"/>
          <w:lang w:eastAsia="en-US"/>
        </w:rPr>
        <w:t xml:space="preserve"> na vedenie vozidla u vodičov vozidiel používaných na prepravu osôb alebo tovaru. Takáto pravidelná kontrola v súlade s vnútroštátnymi predpismi o splnení minimálnych noriem by prispela k voľnému pohybu osôb, zabránila narušeniu hospodárskej súťaže a lepši</w:t>
      </w:r>
      <w:r>
        <w:rPr>
          <w:szCs w:val="24"/>
          <w:lang w:eastAsia="en-US"/>
        </w:rPr>
        <w:t xml:space="preserve">e zohľadnila osobitnú zodpovednosť vodičov týchto vozidiel. </w:t>
      </w:r>
      <w:r>
        <w:rPr>
          <w:strike/>
          <w:szCs w:val="24"/>
          <w:lang w:eastAsia="en-US"/>
        </w:rPr>
        <w:t xml:space="preserve">Členským štátom by sa malo </w:t>
      </w:r>
      <w:proofErr w:type="spellStart"/>
      <w:r>
        <w:rPr>
          <w:strike/>
          <w:szCs w:val="24"/>
          <w:lang w:eastAsia="en-US"/>
        </w:rPr>
        <w:t>umožniť</w:t>
      </w:r>
      <w:r>
        <w:rPr>
          <w:b/>
          <w:i/>
          <w:szCs w:val="24"/>
          <w:lang w:eastAsia="en-US"/>
        </w:rPr>
        <w:t>Členské</w:t>
      </w:r>
      <w:proofErr w:type="spellEnd"/>
      <w:r>
        <w:rPr>
          <w:b/>
          <w:i/>
          <w:szCs w:val="24"/>
          <w:lang w:eastAsia="en-US"/>
        </w:rPr>
        <w:t xml:space="preserve"> štáty by mali</w:t>
      </w:r>
      <w:r>
        <w:rPr>
          <w:szCs w:val="24"/>
          <w:lang w:eastAsia="en-US"/>
        </w:rPr>
        <w:t xml:space="preserve"> zaviesť lekárske prehliadky ako záruku splnenia minimálnych noriem telesnej a duševnej spôsobilosti na vedenie iných poháňaných vozidiel. Z </w:t>
      </w:r>
      <w:r>
        <w:rPr>
          <w:szCs w:val="24"/>
          <w:lang w:eastAsia="en-US"/>
        </w:rPr>
        <w:t>dôvodu transparentnosti by sa takéto prehliadky mali zosúladiť s obnovou vodičských preukazov.</w:t>
      </w:r>
      <w:r>
        <w:rPr>
          <w:b/>
          <w:szCs w:val="24"/>
          <w:lang w:eastAsia="en-US"/>
        </w:rPr>
        <w:t xml:space="preserve"> [PN 21]</w:t>
      </w:r>
    </w:p>
    <w:p w:rsidR="006C6719" w:rsidRDefault="00614864">
      <w:pPr>
        <w:spacing w:before="120" w:after="120" w:line="360" w:lineRule="auto"/>
        <w:ind w:left="850" w:hanging="850"/>
        <w:rPr>
          <w:b/>
          <w:szCs w:val="24"/>
          <w:lang w:eastAsia="en-US"/>
        </w:rPr>
      </w:pPr>
      <w:r>
        <w:rPr>
          <w:b/>
          <w:i/>
          <w:szCs w:val="24"/>
          <w:lang w:eastAsia="en-US"/>
        </w:rPr>
        <w:t>(19a)</w:t>
      </w:r>
      <w:r>
        <w:rPr>
          <w:szCs w:val="24"/>
          <w:lang w:eastAsia="en-US"/>
        </w:rPr>
        <w:tab/>
      </w:r>
      <w:r>
        <w:rPr>
          <w:b/>
          <w:i/>
          <w:szCs w:val="24"/>
          <w:lang w:eastAsia="en-US"/>
        </w:rPr>
        <w:t>Nedávne nové zdravotnícke technológie prispeli k zlepšeniu bezpečnosti cestnej premávky. Na trh a pre pacientov boli uvedené technológie, ktoré min</w:t>
      </w:r>
      <w:r>
        <w:rPr>
          <w:b/>
          <w:i/>
          <w:szCs w:val="24"/>
          <w:lang w:eastAsia="en-US"/>
        </w:rPr>
        <w:t>imalizujú alebo odstraňujú riziko spojené s vedením vozidla v prípade špecifických zdravotných problémov. Monitorovacie technológie, ako sú systémy nepretržitého monitorovania glukózy (CGM) pre ľudí s diabetom, umožňujú osobám účinne a nepretržite kontrolo</w:t>
      </w:r>
      <w:r>
        <w:rPr>
          <w:b/>
          <w:i/>
          <w:szCs w:val="24"/>
          <w:lang w:eastAsia="en-US"/>
        </w:rPr>
        <w:t>vať ich zdravotný stav, čím sa eliminuje riziko vedenia vozidla spojené s ich ochorením. Okrem toho sa v súčasnosti rýchlym tempom vyvíjajú a zlepšujú technológie podobné CGM, čím sa zabezpečuje neustále zlepšovanie kontroly zdravotného stavu, v dôsledku č</w:t>
      </w:r>
      <w:r>
        <w:rPr>
          <w:b/>
          <w:i/>
          <w:szCs w:val="24"/>
          <w:lang w:eastAsia="en-US"/>
        </w:rPr>
        <w:t>oho sa zvyšuje bezpečnosť cestnej premávky.</w:t>
      </w:r>
      <w:r>
        <w:rPr>
          <w:b/>
          <w:szCs w:val="24"/>
          <w:lang w:eastAsia="en-US"/>
        </w:rPr>
        <w:t xml:space="preserve"> [PN 22]</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(19b)</w:t>
      </w:r>
      <w:r>
        <w:rPr>
          <w:szCs w:val="24"/>
          <w:lang w:eastAsia="en-US"/>
        </w:rPr>
        <w:tab/>
      </w:r>
      <w:r>
        <w:rPr>
          <w:b/>
          <w:i/>
          <w:szCs w:val="24"/>
          <w:lang w:eastAsia="en-US"/>
        </w:rPr>
        <w:t>Európsky parlament vo svojom uznesení z 23. novembra 2022 o prevencii, liečbe a lepšej starostlivosti o diabetes v EÚ pri príležitosti Svetového dňa diabetu</w:t>
      </w:r>
      <w:r>
        <w:rPr>
          <w:szCs w:val="24"/>
          <w:vertAlign w:val="superscript"/>
          <w:lang w:eastAsia="en-US"/>
        </w:rPr>
        <w:footnoteReference w:id="8"/>
      </w:r>
      <w:r>
        <w:rPr>
          <w:b/>
          <w:i/>
          <w:szCs w:val="24"/>
          <w:lang w:eastAsia="en-US"/>
        </w:rPr>
        <w:t xml:space="preserve"> vyzval Komisiu, aby preskúmala príslušný právny rámec v oblasti bezpečnosti a ochrany zdravia pri práci a právne predpisy týkajúce sa bezpečnosti cestnej premávky s cieľom zabrániť ďalšej diskriminácii osôb postihnutých diabetom.</w:t>
      </w:r>
      <w:r>
        <w:rPr>
          <w:b/>
          <w:szCs w:val="24"/>
          <w:lang w:eastAsia="en-US"/>
        </w:rPr>
        <w:t xml:space="preserve"> [PN 23]</w:t>
      </w:r>
    </w:p>
    <w:p w:rsidR="006C6719" w:rsidRDefault="00614864">
      <w:pPr>
        <w:spacing w:before="120" w:after="120" w:line="360" w:lineRule="auto"/>
        <w:ind w:left="850" w:hanging="850"/>
        <w:rPr>
          <w:szCs w:val="24"/>
          <w:lang w:eastAsia="en-US"/>
        </w:rPr>
      </w:pPr>
      <w:r>
        <w:rPr>
          <w:szCs w:val="24"/>
          <w:lang w:eastAsia="en-US"/>
        </w:rPr>
        <w:t>(20)</w:t>
      </w:r>
      <w:r>
        <w:rPr>
          <w:szCs w:val="24"/>
          <w:lang w:eastAsia="en-US"/>
        </w:rPr>
        <w:tab/>
        <w:t>S cieľom zai</w:t>
      </w:r>
      <w:r>
        <w:rPr>
          <w:szCs w:val="24"/>
          <w:lang w:eastAsia="en-US"/>
        </w:rPr>
        <w:t xml:space="preserve">stiť jednotné práva v celej Únii a takisto zohľadniť okrem iného bezpečnosť cestnej premávky by vodičské preukazy skupín AM, A1, A2, A, B1 a B mali mať administratívnu platnosť 15 rokov, kým skupiny C, CE, C1, C1E, D, DE, D1 a D1E majú platnosť päť rokov. </w:t>
      </w:r>
      <w:r>
        <w:rPr>
          <w:szCs w:val="24"/>
          <w:lang w:eastAsia="en-US"/>
        </w:rPr>
        <w:t>Členské štáty by mali mať možnosť určiť vo výnimočných prípadoch kratšiu lehotu, ako sa vymedzuje v tejto smernici.</w:t>
      </w:r>
    </w:p>
    <w:p w:rsidR="006C6719" w:rsidRDefault="00614864">
      <w:pPr>
        <w:spacing w:before="120" w:after="120" w:line="360" w:lineRule="auto"/>
        <w:ind w:left="850" w:hanging="850"/>
        <w:rPr>
          <w:b/>
          <w:szCs w:val="24"/>
          <w:lang w:eastAsia="en-US"/>
        </w:rPr>
      </w:pPr>
      <w:r>
        <w:rPr>
          <w:b/>
          <w:i/>
          <w:szCs w:val="24"/>
          <w:lang w:eastAsia="en-US"/>
        </w:rPr>
        <w:t>(20a)</w:t>
      </w:r>
      <w:r>
        <w:rPr>
          <w:szCs w:val="24"/>
          <w:lang w:eastAsia="en-US"/>
        </w:rPr>
        <w:tab/>
      </w:r>
      <w:r>
        <w:rPr>
          <w:b/>
          <w:i/>
          <w:szCs w:val="24"/>
          <w:lang w:eastAsia="en-US"/>
        </w:rPr>
        <w:t xml:space="preserve">Bezpečnosť cestnej premávky môžu zlepšiť aktualizačné kurzy pre skúsených vodičov, ktoré zvýšia informovanosť a v ktorých vodiči budú </w:t>
      </w:r>
      <w:r>
        <w:rPr>
          <w:b/>
          <w:i/>
          <w:szCs w:val="24"/>
          <w:lang w:eastAsia="en-US"/>
        </w:rPr>
        <w:t>musieť získať ďalšie skúsenosti s novými technologickými riešeniami, ako sú pokročilé poloautomatizované a automatizované asistenčné systémy pre vodiča. Na tento účel by sa ako kľúčový prvok aktualizácie zručností skúsených vodičov mohli používať trenažéry</w:t>
      </w:r>
      <w:r>
        <w:rPr>
          <w:b/>
          <w:i/>
          <w:szCs w:val="24"/>
          <w:lang w:eastAsia="en-US"/>
        </w:rPr>
        <w:t>. Trenažéry by navyše mohli simulovať aj nepriaznivé podmienky a núdzové scenáre, a tým zlepšiť schopnosť vodiča reagovať a rozhodovať sa v kritických situáciách.</w:t>
      </w:r>
      <w:r>
        <w:rPr>
          <w:b/>
          <w:szCs w:val="24"/>
          <w:lang w:eastAsia="en-US"/>
        </w:rPr>
        <w:t xml:space="preserve"> [PN 24]</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(20b)</w:t>
      </w:r>
      <w:r>
        <w:rPr>
          <w:szCs w:val="24"/>
          <w:lang w:eastAsia="en-US"/>
        </w:rPr>
        <w:tab/>
      </w:r>
      <w:r>
        <w:rPr>
          <w:b/>
          <w:i/>
          <w:szCs w:val="24"/>
          <w:lang w:eastAsia="en-US"/>
        </w:rPr>
        <w:t>Celoživotné vzdelávanie je kľúčom k priebežnej aktualizácii zručností skúsený</w:t>
      </w:r>
      <w:r>
        <w:rPr>
          <w:b/>
          <w:i/>
          <w:szCs w:val="24"/>
          <w:lang w:eastAsia="en-US"/>
        </w:rPr>
        <w:t>ch vodičov, najmä pokiaľ ide o ekologickú jazdu, zvyšovanie hmotnosti vozidiel, neustály technologický pokrok v oblasti asistenčných systémov pre vodiča a iných automatizovaných zariadení a alternatívne zdroje na poháňanie vozidiel. Členským štátom sa teda</w:t>
      </w:r>
      <w:r>
        <w:rPr>
          <w:b/>
          <w:i/>
          <w:szCs w:val="24"/>
          <w:lang w:eastAsia="en-US"/>
        </w:rPr>
        <w:t xml:space="preserve"> odporúča, aby vypracovali moduly odbornej prípravy pre skúsených vodičov.</w:t>
      </w:r>
      <w:r>
        <w:rPr>
          <w:b/>
          <w:szCs w:val="24"/>
          <w:lang w:eastAsia="en-US"/>
        </w:rPr>
        <w:t xml:space="preserve"> [PN 25]</w:t>
      </w:r>
    </w:p>
    <w:p w:rsidR="006C6719" w:rsidRDefault="00614864">
      <w:pPr>
        <w:spacing w:before="120" w:after="120" w:line="360" w:lineRule="auto"/>
        <w:ind w:left="850" w:hanging="850"/>
        <w:rPr>
          <w:szCs w:val="24"/>
          <w:lang w:eastAsia="en-US"/>
        </w:rPr>
      </w:pPr>
      <w:r>
        <w:rPr>
          <w:szCs w:val="24"/>
          <w:lang w:eastAsia="en-US"/>
        </w:rPr>
        <w:t>(21)</w:t>
      </w:r>
      <w:r>
        <w:rPr>
          <w:szCs w:val="24"/>
          <w:lang w:eastAsia="en-US"/>
        </w:rPr>
        <w:tab/>
        <w:t>S cieľom umožniť členským štátom a v riadne odôvodnených prípadoch Únii ako celku reagovať na krízy, ktoré znemožňujú vnútroštátnym orgánom obnovovať vodičské preukazy,</w:t>
      </w:r>
      <w:r>
        <w:rPr>
          <w:szCs w:val="24"/>
          <w:lang w:eastAsia="en-US"/>
        </w:rPr>
        <w:t xml:space="preserve"> ktorých platnosť by inak skončila, malo by byť možné predlžovať administratívnu platnosť takýchto vodičských preukazov na nevyhnutne potrebné obdobie.</w:t>
      </w:r>
    </w:p>
    <w:p w:rsidR="006C6719" w:rsidRDefault="00614864">
      <w:pPr>
        <w:spacing w:before="120" w:after="120" w:line="360" w:lineRule="auto"/>
        <w:ind w:left="850" w:hanging="850"/>
        <w:rPr>
          <w:szCs w:val="24"/>
          <w:lang w:eastAsia="en-US"/>
        </w:rPr>
      </w:pPr>
      <w:r>
        <w:rPr>
          <w:szCs w:val="24"/>
          <w:lang w:eastAsia="en-US"/>
        </w:rPr>
        <w:t>(22)</w:t>
      </w:r>
      <w:r>
        <w:rPr>
          <w:szCs w:val="24"/>
          <w:lang w:eastAsia="en-US"/>
        </w:rPr>
        <w:tab/>
        <w:t>Zásada „jeden držiteľ – jeden vodičský preukaz“ by mala zabrániť tomu, aby akákoľvek osoba bola drž</w:t>
      </w:r>
      <w:r>
        <w:rPr>
          <w:szCs w:val="24"/>
          <w:lang w:eastAsia="en-US"/>
        </w:rPr>
        <w:t>iteľom viac ako jedného fyzického vodičského preukazu. Napriek tomu by sa táto zásada takisto mala rozšíriť, aby sa zohľadnili technické špecifiká mobilných vodičských preukazov.</w:t>
      </w:r>
    </w:p>
    <w:p w:rsidR="006C6719" w:rsidRDefault="00614864">
      <w:pPr>
        <w:spacing w:before="120" w:after="120" w:line="360" w:lineRule="auto"/>
        <w:ind w:left="850" w:hanging="850"/>
        <w:rPr>
          <w:szCs w:val="24"/>
          <w:lang w:eastAsia="en-US"/>
        </w:rPr>
      </w:pPr>
      <w:r>
        <w:rPr>
          <w:szCs w:val="24"/>
          <w:lang w:eastAsia="en-US"/>
        </w:rPr>
        <w:t>(23)</w:t>
      </w:r>
      <w:r>
        <w:rPr>
          <w:szCs w:val="24"/>
          <w:lang w:eastAsia="en-US"/>
        </w:rPr>
        <w:tab/>
        <w:t xml:space="preserve">Z dôvodu bezpečnosti cestnej premávky by členské štáty mali byť schopné </w:t>
      </w:r>
      <w:r>
        <w:rPr>
          <w:szCs w:val="24"/>
          <w:lang w:eastAsia="en-US"/>
        </w:rPr>
        <w:t>uplatňovať svoje vnútroštátne ustanovenia o odobratí, pozastavení, obnovení a zrušení vodičských preukazov na všetkých držiteľov vodičských preukazov, ktorí nadobudli obvyklé bydlisko na ich území.</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(24)</w:t>
      </w:r>
      <w:r>
        <w:rPr>
          <w:szCs w:val="24"/>
          <w:lang w:eastAsia="en-US"/>
        </w:rPr>
        <w:tab/>
        <w:t xml:space="preserve">Vodiči, ktorí sú držiteľmi vodičského preukazu </w:t>
      </w:r>
      <w:r>
        <w:rPr>
          <w:szCs w:val="24"/>
          <w:lang w:eastAsia="en-US"/>
        </w:rPr>
        <w:t>vydaného členským štátom, v ktorom majú bydlisko, by po výmene vodičského preukazu vydaného v tretej krajine mali byť oprávnení viesť vozidlá v celej Únii, ako keby pôvodne získali vodičský preukaz v Únii. Takáto výmena by mohla mať rôzne účinky na bezpečn</w:t>
      </w:r>
      <w:r>
        <w:rPr>
          <w:szCs w:val="24"/>
          <w:lang w:eastAsia="en-US"/>
        </w:rPr>
        <w:t>osť cestnej premávky a voľný pohyb osôb.</w:t>
      </w:r>
    </w:p>
    <w:p w:rsidR="006C6719" w:rsidRDefault="00614864">
      <w:pPr>
        <w:spacing w:before="120" w:after="120" w:line="360" w:lineRule="auto"/>
        <w:ind w:left="850" w:hanging="850"/>
        <w:rPr>
          <w:b/>
          <w:szCs w:val="24"/>
          <w:lang w:eastAsia="en-US"/>
        </w:rPr>
      </w:pPr>
      <w:r>
        <w:rPr>
          <w:szCs w:val="24"/>
          <w:lang w:eastAsia="en-US"/>
        </w:rPr>
        <w:t>(25)</w:t>
      </w:r>
      <w:r>
        <w:rPr>
          <w:szCs w:val="24"/>
          <w:lang w:eastAsia="en-US"/>
        </w:rPr>
        <w:tab/>
        <w:t>Komisia by mala byť splnomocnená prijať rozhodnutie, v ktorom sa určujú tretie krajiny, ktoré zaisťujú porovnateľnú úroveň bezpečnosti cestnej premávky ako Únia, a</w:t>
      </w:r>
      <w:r>
        <w:rPr>
          <w:b/>
          <w:i/>
          <w:szCs w:val="24"/>
          <w:lang w:eastAsia="en-US"/>
        </w:rPr>
        <w:t xml:space="preserve"> ktoré</w:t>
      </w:r>
      <w:r>
        <w:rPr>
          <w:szCs w:val="24"/>
          <w:lang w:eastAsia="en-US"/>
        </w:rPr>
        <w:t xml:space="preserve"> umožňuje držiteľom vodičských preukazov </w:t>
      </w:r>
      <w:r>
        <w:rPr>
          <w:szCs w:val="24"/>
          <w:lang w:eastAsia="en-US"/>
        </w:rPr>
        <w:t xml:space="preserve">vydaných týmito krajinami vymeniť svoje vodičské preukazy za podobných podmienok, ako keby boli vydané v niektorom členskom štáte. </w:t>
      </w:r>
      <w:r>
        <w:rPr>
          <w:b/>
          <w:i/>
          <w:szCs w:val="24"/>
          <w:lang w:eastAsia="en-US"/>
        </w:rPr>
        <w:t xml:space="preserve">Komisia by v tejto súvislosti mala mať možnosť posúdiť, či má tretia krajina odborný výcvik vodičov, pravidlá osvedčovania a </w:t>
      </w:r>
      <w:r>
        <w:rPr>
          <w:b/>
          <w:i/>
          <w:szCs w:val="24"/>
          <w:lang w:eastAsia="en-US"/>
        </w:rPr>
        <w:t>skúšobné postupy, ktoré sú úplne alebo čiastočne porovnateľné s úrovňou v Únii, s cieľom v konečnom dôsledku vydať osvedčenie porovnateľné s osvedčením o odbornej spôsobilosti. Držiteľom týchto osvedčení z tretích krajín by to mohlo umožniť výmenu týchto o</w:t>
      </w:r>
      <w:r>
        <w:rPr>
          <w:b/>
          <w:i/>
          <w:szCs w:val="24"/>
          <w:lang w:eastAsia="en-US"/>
        </w:rPr>
        <w:t xml:space="preserve">svedčení za európske osvedčenia o odbornej spôsobilosti za predpokladu, že absolvujú dodatočný výcvik v oblasti odbornej spôsobilosti. Takéto osvedčenie by popri vodičskom preukaze mohlo byť druhou povinnou požiadavkou nato, aby profesionálni vodiči mohli </w:t>
      </w:r>
      <w:r>
        <w:rPr>
          <w:b/>
          <w:i/>
          <w:szCs w:val="24"/>
          <w:lang w:eastAsia="en-US"/>
        </w:rPr>
        <w:t xml:space="preserve">vykonávať dopravné operácie pre dopravný podnik so sídlom v Únii. </w:t>
      </w:r>
      <w:r>
        <w:rPr>
          <w:szCs w:val="24"/>
          <w:lang w:eastAsia="en-US"/>
        </w:rPr>
        <w:t>Tieto podmienky by mali byť podrobné a riadne vymedzené pre všetky príslušné skupiny vodičských preukazov.</w:t>
      </w:r>
      <w:r>
        <w:rPr>
          <w:b/>
          <w:szCs w:val="24"/>
          <w:lang w:eastAsia="en-US"/>
        </w:rPr>
        <w:t xml:space="preserve"> [PN 26]</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(26)</w:t>
      </w:r>
      <w:r>
        <w:rPr>
          <w:szCs w:val="24"/>
          <w:lang w:eastAsia="en-US"/>
        </w:rPr>
        <w:tab/>
        <w:t>Pokiaľ ide o vodičské preukazy vydané tretími krajinami, ktoré nie s</w:t>
      </w:r>
      <w:r>
        <w:rPr>
          <w:szCs w:val="24"/>
          <w:lang w:eastAsia="en-US"/>
        </w:rPr>
        <w:t>ú predmetom takéhoto rozhodnutia Komisie, alebo v prípade ktorých sa v takomto rozhodnutí výslovne nepovoľuje ani nezakazuje výmena, členské štáty by mali mať možnosť ich vymeniť v súlade so svojimi vnútroštátnymi pravidlami za predpokladu, že na vymenenom</w:t>
      </w:r>
      <w:r>
        <w:rPr>
          <w:szCs w:val="24"/>
          <w:lang w:eastAsia="en-US"/>
        </w:rPr>
        <w:t xml:space="preserve"> vodičskom preukaze použijú príslušný kód Únie. Ak sa držiteľ takéhoto vodičského preukazu presťahuje do nového členského štátu, tento členský štát by nemal byť povinný uplatniť na takýto vodičský preukaz zásadu vzájomného uznávania.</w:t>
      </w:r>
    </w:p>
    <w:p w:rsidR="006C6719" w:rsidRDefault="00614864">
      <w:pPr>
        <w:spacing w:before="120" w:after="120" w:line="360" w:lineRule="auto"/>
        <w:ind w:left="850" w:hanging="850"/>
        <w:rPr>
          <w:szCs w:val="24"/>
          <w:lang w:eastAsia="en-US"/>
        </w:rPr>
      </w:pPr>
      <w:r>
        <w:rPr>
          <w:szCs w:val="24"/>
          <w:lang w:eastAsia="en-US"/>
        </w:rPr>
        <w:t>(27)</w:t>
      </w:r>
      <w:r>
        <w:rPr>
          <w:szCs w:val="24"/>
          <w:lang w:eastAsia="en-US"/>
        </w:rPr>
        <w:tab/>
        <w:t>„Turistika za vod</w:t>
      </w:r>
      <w:r>
        <w:rPr>
          <w:szCs w:val="24"/>
          <w:lang w:eastAsia="en-US"/>
        </w:rPr>
        <w:t>ičskými preukazmi“, konkrétne praktiky zmeny bydliska na účely získania nového vodičského preukazu s cieľom obísť účinky zákazu vedenia vozidla uloženého v inom členskom štáte, je rozšírený jav, ktorý má negatívny vplyv na bezpečnosť cestnej premávky. Zmen</w:t>
      </w:r>
      <w:r>
        <w:rPr>
          <w:szCs w:val="24"/>
          <w:lang w:eastAsia="en-US"/>
        </w:rPr>
        <w:t>ou bydliska by vodiči nemali byť oslobodení od požiadaviek, ktoré sú na nich kladené, aby získali späť svoje právo viesť vozidlo alebo svoj vodičský preukaz. Zároveň by sa malo objasniť, že akékoľvek konanie zo strany občanov by malo viesť k časovo neobmed</w:t>
      </w:r>
      <w:r>
        <w:rPr>
          <w:szCs w:val="24"/>
          <w:lang w:eastAsia="en-US"/>
        </w:rPr>
        <w:t>zenému zákazu viesť vozidlo len v riadne odôvodnenom prípade a že účinok takéhoto rozhodnutia by mal byť obmedzený len na územie členského štátu, ktorý ho vydal.</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(27a)</w:t>
      </w:r>
      <w:r>
        <w:rPr>
          <w:szCs w:val="24"/>
          <w:lang w:eastAsia="en-US"/>
        </w:rPr>
        <w:tab/>
      </w:r>
      <w:r>
        <w:rPr>
          <w:b/>
          <w:i/>
          <w:szCs w:val="24"/>
          <w:lang w:eastAsia="en-US"/>
        </w:rPr>
        <w:t>Necestné mobilné strojové zariadenia zahŕňajú širokú škálu strojov, ktoré sa obvykle p</w:t>
      </w:r>
      <w:r>
        <w:rPr>
          <w:b/>
          <w:i/>
          <w:szCs w:val="24"/>
          <w:lang w:eastAsia="en-US"/>
        </w:rPr>
        <w:t xml:space="preserve">oužívajú mimo cesty mnohými spôsobmi. Patria sem napríklad stavebné a lesné stroje (rýpadlá, nakladače, buldozéry atď.), poľnohospodárske a farmárske stroje (kombajny, kultivátory atď.). Existujúca smernica sa na takéto strojové zariadenie nevzťahuje. Tie </w:t>
      </w:r>
      <w:r>
        <w:rPr>
          <w:b/>
          <w:i/>
          <w:szCs w:val="24"/>
          <w:lang w:eastAsia="en-US"/>
        </w:rPr>
        <w:t>sú však predmetom množstva vnútroštátnych ustanovení, pokiaľ ide o požadovaný vodičský preukaz a osobitné požiadavky na odbornú prípravu, keďže sa môže pohybovať na verejných pozemných komunikáciách. Členské štáty by mali spolupracovať s cieľom uľahčiť pou</w:t>
      </w:r>
      <w:r>
        <w:rPr>
          <w:b/>
          <w:i/>
          <w:szCs w:val="24"/>
          <w:lang w:eastAsia="en-US"/>
        </w:rPr>
        <w:t>žívanie necestných mobilných strojových zariadení v celej Únii, najmä v cezhraničnom kontexte, pri sezónnej práci alebo práci vykonávanej vyslanými pracovníkmi. Komisia by mala vytvoriť platformu pre spoluprácu tým, že prizve vnútroštátne orgány a príslušn</w:t>
      </w:r>
      <w:r>
        <w:rPr>
          <w:b/>
          <w:i/>
          <w:szCs w:val="24"/>
          <w:lang w:eastAsia="en-US"/>
        </w:rPr>
        <w:t>é zainteresované strany, aby zhromažďovali, spracúvali a šírili poznatky a informácie o odporúčaných postupoch pre vodičov vozidiel na špeciálne použitie, ako sú necestné mobilné strojové zariadenia, vo všetkých členských štátoch. Úvahy o platforme pre spo</w:t>
      </w:r>
      <w:r>
        <w:rPr>
          <w:b/>
          <w:i/>
          <w:szCs w:val="24"/>
          <w:lang w:eastAsia="en-US"/>
        </w:rPr>
        <w:t>luprácu by mali poslúžiť ako základ pre správu Komisie o účinkoch používania vnútroštátnych ustanovení o necestných pojazdných strojových zariadeniach a jeho vplyve na vnútorný trh a bezpečnosť cestnej premávky. K tejto správe by sa v prípade potreby mohol</w:t>
      </w:r>
      <w:r>
        <w:rPr>
          <w:b/>
          <w:i/>
          <w:szCs w:val="24"/>
          <w:lang w:eastAsia="en-US"/>
        </w:rPr>
        <w:t xml:space="preserve"> pripojiť legislatívny návrh Európskemu parlamentu a Rade s cieľom uľahčiť používanie necestných pojazdných strojových zariadení v celej Únii.</w:t>
      </w:r>
      <w:r>
        <w:rPr>
          <w:b/>
          <w:szCs w:val="24"/>
          <w:lang w:eastAsia="en-US"/>
        </w:rPr>
        <w:t xml:space="preserve"> [PN 310]</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(28)</w:t>
      </w:r>
      <w:r>
        <w:rPr>
          <w:szCs w:val="24"/>
          <w:lang w:eastAsia="en-US"/>
        </w:rPr>
        <w:tab/>
        <w:t xml:space="preserve">S cieľom zlepšiť bezpečnosť cestnej premávky by sa pre </w:t>
      </w:r>
      <w:proofErr w:type="spellStart"/>
      <w:r>
        <w:rPr>
          <w:strike/>
          <w:szCs w:val="24"/>
          <w:lang w:eastAsia="en-US"/>
        </w:rPr>
        <w:t>určité</w:t>
      </w:r>
      <w:r>
        <w:rPr>
          <w:b/>
          <w:i/>
          <w:szCs w:val="24"/>
          <w:lang w:eastAsia="en-US"/>
        </w:rPr>
        <w:t>vodičské</w:t>
      </w:r>
      <w:proofErr w:type="spellEnd"/>
      <w:r>
        <w:rPr>
          <w:b/>
          <w:i/>
          <w:szCs w:val="24"/>
          <w:lang w:eastAsia="en-US"/>
        </w:rPr>
        <w:t xml:space="preserve"> preukazy</w:t>
      </w:r>
      <w:r>
        <w:rPr>
          <w:szCs w:val="24"/>
          <w:lang w:eastAsia="en-US"/>
        </w:rPr>
        <w:t xml:space="preserve"> skupiny </w:t>
      </w:r>
      <w:r>
        <w:rPr>
          <w:strike/>
          <w:szCs w:val="24"/>
          <w:lang w:eastAsia="en-US"/>
        </w:rPr>
        <w:t>vodičských</w:t>
      </w:r>
      <w:r>
        <w:rPr>
          <w:strike/>
          <w:szCs w:val="24"/>
          <w:lang w:eastAsia="en-US"/>
        </w:rPr>
        <w:t xml:space="preserve"> </w:t>
      </w:r>
      <w:proofErr w:type="spellStart"/>
      <w:r>
        <w:rPr>
          <w:strike/>
          <w:szCs w:val="24"/>
          <w:lang w:eastAsia="en-US"/>
        </w:rPr>
        <w:t>preukazov</w:t>
      </w:r>
      <w:r>
        <w:rPr>
          <w:b/>
          <w:i/>
          <w:szCs w:val="24"/>
          <w:lang w:eastAsia="en-US"/>
        </w:rPr>
        <w:t>B</w:t>
      </w:r>
      <w:proofErr w:type="spellEnd"/>
      <w:r>
        <w:rPr>
          <w:b/>
          <w:i/>
          <w:szCs w:val="24"/>
          <w:lang w:eastAsia="en-US"/>
        </w:rPr>
        <w:t xml:space="preserve">, C a </w:t>
      </w:r>
      <w:proofErr w:type="spellStart"/>
      <w:r>
        <w:rPr>
          <w:b/>
          <w:i/>
          <w:szCs w:val="24"/>
          <w:lang w:eastAsia="en-US"/>
        </w:rPr>
        <w:t>C1</w:t>
      </w:r>
      <w:proofErr w:type="spellEnd"/>
      <w:r>
        <w:rPr>
          <w:szCs w:val="24"/>
          <w:lang w:eastAsia="en-US"/>
        </w:rPr>
        <w:t xml:space="preserve"> mal zaviesť </w:t>
      </w:r>
      <w:proofErr w:type="spellStart"/>
      <w:r>
        <w:rPr>
          <w:szCs w:val="24"/>
          <w:lang w:eastAsia="en-US"/>
        </w:rPr>
        <w:t>únijný</w:t>
      </w:r>
      <w:proofErr w:type="spellEnd"/>
      <w:r>
        <w:rPr>
          <w:szCs w:val="24"/>
          <w:lang w:eastAsia="en-US"/>
        </w:rPr>
        <w:t xml:space="preserve"> systém vedenia vozidla so sprievodom. V rámci pravidiel takéhoto systému by žiadatelia mali mať možnosť získať vodičské preukazy v príslušných skupinách pred dosiahnutím požadovanej minimálnej vekovej hranice. Používa</w:t>
      </w:r>
      <w:r>
        <w:rPr>
          <w:szCs w:val="24"/>
          <w:lang w:eastAsia="en-US"/>
        </w:rPr>
        <w:t>nie týchto vodičských preukazov by však malo byť podmienené sprievodom skúseného vodiča. V takýchto situáciách by členské štáty mali mať možnosť z dôvodu bezpečnosti cestnej premávky stanoviť na svojom území prísnejšie podmienky a pravidlá v súvislosti s v</w:t>
      </w:r>
      <w:r>
        <w:rPr>
          <w:szCs w:val="24"/>
          <w:lang w:eastAsia="en-US"/>
        </w:rPr>
        <w:t>odičskými preukazmi, ktoré vydali.</w:t>
      </w:r>
      <w:r>
        <w:rPr>
          <w:b/>
          <w:szCs w:val="24"/>
          <w:lang w:eastAsia="en-US"/>
        </w:rPr>
        <w:t xml:space="preserve"> [PN 27]</w:t>
      </w:r>
    </w:p>
    <w:p w:rsidR="006C6719" w:rsidRDefault="00614864">
      <w:pPr>
        <w:spacing w:before="120" w:after="120" w:line="360" w:lineRule="auto"/>
        <w:ind w:left="850" w:hanging="850"/>
        <w:rPr>
          <w:b/>
          <w:szCs w:val="24"/>
          <w:lang w:eastAsia="en-US"/>
        </w:rPr>
      </w:pPr>
      <w:r>
        <w:rPr>
          <w:szCs w:val="24"/>
          <w:lang w:eastAsia="en-US"/>
        </w:rPr>
        <w:t>(29)</w:t>
      </w:r>
      <w:r>
        <w:rPr>
          <w:szCs w:val="24"/>
          <w:lang w:eastAsia="en-US"/>
        </w:rPr>
        <w:tab/>
        <w:t>Vďaka systému vedenia vozidla so sprievodom by povolanie vodiča nákladného vozidla malo byť prístupnejšie a atraktívnejšie pre mladšie generácie, aby sa rozšírili ich profesijné možnosti a aby sa riešil nedos</w:t>
      </w:r>
      <w:r>
        <w:rPr>
          <w:szCs w:val="24"/>
          <w:lang w:eastAsia="en-US"/>
        </w:rPr>
        <w:t xml:space="preserve">tatok vodičov v Únii, bez toho, aby bol dotknutý celkový cieľ tohto systému zlepšiť bezpečnosť cestnej premávky. Mal by sa teda vzťahovať na vodičské preukazy skupiny C a </w:t>
      </w:r>
      <w:r>
        <w:rPr>
          <w:b/>
          <w:i/>
          <w:szCs w:val="24"/>
          <w:lang w:eastAsia="en-US"/>
        </w:rPr>
        <w:t xml:space="preserve">C1 a </w:t>
      </w:r>
      <w:r>
        <w:rPr>
          <w:szCs w:val="24"/>
          <w:lang w:eastAsia="en-US"/>
        </w:rPr>
        <w:t>vodičské preukazy skupiny B ako ich podmienku.</w:t>
      </w:r>
      <w:r>
        <w:rPr>
          <w:b/>
          <w:szCs w:val="24"/>
          <w:lang w:eastAsia="en-US"/>
        </w:rPr>
        <w:t xml:space="preserve"> [PN 28]</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(29a)</w:t>
      </w:r>
      <w:r>
        <w:rPr>
          <w:szCs w:val="24"/>
          <w:lang w:eastAsia="en-US"/>
        </w:rPr>
        <w:tab/>
      </w:r>
      <w:r>
        <w:rPr>
          <w:b/>
          <w:i/>
          <w:szCs w:val="24"/>
          <w:lang w:eastAsia="en-US"/>
        </w:rPr>
        <w:t xml:space="preserve">S cieľom riešiť </w:t>
      </w:r>
      <w:r>
        <w:rPr>
          <w:b/>
          <w:i/>
          <w:szCs w:val="24"/>
          <w:lang w:eastAsia="en-US"/>
        </w:rPr>
        <w:t>nedostatok profesionálnych vodičov v Únii by sa na základe stimulov malo podporovať partnerstvo medzi odbornými školami a dopravnými a logistickými spoločnosťami, a to aj prostredníctvom osobitnej rozpočtovej podpory Únie a využívania príjmov vyčlenených p</w:t>
      </w:r>
      <w:r>
        <w:rPr>
          <w:b/>
          <w:i/>
          <w:szCs w:val="24"/>
          <w:lang w:eastAsia="en-US"/>
        </w:rPr>
        <w:t>odľa smernice Európskeho parlamentu a Rady (EÚ) 2015/413</w:t>
      </w:r>
      <w:r>
        <w:rPr>
          <w:szCs w:val="24"/>
          <w:vertAlign w:val="superscript"/>
          <w:lang w:eastAsia="en-US"/>
        </w:rPr>
        <w:footnoteReference w:id="9"/>
      </w:r>
      <w:r>
        <w:rPr>
          <w:b/>
          <w:i/>
          <w:szCs w:val="24"/>
          <w:lang w:eastAsia="en-US"/>
        </w:rPr>
        <w:t>. Takéto partnerstvo by malo budúcim profesionálnym vodičom ponúknuť príležitosť lepšie sa oboznámiť s výhodami a výzvami tohto povolania, zlepšiť ich operačné a organizačné zručnosti a získať skúsen</w:t>
      </w:r>
      <w:r>
        <w:rPr>
          <w:b/>
          <w:i/>
          <w:szCs w:val="24"/>
          <w:lang w:eastAsia="en-US"/>
        </w:rPr>
        <w:t>osti a zároveň používať pokročilé technológie a techniky. Forma tejto podpory by okrem iného mohla zahŕňať spolufinancovanie EÚ na získanie určitých kvalifikácií, ako je osvedčenie o odbornej spôsobilosti alebo špecializovaný výcvik budúcich vodičov.</w:t>
      </w:r>
      <w:r>
        <w:rPr>
          <w:b/>
          <w:szCs w:val="24"/>
          <w:lang w:eastAsia="en-US"/>
        </w:rPr>
        <w:t xml:space="preserve"> [PN 2</w:t>
      </w:r>
      <w:r>
        <w:rPr>
          <w:b/>
          <w:szCs w:val="24"/>
          <w:lang w:eastAsia="en-US"/>
        </w:rPr>
        <w:t>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(30)</w:t>
      </w:r>
      <w:r>
        <w:rPr>
          <w:szCs w:val="24"/>
          <w:lang w:eastAsia="en-US"/>
        </w:rPr>
        <w:tab/>
        <w:t xml:space="preserve">Malo by sa zaistiť, aby vodiči, ktorí získali vodičský preukaz danej skupiny nedávno, neohrozovali bezpečnosť cestnej premávky vzhľadom na svoju neskúsenosť. Pre týchto vodičov-začiatočníkov by sa mala stanoviť skúšobná lehota </w:t>
      </w:r>
      <w:r>
        <w:rPr>
          <w:b/>
          <w:i/>
          <w:szCs w:val="24"/>
          <w:lang w:eastAsia="en-US"/>
        </w:rPr>
        <w:t xml:space="preserve">v trvaní najmenej </w:t>
      </w:r>
      <w:r>
        <w:rPr>
          <w:szCs w:val="24"/>
          <w:lang w:eastAsia="en-US"/>
        </w:rPr>
        <w:t>d</w:t>
      </w:r>
      <w:r>
        <w:rPr>
          <w:szCs w:val="24"/>
          <w:lang w:eastAsia="en-US"/>
        </w:rPr>
        <w:t>voch rokov</w:t>
      </w:r>
      <w:r>
        <w:rPr>
          <w:b/>
          <w:i/>
          <w:szCs w:val="24"/>
          <w:lang w:eastAsia="en-US"/>
        </w:rPr>
        <w:t>. V prípade</w:t>
      </w:r>
      <w:r>
        <w:rPr>
          <w:szCs w:val="24"/>
          <w:lang w:eastAsia="en-US"/>
        </w:rPr>
        <w:t>,</w:t>
      </w:r>
      <w:r>
        <w:rPr>
          <w:b/>
          <w:i/>
          <w:szCs w:val="24"/>
          <w:lang w:eastAsia="en-US"/>
        </w:rPr>
        <w:t xml:space="preserve"> že vodič-začiatočník už má platný vodičský preukaz pre inú skupinu, skúšobná lehota by mala pokrývať len čas, ktorý bude chýbať do skončenia skúšobnej lehoty v rámci existujúceho vodičského preukazu, nemala by však byť kratšia ako še</w:t>
      </w:r>
      <w:r>
        <w:rPr>
          <w:b/>
          <w:i/>
          <w:szCs w:val="24"/>
          <w:lang w:eastAsia="en-US"/>
        </w:rPr>
        <w:t>sť mesiacov.</w:t>
      </w:r>
      <w:r>
        <w:rPr>
          <w:szCs w:val="24"/>
          <w:lang w:eastAsia="en-US"/>
        </w:rPr>
        <w:t xml:space="preserve"> Počas </w:t>
      </w:r>
      <w:proofErr w:type="spellStart"/>
      <w:r>
        <w:rPr>
          <w:strike/>
          <w:szCs w:val="24"/>
          <w:lang w:eastAsia="en-US"/>
        </w:rPr>
        <w:t>ktorej</w:t>
      </w:r>
      <w:r>
        <w:rPr>
          <w:b/>
          <w:i/>
          <w:szCs w:val="24"/>
          <w:lang w:eastAsia="en-US"/>
        </w:rPr>
        <w:t>tohto</w:t>
      </w:r>
      <w:proofErr w:type="spellEnd"/>
      <w:r>
        <w:rPr>
          <w:b/>
          <w:i/>
          <w:szCs w:val="24"/>
          <w:lang w:eastAsia="en-US"/>
        </w:rPr>
        <w:t xml:space="preserve"> obdobia</w:t>
      </w:r>
      <w:r>
        <w:rPr>
          <w:szCs w:val="24"/>
          <w:lang w:eastAsia="en-US"/>
        </w:rPr>
        <w:t xml:space="preserve"> by sa na </w:t>
      </w:r>
      <w:proofErr w:type="spellStart"/>
      <w:r>
        <w:rPr>
          <w:strike/>
          <w:szCs w:val="24"/>
          <w:lang w:eastAsia="en-US"/>
        </w:rPr>
        <w:t>nich</w:t>
      </w:r>
      <w:r>
        <w:rPr>
          <w:b/>
          <w:i/>
          <w:szCs w:val="24"/>
          <w:lang w:eastAsia="en-US"/>
        </w:rPr>
        <w:t>vodičov</w:t>
      </w:r>
      <w:proofErr w:type="spellEnd"/>
      <w:r>
        <w:rPr>
          <w:szCs w:val="24"/>
          <w:lang w:eastAsia="en-US"/>
        </w:rPr>
        <w:t xml:space="preserve"> mali vzťahovať prísnejšie pravidlá a sankcie v celej Únii, keď ich porušia </w:t>
      </w:r>
      <w:r>
        <w:rPr>
          <w:b/>
          <w:i/>
          <w:szCs w:val="24"/>
          <w:lang w:eastAsia="en-US"/>
        </w:rPr>
        <w:t xml:space="preserve">napríklad </w:t>
      </w:r>
      <w:r>
        <w:rPr>
          <w:szCs w:val="24"/>
          <w:lang w:eastAsia="en-US"/>
        </w:rPr>
        <w:t>pod vplyvom</w:t>
      </w:r>
      <w:r>
        <w:rPr>
          <w:b/>
          <w:i/>
          <w:szCs w:val="24"/>
          <w:lang w:eastAsia="en-US"/>
        </w:rPr>
        <w:t xml:space="preserve"> alkoholu alebo drog, v dôsledku prekročenia rýchlosti, používania nepovolených vozidiel, nepoužívan</w:t>
      </w:r>
      <w:r>
        <w:rPr>
          <w:b/>
          <w:i/>
          <w:szCs w:val="24"/>
          <w:lang w:eastAsia="en-US"/>
        </w:rPr>
        <w:t>ia bezpečnostného vybavenia alebo vedenia vozidla bez platného vodičského preukazu. Orgány presadzovania práva možno budú musieť pre svoje účinné merania stanoviť nulovú technickú toleranciu, ktorá by nemala byť vyššia ako 0,2 g/ml, aby sa zohľadnilo náhod</w:t>
      </w:r>
      <w:r>
        <w:rPr>
          <w:b/>
          <w:i/>
          <w:szCs w:val="24"/>
          <w:lang w:eastAsia="en-US"/>
        </w:rPr>
        <w:t>né vystavenie</w:t>
      </w:r>
      <w:r>
        <w:rPr>
          <w:szCs w:val="24"/>
          <w:lang w:eastAsia="en-US"/>
        </w:rPr>
        <w:t xml:space="preserve"> alkoholu. Sankcie za takéto konanie by mali byť účinné, primerané, odrádzajúce a nediskriminačné a ich závažnosť by mala v čo najväčšej miere zohľadňovať strednodobé a dlhodobé ciele Únie znížiť počet úmrtí a vážnych zranení o polovicu a takm</w:t>
      </w:r>
      <w:r>
        <w:rPr>
          <w:szCs w:val="24"/>
          <w:lang w:eastAsia="en-US"/>
        </w:rPr>
        <w:t>er ich odstrániť. Pokiaľ ide o akékoľvek iné obmedzenia týkajúce sa vodičov-začiatočníkov, členské štáty by mali mať možnosť slobodne zaviesť na svojom území ďalšie pravidlá.</w:t>
      </w:r>
      <w:r>
        <w:rPr>
          <w:b/>
          <w:szCs w:val="24"/>
          <w:lang w:eastAsia="en-US"/>
        </w:rPr>
        <w:t xml:space="preserve"> [PN 30]</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(31)</w:t>
      </w:r>
      <w:r>
        <w:rPr>
          <w:szCs w:val="24"/>
          <w:lang w:eastAsia="en-US"/>
        </w:rPr>
        <w:tab/>
        <w:t>Mali by sa stanoviť minimálne normy týkajúce sa prístupu k povolan</w:t>
      </w:r>
      <w:r>
        <w:rPr>
          <w:szCs w:val="24"/>
          <w:lang w:eastAsia="en-US"/>
        </w:rPr>
        <w:t>iu a odbornej prípravy skúšajúcich s cieľom zlepšiť vedomosti a zručnosti skúšajúcich</w:t>
      </w:r>
      <w:r>
        <w:rPr>
          <w:b/>
          <w:i/>
          <w:szCs w:val="24"/>
          <w:lang w:eastAsia="en-US"/>
        </w:rPr>
        <w:t xml:space="preserve"> vrátane školení o vnímaní nebezpečenstva</w:t>
      </w:r>
      <w:r>
        <w:rPr>
          <w:szCs w:val="24"/>
          <w:lang w:eastAsia="en-US"/>
        </w:rPr>
        <w:t>, a tým zabezpečiť objektívnejšie hodnotenie žiadateľov o vodičský preukaz a dosiahnuť väčšiu harmonizáciu vodičských skúšok. Komi</w:t>
      </w:r>
      <w:r>
        <w:rPr>
          <w:szCs w:val="24"/>
          <w:lang w:eastAsia="en-US"/>
        </w:rPr>
        <w:t>sia by navyše mala byť splnomocnená prijímať delegované akty s cieľom zmeniť a prispôsobiť tieto minimálne normy akémukoľvek technickému, prevádzkovému alebo vedeckému vývoju v tejto oblasti</w:t>
      </w:r>
      <w:r>
        <w:rPr>
          <w:b/>
          <w:i/>
          <w:szCs w:val="24"/>
          <w:lang w:eastAsia="en-US"/>
        </w:rPr>
        <w:t xml:space="preserve"> vrátane nových pokročilých asistenčných systémov pre vodiča</w:t>
      </w:r>
      <w:r>
        <w:rPr>
          <w:szCs w:val="24"/>
          <w:lang w:eastAsia="en-US"/>
        </w:rPr>
        <w:t>, ak t</w:t>
      </w:r>
      <w:r>
        <w:rPr>
          <w:szCs w:val="24"/>
          <w:lang w:eastAsia="en-US"/>
        </w:rPr>
        <w:t>o bude potrebné.</w:t>
      </w:r>
      <w:r>
        <w:rPr>
          <w:b/>
          <w:szCs w:val="24"/>
          <w:lang w:eastAsia="en-US"/>
        </w:rPr>
        <w:t xml:space="preserve"> [PN 31]</w:t>
      </w:r>
    </w:p>
    <w:p w:rsidR="006C6719" w:rsidRDefault="00614864">
      <w:pPr>
        <w:spacing w:before="120" w:after="120" w:line="360" w:lineRule="auto"/>
        <w:ind w:left="850" w:hanging="850"/>
        <w:rPr>
          <w:b/>
          <w:szCs w:val="24"/>
          <w:lang w:eastAsia="en-US"/>
        </w:rPr>
      </w:pPr>
      <w:r>
        <w:rPr>
          <w:szCs w:val="24"/>
          <w:lang w:eastAsia="en-US"/>
        </w:rPr>
        <w:t>(32)</w:t>
      </w:r>
      <w:r>
        <w:rPr>
          <w:szCs w:val="24"/>
          <w:lang w:eastAsia="en-US"/>
        </w:rPr>
        <w:tab/>
        <w:t xml:space="preserve">Pojem obvyklé bydlisko by sa mal vymedziť tak, aby bolo možné riešiť problémy vznikajúce v prípadoch, keď obvyklé bydlisko nemožno určiť na základe pracovných alebo rodinných väzieb. Takisto treba poskytnúť žiadateľom možnosť </w:t>
      </w:r>
      <w:r>
        <w:rPr>
          <w:szCs w:val="24"/>
          <w:lang w:eastAsia="en-US"/>
        </w:rPr>
        <w:t xml:space="preserve">absolvovať teoretické alebo praktické skúšky v členskom štáte, v ktorom majú občianstvo, v prípadoch, keď členský štát ich obvyklého bydliska neposkytuje možnosť absolvovať tieto skúšky v úradnom jazyku členského štátu, v ktorom majú občianstvo. </w:t>
      </w:r>
      <w:proofErr w:type="spellStart"/>
      <w:r>
        <w:rPr>
          <w:strike/>
          <w:szCs w:val="24"/>
          <w:lang w:eastAsia="en-US"/>
        </w:rPr>
        <w:t>Mali</w:t>
      </w:r>
      <w:r>
        <w:rPr>
          <w:b/>
          <w:i/>
          <w:szCs w:val="24"/>
          <w:lang w:eastAsia="en-US"/>
        </w:rPr>
        <w:t>Mohli</w:t>
      </w:r>
      <w:proofErr w:type="spellEnd"/>
      <w:r>
        <w:rPr>
          <w:szCs w:val="24"/>
          <w:lang w:eastAsia="en-US"/>
        </w:rPr>
        <w:t xml:space="preserve"> </w:t>
      </w:r>
      <w:r>
        <w:rPr>
          <w:szCs w:val="24"/>
          <w:lang w:eastAsia="en-US"/>
        </w:rPr>
        <w:t>by sa stanoviť osobitné pravidlá pre diplomatov a ich rodiny, keď si ich misia vyžaduje dlhodobý pobyt v zahraničí</w:t>
      </w:r>
      <w:r>
        <w:rPr>
          <w:b/>
          <w:i/>
          <w:szCs w:val="24"/>
          <w:lang w:eastAsia="en-US"/>
        </w:rPr>
        <w:t>, za predpokladu, že nebudú znamenať ďalšie riziká pre bezpečnosť na cestách</w:t>
      </w:r>
      <w:r>
        <w:rPr>
          <w:szCs w:val="24"/>
          <w:lang w:eastAsia="en-US"/>
        </w:rPr>
        <w:t>.</w:t>
      </w:r>
      <w:r>
        <w:rPr>
          <w:b/>
          <w:szCs w:val="24"/>
          <w:lang w:eastAsia="en-US"/>
        </w:rPr>
        <w:t xml:space="preserve"> [PN 32]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(33)</w:t>
      </w:r>
      <w:r>
        <w:rPr>
          <w:szCs w:val="24"/>
          <w:lang w:eastAsia="en-US"/>
        </w:rPr>
        <w:tab/>
        <w:t>Členské štáty by si pri vykonávaní tejto smernice</w:t>
      </w:r>
      <w:r>
        <w:rPr>
          <w:szCs w:val="24"/>
          <w:lang w:eastAsia="en-US"/>
        </w:rPr>
        <w:t xml:space="preserve"> mali navzájom pomáhať. Na poskytovanie takejto pomoci by podľa možnosti mali využívať sieť vodičských preukazov EÚ. Sieť vodičských preukazov EÚ, bežne označovaná „RESPER“, je centrom na výmenu informácií medzi vnútroštátnymi orgánmi zodpovednými za vydáv</w:t>
      </w:r>
      <w:r>
        <w:rPr>
          <w:szCs w:val="24"/>
          <w:lang w:eastAsia="en-US"/>
        </w:rPr>
        <w:t>anie vodičských preukazov a uľahčenie vykonávania tejto smernice.</w:t>
      </w:r>
    </w:p>
    <w:p w:rsidR="006C6719" w:rsidRDefault="00614864">
      <w:pPr>
        <w:spacing w:before="120" w:after="120" w:line="360" w:lineRule="auto"/>
        <w:ind w:left="850" w:hanging="850"/>
        <w:rPr>
          <w:szCs w:val="24"/>
          <w:lang w:eastAsia="en-US"/>
        </w:rPr>
      </w:pPr>
      <w:r>
        <w:rPr>
          <w:szCs w:val="24"/>
          <w:lang w:eastAsia="en-US"/>
        </w:rPr>
        <w:t>(34)</w:t>
      </w:r>
      <w:r>
        <w:rPr>
          <w:szCs w:val="24"/>
          <w:lang w:eastAsia="en-US"/>
        </w:rPr>
        <w:tab/>
        <w:t>Cieľom siete vodičských preukazov EÚ je zaručiť uznávanie dokladov a nadobudnutých práv pochádzajúcich z členských štátov, bojovať proti podvodom v oblasti dokladov, predchádzať vydávan</w:t>
      </w:r>
      <w:r>
        <w:rPr>
          <w:szCs w:val="24"/>
          <w:lang w:eastAsia="en-US"/>
        </w:rPr>
        <w:t>iu viacerých preukazov a uľahčiť vymáhanie zákazov vedenia vozidla. Členským štátom by sa mala poskytnúť najmä možnosť systematicky overovať, že zanikli dôvody, ktoré viedli k akýmkoľvek predtým uloženým obmedzeniam, pozastaveniam, odobratiam alebo zrušeni</w:t>
      </w:r>
      <w:r>
        <w:rPr>
          <w:szCs w:val="24"/>
          <w:lang w:eastAsia="en-US"/>
        </w:rPr>
        <w:t>am vodičského preukazu alebo vodičského oprávnenia. Používanie systému RESPER na vykonávanie iných aktov Únie by malo byť povolené len vtedy, ak sú tieto použitia výslovne stanovené v tejto smernici.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(35)</w:t>
      </w:r>
      <w:r>
        <w:rPr>
          <w:szCs w:val="24"/>
          <w:lang w:eastAsia="en-US"/>
        </w:rPr>
        <w:tab/>
        <w:t>V snahe umožniť vypracúvanie zmysluplných správ o</w:t>
      </w:r>
      <w:r>
        <w:rPr>
          <w:szCs w:val="24"/>
          <w:lang w:eastAsia="en-US"/>
        </w:rPr>
        <w:t xml:space="preserve"> vykonávaní tejto smernice by Komisia mala každý rok dostávať informácie o počte vydaných, obnovených, nahradených, odobratých a vymenených vodičských preukazov každej skupiny vrátane údajov o vydaní a používaní mobilných vodičských preukazov.</w:t>
      </w:r>
    </w:p>
    <w:p w:rsidR="006C6719" w:rsidRDefault="00614864">
      <w:pPr>
        <w:spacing w:before="120" w:after="120" w:line="360" w:lineRule="auto"/>
        <w:ind w:left="850" w:hanging="850"/>
        <w:rPr>
          <w:b/>
          <w:szCs w:val="24"/>
          <w:lang w:eastAsia="en-US"/>
        </w:rPr>
      </w:pPr>
      <w:r>
        <w:rPr>
          <w:b/>
          <w:i/>
          <w:szCs w:val="24"/>
          <w:lang w:eastAsia="en-US"/>
        </w:rPr>
        <w:t>(35a)</w:t>
      </w:r>
      <w:r>
        <w:rPr>
          <w:szCs w:val="24"/>
          <w:lang w:eastAsia="en-US"/>
        </w:rPr>
        <w:tab/>
      </w:r>
      <w:r>
        <w:rPr>
          <w:b/>
          <w:i/>
          <w:szCs w:val="24"/>
          <w:lang w:eastAsia="en-US"/>
        </w:rPr>
        <w:t xml:space="preserve">Počas </w:t>
      </w:r>
      <w:r>
        <w:rPr>
          <w:b/>
          <w:i/>
          <w:szCs w:val="24"/>
          <w:lang w:eastAsia="en-US"/>
        </w:rPr>
        <w:t>príprav na preskúmanie tejto smernice by Komisia mala v čo najväčšej miere zohľadniť, že členské štáty čelia rôznym geografickým a spoločenským výzvam pri úsilí o zlepšenie bezpečnosti cestnej premávky. Zatiaľ čo niektoré členské štáty sa úspešne zameriava</w:t>
      </w:r>
      <w:r>
        <w:rPr>
          <w:b/>
          <w:i/>
          <w:szCs w:val="24"/>
          <w:lang w:eastAsia="en-US"/>
        </w:rPr>
        <w:t xml:space="preserve">jú na presadzovanie pravidiel cestnej premávky prostredníctvom tzv. systémov trestných bodov, iné si vyberajú rôzne metódy, ako je okamžité uloženie prísnejších sankcií alebo vynaloženie väčšieho úsilia v cielených kampaniach na presadzovanie a prevenciu. </w:t>
      </w:r>
      <w:r>
        <w:rPr>
          <w:b/>
          <w:i/>
          <w:szCs w:val="24"/>
          <w:lang w:eastAsia="en-US"/>
        </w:rPr>
        <w:t>Okrem toho by sa mala zohľadniť aj skutočnosť, že samotné systémy trestných bodov sa môžu v jednotlivých členských štátoch, ktoré sa rozhodnú ich uplatňovať, výrazne líšiť. Zdroje a pozornosť by sa preto mali zamerať na iné opatrenia, ktorými sa môže zvýši</w:t>
      </w:r>
      <w:r>
        <w:rPr>
          <w:b/>
          <w:i/>
          <w:szCs w:val="24"/>
          <w:lang w:eastAsia="en-US"/>
        </w:rPr>
        <w:t>ť bezpečnosť cestnej premávky, pričom zároveň by sa malo umožniť členským štátom, aby rôzne výzvy, ktorým čelia, riešili spôsobom, ktorý považujú za najúčinnejší.</w:t>
      </w:r>
      <w:r>
        <w:rPr>
          <w:b/>
          <w:szCs w:val="24"/>
          <w:lang w:eastAsia="en-US"/>
        </w:rPr>
        <w:t xml:space="preserve"> [PN 247 a 311]</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(35b)</w:t>
      </w:r>
      <w:r>
        <w:rPr>
          <w:szCs w:val="24"/>
          <w:lang w:eastAsia="en-US"/>
        </w:rPr>
        <w:tab/>
      </w:r>
      <w:r>
        <w:rPr>
          <w:b/>
          <w:i/>
          <w:szCs w:val="24"/>
          <w:lang w:eastAsia="en-US"/>
        </w:rPr>
        <w:t>Členské štáty by si mali rovnako vymieňať údaje o svojich najlepších p</w:t>
      </w:r>
      <w:r>
        <w:rPr>
          <w:b/>
          <w:i/>
          <w:szCs w:val="24"/>
          <w:lang w:eastAsia="en-US"/>
        </w:rPr>
        <w:t>ostupoch, pokiaľ ide o opatrenia v oblasti bezpečnosti cestnej premávky a školenia v oblasti informovanosti o rizikách, najmä v prípade vodičov-začiatočníkov a v rámci celoživotného vzdelávania, používanie systému podpory podľa vekových skupín prostredníct</w:t>
      </w:r>
      <w:r>
        <w:rPr>
          <w:b/>
          <w:i/>
          <w:szCs w:val="24"/>
          <w:lang w:eastAsia="en-US"/>
        </w:rPr>
        <w:t>vom spätnej väzby s preukázaním účasti a odporúčaní poskytnutých inštruktorom autoškoly, dopravným psychológom alebo skúšajúcim pri skúškach z vedenia motorových vozidiel, ako aj opatrenia na zvýšenie bezpečnosti cestnej premávky medzi zraniteľnými účastní</w:t>
      </w:r>
      <w:r>
        <w:rPr>
          <w:b/>
          <w:i/>
          <w:szCs w:val="24"/>
          <w:lang w:eastAsia="en-US"/>
        </w:rPr>
        <w:t xml:space="preserve">kmi cestnej premávky. </w:t>
      </w:r>
      <w:r>
        <w:rPr>
          <w:b/>
          <w:szCs w:val="24"/>
          <w:lang w:eastAsia="en-US"/>
        </w:rPr>
        <w:t>[PN 34]</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(36)</w:t>
      </w:r>
      <w:r>
        <w:rPr>
          <w:szCs w:val="24"/>
          <w:lang w:eastAsia="en-US"/>
        </w:rPr>
        <w:tab/>
      </w:r>
      <w:r>
        <w:rPr>
          <w:szCs w:val="24"/>
          <w:lang w:eastAsia="en-US"/>
        </w:rPr>
        <w:t>S cieľom dosiahnuť ciele tejto smernice, najmä prispôsobiť jej prílohy akémukoľvek technickému, prevádzkovému alebo vedeckému vývoju, by sa na Komisiu mala delegovať právomoc prijímať akty v súlade s článkom 290 ZFEÚ, pokiaľ ide o zmeny častí A, B a D príl</w:t>
      </w:r>
      <w:r>
        <w:rPr>
          <w:szCs w:val="24"/>
          <w:lang w:eastAsia="en-US"/>
        </w:rPr>
        <w:t>ohy I, v ktorých sa upravujú špecifikácie fyzických vodičských preukazov, zmeny časti C prílohy I, v ktorej sa stanovujú špecifikácie mobilných vodičských preukazov, zmeny časti E prílohy I, v ktorej sa určujú pravidlá o uplatniteľných vnútroštátnych kódoc</w:t>
      </w:r>
      <w:r>
        <w:rPr>
          <w:szCs w:val="24"/>
          <w:lang w:eastAsia="en-US"/>
        </w:rPr>
        <w:t>h a kódoch Únie, zmeny príloh II, III, V a VI, v ktorých sa špecifikujú určité minimálne požiadavky týkajúce sa vydávania, platnosti a obnovovania vodičských preukazov, a zmeny prílohy IV, v ktorej sa stanovujú minimálne normy pre skúšajúcich. Takéto splno</w:t>
      </w:r>
      <w:r>
        <w:rPr>
          <w:szCs w:val="24"/>
          <w:lang w:eastAsia="en-US"/>
        </w:rPr>
        <w:t>mocnenie by sa malo udeliť na obdobie piatich rokov, keďže k technickým, prevádzkovým a vedeckým zmenám, ktoré sa upravujú v týchto prílohách, dochádza často. Je osobitne dôležité, aby Komisia počas svojich prípravných prác uskutočnila príslušné konzultáci</w:t>
      </w:r>
      <w:r>
        <w:rPr>
          <w:szCs w:val="24"/>
          <w:lang w:eastAsia="en-US"/>
        </w:rPr>
        <w:t xml:space="preserve">e, a to aj na úrovni expertov, a aby tieto konzultácie vykonávala v súlade so zásadami stanovenými v </w:t>
      </w:r>
      <w:proofErr w:type="spellStart"/>
      <w:r>
        <w:rPr>
          <w:szCs w:val="24"/>
          <w:lang w:eastAsia="en-US"/>
        </w:rPr>
        <w:t>Medziinštitucionálnej</w:t>
      </w:r>
      <w:proofErr w:type="spellEnd"/>
      <w:r>
        <w:rPr>
          <w:szCs w:val="24"/>
          <w:lang w:eastAsia="en-US"/>
        </w:rPr>
        <w:t xml:space="preserve"> dohode o lepšej tvorbe práva z 13. apríla 2016</w:t>
      </w:r>
      <w:r>
        <w:rPr>
          <w:szCs w:val="24"/>
          <w:vertAlign w:val="superscript"/>
          <w:lang w:eastAsia="en-US"/>
        </w:rPr>
        <w:footnoteReference w:id="10"/>
      </w:r>
      <w:r>
        <w:rPr>
          <w:szCs w:val="24"/>
          <w:lang w:eastAsia="en-US"/>
        </w:rPr>
        <w:t>. Predovšetkým, v záujme rovnakého zastúpenia pri príprave delegovaných aktov, sa všet</w:t>
      </w:r>
      <w:r>
        <w:rPr>
          <w:szCs w:val="24"/>
          <w:lang w:eastAsia="en-US"/>
        </w:rPr>
        <w:t>ky dokumenty doručujú Európskemu parlamentu a Rade v rovnakom čase ako expertom z členských štátov, a experti Európskeho parlamentu a Rady majú systematický prístup na zasadnutia expertných skupín Komisie, ktoré sa zaoberajú prípravou delegovaných aktov.</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(37)</w:t>
      </w:r>
      <w:r>
        <w:rPr>
          <w:szCs w:val="24"/>
          <w:lang w:eastAsia="en-US"/>
        </w:rPr>
        <w:tab/>
        <w:t>V súvislosti s postupnou digitalizáciou a automatizáciou, s čoraz prísnejšími požiadavkami na znižovanie emisií v cestnej doprave, ako aj neustálym technologickým pokrokom v oblasti poháňaných vozidiel treba, aby všetci vodiči mali aktuálne vedomostí</w:t>
      </w:r>
      <w:r>
        <w:rPr>
          <w:szCs w:val="24"/>
          <w:lang w:eastAsia="en-US"/>
        </w:rPr>
        <w:t xml:space="preserve"> o </w:t>
      </w:r>
      <w:r>
        <w:rPr>
          <w:b/>
          <w:i/>
          <w:szCs w:val="24"/>
          <w:lang w:eastAsia="en-US"/>
        </w:rPr>
        <w:t xml:space="preserve">nových technológiách, </w:t>
      </w:r>
      <w:r>
        <w:rPr>
          <w:szCs w:val="24"/>
          <w:lang w:eastAsia="en-US"/>
        </w:rPr>
        <w:t xml:space="preserve">bezpečnosti cestnej premávky a jej udržateľnosti. </w:t>
      </w:r>
      <w:r>
        <w:rPr>
          <w:strike/>
          <w:szCs w:val="24"/>
          <w:lang w:eastAsia="en-US"/>
        </w:rPr>
        <w:t xml:space="preserve">Podpora celoživotného </w:t>
      </w:r>
      <w:proofErr w:type="spellStart"/>
      <w:r>
        <w:rPr>
          <w:strike/>
          <w:szCs w:val="24"/>
          <w:lang w:eastAsia="en-US"/>
        </w:rPr>
        <w:t>vzdelávania</w:t>
      </w:r>
      <w:r>
        <w:rPr>
          <w:b/>
          <w:i/>
          <w:szCs w:val="24"/>
          <w:lang w:eastAsia="en-US"/>
        </w:rPr>
        <w:t>Členské</w:t>
      </w:r>
      <w:proofErr w:type="spellEnd"/>
      <w:r>
        <w:rPr>
          <w:b/>
          <w:i/>
          <w:szCs w:val="24"/>
          <w:lang w:eastAsia="en-US"/>
        </w:rPr>
        <w:t xml:space="preserve"> štáty by sa mali snažiť podporovať celoživotnú odbornú prípravu vodičov a stimulovať účasť na kurzoch bezpečného vedenia vozidla, a to aj prostredníctvom spätnej väzby s dôkazom o účasti a odporúčaní poskytnutých inštruktorom autoškoly, dopravným psycholó</w:t>
      </w:r>
      <w:r>
        <w:rPr>
          <w:b/>
          <w:i/>
          <w:szCs w:val="24"/>
          <w:lang w:eastAsia="en-US"/>
        </w:rPr>
        <w:t xml:space="preserve">gom alebo skúšajúcim pri skúškach z vedenia motorových vozidiel, čo môže prispieť k </w:t>
      </w:r>
      <w:proofErr w:type="spellStart"/>
      <w:r>
        <w:rPr>
          <w:b/>
          <w:i/>
          <w:szCs w:val="24"/>
          <w:lang w:eastAsia="en-US"/>
        </w:rPr>
        <w:t>inkluzívnejšej</w:t>
      </w:r>
      <w:proofErr w:type="spellEnd"/>
      <w:r>
        <w:rPr>
          <w:b/>
          <w:i/>
          <w:szCs w:val="24"/>
          <w:lang w:eastAsia="en-US"/>
        </w:rPr>
        <w:t xml:space="preserve"> mobilite. To</w:t>
      </w:r>
      <w:r>
        <w:rPr>
          <w:szCs w:val="24"/>
          <w:lang w:eastAsia="en-US"/>
        </w:rPr>
        <w:t xml:space="preserve"> môže byť kľúčom k </w:t>
      </w:r>
      <w:r>
        <w:rPr>
          <w:strike/>
          <w:szCs w:val="24"/>
          <w:lang w:eastAsia="en-US"/>
        </w:rPr>
        <w:t xml:space="preserve">udržaniu </w:t>
      </w:r>
      <w:proofErr w:type="spellStart"/>
      <w:r>
        <w:rPr>
          <w:strike/>
          <w:szCs w:val="24"/>
          <w:lang w:eastAsia="en-US"/>
        </w:rPr>
        <w:t>aktuálnych</w:t>
      </w:r>
      <w:r>
        <w:rPr>
          <w:b/>
          <w:i/>
          <w:szCs w:val="24"/>
          <w:lang w:eastAsia="en-US"/>
        </w:rPr>
        <w:t>priebežnej</w:t>
      </w:r>
      <w:proofErr w:type="spellEnd"/>
      <w:r>
        <w:rPr>
          <w:b/>
          <w:i/>
          <w:szCs w:val="24"/>
          <w:lang w:eastAsia="en-US"/>
        </w:rPr>
        <w:t xml:space="preserve"> aktualizácii</w:t>
      </w:r>
      <w:r>
        <w:rPr>
          <w:szCs w:val="24"/>
          <w:lang w:eastAsia="en-US"/>
        </w:rPr>
        <w:t xml:space="preserve"> zručností skúsených vodičov z hľadiska bezpečnosti cestnej premávky, nových technol</w:t>
      </w:r>
      <w:r>
        <w:rPr>
          <w:szCs w:val="24"/>
          <w:lang w:eastAsia="en-US"/>
        </w:rPr>
        <w:t>ógií, ekologického spôsobu jazdy, čím sa zlepšuje palivová účinnosť a znižujú emisie a riadenie rýchlosti.</w:t>
      </w:r>
      <w:r>
        <w:rPr>
          <w:b/>
          <w:szCs w:val="24"/>
          <w:lang w:eastAsia="en-US"/>
        </w:rPr>
        <w:t xml:space="preserve"> [PN 35]</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(38)</w:t>
      </w:r>
      <w:r>
        <w:rPr>
          <w:szCs w:val="24"/>
          <w:lang w:eastAsia="en-US"/>
        </w:rPr>
        <w:tab/>
        <w:t>Na zabezpečenie jednotných podmienok vykonávania tejto smernice by sa na Komisiu mali preniesť vykonávacie právomoci s cieľom špecifik</w:t>
      </w:r>
      <w:r>
        <w:rPr>
          <w:szCs w:val="24"/>
          <w:lang w:eastAsia="en-US"/>
        </w:rPr>
        <w:t xml:space="preserve">ovať prvky </w:t>
      </w:r>
      <w:proofErr w:type="spellStart"/>
      <w:r>
        <w:rPr>
          <w:szCs w:val="24"/>
          <w:lang w:eastAsia="en-US"/>
        </w:rPr>
        <w:t>interoperability</w:t>
      </w:r>
      <w:proofErr w:type="spellEnd"/>
      <w:r>
        <w:rPr>
          <w:szCs w:val="24"/>
          <w:lang w:eastAsia="en-US"/>
        </w:rPr>
        <w:t xml:space="preserve"> a bezpečnostné opatrenia uplatniteľné na kódy QR zavedené na fyzických vodičských preukazoch, ustanovenia týkajúce sa </w:t>
      </w:r>
      <w:proofErr w:type="spellStart"/>
      <w:r>
        <w:rPr>
          <w:szCs w:val="24"/>
          <w:lang w:eastAsia="en-US"/>
        </w:rPr>
        <w:t>interoperability</w:t>
      </w:r>
      <w:proofErr w:type="spellEnd"/>
      <w:r>
        <w:rPr>
          <w:szCs w:val="24"/>
          <w:lang w:eastAsia="en-US"/>
        </w:rPr>
        <w:t>, bezpečnosti a testovania mobilných vodičských preukazov, predĺženie obdobia administratívnej</w:t>
      </w:r>
      <w:r>
        <w:rPr>
          <w:szCs w:val="24"/>
          <w:lang w:eastAsia="en-US"/>
        </w:rPr>
        <w:t xml:space="preserve"> platnosti vodičských preukazov v celej Únii v prípade krízy, obsah sebahodnotenia týkajúceho sa telesnej a duševnej spôsobilosti, ktoré sa má vykonávať v prípade vodičov skupiny 1, podmienky výmeny vodičských preukazov z tretích krajín za vodičské preukaz</w:t>
      </w:r>
      <w:r>
        <w:rPr>
          <w:szCs w:val="24"/>
          <w:lang w:eastAsia="en-US"/>
        </w:rPr>
        <w:t xml:space="preserve">y vydané členskými štátmi bez zaznamenania skutočnosti o výmene na vodičskom preukaze, ako aj </w:t>
      </w:r>
      <w:proofErr w:type="spellStart"/>
      <w:r>
        <w:rPr>
          <w:szCs w:val="24"/>
          <w:lang w:eastAsia="en-US"/>
        </w:rPr>
        <w:t>interoperabilitu</w:t>
      </w:r>
      <w:proofErr w:type="spellEnd"/>
      <w:r>
        <w:rPr>
          <w:szCs w:val="24"/>
          <w:lang w:eastAsia="en-US"/>
        </w:rPr>
        <w:t xml:space="preserve"> medzi vnútroštátnymi systémami prepojenými so sieťou vodičských preukazov EÚ a ochranu osobných údajov vymieňaných v tejto súvislosti. Uvedené pr</w:t>
      </w:r>
      <w:r>
        <w:rPr>
          <w:szCs w:val="24"/>
          <w:lang w:eastAsia="en-US"/>
        </w:rPr>
        <w:t>ávomoci by sa mali vykonávať v súlade s nariadením Európskeho parlamentu a Rady (EÚ) č. 182/2011</w:t>
      </w:r>
      <w:r>
        <w:rPr>
          <w:szCs w:val="24"/>
          <w:vertAlign w:val="superscript"/>
          <w:lang w:eastAsia="en-US"/>
        </w:rPr>
        <w:footnoteReference w:id="11"/>
      </w:r>
      <w:r>
        <w:rPr>
          <w:szCs w:val="24"/>
          <w:lang w:eastAsia="en-US"/>
        </w:rPr>
        <w:t>.</w:t>
      </w:r>
    </w:p>
    <w:p w:rsidR="006C6719" w:rsidRDefault="00614864">
      <w:pPr>
        <w:spacing w:before="120" w:after="120" w:line="360" w:lineRule="auto"/>
        <w:ind w:left="850" w:hanging="850"/>
        <w:rPr>
          <w:szCs w:val="24"/>
          <w:lang w:eastAsia="en-US"/>
        </w:rPr>
      </w:pPr>
      <w:r>
        <w:rPr>
          <w:szCs w:val="24"/>
          <w:lang w:eastAsia="en-US"/>
        </w:rPr>
        <w:t>(39)</w:t>
      </w:r>
      <w:r>
        <w:rPr>
          <w:szCs w:val="24"/>
          <w:lang w:eastAsia="en-US"/>
        </w:rPr>
        <w:tab/>
        <w:t>V záujme konzistentnosti by sa mala zmeniť smernica Európskeho parlamentu a Rady (EÚ) 2022/2561</w:t>
      </w:r>
      <w:r>
        <w:rPr>
          <w:szCs w:val="24"/>
          <w:vertAlign w:val="superscript"/>
          <w:lang w:eastAsia="en-US"/>
        </w:rPr>
        <w:footnoteReference w:id="12"/>
      </w:r>
      <w:r>
        <w:rPr>
          <w:szCs w:val="24"/>
          <w:lang w:eastAsia="en-US"/>
        </w:rPr>
        <w:t>, ktorá rieši určité záležitosti, na ktoré sa vzťahuje t</w:t>
      </w:r>
      <w:r>
        <w:rPr>
          <w:szCs w:val="24"/>
          <w:lang w:eastAsia="en-US"/>
        </w:rPr>
        <w:t>áto smernica, a nariadenie (EÚ) 2018/1724.</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(40)</w:t>
      </w:r>
      <w:r>
        <w:rPr>
          <w:szCs w:val="24"/>
          <w:lang w:eastAsia="en-US"/>
        </w:rPr>
        <w:tab/>
        <w:t>Smernica 2006/126/ES a nariadenie Komisie (EÚ) č. 383/2012</w:t>
      </w:r>
      <w:r>
        <w:rPr>
          <w:szCs w:val="24"/>
          <w:vertAlign w:val="superscript"/>
          <w:lang w:eastAsia="en-US"/>
        </w:rPr>
        <w:footnoteReference w:id="13"/>
      </w:r>
      <w:r>
        <w:rPr>
          <w:szCs w:val="24"/>
          <w:lang w:eastAsia="en-US"/>
        </w:rPr>
        <w:t xml:space="preserve"> by sa mali zrušiť.</w:t>
      </w:r>
    </w:p>
    <w:p w:rsidR="006C6719" w:rsidRDefault="00614864">
      <w:pPr>
        <w:spacing w:before="120" w:after="120" w:line="360" w:lineRule="auto"/>
        <w:ind w:left="850" w:hanging="850"/>
        <w:rPr>
          <w:szCs w:val="24"/>
          <w:lang w:eastAsia="en-US"/>
        </w:rPr>
      </w:pPr>
      <w:r>
        <w:rPr>
          <w:szCs w:val="24"/>
          <w:lang w:eastAsia="en-US"/>
        </w:rPr>
        <w:t>(41)</w:t>
      </w:r>
      <w:r>
        <w:rPr>
          <w:szCs w:val="24"/>
          <w:lang w:eastAsia="en-US"/>
        </w:rPr>
        <w:tab/>
        <w:t xml:space="preserve">Keďže ciele tejto smernice nemôžu uspokojivo dosiahnuť členské štáty, pretože pravidlá upravujúce vydávanie, obnovovanie, </w:t>
      </w:r>
      <w:r>
        <w:rPr>
          <w:szCs w:val="24"/>
          <w:lang w:eastAsia="en-US"/>
        </w:rPr>
        <w:t>nahrádzanie a výmenu vodičských preukazov by viedli k takým odlišným požiadavkám, ktoré zabezpečujú harmonizované pravidlá o úrovni bezpečnosti cestnej premávky a voľnom pohybe občanov, že by ich nebolo možné dosiahnuť, je lepšie tieto ciele dosiahnuť na ú</w:t>
      </w:r>
      <w:r>
        <w:rPr>
          <w:szCs w:val="24"/>
          <w:lang w:eastAsia="en-US"/>
        </w:rPr>
        <w:t>rovni Únie prostredníctvom stanovenia minimálnych požiadaviek. Únia preto môže prijať opatrenia v súlade so zásadou subsidiarity podľa článku 5 Zmluvy o Európskej únii. V súlade so zásadou proporcionality podľa uvedeného článku táto smernica neprekračuje r</w:t>
      </w:r>
      <w:r>
        <w:rPr>
          <w:szCs w:val="24"/>
          <w:lang w:eastAsia="en-US"/>
        </w:rPr>
        <w:t>ámec nevyhnutný na dosiahnutie týchto cieľov.</w:t>
      </w:r>
    </w:p>
    <w:p w:rsidR="006C6719" w:rsidRDefault="00614864">
      <w:pPr>
        <w:spacing w:before="120" w:after="120" w:line="360" w:lineRule="auto"/>
        <w:ind w:left="850" w:hanging="850"/>
        <w:rPr>
          <w:szCs w:val="24"/>
          <w:lang w:eastAsia="en-US"/>
        </w:rPr>
      </w:pPr>
      <w:r>
        <w:rPr>
          <w:szCs w:val="24"/>
          <w:lang w:eastAsia="en-US"/>
        </w:rPr>
        <w:t>(42)</w:t>
      </w:r>
      <w:r>
        <w:rPr>
          <w:szCs w:val="24"/>
          <w:lang w:eastAsia="en-US"/>
        </w:rPr>
        <w:tab/>
        <w:t>V súlade s článkom 42 ods. 1 nariadenia (EÚ) 2018/1725 sa konzultovalo s európskym dozorným úradníkom pre ochranu údajov, ktorý vydal [DD/MM/RRRR] stanovisko.</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(43)</w:t>
      </w:r>
      <w:r>
        <w:rPr>
          <w:szCs w:val="24"/>
          <w:lang w:eastAsia="en-US"/>
        </w:rPr>
        <w:tab/>
        <w:t>V súlade so spoločným politickým vyhlás</w:t>
      </w:r>
      <w:r>
        <w:rPr>
          <w:szCs w:val="24"/>
          <w:lang w:eastAsia="en-US"/>
        </w:rPr>
        <w:t>ením členských štátov a Komisie z 28. septembra 2011 o vysvetľujúcich dokumentoch</w:t>
      </w:r>
      <w:r>
        <w:rPr>
          <w:szCs w:val="24"/>
          <w:vertAlign w:val="superscript"/>
          <w:lang w:eastAsia="en-US"/>
        </w:rPr>
        <w:footnoteReference w:id="14"/>
      </w:r>
      <w:r>
        <w:rPr>
          <w:szCs w:val="24"/>
          <w:lang w:eastAsia="en-US"/>
        </w:rPr>
        <w:t xml:space="preserve"> sa členské štáty zaviazali, že v odôvodnených prípadoch k svojim oznámeniam o transpozičných opatreniach pripoja jeden alebo viacero dokumentov vysvetľujúcich vzťah medzi pr</w:t>
      </w:r>
      <w:r>
        <w:rPr>
          <w:szCs w:val="24"/>
          <w:lang w:eastAsia="en-US"/>
        </w:rPr>
        <w:t>vkami smernice a zodpovedajúcimi časťami vnútroštátnych transpozičných nástrojov. V súvislosti s touto smernicou sa zákonodarca domnieva, že zasielanie takýchto dokumentov je odôvodnené,</w:t>
      </w:r>
    </w:p>
    <w:p w:rsidR="006C6719" w:rsidRDefault="00614864">
      <w:pPr>
        <w:keepNext/>
        <w:widowControl/>
        <w:spacing w:before="120" w:after="120" w:line="360" w:lineRule="auto"/>
        <w:rPr>
          <w:szCs w:val="24"/>
          <w:lang w:eastAsia="en-US"/>
        </w:rPr>
      </w:pPr>
      <w:r>
        <w:rPr>
          <w:szCs w:val="24"/>
          <w:lang w:eastAsia="en-US"/>
        </w:rPr>
        <w:t>PRIJALI TÚTO SMERNICU:</w:t>
      </w:r>
    </w:p>
    <w:p w:rsidR="006C6719" w:rsidRDefault="00614864">
      <w:pPr>
        <w:spacing w:before="120" w:after="120" w:line="360" w:lineRule="auto"/>
        <w:jc w:val="center"/>
        <w:rPr>
          <w:szCs w:val="24"/>
          <w:lang w:eastAsia="en-US"/>
        </w:rPr>
      </w:pPr>
      <w:r>
        <w:rPr>
          <w:szCs w:val="24"/>
          <w:lang w:eastAsia="en-US"/>
        </w:rPr>
        <w:t>Článok 1</w:t>
      </w:r>
      <w:r>
        <w:rPr>
          <w:szCs w:val="24"/>
          <w:lang w:eastAsia="en-US"/>
        </w:rPr>
        <w:br/>
        <w:t>Predmet úpravy a rozsah pôsobnosti</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Touto smernicou sa stanovujú spoločné pravidlá týkajúce sa:</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vzorov, noriem a skupín vodičských preukazov;</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vydávania, platnosti, obnovovania a vzájomného uznávania vodičských preukazov;</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c)</w:t>
      </w:r>
      <w:r>
        <w:rPr>
          <w:szCs w:val="24"/>
          <w:lang w:eastAsia="en-US"/>
        </w:rPr>
        <w:tab/>
        <w:t>niektorých aspektov výmeny, náhrady, odobratia, obmedzenia,</w:t>
      </w:r>
      <w:r>
        <w:rPr>
          <w:szCs w:val="24"/>
          <w:lang w:eastAsia="en-US"/>
        </w:rPr>
        <w:t xml:space="preserve"> pozastavenia a zrušenia vodičských preukazov;</w:t>
      </w:r>
    </w:p>
    <w:p w:rsidR="006C6719" w:rsidRDefault="00614864">
      <w:pPr>
        <w:spacing w:before="120" w:after="120" w:line="360" w:lineRule="auto"/>
        <w:ind w:left="1416" w:hanging="566"/>
        <w:rPr>
          <w:b/>
          <w:szCs w:val="24"/>
          <w:lang w:eastAsia="en-US"/>
        </w:rPr>
      </w:pPr>
      <w:r>
        <w:rPr>
          <w:szCs w:val="24"/>
          <w:lang w:eastAsia="en-US"/>
        </w:rPr>
        <w:t>d)</w:t>
      </w:r>
      <w:r>
        <w:rPr>
          <w:szCs w:val="24"/>
          <w:lang w:eastAsia="en-US"/>
        </w:rPr>
        <w:tab/>
        <w:t xml:space="preserve">niektorých aspektov uplatniteľných </w:t>
      </w:r>
      <w:r>
        <w:rPr>
          <w:b/>
          <w:i/>
          <w:szCs w:val="24"/>
          <w:lang w:eastAsia="en-US"/>
        </w:rPr>
        <w:t xml:space="preserve">okrem iného </w:t>
      </w:r>
      <w:r>
        <w:rPr>
          <w:szCs w:val="24"/>
          <w:lang w:eastAsia="en-US"/>
        </w:rPr>
        <w:t>na vodičov-začiatočníkov.</w:t>
      </w:r>
      <w:r>
        <w:rPr>
          <w:b/>
          <w:szCs w:val="24"/>
          <w:lang w:eastAsia="en-US"/>
        </w:rPr>
        <w:t xml:space="preserve"> [PN 36]</w:t>
      </w:r>
    </w:p>
    <w:p w:rsidR="006C6719" w:rsidRDefault="00614864">
      <w:pPr>
        <w:spacing w:before="120" w:after="120" w:line="360" w:lineRule="auto"/>
        <w:ind w:left="850" w:hanging="850"/>
        <w:rPr>
          <w:b/>
          <w:szCs w:val="24"/>
          <w:lang w:eastAsia="en-US"/>
        </w:rPr>
      </w:pPr>
      <w:r>
        <w:rPr>
          <w:szCs w:val="24"/>
          <w:lang w:eastAsia="en-US"/>
        </w:rPr>
        <w:t>2.</w:t>
      </w:r>
      <w:r>
        <w:rPr>
          <w:szCs w:val="24"/>
          <w:lang w:eastAsia="en-US"/>
        </w:rPr>
        <w:tab/>
      </w:r>
      <w:r>
        <w:rPr>
          <w:b/>
          <w:i/>
          <w:szCs w:val="24"/>
          <w:lang w:eastAsia="en-US"/>
        </w:rPr>
        <w:t>Bez toho, aby boli dotknuté články 12a a 20 tejto smernice, ako aj právo členských štátov pridávať vnútroštátne skupiny do</w:t>
      </w:r>
      <w:r>
        <w:rPr>
          <w:b/>
          <w:i/>
          <w:szCs w:val="24"/>
          <w:lang w:eastAsia="en-US"/>
        </w:rPr>
        <w:t xml:space="preserve"> vodičských preukazov, ktoré vydávajú v súlade s prílohou I, sa </w:t>
      </w:r>
      <w:r>
        <w:rPr>
          <w:szCs w:val="24"/>
          <w:lang w:eastAsia="en-US"/>
        </w:rPr>
        <w:t>táto smernica</w:t>
      </w:r>
      <w:r>
        <w:rPr>
          <w:strike/>
          <w:szCs w:val="24"/>
          <w:lang w:eastAsia="en-US"/>
        </w:rPr>
        <w:t xml:space="preserve"> sa</w:t>
      </w:r>
      <w:r>
        <w:rPr>
          <w:szCs w:val="24"/>
          <w:lang w:eastAsia="en-US"/>
        </w:rPr>
        <w:t xml:space="preserve"> nevzťahuje na </w:t>
      </w:r>
      <w:r>
        <w:rPr>
          <w:strike/>
          <w:szCs w:val="24"/>
          <w:lang w:eastAsia="en-US"/>
        </w:rPr>
        <w:t xml:space="preserve">poháňané vozidlá pohybujúce sa na kolesách alebo pásoch, ktoré majú najmenej dve </w:t>
      </w:r>
      <w:proofErr w:type="spellStart"/>
      <w:r>
        <w:rPr>
          <w:strike/>
          <w:szCs w:val="24"/>
          <w:lang w:eastAsia="en-US"/>
        </w:rPr>
        <w:t>nápravy</w:t>
      </w:r>
      <w:r>
        <w:rPr>
          <w:b/>
          <w:i/>
          <w:szCs w:val="24"/>
          <w:lang w:eastAsia="en-US"/>
        </w:rPr>
        <w:t>samohybné</w:t>
      </w:r>
      <w:proofErr w:type="spellEnd"/>
      <w:r>
        <w:rPr>
          <w:b/>
          <w:i/>
          <w:szCs w:val="24"/>
          <w:lang w:eastAsia="en-US"/>
        </w:rPr>
        <w:t xml:space="preserve"> pojazdné stroje patriace do rozsahu pôsobnosti smernice 2006/42</w:t>
      </w:r>
      <w:r>
        <w:rPr>
          <w:b/>
          <w:i/>
          <w:szCs w:val="24"/>
          <w:lang w:eastAsia="en-US"/>
        </w:rPr>
        <w:t>/ES</w:t>
      </w:r>
      <w:r>
        <w:rPr>
          <w:szCs w:val="24"/>
          <w:lang w:eastAsia="en-US"/>
        </w:rPr>
        <w:t>,</w:t>
      </w:r>
      <w:r>
        <w:rPr>
          <w:strike/>
          <w:szCs w:val="24"/>
          <w:lang w:eastAsia="en-US"/>
        </w:rPr>
        <w:t xml:space="preserve"> ktorých hlavná funkcia spočíva v ich ťažnej sile a</w:t>
      </w:r>
      <w:r>
        <w:rPr>
          <w:szCs w:val="24"/>
          <w:lang w:eastAsia="en-US"/>
        </w:rPr>
        <w:t xml:space="preserve"> ktoré sú </w:t>
      </w:r>
      <w:r>
        <w:rPr>
          <w:strike/>
          <w:szCs w:val="24"/>
          <w:lang w:eastAsia="en-US"/>
        </w:rPr>
        <w:t xml:space="preserve">osobitne určené na ťahanie, tlačenie, </w:t>
      </w:r>
      <w:proofErr w:type="spellStart"/>
      <w:r>
        <w:rPr>
          <w:strike/>
          <w:szCs w:val="24"/>
          <w:lang w:eastAsia="en-US"/>
        </w:rPr>
        <w:t>prenášanie</w:t>
      </w:r>
      <w:r>
        <w:rPr>
          <w:b/>
          <w:i/>
          <w:szCs w:val="24"/>
          <w:lang w:eastAsia="en-US"/>
        </w:rPr>
        <w:t>navrhnuté</w:t>
      </w:r>
      <w:proofErr w:type="spellEnd"/>
      <w:r>
        <w:rPr>
          <w:szCs w:val="24"/>
          <w:lang w:eastAsia="en-US"/>
        </w:rPr>
        <w:t xml:space="preserve"> alebo </w:t>
      </w:r>
      <w:r>
        <w:rPr>
          <w:strike/>
          <w:szCs w:val="24"/>
          <w:lang w:eastAsia="en-US"/>
        </w:rPr>
        <w:t xml:space="preserve">vedenie určitých </w:t>
      </w:r>
      <w:proofErr w:type="spellStart"/>
      <w:r>
        <w:rPr>
          <w:strike/>
          <w:szCs w:val="24"/>
          <w:lang w:eastAsia="en-US"/>
        </w:rPr>
        <w:t>nástrojov</w:t>
      </w:r>
      <w:r>
        <w:rPr>
          <w:b/>
          <w:i/>
          <w:szCs w:val="24"/>
          <w:lang w:eastAsia="en-US"/>
        </w:rPr>
        <w:t>skonštruované</w:t>
      </w:r>
      <w:proofErr w:type="spellEnd"/>
      <w:r>
        <w:rPr>
          <w:b/>
          <w:i/>
          <w:szCs w:val="24"/>
          <w:lang w:eastAsia="en-US"/>
        </w:rPr>
        <w:t xml:space="preserve"> na účely vykonávania prác</w:t>
      </w:r>
      <w:r>
        <w:rPr>
          <w:szCs w:val="24"/>
          <w:lang w:eastAsia="en-US"/>
        </w:rPr>
        <w:t>,</w:t>
      </w:r>
      <w:r>
        <w:rPr>
          <w:b/>
          <w:i/>
          <w:szCs w:val="24"/>
          <w:lang w:eastAsia="en-US"/>
        </w:rPr>
        <w:t xml:space="preserve"> ako sú necestné pojazdné strojové zariadenia vymedzené v [na</w:t>
      </w:r>
      <w:r>
        <w:rPr>
          <w:b/>
          <w:i/>
          <w:szCs w:val="24"/>
          <w:lang w:eastAsia="en-US"/>
        </w:rPr>
        <w:t>riadenie o schvaľovaní necestných pojazdných</w:t>
      </w:r>
      <w:r>
        <w:rPr>
          <w:szCs w:val="24"/>
          <w:lang w:eastAsia="en-US"/>
        </w:rPr>
        <w:t xml:space="preserve"> strojov </w:t>
      </w:r>
      <w:r>
        <w:rPr>
          <w:strike/>
          <w:szCs w:val="24"/>
          <w:lang w:eastAsia="en-US"/>
        </w:rPr>
        <w:t>alebo prípojných vozidiel používaných v súvislosti s poľnohospodárskymi alebo lesníckymi činnosťami a ktorých používanie na prepravu osôb alebo tovaru po ceste alebo na ťahanie vozidiel prepravujúcich os</w:t>
      </w:r>
      <w:r>
        <w:rPr>
          <w:strike/>
          <w:szCs w:val="24"/>
          <w:lang w:eastAsia="en-US"/>
        </w:rPr>
        <w:t xml:space="preserve">oby alebo tovar po ceste je len druhoradou </w:t>
      </w:r>
      <w:proofErr w:type="spellStart"/>
      <w:r>
        <w:rPr>
          <w:strike/>
          <w:szCs w:val="24"/>
          <w:lang w:eastAsia="en-US"/>
        </w:rPr>
        <w:t>funkciou</w:t>
      </w:r>
      <w:r>
        <w:rPr>
          <w:b/>
          <w:i/>
          <w:szCs w:val="24"/>
          <w:lang w:eastAsia="en-US"/>
        </w:rPr>
        <w:t>prevádzkovaných</w:t>
      </w:r>
      <w:proofErr w:type="spellEnd"/>
      <w:r>
        <w:rPr>
          <w:b/>
          <w:i/>
          <w:szCs w:val="24"/>
          <w:lang w:eastAsia="en-US"/>
        </w:rPr>
        <w:t xml:space="preserve"> na verejných pozemných komunikáciách a dohľade nad trhom s nimi a o zmene nariadenia (EÚ) 2019/1020 (2023/0090(COD))]</w:t>
      </w:r>
      <w:r>
        <w:rPr>
          <w:szCs w:val="24"/>
          <w:lang w:eastAsia="en-US"/>
        </w:rPr>
        <w:t>.</w:t>
      </w:r>
      <w:r>
        <w:rPr>
          <w:b/>
          <w:szCs w:val="24"/>
          <w:lang w:eastAsia="en-US"/>
        </w:rPr>
        <w:t xml:space="preserve"> [PN 312]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2</w:t>
      </w:r>
      <w:r>
        <w:rPr>
          <w:szCs w:val="24"/>
          <w:lang w:eastAsia="en-US"/>
        </w:rPr>
        <w:br/>
        <w:t>Vymedzenie pojmov</w:t>
      </w:r>
    </w:p>
    <w:p w:rsidR="006C6719" w:rsidRDefault="00614864">
      <w:pPr>
        <w:spacing w:before="120" w:after="120" w:line="360" w:lineRule="auto"/>
        <w:rPr>
          <w:szCs w:val="24"/>
          <w:lang w:eastAsia="en-US"/>
        </w:rPr>
      </w:pPr>
      <w:r>
        <w:rPr>
          <w:szCs w:val="24"/>
          <w:lang w:eastAsia="en-US"/>
        </w:rPr>
        <w:t xml:space="preserve">Na účely tejto smernice sa </w:t>
      </w:r>
      <w:r>
        <w:rPr>
          <w:szCs w:val="24"/>
          <w:lang w:eastAsia="en-US"/>
        </w:rPr>
        <w:t>uplatňuje toto vymedzenie pojmov:</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„vodičský preukaz“ je</w:t>
      </w:r>
      <w:r>
        <w:rPr>
          <w:strike/>
          <w:szCs w:val="24"/>
          <w:lang w:eastAsia="en-US"/>
        </w:rPr>
        <w:t xml:space="preserve"> elektronický alebo fyzický</w:t>
      </w:r>
      <w:r>
        <w:rPr>
          <w:szCs w:val="24"/>
          <w:lang w:eastAsia="en-US"/>
        </w:rPr>
        <w:t xml:space="preserve"> doklad, ktorým sa osvedčuje oprávnenie viesť poháňané vozidlá a v ktorom sú uvedené podmienky, za ktorých je držiteľ oprávnený viesť vozidlo</w:t>
      </w:r>
      <w:r>
        <w:rPr>
          <w:b/>
          <w:i/>
          <w:szCs w:val="24"/>
          <w:lang w:eastAsia="en-US"/>
        </w:rPr>
        <w:t>, či už vo fyzickej, alebo dig</w:t>
      </w:r>
      <w:r>
        <w:rPr>
          <w:b/>
          <w:i/>
          <w:szCs w:val="24"/>
          <w:lang w:eastAsia="en-US"/>
        </w:rPr>
        <w:t>itálnej forme, alebo v oboch formách</w:t>
      </w:r>
      <w:r>
        <w:rPr>
          <w:szCs w:val="24"/>
          <w:lang w:eastAsia="en-US"/>
        </w:rPr>
        <w:t>;</w:t>
      </w:r>
      <w:r>
        <w:rPr>
          <w:b/>
          <w:szCs w:val="24"/>
          <w:lang w:eastAsia="en-US"/>
        </w:rPr>
        <w:t xml:space="preserve"> [PN 38]</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„fyzický vodičský preukaz“ je vodičský preukaz vo fyzickom formáte vydaný v súlade s článkom 4;</w:t>
      </w:r>
    </w:p>
    <w:p w:rsidR="006C6719" w:rsidRDefault="00614864">
      <w:pPr>
        <w:spacing w:before="120" w:after="120" w:line="360" w:lineRule="auto"/>
        <w:ind w:left="850" w:hanging="850"/>
        <w:rPr>
          <w:szCs w:val="24"/>
          <w:lang w:eastAsia="en-US"/>
        </w:rPr>
      </w:pPr>
      <w:r>
        <w:rPr>
          <w:szCs w:val="24"/>
          <w:lang w:eastAsia="en-US"/>
        </w:rPr>
        <w:t>3.</w:t>
      </w:r>
      <w:r>
        <w:rPr>
          <w:szCs w:val="24"/>
          <w:lang w:eastAsia="en-US"/>
        </w:rPr>
        <w:tab/>
        <w:t>„mobilný vodičský preukaz“ je vodičský preukaz v digitálnom formáte vydaný v súlade s článkom 5;</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„poháňan</w:t>
      </w:r>
      <w:r>
        <w:rPr>
          <w:szCs w:val="24"/>
          <w:lang w:eastAsia="en-US"/>
        </w:rPr>
        <w:t>é vozidlo“ je akékoľvek nekoľajové vozidlo s vlastným pohonom pohybujúce sa po ceste vlastnou silou;</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„dvojkolesové vozidlo“ je vozidlo uvedené v článku 4 ods. 2 písm. a) nariadenia Európskeho parlamentu a Rady (EÚ) č. 168/2013</w:t>
      </w:r>
      <w:r>
        <w:rPr>
          <w:szCs w:val="24"/>
          <w:vertAlign w:val="superscript"/>
          <w:lang w:eastAsia="en-US"/>
        </w:rPr>
        <w:footnoteReference w:id="15"/>
      </w:r>
      <w:r>
        <w:rPr>
          <w:szCs w:val="24"/>
          <w:lang w:eastAsia="en-US"/>
        </w:rPr>
        <w:t>;</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6.</w:t>
      </w:r>
      <w:r>
        <w:rPr>
          <w:szCs w:val="24"/>
          <w:lang w:eastAsia="en-US"/>
        </w:rPr>
        <w:tab/>
        <w:t>„trojkolesové vozid</w:t>
      </w:r>
      <w:r>
        <w:rPr>
          <w:szCs w:val="24"/>
          <w:lang w:eastAsia="en-US"/>
        </w:rPr>
        <w:t>lo“ je vozidlo uvedené v článku 4 ods. 2 písm. b) nariadenia (EÚ) č. 168/2013;</w:t>
      </w:r>
    </w:p>
    <w:p w:rsidR="006C6719" w:rsidRDefault="00614864">
      <w:pPr>
        <w:spacing w:before="120" w:after="120" w:line="360" w:lineRule="auto"/>
        <w:ind w:left="850" w:hanging="850"/>
        <w:rPr>
          <w:szCs w:val="24"/>
          <w:lang w:eastAsia="en-US"/>
        </w:rPr>
      </w:pPr>
      <w:r>
        <w:rPr>
          <w:szCs w:val="24"/>
          <w:lang w:eastAsia="en-US"/>
        </w:rPr>
        <w:t>7.</w:t>
      </w:r>
      <w:r>
        <w:rPr>
          <w:szCs w:val="24"/>
          <w:lang w:eastAsia="en-US"/>
        </w:rPr>
        <w:tab/>
        <w:t xml:space="preserve">„ľahká </w:t>
      </w:r>
      <w:proofErr w:type="spellStart"/>
      <w:r>
        <w:rPr>
          <w:szCs w:val="24"/>
          <w:lang w:eastAsia="en-US"/>
        </w:rPr>
        <w:t>štvorkolka</w:t>
      </w:r>
      <w:proofErr w:type="spellEnd"/>
      <w:r>
        <w:rPr>
          <w:szCs w:val="24"/>
          <w:lang w:eastAsia="en-US"/>
        </w:rPr>
        <w:t>“ je vozidlo uvedené v článku 4 ods. 2 písm. f) nariadenia (EÚ) č. 168/2013;</w:t>
      </w:r>
    </w:p>
    <w:p w:rsidR="006C6719" w:rsidRDefault="00614864">
      <w:pPr>
        <w:spacing w:before="120" w:after="120" w:line="360" w:lineRule="auto"/>
        <w:ind w:left="850" w:hanging="850"/>
        <w:rPr>
          <w:szCs w:val="24"/>
          <w:lang w:eastAsia="en-US"/>
        </w:rPr>
      </w:pPr>
      <w:r>
        <w:rPr>
          <w:szCs w:val="24"/>
          <w:lang w:eastAsia="en-US"/>
        </w:rPr>
        <w:t>8.</w:t>
      </w:r>
      <w:r>
        <w:rPr>
          <w:szCs w:val="24"/>
          <w:lang w:eastAsia="en-US"/>
        </w:rPr>
        <w:tab/>
        <w:t>„motocykel“ je dvojkolesové vozidlo s postranným vozíkom alebo bez neho uvede</w:t>
      </w:r>
      <w:r>
        <w:rPr>
          <w:szCs w:val="24"/>
          <w:lang w:eastAsia="en-US"/>
        </w:rPr>
        <w:t>né v článku 4 ods. 2 písm. c) a d) nariadenia (EÚ) č. 168/2013;</w:t>
      </w:r>
    </w:p>
    <w:p w:rsidR="006C6719" w:rsidRDefault="00614864">
      <w:pPr>
        <w:spacing w:before="120" w:after="120" w:line="360" w:lineRule="auto"/>
        <w:ind w:left="850" w:hanging="850"/>
        <w:rPr>
          <w:szCs w:val="24"/>
          <w:lang w:eastAsia="en-US"/>
        </w:rPr>
      </w:pPr>
      <w:r>
        <w:rPr>
          <w:szCs w:val="24"/>
          <w:lang w:eastAsia="en-US"/>
        </w:rPr>
        <w:t>9.</w:t>
      </w:r>
      <w:r>
        <w:rPr>
          <w:szCs w:val="24"/>
          <w:lang w:eastAsia="en-US"/>
        </w:rPr>
        <w:tab/>
        <w:t>„motorová trojkolka“ je vozidlo s troma symetricky usporiadanými kolesami uvedené v článku 4 ods. 2 písm. e) nariadenia (EÚ) č. 168/2013;</w:t>
      </w:r>
    </w:p>
    <w:p w:rsidR="006C6719" w:rsidRDefault="00614864">
      <w:pPr>
        <w:spacing w:before="120" w:after="120" w:line="360" w:lineRule="auto"/>
        <w:ind w:left="850" w:hanging="850"/>
        <w:rPr>
          <w:szCs w:val="24"/>
          <w:lang w:eastAsia="en-US"/>
        </w:rPr>
      </w:pPr>
      <w:r>
        <w:rPr>
          <w:szCs w:val="24"/>
          <w:lang w:eastAsia="en-US"/>
        </w:rPr>
        <w:t>10.</w:t>
      </w:r>
      <w:r>
        <w:rPr>
          <w:szCs w:val="24"/>
          <w:lang w:eastAsia="en-US"/>
        </w:rPr>
        <w:tab/>
        <w:t>„motorové vozidlo“ je akékoľvek poháňané vozidl</w:t>
      </w:r>
      <w:r>
        <w:rPr>
          <w:szCs w:val="24"/>
          <w:lang w:eastAsia="en-US"/>
        </w:rPr>
        <w:t>o, ktoré sa bežne používa na prepravu osôb alebo tovaru po ceste alebo na ťahanie vozidiel používaných na prepravu osôb alebo tovaru po ceste. Tento pojem zahŕňa trolejbusy, t. j. nekoľajové vozidlá napojené na elektrický vodič;</w:t>
      </w:r>
    </w:p>
    <w:p w:rsidR="006C6719" w:rsidRDefault="00614864">
      <w:pPr>
        <w:spacing w:before="120" w:after="120" w:line="360" w:lineRule="auto"/>
        <w:ind w:left="850" w:hanging="850"/>
        <w:rPr>
          <w:szCs w:val="24"/>
          <w:lang w:eastAsia="en-US"/>
        </w:rPr>
      </w:pPr>
      <w:r>
        <w:rPr>
          <w:szCs w:val="24"/>
          <w:lang w:eastAsia="en-US"/>
        </w:rPr>
        <w:t>11.</w:t>
      </w:r>
      <w:r>
        <w:rPr>
          <w:szCs w:val="24"/>
          <w:lang w:eastAsia="en-US"/>
        </w:rPr>
        <w:tab/>
        <w:t xml:space="preserve">„ťažká </w:t>
      </w:r>
      <w:proofErr w:type="spellStart"/>
      <w:r>
        <w:rPr>
          <w:szCs w:val="24"/>
          <w:lang w:eastAsia="en-US"/>
        </w:rPr>
        <w:t>štvorkolka</w:t>
      </w:r>
      <w:proofErr w:type="spellEnd"/>
      <w:r>
        <w:rPr>
          <w:szCs w:val="24"/>
          <w:lang w:eastAsia="en-US"/>
        </w:rPr>
        <w:t>“ je v</w:t>
      </w:r>
      <w:r>
        <w:rPr>
          <w:szCs w:val="24"/>
          <w:lang w:eastAsia="en-US"/>
        </w:rPr>
        <w:t>ozidlo uvedené v článku 4 ods. 2 písm. g) nariadenia (EÚ) č. 168/2013;</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11a.</w:t>
      </w:r>
      <w:r>
        <w:rPr>
          <w:szCs w:val="24"/>
          <w:lang w:eastAsia="en-US"/>
        </w:rPr>
        <w:tab/>
      </w:r>
      <w:r>
        <w:rPr>
          <w:b/>
          <w:i/>
          <w:szCs w:val="24"/>
          <w:lang w:eastAsia="en-US"/>
        </w:rPr>
        <w:t>„sanitné vozidlo“ je vozidlo kategórie M určené na prepravu chorých alebo zranených osôb, ktoré je na takýto účel špeciálne vybavené, ako sa uvádza v časti A bode 5.3 prílohy I k</w:t>
      </w:r>
      <w:r>
        <w:rPr>
          <w:b/>
          <w:i/>
          <w:szCs w:val="24"/>
          <w:lang w:eastAsia="en-US"/>
        </w:rPr>
        <w:t xml:space="preserve"> nariadeniu Európskeho parlamentu a Rady (EÚ) 2018/858</w:t>
      </w:r>
      <w:r>
        <w:rPr>
          <w:szCs w:val="24"/>
          <w:vertAlign w:val="superscript"/>
          <w:lang w:eastAsia="en-US"/>
        </w:rPr>
        <w:footnoteReference w:id="16"/>
      </w:r>
      <w:r>
        <w:rPr>
          <w:b/>
          <w:i/>
          <w:szCs w:val="24"/>
          <w:lang w:eastAsia="en-US"/>
        </w:rPr>
        <w:t xml:space="preserve"> s názvom Kritériá na zaradenie vozidiel do kategórií – Vozidlá na špeciálne účely;</w:t>
      </w:r>
      <w:r>
        <w:rPr>
          <w:b/>
          <w:szCs w:val="24"/>
          <w:lang w:eastAsia="en-US"/>
        </w:rPr>
        <w:t xml:space="preserve"> [PN 39]</w:t>
      </w:r>
    </w:p>
    <w:p w:rsidR="006C6719" w:rsidRDefault="00614864">
      <w:pPr>
        <w:spacing w:before="120" w:after="120" w:line="360" w:lineRule="auto"/>
        <w:ind w:left="850" w:hanging="850"/>
        <w:rPr>
          <w:b/>
          <w:szCs w:val="24"/>
          <w:lang w:eastAsia="en-US"/>
        </w:rPr>
      </w:pPr>
      <w:r>
        <w:rPr>
          <w:b/>
          <w:i/>
          <w:szCs w:val="24"/>
          <w:lang w:eastAsia="en-US"/>
        </w:rPr>
        <w:t>11b.</w:t>
      </w:r>
      <w:r>
        <w:rPr>
          <w:szCs w:val="24"/>
          <w:lang w:eastAsia="en-US"/>
        </w:rPr>
        <w:tab/>
      </w:r>
      <w:r>
        <w:rPr>
          <w:b/>
          <w:i/>
          <w:szCs w:val="24"/>
          <w:lang w:eastAsia="en-US"/>
        </w:rPr>
        <w:t>„obytný automobil“ je vozidlo kategórie M s priestorom na ubytovanie osôb, ktoré obsahuje sedadlá a stôl</w:t>
      </w:r>
      <w:r>
        <w:rPr>
          <w:b/>
          <w:i/>
          <w:szCs w:val="24"/>
          <w:lang w:eastAsia="en-US"/>
        </w:rPr>
        <w:t>, samostatné alebo skladacie lôžka, zariadenia na varenie, ako aj skrine a skladovací priestor, pričom všetky časti musia byť v obytnom priestore pevne prichytené, ako sa uvádza v časti A bode 5.1 prílohy I k nariadeniu (EÚ) 2018/858 s názvom Kritériá na z</w:t>
      </w:r>
      <w:r>
        <w:rPr>
          <w:b/>
          <w:i/>
          <w:szCs w:val="24"/>
          <w:lang w:eastAsia="en-US"/>
        </w:rPr>
        <w:t>aradenie vozidiel do kategórií – Vozidlá na špeciálne účely;</w:t>
      </w:r>
      <w:r>
        <w:rPr>
          <w:b/>
          <w:szCs w:val="24"/>
          <w:lang w:eastAsia="en-US"/>
        </w:rPr>
        <w:t xml:space="preserve"> [PN 40]</w:t>
      </w:r>
    </w:p>
    <w:p w:rsidR="006C6719" w:rsidRDefault="00614864">
      <w:pPr>
        <w:spacing w:before="120" w:after="120" w:line="360" w:lineRule="auto"/>
        <w:ind w:left="850" w:hanging="850"/>
        <w:rPr>
          <w:b/>
          <w:szCs w:val="24"/>
          <w:lang w:eastAsia="en-US"/>
        </w:rPr>
      </w:pPr>
      <w:r>
        <w:rPr>
          <w:b/>
          <w:i/>
          <w:szCs w:val="24"/>
          <w:lang w:eastAsia="en-US"/>
        </w:rPr>
        <w:t>11c.</w:t>
      </w:r>
      <w:r>
        <w:rPr>
          <w:szCs w:val="24"/>
          <w:lang w:eastAsia="en-US"/>
        </w:rPr>
        <w:tab/>
      </w:r>
      <w:r>
        <w:rPr>
          <w:b/>
          <w:i/>
          <w:szCs w:val="24"/>
          <w:lang w:eastAsia="en-US"/>
        </w:rPr>
        <w:t>„vozidlo s pohonom na alternatívne palivá“ je motorové vozidlo, ktoré je úplne alebo čiastočne poháňané alternatívnym palivom a ktoré bolo schválené podľa nariadenia (EÚ) 2018/858;</w:t>
      </w:r>
      <w:r>
        <w:rPr>
          <w:b/>
          <w:szCs w:val="24"/>
          <w:lang w:eastAsia="en-US"/>
        </w:rPr>
        <w:t xml:space="preserve"> [</w:t>
      </w:r>
      <w:r>
        <w:rPr>
          <w:b/>
          <w:szCs w:val="24"/>
          <w:lang w:eastAsia="en-US"/>
        </w:rPr>
        <w:t>PN 41]</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szCs w:val="24"/>
          <w:lang w:eastAsia="en-US"/>
        </w:rPr>
      </w:pPr>
      <w:r>
        <w:rPr>
          <w:b/>
          <w:i/>
          <w:szCs w:val="24"/>
          <w:lang w:eastAsia="en-US"/>
        </w:rPr>
        <w:lastRenderedPageBreak/>
        <w:t>11d.</w:t>
      </w:r>
      <w:r>
        <w:rPr>
          <w:szCs w:val="24"/>
          <w:lang w:eastAsia="en-US"/>
        </w:rPr>
        <w:tab/>
      </w:r>
      <w:r>
        <w:rPr>
          <w:b/>
          <w:i/>
          <w:szCs w:val="24"/>
          <w:lang w:eastAsia="en-US"/>
        </w:rPr>
        <w:t>„alternatívne palivá“ sú palivá alebo zdroje energie, ktoré slúžia, a to aspoň čiastočne, ako náhrada fosílnych zdrojov ropy v dodávkach energie pre dopravu a ktoré majú potenciál prispievať k eliminácii emisií uhlíka a vylepšujú environmentá</w:t>
      </w:r>
      <w:r>
        <w:rPr>
          <w:b/>
          <w:i/>
          <w:szCs w:val="24"/>
          <w:lang w:eastAsia="en-US"/>
        </w:rPr>
        <w:t>lne správanie odvetvia dopravy, a pozostávajú z:</w:t>
      </w:r>
    </w:p>
    <w:p w:rsidR="006C6719" w:rsidRDefault="00614864">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elektrickej energie spotrebúvanej vo všetkých typoch elektrických vozidiel;</w:t>
      </w:r>
    </w:p>
    <w:p w:rsidR="006C6719" w:rsidRDefault="00614864">
      <w:pPr>
        <w:spacing w:before="120" w:after="120" w:line="360" w:lineRule="auto"/>
        <w:ind w:left="1416" w:hanging="566"/>
        <w:rPr>
          <w:szCs w:val="24"/>
          <w:lang w:eastAsia="en-US"/>
        </w:rPr>
      </w:pPr>
      <w:r>
        <w:rPr>
          <w:b/>
          <w:i/>
          <w:szCs w:val="24"/>
          <w:lang w:eastAsia="en-US"/>
        </w:rPr>
        <w:t>b)</w:t>
      </w:r>
      <w:r>
        <w:rPr>
          <w:szCs w:val="24"/>
          <w:lang w:eastAsia="en-US"/>
        </w:rPr>
        <w:tab/>
      </w:r>
      <w:r>
        <w:rPr>
          <w:b/>
          <w:i/>
          <w:szCs w:val="24"/>
          <w:lang w:eastAsia="en-US"/>
        </w:rPr>
        <w:t>vodíka;</w:t>
      </w:r>
    </w:p>
    <w:p w:rsidR="006C6719" w:rsidRDefault="00614864">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 xml:space="preserve">zemného plynu vrátane </w:t>
      </w:r>
      <w:proofErr w:type="spellStart"/>
      <w:r>
        <w:rPr>
          <w:b/>
          <w:i/>
          <w:szCs w:val="24"/>
          <w:lang w:eastAsia="en-US"/>
        </w:rPr>
        <w:t>biometánu</w:t>
      </w:r>
      <w:proofErr w:type="spellEnd"/>
      <w:r>
        <w:rPr>
          <w:b/>
          <w:i/>
          <w:szCs w:val="24"/>
          <w:lang w:eastAsia="en-US"/>
        </w:rPr>
        <w:t xml:space="preserve"> v plynnej forme (stlačený zemný plyn – CNG) a v kvapalnej forme (skvapalnený zemný plyn – LNG);</w:t>
      </w:r>
    </w:p>
    <w:p w:rsidR="006C6719" w:rsidRDefault="00614864">
      <w:pPr>
        <w:spacing w:before="120" w:after="120" w:line="360" w:lineRule="auto"/>
        <w:ind w:left="1416" w:hanging="566"/>
        <w:rPr>
          <w:szCs w:val="24"/>
          <w:lang w:eastAsia="en-US"/>
        </w:rPr>
      </w:pPr>
      <w:r>
        <w:rPr>
          <w:b/>
          <w:i/>
          <w:szCs w:val="24"/>
          <w:lang w:eastAsia="en-US"/>
        </w:rPr>
        <w:t>d)</w:t>
      </w:r>
      <w:r>
        <w:rPr>
          <w:szCs w:val="24"/>
          <w:lang w:eastAsia="en-US"/>
        </w:rPr>
        <w:tab/>
      </w:r>
      <w:r>
        <w:rPr>
          <w:b/>
          <w:i/>
          <w:szCs w:val="24"/>
          <w:lang w:eastAsia="en-US"/>
        </w:rPr>
        <w:t>skvapalneného ropného plynu (LPG);</w:t>
      </w:r>
    </w:p>
    <w:p w:rsidR="006C6719" w:rsidRDefault="00614864">
      <w:pPr>
        <w:spacing w:before="120" w:after="120" w:line="360" w:lineRule="auto"/>
        <w:ind w:left="1416" w:hanging="566"/>
        <w:rPr>
          <w:szCs w:val="24"/>
          <w:lang w:eastAsia="en-US"/>
        </w:rPr>
      </w:pPr>
      <w:r>
        <w:rPr>
          <w:b/>
          <w:i/>
          <w:szCs w:val="24"/>
          <w:lang w:eastAsia="en-US"/>
        </w:rPr>
        <w:t>e)</w:t>
      </w:r>
      <w:r>
        <w:rPr>
          <w:szCs w:val="24"/>
          <w:lang w:eastAsia="en-US"/>
        </w:rPr>
        <w:tab/>
      </w:r>
      <w:r>
        <w:rPr>
          <w:b/>
          <w:i/>
          <w:szCs w:val="24"/>
          <w:lang w:eastAsia="en-US"/>
        </w:rPr>
        <w:t>mechanickej energie z palubného skladovania/palubných zdrojov vrátane odpadového tepla;</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szCs w:val="24"/>
          <w:lang w:eastAsia="en-US"/>
        </w:rPr>
      </w:pPr>
      <w:r>
        <w:rPr>
          <w:b/>
          <w:i/>
          <w:szCs w:val="24"/>
          <w:lang w:eastAsia="en-US"/>
        </w:rPr>
        <w:lastRenderedPageBreak/>
        <w:t>f)</w:t>
      </w:r>
      <w:r>
        <w:rPr>
          <w:szCs w:val="24"/>
          <w:lang w:eastAsia="en-US"/>
        </w:rPr>
        <w:tab/>
      </w:r>
      <w:r>
        <w:rPr>
          <w:b/>
          <w:i/>
          <w:szCs w:val="24"/>
          <w:lang w:eastAsia="en-US"/>
        </w:rPr>
        <w:t>akéhokoľvek iného „paliva</w:t>
      </w:r>
      <w:r>
        <w:rPr>
          <w:b/>
          <w:i/>
          <w:szCs w:val="24"/>
          <w:lang w:eastAsia="en-US"/>
        </w:rPr>
        <w:t xml:space="preserve"> neutrálneho z hľadiska CO</w:t>
      </w:r>
      <w:r>
        <w:rPr>
          <w:b/>
          <w:i/>
          <w:szCs w:val="24"/>
          <w:vertAlign w:val="subscript"/>
          <w:lang w:eastAsia="en-US"/>
        </w:rPr>
        <w:t>2</w:t>
      </w:r>
      <w:r>
        <w:rPr>
          <w:b/>
          <w:i/>
          <w:szCs w:val="24"/>
          <w:lang w:eastAsia="en-US"/>
        </w:rPr>
        <w:t>“, čo sú všetky palivá vymedzené smernicou (EÚ) 2018/2001, pri ktorých sa emisie používaného paliva (</w:t>
      </w:r>
      <w:proofErr w:type="spellStart"/>
      <w:r>
        <w:rPr>
          <w:b/>
          <w:i/>
          <w:szCs w:val="24"/>
          <w:lang w:eastAsia="en-US"/>
        </w:rPr>
        <w:t>eu</w:t>
      </w:r>
      <w:proofErr w:type="spellEnd"/>
      <w:r>
        <w:rPr>
          <w:b/>
          <w:i/>
          <w:szCs w:val="24"/>
          <w:lang w:eastAsia="en-US"/>
        </w:rPr>
        <w:t>) môžu považovať za nulové emisie, čo napríklad znamená, že ekvivalent CO</w:t>
      </w:r>
      <w:r>
        <w:rPr>
          <w:b/>
          <w:i/>
          <w:szCs w:val="24"/>
          <w:vertAlign w:val="subscript"/>
          <w:lang w:eastAsia="en-US"/>
        </w:rPr>
        <w:t>2</w:t>
      </w:r>
      <w:r>
        <w:rPr>
          <w:b/>
          <w:i/>
          <w:szCs w:val="24"/>
          <w:lang w:eastAsia="en-US"/>
        </w:rPr>
        <w:t xml:space="preserve"> uhlíka obsiahnutého v chemickom zložení používaného</w:t>
      </w:r>
      <w:r>
        <w:rPr>
          <w:b/>
          <w:i/>
          <w:szCs w:val="24"/>
          <w:lang w:eastAsia="en-US"/>
        </w:rPr>
        <w:t xml:space="preserve"> paliva (</w:t>
      </w:r>
      <w:proofErr w:type="spellStart"/>
      <w:r>
        <w:rPr>
          <w:b/>
          <w:i/>
          <w:szCs w:val="24"/>
          <w:lang w:eastAsia="en-US"/>
        </w:rPr>
        <w:t>eu</w:t>
      </w:r>
      <w:proofErr w:type="spellEnd"/>
      <w:r>
        <w:rPr>
          <w:b/>
          <w:i/>
          <w:szCs w:val="24"/>
          <w:lang w:eastAsia="en-US"/>
        </w:rPr>
        <w:t>) je biogénneho pôvodu a/alebo bol zachytený, čím sa zamedzilo jeho uvoľneniu ako CO</w:t>
      </w:r>
      <w:r>
        <w:rPr>
          <w:b/>
          <w:i/>
          <w:szCs w:val="24"/>
          <w:vertAlign w:val="subscript"/>
          <w:lang w:eastAsia="en-US"/>
        </w:rPr>
        <w:t>2</w:t>
      </w:r>
      <w:r>
        <w:rPr>
          <w:b/>
          <w:i/>
          <w:szCs w:val="24"/>
          <w:lang w:eastAsia="en-US"/>
        </w:rPr>
        <w:t xml:space="preserve"> do atmosféry, alebo bol zachytený z okolitého ovzdušia vrátane:</w:t>
      </w:r>
    </w:p>
    <w:p w:rsidR="006C6719" w:rsidRDefault="00614864">
      <w:pPr>
        <w:spacing w:before="120" w:after="120" w:line="360" w:lineRule="auto"/>
        <w:ind w:left="1982" w:hanging="566"/>
        <w:rPr>
          <w:szCs w:val="24"/>
          <w:lang w:eastAsia="en-US"/>
        </w:rPr>
      </w:pPr>
      <w:r>
        <w:rPr>
          <w:b/>
          <w:i/>
          <w:szCs w:val="24"/>
          <w:lang w:eastAsia="en-US"/>
        </w:rPr>
        <w:t>i)</w:t>
      </w:r>
      <w:r>
        <w:rPr>
          <w:szCs w:val="24"/>
          <w:lang w:eastAsia="en-US"/>
        </w:rPr>
        <w:tab/>
      </w:r>
      <w:r>
        <w:rPr>
          <w:b/>
          <w:i/>
          <w:szCs w:val="24"/>
          <w:lang w:eastAsia="en-US"/>
        </w:rPr>
        <w:t xml:space="preserve">palív z obnoviteľných zdrojov a/alebo syntetických palív, ako sú </w:t>
      </w:r>
      <w:proofErr w:type="spellStart"/>
      <w:r>
        <w:rPr>
          <w:b/>
          <w:i/>
          <w:szCs w:val="24"/>
          <w:lang w:eastAsia="en-US"/>
        </w:rPr>
        <w:t>biopalivá</w:t>
      </w:r>
      <w:proofErr w:type="spellEnd"/>
      <w:r>
        <w:rPr>
          <w:b/>
          <w:i/>
          <w:szCs w:val="24"/>
          <w:lang w:eastAsia="en-US"/>
        </w:rPr>
        <w:t xml:space="preserve">, bioplyn, palivo </w:t>
      </w:r>
      <w:r>
        <w:rPr>
          <w:b/>
          <w:i/>
          <w:szCs w:val="24"/>
          <w:lang w:eastAsia="en-US"/>
        </w:rPr>
        <w:t>z biomasy, kvapalné a plynné dopravné palivo z obnoviteľných zdrojov nebiologického pôvodu (RFNBO) alebo fosílne palivo vyrobené z odpadu (RCF);</w:t>
      </w:r>
    </w:p>
    <w:p w:rsidR="006C6719" w:rsidRDefault="00614864">
      <w:pPr>
        <w:spacing w:before="120" w:after="120" w:line="360" w:lineRule="auto"/>
        <w:ind w:left="1982" w:hanging="566"/>
        <w:rPr>
          <w:szCs w:val="24"/>
          <w:lang w:eastAsia="en-US"/>
        </w:rPr>
      </w:pPr>
      <w:r>
        <w:rPr>
          <w:b/>
          <w:i/>
          <w:szCs w:val="24"/>
          <w:lang w:eastAsia="en-US"/>
        </w:rPr>
        <w:t>ii)</w:t>
      </w:r>
      <w:r>
        <w:rPr>
          <w:szCs w:val="24"/>
          <w:lang w:eastAsia="en-US"/>
        </w:rPr>
        <w:tab/>
      </w:r>
      <w:r>
        <w:rPr>
          <w:b/>
          <w:i/>
          <w:szCs w:val="24"/>
          <w:lang w:eastAsia="en-US"/>
        </w:rPr>
        <w:t>vymedzenie paliva neutrálneho z hľadiska CO</w:t>
      </w:r>
      <w:r>
        <w:rPr>
          <w:b/>
          <w:i/>
          <w:szCs w:val="24"/>
          <w:vertAlign w:val="subscript"/>
          <w:lang w:eastAsia="en-US"/>
        </w:rPr>
        <w:t>2</w:t>
      </w:r>
      <w:r>
        <w:rPr>
          <w:b/>
          <w:i/>
          <w:szCs w:val="24"/>
          <w:lang w:eastAsia="en-US"/>
        </w:rPr>
        <w:t xml:space="preserve"> sa môže vzťahovať na ďalšie palivá, ktoré nie sú uvedené v sme</w:t>
      </w:r>
      <w:r>
        <w:rPr>
          <w:b/>
          <w:i/>
          <w:szCs w:val="24"/>
          <w:lang w:eastAsia="en-US"/>
        </w:rPr>
        <w:t>rnici (EÚ) 2018/2001, a to za predpokladu, že spĺňajú uvedené kritériá a kritériá udržateľnosti stanovené v uvedenej smernici a súvisiacich delegovaných aktoch; a</w:t>
      </w:r>
    </w:p>
    <w:p w:rsidR="006C6719" w:rsidRDefault="00614864">
      <w:pPr>
        <w:spacing w:before="120" w:after="120" w:line="360" w:lineRule="auto"/>
        <w:ind w:left="1982" w:hanging="566"/>
        <w:rPr>
          <w:b/>
          <w:szCs w:val="24"/>
          <w:lang w:eastAsia="en-US"/>
        </w:rPr>
      </w:pPr>
      <w:r>
        <w:rPr>
          <w:b/>
          <w:i/>
          <w:szCs w:val="24"/>
          <w:lang w:eastAsia="en-US"/>
        </w:rPr>
        <w:t>iii)</w:t>
      </w:r>
      <w:r>
        <w:rPr>
          <w:szCs w:val="24"/>
          <w:lang w:eastAsia="en-US"/>
        </w:rPr>
        <w:tab/>
      </w:r>
      <w:r>
        <w:rPr>
          <w:b/>
          <w:i/>
          <w:szCs w:val="24"/>
          <w:lang w:eastAsia="en-US"/>
        </w:rPr>
        <w:t>zmesi dvoch alebo viacerých palív neutrálnych z hľadiska CO</w:t>
      </w:r>
      <w:r>
        <w:rPr>
          <w:b/>
          <w:i/>
          <w:szCs w:val="24"/>
          <w:vertAlign w:val="subscript"/>
          <w:lang w:eastAsia="en-US"/>
        </w:rPr>
        <w:t>2</w:t>
      </w:r>
      <w:r>
        <w:rPr>
          <w:b/>
          <w:i/>
          <w:szCs w:val="24"/>
          <w:lang w:eastAsia="en-US"/>
        </w:rPr>
        <w:t xml:space="preserve"> sa považuje za palivo neutr</w:t>
      </w:r>
      <w:r>
        <w:rPr>
          <w:b/>
          <w:i/>
          <w:szCs w:val="24"/>
          <w:lang w:eastAsia="en-US"/>
        </w:rPr>
        <w:t>álne z hľadiska CO</w:t>
      </w:r>
      <w:r>
        <w:rPr>
          <w:b/>
          <w:i/>
          <w:szCs w:val="24"/>
          <w:vertAlign w:val="subscript"/>
          <w:lang w:eastAsia="en-US"/>
        </w:rPr>
        <w:t>2</w:t>
      </w:r>
      <w:r>
        <w:rPr>
          <w:b/>
          <w:i/>
          <w:szCs w:val="24"/>
          <w:lang w:eastAsia="en-US"/>
        </w:rPr>
        <w:t>;</w:t>
      </w:r>
      <w:r>
        <w:rPr>
          <w:b/>
          <w:szCs w:val="24"/>
          <w:lang w:eastAsia="en-US"/>
        </w:rPr>
        <w:t xml:space="preserve"> [PN 42]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12.</w:t>
      </w:r>
      <w:r>
        <w:rPr>
          <w:szCs w:val="24"/>
          <w:lang w:eastAsia="en-US"/>
        </w:rPr>
        <w:tab/>
        <w:t>„zákaz vedenia vozidla“ je akékoľvek rozhodnutie, ktoré má za následok odobratie, zrušenie, obmedzenie alebo pozastavenie vodičského preukazu alebo vodičského oprávnenia na vedenie poháňaného vozidla a proti ktorému sa už</w:t>
      </w:r>
      <w:r>
        <w:rPr>
          <w:szCs w:val="24"/>
          <w:lang w:eastAsia="en-US"/>
        </w:rPr>
        <w:t xml:space="preserve"> nemožno odvolať. Toto opatrenie môže predstavovať buď primárnu, sekundárnu alebo doplnkovú sankciu, alebo bezpečnostné opatrenie.</w:t>
      </w:r>
    </w:p>
    <w:p w:rsidR="006C6719" w:rsidRDefault="00614864">
      <w:pPr>
        <w:spacing w:before="120" w:after="120" w:line="360" w:lineRule="auto"/>
        <w:jc w:val="center"/>
        <w:rPr>
          <w:szCs w:val="24"/>
          <w:lang w:eastAsia="en-US"/>
        </w:rPr>
      </w:pPr>
      <w:r>
        <w:rPr>
          <w:szCs w:val="24"/>
          <w:lang w:eastAsia="en-US"/>
        </w:rPr>
        <w:t>Článok 3</w:t>
      </w:r>
      <w:r>
        <w:rPr>
          <w:szCs w:val="24"/>
          <w:lang w:eastAsia="en-US"/>
        </w:rPr>
        <w:br/>
        <w:t>Štandardné špecifikácie Únie týkajúce sa vodičských preukazov a vzájomné uznávanie</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 xml:space="preserve">Členské štáty zabezpečia, aby </w:t>
      </w:r>
      <w:r>
        <w:rPr>
          <w:szCs w:val="24"/>
          <w:lang w:eastAsia="en-US"/>
        </w:rPr>
        <w:t>sa ich národné vodičské preukazy vydávali v súlade s ustanoveniami tejto smernice a aby spĺňali štandardné špecifikácie Únie a ďalšie kritériá podľa:</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článku 4 pre fyzické vodičské preukazy;</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článku 5 pre mobilné vodičské preukazy.</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Členské štáty zab</w:t>
      </w:r>
      <w:r>
        <w:rPr>
          <w:szCs w:val="24"/>
          <w:lang w:eastAsia="en-US"/>
        </w:rPr>
        <w:t>ezpečia, aby fyzické a mobilné vodičské preukazy vydané tej istej osobe boli úplne rovnocenné a aby uvádzali presne rovnaký súbor oprávnení a podmienok, za ktorých je uvedená osoba oprávnená viesť vozidlo.</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pri vydaní, náhrade, obnovení a</w:t>
      </w:r>
      <w:r>
        <w:rPr>
          <w:szCs w:val="24"/>
          <w:lang w:eastAsia="en-US"/>
        </w:rPr>
        <w:t>lebo výmene vodičského preukazu v inom formáte nevyžadujú od žiadateľa ako nevyhnutnú podmienku držbu fyzického alebo mobilného vodičského preukazu.</w:t>
      </w:r>
    </w:p>
    <w:p w:rsidR="006C6719" w:rsidRDefault="00614864">
      <w:pPr>
        <w:spacing w:before="120" w:after="120" w:line="360" w:lineRule="auto"/>
        <w:ind w:left="850" w:hanging="850"/>
        <w:rPr>
          <w:b/>
          <w:szCs w:val="24"/>
          <w:lang w:eastAsia="en-US"/>
        </w:rPr>
      </w:pPr>
      <w:r>
        <w:rPr>
          <w:szCs w:val="24"/>
          <w:lang w:eastAsia="en-US"/>
        </w:rPr>
        <w:t>4.</w:t>
      </w:r>
      <w:r>
        <w:rPr>
          <w:szCs w:val="24"/>
          <w:lang w:eastAsia="en-US"/>
        </w:rPr>
        <w:tab/>
        <w:t xml:space="preserve">Do ... [dátum prijatia + 4 roky] členské štáty zabezpečia, aby sa </w:t>
      </w:r>
      <w:r>
        <w:rPr>
          <w:b/>
          <w:i/>
          <w:szCs w:val="24"/>
          <w:lang w:eastAsia="en-US"/>
        </w:rPr>
        <w:t xml:space="preserve">žiadateľom </w:t>
      </w:r>
      <w:r>
        <w:rPr>
          <w:szCs w:val="24"/>
          <w:lang w:eastAsia="en-US"/>
        </w:rPr>
        <w:t xml:space="preserve">štandardne vydávali </w:t>
      </w:r>
      <w:r>
        <w:rPr>
          <w:strike/>
          <w:szCs w:val="24"/>
          <w:lang w:eastAsia="en-US"/>
        </w:rPr>
        <w:t xml:space="preserve">iba </w:t>
      </w:r>
      <w:r>
        <w:rPr>
          <w:szCs w:val="24"/>
          <w:lang w:eastAsia="en-US"/>
        </w:rPr>
        <w:t>mob</w:t>
      </w:r>
      <w:r>
        <w:rPr>
          <w:szCs w:val="24"/>
          <w:lang w:eastAsia="en-US"/>
        </w:rPr>
        <w:t>ilné</w:t>
      </w:r>
      <w:r>
        <w:rPr>
          <w:b/>
          <w:i/>
          <w:szCs w:val="24"/>
          <w:lang w:eastAsia="en-US"/>
        </w:rPr>
        <w:t xml:space="preserve"> aj fyzické</w:t>
      </w:r>
      <w:r>
        <w:rPr>
          <w:szCs w:val="24"/>
          <w:lang w:eastAsia="en-US"/>
        </w:rPr>
        <w:t xml:space="preserve"> vodičské preukazy. Do uvedeného dátumu môžu členské štáty rozhodnúť o vydávaní mobilných vodičských preukazov.</w:t>
      </w:r>
      <w:r>
        <w:rPr>
          <w:b/>
          <w:szCs w:val="24"/>
          <w:lang w:eastAsia="en-US"/>
        </w:rPr>
        <w:t xml:space="preserve"> [PN 44]</w:t>
      </w:r>
    </w:p>
    <w:p w:rsidR="006C6719" w:rsidRDefault="00614864">
      <w:pPr>
        <w:spacing w:before="120" w:after="120" w:line="360" w:lineRule="auto"/>
        <w:ind w:left="850" w:hanging="850"/>
        <w:rPr>
          <w:b/>
          <w:szCs w:val="24"/>
          <w:lang w:eastAsia="en-US"/>
        </w:rPr>
      </w:pPr>
      <w:r>
        <w:rPr>
          <w:szCs w:val="24"/>
          <w:lang w:eastAsia="en-US"/>
        </w:rPr>
        <w:t>5.</w:t>
      </w:r>
      <w:r>
        <w:rPr>
          <w:szCs w:val="24"/>
          <w:lang w:eastAsia="en-US"/>
        </w:rPr>
        <w:tab/>
        <w:t xml:space="preserve">Odchylne od odseku 4 členské štáty </w:t>
      </w:r>
      <w:r>
        <w:rPr>
          <w:b/>
          <w:i/>
          <w:szCs w:val="24"/>
          <w:lang w:eastAsia="en-US"/>
        </w:rPr>
        <w:t xml:space="preserve">zabezpečia žiadateľom právo na požiadanie sa vzdať fyzického alebo </w:t>
      </w:r>
      <w:proofErr w:type="spellStart"/>
      <w:r>
        <w:rPr>
          <w:b/>
          <w:i/>
          <w:szCs w:val="24"/>
          <w:lang w:eastAsia="en-US"/>
        </w:rPr>
        <w:t>digitálneho</w:t>
      </w:r>
      <w:r>
        <w:rPr>
          <w:strike/>
          <w:szCs w:val="24"/>
          <w:lang w:eastAsia="en-US"/>
        </w:rPr>
        <w:t>na</w:t>
      </w:r>
      <w:proofErr w:type="spellEnd"/>
      <w:r>
        <w:rPr>
          <w:strike/>
          <w:szCs w:val="24"/>
          <w:lang w:eastAsia="en-US"/>
        </w:rPr>
        <w:t xml:space="preserve"> ži</w:t>
      </w:r>
      <w:r>
        <w:rPr>
          <w:strike/>
          <w:szCs w:val="24"/>
          <w:lang w:eastAsia="en-US"/>
        </w:rPr>
        <w:t>adosť žiadateľa poskytnú možnosť vydať fyzický vodičský preukaz namiesto mobilného</w:t>
      </w:r>
      <w:r>
        <w:rPr>
          <w:szCs w:val="24"/>
          <w:lang w:eastAsia="en-US"/>
        </w:rPr>
        <w:t xml:space="preserve"> vodičského preukazu</w:t>
      </w:r>
      <w:r>
        <w:rPr>
          <w:strike/>
          <w:szCs w:val="24"/>
          <w:lang w:eastAsia="en-US"/>
        </w:rPr>
        <w:t xml:space="preserve"> alebo spolu s ním</w:t>
      </w:r>
      <w:r>
        <w:rPr>
          <w:b/>
          <w:i/>
          <w:szCs w:val="24"/>
          <w:lang w:eastAsia="en-US"/>
        </w:rPr>
        <w:t>. Členské štáty uľahčujú takéto žiadosti zo strany žiadateľov a nesnažia sa ich žiadnym spôsobom ovplyvňovať</w:t>
      </w:r>
      <w:r>
        <w:rPr>
          <w:szCs w:val="24"/>
          <w:lang w:eastAsia="en-US"/>
        </w:rPr>
        <w:t>.</w:t>
      </w:r>
      <w:r>
        <w:rPr>
          <w:b/>
          <w:szCs w:val="24"/>
          <w:lang w:eastAsia="en-US"/>
        </w:rPr>
        <w:t xml:space="preserve"> [PN 45]</w:t>
      </w:r>
    </w:p>
    <w:p w:rsidR="006C6719" w:rsidRDefault="00614864">
      <w:pPr>
        <w:spacing w:before="120" w:after="120" w:line="360" w:lineRule="auto"/>
        <w:ind w:left="850" w:hanging="850"/>
        <w:rPr>
          <w:b/>
          <w:szCs w:val="24"/>
          <w:lang w:eastAsia="en-US"/>
        </w:rPr>
      </w:pPr>
      <w:r>
        <w:rPr>
          <w:b/>
          <w:i/>
          <w:szCs w:val="24"/>
          <w:lang w:eastAsia="en-US"/>
        </w:rPr>
        <w:t>5a.</w:t>
      </w:r>
      <w:r>
        <w:rPr>
          <w:szCs w:val="24"/>
          <w:lang w:eastAsia="en-US"/>
        </w:rPr>
        <w:tab/>
      </w:r>
      <w:r>
        <w:rPr>
          <w:b/>
          <w:i/>
          <w:szCs w:val="24"/>
          <w:lang w:eastAsia="en-US"/>
        </w:rPr>
        <w:t xml:space="preserve">Odchylne od </w:t>
      </w:r>
      <w:r>
        <w:rPr>
          <w:b/>
          <w:i/>
          <w:szCs w:val="24"/>
          <w:lang w:eastAsia="en-US"/>
        </w:rPr>
        <w:t xml:space="preserve">odseku 5 členské štáty udelia žiadateľom, ktorí sa vzdali jedného z formátov svojho vodičského preukazu uvedených v odseku 4, právo požiadať o vydanie alebo opätovné vydanie formátu, ktorého sa vzdali. Každé vydanie alebo opätovné vydanie formátu, ktorého </w:t>
      </w:r>
      <w:r>
        <w:rPr>
          <w:b/>
          <w:i/>
          <w:szCs w:val="24"/>
          <w:lang w:eastAsia="en-US"/>
        </w:rPr>
        <w:t>sa žiadateľ vzdal, sa zabezpečí bez zbytočného odkladu a najneskôr do dvoch týždňov od dátumu žiadosti žiadateľa.</w:t>
      </w:r>
      <w:r>
        <w:rPr>
          <w:b/>
          <w:szCs w:val="24"/>
          <w:lang w:eastAsia="en-US"/>
        </w:rPr>
        <w:t xml:space="preserve"> [PN 46]</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6.</w:t>
      </w:r>
      <w:r>
        <w:rPr>
          <w:szCs w:val="24"/>
          <w:lang w:eastAsia="en-US"/>
        </w:rPr>
        <w:tab/>
        <w:t>Vodičské preukazy vydávané členskými štátmi sa vzájomne uznávajú.</w:t>
      </w:r>
    </w:p>
    <w:p w:rsidR="006C6719" w:rsidRDefault="00614864">
      <w:pPr>
        <w:spacing w:before="120" w:after="120" w:line="360" w:lineRule="auto"/>
        <w:ind w:left="850" w:hanging="850"/>
        <w:rPr>
          <w:szCs w:val="24"/>
          <w:lang w:eastAsia="en-US"/>
        </w:rPr>
      </w:pPr>
      <w:r>
        <w:rPr>
          <w:szCs w:val="24"/>
          <w:lang w:eastAsia="en-US"/>
        </w:rPr>
        <w:t>7.</w:t>
      </w:r>
      <w:r>
        <w:rPr>
          <w:szCs w:val="24"/>
          <w:lang w:eastAsia="en-US"/>
        </w:rPr>
        <w:tab/>
        <w:t xml:space="preserve">Odchylne od odseku 6 členské štáty vzájomne uznávajú len </w:t>
      </w:r>
      <w:r>
        <w:rPr>
          <w:szCs w:val="24"/>
          <w:lang w:eastAsia="en-US"/>
        </w:rPr>
        <w:t>mobilné vodičské preukazy, ktoré boli vydané po [dátum prijatia + 3 roky] v súlade s článkom 5. Mobilné vodičské preukazy, ktoré boli vydané pred uvedeným dátumom, ale spĺňajú požiadavky článku 5, sa po uvedenom dátume uznávajú.</w:t>
      </w:r>
    </w:p>
    <w:p w:rsidR="006C6719" w:rsidRDefault="00614864">
      <w:pPr>
        <w:spacing w:before="120" w:after="120" w:line="360" w:lineRule="auto"/>
        <w:jc w:val="center"/>
        <w:rPr>
          <w:szCs w:val="24"/>
          <w:lang w:eastAsia="en-US"/>
        </w:rPr>
      </w:pPr>
      <w:r>
        <w:rPr>
          <w:szCs w:val="24"/>
          <w:lang w:eastAsia="en-US"/>
        </w:rPr>
        <w:t>Článok 4</w:t>
      </w:r>
      <w:r>
        <w:rPr>
          <w:szCs w:val="24"/>
          <w:lang w:eastAsia="en-US"/>
        </w:rPr>
        <w:br/>
        <w:t>Fyzické vodičské p</w:t>
      </w:r>
      <w:r>
        <w:rPr>
          <w:szCs w:val="24"/>
          <w:lang w:eastAsia="en-US"/>
        </w:rPr>
        <w:t>reukazy</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Členské štáty vydávajú fyzické vodičské preukazy na základe štandardných špecifikácií Únie stanovených v časti A1 prílohy I.</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Členské štáty prijmú všetky potrebné opatrenia, aby sa vyhli akémukoľvek riziku falšovania vodičských preukazov vráta</w:t>
      </w:r>
      <w:r>
        <w:rPr>
          <w:szCs w:val="24"/>
          <w:lang w:eastAsia="en-US"/>
        </w:rPr>
        <w:t>ne vzorov vodičských preukazov vydaných pred nadobudnutím účinnosti tejto smernice. Informujú o tom Komisiu.</w:t>
      </w:r>
    </w:p>
    <w:p w:rsidR="006C6719" w:rsidRDefault="00614864">
      <w:pPr>
        <w:spacing w:before="120" w:after="120" w:line="360" w:lineRule="auto"/>
        <w:ind w:left="850"/>
        <w:rPr>
          <w:szCs w:val="24"/>
          <w:lang w:eastAsia="en-US"/>
        </w:rPr>
      </w:pPr>
      <w:r>
        <w:rPr>
          <w:szCs w:val="24"/>
          <w:lang w:eastAsia="en-US"/>
        </w:rPr>
        <w:t>Fyzický vodičský preukaz sa proti falšovaniu zabezpečí prostredníctvom štandardných špecifikácií Únie stanovených v časti A2 prílohy I. Členské štá</w:t>
      </w:r>
      <w:r>
        <w:rPr>
          <w:szCs w:val="24"/>
          <w:lang w:eastAsia="en-US"/>
        </w:rPr>
        <w:t>ty môžu zaviesť dodatočné ochranné prvky.</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Ak držiteľ platného fyzického vodičského preukazu bez obdobia administratívnej platnosti nadobudne obvyklé bydlisko v inom členskom štáte, ako je ten, ktorý uvedený vodičský preukaz vydal, hostiteľský členský </w:t>
      </w:r>
      <w:r>
        <w:rPr>
          <w:szCs w:val="24"/>
          <w:lang w:eastAsia="en-US"/>
        </w:rPr>
        <w:t>štát môže od dvoch rokov po dátume, keď držiteľ nadobudol obvyklé bydlisko na jeho území, uplatniť obdobia administratívnej platnosti stanovené v článku 10 ods. 2, a to obnovením vodičského preukazu.</w:t>
      </w:r>
    </w:p>
    <w:p w:rsidR="006C6719" w:rsidRDefault="00614864">
      <w:pPr>
        <w:spacing w:before="120" w:after="120" w:line="360" w:lineRule="auto"/>
        <w:ind w:left="850" w:hanging="850"/>
        <w:rPr>
          <w:b/>
          <w:szCs w:val="24"/>
          <w:lang w:eastAsia="en-US"/>
        </w:rPr>
      </w:pPr>
      <w:r>
        <w:rPr>
          <w:szCs w:val="24"/>
          <w:lang w:eastAsia="en-US"/>
        </w:rPr>
        <w:t>4.</w:t>
      </w:r>
      <w:r>
        <w:rPr>
          <w:szCs w:val="24"/>
          <w:lang w:eastAsia="en-US"/>
        </w:rPr>
        <w:tab/>
        <w:t xml:space="preserve">Členské štáty zabezpečia, aby do 19. januára </w:t>
      </w:r>
      <w:r>
        <w:rPr>
          <w:strike/>
          <w:szCs w:val="24"/>
          <w:lang w:eastAsia="en-US"/>
        </w:rPr>
        <w:t>2030</w:t>
      </w:r>
      <w:r>
        <w:rPr>
          <w:b/>
          <w:i/>
          <w:szCs w:val="24"/>
          <w:lang w:eastAsia="en-US"/>
        </w:rPr>
        <w:t>2033</w:t>
      </w:r>
      <w:r>
        <w:rPr>
          <w:szCs w:val="24"/>
          <w:lang w:eastAsia="en-US"/>
        </w:rPr>
        <w:t xml:space="preserve"> všetky fyzické vodičské preukazy, ktoré boli vydané alebo ktoré sú v obehu, spĺňali všetky požiadavky tejto smernice.</w:t>
      </w:r>
      <w:r>
        <w:rPr>
          <w:b/>
          <w:szCs w:val="24"/>
          <w:lang w:eastAsia="en-US"/>
        </w:rPr>
        <w:t xml:space="preserve"> [PN 47]</w:t>
      </w:r>
    </w:p>
    <w:p w:rsidR="006C6719" w:rsidRDefault="00614864">
      <w:pPr>
        <w:spacing w:before="120" w:after="120" w:line="360" w:lineRule="auto"/>
        <w:ind w:left="850" w:hanging="850"/>
        <w:rPr>
          <w:b/>
          <w:szCs w:val="24"/>
          <w:lang w:eastAsia="en-US"/>
        </w:rPr>
      </w:pPr>
      <w:r>
        <w:rPr>
          <w:szCs w:val="24"/>
          <w:lang w:eastAsia="en-US"/>
        </w:rPr>
        <w:t>5.</w:t>
      </w:r>
      <w:r>
        <w:rPr>
          <w:szCs w:val="24"/>
          <w:lang w:eastAsia="en-US"/>
        </w:rPr>
        <w:tab/>
        <w:t>Členské štáty môžu rozhodnúť, že ako súčasť fyzického vodičského preukazu zavedú pamäťové médium (mikročip). Ak členský štát r</w:t>
      </w:r>
      <w:r>
        <w:rPr>
          <w:szCs w:val="24"/>
          <w:lang w:eastAsia="en-US"/>
        </w:rPr>
        <w:t>ozhodne o zavedení mikročipu ako súčasti fyzického vodičského preukazu, v prípade, že sa tak stanovuje v jeho vnútroštátnych právnych predpisoch týkajúcich sa vodičských preukazov, môže okrem údajov uvedených v časti D prílohy I rozhodnúť aj o ukladaní ďal</w:t>
      </w:r>
      <w:r>
        <w:rPr>
          <w:szCs w:val="24"/>
          <w:lang w:eastAsia="en-US"/>
        </w:rPr>
        <w:t>ších údajov na mikročip.</w:t>
      </w:r>
      <w:r>
        <w:rPr>
          <w:b/>
          <w:i/>
          <w:szCs w:val="24"/>
          <w:lang w:eastAsia="en-US"/>
        </w:rPr>
        <w:t xml:space="preserve"> Obdobie uchovávania osobných údajov uložených na mikročipe sa vždy, keď je to možné, zosúladí s platnosťou vodičského preukazu.</w:t>
      </w:r>
      <w:r>
        <w:rPr>
          <w:b/>
          <w:szCs w:val="24"/>
          <w:lang w:eastAsia="en-US"/>
        </w:rPr>
        <w:t xml:space="preserve"> [PN 48]</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Keď členské štáty stanovia, že súčasťou fyzického vodičského preukazu bude mikročip, uplatňuj</w:t>
      </w:r>
      <w:r>
        <w:rPr>
          <w:szCs w:val="24"/>
          <w:lang w:eastAsia="en-US"/>
        </w:rPr>
        <w:t>ú technické požiadavky stanovené v časti B prílohy I. Členské štáty môžu zaviesť dodatočné ochranné prvky.</w:t>
      </w:r>
    </w:p>
    <w:p w:rsidR="006C6719" w:rsidRDefault="00614864">
      <w:pPr>
        <w:spacing w:before="120" w:after="120" w:line="360" w:lineRule="auto"/>
        <w:ind w:left="850"/>
        <w:rPr>
          <w:szCs w:val="24"/>
          <w:lang w:eastAsia="en-US"/>
        </w:rPr>
      </w:pPr>
      <w:r>
        <w:rPr>
          <w:szCs w:val="24"/>
          <w:lang w:eastAsia="en-US"/>
        </w:rPr>
        <w:t>Členské štáty informujú Komisiu v prípade rozhodnutia o zahrnutí mikročipu na ich fyzické vodičské preukazy alebo o akejkoľvek zmene týkajúcej sa tak</w:t>
      </w:r>
      <w:r>
        <w:rPr>
          <w:szCs w:val="24"/>
          <w:lang w:eastAsia="en-US"/>
        </w:rPr>
        <w:t>éhoto rozhodnutia, a to do troch mesiacov od jeho prijatia. Členské štáty, ktoré už zaviedli mikročip na svojich fyzických vodičských preukazoch, o tom informujú Komisiu do troch mesiacov od dátumu nadobudnutia účinnosti tejto smernice.</w:t>
      </w:r>
    </w:p>
    <w:p w:rsidR="006C6719" w:rsidRDefault="00614864">
      <w:pPr>
        <w:spacing w:before="120" w:after="120" w:line="360" w:lineRule="auto"/>
        <w:ind w:left="850" w:hanging="850"/>
        <w:rPr>
          <w:szCs w:val="24"/>
          <w:lang w:eastAsia="en-US"/>
        </w:rPr>
      </w:pPr>
      <w:r>
        <w:rPr>
          <w:szCs w:val="24"/>
          <w:lang w:eastAsia="en-US"/>
        </w:rPr>
        <w:t>6.</w:t>
      </w:r>
      <w:r>
        <w:rPr>
          <w:szCs w:val="24"/>
          <w:lang w:eastAsia="en-US"/>
        </w:rPr>
        <w:tab/>
        <w:t xml:space="preserve">Ak mikročip nie </w:t>
      </w:r>
      <w:r>
        <w:rPr>
          <w:szCs w:val="24"/>
          <w:lang w:eastAsia="en-US"/>
        </w:rPr>
        <w:t>je zavedený ako súčasť fyzického vodičského preukazu, členské štáty môžu takisto rozhodnúť o tom, že na fyzických vodičských preukazoch, ktoré vydávajú, vytlačia na mieste vyhradenom na tento účel kód QR. Kód QR umožňuje overiť pravosť informácií uvedených</w:t>
      </w:r>
      <w:r>
        <w:rPr>
          <w:szCs w:val="24"/>
          <w:lang w:eastAsia="en-US"/>
        </w:rPr>
        <w:t xml:space="preserve"> na fyzickom vodičskom preukaze.</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7.</w:t>
      </w:r>
      <w:r>
        <w:rPr>
          <w:szCs w:val="24"/>
          <w:lang w:eastAsia="en-US"/>
        </w:rPr>
        <w:tab/>
        <w:t>Členské štáty zabezpečia, aby si overovateľ neponechával osobné údaje potrebné na overenie informácií uvedených na fyzickom vodičskom preukaze a aby orgán, ktorý vodičský preukaz vydal, nebol informovaný o postupe over</w:t>
      </w:r>
      <w:r>
        <w:rPr>
          <w:szCs w:val="24"/>
          <w:lang w:eastAsia="en-US"/>
        </w:rPr>
        <w:t>enia.</w:t>
      </w:r>
    </w:p>
    <w:p w:rsidR="006C6719" w:rsidRDefault="00614864">
      <w:pPr>
        <w:spacing w:before="120" w:after="120" w:line="360" w:lineRule="auto"/>
        <w:ind w:left="850"/>
        <w:rPr>
          <w:szCs w:val="24"/>
          <w:lang w:eastAsia="en-US"/>
        </w:rPr>
      </w:pPr>
      <w:r>
        <w:rPr>
          <w:szCs w:val="24"/>
          <w:lang w:eastAsia="en-US"/>
        </w:rPr>
        <w:t xml:space="preserve">Komisia prijme vykonávacie akty, ktorými sa stanovia podrobné ustanovenia týkajúce sa prvkov </w:t>
      </w:r>
      <w:proofErr w:type="spellStart"/>
      <w:r>
        <w:rPr>
          <w:szCs w:val="24"/>
          <w:lang w:eastAsia="en-US"/>
        </w:rPr>
        <w:t>interoperability</w:t>
      </w:r>
      <w:proofErr w:type="spellEnd"/>
      <w:r>
        <w:rPr>
          <w:szCs w:val="24"/>
          <w:lang w:eastAsia="en-US"/>
        </w:rPr>
        <w:t xml:space="preserve"> a bezpečnostných opatrení, ktoré musia spĺňať kódy QR vytlačené na fyzických vodičských preukazoch. Uvedené vykonávacie akty sa prijmú v súl</w:t>
      </w:r>
      <w:r>
        <w:rPr>
          <w:szCs w:val="24"/>
          <w:lang w:eastAsia="en-US"/>
        </w:rPr>
        <w:t>ade s postupom preskúmania uvedeným v článku 22 ods. 2.</w:t>
      </w:r>
    </w:p>
    <w:p w:rsidR="006C6719" w:rsidRDefault="00614864">
      <w:pPr>
        <w:spacing w:before="120" w:after="120" w:line="360" w:lineRule="auto"/>
        <w:ind w:left="850"/>
        <w:rPr>
          <w:szCs w:val="24"/>
          <w:lang w:eastAsia="en-US"/>
        </w:rPr>
      </w:pPr>
      <w:r>
        <w:rPr>
          <w:szCs w:val="24"/>
          <w:lang w:eastAsia="en-US"/>
        </w:rPr>
        <w:t>Členské štáty informujú Komisiu o každom opatrení zameranom na zavedenie kódu QR na ich vodičských preukazoch alebo o každej zmene takéhoto opatrenia, a to do troch mesiacov po jeho prijatí.</w:t>
      </w:r>
    </w:p>
    <w:p w:rsidR="006C6719" w:rsidRDefault="00614864">
      <w:pPr>
        <w:spacing w:before="120" w:after="120" w:line="360" w:lineRule="auto"/>
        <w:ind w:left="850" w:hanging="850"/>
        <w:rPr>
          <w:szCs w:val="24"/>
          <w:lang w:eastAsia="en-US"/>
        </w:rPr>
      </w:pPr>
      <w:r>
        <w:rPr>
          <w:szCs w:val="24"/>
          <w:lang w:eastAsia="en-US"/>
        </w:rPr>
        <w:t>8.</w:t>
      </w:r>
      <w:r>
        <w:rPr>
          <w:szCs w:val="24"/>
          <w:lang w:eastAsia="en-US"/>
        </w:rPr>
        <w:tab/>
        <w:t>Komisi</w:t>
      </w:r>
      <w:r>
        <w:rPr>
          <w:szCs w:val="24"/>
          <w:lang w:eastAsia="en-US"/>
        </w:rPr>
        <w:t>a je v súlade s článkom 21 splnomocnená prijímať delegované akty, ktorými sa s cieľom zohľadniť technický, prevádzkový alebo vedecký vývoj menia časti A, B a D prílohy 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5</w:t>
      </w:r>
      <w:r>
        <w:rPr>
          <w:szCs w:val="24"/>
          <w:lang w:eastAsia="en-US"/>
        </w:rPr>
        <w:br/>
        <w:t>Mobilné vodičské preukazy</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Členské štáty vydávajú mobilné vodičské preuk</w:t>
      </w:r>
      <w:r>
        <w:rPr>
          <w:szCs w:val="24"/>
          <w:lang w:eastAsia="en-US"/>
        </w:rPr>
        <w:t>azy na základe štandardných špecifikácií Únie stanovených v časti C prílohy I.</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Členské štáty zabezpečia, aby elektronické aplikácie vytvorené pre mobilné vodičské preukazy na umožnenie overenia existencie vodičských oprávnení držiteľa vodičského preukaz</w:t>
      </w:r>
      <w:r>
        <w:rPr>
          <w:szCs w:val="24"/>
          <w:lang w:eastAsia="en-US"/>
        </w:rPr>
        <w:t>u boli bezplatne dostupné pre osoby s obvyklým bydliskom na ich území alebo osoby, ktoré sú inak oprávnené mať mobilné vodičské preukazy, ktoré im vydali.</w:t>
      </w:r>
    </w:p>
    <w:p w:rsidR="006C6719" w:rsidRDefault="00614864">
      <w:pPr>
        <w:spacing w:before="120" w:after="120" w:line="360" w:lineRule="auto"/>
        <w:ind w:left="850"/>
        <w:rPr>
          <w:b/>
          <w:szCs w:val="24"/>
          <w:lang w:eastAsia="en-US"/>
        </w:rPr>
      </w:pPr>
      <w:r>
        <w:rPr>
          <w:szCs w:val="24"/>
          <w:lang w:eastAsia="en-US"/>
        </w:rPr>
        <w:t>Tieto aplikácie sú založené na európskych peňaženkách digitálnej identity vydaných v súlade s nariade</w:t>
      </w:r>
      <w:r>
        <w:rPr>
          <w:szCs w:val="24"/>
          <w:lang w:eastAsia="en-US"/>
        </w:rPr>
        <w:t>ním Európskeho parlamentu a Rady (EÚ) č. 910/2014</w:t>
      </w:r>
      <w:r>
        <w:rPr>
          <w:szCs w:val="24"/>
          <w:vertAlign w:val="superscript"/>
          <w:lang w:eastAsia="en-US"/>
        </w:rPr>
        <w:footnoteReference w:id="17"/>
      </w:r>
      <w:r>
        <w:rPr>
          <w:b/>
          <w:i/>
          <w:szCs w:val="24"/>
          <w:lang w:eastAsia="en-US"/>
        </w:rPr>
        <w:t>a mala by sa zaistiť primeraná miera zabezpečenia týchto aplikácií</w:t>
      </w:r>
      <w:r>
        <w:rPr>
          <w:szCs w:val="24"/>
          <w:lang w:eastAsia="en-US"/>
        </w:rPr>
        <w:t>.</w:t>
      </w:r>
      <w:r>
        <w:rPr>
          <w:b/>
          <w:szCs w:val="24"/>
          <w:lang w:eastAsia="en-US"/>
        </w:rPr>
        <w:t xml:space="preserve"> [PN 49]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Členské štáty uverejnia zoznam dostupných elektronických aplikácií, ktoré sú vytvorené a udržiavané na účely tohto článku, a </w:t>
      </w:r>
      <w:r>
        <w:rPr>
          <w:szCs w:val="24"/>
          <w:lang w:eastAsia="en-US"/>
        </w:rPr>
        <w:t>pravidelne ho aktualizujú.</w:t>
      </w:r>
    </w:p>
    <w:p w:rsidR="006C6719" w:rsidRDefault="00614864">
      <w:pPr>
        <w:spacing w:before="120" w:after="120" w:line="360" w:lineRule="auto"/>
        <w:ind w:left="850"/>
        <w:rPr>
          <w:b/>
          <w:szCs w:val="24"/>
          <w:lang w:eastAsia="en-US"/>
        </w:rPr>
      </w:pPr>
      <w:r>
        <w:rPr>
          <w:szCs w:val="24"/>
          <w:lang w:eastAsia="en-US"/>
        </w:rPr>
        <w:t xml:space="preserve">Členské štáty zabezpečia, aby elektronické aplikácie neobsahovali </w:t>
      </w:r>
      <w:r>
        <w:rPr>
          <w:strike/>
          <w:szCs w:val="24"/>
          <w:lang w:eastAsia="en-US"/>
        </w:rPr>
        <w:t xml:space="preserve">alebo, v prípade uplatňovania ukazovateľa, ani nesprístupňovali </w:t>
      </w:r>
      <w:r>
        <w:rPr>
          <w:szCs w:val="24"/>
          <w:lang w:eastAsia="en-US"/>
        </w:rPr>
        <w:t>viac údajov, ako je uvedené v časti D prílohy I.</w:t>
      </w:r>
      <w:r>
        <w:rPr>
          <w:b/>
          <w:szCs w:val="24"/>
          <w:lang w:eastAsia="en-US"/>
        </w:rPr>
        <w:t xml:space="preserve"> [PN 50]</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Členské štáty sprístupnia informácie po</w:t>
      </w:r>
      <w:r>
        <w:rPr>
          <w:szCs w:val="24"/>
          <w:lang w:eastAsia="en-US"/>
        </w:rPr>
        <w:t>trebné na prístup k vnútroštátnym systémom uvedeným v časti C prílohy I, ktoré sa používajú na overovanie mobilných vodičských preukazov, a pravidelne si ich navzájom aktualizujú.</w:t>
      </w:r>
    </w:p>
    <w:p w:rsidR="006C6719" w:rsidRDefault="00614864">
      <w:pPr>
        <w:spacing w:before="120" w:after="120" w:line="360" w:lineRule="auto"/>
        <w:ind w:left="850"/>
        <w:rPr>
          <w:b/>
          <w:szCs w:val="24"/>
          <w:lang w:eastAsia="en-US"/>
        </w:rPr>
      </w:pPr>
      <w:r>
        <w:rPr>
          <w:szCs w:val="24"/>
          <w:lang w:eastAsia="en-US"/>
        </w:rPr>
        <w:t>Členské štáty zabezpečia, aby si overovateľ neponechával osobné údaje potreb</w:t>
      </w:r>
      <w:r>
        <w:rPr>
          <w:szCs w:val="24"/>
          <w:lang w:eastAsia="en-US"/>
        </w:rPr>
        <w:t>né na overenie vodičského oprávnenia držiteľa mobilného vodičského preukazu a aby orgán, ktorý vodičský preukaz vydal, spracovával informácie, ktoré dostal prostredníctvom oznámenia, iba na účely reagovania na žiadosť o overenie.</w:t>
      </w:r>
      <w:r>
        <w:rPr>
          <w:b/>
          <w:i/>
          <w:szCs w:val="24"/>
          <w:lang w:eastAsia="en-US"/>
        </w:rPr>
        <w:t xml:space="preserve"> Osobné údaje sa spracúvajú</w:t>
      </w:r>
      <w:r>
        <w:rPr>
          <w:b/>
          <w:i/>
          <w:szCs w:val="24"/>
          <w:lang w:eastAsia="en-US"/>
        </w:rPr>
        <w:t xml:space="preserve"> v súlade s nariadeniami (EÚ) 2016/679 a (EÚ) 2018/1725 a v náležitých prípadoch so smernicou 2002/58/ES, ktorými sa vykonávajú zásady minimalizácie údajov, obmedzenia účelu a špecificky navrhnutej a štandardnej ochrany údajov, najmä pokiaľ ide o technické</w:t>
      </w:r>
      <w:r>
        <w:rPr>
          <w:b/>
          <w:i/>
          <w:szCs w:val="24"/>
          <w:lang w:eastAsia="en-US"/>
        </w:rPr>
        <w:t xml:space="preserve"> opatrenia.</w:t>
      </w:r>
      <w:r>
        <w:rPr>
          <w:b/>
          <w:szCs w:val="24"/>
          <w:lang w:eastAsia="en-US"/>
        </w:rPr>
        <w:t xml:space="preserve"> [PN 51]</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5.</w:t>
      </w:r>
      <w:r>
        <w:rPr>
          <w:szCs w:val="24"/>
          <w:lang w:eastAsia="en-US"/>
        </w:rPr>
        <w:tab/>
        <w:t>Členské štáty informujú Komisiu o zozname relevantných vnútroštátnych systémov oprávnených vydávať údaje</w:t>
      </w:r>
      <w:r>
        <w:rPr>
          <w:strike/>
          <w:szCs w:val="24"/>
          <w:lang w:eastAsia="en-US"/>
        </w:rPr>
        <w:t xml:space="preserve"> a ukazovatele</w:t>
      </w:r>
      <w:r>
        <w:rPr>
          <w:szCs w:val="24"/>
          <w:lang w:eastAsia="en-US"/>
        </w:rPr>
        <w:t xml:space="preserve"> pre mobilné vodičské preukazy. Komisia prostredníctvom zabezpečeného kanála sprístupní verejnosti zoznam takýchto vnútroštátnych systémov členských štátov v elektronicky podpísanej alebo zapečatenej forme vhodnej na automatizované spracovanie.</w:t>
      </w:r>
      <w:r>
        <w:rPr>
          <w:b/>
          <w:szCs w:val="24"/>
          <w:lang w:eastAsia="en-US"/>
        </w:rPr>
        <w:t xml:space="preserve"> [PN 52]</w:t>
      </w:r>
    </w:p>
    <w:p w:rsidR="006C6719" w:rsidRDefault="00614864">
      <w:pPr>
        <w:spacing w:before="120" w:after="120" w:line="360" w:lineRule="auto"/>
        <w:ind w:left="850" w:hanging="850"/>
        <w:rPr>
          <w:szCs w:val="24"/>
          <w:lang w:eastAsia="en-US"/>
        </w:rPr>
      </w:pPr>
      <w:r>
        <w:rPr>
          <w:szCs w:val="24"/>
          <w:lang w:eastAsia="en-US"/>
        </w:rPr>
        <w:t>6.</w:t>
      </w:r>
      <w:r>
        <w:rPr>
          <w:szCs w:val="24"/>
          <w:lang w:eastAsia="en-US"/>
        </w:rPr>
        <w:tab/>
      </w:r>
      <w:r>
        <w:rPr>
          <w:szCs w:val="24"/>
          <w:lang w:eastAsia="en-US"/>
        </w:rPr>
        <w:t>Komisia je v súlade s článkom 21 splnomocnená prijímať delegované akty, ktorými sa na účely zohľadnenia technického, prevádzkového alebo vedeckého vývoja mení časť C prílohy I.</w:t>
      </w:r>
    </w:p>
    <w:p w:rsidR="006C6719" w:rsidRDefault="00614864">
      <w:pPr>
        <w:spacing w:before="120" w:after="120" w:line="360" w:lineRule="auto"/>
        <w:ind w:left="850" w:hanging="850"/>
        <w:rPr>
          <w:b/>
          <w:szCs w:val="24"/>
          <w:lang w:eastAsia="en-US"/>
        </w:rPr>
      </w:pPr>
      <w:r>
        <w:rPr>
          <w:szCs w:val="24"/>
          <w:lang w:eastAsia="en-US"/>
        </w:rPr>
        <w:t>7.</w:t>
      </w:r>
      <w:r>
        <w:rPr>
          <w:szCs w:val="24"/>
          <w:lang w:eastAsia="en-US"/>
        </w:rPr>
        <w:tab/>
        <w:t>Do</w:t>
      </w:r>
      <w:r>
        <w:rPr>
          <w:b/>
          <w:i/>
          <w:szCs w:val="24"/>
          <w:lang w:eastAsia="en-US"/>
        </w:rPr>
        <w:t xml:space="preserve"> ...</w:t>
      </w:r>
      <w:r>
        <w:rPr>
          <w:szCs w:val="24"/>
          <w:lang w:eastAsia="en-US"/>
        </w:rPr>
        <w:t xml:space="preserve"> [dátum prijatia + 18 mesiacov] Komisia prijme vykonávacie akty, ktorý</w:t>
      </w:r>
      <w:r>
        <w:rPr>
          <w:szCs w:val="24"/>
          <w:lang w:eastAsia="en-US"/>
        </w:rPr>
        <w:t xml:space="preserve">mi sa stanovia podrobné ustanovenia týkajúce sa </w:t>
      </w:r>
      <w:proofErr w:type="spellStart"/>
      <w:r>
        <w:rPr>
          <w:szCs w:val="24"/>
          <w:lang w:eastAsia="en-US"/>
        </w:rPr>
        <w:t>interoperability</w:t>
      </w:r>
      <w:proofErr w:type="spellEnd"/>
      <w:r>
        <w:rPr>
          <w:szCs w:val="24"/>
          <w:lang w:eastAsia="en-US"/>
        </w:rPr>
        <w:t>, bezpečnosti a testovania mobilných vodičských preukazov vrátane overovacích prvkov a rozhrania s vnútroštátnymi systémami</w:t>
      </w:r>
      <w:r>
        <w:rPr>
          <w:b/>
          <w:i/>
          <w:szCs w:val="24"/>
          <w:lang w:eastAsia="en-US"/>
        </w:rPr>
        <w:t xml:space="preserve"> a zohľadňujúce nevyhnutné požiadavky zabezpečiť uznávanie týchto vod</w:t>
      </w:r>
      <w:r>
        <w:rPr>
          <w:b/>
          <w:i/>
          <w:szCs w:val="24"/>
          <w:lang w:eastAsia="en-US"/>
        </w:rPr>
        <w:t>ičských preukazov orgánmi tretích krajín</w:t>
      </w:r>
      <w:r>
        <w:rPr>
          <w:szCs w:val="24"/>
          <w:lang w:eastAsia="en-US"/>
        </w:rPr>
        <w:t>. Uvedené vykonávacie akty sa prijmú v súlade s postupom preskúmania uvedeným v článku 22 ods. 2.</w:t>
      </w:r>
      <w:r>
        <w:rPr>
          <w:b/>
          <w:szCs w:val="24"/>
          <w:lang w:eastAsia="en-US"/>
        </w:rPr>
        <w:t xml:space="preserve"> [PN 53]</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7a.</w:t>
      </w:r>
      <w:r>
        <w:rPr>
          <w:szCs w:val="24"/>
          <w:lang w:eastAsia="en-US"/>
        </w:rPr>
        <w:tab/>
      </w:r>
      <w:r>
        <w:rPr>
          <w:b/>
          <w:i/>
          <w:szCs w:val="24"/>
          <w:lang w:eastAsia="en-US"/>
        </w:rPr>
        <w:t>Komisia v tejto súvislosti poskytne pomoc členským štátom, ktoré by mali spolupracovať v snahe o celosve</w:t>
      </w:r>
      <w:r>
        <w:rPr>
          <w:b/>
          <w:i/>
          <w:szCs w:val="24"/>
          <w:lang w:eastAsia="en-US"/>
        </w:rPr>
        <w:t xml:space="preserve">tové používanie a uznávanie európskeho mobilného vodičského preukazu prostredníctvom zmeny Ženevského dohovoru o cestnej premávke z 19. septembra 1949, Medzinárodného dohovoru o cestnej doprave z 24. apríla 1926 a Viedenského dohovoru o cestnej premávke z </w:t>
      </w:r>
      <w:r>
        <w:rPr>
          <w:b/>
          <w:i/>
          <w:szCs w:val="24"/>
          <w:lang w:eastAsia="en-US"/>
        </w:rPr>
        <w:t>8. novembra 1968.</w:t>
      </w:r>
      <w:r>
        <w:rPr>
          <w:b/>
          <w:szCs w:val="24"/>
          <w:lang w:eastAsia="en-US"/>
        </w:rPr>
        <w:t xml:space="preserve"> [PN 54]</w:t>
      </w:r>
    </w:p>
    <w:p w:rsidR="006C6719" w:rsidRDefault="00614864">
      <w:pPr>
        <w:spacing w:before="120" w:after="120" w:line="360" w:lineRule="auto"/>
        <w:jc w:val="center"/>
        <w:rPr>
          <w:szCs w:val="24"/>
          <w:lang w:eastAsia="en-US"/>
        </w:rPr>
      </w:pPr>
      <w:r>
        <w:rPr>
          <w:szCs w:val="24"/>
          <w:lang w:eastAsia="en-US"/>
        </w:rPr>
        <w:t>Článok 6</w:t>
      </w:r>
      <w:r>
        <w:rPr>
          <w:szCs w:val="24"/>
          <w:lang w:eastAsia="en-US"/>
        </w:rPr>
        <w:br/>
        <w:t xml:space="preserve">Skupiny vodičských preukazov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Vodičský preukaz oprávňuje na vedenie poháňaných vozidiel v týchto skupinách:</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mopedy:</w:t>
      </w:r>
    </w:p>
    <w:p w:rsidR="006C6719" w:rsidRDefault="00614864">
      <w:pPr>
        <w:spacing w:before="120" w:after="120" w:line="360" w:lineRule="auto"/>
        <w:ind w:left="1416"/>
        <w:rPr>
          <w:szCs w:val="24"/>
          <w:lang w:eastAsia="en-US"/>
        </w:rPr>
      </w:pPr>
      <w:r>
        <w:rPr>
          <w:szCs w:val="24"/>
          <w:lang w:eastAsia="en-US"/>
        </w:rPr>
        <w:t>skupina AM:</w:t>
      </w:r>
    </w:p>
    <w:p w:rsidR="006C6719" w:rsidRDefault="00614864">
      <w:pPr>
        <w:spacing w:before="120" w:after="120" w:line="360" w:lineRule="auto"/>
        <w:ind w:left="1982" w:hanging="566"/>
        <w:rPr>
          <w:b/>
          <w:szCs w:val="24"/>
          <w:lang w:eastAsia="en-US"/>
        </w:rPr>
      </w:pPr>
      <w:r>
        <w:rPr>
          <w:szCs w:val="24"/>
          <w:lang w:eastAsia="en-US"/>
        </w:rPr>
        <w:t>-</w:t>
      </w:r>
      <w:r>
        <w:rPr>
          <w:szCs w:val="24"/>
          <w:lang w:eastAsia="en-US"/>
        </w:rPr>
        <w:tab/>
        <w:t>dvojkolesové vozidlá alebo trojkolesové vozidlá s najvyššou konštrukčnou rýchlosťou n</w:t>
      </w:r>
      <w:r>
        <w:rPr>
          <w:szCs w:val="24"/>
          <w:lang w:eastAsia="en-US"/>
        </w:rPr>
        <w:t xml:space="preserve">ajviac 45 km/h </w:t>
      </w:r>
      <w:r>
        <w:rPr>
          <w:b/>
          <w:i/>
          <w:szCs w:val="24"/>
          <w:lang w:eastAsia="en-US"/>
        </w:rPr>
        <w:t xml:space="preserve">a maximálnym čistým výkonom nepresahujúcim 4 kW </w:t>
      </w:r>
      <w:r>
        <w:rPr>
          <w:szCs w:val="24"/>
          <w:lang w:eastAsia="en-US"/>
        </w:rPr>
        <w:t>(s výnimkou vozidiel s najvyššou konštrukčnou rýchlosťou 25 km/h alebo menej);</w:t>
      </w:r>
      <w:r>
        <w:rPr>
          <w:b/>
          <w:szCs w:val="24"/>
          <w:lang w:eastAsia="en-US"/>
        </w:rPr>
        <w:t xml:space="preserve"> [PN 55]</w:t>
      </w:r>
    </w:p>
    <w:p w:rsidR="006C6719" w:rsidRDefault="00614864">
      <w:pPr>
        <w:spacing w:before="120" w:after="120" w:line="360" w:lineRule="auto"/>
        <w:ind w:left="1982" w:hanging="566"/>
        <w:rPr>
          <w:szCs w:val="24"/>
          <w:lang w:eastAsia="en-US"/>
        </w:rPr>
      </w:pPr>
      <w:r>
        <w:rPr>
          <w:szCs w:val="24"/>
          <w:lang w:eastAsia="en-US"/>
        </w:rPr>
        <w:t>-</w:t>
      </w:r>
      <w:r>
        <w:rPr>
          <w:szCs w:val="24"/>
          <w:lang w:eastAsia="en-US"/>
        </w:rPr>
        <w:tab/>
        <w:t xml:space="preserve">ľahké </w:t>
      </w:r>
      <w:proofErr w:type="spellStart"/>
      <w:r>
        <w:rPr>
          <w:szCs w:val="24"/>
          <w:lang w:eastAsia="en-US"/>
        </w:rPr>
        <w:t>štvorkolky</w:t>
      </w:r>
      <w:proofErr w:type="spellEnd"/>
      <w:r>
        <w:rPr>
          <w:szCs w:val="24"/>
          <w:lang w:eastAsia="en-US"/>
        </w:rPr>
        <w:t>;</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b)</w:t>
      </w:r>
      <w:r>
        <w:rPr>
          <w:szCs w:val="24"/>
          <w:lang w:eastAsia="en-US"/>
        </w:rPr>
        <w:tab/>
        <w:t>motocykle a motorové trojkolky:</w:t>
      </w:r>
    </w:p>
    <w:p w:rsidR="006C6719" w:rsidRDefault="00614864">
      <w:pPr>
        <w:spacing w:before="120" w:after="120" w:line="360" w:lineRule="auto"/>
        <w:ind w:left="1982" w:hanging="566"/>
        <w:rPr>
          <w:szCs w:val="24"/>
          <w:lang w:eastAsia="en-US"/>
        </w:rPr>
      </w:pPr>
      <w:r>
        <w:rPr>
          <w:szCs w:val="24"/>
          <w:lang w:eastAsia="en-US"/>
        </w:rPr>
        <w:t>i)</w:t>
      </w:r>
      <w:r>
        <w:rPr>
          <w:szCs w:val="24"/>
          <w:lang w:eastAsia="en-US"/>
        </w:rPr>
        <w:tab/>
        <w:t>skupina A1:</w:t>
      </w:r>
    </w:p>
    <w:p w:rsidR="006C6719" w:rsidRDefault="00614864">
      <w:pPr>
        <w:spacing w:before="120" w:after="120" w:line="360" w:lineRule="auto"/>
        <w:ind w:left="2548" w:hanging="566"/>
        <w:rPr>
          <w:b/>
          <w:szCs w:val="24"/>
          <w:lang w:eastAsia="en-US"/>
        </w:rPr>
      </w:pPr>
      <w:r>
        <w:rPr>
          <w:szCs w:val="24"/>
          <w:lang w:eastAsia="en-US"/>
        </w:rPr>
        <w:t>-</w:t>
      </w:r>
      <w:r>
        <w:rPr>
          <w:szCs w:val="24"/>
          <w:lang w:eastAsia="en-US"/>
        </w:rPr>
        <w:tab/>
        <w:t xml:space="preserve">motocykle s objemom valcov </w:t>
      </w:r>
      <w:r>
        <w:rPr>
          <w:szCs w:val="24"/>
          <w:lang w:eastAsia="en-US"/>
        </w:rPr>
        <w:t>nepresahujúcim 125 kubických centimetrov,</w:t>
      </w:r>
      <w:r>
        <w:rPr>
          <w:b/>
          <w:i/>
          <w:szCs w:val="24"/>
          <w:lang w:eastAsia="en-US"/>
        </w:rPr>
        <w:t xml:space="preserve"> maximálnym čistým</w:t>
      </w:r>
      <w:r>
        <w:rPr>
          <w:szCs w:val="24"/>
          <w:lang w:eastAsia="en-US"/>
        </w:rPr>
        <w:t xml:space="preserve"> výkonom nepresahujúcim 11 kW a pomerom výkonu k hmotnosti nepresahujúcim 0,1 kW/kg;</w:t>
      </w:r>
      <w:r>
        <w:rPr>
          <w:b/>
          <w:szCs w:val="24"/>
          <w:lang w:eastAsia="en-US"/>
        </w:rPr>
        <w:t xml:space="preserve"> [PN 56]</w:t>
      </w:r>
    </w:p>
    <w:p w:rsidR="006C6719" w:rsidRDefault="00614864">
      <w:pPr>
        <w:spacing w:before="120" w:after="120" w:line="360" w:lineRule="auto"/>
        <w:ind w:left="2548" w:hanging="566"/>
        <w:rPr>
          <w:b/>
          <w:szCs w:val="24"/>
          <w:lang w:eastAsia="en-US"/>
        </w:rPr>
      </w:pPr>
      <w:r>
        <w:rPr>
          <w:szCs w:val="24"/>
          <w:lang w:eastAsia="en-US"/>
        </w:rPr>
        <w:t>-</w:t>
      </w:r>
      <w:r>
        <w:rPr>
          <w:szCs w:val="24"/>
          <w:lang w:eastAsia="en-US"/>
        </w:rPr>
        <w:tab/>
        <w:t>motorové trojkolky s</w:t>
      </w:r>
      <w:r>
        <w:rPr>
          <w:b/>
          <w:i/>
          <w:szCs w:val="24"/>
          <w:lang w:eastAsia="en-US"/>
        </w:rPr>
        <w:t xml:space="preserve"> maximálnym čistým</w:t>
      </w:r>
      <w:r>
        <w:rPr>
          <w:szCs w:val="24"/>
          <w:lang w:eastAsia="en-US"/>
        </w:rPr>
        <w:t xml:space="preserve"> výkonom nepresahujúcim 15 kW;</w:t>
      </w:r>
      <w:r>
        <w:rPr>
          <w:b/>
          <w:szCs w:val="24"/>
          <w:lang w:eastAsia="en-US"/>
        </w:rPr>
        <w:t xml:space="preserve"> [PN 57]</w:t>
      </w:r>
    </w:p>
    <w:p w:rsidR="006C6719" w:rsidRDefault="00614864">
      <w:pPr>
        <w:spacing w:before="120" w:after="120" w:line="360" w:lineRule="auto"/>
        <w:ind w:left="1982" w:hanging="566"/>
        <w:rPr>
          <w:szCs w:val="24"/>
          <w:lang w:eastAsia="en-US"/>
        </w:rPr>
      </w:pPr>
      <w:r>
        <w:rPr>
          <w:szCs w:val="24"/>
          <w:lang w:eastAsia="en-US"/>
        </w:rPr>
        <w:t>ii)</w:t>
      </w:r>
      <w:r>
        <w:rPr>
          <w:szCs w:val="24"/>
          <w:lang w:eastAsia="en-US"/>
        </w:rPr>
        <w:tab/>
        <w:t>skupina A2:</w:t>
      </w:r>
    </w:p>
    <w:p w:rsidR="006C6719" w:rsidRDefault="00614864">
      <w:pPr>
        <w:spacing w:before="120" w:after="120" w:line="360" w:lineRule="auto"/>
        <w:ind w:left="2548" w:hanging="566"/>
        <w:rPr>
          <w:b/>
          <w:szCs w:val="24"/>
          <w:lang w:eastAsia="en-US"/>
        </w:rPr>
      </w:pPr>
      <w:r>
        <w:rPr>
          <w:szCs w:val="24"/>
          <w:lang w:eastAsia="en-US"/>
        </w:rPr>
        <w:t>-</w:t>
      </w:r>
      <w:r>
        <w:rPr>
          <w:szCs w:val="24"/>
          <w:lang w:eastAsia="en-US"/>
        </w:rPr>
        <w:tab/>
        <w:t>motocyk</w:t>
      </w:r>
      <w:r>
        <w:rPr>
          <w:szCs w:val="24"/>
          <w:lang w:eastAsia="en-US"/>
        </w:rPr>
        <w:t>le s</w:t>
      </w:r>
      <w:r>
        <w:rPr>
          <w:b/>
          <w:i/>
          <w:szCs w:val="24"/>
          <w:lang w:eastAsia="en-US"/>
        </w:rPr>
        <w:t xml:space="preserve"> maximálnym čistým</w:t>
      </w:r>
      <w:r>
        <w:rPr>
          <w:szCs w:val="24"/>
          <w:lang w:eastAsia="en-US"/>
        </w:rPr>
        <w:t xml:space="preserve"> výkonom nepresahujúcim 35 kW a pomerom výkonu k hmotnosti nepresahujúcim 0,2 kW/kg a neodvodené od vozidla s viac ako 70 kW;</w:t>
      </w:r>
      <w:r>
        <w:rPr>
          <w:b/>
          <w:szCs w:val="24"/>
          <w:lang w:eastAsia="en-US"/>
        </w:rPr>
        <w:t xml:space="preserve"> [PN 58]</w:t>
      </w:r>
    </w:p>
    <w:p w:rsidR="006C6719" w:rsidRDefault="00614864">
      <w:pPr>
        <w:spacing w:before="120" w:after="120" w:line="360" w:lineRule="auto"/>
        <w:ind w:left="1982" w:hanging="566"/>
        <w:rPr>
          <w:szCs w:val="24"/>
          <w:lang w:eastAsia="en-US"/>
        </w:rPr>
      </w:pPr>
      <w:proofErr w:type="spellStart"/>
      <w:r>
        <w:rPr>
          <w:szCs w:val="24"/>
          <w:lang w:eastAsia="en-US"/>
        </w:rPr>
        <w:t>iia</w:t>
      </w:r>
      <w:proofErr w:type="spellEnd"/>
      <w:r>
        <w:rPr>
          <w:szCs w:val="24"/>
          <w:lang w:eastAsia="en-US"/>
        </w:rPr>
        <w:t>)</w:t>
      </w:r>
      <w:r>
        <w:rPr>
          <w:szCs w:val="24"/>
          <w:lang w:eastAsia="en-US"/>
        </w:rPr>
        <w:tab/>
        <w:t>skupina A:</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motocykle;</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2548" w:hanging="566"/>
        <w:rPr>
          <w:szCs w:val="24"/>
          <w:lang w:eastAsia="en-US"/>
        </w:rPr>
      </w:pPr>
      <w:r>
        <w:rPr>
          <w:szCs w:val="24"/>
          <w:lang w:eastAsia="en-US"/>
        </w:rPr>
        <w:lastRenderedPageBreak/>
        <w:t>-</w:t>
      </w:r>
      <w:r>
        <w:rPr>
          <w:szCs w:val="24"/>
          <w:lang w:eastAsia="en-US"/>
        </w:rPr>
        <w:tab/>
        <w:t>motorové trojkolky s</w:t>
      </w:r>
      <w:r>
        <w:rPr>
          <w:b/>
          <w:i/>
          <w:szCs w:val="24"/>
          <w:lang w:eastAsia="en-US"/>
        </w:rPr>
        <w:t xml:space="preserve"> maximálnym čistým</w:t>
      </w:r>
      <w:r>
        <w:rPr>
          <w:szCs w:val="24"/>
          <w:lang w:eastAsia="en-US"/>
        </w:rPr>
        <w:t xml:space="preserve"> výkonom presahujúcim 15 kW;</w:t>
      </w:r>
    </w:p>
    <w:p w:rsidR="006C6719" w:rsidRDefault="00614864">
      <w:pPr>
        <w:spacing w:before="120" w:after="120" w:line="360" w:lineRule="auto"/>
        <w:ind w:left="1982"/>
        <w:rPr>
          <w:b/>
          <w:szCs w:val="24"/>
          <w:lang w:eastAsia="en-US"/>
        </w:rPr>
      </w:pPr>
      <w:r>
        <w:rPr>
          <w:b/>
          <w:i/>
          <w:szCs w:val="24"/>
          <w:lang w:eastAsia="en-US"/>
        </w:rPr>
        <w:t xml:space="preserve">bez toho, aby boli dotknuté ustanovenia pravidiel o typovom schválení dotknutých vozidiel, môže byť k motorovým vozidlám v skupinách uvedených v písmenách a) a b) pripojené prípojné vozidlo s najväčšou povolenou hmotnosťou nepresahujúcou polovicu vlastnej </w:t>
      </w:r>
      <w:r>
        <w:rPr>
          <w:b/>
          <w:i/>
          <w:szCs w:val="24"/>
          <w:lang w:eastAsia="en-US"/>
        </w:rPr>
        <w:t>hmotnosti ťažného vozidla;</w:t>
      </w:r>
      <w:r>
        <w:rPr>
          <w:b/>
          <w:szCs w:val="24"/>
          <w:lang w:eastAsia="en-US"/>
        </w:rPr>
        <w:t xml:space="preserve"> [PN 59]</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motorové vozidlá:</w:t>
      </w:r>
    </w:p>
    <w:p w:rsidR="006C6719" w:rsidRDefault="00614864">
      <w:pPr>
        <w:spacing w:before="120" w:after="120" w:line="360" w:lineRule="auto"/>
        <w:ind w:left="1982" w:hanging="566"/>
        <w:rPr>
          <w:szCs w:val="24"/>
          <w:lang w:eastAsia="en-US"/>
        </w:rPr>
      </w:pPr>
      <w:r>
        <w:rPr>
          <w:szCs w:val="24"/>
          <w:lang w:eastAsia="en-US"/>
        </w:rPr>
        <w:t>i)</w:t>
      </w:r>
      <w:r>
        <w:rPr>
          <w:szCs w:val="24"/>
          <w:lang w:eastAsia="en-US"/>
        </w:rPr>
        <w:tab/>
        <w:t>skupina B1:</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 xml:space="preserve">ťažké </w:t>
      </w:r>
      <w:proofErr w:type="spellStart"/>
      <w:r>
        <w:rPr>
          <w:szCs w:val="24"/>
          <w:lang w:eastAsia="en-US"/>
        </w:rPr>
        <w:t>štvorkolky</w:t>
      </w:r>
      <w:proofErr w:type="spellEnd"/>
      <w:r>
        <w:rPr>
          <w:szCs w:val="24"/>
          <w:lang w:eastAsia="en-US"/>
        </w:rPr>
        <w:t>;</w:t>
      </w:r>
    </w:p>
    <w:p w:rsidR="006C6719" w:rsidRDefault="00614864">
      <w:pPr>
        <w:spacing w:before="120" w:after="120" w:line="360" w:lineRule="auto"/>
        <w:ind w:left="2548"/>
        <w:rPr>
          <w:szCs w:val="24"/>
          <w:lang w:eastAsia="en-US"/>
        </w:rPr>
      </w:pPr>
      <w:r>
        <w:rPr>
          <w:szCs w:val="24"/>
          <w:lang w:eastAsia="en-US"/>
        </w:rPr>
        <w:t>skupina B1 je nepovinná; v členských štátoch, ktoré nezavedú túto skupinu vodičských preukazov, sa na vedenie takýchto vozidiel vyžaduje vodičský preukaz skupiny B;</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2548"/>
        <w:rPr>
          <w:szCs w:val="24"/>
          <w:lang w:eastAsia="en-US"/>
        </w:rPr>
      </w:pPr>
      <w:r>
        <w:rPr>
          <w:szCs w:val="24"/>
          <w:lang w:eastAsia="en-US"/>
        </w:rPr>
        <w:lastRenderedPageBreak/>
        <w:t xml:space="preserve">členské štáty sa môžu takisto rozhodnúť, že zavedú túto skupinu výlučne pre vozidlá uvedené v článku 9 ods. 4 prvom </w:t>
      </w:r>
      <w:proofErr w:type="spellStart"/>
      <w:r>
        <w:rPr>
          <w:szCs w:val="24"/>
          <w:lang w:eastAsia="en-US"/>
        </w:rPr>
        <w:t>pododseku</w:t>
      </w:r>
      <w:proofErr w:type="spellEnd"/>
      <w:r>
        <w:rPr>
          <w:szCs w:val="24"/>
          <w:lang w:eastAsia="en-US"/>
        </w:rPr>
        <w:t xml:space="preserve"> písm. c) a za podmienok stanovených v uvedenom odseku. Ak sa tak členský štát rozhodne urobiť, vyznačí túto skutočnosť na vodičs</w:t>
      </w:r>
      <w:r>
        <w:rPr>
          <w:szCs w:val="24"/>
          <w:lang w:eastAsia="en-US"/>
        </w:rPr>
        <w:t>kom preukaze pomocou kódu Únie 60.03;</w:t>
      </w:r>
    </w:p>
    <w:p w:rsidR="006C6719" w:rsidRDefault="00614864">
      <w:pPr>
        <w:spacing w:before="120" w:after="120" w:line="360" w:lineRule="auto"/>
        <w:ind w:left="1982" w:hanging="566"/>
        <w:rPr>
          <w:szCs w:val="24"/>
          <w:lang w:eastAsia="en-US"/>
        </w:rPr>
      </w:pPr>
      <w:r>
        <w:rPr>
          <w:szCs w:val="24"/>
          <w:lang w:eastAsia="en-US"/>
        </w:rPr>
        <w:t>ii)</w:t>
      </w:r>
      <w:r>
        <w:rPr>
          <w:szCs w:val="24"/>
          <w:lang w:eastAsia="en-US"/>
        </w:rPr>
        <w:tab/>
        <w:t>skupina B:</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motorové vozidlá s maximálnou prípustnou hmotnosťou nepresahujúcou 3 500 kg, ktoré sú určené a konštruované na prepravu najviac ôsmich osôb okrem vodiča;</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 xml:space="preserve">k motorovým vozidlám tejto skupiny, môže byť </w:t>
      </w:r>
      <w:r>
        <w:rPr>
          <w:szCs w:val="24"/>
          <w:lang w:eastAsia="en-US"/>
        </w:rPr>
        <w:t>pripojené prípojné vozidlo, ktorého maximálna prípustná hmotnosť nepresahuje 750 kg;</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2548"/>
        <w:rPr>
          <w:szCs w:val="24"/>
          <w:lang w:eastAsia="en-US"/>
        </w:rPr>
      </w:pPr>
      <w:r>
        <w:rPr>
          <w:szCs w:val="24"/>
          <w:lang w:eastAsia="en-US"/>
        </w:rPr>
        <w:lastRenderedPageBreak/>
        <w:t xml:space="preserve">bez toho, aby boli dotknuté ustanovenia pravidiel o typovom schválení dotknutých vozidiel, môže byť k motorovým vozidlám tejto skupiny pripojené prípojné vozidlo s </w:t>
      </w:r>
      <w:r>
        <w:rPr>
          <w:szCs w:val="24"/>
          <w:lang w:eastAsia="en-US"/>
        </w:rPr>
        <w:t xml:space="preserve">maximálnou prípustnou hmotnosťou presahujúcou 750 kg za predpokladu, že maximálna prípustná hmotnosť tejto jazdnej súpravy nepresahuje 4 250 kg. Ak takáto jazdná súprava presahuje 3 500 kg, členské štáty vyžadujú v súlade s ustanoveniami prílohy V, aby sa </w:t>
      </w:r>
      <w:r>
        <w:rPr>
          <w:szCs w:val="24"/>
          <w:lang w:eastAsia="en-US"/>
        </w:rPr>
        <w:t>táto jazdná súprava mohla viesť len:</w:t>
      </w:r>
    </w:p>
    <w:p w:rsidR="006C6719" w:rsidRDefault="00614864">
      <w:pPr>
        <w:spacing w:before="120" w:after="120" w:line="360" w:lineRule="auto"/>
        <w:ind w:left="3114" w:hanging="566"/>
        <w:rPr>
          <w:szCs w:val="24"/>
          <w:lang w:eastAsia="en-US"/>
        </w:rPr>
      </w:pPr>
      <w:r>
        <w:rPr>
          <w:szCs w:val="24"/>
          <w:lang w:eastAsia="en-US"/>
        </w:rPr>
        <w:t>-</w:t>
      </w:r>
      <w:r>
        <w:rPr>
          <w:szCs w:val="24"/>
          <w:lang w:eastAsia="en-US"/>
        </w:rPr>
        <w:tab/>
        <w:t>po absolvovaní výcviku alebo</w:t>
      </w:r>
    </w:p>
    <w:p w:rsidR="006C6719" w:rsidRDefault="00614864">
      <w:pPr>
        <w:spacing w:before="120" w:after="120" w:line="360" w:lineRule="auto"/>
        <w:ind w:left="3114" w:hanging="566"/>
        <w:rPr>
          <w:szCs w:val="24"/>
          <w:lang w:eastAsia="en-US"/>
        </w:rPr>
      </w:pPr>
      <w:r>
        <w:rPr>
          <w:szCs w:val="24"/>
          <w:lang w:eastAsia="en-US"/>
        </w:rPr>
        <w:t>-</w:t>
      </w:r>
      <w:r>
        <w:rPr>
          <w:szCs w:val="24"/>
          <w:lang w:eastAsia="en-US"/>
        </w:rPr>
        <w:tab/>
        <w:t>po zložení skúšky zručností a správania.</w:t>
      </w:r>
    </w:p>
    <w:p w:rsidR="006C6719" w:rsidRDefault="00614864">
      <w:pPr>
        <w:spacing w:before="120" w:after="120" w:line="360" w:lineRule="auto"/>
        <w:ind w:left="2548"/>
        <w:rPr>
          <w:szCs w:val="24"/>
          <w:lang w:eastAsia="en-US"/>
        </w:rPr>
      </w:pPr>
      <w:r>
        <w:rPr>
          <w:szCs w:val="24"/>
          <w:lang w:eastAsia="en-US"/>
        </w:rPr>
        <w:t>Členské štáty môžu požadovať aj oboje – výcvik a zloženie skúšky zručností a správania.</w:t>
      </w:r>
    </w:p>
    <w:p w:rsidR="006C6719" w:rsidRDefault="00614864">
      <w:pPr>
        <w:spacing w:before="120" w:after="120" w:line="360" w:lineRule="auto"/>
        <w:ind w:left="2548"/>
        <w:rPr>
          <w:szCs w:val="24"/>
          <w:lang w:eastAsia="en-US"/>
        </w:rPr>
      </w:pPr>
      <w:r>
        <w:rPr>
          <w:szCs w:val="24"/>
          <w:lang w:eastAsia="en-US"/>
        </w:rPr>
        <w:t>Členské štáty vyznačia oprávnenie viesť takúto jazdnú súp</w:t>
      </w:r>
      <w:r>
        <w:rPr>
          <w:szCs w:val="24"/>
          <w:lang w:eastAsia="en-US"/>
        </w:rPr>
        <w:t>ravu do vodičského preukazu prostredníctvom príslušného kódu Únie uvedeného v časti E prílohy 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szCs w:val="24"/>
          <w:lang w:eastAsia="en-US"/>
        </w:rPr>
        <w:lastRenderedPageBreak/>
        <w:t>iii)</w:t>
      </w:r>
      <w:r>
        <w:rPr>
          <w:szCs w:val="24"/>
          <w:lang w:eastAsia="en-US"/>
        </w:rPr>
        <w:tab/>
        <w:t>skupina BE:</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 xml:space="preserve">bez toho, aby boli dotknuté ustanovenia pravidiel o typovom schválení dotknutých vozidiel, jazdná súprava pozostávajúca z ťažného vozidla </w:t>
      </w:r>
      <w:r>
        <w:rPr>
          <w:szCs w:val="24"/>
          <w:lang w:eastAsia="en-US"/>
        </w:rPr>
        <w:t>skupiny B a prípojného vozidla alebo návesu, keď maximálna prípustná hmotnosť prípojného vozidla alebo návesu nepresahuje 3 500 kg;</w:t>
      </w:r>
    </w:p>
    <w:p w:rsidR="006C6719" w:rsidRDefault="00614864">
      <w:pPr>
        <w:spacing w:before="120" w:after="120" w:line="360" w:lineRule="auto"/>
        <w:ind w:left="1982" w:hanging="566"/>
        <w:rPr>
          <w:szCs w:val="24"/>
          <w:lang w:eastAsia="en-US"/>
        </w:rPr>
      </w:pPr>
      <w:r>
        <w:rPr>
          <w:szCs w:val="24"/>
          <w:lang w:eastAsia="en-US"/>
        </w:rPr>
        <w:t>iv)</w:t>
      </w:r>
      <w:r>
        <w:rPr>
          <w:szCs w:val="24"/>
          <w:lang w:eastAsia="en-US"/>
        </w:rPr>
        <w:tab/>
        <w:t>skupina C1:</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iné motorové vozidlá ako vozidlá skupín D1 alebo D, ktorých maximálna prípustná hmotnosť presahuje 3 500 k</w:t>
      </w:r>
      <w:r>
        <w:rPr>
          <w:szCs w:val="24"/>
          <w:lang w:eastAsia="en-US"/>
        </w:rPr>
        <w:t>g, ale nepresahuje 7 500 kg, ktoré sú určené a konštruované na prepravu najviac ôsmich osôb okrem vodiča;</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k motorovým vozidlám tejto skupiny môže byť pripojené prípojné vozidlo, ktorého maximálna prípustná hmotnosť nepresahuje 750 kg;</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szCs w:val="24"/>
          <w:lang w:eastAsia="en-US"/>
        </w:rPr>
        <w:lastRenderedPageBreak/>
        <w:t>v)</w:t>
      </w:r>
      <w:r>
        <w:rPr>
          <w:szCs w:val="24"/>
          <w:lang w:eastAsia="en-US"/>
        </w:rPr>
        <w:tab/>
        <w:t>skupina C1E:</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bez toho, aby boli dotknuté ustanovenia pravidiel o typovom schválení dotknutých vozidiel, jazdná súprava, pozostávajúca z ťažného vozidla skupiny C1 a prípojného vozidla alebo návesu, pričom prípojné vozidlo alebo náves má maximálnu prípustnú hmotnosť vi</w:t>
      </w:r>
      <w:r>
        <w:rPr>
          <w:szCs w:val="24"/>
          <w:lang w:eastAsia="en-US"/>
        </w:rPr>
        <w:t>ac ako 750 kg, za predpokladu, že prípustná hmotnosť takejto jazdnej súpravy nepresahuje 12 000 kg;</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bez toho, aby boli dotknuté ustanovenia pravidiel o typovom schválení dotknutých vozidiel, jazdné súpravy pozostávajúce z ťažného vozidla skupiny B a príp</w:t>
      </w:r>
      <w:r>
        <w:rPr>
          <w:szCs w:val="24"/>
          <w:lang w:eastAsia="en-US"/>
        </w:rPr>
        <w:t>ojného vozidla alebo návesu, pričom prípojné vozidlo alebo náves má maximálnu prípustnú hmotnosť viac ako 3 500 kg, za predpokladu, že prípustná hmotnosť jazdnej súpravy nepresahuje 12 000 kg;</w:t>
      </w:r>
    </w:p>
    <w:p w:rsidR="006C6719" w:rsidRDefault="00614864">
      <w:pPr>
        <w:spacing w:before="120" w:after="120" w:line="360" w:lineRule="auto"/>
        <w:ind w:left="1982" w:hanging="566"/>
        <w:rPr>
          <w:szCs w:val="24"/>
          <w:lang w:eastAsia="en-US"/>
        </w:rPr>
      </w:pPr>
      <w:r>
        <w:rPr>
          <w:szCs w:val="24"/>
          <w:lang w:eastAsia="en-US"/>
        </w:rPr>
        <w:t>vi)</w:t>
      </w:r>
      <w:r>
        <w:rPr>
          <w:szCs w:val="24"/>
          <w:lang w:eastAsia="en-US"/>
        </w:rPr>
        <w:tab/>
        <w:t>skupina C:</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iné motorové vozidlá ako vozidlá skupín D1 ale</w:t>
      </w:r>
      <w:r>
        <w:rPr>
          <w:szCs w:val="24"/>
          <w:lang w:eastAsia="en-US"/>
        </w:rPr>
        <w:t>bo D, ktorých maximálna prípustná hmotnosť presahuje 3 500 kg a ktoré sú určené a konštruované na prepravu najviac ôsmich osôb okrem vodiča;</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2548" w:hanging="566"/>
        <w:rPr>
          <w:szCs w:val="24"/>
          <w:lang w:eastAsia="en-US"/>
        </w:rPr>
      </w:pPr>
      <w:r>
        <w:rPr>
          <w:szCs w:val="24"/>
          <w:lang w:eastAsia="en-US"/>
        </w:rPr>
        <w:lastRenderedPageBreak/>
        <w:t>-</w:t>
      </w:r>
      <w:r>
        <w:rPr>
          <w:szCs w:val="24"/>
          <w:lang w:eastAsia="en-US"/>
        </w:rPr>
        <w:tab/>
        <w:t>k motorovým vozidlám tejto skupiny môže byť pripojené prípojné vozidlo, ktorého maximálna prípustná hmotnosť ne</w:t>
      </w:r>
      <w:r>
        <w:rPr>
          <w:szCs w:val="24"/>
          <w:lang w:eastAsia="en-US"/>
        </w:rPr>
        <w:t>presahuje 750 kg;</w:t>
      </w:r>
    </w:p>
    <w:p w:rsidR="006C6719" w:rsidRDefault="00614864">
      <w:pPr>
        <w:spacing w:before="120" w:after="120" w:line="360" w:lineRule="auto"/>
        <w:ind w:left="1982" w:hanging="566"/>
        <w:rPr>
          <w:szCs w:val="24"/>
          <w:lang w:eastAsia="en-US"/>
        </w:rPr>
      </w:pPr>
      <w:r>
        <w:rPr>
          <w:szCs w:val="24"/>
          <w:lang w:eastAsia="en-US"/>
        </w:rPr>
        <w:t>vii)</w:t>
      </w:r>
      <w:r>
        <w:rPr>
          <w:szCs w:val="24"/>
          <w:lang w:eastAsia="en-US"/>
        </w:rPr>
        <w:tab/>
        <w:t>skupina CE:</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 xml:space="preserve">bez toho, aby boli dotknuté ustanovenia pravidiel o typovom schválení dotknutých vozidiel, jazdné súpravy pozostávajúce z ťažného vozidla skupiny C a prípojného vozidla alebo návesu, pričom prípojné vozidlo alebo náves </w:t>
      </w:r>
      <w:r>
        <w:rPr>
          <w:szCs w:val="24"/>
          <w:lang w:eastAsia="en-US"/>
        </w:rPr>
        <w:t>má maximálnu prípustnú hmotnosť viac ako 750 kg;</w:t>
      </w:r>
    </w:p>
    <w:p w:rsidR="006C6719" w:rsidRDefault="00614864">
      <w:pPr>
        <w:spacing w:before="120" w:after="120" w:line="360" w:lineRule="auto"/>
        <w:ind w:left="1982" w:hanging="566"/>
        <w:rPr>
          <w:szCs w:val="24"/>
          <w:lang w:eastAsia="en-US"/>
        </w:rPr>
      </w:pPr>
      <w:r>
        <w:rPr>
          <w:szCs w:val="24"/>
          <w:lang w:eastAsia="en-US"/>
        </w:rPr>
        <w:t>viii)</w:t>
      </w:r>
      <w:r>
        <w:rPr>
          <w:szCs w:val="24"/>
          <w:lang w:eastAsia="en-US"/>
        </w:rPr>
        <w:tab/>
        <w:t>skupina D1:</w:t>
      </w:r>
    </w:p>
    <w:p w:rsidR="006C6719" w:rsidRDefault="00614864">
      <w:pPr>
        <w:spacing w:before="120" w:after="120" w:line="360" w:lineRule="auto"/>
        <w:ind w:left="2548" w:hanging="566"/>
        <w:rPr>
          <w:b/>
          <w:szCs w:val="24"/>
          <w:lang w:eastAsia="en-US"/>
        </w:rPr>
      </w:pPr>
      <w:r>
        <w:rPr>
          <w:szCs w:val="24"/>
          <w:lang w:eastAsia="en-US"/>
        </w:rPr>
        <w:t>-</w:t>
      </w:r>
      <w:r>
        <w:rPr>
          <w:szCs w:val="24"/>
          <w:lang w:eastAsia="en-US"/>
        </w:rPr>
        <w:tab/>
        <w:t>motorové vozidlá určené a konštruované na prepravu</w:t>
      </w:r>
      <w:r>
        <w:rPr>
          <w:b/>
          <w:i/>
          <w:szCs w:val="24"/>
          <w:lang w:eastAsia="en-US"/>
        </w:rPr>
        <w:t xml:space="preserve"> viac ako osem a</w:t>
      </w:r>
      <w:r>
        <w:rPr>
          <w:szCs w:val="24"/>
          <w:lang w:eastAsia="en-US"/>
        </w:rPr>
        <w:t xml:space="preserve"> najviac 16 osôb okrem vodiča a s maximálnou dĺžkou nepresahujúcou 8 metrov;</w:t>
      </w:r>
      <w:r>
        <w:rPr>
          <w:b/>
          <w:szCs w:val="24"/>
          <w:lang w:eastAsia="en-US"/>
        </w:rPr>
        <w:t xml:space="preserve"> [PN 60]</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k motorovým vozidlám tejto skupiny</w:t>
      </w:r>
      <w:r>
        <w:rPr>
          <w:szCs w:val="24"/>
          <w:lang w:eastAsia="en-US"/>
        </w:rPr>
        <w:t xml:space="preserve"> môže byť pripojené prípojné vozidlo, ktorého maximálna prípustná hmotnosť nepresahuje 750 kg;</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szCs w:val="24"/>
          <w:lang w:eastAsia="en-US"/>
        </w:rPr>
        <w:lastRenderedPageBreak/>
        <w:t>ix)</w:t>
      </w:r>
      <w:r>
        <w:rPr>
          <w:szCs w:val="24"/>
          <w:lang w:eastAsia="en-US"/>
        </w:rPr>
        <w:tab/>
        <w:t>skupina D1E:</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bez toho, aby boli dotknuté ustanovenia pravidiel o typovom schválení dotknutých vozidiel, jazdné súpravy pozostávajúce z ťažného vozidla sk</w:t>
      </w:r>
      <w:r>
        <w:rPr>
          <w:szCs w:val="24"/>
          <w:lang w:eastAsia="en-US"/>
        </w:rPr>
        <w:t>upiny D1 a prípojného vozidla, pričom prípojné vozidlo má maximálnu prípustnú hmotnosť viac ako 750 kg;</w:t>
      </w:r>
    </w:p>
    <w:p w:rsidR="006C6719" w:rsidRDefault="00614864">
      <w:pPr>
        <w:spacing w:before="120" w:after="120" w:line="360" w:lineRule="auto"/>
        <w:ind w:left="1982" w:hanging="566"/>
        <w:rPr>
          <w:szCs w:val="24"/>
          <w:lang w:eastAsia="en-US"/>
        </w:rPr>
      </w:pPr>
      <w:r>
        <w:rPr>
          <w:szCs w:val="24"/>
          <w:lang w:eastAsia="en-US"/>
        </w:rPr>
        <w:t>x)</w:t>
      </w:r>
      <w:r>
        <w:rPr>
          <w:szCs w:val="24"/>
          <w:lang w:eastAsia="en-US"/>
        </w:rPr>
        <w:tab/>
        <w:t>skupina D:</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motorové vozidlá určené a konštruované na prepravu viac ako ôsmich osôb okrem vodiča, k motorovým vozidlám, ktoré možno viesť s vodičský</w:t>
      </w:r>
      <w:r>
        <w:rPr>
          <w:szCs w:val="24"/>
          <w:lang w:eastAsia="en-US"/>
        </w:rPr>
        <w:t>m preukazom skupiny D, môže byť pripojené prípojné vozidlo s maximálnou prípustnou hmotnosťou, ktorá nepresahuje 750 kg;</w:t>
      </w:r>
    </w:p>
    <w:p w:rsidR="006C6719" w:rsidRDefault="00614864">
      <w:pPr>
        <w:spacing w:before="120" w:after="120" w:line="360" w:lineRule="auto"/>
        <w:ind w:left="1982" w:hanging="566"/>
        <w:rPr>
          <w:szCs w:val="24"/>
          <w:lang w:eastAsia="en-US"/>
        </w:rPr>
      </w:pPr>
      <w:r>
        <w:rPr>
          <w:szCs w:val="24"/>
          <w:lang w:eastAsia="en-US"/>
        </w:rPr>
        <w:t>xi)</w:t>
      </w:r>
      <w:r>
        <w:rPr>
          <w:szCs w:val="24"/>
          <w:lang w:eastAsia="en-US"/>
        </w:rPr>
        <w:tab/>
        <w:t>skupina DE:</w:t>
      </w:r>
    </w:p>
    <w:p w:rsidR="006C6719" w:rsidRDefault="00614864">
      <w:pPr>
        <w:spacing w:before="120" w:after="120" w:line="360" w:lineRule="auto"/>
        <w:ind w:left="2548" w:hanging="566"/>
        <w:rPr>
          <w:szCs w:val="24"/>
          <w:lang w:eastAsia="en-US"/>
        </w:rPr>
      </w:pPr>
      <w:r>
        <w:rPr>
          <w:szCs w:val="24"/>
          <w:lang w:eastAsia="en-US"/>
        </w:rPr>
        <w:t>-</w:t>
      </w:r>
      <w:r>
        <w:rPr>
          <w:szCs w:val="24"/>
          <w:lang w:eastAsia="en-US"/>
        </w:rPr>
        <w:tab/>
        <w:t>bez toho, aby boli dotknuté ustanovenia pravidiel o typovom schválení dotknutých vozidiel, jazdné súpravy pozostávajú</w:t>
      </w:r>
      <w:r>
        <w:rPr>
          <w:szCs w:val="24"/>
          <w:lang w:eastAsia="en-US"/>
        </w:rPr>
        <w:t>ce z ťažného vozidla skupiny D a prípojného vozidla, pričom prípojné vozidlo má maximálnu prípustnú hmotnosť viac ako 750 kg.</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2.</w:t>
      </w:r>
      <w:r>
        <w:rPr>
          <w:szCs w:val="24"/>
          <w:lang w:eastAsia="en-US"/>
        </w:rPr>
        <w:tab/>
        <w:t>S predchádzajúcim súhlasom Komisie, ktorá posúdi vplyv navrhovaného opatrenia na bezpečnosť cestnej premávky, môžu členské št</w:t>
      </w:r>
      <w:r>
        <w:rPr>
          <w:szCs w:val="24"/>
          <w:lang w:eastAsia="en-US"/>
        </w:rPr>
        <w:t>áty vylúčiť z uplatňovania tohto článku niektoré špecifické typy poháňaných vozidiel vrátane špeciálnych vozidiel pre osoby so zdravotným postihnutím</w:t>
      </w:r>
      <w:r>
        <w:rPr>
          <w:b/>
          <w:i/>
          <w:szCs w:val="24"/>
          <w:lang w:eastAsia="en-US"/>
        </w:rPr>
        <w:t xml:space="preserve"> alebo vozidiel používaných v stavebníctve klasifikovaných okrem iného ako necestné pojazdné stroje</w:t>
      </w:r>
      <w:r>
        <w:rPr>
          <w:szCs w:val="24"/>
          <w:lang w:eastAsia="en-US"/>
        </w:rPr>
        <w:t>.</w:t>
      </w:r>
      <w:r>
        <w:rPr>
          <w:b/>
          <w:szCs w:val="24"/>
          <w:lang w:eastAsia="en-US"/>
        </w:rPr>
        <w:t xml:space="preserve"> [PN 69]</w:t>
      </w:r>
    </w:p>
    <w:p w:rsidR="006C6719" w:rsidRDefault="00614864">
      <w:pPr>
        <w:spacing w:before="120" w:after="120" w:line="360" w:lineRule="auto"/>
        <w:ind w:left="850"/>
        <w:rPr>
          <w:szCs w:val="24"/>
          <w:lang w:eastAsia="en-US"/>
        </w:rPr>
      </w:pPr>
      <w:r>
        <w:rPr>
          <w:szCs w:val="24"/>
          <w:lang w:eastAsia="en-US"/>
        </w:rPr>
        <w:t>Členské štáty môžu vylúčiť z uplatňovania tejto smernice typy vozidiel, ktoré používajú ozbrojené sily a civilná obrana, alebo ktoré sú pod ich kontrolou. Informujú o tom Komisiu.</w:t>
      </w:r>
    </w:p>
    <w:p w:rsidR="006C6719" w:rsidRDefault="00614864">
      <w:pPr>
        <w:spacing w:before="120" w:after="120" w:line="360" w:lineRule="auto"/>
        <w:jc w:val="center"/>
        <w:rPr>
          <w:szCs w:val="24"/>
          <w:lang w:eastAsia="en-US"/>
        </w:rPr>
      </w:pPr>
      <w:r>
        <w:rPr>
          <w:szCs w:val="24"/>
          <w:lang w:eastAsia="en-US"/>
        </w:rPr>
        <w:t>Článok 7</w:t>
      </w:r>
      <w:r>
        <w:rPr>
          <w:szCs w:val="24"/>
          <w:lang w:eastAsia="en-US"/>
        </w:rPr>
        <w:br/>
        <w:t xml:space="preserve">Minimálny vek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Minimálny vek na vydanie vodičského preu</w:t>
      </w:r>
      <w:r>
        <w:rPr>
          <w:szCs w:val="24"/>
          <w:lang w:eastAsia="en-US"/>
        </w:rPr>
        <w:t>kazu:</w:t>
      </w:r>
    </w:p>
    <w:p w:rsidR="006C6719" w:rsidRDefault="00614864">
      <w:pPr>
        <w:spacing w:before="120" w:after="120" w:line="360" w:lineRule="auto"/>
        <w:ind w:left="1416" w:hanging="566"/>
        <w:rPr>
          <w:b/>
          <w:szCs w:val="24"/>
          <w:lang w:eastAsia="en-US"/>
        </w:rPr>
      </w:pPr>
      <w:r>
        <w:rPr>
          <w:szCs w:val="24"/>
          <w:lang w:eastAsia="en-US"/>
        </w:rPr>
        <w:t>a)</w:t>
      </w:r>
      <w:r>
        <w:rPr>
          <w:szCs w:val="24"/>
          <w:lang w:eastAsia="en-US"/>
        </w:rPr>
        <w:tab/>
        <w:t>16 rokov pre skupiny AM, A1</w:t>
      </w:r>
      <w:r>
        <w:rPr>
          <w:strike/>
          <w:szCs w:val="24"/>
          <w:lang w:eastAsia="en-US"/>
        </w:rPr>
        <w:t xml:space="preserve"> a B1</w:t>
      </w:r>
      <w:r>
        <w:rPr>
          <w:b/>
          <w:i/>
          <w:szCs w:val="24"/>
          <w:lang w:eastAsia="en-US"/>
        </w:rPr>
        <w:t>, B1 a T</w:t>
      </w:r>
      <w:r>
        <w:rPr>
          <w:szCs w:val="24"/>
          <w:lang w:eastAsia="en-US"/>
        </w:rPr>
        <w:t>;</w:t>
      </w:r>
      <w:r>
        <w:rPr>
          <w:b/>
          <w:szCs w:val="24"/>
          <w:lang w:eastAsia="en-US"/>
        </w:rPr>
        <w:t xml:space="preserve"> [PN 70]</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18 rokov pre skupiny A2, B, BE, C1 a C1E;</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pokiaľ ide o skupinu A:</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szCs w:val="24"/>
          <w:lang w:eastAsia="en-US"/>
        </w:rPr>
        <w:lastRenderedPageBreak/>
        <w:t>i)</w:t>
      </w:r>
      <w:r>
        <w:rPr>
          <w:szCs w:val="24"/>
          <w:lang w:eastAsia="en-US"/>
        </w:rPr>
        <w:tab/>
        <w:t xml:space="preserve">20 rokov pre motocykle. Prístup k riadeniu motocyklov tejto skupiny však podlieha minimálne dvojročnej praxi na </w:t>
      </w:r>
      <w:r>
        <w:rPr>
          <w:szCs w:val="24"/>
          <w:lang w:eastAsia="en-US"/>
        </w:rPr>
        <w:t>motocykloch na základe vodičského preukazu A2. Od požiadavky na dvojročnú prax sa však môže upustiť, ak má uchádzač aspoň 24 rokov;</w:t>
      </w:r>
    </w:p>
    <w:p w:rsidR="006C6719" w:rsidRDefault="00614864">
      <w:pPr>
        <w:spacing w:before="120" w:after="120" w:line="360" w:lineRule="auto"/>
        <w:ind w:left="1982" w:hanging="566"/>
        <w:rPr>
          <w:szCs w:val="24"/>
          <w:lang w:eastAsia="en-US"/>
        </w:rPr>
      </w:pPr>
      <w:r>
        <w:rPr>
          <w:szCs w:val="24"/>
          <w:lang w:eastAsia="en-US"/>
        </w:rPr>
        <w:t>ii)</w:t>
      </w:r>
      <w:r>
        <w:rPr>
          <w:szCs w:val="24"/>
          <w:lang w:eastAsia="en-US"/>
        </w:rPr>
        <w:tab/>
        <w:t>21 rokov pre motorové trojkolky presahujúce 15 kW;</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21 rokov pre skupiny C, CE, D1 a D1E,</w:t>
      </w:r>
    </w:p>
    <w:p w:rsidR="006C6719" w:rsidRDefault="00614864">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bez toho, aby boli dotkn</w:t>
      </w:r>
      <w:r>
        <w:rPr>
          <w:b/>
          <w:i/>
          <w:szCs w:val="24"/>
          <w:lang w:eastAsia="en-US"/>
        </w:rPr>
        <w:t xml:space="preserve">uté okolnosti stanovené v článku 6 ods. 1 smernice (EÚ) 2022/2561, 18 rokov pre skupiny C, CE, D1 a D1E v prípade profesionálnych vodičov, ktorí používajú vodičský preukaz na vnútroštátnej a medzinárodnej úrovni, pod podmienkou, že sú držiteľmi osvedčenia </w:t>
      </w:r>
      <w:r>
        <w:rPr>
          <w:b/>
          <w:i/>
          <w:szCs w:val="24"/>
          <w:lang w:eastAsia="en-US"/>
        </w:rPr>
        <w:t>o odbornej spôsobilosti;</w:t>
      </w:r>
      <w:r>
        <w:rPr>
          <w:b/>
          <w:szCs w:val="24"/>
          <w:lang w:eastAsia="en-US"/>
        </w:rPr>
        <w:t xml:space="preserve"> [PN 71]</w:t>
      </w:r>
    </w:p>
    <w:p w:rsidR="006C6719" w:rsidRDefault="00614864">
      <w:pPr>
        <w:spacing w:before="120" w:after="120" w:line="360" w:lineRule="auto"/>
        <w:ind w:left="1416" w:hanging="566"/>
        <w:rPr>
          <w:szCs w:val="24"/>
          <w:lang w:eastAsia="en-US"/>
        </w:rPr>
      </w:pPr>
      <w:r>
        <w:rPr>
          <w:szCs w:val="24"/>
          <w:lang w:eastAsia="en-US"/>
        </w:rPr>
        <w:t>e)</w:t>
      </w:r>
      <w:r>
        <w:rPr>
          <w:szCs w:val="24"/>
          <w:lang w:eastAsia="en-US"/>
        </w:rPr>
        <w:tab/>
        <w:t>24 rokov pre skupiny D a DE;</w:t>
      </w:r>
    </w:p>
    <w:p w:rsidR="006C6719" w:rsidRDefault="00614864">
      <w:pPr>
        <w:spacing w:before="120" w:after="120" w:line="360" w:lineRule="auto"/>
        <w:ind w:left="1416" w:hanging="566"/>
        <w:rPr>
          <w:b/>
          <w:szCs w:val="24"/>
          <w:lang w:eastAsia="en-US"/>
        </w:rPr>
      </w:pPr>
      <w:proofErr w:type="spellStart"/>
      <w:r>
        <w:rPr>
          <w:b/>
          <w:i/>
          <w:szCs w:val="24"/>
          <w:lang w:eastAsia="en-US"/>
        </w:rPr>
        <w:t>ea</w:t>
      </w:r>
      <w:proofErr w:type="spellEnd"/>
      <w:r>
        <w:rPr>
          <w:b/>
          <w:i/>
          <w:szCs w:val="24"/>
          <w:lang w:eastAsia="en-US"/>
        </w:rPr>
        <w:t>)</w:t>
      </w:r>
      <w:r>
        <w:rPr>
          <w:szCs w:val="24"/>
          <w:lang w:eastAsia="en-US"/>
        </w:rPr>
        <w:tab/>
      </w:r>
      <w:r>
        <w:rPr>
          <w:b/>
          <w:i/>
          <w:szCs w:val="24"/>
          <w:lang w:eastAsia="en-US"/>
        </w:rPr>
        <w:t xml:space="preserve">bez toho, aby boli dotknuté okolnosti stanovené v článku 6 ods. 1 smernice (EÚ) 2022/2561, 21 rokov pre skupiny D a DE v prípade profesionálnych vodičov, ktorí používajú vodičský preukaz </w:t>
      </w:r>
      <w:r>
        <w:rPr>
          <w:b/>
          <w:i/>
          <w:szCs w:val="24"/>
          <w:lang w:eastAsia="en-US"/>
        </w:rPr>
        <w:t>na vnútroštátnej a medzinárodnej úrovni, pod podmienkou, že sú držiteľmi osvedčenia o odbornej spôsobilosti.</w:t>
      </w:r>
      <w:r>
        <w:rPr>
          <w:b/>
          <w:szCs w:val="24"/>
          <w:lang w:eastAsia="en-US"/>
        </w:rPr>
        <w:t xml:space="preserve"> [PN 72]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2.</w:t>
      </w:r>
      <w:r>
        <w:rPr>
          <w:szCs w:val="24"/>
          <w:lang w:eastAsia="en-US"/>
        </w:rPr>
        <w:tab/>
        <w:t>Členské štáty môžu zvýšiť alebo znížiť minimálny vek na vydanie vodičského preukazu:</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pre skupinu AM znížiť na 14 rokov alebo zvýšiť</w:t>
      </w:r>
      <w:r>
        <w:rPr>
          <w:szCs w:val="24"/>
          <w:lang w:eastAsia="en-US"/>
        </w:rPr>
        <w:t xml:space="preserve"> na 18 rokov;</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pre skupinu B1 zvýšiť na 18 rokov;</w:t>
      </w:r>
    </w:p>
    <w:p w:rsidR="006C6719" w:rsidRDefault="00614864">
      <w:pPr>
        <w:spacing w:before="120" w:after="120" w:line="360" w:lineRule="auto"/>
        <w:ind w:left="1416"/>
        <w:rPr>
          <w:b/>
          <w:szCs w:val="24"/>
          <w:lang w:eastAsia="en-US"/>
        </w:rPr>
      </w:pPr>
      <w:r>
        <w:rPr>
          <w:b/>
          <w:i/>
          <w:szCs w:val="24"/>
          <w:lang w:eastAsia="en-US"/>
        </w:rPr>
        <w:t xml:space="preserve">členské štáty nesmú vydať vodičský preukaz skupiny B1 uchádzačovi staršiemu ako 21 rokov pre vozidlá uvedené v článku 9 ods. 4 prvom </w:t>
      </w:r>
      <w:proofErr w:type="spellStart"/>
      <w:r>
        <w:rPr>
          <w:b/>
          <w:i/>
          <w:szCs w:val="24"/>
          <w:lang w:eastAsia="en-US"/>
        </w:rPr>
        <w:t>pododseku</w:t>
      </w:r>
      <w:proofErr w:type="spellEnd"/>
      <w:r>
        <w:rPr>
          <w:b/>
          <w:i/>
          <w:szCs w:val="24"/>
          <w:lang w:eastAsia="en-US"/>
        </w:rPr>
        <w:t xml:space="preserve"> písm. c) a za podmienok stanovených v uvedenom odseku;</w:t>
      </w:r>
      <w:r>
        <w:rPr>
          <w:b/>
          <w:szCs w:val="24"/>
          <w:lang w:eastAsia="en-US"/>
        </w:rPr>
        <w:t xml:space="preserve"> [PN 7</w:t>
      </w:r>
      <w:r>
        <w:rPr>
          <w:b/>
          <w:szCs w:val="24"/>
          <w:lang w:eastAsia="en-US"/>
        </w:rPr>
        <w:t>3]</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pre skupinu A1 zvýšiť na 18 rokov za predpokladu, že sa splnia obe tieto podmienky:</w:t>
      </w:r>
    </w:p>
    <w:p w:rsidR="006C6719" w:rsidRDefault="00614864">
      <w:pPr>
        <w:spacing w:before="120" w:after="120" w:line="360" w:lineRule="auto"/>
        <w:ind w:left="1982" w:hanging="566"/>
        <w:rPr>
          <w:szCs w:val="24"/>
          <w:lang w:eastAsia="en-US"/>
        </w:rPr>
      </w:pPr>
      <w:r>
        <w:rPr>
          <w:szCs w:val="24"/>
          <w:lang w:eastAsia="en-US"/>
        </w:rPr>
        <w:t>i)</w:t>
      </w:r>
      <w:r>
        <w:rPr>
          <w:szCs w:val="24"/>
          <w:lang w:eastAsia="en-US"/>
        </w:rPr>
        <w:tab/>
        <w:t>medzi minimálnym vekom pre skupinu A1 a minimálnym vekom pre skupinu A2 je dvojročný rozdiel;</w:t>
      </w:r>
    </w:p>
    <w:p w:rsidR="006C6719" w:rsidRDefault="00614864">
      <w:pPr>
        <w:spacing w:before="120" w:after="120" w:line="360" w:lineRule="auto"/>
        <w:ind w:left="1982" w:hanging="566"/>
        <w:rPr>
          <w:szCs w:val="24"/>
          <w:lang w:eastAsia="en-US"/>
        </w:rPr>
      </w:pPr>
      <w:r>
        <w:rPr>
          <w:szCs w:val="24"/>
          <w:lang w:eastAsia="en-US"/>
        </w:rPr>
        <w:t>ii)</w:t>
      </w:r>
      <w:r>
        <w:rPr>
          <w:szCs w:val="24"/>
          <w:lang w:eastAsia="en-US"/>
        </w:rPr>
        <w:tab/>
        <w:t>pred tým, ako možno poskytnúť prístup k vedeniu motocyklov skupin</w:t>
      </w:r>
      <w:r>
        <w:rPr>
          <w:szCs w:val="24"/>
          <w:lang w:eastAsia="en-US"/>
        </w:rPr>
        <w:t>y A2, sa vyžaduje minimálne dvojročná prax na motocykloch skupiny A, ako sa uvádza v odseku 1 písm. c) bode i);</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pre skupiny B a BE znížiť na 17 rokov.</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môžu znížiť minimálny vek pre skupinu C na 18 rokov a pre skupinu D na 21 rokov, po</w:t>
      </w:r>
      <w:r>
        <w:rPr>
          <w:szCs w:val="24"/>
          <w:lang w:eastAsia="en-US"/>
        </w:rPr>
        <w:t>kiaľ ide o:</w:t>
      </w:r>
    </w:p>
    <w:p w:rsidR="006C6719" w:rsidRDefault="00614864">
      <w:pPr>
        <w:spacing w:before="120" w:after="120" w:line="360" w:lineRule="auto"/>
        <w:ind w:left="1416" w:hanging="566"/>
        <w:rPr>
          <w:b/>
          <w:szCs w:val="24"/>
          <w:lang w:eastAsia="en-US"/>
        </w:rPr>
      </w:pPr>
      <w:r>
        <w:rPr>
          <w:szCs w:val="24"/>
          <w:lang w:eastAsia="en-US"/>
        </w:rPr>
        <w:t>a)</w:t>
      </w:r>
      <w:r>
        <w:rPr>
          <w:szCs w:val="24"/>
          <w:lang w:eastAsia="en-US"/>
        </w:rPr>
        <w:tab/>
        <w:t>vozidlá používané hasičmi</w:t>
      </w:r>
      <w:r>
        <w:rPr>
          <w:b/>
          <w:i/>
          <w:szCs w:val="24"/>
          <w:lang w:eastAsia="en-US"/>
        </w:rPr>
        <w:t>, civilnou ochranou</w:t>
      </w:r>
      <w:r>
        <w:rPr>
          <w:szCs w:val="24"/>
          <w:lang w:eastAsia="en-US"/>
        </w:rPr>
        <w:t xml:space="preserve"> a vozidlá používané na udržanie verejného poriadku;</w:t>
      </w:r>
      <w:r>
        <w:rPr>
          <w:b/>
          <w:szCs w:val="24"/>
          <w:lang w:eastAsia="en-US"/>
        </w:rPr>
        <w:t xml:space="preserve"> [PN 74]</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vozidlá, ktoré sa podrobujú cestným skúškam z dôvodu opravy alebo údržby.</w:t>
      </w:r>
    </w:p>
    <w:p w:rsidR="006C6719" w:rsidRDefault="00614864">
      <w:pPr>
        <w:spacing w:before="120" w:after="120" w:line="360" w:lineRule="auto"/>
        <w:ind w:left="850"/>
        <w:rPr>
          <w:b/>
          <w:szCs w:val="24"/>
          <w:lang w:eastAsia="en-US"/>
        </w:rPr>
      </w:pPr>
      <w:r>
        <w:rPr>
          <w:b/>
          <w:i/>
          <w:szCs w:val="24"/>
          <w:lang w:eastAsia="en-US"/>
        </w:rPr>
        <w:t xml:space="preserve">Členské štáty môžu vzájomne uznávať na svojom území </w:t>
      </w:r>
      <w:r>
        <w:rPr>
          <w:b/>
          <w:i/>
          <w:szCs w:val="24"/>
          <w:lang w:eastAsia="en-US"/>
        </w:rPr>
        <w:t>platnosť vodičských preukazov vydaných vodičom, ktorí nedosiahli minimálnu vekovú hranicu stanovenú v tomto odseku.</w:t>
      </w:r>
      <w:r>
        <w:rPr>
          <w:b/>
          <w:szCs w:val="24"/>
          <w:lang w:eastAsia="en-US"/>
        </w:rPr>
        <w:t xml:space="preserve"> [PN 75]</w:t>
      </w:r>
    </w:p>
    <w:p w:rsidR="006C6719" w:rsidRDefault="00614864">
      <w:pPr>
        <w:spacing w:before="120" w:after="120" w:line="360" w:lineRule="auto"/>
        <w:ind w:left="850" w:hanging="850"/>
        <w:rPr>
          <w:b/>
          <w:szCs w:val="24"/>
          <w:lang w:eastAsia="en-US"/>
        </w:rPr>
      </w:pPr>
      <w:r>
        <w:rPr>
          <w:szCs w:val="24"/>
          <w:lang w:eastAsia="en-US"/>
        </w:rPr>
        <w:t>4.</w:t>
      </w:r>
      <w:r>
        <w:rPr>
          <w:szCs w:val="24"/>
          <w:lang w:eastAsia="en-US"/>
        </w:rPr>
        <w:tab/>
        <w:t xml:space="preserve">Vodičské preukazy vydané v súlade s </w:t>
      </w:r>
      <w:r>
        <w:rPr>
          <w:strike/>
          <w:szCs w:val="24"/>
          <w:lang w:eastAsia="en-US"/>
        </w:rPr>
        <w:t>odsekmi 2 a 3</w:t>
      </w:r>
      <w:r>
        <w:rPr>
          <w:b/>
          <w:i/>
          <w:szCs w:val="24"/>
          <w:lang w:eastAsia="en-US"/>
        </w:rPr>
        <w:t>odsekom 2</w:t>
      </w:r>
      <w:r>
        <w:rPr>
          <w:szCs w:val="24"/>
          <w:lang w:eastAsia="en-US"/>
        </w:rPr>
        <w:t xml:space="preserve"> platia na území vydávajúceho členského štátu len dovtedy, kým držiteľ </w:t>
      </w:r>
      <w:r>
        <w:rPr>
          <w:szCs w:val="24"/>
          <w:lang w:eastAsia="en-US"/>
        </w:rPr>
        <w:t>preukazu nedosiahne minimálnu vekovú hranicu stanovenú v odseku 1.</w:t>
      </w:r>
      <w:r>
        <w:rPr>
          <w:b/>
          <w:szCs w:val="24"/>
          <w:lang w:eastAsia="en-US"/>
        </w:rPr>
        <w:t xml:space="preserve"> [PN 76]</w:t>
      </w:r>
    </w:p>
    <w:p w:rsidR="006C6719" w:rsidRDefault="00614864">
      <w:pPr>
        <w:spacing w:before="120" w:after="120" w:line="360" w:lineRule="auto"/>
        <w:ind w:left="850"/>
        <w:rPr>
          <w:szCs w:val="24"/>
          <w:lang w:eastAsia="en-US"/>
        </w:rPr>
      </w:pPr>
      <w:r>
        <w:rPr>
          <w:szCs w:val="24"/>
          <w:lang w:eastAsia="en-US"/>
        </w:rPr>
        <w:t>Členské štáty môžu uznávať na svojom území platnosť vodičských preukazov vydaných pre vodičov, ktorí nedosiahli minimálnu vekovú hranicu stanovenú v odseku 1.</w:t>
      </w:r>
    </w:p>
    <w:p w:rsidR="006C6719" w:rsidRDefault="00614864">
      <w:pPr>
        <w:widowControl/>
        <w:rPr>
          <w:strike/>
          <w:szCs w:val="24"/>
          <w:lang w:eastAsia="en-US"/>
        </w:rPr>
      </w:pPr>
      <w:r>
        <w:rPr>
          <w:strike/>
          <w:szCs w:val="24"/>
          <w:lang w:eastAsia="en-US"/>
        </w:rPr>
        <w:br w:type="page"/>
      </w:r>
    </w:p>
    <w:p w:rsidR="006C6719" w:rsidRDefault="00614864">
      <w:pPr>
        <w:spacing w:before="120" w:after="120" w:line="360" w:lineRule="auto"/>
        <w:ind w:left="850" w:hanging="850"/>
        <w:rPr>
          <w:szCs w:val="24"/>
          <w:lang w:eastAsia="en-US"/>
        </w:rPr>
      </w:pPr>
      <w:r>
        <w:rPr>
          <w:strike/>
          <w:szCs w:val="24"/>
          <w:lang w:eastAsia="en-US"/>
        </w:rPr>
        <w:lastRenderedPageBreak/>
        <w:t>5.</w:t>
      </w:r>
      <w:r>
        <w:rPr>
          <w:szCs w:val="24"/>
          <w:lang w:eastAsia="en-US"/>
        </w:rPr>
        <w:tab/>
      </w:r>
      <w:r>
        <w:rPr>
          <w:strike/>
          <w:szCs w:val="24"/>
          <w:lang w:eastAsia="en-US"/>
        </w:rPr>
        <w:t xml:space="preserve">Odchylne od </w:t>
      </w:r>
      <w:r>
        <w:rPr>
          <w:strike/>
          <w:szCs w:val="24"/>
          <w:lang w:eastAsia="en-US"/>
        </w:rPr>
        <w:t>odseku 1 písm. d) a e) tohto článku, ak je uchádzač držiteľom osvedčenia o odbornej spôsobilosti podľa článku 6 smernice (EÚ) 2022/2561, minimálny vek na vydanie vodičského preukazu je:</w:t>
      </w:r>
    </w:p>
    <w:p w:rsidR="006C6719" w:rsidRDefault="00614864">
      <w:pPr>
        <w:spacing w:before="120" w:after="120" w:line="360" w:lineRule="auto"/>
        <w:ind w:left="1416" w:hanging="566"/>
        <w:rPr>
          <w:szCs w:val="24"/>
          <w:lang w:eastAsia="en-US"/>
        </w:rPr>
      </w:pPr>
      <w:r>
        <w:rPr>
          <w:strike/>
          <w:szCs w:val="24"/>
          <w:lang w:eastAsia="en-US"/>
        </w:rPr>
        <w:t>a)</w:t>
      </w:r>
      <w:r>
        <w:rPr>
          <w:szCs w:val="24"/>
          <w:lang w:eastAsia="en-US"/>
        </w:rPr>
        <w:tab/>
      </w:r>
      <w:r>
        <w:rPr>
          <w:strike/>
          <w:szCs w:val="24"/>
          <w:lang w:eastAsia="en-US"/>
        </w:rPr>
        <w:t xml:space="preserve">pre skupiny C a CE minimálny vek stanovený v článku 5 ods. 2 písm. </w:t>
      </w:r>
      <w:r>
        <w:rPr>
          <w:strike/>
          <w:szCs w:val="24"/>
          <w:lang w:eastAsia="en-US"/>
        </w:rPr>
        <w:t>a) bode i) smernice (EÚ) 2022/2561;</w:t>
      </w:r>
    </w:p>
    <w:p w:rsidR="006C6719" w:rsidRDefault="00614864">
      <w:pPr>
        <w:spacing w:before="120" w:after="120" w:line="360" w:lineRule="auto"/>
        <w:ind w:left="1416" w:hanging="566"/>
        <w:rPr>
          <w:szCs w:val="24"/>
          <w:lang w:eastAsia="en-US"/>
        </w:rPr>
      </w:pPr>
      <w:r>
        <w:rPr>
          <w:strike/>
          <w:szCs w:val="24"/>
          <w:lang w:eastAsia="en-US"/>
        </w:rPr>
        <w:t>b)</w:t>
      </w:r>
      <w:r>
        <w:rPr>
          <w:szCs w:val="24"/>
          <w:lang w:eastAsia="en-US"/>
        </w:rPr>
        <w:tab/>
      </w:r>
      <w:r>
        <w:rPr>
          <w:strike/>
          <w:szCs w:val="24"/>
          <w:lang w:eastAsia="en-US"/>
        </w:rPr>
        <w:t xml:space="preserve">pre skupiny D1 a D1E minimálny vek stanovený v článku 5 ods. 3 písm. a) bode i) druhom </w:t>
      </w:r>
      <w:proofErr w:type="spellStart"/>
      <w:r>
        <w:rPr>
          <w:strike/>
          <w:szCs w:val="24"/>
          <w:lang w:eastAsia="en-US"/>
        </w:rPr>
        <w:t>pododseku</w:t>
      </w:r>
      <w:proofErr w:type="spellEnd"/>
      <w:r>
        <w:rPr>
          <w:strike/>
          <w:szCs w:val="24"/>
          <w:lang w:eastAsia="en-US"/>
        </w:rPr>
        <w:t xml:space="preserve"> uvedenej smernice;</w:t>
      </w:r>
    </w:p>
    <w:p w:rsidR="006C6719" w:rsidRDefault="00614864">
      <w:pPr>
        <w:spacing w:before="120" w:after="120" w:line="360" w:lineRule="auto"/>
        <w:ind w:left="1416" w:hanging="566"/>
        <w:rPr>
          <w:b/>
          <w:szCs w:val="24"/>
          <w:lang w:eastAsia="en-US"/>
        </w:rPr>
      </w:pPr>
      <w:r>
        <w:rPr>
          <w:strike/>
          <w:szCs w:val="24"/>
          <w:lang w:eastAsia="en-US"/>
        </w:rPr>
        <w:t>c)</w:t>
      </w:r>
      <w:r>
        <w:rPr>
          <w:szCs w:val="24"/>
          <w:lang w:eastAsia="en-US"/>
        </w:rPr>
        <w:tab/>
      </w:r>
      <w:r>
        <w:rPr>
          <w:strike/>
          <w:szCs w:val="24"/>
          <w:lang w:eastAsia="en-US"/>
        </w:rPr>
        <w:t xml:space="preserve">pre skupiny D a DE minimálny vek stanovený v článku 5 ods. 3 písm. a) bode i) prvom </w:t>
      </w:r>
      <w:proofErr w:type="spellStart"/>
      <w:r>
        <w:rPr>
          <w:strike/>
          <w:szCs w:val="24"/>
          <w:lang w:eastAsia="en-US"/>
        </w:rPr>
        <w:t>pododseku</w:t>
      </w:r>
      <w:proofErr w:type="spellEnd"/>
      <w:r>
        <w:rPr>
          <w:strike/>
          <w:szCs w:val="24"/>
          <w:lang w:eastAsia="en-US"/>
        </w:rPr>
        <w:t>, člá</w:t>
      </w:r>
      <w:r>
        <w:rPr>
          <w:strike/>
          <w:szCs w:val="24"/>
          <w:lang w:eastAsia="en-US"/>
        </w:rPr>
        <w:t xml:space="preserve">nku 5 ods. 3 písm. a) bode ii) prvom </w:t>
      </w:r>
      <w:proofErr w:type="spellStart"/>
      <w:r>
        <w:rPr>
          <w:strike/>
          <w:szCs w:val="24"/>
          <w:lang w:eastAsia="en-US"/>
        </w:rPr>
        <w:t>pododseku</w:t>
      </w:r>
      <w:proofErr w:type="spellEnd"/>
      <w:r>
        <w:rPr>
          <w:strike/>
          <w:szCs w:val="24"/>
          <w:lang w:eastAsia="en-US"/>
        </w:rPr>
        <w:t xml:space="preserve"> a článku 5 ods. 3 písm. b) uvedenej smernice.</w:t>
      </w:r>
      <w:r>
        <w:rPr>
          <w:b/>
          <w:szCs w:val="24"/>
          <w:lang w:eastAsia="en-US"/>
        </w:rPr>
        <w:t xml:space="preserve"> [PN 77]</w:t>
      </w:r>
    </w:p>
    <w:p w:rsidR="006C6719" w:rsidRDefault="00614864">
      <w:pPr>
        <w:widowControl/>
        <w:rPr>
          <w:strike/>
          <w:szCs w:val="24"/>
          <w:lang w:eastAsia="en-US"/>
        </w:rPr>
      </w:pPr>
      <w:r>
        <w:rPr>
          <w:strike/>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 xml:space="preserve">Ak v súlade s článkom 5 ods. 3 písm. a) bodom i) druhým </w:t>
      </w:r>
      <w:proofErr w:type="spellStart"/>
      <w:r>
        <w:rPr>
          <w:szCs w:val="24"/>
          <w:lang w:eastAsia="en-US"/>
        </w:rPr>
        <w:t>pododsekom</w:t>
      </w:r>
      <w:proofErr w:type="spellEnd"/>
      <w:r>
        <w:rPr>
          <w:szCs w:val="24"/>
          <w:lang w:eastAsia="en-US"/>
        </w:rPr>
        <w:t xml:space="preserve"> alebo článkom 5 ods. 3 písm. a) bodom ii) druhým </w:t>
      </w:r>
      <w:proofErr w:type="spellStart"/>
      <w:r>
        <w:rPr>
          <w:szCs w:val="24"/>
          <w:lang w:eastAsia="en-US"/>
        </w:rPr>
        <w:t>pododsekom</w:t>
      </w:r>
      <w:proofErr w:type="spellEnd"/>
      <w:r>
        <w:rPr>
          <w:szCs w:val="24"/>
          <w:lang w:eastAsia="en-US"/>
        </w:rPr>
        <w:t xml:space="preserve"> smernice (EÚ) 2022/2561 čl</w:t>
      </w:r>
      <w:r>
        <w:rPr>
          <w:szCs w:val="24"/>
          <w:lang w:eastAsia="en-US"/>
        </w:rPr>
        <w:t xml:space="preserve">enský štát povolí vedenie vozidla na svojom území od nižšieho veku, platnosť vodičského preukazu je obmedzená na územie vydávajúceho členského štátu dovtedy, kým držiteľ preukazu nedosiahne príslušný minimálny vek uvedený v prvom </w:t>
      </w:r>
      <w:proofErr w:type="spellStart"/>
      <w:r>
        <w:rPr>
          <w:szCs w:val="24"/>
          <w:lang w:eastAsia="en-US"/>
        </w:rPr>
        <w:t>pododseku</w:t>
      </w:r>
      <w:proofErr w:type="spellEnd"/>
      <w:r>
        <w:rPr>
          <w:szCs w:val="24"/>
          <w:lang w:eastAsia="en-US"/>
        </w:rPr>
        <w:t xml:space="preserve"> tohto odseku a n</w:t>
      </w:r>
      <w:r>
        <w:rPr>
          <w:szCs w:val="24"/>
          <w:lang w:eastAsia="en-US"/>
        </w:rPr>
        <w:t>ebude držiteľom osvedčenia o odbornej spôsobilosti.</w:t>
      </w:r>
    </w:p>
    <w:p w:rsidR="006C6719" w:rsidRDefault="00614864">
      <w:pPr>
        <w:spacing w:before="120" w:after="120" w:line="360" w:lineRule="auto"/>
        <w:jc w:val="center"/>
        <w:rPr>
          <w:szCs w:val="24"/>
          <w:lang w:eastAsia="en-US"/>
        </w:rPr>
      </w:pPr>
      <w:r>
        <w:rPr>
          <w:szCs w:val="24"/>
          <w:lang w:eastAsia="en-US"/>
        </w:rPr>
        <w:t>Článok 8</w:t>
      </w:r>
      <w:r>
        <w:rPr>
          <w:szCs w:val="24"/>
          <w:lang w:eastAsia="en-US"/>
        </w:rPr>
        <w:br/>
        <w:t xml:space="preserve">Podmienky a obmedzenia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Členské štáty označia vodičské preukazy vydané osobe, na ktorú sa vzťahuje jedna alebo viacero podmienok, za ktorých je oprávnená viesť vozidlo. Na tento účel členské š</w:t>
      </w:r>
      <w:r>
        <w:rPr>
          <w:szCs w:val="24"/>
          <w:lang w:eastAsia="en-US"/>
        </w:rPr>
        <w:t>táty použijú zodpovedajúce kódy Únie uvedené v časti E prílohy I. Pre podmienky, na ktoré sa nevzťahuje časť E prílohy I, môžu použiť aj národné kódy</w:t>
      </w:r>
      <w:r>
        <w:rPr>
          <w:b/>
          <w:i/>
          <w:szCs w:val="24"/>
          <w:lang w:eastAsia="en-US"/>
        </w:rPr>
        <w:t>, pričom v takom prípade túto skutočnosť bezodkladne nahlásia Komisii spolu s podrobnými informáciami o kód</w:t>
      </w:r>
      <w:r>
        <w:rPr>
          <w:b/>
          <w:i/>
          <w:szCs w:val="24"/>
          <w:lang w:eastAsia="en-US"/>
        </w:rPr>
        <w:t>och a o prípadoch, v ktorých sa používajú, pri nadobudnutí účinnosti tejto smernice a pri [následných] nových doplneniach alebo úpravách existujúcich kódov.</w:t>
      </w:r>
      <w:r>
        <w:rPr>
          <w:b/>
          <w:szCs w:val="24"/>
          <w:lang w:eastAsia="en-US"/>
        </w:rPr>
        <w:t xml:space="preserve"> [PN 78]</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Ak je vodič v dôsledku fyzickej nespôsobilosti oprávnený viesť len určité typy vozidiel a</w:t>
      </w:r>
      <w:r>
        <w:rPr>
          <w:szCs w:val="24"/>
          <w:lang w:eastAsia="en-US"/>
        </w:rPr>
        <w:t>lebo vozidlá upravené s cieľom kompenzovať takéto nespôsobilosti, skúška zručností a správania uvedená v článku 10 ods. 1 sa vykoná v takomto vozidle.</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Komisia je v súlade s článkom 21 splnomocnená prijímať delegované akty, ktorými sa na účely zohľadneni</w:t>
      </w:r>
      <w:r>
        <w:rPr>
          <w:szCs w:val="24"/>
          <w:lang w:eastAsia="en-US"/>
        </w:rPr>
        <w:t>a technického, prevádzkového alebo vedeckého vývoja mení časť E prílohy I.</w:t>
      </w:r>
    </w:p>
    <w:p w:rsidR="006C6719" w:rsidRDefault="00614864">
      <w:pPr>
        <w:spacing w:before="120" w:after="120" w:line="360" w:lineRule="auto"/>
        <w:jc w:val="center"/>
        <w:rPr>
          <w:szCs w:val="24"/>
          <w:lang w:eastAsia="en-US"/>
        </w:rPr>
      </w:pPr>
      <w:r>
        <w:rPr>
          <w:szCs w:val="24"/>
          <w:lang w:eastAsia="en-US"/>
        </w:rPr>
        <w:t>Článok 9</w:t>
      </w:r>
      <w:r>
        <w:rPr>
          <w:szCs w:val="24"/>
          <w:lang w:eastAsia="en-US"/>
        </w:rPr>
        <w:br/>
        <w:t xml:space="preserve">Odstupňovanie a rovnocennosť skupín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Vodičské preukazy pre skupiny BE, C1, C1E, C, CE, D1, D1E, D a DE sa vydajú len vodičom už oprávneným na vedenie vozidiel skupiny B.</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Platnosť vodičských preukazov sa stanovuje takto:</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vodičské preukazy vydané pre skupiny C1E, CE, D1E alebo DE sú platné pre jazdné súpravy skupiny BE;</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vodičské preukazy vydané pre skupinu CE sú platné pre skupinu DE, pokiaľ sú ich držitelia oprávn</w:t>
      </w:r>
      <w:r>
        <w:rPr>
          <w:szCs w:val="24"/>
          <w:lang w:eastAsia="en-US"/>
        </w:rPr>
        <w:t>ení viesť vozidlá skupiny D;</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c)</w:t>
      </w:r>
      <w:r>
        <w:rPr>
          <w:szCs w:val="24"/>
          <w:lang w:eastAsia="en-US"/>
        </w:rPr>
        <w:tab/>
        <w:t>vodičské preukazy vydané pre skupinu C1E alebo CE sú platné pre skupinu D1E, pokiaľ sú ich držitelia oprávnení viesť vozidlá skupiny D1;</w:t>
      </w:r>
    </w:p>
    <w:p w:rsidR="006C6719" w:rsidRDefault="00614864">
      <w:pPr>
        <w:spacing w:before="120" w:after="120" w:line="360" w:lineRule="auto"/>
        <w:ind w:left="1416" w:hanging="566"/>
        <w:rPr>
          <w:b/>
          <w:szCs w:val="24"/>
          <w:lang w:eastAsia="en-US"/>
        </w:rPr>
      </w:pPr>
      <w:proofErr w:type="spellStart"/>
      <w:r>
        <w:rPr>
          <w:b/>
          <w:i/>
          <w:szCs w:val="24"/>
          <w:lang w:eastAsia="en-US"/>
        </w:rPr>
        <w:t>ca</w:t>
      </w:r>
      <w:proofErr w:type="spellEnd"/>
      <w:r>
        <w:rPr>
          <w:b/>
          <w:i/>
          <w:szCs w:val="24"/>
          <w:lang w:eastAsia="en-US"/>
        </w:rPr>
        <w:t>)</w:t>
      </w:r>
      <w:r>
        <w:rPr>
          <w:szCs w:val="24"/>
          <w:lang w:eastAsia="en-US"/>
        </w:rPr>
        <w:tab/>
      </w:r>
      <w:r>
        <w:rPr>
          <w:b/>
          <w:i/>
          <w:szCs w:val="24"/>
          <w:lang w:eastAsia="en-US"/>
        </w:rPr>
        <w:t xml:space="preserve">vodičské preukazy vydané pre skupiny CE a DE sú platné pre skupiny C a D, v </w:t>
      </w:r>
      <w:r>
        <w:rPr>
          <w:b/>
          <w:i/>
          <w:szCs w:val="24"/>
          <w:lang w:eastAsia="en-US"/>
        </w:rPr>
        <w:t>príslušnom poradí;</w:t>
      </w:r>
      <w:r>
        <w:rPr>
          <w:b/>
          <w:szCs w:val="24"/>
          <w:lang w:eastAsia="en-US"/>
        </w:rPr>
        <w:t xml:space="preserve"> [PN 80]</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vodičské preukazy vydané pre skupiny CE a DE sú platné pre jazdné súpravy skupín C1E a D1E, v príslušnom poradí;</w:t>
      </w:r>
    </w:p>
    <w:p w:rsidR="006C6719" w:rsidRDefault="00614864">
      <w:pPr>
        <w:spacing w:before="120" w:after="120" w:line="360" w:lineRule="auto"/>
        <w:ind w:left="1416" w:hanging="566"/>
        <w:rPr>
          <w:b/>
          <w:szCs w:val="24"/>
          <w:lang w:eastAsia="en-US"/>
        </w:rPr>
      </w:pPr>
      <w:r>
        <w:rPr>
          <w:b/>
          <w:i/>
          <w:szCs w:val="24"/>
          <w:lang w:eastAsia="en-US"/>
        </w:rPr>
        <w:t>da)</w:t>
      </w:r>
      <w:r>
        <w:rPr>
          <w:szCs w:val="24"/>
          <w:lang w:eastAsia="en-US"/>
        </w:rPr>
        <w:tab/>
      </w:r>
      <w:r>
        <w:rPr>
          <w:b/>
          <w:i/>
          <w:szCs w:val="24"/>
          <w:lang w:eastAsia="en-US"/>
        </w:rPr>
        <w:t>vodičské preukazy vydané pre skupiny C1E a D1E sú platné pre skupiny C1 a D1, v príslušnom poradí;</w:t>
      </w:r>
      <w:r>
        <w:rPr>
          <w:b/>
          <w:szCs w:val="24"/>
          <w:lang w:eastAsia="en-US"/>
        </w:rPr>
        <w:t xml:space="preserve"> [PN 81]</w:t>
      </w:r>
    </w:p>
    <w:p w:rsidR="006C6719" w:rsidRDefault="00614864">
      <w:pPr>
        <w:spacing w:before="120" w:after="120" w:line="360" w:lineRule="auto"/>
        <w:ind w:left="1416" w:hanging="566"/>
        <w:rPr>
          <w:szCs w:val="24"/>
          <w:lang w:eastAsia="en-US"/>
        </w:rPr>
      </w:pPr>
      <w:r>
        <w:rPr>
          <w:szCs w:val="24"/>
          <w:lang w:eastAsia="en-US"/>
        </w:rPr>
        <w:t>e)</w:t>
      </w:r>
      <w:r>
        <w:rPr>
          <w:szCs w:val="24"/>
          <w:lang w:eastAsia="en-US"/>
        </w:rPr>
        <w:tab/>
        <w:t xml:space="preserve">vodičské preukazy vydané pre akúkoľvek skupinu sú platné pre vozidlá skupiny AM. Členský štát však môže pre vodičské preukazy vydané na jeho území obmedziť rovnocennosť skupiny AM na skupiny </w:t>
      </w:r>
      <w:proofErr w:type="spellStart"/>
      <w:r>
        <w:rPr>
          <w:szCs w:val="24"/>
          <w:lang w:eastAsia="en-US"/>
        </w:rPr>
        <w:t>A1</w:t>
      </w:r>
      <w:proofErr w:type="spellEnd"/>
      <w:r>
        <w:rPr>
          <w:szCs w:val="24"/>
          <w:lang w:eastAsia="en-US"/>
        </w:rPr>
        <w:t xml:space="preserve">, </w:t>
      </w:r>
      <w:proofErr w:type="spellStart"/>
      <w:r>
        <w:rPr>
          <w:szCs w:val="24"/>
          <w:lang w:eastAsia="en-US"/>
        </w:rPr>
        <w:t>A2</w:t>
      </w:r>
      <w:proofErr w:type="spellEnd"/>
      <w:r>
        <w:rPr>
          <w:szCs w:val="24"/>
          <w:lang w:eastAsia="en-US"/>
        </w:rPr>
        <w:t xml:space="preserve"> a </w:t>
      </w:r>
      <w:proofErr w:type="spellStart"/>
      <w:r>
        <w:rPr>
          <w:szCs w:val="24"/>
          <w:lang w:eastAsia="en-US"/>
        </w:rPr>
        <w:t>A</w:t>
      </w:r>
      <w:proofErr w:type="spellEnd"/>
      <w:r>
        <w:rPr>
          <w:szCs w:val="24"/>
          <w:lang w:eastAsia="en-US"/>
        </w:rPr>
        <w:t>, ak daný členský štát zaviedol praktickú skúšku ako p</w:t>
      </w:r>
      <w:r>
        <w:rPr>
          <w:szCs w:val="24"/>
          <w:lang w:eastAsia="en-US"/>
        </w:rPr>
        <w:t>odmienku získania vodičského preukazu skupiny AM;</w:t>
      </w:r>
    </w:p>
    <w:p w:rsidR="006C6719" w:rsidRDefault="00614864">
      <w:pPr>
        <w:spacing w:before="120" w:after="120" w:line="360" w:lineRule="auto"/>
        <w:ind w:left="1416" w:hanging="566"/>
        <w:rPr>
          <w:szCs w:val="24"/>
          <w:lang w:eastAsia="en-US"/>
        </w:rPr>
      </w:pPr>
      <w:r>
        <w:rPr>
          <w:szCs w:val="24"/>
          <w:lang w:eastAsia="en-US"/>
        </w:rPr>
        <w:t>f)</w:t>
      </w:r>
      <w:r>
        <w:rPr>
          <w:szCs w:val="24"/>
          <w:lang w:eastAsia="en-US"/>
        </w:rPr>
        <w:tab/>
        <w:t>vodičské preukazy vydané pre skupinu A2 sú platné aj pre skupinu A1;</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g)</w:t>
      </w:r>
      <w:r>
        <w:rPr>
          <w:szCs w:val="24"/>
          <w:lang w:eastAsia="en-US"/>
        </w:rPr>
        <w:tab/>
        <w:t>vodičské preukazy vydané pre skupiny A, B, C alebo D sú platné pre skupiny A1, A2, B1, C1 alebo D1, v príslušnom poradí;</w:t>
      </w:r>
    </w:p>
    <w:p w:rsidR="006C6719" w:rsidRDefault="00614864">
      <w:pPr>
        <w:spacing w:before="120" w:after="120" w:line="360" w:lineRule="auto"/>
        <w:ind w:left="1416" w:hanging="566"/>
        <w:rPr>
          <w:b/>
          <w:szCs w:val="24"/>
          <w:lang w:eastAsia="en-US"/>
        </w:rPr>
      </w:pPr>
      <w:r>
        <w:rPr>
          <w:szCs w:val="24"/>
          <w:lang w:eastAsia="en-US"/>
        </w:rPr>
        <w:t>h)</w:t>
      </w:r>
      <w:r>
        <w:rPr>
          <w:szCs w:val="24"/>
          <w:lang w:eastAsia="en-US"/>
        </w:rPr>
        <w:tab/>
        <w:t>dva r</w:t>
      </w:r>
      <w:r>
        <w:rPr>
          <w:szCs w:val="24"/>
          <w:lang w:eastAsia="en-US"/>
        </w:rPr>
        <w:t xml:space="preserve">oky po prvom vydaní vodičského preukazu udeleného pre skupinu B je tento preukaz platný na vedenie vozidiel s pohonom na alternatívne palivá uvedených v článku 2 </w:t>
      </w:r>
      <w:r>
        <w:rPr>
          <w:b/>
          <w:i/>
          <w:szCs w:val="24"/>
          <w:lang w:eastAsia="en-US"/>
        </w:rPr>
        <w:t xml:space="preserve">[11c] tejto </w:t>
      </w:r>
      <w:r>
        <w:rPr>
          <w:szCs w:val="24"/>
          <w:lang w:eastAsia="en-US"/>
        </w:rPr>
        <w:t xml:space="preserve">smernice </w:t>
      </w:r>
      <w:r>
        <w:rPr>
          <w:strike/>
          <w:szCs w:val="24"/>
          <w:lang w:eastAsia="en-US"/>
        </w:rPr>
        <w:t>Rady 96/53/ES</w:t>
      </w:r>
      <w:r>
        <w:rPr>
          <w:rStyle w:val="FootnoteReference"/>
          <w:strike/>
          <w:szCs w:val="24"/>
          <w:lang w:eastAsia="en-US"/>
        </w:rPr>
        <w:footnoteReference w:id="18"/>
      </w:r>
      <w:r>
        <w:rPr>
          <w:strike/>
          <w:szCs w:val="24"/>
          <w:lang w:eastAsia="en-US"/>
        </w:rPr>
        <w:t xml:space="preserve"> s maximálnou </w:t>
      </w:r>
      <w:proofErr w:type="spellStart"/>
      <w:r>
        <w:rPr>
          <w:strike/>
          <w:szCs w:val="24"/>
          <w:lang w:eastAsia="en-US"/>
        </w:rPr>
        <w:t>prípustnou</w:t>
      </w:r>
      <w:r>
        <w:rPr>
          <w:b/>
          <w:i/>
          <w:szCs w:val="24"/>
          <w:lang w:eastAsia="en-US"/>
        </w:rPr>
        <w:t>pre</w:t>
      </w:r>
      <w:proofErr w:type="spellEnd"/>
      <w:r>
        <w:rPr>
          <w:b/>
          <w:i/>
          <w:szCs w:val="24"/>
          <w:lang w:eastAsia="en-US"/>
        </w:rPr>
        <w:t xml:space="preserve"> kategórie M a N stanovené nariadením (EÚ) 2018/858</w:t>
      </w:r>
      <w:r>
        <w:rPr>
          <w:rStyle w:val="FootnoteReference"/>
          <w:b/>
          <w:i/>
          <w:szCs w:val="24"/>
          <w:lang w:eastAsia="en-US"/>
        </w:rPr>
        <w:footnoteReference w:id="19"/>
      </w:r>
      <w:r>
        <w:rPr>
          <w:b/>
          <w:i/>
          <w:szCs w:val="24"/>
          <w:lang w:eastAsia="en-US"/>
        </w:rPr>
        <w:t>, ktoré sú určené na používanie na verejných komunikáciách, vrátane vozidiel, ktoré sú navrhnuté a vyrobené v jednom alebo vo viacerých stupňoch, s najväčšou povolenou</w:t>
      </w:r>
      <w:r>
        <w:rPr>
          <w:szCs w:val="24"/>
          <w:lang w:eastAsia="en-US"/>
        </w:rPr>
        <w:t xml:space="preserve"> hmotnosťou nad 3 500 kg, ale nepresa</w:t>
      </w:r>
      <w:r>
        <w:rPr>
          <w:szCs w:val="24"/>
          <w:lang w:eastAsia="en-US"/>
        </w:rPr>
        <w:t>hujúcou 4 250 kg bez prípojného vozidla</w:t>
      </w:r>
      <w:r>
        <w:rPr>
          <w:b/>
          <w:i/>
          <w:szCs w:val="24"/>
          <w:lang w:eastAsia="en-US"/>
        </w:rPr>
        <w:t>, a na prepravu cestujúcich s maximálnou kapacitou ôsmich sedadiel okrem vodiča</w:t>
      </w:r>
      <w:r>
        <w:rPr>
          <w:szCs w:val="24"/>
          <w:lang w:eastAsia="en-US"/>
        </w:rPr>
        <w:t>.</w:t>
      </w:r>
      <w:r>
        <w:rPr>
          <w:b/>
          <w:i/>
          <w:szCs w:val="24"/>
          <w:lang w:eastAsia="en-US"/>
        </w:rPr>
        <w:t xml:space="preserve"> K týmto vozidlám môže byť pripojené prípojné vozidlo alebo náves, pričom najväčšia povolená hmotnosť tejto jazdnej súpravy nepresahuje 5</w:t>
      </w:r>
      <w:r>
        <w:rPr>
          <w:b/>
          <w:i/>
          <w:szCs w:val="24"/>
          <w:lang w:eastAsia="en-US"/>
        </w:rPr>
        <w:t xml:space="preserve"> 000 kg;</w:t>
      </w:r>
      <w:r>
        <w:rPr>
          <w:b/>
          <w:szCs w:val="24"/>
          <w:lang w:eastAsia="en-US"/>
        </w:rPr>
        <w:t xml:space="preserve"> [PN 82]</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szCs w:val="24"/>
          <w:lang w:eastAsia="en-US"/>
        </w:rPr>
      </w:pPr>
      <w:r>
        <w:rPr>
          <w:b/>
          <w:i/>
          <w:szCs w:val="24"/>
          <w:lang w:eastAsia="en-US"/>
        </w:rPr>
        <w:lastRenderedPageBreak/>
        <w:t>ha)</w:t>
      </w:r>
      <w:r>
        <w:rPr>
          <w:szCs w:val="24"/>
          <w:lang w:eastAsia="en-US"/>
        </w:rPr>
        <w:tab/>
      </w:r>
      <w:r>
        <w:rPr>
          <w:b/>
          <w:i/>
          <w:szCs w:val="24"/>
          <w:lang w:eastAsia="en-US"/>
        </w:rPr>
        <w:t xml:space="preserve">dva roky po prvom vydaní vodičského preukazu pre skupinu B je tento preukaz platný na vedenie sanitných vozidiel vymedzených v článku 2 [(11a)] a iných vozidiel na špeciálne použitie, ako aj obytných automobilov vymedzených v článku </w:t>
      </w:r>
      <w:r>
        <w:rPr>
          <w:b/>
          <w:i/>
          <w:szCs w:val="24"/>
          <w:lang w:eastAsia="en-US"/>
        </w:rPr>
        <w:t>2 [11b)] tejto smernice s hmotnosťou do 4 250 kg.</w:t>
      </w:r>
    </w:p>
    <w:p w:rsidR="006C6719" w:rsidRDefault="00614864">
      <w:pPr>
        <w:spacing w:before="120" w:after="120" w:line="360" w:lineRule="auto"/>
        <w:ind w:left="1416"/>
        <w:rPr>
          <w:szCs w:val="24"/>
          <w:lang w:eastAsia="en-US"/>
        </w:rPr>
      </w:pPr>
      <w:r>
        <w:rPr>
          <w:b/>
          <w:i/>
          <w:szCs w:val="24"/>
          <w:lang w:eastAsia="en-US"/>
        </w:rPr>
        <w:t>V pravidelných správach predkladaných Európskemu parlamentu a Rade uvedených v článku 20 tejto smernice Komisia preskúma vplyv technologického pokroku v oblasti núdzového zdravotníckeho vybavenia a/alebo po</w:t>
      </w:r>
      <w:r>
        <w:rPr>
          <w:b/>
          <w:i/>
          <w:szCs w:val="24"/>
          <w:lang w:eastAsia="en-US"/>
        </w:rPr>
        <w:t>užívania alternatívnych palív na celkovú hmotnosť sanitných vozidiel. Komisia je splnomocnená prijímať delegované akty v súlade s článkom 21 tejto smernice s cieľom zmeniť túto smernicu aktualizáciou maximálnej hmotnosti sanitných vozidiel na základe záver</w:t>
      </w:r>
      <w:r>
        <w:rPr>
          <w:b/>
          <w:i/>
          <w:szCs w:val="24"/>
          <w:lang w:eastAsia="en-US"/>
        </w:rPr>
        <w:t>ov z uvedených pravidelných správ.</w:t>
      </w:r>
    </w:p>
    <w:p w:rsidR="006C6719" w:rsidRDefault="00614864">
      <w:pPr>
        <w:spacing w:before="120" w:after="120" w:line="360" w:lineRule="auto"/>
        <w:ind w:left="1416"/>
        <w:rPr>
          <w:b/>
          <w:szCs w:val="24"/>
          <w:lang w:eastAsia="en-US"/>
        </w:rPr>
      </w:pPr>
      <w:r>
        <w:rPr>
          <w:b/>
          <w:i/>
          <w:szCs w:val="24"/>
          <w:lang w:eastAsia="en-US"/>
        </w:rPr>
        <w:t xml:space="preserve">Komisia je splnomocnená prijímať delegované akty v súlade s článkom 21 s cieľom zmeniť túto smernicu aktualizáciou maximálnej hmotnosti vozidiel uvedených v prvom </w:t>
      </w:r>
      <w:proofErr w:type="spellStart"/>
      <w:r>
        <w:rPr>
          <w:b/>
          <w:i/>
          <w:szCs w:val="24"/>
          <w:lang w:eastAsia="en-US"/>
        </w:rPr>
        <w:t>pododseku</w:t>
      </w:r>
      <w:proofErr w:type="spellEnd"/>
      <w:r>
        <w:rPr>
          <w:b/>
          <w:i/>
          <w:szCs w:val="24"/>
          <w:lang w:eastAsia="en-US"/>
        </w:rPr>
        <w:t xml:space="preserve"> tohto písmena s cieľom zohľadniť vplyv technické</w:t>
      </w:r>
      <w:r>
        <w:rPr>
          <w:b/>
          <w:i/>
          <w:szCs w:val="24"/>
          <w:lang w:eastAsia="en-US"/>
        </w:rPr>
        <w:t>ho pokroku a vývoja alternatívnych palív pre sanitné vozidlá;</w:t>
      </w:r>
      <w:r>
        <w:rPr>
          <w:b/>
          <w:szCs w:val="24"/>
          <w:lang w:eastAsia="en-US"/>
        </w:rPr>
        <w:t xml:space="preserve"> [PN 83]</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b/>
          <w:szCs w:val="24"/>
          <w:lang w:eastAsia="en-US"/>
        </w:rPr>
      </w:pPr>
      <w:proofErr w:type="spellStart"/>
      <w:r>
        <w:rPr>
          <w:b/>
          <w:i/>
          <w:szCs w:val="24"/>
          <w:lang w:eastAsia="en-US"/>
        </w:rPr>
        <w:lastRenderedPageBreak/>
        <w:t>hb</w:t>
      </w:r>
      <w:proofErr w:type="spellEnd"/>
      <w:r>
        <w:rPr>
          <w:b/>
          <w:i/>
          <w:szCs w:val="24"/>
          <w:lang w:eastAsia="en-US"/>
        </w:rPr>
        <w:t>)</w:t>
      </w:r>
      <w:r>
        <w:rPr>
          <w:szCs w:val="24"/>
          <w:lang w:eastAsia="en-US"/>
        </w:rPr>
        <w:tab/>
      </w:r>
      <w:r>
        <w:rPr>
          <w:b/>
          <w:i/>
          <w:szCs w:val="24"/>
          <w:lang w:eastAsia="en-US"/>
        </w:rPr>
        <w:t>dva roky po prvom vydaní vodičského preukazu pre skupinu BE tento preukaz oprávňuje na vedenie vozidiel s pohonom na alternatívne palivá vymedzených v článku 2 [11c] tejto smernice</w:t>
      </w:r>
      <w:r>
        <w:rPr>
          <w:b/>
          <w:i/>
          <w:szCs w:val="24"/>
          <w:lang w:eastAsia="en-US"/>
        </w:rPr>
        <w:t xml:space="preserve"> pre kategórie M a N stanovené nariadením (EÚ) 2018/858, ktoré sú určené na používanie na verejných komunikáciách, vrátane vozidiel, ktoré sú navrhnuté a vyrobené v jednom alebo vo viacerých stupňoch, s najväčšou povolenou hmotnosťou nad 3 500 kg, ale nepr</w:t>
      </w:r>
      <w:r>
        <w:rPr>
          <w:b/>
          <w:i/>
          <w:szCs w:val="24"/>
          <w:lang w:eastAsia="en-US"/>
        </w:rPr>
        <w:t>esahujúcou 4 250 kg bez prípojného vozidla. K týmto vozidlám môže byť pripojené prípojné vozidlo alebo náves, pričom najväčšia povolená hmotnosť prípojného vozidla alebo návesu nepresahuje 3 500 kg;</w:t>
      </w:r>
      <w:r>
        <w:rPr>
          <w:b/>
          <w:szCs w:val="24"/>
          <w:lang w:eastAsia="en-US"/>
        </w:rPr>
        <w:t xml:space="preserve"> [PN 84]</w:t>
      </w:r>
    </w:p>
    <w:p w:rsidR="006C6719" w:rsidRDefault="00614864">
      <w:pPr>
        <w:spacing w:before="120" w:after="120" w:line="360" w:lineRule="auto"/>
        <w:ind w:left="1416" w:hanging="566"/>
        <w:rPr>
          <w:b/>
          <w:szCs w:val="24"/>
          <w:lang w:eastAsia="en-US"/>
        </w:rPr>
      </w:pPr>
      <w:proofErr w:type="spellStart"/>
      <w:r>
        <w:rPr>
          <w:b/>
          <w:i/>
          <w:szCs w:val="24"/>
          <w:lang w:eastAsia="en-US"/>
        </w:rPr>
        <w:t>hc</w:t>
      </w:r>
      <w:proofErr w:type="spellEnd"/>
      <w:r>
        <w:rPr>
          <w:b/>
          <w:i/>
          <w:szCs w:val="24"/>
          <w:lang w:eastAsia="en-US"/>
        </w:rPr>
        <w:t>)</w:t>
      </w:r>
      <w:r>
        <w:rPr>
          <w:szCs w:val="24"/>
          <w:lang w:eastAsia="en-US"/>
        </w:rPr>
        <w:tab/>
      </w:r>
      <w:r>
        <w:rPr>
          <w:b/>
          <w:i/>
          <w:szCs w:val="24"/>
          <w:lang w:eastAsia="en-US"/>
        </w:rPr>
        <w:t xml:space="preserve">tri roky po prvom vydaní vodičského preukazu </w:t>
      </w:r>
      <w:r>
        <w:rPr>
          <w:b/>
          <w:i/>
          <w:szCs w:val="24"/>
          <w:lang w:eastAsia="en-US"/>
        </w:rPr>
        <w:t>pre skupinu C1 je tento preukaz platný na vedenie vozidiel s pohonom na alternatívne palivá vymedzených v článku 2 [(11c)] tejto smernice s maximálnou povolenou hmotnosťou nad 7 500 kg, ale nepresahujúcou 8 250 kg bez prípojného vozidla, ktoré sú navrhnuté</w:t>
      </w:r>
      <w:r>
        <w:rPr>
          <w:b/>
          <w:i/>
          <w:szCs w:val="24"/>
          <w:lang w:eastAsia="en-US"/>
        </w:rPr>
        <w:t xml:space="preserve"> a vyrobené na prepravu najviac ôsmich osôb okrem vodiča. K týmto vozidlám môže byť pripojené prípojné vozidlo, ktorého maximálna povolená hmotnosť nepresahuje 750 kg;</w:t>
      </w:r>
      <w:r>
        <w:rPr>
          <w:b/>
          <w:szCs w:val="24"/>
          <w:lang w:eastAsia="en-US"/>
        </w:rPr>
        <w:t xml:space="preserve"> [PN 85]</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b/>
          <w:szCs w:val="24"/>
          <w:lang w:eastAsia="en-US"/>
        </w:rPr>
      </w:pPr>
      <w:proofErr w:type="spellStart"/>
      <w:r>
        <w:rPr>
          <w:b/>
          <w:i/>
          <w:szCs w:val="24"/>
          <w:lang w:eastAsia="en-US"/>
        </w:rPr>
        <w:lastRenderedPageBreak/>
        <w:t>hd</w:t>
      </w:r>
      <w:proofErr w:type="spellEnd"/>
      <w:r>
        <w:rPr>
          <w:b/>
          <w:i/>
          <w:szCs w:val="24"/>
          <w:lang w:eastAsia="en-US"/>
        </w:rPr>
        <w:t>)</w:t>
      </w:r>
      <w:r>
        <w:rPr>
          <w:szCs w:val="24"/>
          <w:lang w:eastAsia="en-US"/>
        </w:rPr>
        <w:tab/>
      </w:r>
      <w:r>
        <w:rPr>
          <w:b/>
          <w:i/>
          <w:szCs w:val="24"/>
          <w:lang w:eastAsia="en-US"/>
        </w:rPr>
        <w:t>tri roky po prvom vydaní vodičského preukazu pre skupinu C1E je tento preu</w:t>
      </w:r>
      <w:r>
        <w:rPr>
          <w:b/>
          <w:i/>
          <w:szCs w:val="24"/>
          <w:lang w:eastAsia="en-US"/>
        </w:rPr>
        <w:t xml:space="preserve">kaz platný na vedenie vozidiel s pohonom na alternatívne palivá uvedených v článku 9 ods. 2 písm. </w:t>
      </w:r>
      <w:proofErr w:type="spellStart"/>
      <w:r>
        <w:rPr>
          <w:b/>
          <w:i/>
          <w:szCs w:val="24"/>
          <w:lang w:eastAsia="en-US"/>
        </w:rPr>
        <w:t>hc</w:t>
      </w:r>
      <w:proofErr w:type="spellEnd"/>
      <w:r>
        <w:rPr>
          <w:b/>
          <w:i/>
          <w:szCs w:val="24"/>
          <w:lang w:eastAsia="en-US"/>
        </w:rPr>
        <w:t>) a ich prípojných vozidiel alebo návesov s najväčšou povolenou hmotnosťou nad 750 kg za predpokladu, že povolená hmotnosť jazdnej súpravy nepresahuje 12 75</w:t>
      </w:r>
      <w:r>
        <w:rPr>
          <w:b/>
          <w:i/>
          <w:szCs w:val="24"/>
          <w:lang w:eastAsia="en-US"/>
        </w:rPr>
        <w:t>0 kg;</w:t>
      </w:r>
      <w:r>
        <w:rPr>
          <w:b/>
          <w:szCs w:val="24"/>
          <w:lang w:eastAsia="en-US"/>
        </w:rPr>
        <w:t xml:space="preserve"> [PN 86]</w:t>
      </w:r>
    </w:p>
    <w:p w:rsidR="006C6719" w:rsidRDefault="00614864">
      <w:pPr>
        <w:spacing w:before="120" w:after="120" w:line="360" w:lineRule="auto"/>
        <w:ind w:left="1416" w:hanging="566"/>
        <w:rPr>
          <w:b/>
          <w:szCs w:val="24"/>
          <w:lang w:eastAsia="en-US"/>
        </w:rPr>
      </w:pPr>
      <w:r>
        <w:rPr>
          <w:b/>
          <w:i/>
          <w:szCs w:val="24"/>
          <w:lang w:eastAsia="en-US"/>
        </w:rPr>
        <w:t>he)</w:t>
      </w:r>
      <w:r>
        <w:rPr>
          <w:szCs w:val="24"/>
          <w:lang w:eastAsia="en-US"/>
        </w:rPr>
        <w:tab/>
      </w:r>
      <w:r>
        <w:rPr>
          <w:b/>
          <w:i/>
          <w:szCs w:val="24"/>
          <w:lang w:eastAsia="en-US"/>
        </w:rPr>
        <w:t>tri roky po prvom vydaní vodičského preukazu udeleného pre skupinu D1 je tento preukaz platný na vedenie vozidiel navrhnutých a vyrobených na prepravu najviac 22 osôb okrem vodiča a s maximálnou dĺžkou nepresahujúcou 8 metrov.</w:t>
      </w:r>
      <w:r>
        <w:rPr>
          <w:b/>
          <w:szCs w:val="24"/>
          <w:lang w:eastAsia="en-US"/>
        </w:rPr>
        <w:t xml:space="preserve"> [PN 88]</w:t>
      </w:r>
    </w:p>
    <w:p w:rsidR="006C6719" w:rsidRDefault="00614864">
      <w:pPr>
        <w:spacing w:before="120" w:after="120" w:line="360" w:lineRule="auto"/>
        <w:ind w:left="850"/>
        <w:rPr>
          <w:b/>
          <w:szCs w:val="24"/>
          <w:lang w:eastAsia="en-US"/>
        </w:rPr>
      </w:pPr>
      <w:r>
        <w:rPr>
          <w:b/>
          <w:i/>
          <w:szCs w:val="24"/>
          <w:lang w:eastAsia="en-US"/>
        </w:rPr>
        <w:t>Kom</w:t>
      </w:r>
      <w:r>
        <w:rPr>
          <w:b/>
          <w:i/>
          <w:szCs w:val="24"/>
          <w:lang w:eastAsia="en-US"/>
        </w:rPr>
        <w:t xml:space="preserve">isia vo svojej druhej správe o vykonávaní pre Európsky parlament a Radu uvedenej v článku 20 tejto smernice posúdi vplyv vývoja a zavádzania vozidiel s pohonom na alternatívne palivá a/alebo uplatňovania [písmen h) až </w:t>
      </w:r>
      <w:proofErr w:type="spellStart"/>
      <w:r>
        <w:rPr>
          <w:b/>
          <w:i/>
          <w:szCs w:val="24"/>
          <w:lang w:eastAsia="en-US"/>
        </w:rPr>
        <w:t>hd</w:t>
      </w:r>
      <w:proofErr w:type="spellEnd"/>
      <w:r>
        <w:rPr>
          <w:b/>
          <w:i/>
          <w:szCs w:val="24"/>
          <w:lang w:eastAsia="en-US"/>
        </w:rPr>
        <w:t>) tohto článku] na bezpečnosť cestne</w:t>
      </w:r>
      <w:r>
        <w:rPr>
          <w:b/>
          <w:i/>
          <w:szCs w:val="24"/>
          <w:lang w:eastAsia="en-US"/>
        </w:rPr>
        <w:t>j premávky. Komisia je splnomocnená prijímať delegované akty v súlade s článkom 21 s cieľom zmeniť túto smernicu aktualizáciou limitných hmotností vozidiel s pohonom na alternatívne palivá.</w:t>
      </w:r>
      <w:r>
        <w:rPr>
          <w:b/>
          <w:szCs w:val="24"/>
          <w:lang w:eastAsia="en-US"/>
        </w:rPr>
        <w:t xml:space="preserve"> [PN 89]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Členské štáty môžu na vedenie vozidiel na svojom územ</w:t>
      </w:r>
      <w:r>
        <w:rPr>
          <w:szCs w:val="24"/>
          <w:lang w:eastAsia="en-US"/>
        </w:rPr>
        <w:t>í uznať túto rovnocennosť:</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motorové trojkolky na základe vodičského preukazu skupiny B pre motorové trojkolky s výkonom presahujúcim 15 kW za predpokladu, že držiteľ vodičského preukazu skupiny B má najmenej 21 rokov;</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 xml:space="preserve">motocykle skupiny A1 na základe </w:t>
      </w:r>
      <w:r>
        <w:rPr>
          <w:szCs w:val="24"/>
          <w:lang w:eastAsia="en-US"/>
        </w:rPr>
        <w:t>vodičského preukazu skupiny B.</w:t>
      </w:r>
    </w:p>
    <w:p w:rsidR="006C6719" w:rsidRDefault="00614864">
      <w:pPr>
        <w:spacing w:before="120" w:after="120" w:line="360" w:lineRule="auto"/>
        <w:ind w:left="850"/>
        <w:rPr>
          <w:szCs w:val="24"/>
          <w:lang w:eastAsia="en-US"/>
        </w:rPr>
      </w:pPr>
      <w:r>
        <w:rPr>
          <w:szCs w:val="24"/>
          <w:lang w:eastAsia="en-US"/>
        </w:rPr>
        <w:t xml:space="preserve">Rovnocennosť stanovenú v prvom </w:t>
      </w:r>
      <w:proofErr w:type="spellStart"/>
      <w:r>
        <w:rPr>
          <w:szCs w:val="24"/>
          <w:lang w:eastAsia="en-US"/>
        </w:rPr>
        <w:t>pododseku</w:t>
      </w:r>
      <w:proofErr w:type="spellEnd"/>
      <w:r>
        <w:rPr>
          <w:szCs w:val="24"/>
          <w:lang w:eastAsia="en-US"/>
        </w:rPr>
        <w:t xml:space="preserve"> vzájomne uznávajú členské štáty, ktoré ju uznali.</w:t>
      </w:r>
    </w:p>
    <w:p w:rsidR="006C6719" w:rsidRDefault="00614864">
      <w:pPr>
        <w:spacing w:before="120" w:after="120" w:line="360" w:lineRule="auto"/>
        <w:ind w:left="850"/>
        <w:rPr>
          <w:szCs w:val="24"/>
          <w:lang w:eastAsia="en-US"/>
        </w:rPr>
      </w:pPr>
      <w:r>
        <w:rPr>
          <w:szCs w:val="24"/>
          <w:lang w:eastAsia="en-US"/>
        </w:rPr>
        <w:t xml:space="preserve">Členské štáty vyznačia na vodičskom preukaze, že držiteľ je oprávnený viesť vozidlá uvedené v prvom </w:t>
      </w:r>
      <w:proofErr w:type="spellStart"/>
      <w:r>
        <w:rPr>
          <w:szCs w:val="24"/>
          <w:lang w:eastAsia="en-US"/>
        </w:rPr>
        <w:t>pododseku</w:t>
      </w:r>
      <w:proofErr w:type="spellEnd"/>
      <w:r>
        <w:rPr>
          <w:szCs w:val="24"/>
          <w:lang w:eastAsia="en-US"/>
        </w:rPr>
        <w:t>, len prostredníctvom prí</w:t>
      </w:r>
      <w:r>
        <w:rPr>
          <w:szCs w:val="24"/>
          <w:lang w:eastAsia="en-US"/>
        </w:rPr>
        <w:t>slušných kódov Únie uvedených v časti E prílohy I.</w:t>
      </w:r>
    </w:p>
    <w:p w:rsidR="006C6719" w:rsidRDefault="00614864">
      <w:pPr>
        <w:spacing w:before="120" w:after="120" w:line="360" w:lineRule="auto"/>
        <w:ind w:left="850"/>
        <w:rPr>
          <w:szCs w:val="24"/>
          <w:lang w:eastAsia="en-US"/>
        </w:rPr>
      </w:pPr>
      <w:r>
        <w:rPr>
          <w:szCs w:val="24"/>
          <w:lang w:eastAsia="en-US"/>
        </w:rPr>
        <w:t xml:space="preserve">Členské štáty bezodkladne informujú Komisiu o rovnocennosti uvedenej v prvom </w:t>
      </w:r>
      <w:proofErr w:type="spellStart"/>
      <w:r>
        <w:rPr>
          <w:szCs w:val="24"/>
          <w:lang w:eastAsia="en-US"/>
        </w:rPr>
        <w:t>pododseku</w:t>
      </w:r>
      <w:proofErr w:type="spellEnd"/>
      <w:r>
        <w:rPr>
          <w:szCs w:val="24"/>
          <w:lang w:eastAsia="en-US"/>
        </w:rPr>
        <w:t>, ktorá sa uznáva na ich území, vrátane národných kódov, ktoré sa mohli používať pred nadobudnutím účinnosti tejto smer</w:t>
      </w:r>
      <w:r>
        <w:rPr>
          <w:szCs w:val="24"/>
          <w:lang w:eastAsia="en-US"/>
        </w:rPr>
        <w:t>nice. Komisia sprístupní tieto informácie členským štátom na účely uľahčenia uplatňovania tohto odseku.</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4.</w:t>
      </w:r>
      <w:r>
        <w:rPr>
          <w:szCs w:val="24"/>
          <w:lang w:eastAsia="en-US"/>
        </w:rPr>
        <w:tab/>
        <w:t>Členské štáty môžu na svojom území povoliť vedenie týchto skupín vozidiel:</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 xml:space="preserve">vozidiel skupiny D1 s maximálnou prípustnou hmotnosťou 3 500 kg, bez </w:t>
      </w:r>
      <w:r>
        <w:rPr>
          <w:szCs w:val="24"/>
          <w:lang w:eastAsia="en-US"/>
        </w:rPr>
        <w:t>akéhokoľvek osobitného vybavenia určeného na prepravu osôb so zdravotným postihnutím, vodičmi staršími ako 21 rokov, ktorí sú držiteľmi vodičského preukazu udeleného pre skupinu B, a to najmenej dva roky od prvého vydania takéhoto vodičského preukazu, a za</w:t>
      </w:r>
      <w:r>
        <w:rPr>
          <w:szCs w:val="24"/>
          <w:lang w:eastAsia="en-US"/>
        </w:rPr>
        <w:t xml:space="preserve"> predpokladu, že vozidlá používajú nekomerčné subjekty na sociálne účely a že vodič poskytuje svoje služby na dobrovoľnom základe;</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vozidiel s maximálnou prípustnou hmotnosťou presahujúcou 3 500 kg vodičmi staršími ako 21 rokov, ktorí sú držiteľmi vodičs</w:t>
      </w:r>
      <w:r>
        <w:rPr>
          <w:szCs w:val="24"/>
          <w:lang w:eastAsia="en-US"/>
        </w:rPr>
        <w:t>kého preukazu udeleného pre skupinu B, a to najmenej dva roky od prvého vydania takéhoto vodičského preukazu, za predpokladu, že sú splnené všetky tieto podmienky:</w:t>
      </w:r>
    </w:p>
    <w:p w:rsidR="006C6719" w:rsidRDefault="00614864">
      <w:pPr>
        <w:spacing w:before="120" w:after="120" w:line="360" w:lineRule="auto"/>
        <w:ind w:left="1982" w:hanging="566"/>
        <w:rPr>
          <w:szCs w:val="24"/>
          <w:lang w:eastAsia="en-US"/>
        </w:rPr>
      </w:pPr>
      <w:r>
        <w:rPr>
          <w:szCs w:val="24"/>
          <w:lang w:eastAsia="en-US"/>
        </w:rPr>
        <w:t>i)</w:t>
      </w:r>
      <w:r>
        <w:rPr>
          <w:szCs w:val="24"/>
          <w:lang w:eastAsia="en-US"/>
        </w:rPr>
        <w:tab/>
        <w:t xml:space="preserve">tieto vozidlá sú určené na to, aby sa pri státí používali len ako inštruktážna alebo </w:t>
      </w:r>
      <w:r>
        <w:rPr>
          <w:szCs w:val="24"/>
          <w:lang w:eastAsia="en-US"/>
        </w:rPr>
        <w:t>rekreačná zóna;</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szCs w:val="24"/>
          <w:lang w:eastAsia="en-US"/>
        </w:rPr>
        <w:lastRenderedPageBreak/>
        <w:t>ii)</w:t>
      </w:r>
      <w:r>
        <w:rPr>
          <w:szCs w:val="24"/>
          <w:lang w:eastAsia="en-US"/>
        </w:rPr>
        <w:tab/>
        <w:t>že ich používajú nekomerčné subjekty na sociálne účely;</w:t>
      </w:r>
    </w:p>
    <w:p w:rsidR="006C6719" w:rsidRDefault="00614864">
      <w:pPr>
        <w:spacing w:before="120" w:after="120" w:line="360" w:lineRule="auto"/>
        <w:ind w:left="1982" w:hanging="566"/>
        <w:rPr>
          <w:szCs w:val="24"/>
          <w:lang w:eastAsia="en-US"/>
        </w:rPr>
      </w:pPr>
      <w:r>
        <w:rPr>
          <w:szCs w:val="24"/>
          <w:lang w:eastAsia="en-US"/>
        </w:rPr>
        <w:t>iii)</w:t>
      </w:r>
      <w:r>
        <w:rPr>
          <w:szCs w:val="24"/>
          <w:lang w:eastAsia="en-US"/>
        </w:rPr>
        <w:tab/>
        <w:t>boli upravené tak, že sa nemôžu používať ani na prepravu viac ako deviatich osôb, ani na prepravu akéhokoľvek iného tovaru, než je tovar nevyhnutne potrebný na ich účely;</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vozidiel skupiny B s maximálnou prípustnou hmotnosťou 2 500 kg a maximálnou rýchlosťou fyzicky obmedzenou na 45 km/h, vodičmi mladšími ako 21 rokov, ktorí sú držiteľmi vodičského preukazu udeleného pre skupinu B1.</w:t>
      </w:r>
    </w:p>
    <w:p w:rsidR="006C6719" w:rsidRDefault="00614864">
      <w:pPr>
        <w:spacing w:before="120" w:after="120" w:line="360" w:lineRule="auto"/>
        <w:ind w:left="850"/>
        <w:rPr>
          <w:szCs w:val="24"/>
          <w:lang w:eastAsia="en-US"/>
        </w:rPr>
      </w:pPr>
      <w:r>
        <w:rPr>
          <w:szCs w:val="24"/>
          <w:lang w:eastAsia="en-US"/>
        </w:rPr>
        <w:t>Členské štáty vyznačia na vodičskom preuk</w:t>
      </w:r>
      <w:r>
        <w:rPr>
          <w:szCs w:val="24"/>
          <w:lang w:eastAsia="en-US"/>
        </w:rPr>
        <w:t xml:space="preserve">aze, že jeho držiteľ je oprávnený viesť vozidlá uvedené v prvom </w:t>
      </w:r>
      <w:proofErr w:type="spellStart"/>
      <w:r>
        <w:rPr>
          <w:szCs w:val="24"/>
          <w:lang w:eastAsia="en-US"/>
        </w:rPr>
        <w:t>pododseku</w:t>
      </w:r>
      <w:proofErr w:type="spellEnd"/>
      <w:r>
        <w:rPr>
          <w:szCs w:val="24"/>
          <w:lang w:eastAsia="en-US"/>
        </w:rPr>
        <w:t xml:space="preserve"> písm. a) a b), len prostredníctvom národných kódov.</w:t>
      </w:r>
    </w:p>
    <w:p w:rsidR="006C6719" w:rsidRDefault="00614864">
      <w:pPr>
        <w:spacing w:before="120" w:after="120" w:line="360" w:lineRule="auto"/>
        <w:ind w:left="850"/>
        <w:rPr>
          <w:szCs w:val="24"/>
          <w:lang w:eastAsia="en-US"/>
        </w:rPr>
      </w:pPr>
      <w:r>
        <w:rPr>
          <w:szCs w:val="24"/>
          <w:lang w:eastAsia="en-US"/>
        </w:rPr>
        <w:t>Členské štáty informujú Komisiu o akýchkoľvek povoleniach udelených v súlade s týmto odsekom.</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4a.</w:t>
      </w:r>
      <w:r>
        <w:rPr>
          <w:szCs w:val="24"/>
          <w:lang w:eastAsia="en-US"/>
        </w:rPr>
        <w:tab/>
      </w:r>
      <w:r>
        <w:rPr>
          <w:b/>
          <w:i/>
          <w:szCs w:val="24"/>
          <w:lang w:eastAsia="en-US"/>
        </w:rPr>
        <w:t>Členské štáty sú oprávnené pov</w:t>
      </w:r>
      <w:r>
        <w:rPr>
          <w:b/>
          <w:i/>
          <w:szCs w:val="24"/>
          <w:lang w:eastAsia="en-US"/>
        </w:rPr>
        <w:t>oliť na svojom území vedenie vozidiel skupiny D alebo D1 držiteľom vodičského preukazu udeleného pre skupinu C za predpokladu, že sa vo vozidle neprepravujú žiadne iné osoby a vodič je osobou vykonávajúcou kontrolu technického stavu v súlade so smernicou 2</w:t>
      </w:r>
      <w:r>
        <w:rPr>
          <w:b/>
          <w:i/>
          <w:szCs w:val="24"/>
          <w:lang w:eastAsia="en-US"/>
        </w:rPr>
        <w:t>014/45/EÚ alebo mechanik opravovne automobilov vykonávajúci skúšobnú jazdu v okruhu 5 km od opravovne po oprave vozidla alebo na účely údržby alebo kontroly. Členské štáty informujú Komisiu o akýchkoľvek povoleniach udelených v súlade s týmto odsekom.</w:t>
      </w:r>
      <w:r>
        <w:rPr>
          <w:b/>
          <w:szCs w:val="24"/>
          <w:lang w:eastAsia="en-US"/>
        </w:rPr>
        <w:t xml:space="preserve"> [PN </w:t>
      </w:r>
      <w:r>
        <w:rPr>
          <w:b/>
          <w:szCs w:val="24"/>
          <w:lang w:eastAsia="en-US"/>
        </w:rPr>
        <w:t>91]</w:t>
      </w:r>
    </w:p>
    <w:p w:rsidR="006C6719" w:rsidRDefault="00614864">
      <w:pPr>
        <w:spacing w:before="120" w:after="120" w:line="360" w:lineRule="auto"/>
        <w:jc w:val="center"/>
        <w:rPr>
          <w:szCs w:val="24"/>
          <w:lang w:eastAsia="en-US"/>
        </w:rPr>
      </w:pPr>
      <w:r>
        <w:rPr>
          <w:szCs w:val="24"/>
          <w:lang w:eastAsia="en-US"/>
        </w:rPr>
        <w:t>Článok 10</w:t>
      </w:r>
      <w:r>
        <w:rPr>
          <w:szCs w:val="24"/>
          <w:lang w:eastAsia="en-US"/>
        </w:rPr>
        <w:br/>
        <w:t xml:space="preserve">Vydanie, platnosť a obnovenie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Vodičské preukazy sa vydávajú iba žiadateľom, ktorí spĺňajú tieto podmienky:</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zložili skúšku zručností a správania a teoretickú skúšku a spĺňajú minimálne normy telesnej a duševnej spôsobilosti na vedenie v</w:t>
      </w:r>
      <w:r>
        <w:rPr>
          <w:szCs w:val="24"/>
          <w:lang w:eastAsia="en-US"/>
        </w:rPr>
        <w:t>ozidla v súlade s ustanoveniami príloh II a III;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b)</w:t>
      </w:r>
      <w:r>
        <w:rPr>
          <w:szCs w:val="24"/>
          <w:lang w:eastAsia="en-US"/>
        </w:rPr>
        <w:tab/>
        <w:t>pokiaľ ide o skupinu AM, zložili iba teoretickú skúšku; členské štáty môžu požadovať, aby žiadatelia v prípade tejto skupiny zložili skúšku zručností a správania a aby absolvovali lekársku prehliadku.</w:t>
      </w:r>
    </w:p>
    <w:p w:rsidR="006C6719" w:rsidRDefault="00614864">
      <w:pPr>
        <w:spacing w:before="120" w:after="120" w:line="360" w:lineRule="auto"/>
        <w:ind w:left="1416"/>
        <w:rPr>
          <w:szCs w:val="24"/>
          <w:lang w:eastAsia="en-US"/>
        </w:rPr>
      </w:pPr>
      <w:r>
        <w:rPr>
          <w:szCs w:val="24"/>
          <w:lang w:eastAsia="en-US"/>
        </w:rPr>
        <w:t xml:space="preserve">Členské štáty môžu pre trojkolesové vozidlá a </w:t>
      </w:r>
      <w:proofErr w:type="spellStart"/>
      <w:r>
        <w:rPr>
          <w:szCs w:val="24"/>
          <w:lang w:eastAsia="en-US"/>
        </w:rPr>
        <w:t>štvorkolky</w:t>
      </w:r>
      <w:proofErr w:type="spellEnd"/>
      <w:r>
        <w:rPr>
          <w:szCs w:val="24"/>
          <w:lang w:eastAsia="en-US"/>
        </w:rPr>
        <w:t xml:space="preserve"> v rámci tejto skupiny uložiť rozlišovaciu skúšku zručností a správania. Na rozlišovanie vozidiel v skupine AM sa na vodičskom preukaze môže uviesť národný kód;</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pokiaľ ide o skupinu A2 alebo skupin</w:t>
      </w:r>
      <w:r>
        <w:rPr>
          <w:szCs w:val="24"/>
          <w:lang w:eastAsia="en-US"/>
        </w:rPr>
        <w:t xml:space="preserve">u A </w:t>
      </w:r>
      <w:proofErr w:type="spellStart"/>
      <w:r>
        <w:rPr>
          <w:szCs w:val="24"/>
          <w:lang w:eastAsia="en-US"/>
        </w:rPr>
        <w:t>a</w:t>
      </w:r>
      <w:proofErr w:type="spellEnd"/>
      <w:r>
        <w:rPr>
          <w:szCs w:val="24"/>
          <w:lang w:eastAsia="en-US"/>
        </w:rPr>
        <w:t xml:space="preserve"> za podmienky, že získali minimálne dvojročnú prax na motocykli v skupine A1 alebo v skupine A2, a to buď:</w:t>
      </w:r>
    </w:p>
    <w:p w:rsidR="006C6719" w:rsidRDefault="00614864">
      <w:pPr>
        <w:spacing w:before="120" w:after="120" w:line="360" w:lineRule="auto"/>
        <w:ind w:left="1982" w:hanging="566"/>
        <w:rPr>
          <w:szCs w:val="24"/>
          <w:lang w:eastAsia="en-US"/>
        </w:rPr>
      </w:pPr>
      <w:r>
        <w:rPr>
          <w:szCs w:val="24"/>
          <w:lang w:eastAsia="en-US"/>
        </w:rPr>
        <w:t>i)</w:t>
      </w:r>
      <w:r>
        <w:rPr>
          <w:szCs w:val="24"/>
          <w:lang w:eastAsia="en-US"/>
        </w:rPr>
        <w:tab/>
        <w:t>zložili skúšku zručností a správania, alebo</w:t>
      </w:r>
    </w:p>
    <w:p w:rsidR="006C6719" w:rsidRDefault="00614864">
      <w:pPr>
        <w:spacing w:before="120" w:after="120" w:line="360" w:lineRule="auto"/>
        <w:ind w:left="1982" w:hanging="566"/>
        <w:rPr>
          <w:szCs w:val="24"/>
          <w:lang w:eastAsia="en-US"/>
        </w:rPr>
      </w:pPr>
      <w:r>
        <w:rPr>
          <w:szCs w:val="24"/>
          <w:lang w:eastAsia="en-US"/>
        </w:rPr>
        <w:t>ii)</w:t>
      </w:r>
      <w:r>
        <w:rPr>
          <w:szCs w:val="24"/>
          <w:lang w:eastAsia="en-US"/>
        </w:rPr>
        <w:tab/>
        <w:t>absolvovali výcvik podľa prílohy VI;</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absolvovali výcvik alebo zložili skúšku zručností a s</w:t>
      </w:r>
      <w:r>
        <w:rPr>
          <w:szCs w:val="24"/>
          <w:lang w:eastAsia="en-US"/>
        </w:rPr>
        <w:t>právania, alebo absolvovali výcvik a zložili skúšku zručností a správania podľa prílohy V, pokiaľ ide o skupinu B na vedenie jazdnej súpravy uvedenej v článku 6 ods. 1 písm. c) bode ii) treťom odseku;</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e)</w:t>
      </w:r>
      <w:r>
        <w:rPr>
          <w:szCs w:val="24"/>
          <w:lang w:eastAsia="en-US"/>
        </w:rPr>
        <w:tab/>
        <w:t>majú obvyklé bydlisko na území členského štátu vyd</w:t>
      </w:r>
      <w:r>
        <w:rPr>
          <w:szCs w:val="24"/>
          <w:lang w:eastAsia="en-US"/>
        </w:rPr>
        <w:t>ávajúceho vodičský preukaz, alebo môžu predložiť dôkaz o tom, že tam študujú minimálne šesť mesiacov.</w:t>
      </w:r>
    </w:p>
    <w:p w:rsidR="006C6719" w:rsidRDefault="00614864">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Členské štáty prijmú potrebné ustanovenia s cieľom zabezpečiť, aby osoby so zdravotným postihnutím, ktorých skúška sa vykonáva vo vozidle prispôsobeno</w:t>
      </w:r>
      <w:r>
        <w:rPr>
          <w:b/>
          <w:i/>
          <w:szCs w:val="24"/>
          <w:lang w:eastAsia="en-US"/>
        </w:rPr>
        <w:t>m ich zdravotnému postihnutiu, boli oslobodené od vykonávania úloh nezlučiteľných s ich zdravotným postihnutím.</w:t>
      </w:r>
      <w:r>
        <w:rPr>
          <w:b/>
          <w:szCs w:val="24"/>
          <w:lang w:eastAsia="en-US"/>
        </w:rPr>
        <w:t xml:space="preserve"> [PN 94]</w:t>
      </w:r>
    </w:p>
    <w:p w:rsidR="006C6719" w:rsidRDefault="00614864">
      <w:pPr>
        <w:spacing w:before="120" w:after="120" w:line="360" w:lineRule="auto"/>
        <w:ind w:left="850" w:hanging="850"/>
        <w:rPr>
          <w:b/>
          <w:szCs w:val="24"/>
          <w:lang w:eastAsia="en-US"/>
        </w:rPr>
      </w:pPr>
      <w:r>
        <w:rPr>
          <w:szCs w:val="24"/>
          <w:lang w:eastAsia="en-US"/>
        </w:rPr>
        <w:t>2.</w:t>
      </w:r>
      <w:r>
        <w:rPr>
          <w:szCs w:val="24"/>
          <w:lang w:eastAsia="en-US"/>
        </w:rPr>
        <w:tab/>
      </w:r>
      <w:r>
        <w:rPr>
          <w:b/>
          <w:i/>
          <w:szCs w:val="24"/>
          <w:lang w:eastAsia="en-US"/>
        </w:rPr>
        <w:t xml:space="preserve">Minimálne </w:t>
      </w:r>
      <w:r>
        <w:rPr>
          <w:szCs w:val="24"/>
          <w:lang w:eastAsia="en-US"/>
        </w:rPr>
        <w:t>obdobie administratívnej platnosti vodičských preukazov vydaných členskými štátmi je:</w:t>
      </w:r>
      <w:r>
        <w:rPr>
          <w:b/>
          <w:szCs w:val="24"/>
          <w:lang w:eastAsia="en-US"/>
        </w:rPr>
        <w:t xml:space="preserve"> [PN 95]</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15 rokov pre skupiny AM, A</w:t>
      </w:r>
      <w:r>
        <w:rPr>
          <w:szCs w:val="24"/>
          <w:lang w:eastAsia="en-US"/>
        </w:rPr>
        <w:t>1, A2, A, B, B1 a BE;</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päť rokov pre skupiny C, CE, C1, C1E, D, DE, D1 a D1E.</w:t>
      </w:r>
    </w:p>
    <w:p w:rsidR="006C6719" w:rsidRDefault="00614864">
      <w:pPr>
        <w:spacing w:before="120" w:after="120" w:line="360" w:lineRule="auto"/>
        <w:ind w:left="850"/>
        <w:rPr>
          <w:szCs w:val="24"/>
          <w:lang w:eastAsia="en-US"/>
        </w:rPr>
      </w:pPr>
      <w:r>
        <w:rPr>
          <w:szCs w:val="24"/>
          <w:lang w:eastAsia="en-US"/>
        </w:rPr>
        <w:t>Obnovenie vodičského preukazu môže viesť k novému obdobiu administratívnej platnosti pre ďalšiu skupinu alebo skupiny vozidiel, ktoré je držiteľ vodičského preukazu oprávnený v</w:t>
      </w:r>
      <w:r>
        <w:rPr>
          <w:szCs w:val="24"/>
          <w:lang w:eastAsia="en-US"/>
        </w:rPr>
        <w:t>iesť, pokiaľ je to v súlade s podmienkami stanovenými v tejto smernici.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 xml:space="preserve">Prítomnosť mikročipu podľa článku 4 ods. 5 alebo kódu QR podľa článku 4 ods. 6 nie je podmienkou platnosti vodičského preukazu. Stratou alebo nečitateľnosťou mikročipu alebo kódu QR </w:t>
      </w:r>
      <w:r>
        <w:rPr>
          <w:szCs w:val="24"/>
          <w:lang w:eastAsia="en-US"/>
        </w:rPr>
        <w:t>alebo akýmkoľvek iným poškodením nie je dotknutá platnosť vodičského preukazu.</w:t>
      </w:r>
    </w:p>
    <w:p w:rsidR="006C6719" w:rsidRDefault="00614864">
      <w:pPr>
        <w:spacing w:before="120" w:after="120" w:line="360" w:lineRule="auto"/>
        <w:ind w:left="850"/>
        <w:rPr>
          <w:szCs w:val="24"/>
          <w:lang w:eastAsia="en-US"/>
        </w:rPr>
      </w:pPr>
      <w:r>
        <w:rPr>
          <w:szCs w:val="24"/>
          <w:lang w:eastAsia="en-US"/>
        </w:rPr>
        <w:t>Členské štáty môžu obmedziť obdobie administratívnej platnosti vodičských preukazov vydaných vodičom-začiatočníkom v zmysle článku 15 ods. 1 pre ktorúkoľvek skupinu s cieľom upl</w:t>
      </w:r>
      <w:r>
        <w:rPr>
          <w:szCs w:val="24"/>
          <w:lang w:eastAsia="en-US"/>
        </w:rPr>
        <w:t>atňovať osobitné opatrenia na takýchto vodičov na účely zlepšenia bezpečnosti cestnej premávky.</w:t>
      </w:r>
    </w:p>
    <w:p w:rsidR="006C6719" w:rsidRDefault="00614864">
      <w:pPr>
        <w:spacing w:before="120" w:after="120" w:line="360" w:lineRule="auto"/>
        <w:ind w:left="850"/>
        <w:rPr>
          <w:b/>
          <w:szCs w:val="24"/>
          <w:lang w:eastAsia="en-US"/>
        </w:rPr>
      </w:pPr>
      <w:r>
        <w:rPr>
          <w:szCs w:val="24"/>
          <w:lang w:eastAsia="en-US"/>
        </w:rPr>
        <w:t>Členské štáty môžu</w:t>
      </w:r>
      <w:r>
        <w:rPr>
          <w:b/>
          <w:i/>
          <w:szCs w:val="24"/>
          <w:lang w:eastAsia="en-US"/>
        </w:rPr>
        <w:t xml:space="preserve"> pri dodržiavaní zásady subsidiarity</w:t>
      </w:r>
      <w:r>
        <w:rPr>
          <w:szCs w:val="24"/>
          <w:lang w:eastAsia="en-US"/>
        </w:rPr>
        <w:t xml:space="preserve"> obmedziť obdobie administratívnej platnosti jednotlivých vodičských preukazov pre ktorúkoľvek skupinu</w:t>
      </w:r>
      <w:r>
        <w:rPr>
          <w:b/>
          <w:i/>
          <w:szCs w:val="24"/>
          <w:lang w:eastAsia="en-US"/>
        </w:rPr>
        <w:t>, pr</w:t>
      </w:r>
      <w:r>
        <w:rPr>
          <w:b/>
          <w:i/>
          <w:szCs w:val="24"/>
          <w:lang w:eastAsia="en-US"/>
        </w:rPr>
        <w:t>ičom zvážia stav zdravotnej spôsobilosti a schopnosť bezpečne viesť vozidlo v súlade s prílohou III</w:t>
      </w:r>
      <w:r>
        <w:rPr>
          <w:szCs w:val="24"/>
          <w:lang w:eastAsia="en-US"/>
        </w:rPr>
        <w:t>, ak sa zistí, že je nevyhnutné uplatňovať častejšie lekárske prehliadky alebo iné osobitné opatrenia vrátane obmedzení pre páchateľov dopravných priestupkov</w:t>
      </w:r>
      <w:r>
        <w:rPr>
          <w:b/>
          <w:i/>
          <w:szCs w:val="24"/>
          <w:lang w:eastAsia="en-US"/>
        </w:rPr>
        <w:t>, s cieľom ďalej zlepšovať opatrenia v oblasti bezpečnosti cestnej premávky</w:t>
      </w:r>
      <w:r>
        <w:rPr>
          <w:szCs w:val="24"/>
          <w:lang w:eastAsia="en-US"/>
        </w:rPr>
        <w:t>.</w:t>
      </w:r>
      <w:r>
        <w:rPr>
          <w:b/>
          <w:szCs w:val="24"/>
          <w:lang w:eastAsia="en-US"/>
        </w:rPr>
        <w:t xml:space="preserve"> [PN 253, 315 a 335]</w:t>
      </w:r>
    </w:p>
    <w:p w:rsidR="006C6719" w:rsidRDefault="00614864">
      <w:pPr>
        <w:widowControl/>
        <w:rPr>
          <w:strike/>
          <w:szCs w:val="24"/>
          <w:lang w:eastAsia="en-US"/>
        </w:rPr>
      </w:pPr>
      <w:r>
        <w:rPr>
          <w:strike/>
          <w:szCs w:val="24"/>
          <w:lang w:eastAsia="en-US"/>
        </w:rPr>
        <w:br w:type="page"/>
      </w:r>
    </w:p>
    <w:p w:rsidR="006C6719" w:rsidRDefault="00614864">
      <w:pPr>
        <w:spacing w:before="120" w:after="120" w:line="360" w:lineRule="auto"/>
        <w:ind w:left="850"/>
        <w:rPr>
          <w:b/>
          <w:szCs w:val="24"/>
          <w:lang w:eastAsia="en-US"/>
        </w:rPr>
      </w:pPr>
      <w:r>
        <w:rPr>
          <w:strike/>
          <w:szCs w:val="24"/>
          <w:lang w:eastAsia="en-US"/>
        </w:rPr>
        <w:lastRenderedPageBreak/>
        <w:t xml:space="preserve">Členské štáty skrátia obdobia administratívnej platnosti stanovené v prvom </w:t>
      </w:r>
      <w:proofErr w:type="spellStart"/>
      <w:r>
        <w:rPr>
          <w:strike/>
          <w:szCs w:val="24"/>
          <w:lang w:eastAsia="en-US"/>
        </w:rPr>
        <w:t>pododseku</w:t>
      </w:r>
      <w:proofErr w:type="spellEnd"/>
      <w:r>
        <w:rPr>
          <w:strike/>
          <w:szCs w:val="24"/>
          <w:lang w:eastAsia="en-US"/>
        </w:rPr>
        <w:t xml:space="preserve"> na päť rokov alebo menej držiteľom vodičských preukazov s pobytom na ich území, ktorí dosiahli vek 70 rokov, s cieľom uplatňovať častejšie lekárske kontroly alebo iné osobitné opatrenia vrátane doškoľovacích kurzov. Toto skrátené obdobie administratívnej </w:t>
      </w:r>
      <w:r>
        <w:rPr>
          <w:strike/>
          <w:szCs w:val="24"/>
          <w:lang w:eastAsia="en-US"/>
        </w:rPr>
        <w:t>platnosti sa môže uplatňovať len pri obnovení vodičského preukazu.</w:t>
      </w:r>
      <w:r>
        <w:rPr>
          <w:b/>
          <w:szCs w:val="24"/>
          <w:lang w:eastAsia="en-US"/>
        </w:rPr>
        <w:t xml:space="preserve"> [PN 97]</w:t>
      </w:r>
    </w:p>
    <w:p w:rsidR="006C6719" w:rsidRDefault="00614864">
      <w:pPr>
        <w:spacing w:before="120" w:after="120" w:line="360" w:lineRule="auto"/>
        <w:ind w:left="850"/>
        <w:rPr>
          <w:szCs w:val="24"/>
          <w:lang w:eastAsia="en-US"/>
        </w:rPr>
      </w:pPr>
      <w:r>
        <w:rPr>
          <w:szCs w:val="24"/>
          <w:lang w:eastAsia="en-US"/>
        </w:rPr>
        <w:t xml:space="preserve">Členské štáty môžu skrátiť obdobie administratívnej platnosti uvedené v tomto odseku v prípade vodičských preukazov osôb, ktorým bolo udelené povolenie na prechodný pobyt alebo </w:t>
      </w:r>
      <w:r>
        <w:rPr>
          <w:szCs w:val="24"/>
          <w:lang w:eastAsia="en-US"/>
        </w:rPr>
        <w:t>ktoré požívajú na ich území dočasnú ochranu alebo primeranú ochranu podľa vnútroštátneho práva. Na tento účel sa toto skrátené obdobie administratívnej platnosti rovná obdobiu administratívnej platnosti povolenia na prechodný pobyt alebo na dočasnú ochranu</w:t>
      </w:r>
      <w:r>
        <w:rPr>
          <w:szCs w:val="24"/>
          <w:lang w:eastAsia="en-US"/>
        </w:rPr>
        <w:t xml:space="preserve"> alebo primeranú ochranu, alebo je kratšie.</w:t>
      </w:r>
    </w:p>
    <w:p w:rsidR="006C6719" w:rsidRDefault="00614864">
      <w:pPr>
        <w:spacing w:before="120" w:after="120" w:line="360" w:lineRule="auto"/>
        <w:ind w:left="850" w:hanging="850"/>
        <w:rPr>
          <w:szCs w:val="24"/>
          <w:lang w:eastAsia="en-US"/>
        </w:rPr>
      </w:pPr>
      <w:r>
        <w:rPr>
          <w:szCs w:val="24"/>
          <w:lang w:eastAsia="en-US"/>
        </w:rPr>
        <w:t>3.</w:t>
      </w:r>
      <w:r>
        <w:rPr>
          <w:szCs w:val="24"/>
          <w:lang w:eastAsia="en-US"/>
        </w:rPr>
        <w:tab/>
        <w:t>Obnovenie vodičských preukazov po skončení ich administratívnej platnosti je podmienené oboma týmito podmienkami:</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pretrvávajúcim plnením minimálnych noriem telesnej a duševnej spôsobilosti na vedenie vozidl</w:t>
      </w:r>
      <w:r>
        <w:rPr>
          <w:szCs w:val="24"/>
          <w:lang w:eastAsia="en-US"/>
        </w:rPr>
        <w:t>a stanovených v prílohe III;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b)</w:t>
      </w:r>
      <w:r>
        <w:rPr>
          <w:szCs w:val="24"/>
          <w:lang w:eastAsia="en-US"/>
        </w:rPr>
        <w:tab/>
        <w:t>obvyklým bydliskom na území členského štátu vydávajúceho vodičský preukaz, alebo dôkazom o tom, že tam žiadateľ v čase, keď predkladá svoju žiadosť, študuje minimálne šesť mesiacov.</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V prípade krízy môžu členské štáty pr</w:t>
      </w:r>
      <w:r>
        <w:rPr>
          <w:szCs w:val="24"/>
          <w:lang w:eastAsia="en-US"/>
        </w:rPr>
        <w:t>edĺžiť obdobie administratívnej platnosti vodičských preukazov, ktorých platnosť by sa inak skončila, o obdobie najviac šiestich mesiacov. Ak kríza pretrváva, predĺženie platnosti sa môže obnoviť.</w:t>
      </w:r>
    </w:p>
    <w:p w:rsidR="006C6719" w:rsidRDefault="00614864">
      <w:pPr>
        <w:spacing w:before="120" w:after="120" w:line="360" w:lineRule="auto"/>
        <w:ind w:left="850"/>
        <w:rPr>
          <w:szCs w:val="24"/>
          <w:lang w:eastAsia="en-US"/>
        </w:rPr>
      </w:pPr>
      <w:r>
        <w:rPr>
          <w:szCs w:val="24"/>
          <w:lang w:eastAsia="en-US"/>
        </w:rPr>
        <w:t>Každé takéto predĺženie sa musí riadne odôvodniť a ihneď oz</w:t>
      </w:r>
      <w:r>
        <w:rPr>
          <w:szCs w:val="24"/>
          <w:lang w:eastAsia="en-US"/>
        </w:rPr>
        <w:t xml:space="preserve">námiť Komisii. Komisia bezodkladne uverejní tieto informácie v </w:t>
      </w:r>
      <w:r>
        <w:rPr>
          <w:i/>
          <w:szCs w:val="24"/>
          <w:lang w:eastAsia="en-US"/>
        </w:rPr>
        <w:t>Úradnom vestníku Európskej únie</w:t>
      </w:r>
      <w:r>
        <w:rPr>
          <w:szCs w:val="24"/>
          <w:lang w:eastAsia="en-US"/>
        </w:rPr>
        <w:t>. Členské štáty uznávajú platnosť vodičských preukazov, ktorých obdobie administratívnej platnosti bolo predĺžené podľa tohto odseku.</w:t>
      </w:r>
    </w:p>
    <w:p w:rsidR="006C6719" w:rsidRDefault="00614864">
      <w:pPr>
        <w:spacing w:before="120" w:after="120" w:line="360" w:lineRule="auto"/>
        <w:ind w:left="850"/>
        <w:rPr>
          <w:szCs w:val="24"/>
          <w:lang w:eastAsia="en-US"/>
        </w:rPr>
      </w:pPr>
      <w:r>
        <w:rPr>
          <w:szCs w:val="24"/>
          <w:lang w:eastAsia="en-US"/>
        </w:rPr>
        <w:t xml:space="preserve">Ak kríza postihuje niekoľko </w:t>
      </w:r>
      <w:r>
        <w:rPr>
          <w:szCs w:val="24"/>
          <w:lang w:eastAsia="en-US"/>
        </w:rPr>
        <w:t>členských štátov, Komisia môže prijať vykonávacie akty s cieľom predĺžiť obdobie administratívnej platnosti všetkých alebo určitých skupín vodičských preukazov, ktorých platnosť by sa inak skončila. Uvedené predĺženie nesmie presiahnuť šesť mesiacov a možn</w:t>
      </w:r>
      <w:r>
        <w:rPr>
          <w:szCs w:val="24"/>
          <w:lang w:eastAsia="en-US"/>
        </w:rPr>
        <w:t>o ho obnoviť, ak kríza pretrváva. Uvedené vykonávacie akty sa prijmú v súlade s postupom preskúmania uvedeným v článku 22 ods. 3.</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Ak členský štát nie je a pravdepodobne nebude ovplyvnený ťažkosťami, ktoré znemožnili obnovenie vodičských preukazov v dôsle</w:t>
      </w:r>
      <w:r>
        <w:rPr>
          <w:szCs w:val="24"/>
          <w:lang w:eastAsia="en-US"/>
        </w:rPr>
        <w:t xml:space="preserve">dku krízy uvedenej v treťom </w:t>
      </w:r>
      <w:proofErr w:type="spellStart"/>
      <w:r>
        <w:rPr>
          <w:szCs w:val="24"/>
          <w:lang w:eastAsia="en-US"/>
        </w:rPr>
        <w:t>pododseku</w:t>
      </w:r>
      <w:proofErr w:type="spellEnd"/>
      <w:r>
        <w:rPr>
          <w:szCs w:val="24"/>
          <w:lang w:eastAsia="en-US"/>
        </w:rPr>
        <w:t xml:space="preserve">, alebo ak prijal príslušné vnútroštátne opatrenia na zmiernenie vplyvu kríz, môže sa tento členský štát rozhodnúť, že neuplatní predĺženie zavedené vykonávacím aktom uvedeným v treťom </w:t>
      </w:r>
      <w:proofErr w:type="spellStart"/>
      <w:r>
        <w:rPr>
          <w:szCs w:val="24"/>
          <w:lang w:eastAsia="en-US"/>
        </w:rPr>
        <w:t>pododseku</w:t>
      </w:r>
      <w:proofErr w:type="spellEnd"/>
      <w:r>
        <w:rPr>
          <w:szCs w:val="24"/>
          <w:lang w:eastAsia="en-US"/>
        </w:rPr>
        <w:t>, po tom, ako o tom najpr</w:t>
      </w:r>
      <w:r>
        <w:rPr>
          <w:szCs w:val="24"/>
          <w:lang w:eastAsia="en-US"/>
        </w:rPr>
        <w:t xml:space="preserve">v informuje Komisiu. Komisia o tom informuje ostatné členské štáty a uverejní oznámenie v </w:t>
      </w:r>
      <w:r>
        <w:rPr>
          <w:i/>
          <w:szCs w:val="24"/>
          <w:lang w:eastAsia="en-US"/>
        </w:rPr>
        <w:t>Úradnom vestníku Európskej únie</w:t>
      </w:r>
      <w:r>
        <w:rPr>
          <w:szCs w:val="24"/>
          <w:lang w:eastAsia="en-US"/>
        </w:rPr>
        <w:t>.</w:t>
      </w:r>
    </w:p>
    <w:p w:rsidR="006C6719" w:rsidRDefault="00614864">
      <w:pPr>
        <w:spacing w:before="120" w:after="120" w:line="360" w:lineRule="auto"/>
        <w:ind w:left="850"/>
        <w:rPr>
          <w:szCs w:val="24"/>
          <w:lang w:eastAsia="en-US"/>
        </w:rPr>
      </w:pPr>
      <w:r>
        <w:rPr>
          <w:szCs w:val="24"/>
          <w:lang w:eastAsia="en-US"/>
        </w:rPr>
        <w:t>Na účely tohto odseku je krízou výnimočná, neočakávaná a náhla prírodná alebo človekom spôsobená udalosť mimoriadnej povahy a rozsahu</w:t>
      </w:r>
      <w:r>
        <w:rPr>
          <w:szCs w:val="24"/>
          <w:lang w:eastAsia="en-US"/>
        </w:rPr>
        <w:t>, ktorá sa stane v Únii alebo mimo nej, s významnými priamymi alebo nepriamymi vplyvmi na oblasť cestnej dopravy, a ktorá takisto bráni možnosti, aby držitelia vodičských preukazov alebo príslušné vnútroštátne orgány vykonávali potrebné postupy na ich obno</w:t>
      </w:r>
      <w:r>
        <w:rPr>
          <w:szCs w:val="24"/>
          <w:lang w:eastAsia="en-US"/>
        </w:rPr>
        <w:t>venie, alebo takúto možnosť výrazne obmedzuje.</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 xml:space="preserve">Bez toho, aby boli dotknuté vnútroštátne právne predpisy v oblasti trestného práva a polície, členské štáty môžu na vydávanie vodičských preukazov uplatňovať vnútroštátne ustanovenia týkajúce sa podmienok, </w:t>
      </w:r>
      <w:r>
        <w:rPr>
          <w:szCs w:val="24"/>
          <w:lang w:eastAsia="en-US"/>
        </w:rPr>
        <w:t>ktoré sú iné ako podmienky uvedené v tejto smernici. Informujú o tom Komisiu.</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6.</w:t>
      </w:r>
      <w:r>
        <w:rPr>
          <w:szCs w:val="24"/>
          <w:lang w:eastAsia="en-US"/>
        </w:rPr>
        <w:tab/>
        <w:t>Pri vydávaní alebo obnovovaní vodičských preukazov skupín AM, A, A1, A2, B, B1 a BE môžu členské štáty namiesto sebahodnotenia stanoveného v bode 3 prílohy III vyžadovať pre</w:t>
      </w:r>
      <w:r>
        <w:rPr>
          <w:szCs w:val="24"/>
          <w:lang w:eastAsia="en-US"/>
        </w:rPr>
        <w:t>hliadku s uplatnením minimálnych noriem telesnej a duševnej spôsobilosti na vedenie vozidla stanovených v uvedenej prílohe III. V tom prípade sa lekárska prehliadka týka všetkých zdravotných nespôsobilostí uvedených v prílohe III.</w:t>
      </w:r>
    </w:p>
    <w:p w:rsidR="006C6719" w:rsidRDefault="00614864">
      <w:pPr>
        <w:spacing w:before="120" w:after="120" w:line="360" w:lineRule="auto"/>
        <w:ind w:left="850"/>
        <w:rPr>
          <w:b/>
          <w:szCs w:val="24"/>
          <w:lang w:eastAsia="en-US"/>
        </w:rPr>
      </w:pPr>
      <w:r>
        <w:rPr>
          <w:strike/>
          <w:szCs w:val="24"/>
          <w:lang w:eastAsia="en-US"/>
        </w:rPr>
        <w:t xml:space="preserve">Komisia prijme do [dátum </w:t>
      </w:r>
      <w:r>
        <w:rPr>
          <w:strike/>
          <w:szCs w:val="24"/>
          <w:lang w:eastAsia="en-US"/>
        </w:rPr>
        <w:t>prijatia + 18 mesiacov] vykonávacie akty, ktorými sa stanoví obsah sebahodnotenia uvedeného v bode 3 prílohy III a ktoré sa vzťahujú na všetky zdravotné nespôsobilosti uvedené v danej prílohe. Uvedené vykonávacie akty sa prijmú v súlade s postupom preskúma</w:t>
      </w:r>
      <w:r>
        <w:rPr>
          <w:strike/>
          <w:szCs w:val="24"/>
          <w:lang w:eastAsia="en-US"/>
        </w:rPr>
        <w:t>nia uvedeným v článku 22 ods. 2.</w:t>
      </w:r>
      <w:r>
        <w:rPr>
          <w:b/>
          <w:szCs w:val="24"/>
          <w:lang w:eastAsia="en-US"/>
        </w:rPr>
        <w:t xml:space="preserve"> [PN 99]</w:t>
      </w:r>
    </w:p>
    <w:p w:rsidR="006C6719" w:rsidRDefault="00614864">
      <w:pPr>
        <w:spacing w:before="120" w:after="120" w:line="360" w:lineRule="auto"/>
        <w:ind w:left="850"/>
        <w:rPr>
          <w:b/>
          <w:szCs w:val="24"/>
          <w:lang w:eastAsia="en-US"/>
        </w:rPr>
      </w:pPr>
      <w:r>
        <w:rPr>
          <w:b/>
          <w:i/>
          <w:szCs w:val="24"/>
          <w:lang w:eastAsia="en-US"/>
        </w:rPr>
        <w:t>Pri obnovovaní vodičských preukazov skupín AM, A, A1, A2, B, B1, BE a T môžu členské štáty pri dodržiavaní zásady subsidiarity vyžadovať prehliadku s uplatnením minimálnych noriem spôsobilosti na vedenie vozidla sta</w:t>
      </w:r>
      <w:r>
        <w:rPr>
          <w:b/>
          <w:i/>
          <w:szCs w:val="24"/>
          <w:lang w:eastAsia="en-US"/>
        </w:rPr>
        <w:t>novených v prílohe III.</w:t>
      </w:r>
      <w:r>
        <w:rPr>
          <w:b/>
          <w:szCs w:val="24"/>
          <w:lang w:eastAsia="en-US"/>
        </w:rPr>
        <w:t xml:space="preserve"> [PN 256 a 318]</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6a.</w:t>
      </w:r>
      <w:r>
        <w:rPr>
          <w:szCs w:val="24"/>
          <w:lang w:eastAsia="en-US"/>
        </w:rPr>
        <w:tab/>
      </w:r>
      <w:r>
        <w:rPr>
          <w:b/>
          <w:i/>
          <w:szCs w:val="24"/>
          <w:lang w:eastAsia="en-US"/>
        </w:rPr>
        <w:t>Členské štáty vypracujú pre všeobecných lekárov a rodinných lekárov usmernenia založené na dôkazoch s cieľom identifikovať rizikové osoby z hľadiska vedenia vozidla, pričom postupujú v koordinácii s orgánmi vydá</w:t>
      </w:r>
      <w:r>
        <w:rPr>
          <w:b/>
          <w:i/>
          <w:szCs w:val="24"/>
          <w:lang w:eastAsia="en-US"/>
        </w:rPr>
        <w:t>vajúcimi vodičské preukazy.</w:t>
      </w:r>
      <w:r>
        <w:rPr>
          <w:b/>
          <w:szCs w:val="24"/>
          <w:lang w:eastAsia="en-US"/>
        </w:rPr>
        <w:t xml:space="preserve"> [PN 100]</w:t>
      </w:r>
    </w:p>
    <w:p w:rsidR="006C6719" w:rsidRDefault="00614864">
      <w:pPr>
        <w:spacing w:before="120" w:after="120" w:line="360" w:lineRule="auto"/>
        <w:ind w:left="850" w:hanging="850"/>
        <w:rPr>
          <w:b/>
          <w:szCs w:val="24"/>
          <w:lang w:eastAsia="en-US"/>
        </w:rPr>
      </w:pPr>
      <w:r>
        <w:rPr>
          <w:b/>
          <w:i/>
          <w:szCs w:val="24"/>
          <w:lang w:eastAsia="en-US"/>
        </w:rPr>
        <w:t>6b.</w:t>
      </w:r>
      <w:r>
        <w:rPr>
          <w:szCs w:val="24"/>
          <w:lang w:eastAsia="en-US"/>
        </w:rPr>
        <w:tab/>
      </w:r>
      <w:r>
        <w:rPr>
          <w:b/>
          <w:i/>
          <w:szCs w:val="24"/>
          <w:lang w:eastAsia="en-US"/>
        </w:rPr>
        <w:t>Členské štáty vypracujú vnútroštátne osvetové kampane na zvýšenie informovanosti širokej verejnosti o duševných alebo fyzických prejavoch, ktoré môžu poukazovať na riziko z hľadiska vedenia vozidla.</w:t>
      </w:r>
      <w:r>
        <w:rPr>
          <w:b/>
          <w:szCs w:val="24"/>
          <w:lang w:eastAsia="en-US"/>
        </w:rPr>
        <w:t xml:space="preserve"> [PN 101]</w:t>
      </w:r>
    </w:p>
    <w:p w:rsidR="006C6719" w:rsidRDefault="00614864">
      <w:pPr>
        <w:spacing w:before="120" w:after="120" w:line="360" w:lineRule="auto"/>
        <w:ind w:left="850" w:hanging="850"/>
        <w:rPr>
          <w:b/>
          <w:szCs w:val="24"/>
          <w:lang w:eastAsia="en-US"/>
        </w:rPr>
      </w:pPr>
      <w:r>
        <w:rPr>
          <w:szCs w:val="24"/>
          <w:lang w:eastAsia="en-US"/>
        </w:rPr>
        <w:t>7.</w:t>
      </w:r>
      <w:r>
        <w:rPr>
          <w:szCs w:val="24"/>
          <w:lang w:eastAsia="en-US"/>
        </w:rPr>
        <w:tab/>
        <w:t>Žiad</w:t>
      </w:r>
      <w:r>
        <w:rPr>
          <w:szCs w:val="24"/>
          <w:lang w:eastAsia="en-US"/>
        </w:rPr>
        <w:t xml:space="preserve">na osoba nesmie byť držiteľom viac ako jedného </w:t>
      </w:r>
      <w:r>
        <w:rPr>
          <w:strike/>
          <w:szCs w:val="24"/>
          <w:lang w:eastAsia="en-US"/>
        </w:rPr>
        <w:t xml:space="preserve">fyzického </w:t>
      </w:r>
      <w:r>
        <w:rPr>
          <w:szCs w:val="24"/>
          <w:lang w:eastAsia="en-US"/>
        </w:rPr>
        <w:t xml:space="preserve">vodičského preukazu. Osoba však môže </w:t>
      </w:r>
      <w:r>
        <w:rPr>
          <w:strike/>
          <w:szCs w:val="24"/>
          <w:lang w:eastAsia="en-US"/>
        </w:rPr>
        <w:t xml:space="preserve">byť držiteľom niekoľkých mobilných vodičských preukazov za predpokladu, že ich vydal ten istý členský </w:t>
      </w:r>
      <w:proofErr w:type="spellStart"/>
      <w:r>
        <w:rPr>
          <w:strike/>
          <w:szCs w:val="24"/>
          <w:lang w:eastAsia="en-US"/>
        </w:rPr>
        <w:t>štát</w:t>
      </w:r>
      <w:r>
        <w:rPr>
          <w:b/>
          <w:i/>
          <w:szCs w:val="24"/>
          <w:lang w:eastAsia="en-US"/>
        </w:rPr>
        <w:t>mať</w:t>
      </w:r>
      <w:proofErr w:type="spellEnd"/>
      <w:r>
        <w:rPr>
          <w:b/>
          <w:i/>
          <w:szCs w:val="24"/>
          <w:lang w:eastAsia="en-US"/>
        </w:rPr>
        <w:t xml:space="preserve"> mobilný vodičský preukaz uložený na viacerých zariad</w:t>
      </w:r>
      <w:r>
        <w:rPr>
          <w:b/>
          <w:i/>
          <w:szCs w:val="24"/>
          <w:lang w:eastAsia="en-US"/>
        </w:rPr>
        <w:t>eniach</w:t>
      </w:r>
      <w:r>
        <w:rPr>
          <w:szCs w:val="24"/>
          <w:lang w:eastAsia="en-US"/>
        </w:rPr>
        <w:t>.</w:t>
      </w:r>
      <w:r>
        <w:rPr>
          <w:b/>
          <w:szCs w:val="24"/>
          <w:lang w:eastAsia="en-US"/>
        </w:rPr>
        <w:t xml:space="preserve"> [PN 102]</w:t>
      </w:r>
    </w:p>
    <w:p w:rsidR="006C6719" w:rsidRDefault="00614864">
      <w:pPr>
        <w:spacing w:before="120" w:after="120" w:line="360" w:lineRule="auto"/>
        <w:ind w:left="850"/>
        <w:rPr>
          <w:szCs w:val="24"/>
          <w:lang w:eastAsia="en-US"/>
        </w:rPr>
      </w:pPr>
      <w:r>
        <w:rPr>
          <w:szCs w:val="24"/>
          <w:lang w:eastAsia="en-US"/>
        </w:rPr>
        <w:t>Žiadna osoba nesmie byť držiteľom vodičských preukazov vydaných viac ako jedným členským štátom.</w:t>
      </w:r>
    </w:p>
    <w:p w:rsidR="006C6719" w:rsidRDefault="00614864">
      <w:pPr>
        <w:spacing w:before="120" w:after="120" w:line="360" w:lineRule="auto"/>
        <w:ind w:left="850"/>
        <w:rPr>
          <w:szCs w:val="24"/>
          <w:lang w:eastAsia="en-US"/>
        </w:rPr>
      </w:pPr>
      <w:r>
        <w:rPr>
          <w:szCs w:val="24"/>
          <w:lang w:eastAsia="en-US"/>
        </w:rPr>
        <w:t>Členský štát odmietne vydať vodičský preukaz, ak zistí, že žiadateľ už je držiteľom vodičského preukazu vydaného iným členským štátom.</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 xml:space="preserve">Členské štáty prijmú potrebné opatrenia na účely uplatňovania tretieho </w:t>
      </w:r>
      <w:proofErr w:type="spellStart"/>
      <w:r>
        <w:rPr>
          <w:szCs w:val="24"/>
          <w:lang w:eastAsia="en-US"/>
        </w:rPr>
        <w:t>pododseku</w:t>
      </w:r>
      <w:proofErr w:type="spellEnd"/>
      <w:r>
        <w:rPr>
          <w:szCs w:val="24"/>
          <w:lang w:eastAsia="en-US"/>
        </w:rPr>
        <w:t>. Potrebnými opatreniami, pokiaľ ide o vydanie, náhradu, obnovenie alebo výmenu vodičského preukazu, je overenie u iných členských štátov, ak existuje dôvodné podozrenie, že ži</w:t>
      </w:r>
      <w:r>
        <w:rPr>
          <w:szCs w:val="24"/>
          <w:lang w:eastAsia="en-US"/>
        </w:rPr>
        <w:t>adateľ už je držiteľom iného vodičského preukazu. Na tento účel členské štáty využívajú sieť vodičských preukazov EÚ uvedenú v článku 19.</w:t>
      </w:r>
    </w:p>
    <w:p w:rsidR="006C6719" w:rsidRDefault="00614864">
      <w:pPr>
        <w:spacing w:before="120" w:after="120" w:line="360" w:lineRule="auto"/>
        <w:ind w:left="850"/>
        <w:rPr>
          <w:szCs w:val="24"/>
          <w:lang w:eastAsia="en-US"/>
        </w:rPr>
      </w:pPr>
      <w:r>
        <w:rPr>
          <w:szCs w:val="24"/>
          <w:lang w:eastAsia="en-US"/>
        </w:rPr>
        <w:t xml:space="preserve">Bez toho, aby bol dotknutý článok 3 ods. 6, členský štát, ktorý vydáva vodičský preukaz, uplatňuje postupy náležitej </w:t>
      </w:r>
      <w:r>
        <w:rPr>
          <w:szCs w:val="24"/>
          <w:lang w:eastAsia="en-US"/>
        </w:rPr>
        <w:t xml:space="preserve">starostlivosti na zabezpečenie toho, aby osoba spĺňala požiadavky uvedené v odseku 1 tohto článku, a uplatňuje svoje vnútroštátne ustanovenia na zrušenie alebo odobratie vodičského preukazu alebo vodičského oprávnenia, ak sa zistí, že vodičský preukaz bol </w:t>
      </w:r>
      <w:r>
        <w:rPr>
          <w:szCs w:val="24"/>
          <w:lang w:eastAsia="en-US"/>
        </w:rPr>
        <w:t>vydaný bez splnenia uvedených požiadaviek.</w:t>
      </w:r>
    </w:p>
    <w:p w:rsidR="006C6719" w:rsidRDefault="00614864">
      <w:pPr>
        <w:spacing w:before="120" w:after="120" w:line="360" w:lineRule="auto"/>
        <w:ind w:left="850" w:hanging="850"/>
        <w:rPr>
          <w:szCs w:val="24"/>
          <w:lang w:eastAsia="en-US"/>
        </w:rPr>
      </w:pPr>
      <w:r>
        <w:rPr>
          <w:szCs w:val="24"/>
          <w:lang w:eastAsia="en-US"/>
        </w:rPr>
        <w:t>8.</w:t>
      </w:r>
      <w:r>
        <w:rPr>
          <w:szCs w:val="24"/>
          <w:lang w:eastAsia="en-US"/>
        </w:rPr>
        <w:tab/>
        <w:t>Komisia je v súlade s článkom 21 splnomocnená prijímať delegované akty, ktorými sa podľa potreby na účely zohľadnenia technického, prevádzkového alebo vedeckého vývoja menia prílohy II, III, V a VI.</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8a.</w:t>
      </w:r>
      <w:r>
        <w:rPr>
          <w:szCs w:val="24"/>
          <w:lang w:eastAsia="en-US"/>
        </w:rPr>
        <w:tab/>
      </w:r>
      <w:r>
        <w:rPr>
          <w:b/>
          <w:i/>
          <w:szCs w:val="24"/>
          <w:lang w:eastAsia="en-US"/>
        </w:rPr>
        <w:t>Komis</w:t>
      </w:r>
      <w:r>
        <w:rPr>
          <w:b/>
          <w:i/>
          <w:szCs w:val="24"/>
          <w:lang w:eastAsia="en-US"/>
        </w:rPr>
        <w:t>ia na základe odborného poradenstva vytvorí online kurz odbornej prípravy pre všeobecných lekárov, ktorý im umožní posúdiť všetky aspekty spôsobilosti žiadateľa viesť motorové vozidlo.</w:t>
      </w:r>
      <w:r>
        <w:rPr>
          <w:b/>
          <w:szCs w:val="24"/>
          <w:lang w:eastAsia="en-US"/>
        </w:rPr>
        <w:t xml:space="preserve"> [PN 103]</w:t>
      </w:r>
    </w:p>
    <w:p w:rsidR="006C6719" w:rsidRDefault="00614864">
      <w:pPr>
        <w:spacing w:before="120" w:after="120" w:line="360" w:lineRule="auto"/>
        <w:jc w:val="center"/>
        <w:rPr>
          <w:szCs w:val="24"/>
          <w:lang w:eastAsia="en-US"/>
        </w:rPr>
      </w:pPr>
      <w:r>
        <w:rPr>
          <w:szCs w:val="24"/>
          <w:lang w:eastAsia="en-US"/>
        </w:rPr>
        <w:t>Článok 11</w:t>
      </w:r>
      <w:r>
        <w:rPr>
          <w:szCs w:val="24"/>
          <w:lang w:eastAsia="en-US"/>
        </w:rPr>
        <w:br/>
        <w:t>Výmena a náhrada vodičských preukazov vydaných člens</w:t>
      </w:r>
      <w:r>
        <w:rPr>
          <w:szCs w:val="24"/>
          <w:lang w:eastAsia="en-US"/>
        </w:rPr>
        <w:t>kými štátmi</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Ak držiteľ platného vodičského preukazu vydaného členským štátom nadobudol obvyklé bydlisko v inom členskom štáte, môže požiadať, aby bol jeho vodičský preukaz vymenený za rovnocenný preukaz. Členský štát vykonávajúci výmenu skontroluje, pre</w:t>
      </w:r>
      <w:r>
        <w:rPr>
          <w:szCs w:val="24"/>
          <w:lang w:eastAsia="en-US"/>
        </w:rPr>
        <w:t xml:space="preserve"> ktorú skupinu je predložený vodičský prekaz v skutočnosti ešte platný.</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Pokiaľ zásada teritoriality právnych predpisov v oblasti trestného práva a polície neustanovuje inak, členský štát, v ktorom má držiteľ svoje obvyklé bydlisko, môže uplatniť svoje v</w:t>
      </w:r>
      <w:r>
        <w:rPr>
          <w:szCs w:val="24"/>
          <w:lang w:eastAsia="en-US"/>
        </w:rPr>
        <w:t>nútroštátne opatrenia na obmedzenie, pozastavenie, odobratie alebo zrušenie vodičského oprávnenia držiteľovi vodičského preukazu vydaného iným členským štátom a, ak je to nevyhnutné, vymeniť preukaz na tento účel.</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3.</w:t>
      </w:r>
      <w:r>
        <w:rPr>
          <w:szCs w:val="24"/>
          <w:lang w:eastAsia="en-US"/>
        </w:rPr>
        <w:tab/>
        <w:t>Členský štát vykonávajúci výmenu</w:t>
      </w:r>
      <w:r>
        <w:rPr>
          <w:b/>
          <w:i/>
          <w:szCs w:val="24"/>
          <w:lang w:eastAsia="en-US"/>
        </w:rPr>
        <w:t xml:space="preserve"> fyzi</w:t>
      </w:r>
      <w:r>
        <w:rPr>
          <w:b/>
          <w:i/>
          <w:szCs w:val="24"/>
          <w:lang w:eastAsia="en-US"/>
        </w:rPr>
        <w:t>ckého vodičského preukazu</w:t>
      </w:r>
      <w:r>
        <w:rPr>
          <w:szCs w:val="24"/>
          <w:lang w:eastAsia="en-US"/>
        </w:rPr>
        <w:t xml:space="preserve"> vráti starý vodičský preukaz orgánom členského štátu, ktorý ho vydal, a uvedie dôvody vrátenia.</w:t>
      </w:r>
      <w:r>
        <w:rPr>
          <w:b/>
          <w:i/>
          <w:szCs w:val="24"/>
          <w:lang w:eastAsia="en-US"/>
        </w:rPr>
        <w:t xml:space="preserve"> Členský štát vykonávajúci výmenu vodičského preukazu informuje orgány vydávajúceho členského štátu a uvedie dôvody takejto výmeny. Čle</w:t>
      </w:r>
      <w:r>
        <w:rPr>
          <w:b/>
          <w:i/>
          <w:szCs w:val="24"/>
          <w:lang w:eastAsia="en-US"/>
        </w:rPr>
        <w:t>nské štáty, ktoré pôvodne vydali vodičský preukaz, zabezpečia, aby predchádzajúci mobilný vodičský preukaz už nebol k dispozícii na nahliadnutie. Na účely komunikácie členské štáty využívajú sieť vodičských preukazov EÚ uvedenú v článku 19 ods. 1.</w:t>
      </w:r>
      <w:r>
        <w:rPr>
          <w:b/>
          <w:szCs w:val="24"/>
          <w:lang w:eastAsia="en-US"/>
        </w:rPr>
        <w:t xml:space="preserve"> [PN 104]</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Náhradu strateného alebo odcudzeného vodičského preukazu možno získať len od príslušných orgánov členského štátu, v ktorom má držiteľ obvyklé bydlisko. Uvedené orgány poskytnú náhradu na základe informácií, ktoré majú, alebo, ak je to vhodné, na základ</w:t>
      </w:r>
      <w:r>
        <w:rPr>
          <w:szCs w:val="24"/>
          <w:lang w:eastAsia="en-US"/>
        </w:rPr>
        <w:t>e dôkazu od príslušných orgánov členského štátu, ktorý pôvodný preukaz vydal.</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jc w:val="center"/>
        <w:rPr>
          <w:szCs w:val="24"/>
          <w:lang w:eastAsia="en-US"/>
        </w:rPr>
      </w:pPr>
      <w:r>
        <w:rPr>
          <w:b/>
          <w:i/>
          <w:szCs w:val="24"/>
          <w:lang w:eastAsia="en-US"/>
        </w:rPr>
        <w:lastRenderedPageBreak/>
        <w:t>Článok 11a</w:t>
      </w:r>
      <w:r>
        <w:rPr>
          <w:szCs w:val="24"/>
          <w:lang w:eastAsia="en-US"/>
        </w:rPr>
        <w:br/>
      </w:r>
      <w:r>
        <w:rPr>
          <w:b/>
          <w:i/>
          <w:szCs w:val="24"/>
          <w:lang w:eastAsia="en-US"/>
        </w:rPr>
        <w:t>Dočasný vodičský preukaz</w:t>
      </w:r>
    </w:p>
    <w:p w:rsidR="006C6719" w:rsidRDefault="00614864">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Počas náhrady, obnovenia alebo výmeny vodičského preukazu členský štát vykonávajúci náhradu, obnovenie alebo výmenu vydá dočasný vodičský</w:t>
      </w:r>
      <w:r>
        <w:rPr>
          <w:b/>
          <w:i/>
          <w:szCs w:val="24"/>
          <w:lang w:eastAsia="en-US"/>
        </w:rPr>
        <w:t xml:space="preserve"> preukaz vo forme osvedčenia, aj keď ide o ten istý členský štát, ktorý vydal predchádzajúci vodičský preukaz. Komisia je splnomocnená prijímať delegované akty v súlade s článkom 21 do 31. decembra 2025 s cieľom doplniť túto smernicu stanovením vzorového š</w:t>
      </w:r>
      <w:r>
        <w:rPr>
          <w:b/>
          <w:i/>
          <w:szCs w:val="24"/>
          <w:lang w:eastAsia="en-US"/>
        </w:rPr>
        <w:t>tandardizovaného formulára pre takéto osvedčenie. Pri prijímaní uvedených delegovaných aktov Komisia náležite zohľadní každé riziko falšovania takýchto formulárov.</w:t>
      </w:r>
    </w:p>
    <w:p w:rsidR="006C6719" w:rsidRDefault="00614864">
      <w:pPr>
        <w:spacing w:before="120" w:after="120" w:line="360" w:lineRule="auto"/>
        <w:ind w:left="850" w:hanging="850"/>
        <w:rPr>
          <w:b/>
          <w:szCs w:val="24"/>
          <w:lang w:eastAsia="en-US"/>
        </w:rPr>
      </w:pPr>
      <w:r>
        <w:rPr>
          <w:b/>
          <w:i/>
          <w:szCs w:val="24"/>
          <w:lang w:eastAsia="en-US"/>
        </w:rPr>
        <w:t>2.</w:t>
      </w:r>
      <w:r>
        <w:rPr>
          <w:szCs w:val="24"/>
          <w:lang w:eastAsia="en-US"/>
        </w:rPr>
        <w:tab/>
      </w:r>
      <w:r>
        <w:rPr>
          <w:b/>
          <w:i/>
          <w:szCs w:val="24"/>
          <w:lang w:eastAsia="en-US"/>
        </w:rPr>
        <w:t>Osvedčenie vydané členským štátom podľa tohto článku je platné najviac jeden mesiac. Člen</w:t>
      </w:r>
      <w:r>
        <w:rPr>
          <w:b/>
          <w:i/>
          <w:szCs w:val="24"/>
          <w:lang w:eastAsia="en-US"/>
        </w:rPr>
        <w:t>ské štáty takéto osvedčenia vzájomne uznávajú. Ak náhrada, obnovenie alebo výmena vodičského preukazu trvá dlhšie, členské štáty môžu toto osvedčenie obnoviť dvakrát, vždy na najviac jednomesačné obdobie. Platnosť takéhoto osvedčenia automaticky zaniká, ke</w:t>
      </w:r>
      <w:r>
        <w:rPr>
          <w:b/>
          <w:i/>
          <w:szCs w:val="24"/>
          <w:lang w:eastAsia="en-US"/>
        </w:rPr>
        <w:t>ď držiteľ získa fyzický alebo mobilný vodičský preukaz v súlade s článkom 3.</w:t>
      </w:r>
      <w:r>
        <w:rPr>
          <w:b/>
          <w:szCs w:val="24"/>
          <w:lang w:eastAsia="en-US"/>
        </w:rPr>
        <w:t xml:space="preserve"> [PN 105]</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12</w:t>
      </w:r>
      <w:r>
        <w:rPr>
          <w:szCs w:val="24"/>
          <w:lang w:eastAsia="en-US"/>
        </w:rPr>
        <w:br/>
        <w:t>Výmena vodičských preukazov vydaných tretími stranami</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Ak členský štát zabezpečuje výmenu vodičského preukazu vydaného treťou krajinou držiteľovi, ktorý nad</w:t>
      </w:r>
      <w:r>
        <w:rPr>
          <w:szCs w:val="24"/>
          <w:lang w:eastAsia="en-US"/>
        </w:rPr>
        <w:t>obudol obvyklé bydlisko na jeho území, tento členský štát vymení vodičský preukaz v súlade s ustanoveniami tohto článku.</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Ak členský štát vymení vodičský preukaz vydaný treťou krajinou, ktorý nebol predmetom vykonávacieho rozhodnutia uvedeného v odseku 7</w:t>
      </w:r>
      <w:r>
        <w:rPr>
          <w:szCs w:val="24"/>
          <w:lang w:eastAsia="en-US"/>
        </w:rPr>
        <w:t>, takáto výmena sa zaznamená na vodičskom preukaze vydanom týmto členským štátom vyznačením príslušného kódu z časti E prílohy I, rovnako ako aj každé nasledujúce obnovenie alebo náhrada. Ak držiteľ tohto preukazu prenesie svoje obvyklé bydlisko do iného č</w:t>
      </w:r>
      <w:r>
        <w:rPr>
          <w:szCs w:val="24"/>
          <w:lang w:eastAsia="en-US"/>
        </w:rPr>
        <w:t>lenského štátu, tento členský štát nemusí uplatniť zásadu vzájomného uznávania uvedenú v článku 3 ods. 6.</w:t>
      </w:r>
    </w:p>
    <w:p w:rsidR="006C6719" w:rsidRDefault="00614864">
      <w:pPr>
        <w:spacing w:before="120" w:after="120" w:line="360" w:lineRule="auto"/>
        <w:ind w:left="850"/>
        <w:rPr>
          <w:szCs w:val="24"/>
          <w:lang w:eastAsia="en-US"/>
        </w:rPr>
      </w:pPr>
      <w:r>
        <w:rPr>
          <w:szCs w:val="24"/>
          <w:lang w:eastAsia="en-US"/>
        </w:rPr>
        <w:t>Členské štáty v prípade takýchto výmen uplatňujú ustanovenia svojich vnútroštátnych právnych predpisov v súlade s podmienkami stanovenými v tomto odse</w:t>
      </w:r>
      <w:r>
        <w:rPr>
          <w:szCs w:val="24"/>
          <w:lang w:eastAsia="en-US"/>
        </w:rPr>
        <w:t>ku.</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Ak je vodičský preukaz vydaný v skupine a treťou krajinou, ktorá je predmetom vykonávacieho rozhodnutia uvedeného v odseku 7, takáto výmena sa nezaznamená na vodičskom preukaze vydanom dotknutým členským štátom. V uvedených prípadoch členské štáty</w:t>
      </w:r>
      <w:r>
        <w:rPr>
          <w:szCs w:val="24"/>
          <w:lang w:eastAsia="en-US"/>
        </w:rPr>
        <w:t xml:space="preserve"> vymenia vodičský preukaz v súlade s podmienkami stanovenými v príslušnom vykonávacom rozhodnutí.</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Ak bol vodičský preukaz vydaný členským štátom vymenený za vodičský preukaz vydaný treťou krajinou, členské štáty nevyžadujú splnenie žiadnych ďalších podm</w:t>
      </w:r>
      <w:r>
        <w:rPr>
          <w:szCs w:val="24"/>
          <w:lang w:eastAsia="en-US"/>
        </w:rPr>
        <w:t>ienok okrem tých, ktoré sú stanovené v článku 10 ods. 3 písm. a), ani nezaznamenajú žiadne ďalšie informácie na účely výmeny tohto vodičského preukazu za nimi vydaný vodičský preukaz, pokiaľ ide o skupiny pôvodného vodičského preukazu.</w:t>
      </w:r>
    </w:p>
    <w:p w:rsidR="006C6719" w:rsidRDefault="00614864">
      <w:pPr>
        <w:spacing w:before="120" w:after="120" w:line="360" w:lineRule="auto"/>
        <w:ind w:left="850"/>
        <w:rPr>
          <w:szCs w:val="24"/>
          <w:lang w:eastAsia="en-US"/>
        </w:rPr>
      </w:pPr>
      <w:r>
        <w:rPr>
          <w:szCs w:val="24"/>
          <w:lang w:eastAsia="en-US"/>
        </w:rPr>
        <w:t xml:space="preserve">V situácii uvedenej </w:t>
      </w:r>
      <w:r>
        <w:rPr>
          <w:szCs w:val="24"/>
          <w:lang w:eastAsia="en-US"/>
        </w:rPr>
        <w:t xml:space="preserve">v prvom </w:t>
      </w:r>
      <w:proofErr w:type="spellStart"/>
      <w:r>
        <w:rPr>
          <w:szCs w:val="24"/>
          <w:lang w:eastAsia="en-US"/>
        </w:rPr>
        <w:t>pododseku</w:t>
      </w:r>
      <w:proofErr w:type="spellEnd"/>
      <w:r>
        <w:rPr>
          <w:szCs w:val="24"/>
          <w:lang w:eastAsia="en-US"/>
        </w:rPr>
        <w:t>, keď žiadateľ žiada o výmenu vodičského preukazu, ktorý je platný aj pre skupiny, pre ktoré získal vodičské oprávnenie v tretej krajine, sa uplatňujú tieto pravidlá:</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 xml:space="preserve">ak bol vodičský preukaz vydaný v skupine a treťou krajinou, ktorá je </w:t>
      </w:r>
      <w:r>
        <w:rPr>
          <w:szCs w:val="24"/>
          <w:lang w:eastAsia="en-US"/>
        </w:rPr>
        <w:t>predmetom vykonávacieho rozhodnutia podľa odseku 7, uplatní sa odsek 3;</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b)</w:t>
      </w:r>
      <w:r>
        <w:rPr>
          <w:szCs w:val="24"/>
          <w:lang w:eastAsia="en-US"/>
        </w:rPr>
        <w:tab/>
        <w:t>ak takéto vykonávacie rozhodnutie neexistuje, uplatní sa odsek 2.</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K výmenám uvedeným v odsekoch 2, 3 a 4 dochádza len vtedy, ak vodičský preukaz vydaný treťou krajinou bol odov</w:t>
      </w:r>
      <w:r>
        <w:rPr>
          <w:szCs w:val="24"/>
          <w:lang w:eastAsia="en-US"/>
        </w:rPr>
        <w:t>zdaný príslušným orgánom členského štátu, ktorý realizuje výmenu.</w:t>
      </w:r>
    </w:p>
    <w:p w:rsidR="006C6719" w:rsidRDefault="00614864">
      <w:pPr>
        <w:spacing w:before="120" w:after="120" w:line="360" w:lineRule="auto"/>
        <w:ind w:left="850" w:hanging="850"/>
        <w:rPr>
          <w:szCs w:val="24"/>
          <w:lang w:eastAsia="en-US"/>
        </w:rPr>
      </w:pPr>
      <w:r>
        <w:rPr>
          <w:szCs w:val="24"/>
          <w:lang w:eastAsia="en-US"/>
        </w:rPr>
        <w:t>6.</w:t>
      </w:r>
      <w:r>
        <w:rPr>
          <w:szCs w:val="24"/>
          <w:lang w:eastAsia="en-US"/>
        </w:rPr>
        <w:tab/>
        <w:t>Komisia môže určiť, že tretia krajina má rámec cestnej dopravy, ktorý úplne alebo čiastočne zaručuje úroveň bezpečnosti cestnej premávky, ktorá je porovnateľná s úrovňou v Únii, čo umožňu</w:t>
      </w:r>
      <w:r>
        <w:rPr>
          <w:szCs w:val="24"/>
          <w:lang w:eastAsia="en-US"/>
        </w:rPr>
        <w:t>je výmenu vodičských preukazov vydaných touto treťou krajinou bez zaznamenania takejto výmeny vo vodičských preukazoch vydaných členskými štátmi, v prípade potreby po splnení určitých vopred stanovených podmienok.</w:t>
      </w:r>
    </w:p>
    <w:p w:rsidR="006C6719" w:rsidRDefault="00614864">
      <w:pPr>
        <w:spacing w:before="120" w:after="120" w:line="360" w:lineRule="auto"/>
        <w:ind w:left="850"/>
        <w:rPr>
          <w:b/>
          <w:szCs w:val="24"/>
          <w:lang w:eastAsia="en-US"/>
        </w:rPr>
      </w:pPr>
      <w:r>
        <w:rPr>
          <w:szCs w:val="24"/>
          <w:lang w:eastAsia="en-US"/>
        </w:rPr>
        <w:t>Ak Komisia určí takúto tretiu krajinu, môž</w:t>
      </w:r>
      <w:r>
        <w:rPr>
          <w:szCs w:val="24"/>
          <w:lang w:eastAsia="en-US"/>
        </w:rPr>
        <w:t xml:space="preserve">e posúdiť rámec cestnej dopravy tretej krajiny v spolupráci s členskými štátmi. Členské štáty majú šesť mesiacov </w:t>
      </w:r>
      <w:r>
        <w:rPr>
          <w:strike/>
          <w:szCs w:val="24"/>
          <w:lang w:eastAsia="en-US"/>
        </w:rPr>
        <w:t xml:space="preserve">na </w:t>
      </w:r>
      <w:proofErr w:type="spellStart"/>
      <w:r>
        <w:rPr>
          <w:strike/>
          <w:szCs w:val="24"/>
          <w:lang w:eastAsia="en-US"/>
        </w:rPr>
        <w:t>to</w:t>
      </w:r>
      <w:r>
        <w:rPr>
          <w:b/>
          <w:i/>
          <w:szCs w:val="24"/>
          <w:lang w:eastAsia="en-US"/>
        </w:rPr>
        <w:t>nato</w:t>
      </w:r>
      <w:proofErr w:type="spellEnd"/>
      <w:r>
        <w:rPr>
          <w:szCs w:val="24"/>
          <w:lang w:eastAsia="en-US"/>
        </w:rPr>
        <w:t>, aby poskytli svoje stanovisko k rámcu cestnej dopravy zavedenému v určenej tretej krajine. Komisia pristúpi k posúdeniu, keď dostane</w:t>
      </w:r>
      <w:r>
        <w:rPr>
          <w:szCs w:val="24"/>
          <w:lang w:eastAsia="en-US"/>
        </w:rPr>
        <w:t xml:space="preserve"> stanovisko od všetkých členských štátov alebo po skončení lehoty na zaslanie stanovísk, a to podľa toho, čo nastane </w:t>
      </w:r>
      <w:proofErr w:type="spellStart"/>
      <w:r>
        <w:rPr>
          <w:strike/>
          <w:szCs w:val="24"/>
          <w:lang w:eastAsia="en-US"/>
        </w:rPr>
        <w:t>neskôr</w:t>
      </w:r>
      <w:r>
        <w:rPr>
          <w:b/>
          <w:i/>
          <w:szCs w:val="24"/>
          <w:lang w:eastAsia="en-US"/>
        </w:rPr>
        <w:t>skôr</w:t>
      </w:r>
      <w:proofErr w:type="spellEnd"/>
      <w:r>
        <w:rPr>
          <w:szCs w:val="24"/>
          <w:lang w:eastAsia="en-US"/>
        </w:rPr>
        <w:t>.</w:t>
      </w:r>
      <w:r>
        <w:rPr>
          <w:b/>
          <w:szCs w:val="24"/>
          <w:lang w:eastAsia="en-US"/>
        </w:rPr>
        <w:t xml:space="preserve"> [PN 106]</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Pri posudzovaní rámca cestnej dopravy zavedeného v tretej krajine Komisia zohľadňuje prinajmenšom tieto prvky:</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r>
      <w:r>
        <w:rPr>
          <w:szCs w:val="24"/>
          <w:lang w:eastAsia="en-US"/>
        </w:rPr>
        <w:t>platné požiadavky na vodičský preukaz, ako sú klasifikácia skupín vodičských preukazov, požiadavky na minimálny vek, požiadavky a podmienky výcviku a vodičských skúšok a zdravotné normy na vydanie preukazu;</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či tretia krajina vydáva mobilné vodičské preu</w:t>
      </w:r>
      <w:r>
        <w:rPr>
          <w:szCs w:val="24"/>
          <w:lang w:eastAsia="en-US"/>
        </w:rPr>
        <w:t>kazy a ak áno, príslušné technické a štrukturálne podrobné informácie týkajúce sa prevádzky systému;</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rozsah, v akom sú v obehu sfalšované vodičské preukazy, a aké opatrenia sa prijímajú na zabránenie falšovaniu vodičských preukazov;</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obdobie administr</w:t>
      </w:r>
      <w:r>
        <w:rPr>
          <w:szCs w:val="24"/>
          <w:lang w:eastAsia="en-US"/>
        </w:rPr>
        <w:t>atívnej platnosti vodičských preukazov vydaných treťou krajinou;</w:t>
      </w:r>
    </w:p>
    <w:p w:rsidR="006C6719" w:rsidRDefault="00614864">
      <w:pPr>
        <w:spacing w:before="120" w:after="120" w:line="360" w:lineRule="auto"/>
        <w:ind w:left="1416" w:hanging="566"/>
        <w:rPr>
          <w:szCs w:val="24"/>
          <w:lang w:eastAsia="en-US"/>
        </w:rPr>
      </w:pPr>
      <w:r>
        <w:rPr>
          <w:szCs w:val="24"/>
          <w:lang w:eastAsia="en-US"/>
        </w:rPr>
        <w:t>e)</w:t>
      </w:r>
      <w:r>
        <w:rPr>
          <w:szCs w:val="24"/>
          <w:lang w:eastAsia="en-US"/>
        </w:rPr>
        <w:tab/>
        <w:t>dopravné podmienky v tretej krajine a či sú porovnateľné s dopravnými podmienkami v cestných sieťach v Únii;</w:t>
      </w:r>
    </w:p>
    <w:p w:rsidR="006C6719" w:rsidRDefault="00614864">
      <w:pPr>
        <w:spacing w:before="120" w:after="120" w:line="360" w:lineRule="auto"/>
        <w:ind w:left="1416" w:hanging="566"/>
        <w:rPr>
          <w:szCs w:val="24"/>
          <w:lang w:eastAsia="en-US"/>
        </w:rPr>
      </w:pPr>
      <w:r>
        <w:rPr>
          <w:szCs w:val="24"/>
          <w:lang w:eastAsia="en-US"/>
        </w:rPr>
        <w:t>f)</w:t>
      </w:r>
      <w:r>
        <w:rPr>
          <w:szCs w:val="24"/>
          <w:lang w:eastAsia="en-US"/>
        </w:rPr>
        <w:tab/>
        <w:t>stav bezpečnosti cestnej premávky v tretej krajine;</w:t>
      </w:r>
    </w:p>
    <w:p w:rsidR="006C6719" w:rsidRDefault="00614864">
      <w:pPr>
        <w:spacing w:before="120" w:after="120" w:line="360" w:lineRule="auto"/>
        <w:ind w:left="1416" w:hanging="566"/>
        <w:rPr>
          <w:b/>
          <w:szCs w:val="24"/>
          <w:lang w:eastAsia="en-US"/>
        </w:rPr>
      </w:pPr>
      <w:r>
        <w:rPr>
          <w:b/>
          <w:i/>
          <w:szCs w:val="24"/>
          <w:lang w:eastAsia="en-US"/>
        </w:rPr>
        <w:t>fa)</w:t>
      </w:r>
      <w:r>
        <w:rPr>
          <w:szCs w:val="24"/>
          <w:lang w:eastAsia="en-US"/>
        </w:rPr>
        <w:tab/>
      </w:r>
      <w:r>
        <w:rPr>
          <w:b/>
          <w:i/>
          <w:szCs w:val="24"/>
          <w:lang w:eastAsia="en-US"/>
        </w:rPr>
        <w:t>systém výmeny vytvor</w:t>
      </w:r>
      <w:r>
        <w:rPr>
          <w:b/>
          <w:i/>
          <w:szCs w:val="24"/>
          <w:lang w:eastAsia="en-US"/>
        </w:rPr>
        <w:t>ený pre vodičské preukazy EÚ v tretej krajine.</w:t>
      </w:r>
      <w:r>
        <w:rPr>
          <w:b/>
          <w:szCs w:val="24"/>
          <w:lang w:eastAsia="en-US"/>
        </w:rPr>
        <w:t xml:space="preserve"> [PN 107]</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7.</w:t>
      </w:r>
      <w:r>
        <w:rPr>
          <w:szCs w:val="24"/>
          <w:lang w:eastAsia="en-US"/>
        </w:rPr>
        <w:tab/>
        <w:t>Komisia môže po vykonaní posúdenia uvedeného v odseku 6 a prostredníctvom vykonávacích rozhodnutí rozhodnúť, že tretia krajina má zavedený rámec cestnej dopravy, ktorý úplne alebo čiastočne zaruč</w:t>
      </w:r>
      <w:r>
        <w:rPr>
          <w:szCs w:val="24"/>
          <w:lang w:eastAsia="en-US"/>
        </w:rPr>
        <w:t>uje úroveň bezpečnosti cestnej premávky porovnateľnú s úrovňou v Únii, na účely výmeny vodičských preukazov vydaných touto treťou krajinou bez toho, aby sa takáto výmena zaznamenala na vodičskom preukaze vydanom členským štátom.</w:t>
      </w:r>
    </w:p>
    <w:p w:rsidR="006C6719" w:rsidRDefault="00614864">
      <w:pPr>
        <w:spacing w:before="120" w:after="120" w:line="360" w:lineRule="auto"/>
        <w:ind w:left="850"/>
        <w:rPr>
          <w:szCs w:val="24"/>
          <w:lang w:eastAsia="en-US"/>
        </w:rPr>
      </w:pPr>
      <w:r>
        <w:rPr>
          <w:szCs w:val="24"/>
          <w:lang w:eastAsia="en-US"/>
        </w:rPr>
        <w:t>Vykonávacie rozhodnutie obs</w:t>
      </w:r>
      <w:r>
        <w:rPr>
          <w:szCs w:val="24"/>
          <w:lang w:eastAsia="en-US"/>
        </w:rPr>
        <w:t>ahuje prinajmenšom:</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skupiny vodičských preukazov uvedené v článku 6, v prípade ktorých sa výmena môže vykonať bez toho, aby sa zaznamenala na vodičskom preukaze vydanom členským štátom;</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dátumy vydania vodičských preukazov tretích krajín, odkedy možno</w:t>
      </w:r>
      <w:r>
        <w:rPr>
          <w:szCs w:val="24"/>
          <w:lang w:eastAsia="en-US"/>
        </w:rPr>
        <w:t xml:space="preserve"> vykonať výmenu bez toho, aby sa zaznamenala na vodičskom preukaze vydanom členským štátom;</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akékoľvek všeobecné podmienky, ktoré treba splniť na účely overenia pravosti úradného dokladu, ktorý sa má vymeniť;</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szCs w:val="24"/>
          <w:lang w:eastAsia="en-US"/>
        </w:rPr>
      </w:pPr>
      <w:r>
        <w:rPr>
          <w:szCs w:val="24"/>
          <w:lang w:eastAsia="en-US"/>
        </w:rPr>
        <w:lastRenderedPageBreak/>
        <w:t>d)</w:t>
      </w:r>
      <w:r>
        <w:rPr>
          <w:szCs w:val="24"/>
          <w:lang w:eastAsia="en-US"/>
        </w:rPr>
        <w:tab/>
        <w:t>akékoľvek všeobecné podmienky, ktoré mus</w:t>
      </w:r>
      <w:r>
        <w:rPr>
          <w:szCs w:val="24"/>
          <w:lang w:eastAsia="en-US"/>
        </w:rPr>
        <w:t>í žiadateľ pred výmenou splniť, aby preukázal súlad so zdravotnými normami stanovenými v prílohe III.</w:t>
      </w:r>
    </w:p>
    <w:p w:rsidR="006C6719" w:rsidRDefault="00614864">
      <w:pPr>
        <w:spacing w:before="120" w:after="120" w:line="360" w:lineRule="auto"/>
        <w:ind w:left="850"/>
        <w:rPr>
          <w:szCs w:val="24"/>
          <w:lang w:eastAsia="en-US"/>
        </w:rPr>
      </w:pPr>
      <w:r>
        <w:rPr>
          <w:szCs w:val="24"/>
          <w:lang w:eastAsia="en-US"/>
        </w:rPr>
        <w:t xml:space="preserve">Ak vodičský preukaz žiadateľa neumožňuje dodržať druhý </w:t>
      </w:r>
      <w:proofErr w:type="spellStart"/>
      <w:r>
        <w:rPr>
          <w:szCs w:val="24"/>
          <w:lang w:eastAsia="en-US"/>
        </w:rPr>
        <w:t>pododsek</w:t>
      </w:r>
      <w:proofErr w:type="spellEnd"/>
      <w:r>
        <w:rPr>
          <w:szCs w:val="24"/>
          <w:lang w:eastAsia="en-US"/>
        </w:rPr>
        <w:t xml:space="preserve"> písm. a) alebo b) tohto odseku, členské štáty môžu rozhodnúť o výmene vodičského preukazu v súlade s odsekom 2. Ak žiadateľ nie je schopný splniť druhý </w:t>
      </w:r>
      <w:proofErr w:type="spellStart"/>
      <w:r>
        <w:rPr>
          <w:szCs w:val="24"/>
          <w:lang w:eastAsia="en-US"/>
        </w:rPr>
        <w:t>pododsek</w:t>
      </w:r>
      <w:proofErr w:type="spellEnd"/>
      <w:r>
        <w:rPr>
          <w:szCs w:val="24"/>
          <w:lang w:eastAsia="en-US"/>
        </w:rPr>
        <w:t xml:space="preserve"> písm. c) alebo d) tohto odseku, členské štáty výmenu vodičského preukazu zamietnu. Akoukoľvek </w:t>
      </w:r>
      <w:r>
        <w:rPr>
          <w:szCs w:val="24"/>
          <w:lang w:eastAsia="en-US"/>
        </w:rPr>
        <w:t>ďalšou podmienkou, ktorú vykonávacie rozhodnutie môže obsahovať, sa stanoví buď uplatniteľnosť vnútroštátnych ustanovení členského štátu v súlade s odsekom 2, alebo zamietnutie výmeny vodičského preukazu, ak žiadateľ tieto podmienky nespĺňa.</w:t>
      </w:r>
    </w:p>
    <w:p w:rsidR="006C6719" w:rsidRDefault="00614864">
      <w:pPr>
        <w:spacing w:before="120" w:after="120" w:line="360" w:lineRule="auto"/>
        <w:ind w:left="850"/>
        <w:rPr>
          <w:szCs w:val="24"/>
          <w:lang w:eastAsia="en-US"/>
        </w:rPr>
      </w:pPr>
      <w:r>
        <w:rPr>
          <w:szCs w:val="24"/>
          <w:lang w:eastAsia="en-US"/>
        </w:rPr>
        <w:t>Vykonávacie ro</w:t>
      </w:r>
      <w:r>
        <w:rPr>
          <w:szCs w:val="24"/>
          <w:lang w:eastAsia="en-US"/>
        </w:rPr>
        <w:t>zhodnutia sa prijímajú v súlade s postupom preskúmania podľa článku 22 ods. 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8.</w:t>
      </w:r>
      <w:r>
        <w:rPr>
          <w:szCs w:val="24"/>
          <w:lang w:eastAsia="en-US"/>
        </w:rPr>
        <w:tab/>
        <w:t>Vo vykonávacom rozhodnutí uvedenom v odseku 7 sa stanoví pravidelné preskúmanie situácie v oblasti bezpečnosti cestnej premávky v dotknutej tretej krajine, a to aspoň každé</w:t>
      </w:r>
      <w:r>
        <w:rPr>
          <w:szCs w:val="24"/>
          <w:lang w:eastAsia="en-US"/>
        </w:rPr>
        <w:t xml:space="preserve"> štyri roky. V závislosti od záverov preskúmania Komisia v potrebnom rozsahu zachová, zmení alebo pozastaví vykonávacie rozhodnutie uvedené v odseku 7 alebo ho zruší.</w:t>
      </w:r>
    </w:p>
    <w:p w:rsidR="006C6719" w:rsidRDefault="00614864">
      <w:pPr>
        <w:spacing w:before="120" w:after="120" w:line="360" w:lineRule="auto"/>
        <w:ind w:left="850" w:hanging="850"/>
        <w:rPr>
          <w:szCs w:val="24"/>
          <w:lang w:eastAsia="en-US"/>
        </w:rPr>
      </w:pPr>
      <w:r>
        <w:rPr>
          <w:b/>
          <w:i/>
          <w:szCs w:val="24"/>
          <w:lang w:eastAsia="en-US"/>
        </w:rPr>
        <w:t>8a.</w:t>
      </w:r>
      <w:r>
        <w:rPr>
          <w:szCs w:val="24"/>
          <w:lang w:eastAsia="en-US"/>
        </w:rPr>
        <w:tab/>
      </w:r>
      <w:r>
        <w:rPr>
          <w:b/>
          <w:i/>
          <w:szCs w:val="24"/>
          <w:lang w:eastAsia="en-US"/>
        </w:rPr>
        <w:t>Osvedčenie o odbornej spôsobilosti alebo rovnocenné osvedčenie vydané treťou krajinou</w:t>
      </w:r>
      <w:r>
        <w:rPr>
          <w:b/>
          <w:i/>
          <w:szCs w:val="24"/>
          <w:lang w:eastAsia="en-US"/>
        </w:rPr>
        <w:t xml:space="preserve"> uvedenou v odseku 2 sa môže nahradiť novým osvedčením o odbornej spôsobilosti vydaným členským štátom, ak držiteľ absolvoval v danom členskom štáte dodatočný výcvik v oblasti odbornej spôsobilosti v trvaní najviac 35 hodín. Tento dodatočný výcvik sa uskut</w:t>
      </w:r>
      <w:r>
        <w:rPr>
          <w:b/>
          <w:i/>
          <w:szCs w:val="24"/>
          <w:lang w:eastAsia="en-US"/>
        </w:rPr>
        <w:t>oční v jazyku Únie, ktorému [uchádzač] najlepšie rozumie. V prípade potreby sa v súlade so smernicou (EÚ) 2022/2561 o základnej kvalifikácii a pravidelnom výcviku vodičov určitých cestných vozidiel nákladnej a osobnej dopravy</w:t>
      </w:r>
      <w:r>
        <w:rPr>
          <w:szCs w:val="24"/>
          <w:vertAlign w:val="superscript"/>
          <w:lang w:eastAsia="en-US"/>
        </w:rPr>
        <w:footnoteReference w:id="20"/>
      </w:r>
      <w:r>
        <w:rPr>
          <w:b/>
          <w:i/>
          <w:szCs w:val="24"/>
          <w:lang w:eastAsia="en-US"/>
        </w:rPr>
        <w:t xml:space="preserve"> v záujme zabezpečenia vysokej</w:t>
      </w:r>
      <w:r>
        <w:rPr>
          <w:b/>
          <w:i/>
          <w:szCs w:val="24"/>
          <w:lang w:eastAsia="en-US"/>
        </w:rPr>
        <w:t xml:space="preserve"> úrovne spôsobilosti a bezpečnosti cestnej premávky poskytne primeraná jazyková podpora.</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rPr>
          <w:szCs w:val="24"/>
          <w:lang w:eastAsia="en-US"/>
        </w:rPr>
      </w:pPr>
      <w:r>
        <w:rPr>
          <w:b/>
          <w:i/>
          <w:szCs w:val="24"/>
          <w:lang w:eastAsia="en-US"/>
        </w:rPr>
        <w:lastRenderedPageBreak/>
        <w:t>Na účely určenia, či tretie krajiny majú pravidlá úplne alebo čiastočne porovnateľné so zodpovedajúcimi pravidlami Únie, ktoré zaručujú úroveň bezpečnosti cestnej pr</w:t>
      </w:r>
      <w:r>
        <w:rPr>
          <w:b/>
          <w:i/>
          <w:szCs w:val="24"/>
          <w:lang w:eastAsia="en-US"/>
        </w:rPr>
        <w:t>emávky, ktorá je úplne alebo čiastočne porovnateľná s úrovňou v Únii, je Komisia splnomocnená prijať do ... [dva roky odo dňa nadobudnutia účinnosti tejto pozmeňujúcej smernice] delegované akty v súlade s článkom 21 s cieľom doplniť túto smernicu stanovení</w:t>
      </w:r>
      <w:r>
        <w:rPr>
          <w:b/>
          <w:i/>
          <w:szCs w:val="24"/>
          <w:lang w:eastAsia="en-US"/>
        </w:rPr>
        <w:t>m podmienok, kritérií a metodík, ktoré sa majú uplatniť pri posudzovaní pravidiel tretích krajín týkajúcich sa profesionálneho výcviku vodičov alebo pravidiel tretích krajín týkajúcich sa postupov osvedčovania a skúšobných postupov, prípadne oboch typov pr</w:t>
      </w:r>
      <w:r>
        <w:rPr>
          <w:b/>
          <w:i/>
          <w:szCs w:val="24"/>
          <w:lang w:eastAsia="en-US"/>
        </w:rPr>
        <w:t>avidiel.</w:t>
      </w:r>
    </w:p>
    <w:p w:rsidR="006C6719" w:rsidRDefault="00614864">
      <w:pPr>
        <w:spacing w:before="120" w:after="120" w:line="360" w:lineRule="auto"/>
        <w:ind w:left="850"/>
        <w:rPr>
          <w:b/>
          <w:szCs w:val="24"/>
          <w:lang w:eastAsia="en-US"/>
        </w:rPr>
      </w:pPr>
      <w:r>
        <w:rPr>
          <w:b/>
          <w:i/>
          <w:szCs w:val="24"/>
          <w:lang w:eastAsia="en-US"/>
        </w:rPr>
        <w:t>Na základe týchto [delegovaných aktov/podmienok, kritérií a metodík posudzovania] a v spolupráci s členskými štátmi v súlade s postupom stanoveným v odseku 6 Komisia prijme vykonávacie akty, v ktorých stanoví svoje rozhodnutie, že konkrétna tretia</w:t>
      </w:r>
      <w:r>
        <w:rPr>
          <w:b/>
          <w:i/>
          <w:szCs w:val="24"/>
          <w:lang w:eastAsia="en-US"/>
        </w:rPr>
        <w:t xml:space="preserve"> krajina má pravidlá týkajúce sa odborného výcviku vodičov a/alebo pravidlá týkajúce sa postupov osvedčovania a skúšobných postupov, ktoré sú úplne alebo čiastočne porovnateľné so zodpovedajúcimi pravidlami Únie, ktoré zaručujú úroveň bezpečnosti cestnej p</w:t>
      </w:r>
      <w:r>
        <w:rPr>
          <w:b/>
          <w:i/>
          <w:szCs w:val="24"/>
          <w:lang w:eastAsia="en-US"/>
        </w:rPr>
        <w:t>remávky, ktorá je úplne alebo čiastočne porovnateľná s úrovňou v Únii. Uvedené vykonávacie akty sa prijímajú v súlade s postupom preskúmania uvedeným v článku 22 ods. 2.</w:t>
      </w:r>
      <w:r>
        <w:rPr>
          <w:b/>
          <w:szCs w:val="24"/>
          <w:lang w:eastAsia="en-US"/>
        </w:rPr>
        <w:t xml:space="preserve"> [PN 108]</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9.</w:t>
      </w:r>
      <w:r>
        <w:rPr>
          <w:szCs w:val="24"/>
          <w:lang w:eastAsia="en-US"/>
        </w:rPr>
        <w:tab/>
        <w:t xml:space="preserve">Komisia uverejní v </w:t>
      </w:r>
      <w:r>
        <w:rPr>
          <w:i/>
          <w:szCs w:val="24"/>
          <w:lang w:eastAsia="en-US"/>
        </w:rPr>
        <w:t>Úradnom vestníku Európskej únie</w:t>
      </w:r>
      <w:r>
        <w:rPr>
          <w:szCs w:val="24"/>
          <w:lang w:eastAsia="en-US"/>
        </w:rPr>
        <w:t xml:space="preserve"> a na svojom webovom s</w:t>
      </w:r>
      <w:r>
        <w:rPr>
          <w:szCs w:val="24"/>
          <w:lang w:eastAsia="en-US"/>
        </w:rPr>
        <w:t xml:space="preserve">ídle zoznam tretích krajín, ktoré sú predmetom vykonávacieho rozhodnutia v súlade s </w:t>
      </w:r>
      <w:r>
        <w:rPr>
          <w:strike/>
          <w:szCs w:val="24"/>
          <w:lang w:eastAsia="en-US"/>
        </w:rPr>
        <w:t>odsekom 7</w:t>
      </w:r>
      <w:r>
        <w:rPr>
          <w:b/>
          <w:i/>
          <w:szCs w:val="24"/>
          <w:lang w:eastAsia="en-US"/>
        </w:rPr>
        <w:t>odsekmi 7 a 8a</w:t>
      </w:r>
      <w:r>
        <w:rPr>
          <w:szCs w:val="24"/>
          <w:lang w:eastAsia="en-US"/>
        </w:rPr>
        <w:t xml:space="preserve">, a následne uverejní aj všetky príslušné zmeny vykonané v súlade s odsekom </w:t>
      </w:r>
      <w:r>
        <w:rPr>
          <w:strike/>
          <w:szCs w:val="24"/>
          <w:lang w:eastAsia="en-US"/>
        </w:rPr>
        <w:t>9</w:t>
      </w:r>
      <w:r>
        <w:rPr>
          <w:b/>
          <w:i/>
          <w:szCs w:val="24"/>
          <w:lang w:eastAsia="en-US"/>
        </w:rPr>
        <w:t>8</w:t>
      </w:r>
      <w:r>
        <w:rPr>
          <w:szCs w:val="24"/>
          <w:lang w:eastAsia="en-US"/>
        </w:rPr>
        <w:t>.</w:t>
      </w:r>
      <w:r>
        <w:rPr>
          <w:b/>
          <w:szCs w:val="24"/>
          <w:lang w:eastAsia="en-US"/>
        </w:rPr>
        <w:t xml:space="preserve"> [PN 109]</w:t>
      </w:r>
    </w:p>
    <w:p w:rsidR="006C6719" w:rsidRDefault="00614864">
      <w:pPr>
        <w:spacing w:before="120" w:after="120" w:line="360" w:lineRule="auto"/>
        <w:ind w:left="850" w:hanging="850"/>
        <w:rPr>
          <w:szCs w:val="24"/>
          <w:lang w:eastAsia="en-US"/>
        </w:rPr>
      </w:pPr>
      <w:r>
        <w:rPr>
          <w:szCs w:val="24"/>
          <w:lang w:eastAsia="en-US"/>
        </w:rPr>
        <w:t>10.</w:t>
      </w:r>
      <w:r>
        <w:rPr>
          <w:szCs w:val="24"/>
          <w:lang w:eastAsia="en-US"/>
        </w:rPr>
        <w:tab/>
      </w:r>
      <w:r>
        <w:rPr>
          <w:szCs w:val="24"/>
          <w:lang w:eastAsia="en-US"/>
        </w:rPr>
        <w:t xml:space="preserve">Komisia vytvorí vedomostnú sieť na zhromažďovanie, spracovávanie a šírenie vedomostí a informácií o najlepších postupoch v oblasti integrácie zahraničných profesionálnych vodičov do vnútorného trhu. Sieť zahŕňa príslušné orgány členských štátov, centrá </w:t>
      </w:r>
      <w:proofErr w:type="spellStart"/>
      <w:r>
        <w:rPr>
          <w:szCs w:val="24"/>
          <w:lang w:eastAsia="en-US"/>
        </w:rPr>
        <w:t>exc</w:t>
      </w:r>
      <w:r>
        <w:rPr>
          <w:szCs w:val="24"/>
          <w:lang w:eastAsia="en-US"/>
        </w:rPr>
        <w:t>elentnosti</w:t>
      </w:r>
      <w:proofErr w:type="spellEnd"/>
      <w:r>
        <w:rPr>
          <w:szCs w:val="24"/>
          <w:lang w:eastAsia="en-US"/>
        </w:rPr>
        <w:t>, univerzity a výskumníkov, sociálnych partnerov a ďalších príslušných aktérov v odvetví cestnej dopravy.</w:t>
      </w:r>
    </w:p>
    <w:p w:rsidR="006C6719" w:rsidRDefault="00614864">
      <w:pPr>
        <w:spacing w:before="120" w:after="120" w:line="360" w:lineRule="auto"/>
        <w:jc w:val="center"/>
        <w:rPr>
          <w:szCs w:val="24"/>
          <w:lang w:eastAsia="en-US"/>
        </w:rPr>
      </w:pPr>
      <w:r>
        <w:rPr>
          <w:b/>
          <w:i/>
          <w:szCs w:val="24"/>
          <w:lang w:eastAsia="en-US"/>
        </w:rPr>
        <w:t>Článok 12a</w:t>
      </w:r>
      <w:r>
        <w:rPr>
          <w:szCs w:val="24"/>
          <w:lang w:eastAsia="en-US"/>
        </w:rPr>
        <w:br/>
      </w:r>
      <w:r>
        <w:rPr>
          <w:b/>
          <w:i/>
          <w:szCs w:val="24"/>
          <w:lang w:eastAsia="en-US"/>
        </w:rPr>
        <w:t>Platforma pre spoluprácu</w:t>
      </w:r>
    </w:p>
    <w:p w:rsidR="006C6719" w:rsidRDefault="00614864">
      <w:pPr>
        <w:spacing w:before="120" w:after="120" w:line="360" w:lineRule="auto"/>
        <w:ind w:left="850" w:hanging="850"/>
        <w:rPr>
          <w:szCs w:val="24"/>
          <w:lang w:eastAsia="en-US"/>
        </w:rPr>
      </w:pPr>
      <w:r>
        <w:rPr>
          <w:b/>
          <w:i/>
          <w:szCs w:val="24"/>
          <w:lang w:eastAsia="en-US"/>
        </w:rPr>
        <w:t>1.</w:t>
      </w:r>
      <w:r>
        <w:rPr>
          <w:szCs w:val="24"/>
          <w:lang w:eastAsia="en-US"/>
        </w:rPr>
        <w:tab/>
      </w:r>
      <w:r>
        <w:rPr>
          <w:b/>
          <w:i/>
          <w:szCs w:val="24"/>
          <w:lang w:eastAsia="en-US"/>
        </w:rPr>
        <w:t>Komisia zriadi platformu pre spoluprácu s cieľom zhromažďovať, spracúvať a šíriť poznatky a informáci</w:t>
      </w:r>
      <w:r>
        <w:rPr>
          <w:b/>
          <w:i/>
          <w:szCs w:val="24"/>
          <w:lang w:eastAsia="en-US"/>
        </w:rPr>
        <w:t>e o odporúčaných postupoch pre:</w:t>
      </w:r>
    </w:p>
    <w:p w:rsidR="006C6719" w:rsidRDefault="00614864">
      <w:pPr>
        <w:spacing w:before="120" w:after="120" w:line="360" w:lineRule="auto"/>
        <w:ind w:left="1416" w:hanging="566"/>
        <w:rPr>
          <w:szCs w:val="24"/>
          <w:lang w:eastAsia="en-US"/>
        </w:rPr>
      </w:pPr>
      <w:r>
        <w:rPr>
          <w:b/>
          <w:i/>
          <w:szCs w:val="24"/>
          <w:lang w:eastAsia="en-US"/>
        </w:rPr>
        <w:t>a)</w:t>
      </w:r>
      <w:r>
        <w:rPr>
          <w:szCs w:val="24"/>
          <w:lang w:eastAsia="en-US"/>
        </w:rPr>
        <w:tab/>
      </w:r>
      <w:r>
        <w:rPr>
          <w:b/>
          <w:i/>
          <w:szCs w:val="24"/>
          <w:lang w:eastAsia="en-US"/>
        </w:rPr>
        <w:t>výcvikové programy vodičov v členských štátoch vrátane výcviku pre vozidlá na špeciálne použitie, ako sú necestné pojazdné stroje;</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szCs w:val="24"/>
          <w:lang w:eastAsia="en-US"/>
        </w:rPr>
      </w:pPr>
      <w:r>
        <w:rPr>
          <w:b/>
          <w:i/>
          <w:szCs w:val="24"/>
          <w:lang w:eastAsia="en-US"/>
        </w:rPr>
        <w:lastRenderedPageBreak/>
        <w:t>b)</w:t>
      </w:r>
      <w:r>
        <w:rPr>
          <w:szCs w:val="24"/>
          <w:lang w:eastAsia="en-US"/>
        </w:rPr>
        <w:tab/>
      </w:r>
      <w:r>
        <w:rPr>
          <w:b/>
          <w:i/>
          <w:szCs w:val="24"/>
          <w:lang w:eastAsia="en-US"/>
        </w:rPr>
        <w:t>vydávanie licencií a bežné používanie vozidiel na špeciálne použitie, ako sú necestné</w:t>
      </w:r>
      <w:r>
        <w:rPr>
          <w:b/>
          <w:i/>
          <w:szCs w:val="24"/>
          <w:lang w:eastAsia="en-US"/>
        </w:rPr>
        <w:t xml:space="preserve"> mobilné stroje v jednotlivých členských štátoch, vrátane cezhraničných dôsledkov rozdielov medzi týmito pravidlami s cieľom uľahčiť používanie takýchto strojových zariadení; a</w:t>
      </w:r>
    </w:p>
    <w:p w:rsidR="006C6719" w:rsidRDefault="00614864">
      <w:pPr>
        <w:spacing w:before="120" w:after="120" w:line="360" w:lineRule="auto"/>
        <w:ind w:left="1416" w:hanging="566"/>
        <w:rPr>
          <w:szCs w:val="24"/>
          <w:lang w:eastAsia="en-US"/>
        </w:rPr>
      </w:pPr>
      <w:r>
        <w:rPr>
          <w:b/>
          <w:i/>
          <w:szCs w:val="24"/>
          <w:lang w:eastAsia="en-US"/>
        </w:rPr>
        <w:t>c)</w:t>
      </w:r>
      <w:r>
        <w:rPr>
          <w:szCs w:val="24"/>
          <w:lang w:eastAsia="en-US"/>
        </w:rPr>
        <w:tab/>
      </w:r>
      <w:r>
        <w:rPr>
          <w:b/>
          <w:i/>
          <w:szCs w:val="24"/>
          <w:lang w:eastAsia="en-US"/>
        </w:rPr>
        <w:t>akékoľvek iné otázky, ktoré sa považujú za vhodné.</w:t>
      </w:r>
    </w:p>
    <w:p w:rsidR="006C6719" w:rsidRDefault="00614864">
      <w:pPr>
        <w:spacing w:before="120" w:after="120" w:line="360" w:lineRule="auto"/>
        <w:ind w:left="850" w:hanging="850"/>
        <w:rPr>
          <w:b/>
          <w:szCs w:val="24"/>
          <w:lang w:eastAsia="en-US"/>
        </w:rPr>
      </w:pPr>
      <w:r>
        <w:rPr>
          <w:b/>
          <w:i/>
          <w:szCs w:val="24"/>
          <w:lang w:eastAsia="en-US"/>
        </w:rPr>
        <w:t>2.</w:t>
      </w:r>
      <w:r>
        <w:rPr>
          <w:szCs w:val="24"/>
          <w:lang w:eastAsia="en-US"/>
        </w:rPr>
        <w:tab/>
      </w:r>
      <w:r>
        <w:rPr>
          <w:b/>
          <w:i/>
          <w:szCs w:val="24"/>
          <w:lang w:eastAsia="en-US"/>
        </w:rPr>
        <w:t xml:space="preserve">Súčasťou platformy sú </w:t>
      </w:r>
      <w:r>
        <w:rPr>
          <w:b/>
          <w:i/>
          <w:szCs w:val="24"/>
          <w:lang w:eastAsia="en-US"/>
        </w:rPr>
        <w:t>príslušné orgány členských štátov a príslušné zainteresované strany v odvetví cestnej dopravy a podľa možnosti má podporovať, aby sa stavalo na týchto odporúčaných postupoch.</w:t>
      </w:r>
      <w:r>
        <w:rPr>
          <w:b/>
          <w:szCs w:val="24"/>
          <w:lang w:eastAsia="en-US"/>
        </w:rPr>
        <w:t xml:space="preserve"> [PN 320]</w:t>
      </w:r>
    </w:p>
    <w:p w:rsidR="006C6719" w:rsidRDefault="00614864">
      <w:pPr>
        <w:spacing w:before="120" w:after="120" w:line="360" w:lineRule="auto"/>
        <w:jc w:val="center"/>
        <w:rPr>
          <w:szCs w:val="24"/>
          <w:lang w:eastAsia="en-US"/>
        </w:rPr>
      </w:pPr>
      <w:r>
        <w:rPr>
          <w:szCs w:val="24"/>
          <w:lang w:eastAsia="en-US"/>
        </w:rPr>
        <w:t>Článok 13</w:t>
      </w:r>
      <w:r>
        <w:rPr>
          <w:szCs w:val="24"/>
          <w:lang w:eastAsia="en-US"/>
        </w:rPr>
        <w:br/>
        <w:t>Účinky obmedzenia, pozastavenia, odobratia alebo zrušenia vodi</w:t>
      </w:r>
      <w:r>
        <w:rPr>
          <w:szCs w:val="24"/>
          <w:lang w:eastAsia="en-US"/>
        </w:rPr>
        <w:t>čského oprávnenia alebo vodičského preukazu</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Členský štát odmietne vydať vodičský preukaz žiadateľovi, ktorého vodičský preukaz je obmedzený, pozastavený, odobratý alebo zrušený v inom členskom štáte.</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Členský štát odmietne uznať platnosť akéhokoľvek v</w:t>
      </w:r>
      <w:r>
        <w:rPr>
          <w:szCs w:val="24"/>
          <w:lang w:eastAsia="en-US"/>
        </w:rPr>
        <w:t>odičského preukazu vydaného iným členským štátom osobe, ktorej vodičský preukaz alebo vodičské oprávnenie sú obmedzené, pozastavené, odobraté alebo zrušené na území tohto iného členského štátu.</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 xml:space="preserve">Vodičský preukaz alebo vodičské oprávnenie sa na účely </w:t>
      </w:r>
      <w:r>
        <w:rPr>
          <w:szCs w:val="24"/>
          <w:lang w:eastAsia="en-US"/>
        </w:rPr>
        <w:t xml:space="preserve">tohto článku považujú za obmedzené, pozastavené, odobraté alebo zrušené, pokiaľ dotknutá osoba ešte neplní podmienky uložené členským štátom, ktoré musí splniť, aby mohla opätovne získať vodičské oprávnenie alebo vodičský preukaz, alebo aby mohla požiadať </w:t>
      </w:r>
      <w:r>
        <w:rPr>
          <w:szCs w:val="24"/>
          <w:lang w:eastAsia="en-US"/>
        </w:rPr>
        <w:t>o nový preukaz.</w:t>
      </w:r>
    </w:p>
    <w:p w:rsidR="006C6719" w:rsidRDefault="00614864">
      <w:pPr>
        <w:spacing w:before="120" w:after="120" w:line="360" w:lineRule="auto"/>
        <w:ind w:left="850"/>
        <w:rPr>
          <w:szCs w:val="24"/>
          <w:lang w:eastAsia="en-US"/>
        </w:rPr>
      </w:pPr>
      <w:r>
        <w:rPr>
          <w:szCs w:val="24"/>
          <w:lang w:eastAsia="en-US"/>
        </w:rPr>
        <w:t>Členské štáty zabezpečia, aby všetky podmienky, ktoré uložia s cieľom umožniť držiteľovi opätovne získať vodičské oprávnenie alebo vodičský preukaz alebo požiadať o nový preukaz, boli primerané a nediskriminačné pre držiteľov vodičských pre</w:t>
      </w:r>
      <w:r>
        <w:rPr>
          <w:szCs w:val="24"/>
          <w:lang w:eastAsia="en-US"/>
        </w:rPr>
        <w:t>ukazov vydaných akýmkoľvek iným členským štátom a aby samy o sebe neviedli k neurčitému odmietnutiu vydať vodičský preukaz alebo uznať vodičský preukaz vydaný iným členským štátom.</w:t>
      </w:r>
    </w:p>
    <w:p w:rsidR="006C6719" w:rsidRDefault="00614864">
      <w:pPr>
        <w:spacing w:before="120" w:after="120" w:line="360" w:lineRule="auto"/>
        <w:ind w:left="850"/>
        <w:rPr>
          <w:b/>
          <w:szCs w:val="24"/>
          <w:lang w:eastAsia="en-US"/>
        </w:rPr>
      </w:pPr>
      <w:r>
        <w:rPr>
          <w:b/>
          <w:i/>
          <w:szCs w:val="24"/>
          <w:lang w:eastAsia="en-US"/>
        </w:rPr>
        <w:t>Členský štát pozastaví platnosť vodičského preukazu, ak lekárska prehliadka</w:t>
      </w:r>
      <w:r>
        <w:rPr>
          <w:b/>
          <w:i/>
          <w:szCs w:val="24"/>
          <w:lang w:eastAsia="en-US"/>
        </w:rPr>
        <w:t xml:space="preserve"> potvrdzujúca platnosť uvedenú v článku 10 preukáže, že nie je možné dočasne splniť fyzické a psychologické požiadavky týkajúce sa zdravotných nespôsobilostí uvedených v prílohe III.</w:t>
      </w:r>
      <w:r>
        <w:rPr>
          <w:b/>
          <w:szCs w:val="24"/>
          <w:lang w:eastAsia="en-US"/>
        </w:rPr>
        <w:t xml:space="preserve"> [PN 110]</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4.</w:t>
      </w:r>
      <w:r>
        <w:rPr>
          <w:szCs w:val="24"/>
          <w:lang w:eastAsia="en-US"/>
        </w:rPr>
        <w:tab/>
        <w:t>Žiadne z ustanovení tohto článku sa nemá vykladať tak, že b</w:t>
      </w:r>
      <w:r>
        <w:rPr>
          <w:szCs w:val="24"/>
          <w:lang w:eastAsia="en-US"/>
        </w:rPr>
        <w:t>ráni členským štátom zakázať osobe vedenie vozidla na ich území na neurčitý čas bez toho, aby jej poskytla možnosť opätovne získať vodičské oprávnenie alebo vodičský preukaz, alebo aby mohla požiadať o nový preukaz, ak je to odôvodnené na základe jej konan</w:t>
      </w:r>
      <w:r>
        <w:rPr>
          <w:szCs w:val="24"/>
          <w:lang w:eastAsia="en-US"/>
        </w:rPr>
        <w:t>ia.</w:t>
      </w:r>
    </w:p>
    <w:p w:rsidR="006C6719" w:rsidRDefault="00614864">
      <w:pPr>
        <w:spacing w:before="120" w:after="120" w:line="360" w:lineRule="auto"/>
        <w:ind w:left="850"/>
        <w:rPr>
          <w:szCs w:val="24"/>
          <w:lang w:eastAsia="en-US"/>
        </w:rPr>
      </w:pPr>
      <w:r>
        <w:rPr>
          <w:szCs w:val="24"/>
          <w:lang w:eastAsia="en-US"/>
        </w:rPr>
        <w:t>Ak členský štát v súlade s týmto odsekom uložil zákaz viesť vozidlo na neurčitý čas, takýto členský štát môže odmietnuť uznať platnosť akéhokoľvek vodičského preukazu, vydaného iným členským štátom, na svojom území na neurčitý čas. Odchylne od odseku 1</w:t>
      </w:r>
      <w:r>
        <w:rPr>
          <w:szCs w:val="24"/>
          <w:lang w:eastAsia="en-US"/>
        </w:rPr>
        <w:t xml:space="preserve"> môžu iné členské štáty po konzultácii s členským štátom, ktorý ukladá zákaz viesť vozidlo na neurčitý čas, vydať vodičský preukaz takejto osobe.</w:t>
      </w:r>
    </w:p>
    <w:p w:rsidR="006C6719" w:rsidRDefault="00614864">
      <w:pPr>
        <w:spacing w:before="120" w:after="120" w:line="360" w:lineRule="auto"/>
        <w:jc w:val="center"/>
        <w:rPr>
          <w:szCs w:val="24"/>
          <w:lang w:eastAsia="en-US"/>
        </w:rPr>
      </w:pPr>
      <w:r>
        <w:rPr>
          <w:szCs w:val="24"/>
          <w:lang w:eastAsia="en-US"/>
        </w:rPr>
        <w:t>Článok 14</w:t>
      </w:r>
      <w:r>
        <w:rPr>
          <w:szCs w:val="24"/>
          <w:lang w:eastAsia="en-US"/>
        </w:rPr>
        <w:br/>
        <w:t xml:space="preserve">Systém vedenia vozidla so sprievodom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Odchylne od článku 7 ods. 1 písm. b) a d) členské štáty vyd</w:t>
      </w:r>
      <w:r>
        <w:rPr>
          <w:szCs w:val="24"/>
          <w:lang w:eastAsia="en-US"/>
        </w:rPr>
        <w:t>ávajú vodičské preukazy v súlade s článkom 10 ods. 1 pre skupiny B</w:t>
      </w:r>
      <w:r>
        <w:rPr>
          <w:b/>
          <w:i/>
          <w:szCs w:val="24"/>
          <w:lang w:eastAsia="en-US"/>
        </w:rPr>
        <w:t>, C a C1</w:t>
      </w:r>
      <w:r>
        <w:rPr>
          <w:strike/>
          <w:szCs w:val="24"/>
          <w:lang w:eastAsia="en-US"/>
        </w:rPr>
        <w:t xml:space="preserve"> a C</w:t>
      </w:r>
      <w:r>
        <w:rPr>
          <w:szCs w:val="24"/>
          <w:lang w:eastAsia="en-US"/>
        </w:rPr>
        <w:t xml:space="preserve"> označené kódom Únie 98.02 špecifikovaným v časti E prílohy I žiadateľom, ktorí dovŕšili vek 17 rokov.</w:t>
      </w:r>
      <w:r>
        <w:rPr>
          <w:b/>
          <w:szCs w:val="24"/>
          <w:lang w:eastAsia="en-US"/>
        </w:rPr>
        <w:t xml:space="preserve"> [PN 111]</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2.</w:t>
      </w:r>
      <w:r>
        <w:rPr>
          <w:szCs w:val="24"/>
          <w:lang w:eastAsia="en-US"/>
        </w:rPr>
        <w:tab/>
        <w:t>Držitelia vodičského preukazu označeného kódom Únie 98.02, kt</w:t>
      </w:r>
      <w:r>
        <w:rPr>
          <w:szCs w:val="24"/>
          <w:lang w:eastAsia="en-US"/>
        </w:rPr>
        <w:t>orí nedovŕšili vek 18 rokov, môžu viesť vozidlo len v sprievode osoby</w:t>
      </w:r>
      <w:r>
        <w:rPr>
          <w:b/>
          <w:i/>
          <w:szCs w:val="24"/>
          <w:lang w:eastAsia="en-US"/>
        </w:rPr>
        <w:t xml:space="preserve"> sediacej na prednom sedadle spolujazdca</w:t>
      </w:r>
      <w:r>
        <w:rPr>
          <w:szCs w:val="24"/>
          <w:lang w:eastAsia="en-US"/>
        </w:rPr>
        <w:t>, ktorá</w:t>
      </w:r>
      <w:r>
        <w:rPr>
          <w:b/>
          <w:i/>
          <w:szCs w:val="24"/>
          <w:lang w:eastAsia="en-US"/>
        </w:rPr>
        <w:t xml:space="preserve"> je schopná poskytovať usmernenia počas vedenia vozidla. Sprevádzajúca osoba dodržiava predpisy o vedení vozidla pod vplyvom alkoholu alebo </w:t>
      </w:r>
      <w:r>
        <w:rPr>
          <w:b/>
          <w:i/>
          <w:szCs w:val="24"/>
          <w:lang w:eastAsia="en-US"/>
        </w:rPr>
        <w:t>drog alebo v nespôsobilom stave z akéhokoľvek iného dôvodu a</w:t>
      </w:r>
      <w:r>
        <w:rPr>
          <w:szCs w:val="24"/>
          <w:lang w:eastAsia="en-US"/>
        </w:rPr>
        <w:t xml:space="preserve"> spĺňa tieto podmienky:</w:t>
      </w:r>
      <w:r>
        <w:rPr>
          <w:b/>
          <w:szCs w:val="24"/>
          <w:lang w:eastAsia="en-US"/>
        </w:rPr>
        <w:t xml:space="preserve"> [PN 112]</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má minimálny vek 25 rokov;</w:t>
      </w:r>
    </w:p>
    <w:p w:rsidR="006C6719" w:rsidRDefault="00614864">
      <w:pPr>
        <w:spacing w:before="120" w:after="120" w:line="360" w:lineRule="auto"/>
        <w:ind w:left="1416" w:hanging="566"/>
        <w:rPr>
          <w:b/>
          <w:szCs w:val="24"/>
          <w:lang w:eastAsia="en-US"/>
        </w:rPr>
      </w:pPr>
      <w:r>
        <w:rPr>
          <w:szCs w:val="24"/>
          <w:lang w:eastAsia="en-US"/>
        </w:rPr>
        <w:t>b)</w:t>
      </w:r>
      <w:r>
        <w:rPr>
          <w:szCs w:val="24"/>
          <w:lang w:eastAsia="en-US"/>
        </w:rPr>
        <w:tab/>
        <w:t>má vodičský preukaz</w:t>
      </w:r>
      <w:r>
        <w:rPr>
          <w:b/>
          <w:i/>
          <w:szCs w:val="24"/>
          <w:lang w:eastAsia="en-US"/>
        </w:rPr>
        <w:t xml:space="preserve"> EÚ</w:t>
      </w:r>
      <w:r>
        <w:rPr>
          <w:szCs w:val="24"/>
          <w:lang w:eastAsia="en-US"/>
        </w:rPr>
        <w:t xml:space="preserve"> príslušnej skupiny vydaný pred viac ako piatimi rokmi;</w:t>
      </w:r>
      <w:r>
        <w:rPr>
          <w:b/>
          <w:szCs w:val="24"/>
          <w:lang w:eastAsia="en-US"/>
        </w:rPr>
        <w:t xml:space="preserve"> [PN 113]</w:t>
      </w:r>
    </w:p>
    <w:p w:rsidR="006C6719" w:rsidRDefault="00614864">
      <w:pPr>
        <w:spacing w:before="120" w:after="120" w:line="360" w:lineRule="auto"/>
        <w:ind w:left="1416" w:hanging="566"/>
        <w:rPr>
          <w:szCs w:val="24"/>
          <w:lang w:eastAsia="en-US"/>
        </w:rPr>
      </w:pPr>
      <w:r>
        <w:rPr>
          <w:szCs w:val="24"/>
          <w:lang w:eastAsia="en-US"/>
        </w:rPr>
        <w:t>c)</w:t>
      </w:r>
      <w:r>
        <w:rPr>
          <w:szCs w:val="24"/>
          <w:lang w:eastAsia="en-US"/>
        </w:rPr>
        <w:tab/>
        <w:t>za posledných päť rokov nepodliehala zák</w:t>
      </w:r>
      <w:r>
        <w:rPr>
          <w:szCs w:val="24"/>
          <w:lang w:eastAsia="en-US"/>
        </w:rPr>
        <w:t>azu vedenia vozidla;</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nebola predmetom rozhodnutia v trestnoprávnej oblasti, ktoré vyplynulo z dopravného priestupku;</w:t>
      </w:r>
    </w:p>
    <w:p w:rsidR="006C6719" w:rsidRDefault="00614864">
      <w:pPr>
        <w:spacing w:before="120" w:after="120" w:line="360" w:lineRule="auto"/>
        <w:ind w:left="1416" w:hanging="566"/>
        <w:rPr>
          <w:b/>
          <w:szCs w:val="24"/>
          <w:lang w:eastAsia="en-US"/>
        </w:rPr>
      </w:pPr>
      <w:r>
        <w:rPr>
          <w:szCs w:val="24"/>
          <w:lang w:eastAsia="en-US"/>
        </w:rPr>
        <w:t>e)</w:t>
      </w:r>
      <w:r>
        <w:rPr>
          <w:szCs w:val="24"/>
          <w:lang w:eastAsia="en-US"/>
        </w:rPr>
        <w:tab/>
        <w:t xml:space="preserve">v prípade vozidla </w:t>
      </w:r>
      <w:r>
        <w:rPr>
          <w:strike/>
          <w:szCs w:val="24"/>
          <w:lang w:eastAsia="en-US"/>
        </w:rPr>
        <w:t>skupiny</w:t>
      </w:r>
      <w:r>
        <w:rPr>
          <w:szCs w:val="24"/>
          <w:lang w:eastAsia="en-US"/>
        </w:rPr>
        <w:t xml:space="preserve"> </w:t>
      </w:r>
      <w:r>
        <w:rPr>
          <w:b/>
          <w:i/>
          <w:szCs w:val="24"/>
          <w:lang w:eastAsia="en-US"/>
        </w:rPr>
        <w:t>skupín</w:t>
      </w:r>
      <w:r>
        <w:rPr>
          <w:szCs w:val="24"/>
          <w:lang w:eastAsia="en-US"/>
        </w:rPr>
        <w:t xml:space="preserve"> C</w:t>
      </w:r>
      <w:r>
        <w:rPr>
          <w:b/>
          <w:i/>
          <w:szCs w:val="24"/>
          <w:lang w:eastAsia="en-US"/>
        </w:rPr>
        <w:t xml:space="preserve"> a C1</w:t>
      </w:r>
      <w:r>
        <w:rPr>
          <w:szCs w:val="24"/>
          <w:lang w:eastAsia="en-US"/>
        </w:rPr>
        <w:t xml:space="preserve"> má kvalifikáciu a výcvik stanovené smernicou (EÚ) 2022/2561;</w:t>
      </w:r>
      <w:r>
        <w:rPr>
          <w:b/>
          <w:szCs w:val="24"/>
          <w:lang w:eastAsia="en-US"/>
        </w:rPr>
        <w:t xml:space="preserve"> [PN 114]</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416" w:hanging="566"/>
        <w:rPr>
          <w:b/>
          <w:szCs w:val="24"/>
          <w:lang w:eastAsia="en-US"/>
        </w:rPr>
      </w:pPr>
      <w:proofErr w:type="spellStart"/>
      <w:r>
        <w:rPr>
          <w:b/>
          <w:i/>
          <w:szCs w:val="24"/>
          <w:lang w:eastAsia="en-US"/>
        </w:rPr>
        <w:lastRenderedPageBreak/>
        <w:t>ea</w:t>
      </w:r>
      <w:proofErr w:type="spellEnd"/>
      <w:r>
        <w:rPr>
          <w:b/>
          <w:i/>
          <w:szCs w:val="24"/>
          <w:lang w:eastAsia="en-US"/>
        </w:rPr>
        <w:t>)</w:t>
      </w:r>
      <w:r>
        <w:rPr>
          <w:szCs w:val="24"/>
          <w:lang w:eastAsia="en-US"/>
        </w:rPr>
        <w:tab/>
      </w:r>
      <w:r>
        <w:rPr>
          <w:b/>
          <w:i/>
          <w:szCs w:val="24"/>
          <w:lang w:eastAsia="en-US"/>
        </w:rPr>
        <w:t>v prípade vozidla</w:t>
      </w:r>
      <w:r>
        <w:rPr>
          <w:b/>
          <w:i/>
          <w:szCs w:val="24"/>
          <w:lang w:eastAsia="en-US"/>
        </w:rPr>
        <w:t xml:space="preserve"> skupiny C a C1 absolvoval špecializovaný sedemhodinový výcvikový kurz na získanie potrebných odborných a pedagogických zručností v rámci pravidelného výcviku v oblasti osvedčení o odbornej spôsobilosti.</w:t>
      </w:r>
      <w:r>
        <w:rPr>
          <w:b/>
          <w:szCs w:val="24"/>
          <w:lang w:eastAsia="en-US"/>
        </w:rPr>
        <w:t xml:space="preserve"> [PN 115]</w:t>
      </w:r>
    </w:p>
    <w:p w:rsidR="006C6719" w:rsidRDefault="00614864">
      <w:pPr>
        <w:spacing w:before="120" w:after="120" w:line="360" w:lineRule="auto"/>
        <w:ind w:left="850"/>
        <w:rPr>
          <w:b/>
          <w:szCs w:val="24"/>
          <w:lang w:eastAsia="en-US"/>
        </w:rPr>
      </w:pPr>
      <w:r>
        <w:rPr>
          <w:b/>
          <w:i/>
          <w:szCs w:val="24"/>
          <w:lang w:eastAsia="en-US"/>
        </w:rPr>
        <w:t>Členské štáty môžu rozhodnúť o predĺžení tr</w:t>
      </w:r>
      <w:r>
        <w:rPr>
          <w:b/>
          <w:i/>
          <w:szCs w:val="24"/>
          <w:lang w:eastAsia="en-US"/>
        </w:rPr>
        <w:t xml:space="preserve">vania výcviku až na 14 hodín. </w:t>
      </w:r>
      <w:r>
        <w:rPr>
          <w:b/>
          <w:szCs w:val="24"/>
          <w:lang w:eastAsia="en-US"/>
        </w:rPr>
        <w:t>[PN 116]</w:t>
      </w:r>
    </w:p>
    <w:p w:rsidR="006C6719" w:rsidRDefault="00614864">
      <w:pPr>
        <w:spacing w:before="120" w:after="120" w:line="360" w:lineRule="auto"/>
        <w:ind w:left="850" w:hanging="850"/>
        <w:rPr>
          <w:szCs w:val="24"/>
          <w:lang w:eastAsia="en-US"/>
        </w:rPr>
      </w:pPr>
      <w:r>
        <w:rPr>
          <w:szCs w:val="24"/>
          <w:lang w:eastAsia="en-US"/>
        </w:rPr>
        <w:t>3.</w:t>
      </w:r>
      <w:r>
        <w:rPr>
          <w:szCs w:val="24"/>
          <w:lang w:eastAsia="en-US"/>
        </w:rPr>
        <w:tab/>
        <w:t>Členské štáty môžu požadovať identifikáciu sprevádzajúcich osôb uvedených v odseku 2 s cieľom zabezpečiť súlad s týmto článkom. Členské štáty môžu obmedziť počet možných sprevádzajúcich osôb.</w:t>
      </w:r>
    </w:p>
    <w:p w:rsidR="006C6719" w:rsidRDefault="00614864">
      <w:pPr>
        <w:spacing w:before="120" w:after="120" w:line="360" w:lineRule="auto"/>
        <w:ind w:left="850" w:hanging="850"/>
        <w:rPr>
          <w:b/>
          <w:szCs w:val="24"/>
          <w:lang w:eastAsia="en-US"/>
        </w:rPr>
      </w:pPr>
      <w:r>
        <w:rPr>
          <w:b/>
          <w:i/>
          <w:szCs w:val="24"/>
          <w:lang w:eastAsia="en-US"/>
        </w:rPr>
        <w:t>3a.</w:t>
      </w:r>
      <w:r>
        <w:rPr>
          <w:szCs w:val="24"/>
          <w:lang w:eastAsia="en-US"/>
        </w:rPr>
        <w:tab/>
      </w:r>
      <w:r>
        <w:rPr>
          <w:b/>
          <w:i/>
          <w:szCs w:val="24"/>
          <w:lang w:eastAsia="en-US"/>
        </w:rPr>
        <w:t>Systém vedenia voz</w:t>
      </w:r>
      <w:r>
        <w:rPr>
          <w:b/>
          <w:i/>
          <w:szCs w:val="24"/>
          <w:lang w:eastAsia="en-US"/>
        </w:rPr>
        <w:t>idla so sprievodom neobmedzuje existujúce možnosti členských štátov znížiť minimálny vek pre skupinu B, ako sa stanovuje v článku 7 ods. 2 tejto smernice, a uplatňovať súvisiace podmienky na vnútroštátnej úrovni.</w:t>
      </w:r>
      <w:r>
        <w:rPr>
          <w:b/>
          <w:szCs w:val="24"/>
          <w:lang w:eastAsia="en-US"/>
        </w:rPr>
        <w:t xml:space="preserve"> [PN 117]</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Členské štáty môžu uplatňovať ď</w:t>
      </w:r>
      <w:r>
        <w:rPr>
          <w:szCs w:val="24"/>
          <w:lang w:eastAsia="en-US"/>
        </w:rPr>
        <w:t>alšie podmienky na vydanie vodičského preukazu označeného kódom Únie 98.02 žiadateľom, ktorí nedovŕšili vek 18 rokov. Informujú o tom Komisiu. Komisia sprístupní tieto informácie verejnosti.</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4a.</w:t>
      </w:r>
      <w:r>
        <w:rPr>
          <w:szCs w:val="24"/>
          <w:lang w:eastAsia="en-US"/>
        </w:rPr>
        <w:tab/>
      </w:r>
      <w:r>
        <w:rPr>
          <w:b/>
          <w:i/>
          <w:szCs w:val="24"/>
          <w:lang w:eastAsia="en-US"/>
        </w:rPr>
        <w:t xml:space="preserve">Členské štáty môžu pre osoby s obvyklým bydliskom na ich </w:t>
      </w:r>
      <w:r>
        <w:rPr>
          <w:b/>
          <w:i/>
          <w:szCs w:val="24"/>
          <w:lang w:eastAsia="en-US"/>
        </w:rPr>
        <w:t>území znížiť vek stanovený v odseku 1, aby mohli realizovať pilotné projekty a zbierať údaje o vplyve systémov vedenia vozidla so sprievodom v nižšom veku ako súčasť výcviku žiadateľa, až kým žiadateľ nenajazdí 3 500 km. Ak chce členský štát využiť túto mo</w:t>
      </w:r>
      <w:r>
        <w:rPr>
          <w:b/>
          <w:i/>
          <w:szCs w:val="24"/>
          <w:lang w:eastAsia="en-US"/>
        </w:rPr>
        <w:t>žnosť, predloží Komisii odôvodnenú žiadosť. Komisia posúdi takúto žiadosť prostredníctvom dialógu s dotknutým členským štátom a prijme rozhodnutie do troch mesiacov. Komisia môže žiadosť schváliť alebo zamietnuť predložením odôvodneného stanoviska alebo ju</w:t>
      </w:r>
      <w:r>
        <w:rPr>
          <w:b/>
          <w:i/>
          <w:szCs w:val="24"/>
          <w:lang w:eastAsia="en-US"/>
        </w:rPr>
        <w:t xml:space="preserve"> schváliť na základe dodatočných podmienok s cieľom zaistiť bezpečnosť cestnej premávky. Ak Komisia udelí výnimku, ustanovenia odsekov 2, 3 a 4 zostávajú v platnosti. Členské štáty monitorujú výsledky schválených pilotných projektov a oznamujú ich Komisii.</w:t>
      </w:r>
      <w:r>
        <w:rPr>
          <w:b/>
          <w:i/>
          <w:szCs w:val="24"/>
          <w:lang w:eastAsia="en-US"/>
        </w:rPr>
        <w:t xml:space="preserve"> Komisia posúdi žiadosti a výsledky schválených pilotných projektov, ak sú k dispozícii, vo svojich pravidelných preskúmaniach.</w:t>
      </w:r>
      <w:r>
        <w:rPr>
          <w:b/>
          <w:szCs w:val="24"/>
          <w:lang w:eastAsia="en-US"/>
        </w:rPr>
        <w:t xml:space="preserve"> [PN 118]</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15</w:t>
      </w:r>
      <w:r>
        <w:rPr>
          <w:szCs w:val="24"/>
          <w:lang w:eastAsia="en-US"/>
        </w:rPr>
        <w:br/>
        <w:t xml:space="preserve">Skúšobná lehota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Držiteľ vodičského preukazu danej skupiny vydaného prvýkrát sa považuje za vodiča-začia</w:t>
      </w:r>
      <w:r>
        <w:rPr>
          <w:szCs w:val="24"/>
          <w:lang w:eastAsia="en-US"/>
        </w:rPr>
        <w:t>točníka a podlieha skúšobnej lehote v trvaní najmenej dva roky.</w:t>
      </w:r>
      <w:r>
        <w:rPr>
          <w:b/>
          <w:i/>
          <w:szCs w:val="24"/>
          <w:lang w:eastAsia="en-US"/>
        </w:rPr>
        <w:t xml:space="preserve"> Členské štáty stanovia pravidlá týkajúce sa dĺžky obdobia a sankcií pre vodičov-začiatočníkov.</w:t>
      </w:r>
      <w:r>
        <w:rPr>
          <w:b/>
          <w:szCs w:val="24"/>
          <w:lang w:eastAsia="en-US"/>
        </w:rPr>
        <w:t xml:space="preserve"> [PN 119]</w:t>
      </w:r>
    </w:p>
    <w:p w:rsidR="006C6719" w:rsidRDefault="00614864">
      <w:pPr>
        <w:spacing w:before="120" w:after="120" w:line="360" w:lineRule="auto"/>
        <w:ind w:left="850" w:hanging="850"/>
        <w:rPr>
          <w:b/>
          <w:szCs w:val="24"/>
          <w:lang w:eastAsia="en-US"/>
        </w:rPr>
      </w:pPr>
      <w:r>
        <w:rPr>
          <w:b/>
          <w:i/>
          <w:szCs w:val="24"/>
          <w:lang w:eastAsia="en-US"/>
        </w:rPr>
        <w:t>1a.</w:t>
      </w:r>
      <w:r>
        <w:rPr>
          <w:szCs w:val="24"/>
          <w:lang w:eastAsia="en-US"/>
        </w:rPr>
        <w:tab/>
      </w:r>
      <w:r>
        <w:rPr>
          <w:b/>
          <w:i/>
          <w:szCs w:val="24"/>
          <w:lang w:eastAsia="en-US"/>
        </w:rPr>
        <w:t>Členské štáty stanovia pre vodičov-začiatočníkov povinnosť zobrazovať štandardný dis</w:t>
      </w:r>
      <w:r>
        <w:rPr>
          <w:b/>
          <w:i/>
          <w:szCs w:val="24"/>
          <w:lang w:eastAsia="en-US"/>
        </w:rPr>
        <w:t>k Únie na zadnom čelnom skle svojho vozidla počas celej dĺžky skúšobnej lehoty. Komisia najneskôr do ... [šesť mesiacov odo dňa nadobudnutia účinnosti tejto smernice] prijme delegovaný akt v súlade s článkom 21, ktorým sa stanovia spoločné vizuálne špecifi</w:t>
      </w:r>
      <w:r>
        <w:rPr>
          <w:b/>
          <w:i/>
          <w:szCs w:val="24"/>
          <w:lang w:eastAsia="en-US"/>
        </w:rPr>
        <w:t>kácie pre spoločný disk.</w:t>
      </w:r>
      <w:r>
        <w:rPr>
          <w:b/>
          <w:szCs w:val="24"/>
          <w:lang w:eastAsia="en-US"/>
        </w:rPr>
        <w:t xml:space="preserve"> [PN 268]</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2.</w:t>
      </w:r>
      <w:r>
        <w:rPr>
          <w:szCs w:val="24"/>
          <w:lang w:eastAsia="en-US"/>
        </w:rPr>
        <w:tab/>
        <w:t xml:space="preserve">Členské štáty stanovia pravidlá týkajúce sa sankcií pre vodičov-začiatočníkov, ktorí vedú vozidlo s hladinou alkoholu v krvi presahujúcou </w:t>
      </w:r>
      <w:r>
        <w:rPr>
          <w:strike/>
          <w:szCs w:val="24"/>
          <w:lang w:eastAsia="en-US"/>
        </w:rPr>
        <w:t>0,0 g/ml</w:t>
      </w:r>
      <w:r>
        <w:rPr>
          <w:b/>
          <w:i/>
          <w:szCs w:val="24"/>
          <w:lang w:eastAsia="en-US"/>
        </w:rPr>
        <w:t>0,2 g/ml alebo pod vplyvom psychotropných látok či drog. Orgány presadz</w:t>
      </w:r>
      <w:r>
        <w:rPr>
          <w:b/>
          <w:i/>
          <w:szCs w:val="24"/>
          <w:lang w:eastAsia="en-US"/>
        </w:rPr>
        <w:t>ovania práva členských štátov stanovia prah merania nulovej technickej tolerancie na základe najnižšieho kvantifikačného limitu, ktorý zohľadňuje pasívne alebo náhodné vystavenie</w:t>
      </w:r>
      <w:r>
        <w:rPr>
          <w:szCs w:val="24"/>
          <w:lang w:eastAsia="en-US"/>
        </w:rPr>
        <w:t>, a prijmú všetky opatrenia potrebné na zabezpečenie ich vykonávania. Tieto sa</w:t>
      </w:r>
      <w:r>
        <w:rPr>
          <w:szCs w:val="24"/>
          <w:lang w:eastAsia="en-US"/>
        </w:rPr>
        <w:t>nkcie musia byť účinné, primerané, odrádzajúce a nediskriminačné</w:t>
      </w:r>
      <w:r>
        <w:rPr>
          <w:b/>
          <w:i/>
          <w:szCs w:val="24"/>
          <w:lang w:eastAsia="en-US"/>
        </w:rPr>
        <w:t xml:space="preserve"> a môžu zahŕňať zákaz vedenia vozidla</w:t>
      </w:r>
      <w:r>
        <w:rPr>
          <w:szCs w:val="24"/>
          <w:lang w:eastAsia="en-US"/>
        </w:rPr>
        <w:t>.</w:t>
      </w:r>
      <w:r>
        <w:rPr>
          <w:b/>
          <w:szCs w:val="24"/>
          <w:lang w:eastAsia="en-US"/>
        </w:rPr>
        <w:t xml:space="preserve"> [PN 120]</w:t>
      </w:r>
    </w:p>
    <w:p w:rsidR="006C6719" w:rsidRDefault="00614864">
      <w:pPr>
        <w:spacing w:before="120" w:after="120" w:line="360" w:lineRule="auto"/>
        <w:ind w:left="850" w:hanging="850"/>
        <w:rPr>
          <w:b/>
          <w:szCs w:val="24"/>
          <w:lang w:eastAsia="en-US"/>
        </w:rPr>
      </w:pPr>
      <w:r>
        <w:rPr>
          <w:b/>
          <w:i/>
          <w:szCs w:val="24"/>
          <w:lang w:eastAsia="en-US"/>
        </w:rPr>
        <w:t>2a.</w:t>
      </w:r>
      <w:r>
        <w:rPr>
          <w:szCs w:val="24"/>
          <w:lang w:eastAsia="en-US"/>
        </w:rPr>
        <w:tab/>
      </w:r>
      <w:r>
        <w:rPr>
          <w:b/>
          <w:i/>
          <w:szCs w:val="24"/>
          <w:lang w:eastAsia="en-US"/>
        </w:rPr>
        <w:t xml:space="preserve">Členské štáty stanovia prísnejšie pravidlá týkajúce sa sankcií pre vodičov-začiatočníkov, a to aj v prípadoch, keď nepoužívajú bezpečnostné </w:t>
      </w:r>
      <w:r>
        <w:rPr>
          <w:b/>
          <w:i/>
          <w:szCs w:val="24"/>
          <w:lang w:eastAsia="en-US"/>
        </w:rPr>
        <w:t>vybavenie alebo vedú vozidlo bez platného vodičského preukazu, a prijmú všetky opatrenia potrebné na zabezpečenie ich vykonávania. Uvedené sankcie musia byť účinné, primerané, odrádzajúce a nediskriminačné.</w:t>
      </w:r>
      <w:r>
        <w:rPr>
          <w:b/>
          <w:szCs w:val="24"/>
          <w:lang w:eastAsia="en-US"/>
        </w:rPr>
        <w:t xml:space="preserve"> [PN 121]</w:t>
      </w:r>
    </w:p>
    <w:p w:rsidR="006C6719" w:rsidRDefault="00614864">
      <w:pPr>
        <w:spacing w:before="120" w:after="120" w:line="360" w:lineRule="auto"/>
        <w:ind w:left="850" w:hanging="850"/>
        <w:rPr>
          <w:b/>
          <w:szCs w:val="24"/>
          <w:lang w:eastAsia="en-US"/>
        </w:rPr>
      </w:pPr>
      <w:r>
        <w:rPr>
          <w:b/>
          <w:i/>
          <w:szCs w:val="24"/>
          <w:lang w:eastAsia="en-US"/>
        </w:rPr>
        <w:t>2b.</w:t>
      </w:r>
      <w:r>
        <w:rPr>
          <w:szCs w:val="24"/>
          <w:lang w:eastAsia="en-US"/>
        </w:rPr>
        <w:tab/>
      </w:r>
      <w:r>
        <w:rPr>
          <w:b/>
          <w:i/>
          <w:szCs w:val="24"/>
          <w:lang w:eastAsia="en-US"/>
        </w:rPr>
        <w:t>Členské štáty môžu rozšíriť uplatňov</w:t>
      </w:r>
      <w:r>
        <w:rPr>
          <w:b/>
          <w:i/>
          <w:szCs w:val="24"/>
          <w:lang w:eastAsia="en-US"/>
        </w:rPr>
        <w:t>anie systému nulovej tolerancie pre alkohol a nelegálne psychotropné látky na všetkých vodičov.</w:t>
      </w:r>
      <w:r>
        <w:rPr>
          <w:b/>
          <w:szCs w:val="24"/>
          <w:lang w:eastAsia="en-US"/>
        </w:rPr>
        <w:t xml:space="preserve"> [PN 269]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3.</w:t>
      </w:r>
      <w:r>
        <w:rPr>
          <w:szCs w:val="24"/>
          <w:lang w:eastAsia="en-US"/>
        </w:rPr>
        <w:tab/>
        <w:t>Členské štáty môžu na svojom území stanoviť pre vodičov-začiatočníkov počas skúšobnej lehoty ďalšie pravidlá s cieľom zvýšiť bezpečnosť cestnej pr</w:t>
      </w:r>
      <w:r>
        <w:rPr>
          <w:szCs w:val="24"/>
          <w:lang w:eastAsia="en-US"/>
        </w:rPr>
        <w:t>emávky. Informujú o tom Komisiu.</w:t>
      </w:r>
      <w:r>
        <w:rPr>
          <w:b/>
          <w:i/>
          <w:szCs w:val="24"/>
          <w:lang w:eastAsia="en-US"/>
        </w:rPr>
        <w:t xml:space="preserve"> Tieto pravidlá nesmú obmedzovať nočnú jazdu.</w:t>
      </w:r>
      <w:r>
        <w:rPr>
          <w:b/>
          <w:szCs w:val="24"/>
          <w:lang w:eastAsia="en-US"/>
        </w:rPr>
        <w:t xml:space="preserve"> [PN 122]</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Členské štáty označia vodičské preukazy vydané počas skúšobnej lehoty kódom Únie 98.01 uvedeným v časti E prílohy I.</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 xml:space="preserve">Skúšobná lehota sa neuplatňuje na vodičov, </w:t>
      </w:r>
      <w:r>
        <w:rPr>
          <w:szCs w:val="24"/>
          <w:lang w:eastAsia="en-US"/>
        </w:rPr>
        <w:t>ktorí získali vodičský preukaz skupiny A2 alebo A v súlade s článkom 10 ods. 1 písm. c).</w:t>
      </w:r>
    </w:p>
    <w:p w:rsidR="006C6719" w:rsidRDefault="00614864">
      <w:pPr>
        <w:spacing w:before="120" w:after="120" w:line="360" w:lineRule="auto"/>
        <w:ind w:left="850" w:hanging="850"/>
        <w:rPr>
          <w:b/>
          <w:szCs w:val="24"/>
          <w:lang w:eastAsia="en-US"/>
        </w:rPr>
      </w:pPr>
      <w:r>
        <w:rPr>
          <w:b/>
          <w:i/>
          <w:szCs w:val="24"/>
          <w:lang w:eastAsia="en-US"/>
        </w:rPr>
        <w:t>5a.</w:t>
      </w:r>
      <w:r>
        <w:rPr>
          <w:szCs w:val="24"/>
          <w:lang w:eastAsia="en-US"/>
        </w:rPr>
        <w:tab/>
      </w:r>
      <w:r>
        <w:rPr>
          <w:b/>
          <w:i/>
          <w:szCs w:val="24"/>
          <w:lang w:eastAsia="en-US"/>
        </w:rPr>
        <w:t>V prípade vodičov, ktorí si počas skúšobnej lehoty rozšíria predtým vydaný vodičský preukaz určitej skupiny o novú skupinu, sa skúšobná lehota pre novú skupinu môž</w:t>
      </w:r>
      <w:r>
        <w:rPr>
          <w:b/>
          <w:i/>
          <w:szCs w:val="24"/>
          <w:lang w:eastAsia="en-US"/>
        </w:rPr>
        <w:t>e skrátiť s prihliadnutím na už absolvovanú skúšobnú lehotu, pričom musí trvať minimálne šesť mesiacov. Takéto skrátenie sa neuplatňuje, ak je existujúci vodičský preukaz vydaný len pre skupinu AM.</w:t>
      </w:r>
      <w:r>
        <w:rPr>
          <w:b/>
          <w:szCs w:val="24"/>
          <w:lang w:eastAsia="en-US"/>
        </w:rPr>
        <w:t xml:space="preserve"> [PN 123]</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850" w:hanging="850"/>
        <w:rPr>
          <w:b/>
          <w:szCs w:val="24"/>
          <w:lang w:eastAsia="en-US"/>
        </w:rPr>
      </w:pPr>
      <w:r>
        <w:rPr>
          <w:b/>
          <w:i/>
          <w:szCs w:val="24"/>
          <w:lang w:eastAsia="en-US"/>
        </w:rPr>
        <w:lastRenderedPageBreak/>
        <w:t>5b.</w:t>
      </w:r>
      <w:r>
        <w:rPr>
          <w:szCs w:val="24"/>
          <w:lang w:eastAsia="en-US"/>
        </w:rPr>
        <w:tab/>
      </w:r>
      <w:r>
        <w:rPr>
          <w:b/>
          <w:i/>
          <w:szCs w:val="24"/>
          <w:lang w:eastAsia="en-US"/>
        </w:rPr>
        <w:t>Členským štátom sa odporúča, aby do svojich</w:t>
      </w:r>
      <w:r>
        <w:rPr>
          <w:b/>
          <w:i/>
          <w:szCs w:val="24"/>
          <w:lang w:eastAsia="en-US"/>
        </w:rPr>
        <w:t xml:space="preserve"> osnov pre základné a stredné školy zaradili vekovo primeranú dopravnú výchovu zameranú na pravidlá bezpečnosti cestnej premávky a poučenie o dopravných rizikách. Členské štáty môžu na finančnú podporu takýchto iniciatív použiť príjmy vyčlenené podľa [smer</w:t>
      </w:r>
      <w:r>
        <w:rPr>
          <w:b/>
          <w:i/>
          <w:szCs w:val="24"/>
          <w:lang w:eastAsia="en-US"/>
        </w:rPr>
        <w:t>nice Európskeho parlamentu a Rady 2015/413</w:t>
      </w:r>
      <w:r>
        <w:rPr>
          <w:szCs w:val="24"/>
          <w:vertAlign w:val="superscript"/>
          <w:lang w:eastAsia="en-US"/>
        </w:rPr>
        <w:footnoteReference w:id="21"/>
      </w:r>
      <w:r>
        <w:rPr>
          <w:b/>
          <w:i/>
          <w:szCs w:val="24"/>
          <w:lang w:eastAsia="en-US"/>
        </w:rPr>
        <w:t>]. Komisia môže použiť zdroje uvedené v [článku 8a uvedenej smernice] aj na finančnú podporu takýchto iniciatív.</w:t>
      </w:r>
      <w:r>
        <w:rPr>
          <w:b/>
          <w:szCs w:val="24"/>
          <w:lang w:eastAsia="en-US"/>
        </w:rPr>
        <w:t xml:space="preserve"> [PN 124]</w:t>
      </w:r>
    </w:p>
    <w:p w:rsidR="006C6719" w:rsidRDefault="00614864">
      <w:pPr>
        <w:spacing w:before="120" w:after="120" w:line="360" w:lineRule="auto"/>
        <w:jc w:val="center"/>
        <w:rPr>
          <w:szCs w:val="24"/>
          <w:lang w:eastAsia="en-US"/>
        </w:rPr>
      </w:pPr>
      <w:r>
        <w:rPr>
          <w:szCs w:val="24"/>
          <w:lang w:eastAsia="en-US"/>
        </w:rPr>
        <w:t>Článok 16</w:t>
      </w:r>
      <w:r>
        <w:rPr>
          <w:szCs w:val="24"/>
          <w:lang w:eastAsia="en-US"/>
        </w:rPr>
        <w:br/>
        <w:t xml:space="preserve">Skúšajúci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Skúšajúci spĺňajú minimálne normy stanovené v prílohe IV.</w:t>
      </w:r>
    </w:p>
    <w:p w:rsidR="006C6719" w:rsidRDefault="00614864">
      <w:pPr>
        <w:spacing w:before="120" w:after="120" w:line="360" w:lineRule="auto"/>
        <w:ind w:left="850"/>
        <w:rPr>
          <w:b/>
          <w:szCs w:val="24"/>
          <w:lang w:eastAsia="en-US"/>
        </w:rPr>
      </w:pPr>
      <w:r>
        <w:rPr>
          <w:szCs w:val="24"/>
          <w:lang w:eastAsia="en-US"/>
        </w:rPr>
        <w:t>Skúšajúci</w:t>
      </w:r>
      <w:r>
        <w:rPr>
          <w:szCs w:val="24"/>
          <w:lang w:eastAsia="en-US"/>
        </w:rPr>
        <w:t xml:space="preserve">, ktorí vykonávali túto funkciu už pred </w:t>
      </w:r>
      <w:r>
        <w:rPr>
          <w:strike/>
          <w:szCs w:val="24"/>
          <w:lang w:eastAsia="en-US"/>
        </w:rPr>
        <w:t>19. januárom 2013</w:t>
      </w:r>
      <w:r>
        <w:rPr>
          <w:b/>
          <w:i/>
          <w:szCs w:val="24"/>
          <w:lang w:eastAsia="en-US"/>
        </w:rPr>
        <w:t>nadobudnutím účinnosti tejto smernice</w:t>
      </w:r>
      <w:r>
        <w:rPr>
          <w:szCs w:val="24"/>
          <w:lang w:eastAsia="en-US"/>
        </w:rPr>
        <w:t>, podliehajú len požiadavkám na zabezpečenie kvality a požiadavkám na pravidelnú odbornú prípravu.</w:t>
      </w:r>
      <w:r>
        <w:rPr>
          <w:b/>
          <w:szCs w:val="24"/>
          <w:lang w:eastAsia="en-US"/>
        </w:rPr>
        <w:t xml:space="preserve"> [PN 125]</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Komisia je v súlade s článkom 21 splnomocnená prijí</w:t>
      </w:r>
      <w:r>
        <w:rPr>
          <w:szCs w:val="24"/>
          <w:lang w:eastAsia="en-US"/>
        </w:rPr>
        <w:t>mať delegované akty, ktorými sa na účely zohľadnenia technického, prevádzkového alebo vedeckého vývoja mení príloha IV.</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17</w:t>
      </w:r>
      <w:r>
        <w:rPr>
          <w:szCs w:val="24"/>
          <w:lang w:eastAsia="en-US"/>
        </w:rPr>
        <w:br/>
        <w:t xml:space="preserve">Obvyklé bydlisko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 xml:space="preserve">Na účely tejto smernice je obvyklé bydlisko miesto, kde osoba zvyčajne býva minimálne 185 dní v každom </w:t>
      </w:r>
      <w:r>
        <w:rPr>
          <w:szCs w:val="24"/>
          <w:lang w:eastAsia="en-US"/>
        </w:rPr>
        <w:t xml:space="preserve">kalendárnom roku z dôvodu jej osobných </w:t>
      </w:r>
      <w:proofErr w:type="spellStart"/>
      <w:r>
        <w:rPr>
          <w:strike/>
          <w:szCs w:val="24"/>
          <w:lang w:eastAsia="en-US"/>
        </w:rPr>
        <w:t>a</w:t>
      </w:r>
      <w:r>
        <w:rPr>
          <w:b/>
          <w:i/>
          <w:szCs w:val="24"/>
          <w:lang w:eastAsia="en-US"/>
        </w:rPr>
        <w:t>alebo</w:t>
      </w:r>
      <w:proofErr w:type="spellEnd"/>
      <w:r>
        <w:rPr>
          <w:szCs w:val="24"/>
          <w:lang w:eastAsia="en-US"/>
        </w:rPr>
        <w:t xml:space="preserve"> pracovných väzieb </w:t>
      </w:r>
      <w:proofErr w:type="spellStart"/>
      <w:r>
        <w:rPr>
          <w:strike/>
          <w:szCs w:val="24"/>
          <w:lang w:eastAsia="en-US"/>
        </w:rPr>
        <w:t>alebo</w:t>
      </w:r>
      <w:r>
        <w:rPr>
          <w:b/>
          <w:i/>
          <w:szCs w:val="24"/>
          <w:lang w:eastAsia="en-US"/>
        </w:rPr>
        <w:t>a</w:t>
      </w:r>
      <w:proofErr w:type="spellEnd"/>
      <w:r>
        <w:rPr>
          <w:szCs w:val="24"/>
          <w:lang w:eastAsia="en-US"/>
        </w:rPr>
        <w:t xml:space="preserve"> v prípade osoby bez pracovných väzieb z dôvodu osobných väzieb, ktoré preukazujú úzke spojenie medzi touto osobou a miestom, kde býva.</w:t>
      </w:r>
      <w:r>
        <w:rPr>
          <w:b/>
          <w:szCs w:val="24"/>
          <w:lang w:eastAsia="en-US"/>
        </w:rPr>
        <w:t xml:space="preserve"> [PN 126]</w:t>
      </w:r>
    </w:p>
    <w:p w:rsidR="006C6719" w:rsidRDefault="00614864">
      <w:pPr>
        <w:spacing w:before="120" w:after="120" w:line="360" w:lineRule="auto"/>
        <w:ind w:left="850"/>
        <w:rPr>
          <w:szCs w:val="24"/>
          <w:lang w:eastAsia="en-US"/>
        </w:rPr>
      </w:pPr>
      <w:r>
        <w:rPr>
          <w:szCs w:val="24"/>
          <w:lang w:eastAsia="en-US"/>
        </w:rPr>
        <w:t>Za obvyklé bydlisko osoby, ktorá má praco</w:t>
      </w:r>
      <w:r>
        <w:rPr>
          <w:szCs w:val="24"/>
          <w:lang w:eastAsia="en-US"/>
        </w:rPr>
        <w:t>vné väzby na inom mieste, ako je miesto, kde má osobné väzby, a ktorá striedavo býva na rozdielnych miestach nachádzajúcich sa v dvoch alebo viacerých členských štátoch, sa však považuje miesto jej osobných väzieb za predpokladu, že sa tam pravidelne vraci</w:t>
      </w:r>
      <w:r>
        <w:rPr>
          <w:szCs w:val="24"/>
          <w:lang w:eastAsia="en-US"/>
        </w:rPr>
        <w:t>a. Táto posledná podmienka nemusí byť splnená, ak osoba žije v členskom štáte preto, aby vykonávala úlohu na určitý čas. Štúdium na univerzite alebo škole neznamená zmenu obvyklého bydliska.</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2.</w:t>
      </w:r>
      <w:r>
        <w:rPr>
          <w:szCs w:val="24"/>
          <w:lang w:eastAsia="en-US"/>
        </w:rPr>
        <w:tab/>
        <w:t xml:space="preserve">Na účely článku 10 ods. 3 písm. b) a článku 11 ods. 4 sa za </w:t>
      </w:r>
      <w:r>
        <w:rPr>
          <w:szCs w:val="24"/>
          <w:lang w:eastAsia="en-US"/>
        </w:rPr>
        <w:t>obvyklé bydlisko personálu diplomatických služieb Únie alebo jej členských štátov, alebo členov ich rodín tvoriacich ich domácnosti považuje bydlisko na území členských štátov, ktoré vydali vodičské preukazy, ktoré sa obnovujú alebo nahrádzajú.</w:t>
      </w:r>
    </w:p>
    <w:p w:rsidR="006C6719" w:rsidRDefault="00614864">
      <w:pPr>
        <w:spacing w:before="120" w:after="120" w:line="360" w:lineRule="auto"/>
        <w:ind w:left="850"/>
        <w:rPr>
          <w:szCs w:val="24"/>
          <w:lang w:eastAsia="en-US"/>
        </w:rPr>
      </w:pPr>
      <w:r>
        <w:rPr>
          <w:szCs w:val="24"/>
          <w:lang w:eastAsia="en-US"/>
        </w:rPr>
        <w:t>Na účely to</w:t>
      </w:r>
      <w:r>
        <w:rPr>
          <w:szCs w:val="24"/>
          <w:lang w:eastAsia="en-US"/>
        </w:rPr>
        <w:t>hto článku „diplomatické služby Únie“ zahŕňajú úradníkov z príslušných oddelení Generálneho sekretariátu Rady a Komisie, ako aj personál vyslaný z národných diplomatických služieb členských štátov a akéhokoľvek iného zamestnanca alebo dodávateľa pracujúceh</w:t>
      </w:r>
      <w:r>
        <w:rPr>
          <w:szCs w:val="24"/>
          <w:lang w:eastAsia="en-US"/>
        </w:rPr>
        <w:t>o pre inštitúcie, orgány, úrady a agentúry Únie v oblasti vonkajšieho zastupovania a ktorí na to, aby mohli vykonávať svoje zmluvné povinnosti, musia žiť minimálne 181 dní v kalendárnom roku na území jednej alebo viacerých tretích krajín.</w:t>
      </w:r>
    </w:p>
    <w:p w:rsidR="006C6719" w:rsidRDefault="00614864">
      <w:pPr>
        <w:spacing w:before="120" w:after="120" w:line="360" w:lineRule="auto"/>
        <w:ind w:left="850" w:hanging="850"/>
        <w:rPr>
          <w:szCs w:val="24"/>
          <w:lang w:eastAsia="en-US"/>
        </w:rPr>
      </w:pPr>
      <w:r>
        <w:rPr>
          <w:szCs w:val="24"/>
          <w:lang w:eastAsia="en-US"/>
        </w:rPr>
        <w:t>3.</w:t>
      </w:r>
      <w:r>
        <w:rPr>
          <w:szCs w:val="24"/>
          <w:lang w:eastAsia="en-US"/>
        </w:rPr>
        <w:tab/>
        <w:t>Ak držiteľ vod</w:t>
      </w:r>
      <w:r>
        <w:rPr>
          <w:szCs w:val="24"/>
          <w:lang w:eastAsia="en-US"/>
        </w:rPr>
        <w:t>ičského preukazu nemôže preukázať, že má svoje obvyklé bydlisko v danom členskom štáte podľa odseku 1, držiteľ si môže v rámci krajného opatrenia nechať obnoviť vodičský preukaz v členskom štáte, ktorý ho pôvodne vydal.</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b/>
          <w:szCs w:val="24"/>
          <w:lang w:eastAsia="en-US"/>
        </w:rPr>
      </w:pPr>
      <w:r>
        <w:rPr>
          <w:szCs w:val="24"/>
          <w:lang w:eastAsia="en-US"/>
        </w:rPr>
        <w:lastRenderedPageBreak/>
        <w:t>4.</w:t>
      </w:r>
      <w:r>
        <w:rPr>
          <w:szCs w:val="24"/>
          <w:lang w:eastAsia="en-US"/>
        </w:rPr>
        <w:tab/>
        <w:t>Odchylne od článku 10 ods. 1 pí</w:t>
      </w:r>
      <w:r>
        <w:rPr>
          <w:szCs w:val="24"/>
          <w:lang w:eastAsia="en-US"/>
        </w:rPr>
        <w:t>sm. e) a na osobitný účel prvého vydania vodičského preukazu</w:t>
      </w:r>
      <w:r>
        <w:rPr>
          <w:strike/>
          <w:szCs w:val="24"/>
          <w:lang w:eastAsia="en-US"/>
        </w:rPr>
        <w:t xml:space="preserve"> skupiny B</w:t>
      </w:r>
      <w:r>
        <w:rPr>
          <w:szCs w:val="24"/>
          <w:lang w:eastAsia="en-US"/>
        </w:rPr>
        <w:t xml:space="preserve"> si žiadateľ, ktorého členský štát obvyklého bydliska je iný ako členský štát jeho štátneho občianstva, môže nechať vydať vodičský preukaz členským štátom jeho štátneho občianstva, ak čl</w:t>
      </w:r>
      <w:r>
        <w:rPr>
          <w:szCs w:val="24"/>
          <w:lang w:eastAsia="en-US"/>
        </w:rPr>
        <w:t xml:space="preserve">enský štát obvyklého bydliska neposkytuje možnosť zloženia teoretickej alebo praktickej skúšky v jednom z úradných jazykov </w:t>
      </w:r>
      <w:r>
        <w:rPr>
          <w:b/>
          <w:i/>
          <w:szCs w:val="24"/>
          <w:lang w:eastAsia="en-US"/>
        </w:rPr>
        <w:t xml:space="preserve">EÚ </w:t>
      </w:r>
      <w:r>
        <w:rPr>
          <w:szCs w:val="24"/>
          <w:lang w:eastAsia="en-US"/>
        </w:rPr>
        <w:t>členského štátu štátneho občianstva alebo s tlmočníkom.</w:t>
      </w:r>
      <w:r>
        <w:rPr>
          <w:b/>
          <w:szCs w:val="24"/>
          <w:lang w:eastAsia="en-US"/>
        </w:rPr>
        <w:t xml:space="preserve"> [PN 127]</w:t>
      </w:r>
    </w:p>
    <w:p w:rsidR="006C6719" w:rsidRDefault="00614864">
      <w:pPr>
        <w:spacing w:before="120" w:after="120" w:line="360" w:lineRule="auto"/>
        <w:jc w:val="center"/>
        <w:rPr>
          <w:szCs w:val="24"/>
          <w:lang w:eastAsia="en-US"/>
        </w:rPr>
      </w:pPr>
      <w:r>
        <w:rPr>
          <w:szCs w:val="24"/>
          <w:lang w:eastAsia="en-US"/>
        </w:rPr>
        <w:t>Článok 18</w:t>
      </w:r>
      <w:r>
        <w:rPr>
          <w:szCs w:val="24"/>
          <w:lang w:eastAsia="en-US"/>
        </w:rPr>
        <w:br/>
        <w:t xml:space="preserve">Rovnocennosť vodičských preukazov, ktoré nezodpovedajú </w:t>
      </w:r>
      <w:r>
        <w:rPr>
          <w:szCs w:val="24"/>
          <w:lang w:eastAsia="en-US"/>
        </w:rPr>
        <w:t xml:space="preserve">štandardnému vzoru Únie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t>Členské štáty uplatňujú rovnocennosť stanovenú rozhodnutím Komisie (EÚ) 2016/1945</w:t>
      </w:r>
      <w:r>
        <w:rPr>
          <w:szCs w:val="24"/>
          <w:vertAlign w:val="superscript"/>
          <w:lang w:eastAsia="en-US"/>
        </w:rPr>
        <w:footnoteReference w:id="22"/>
      </w:r>
      <w:r>
        <w:rPr>
          <w:szCs w:val="24"/>
          <w:lang w:eastAsia="en-US"/>
        </w:rPr>
        <w:t xml:space="preserve">medzi oprávneniami, ktoré existovali pred </w:t>
      </w:r>
      <w:r>
        <w:rPr>
          <w:strike/>
          <w:szCs w:val="24"/>
          <w:lang w:eastAsia="en-US"/>
        </w:rPr>
        <w:t>19. januárom 2013</w:t>
      </w:r>
      <w:r>
        <w:rPr>
          <w:b/>
          <w:i/>
          <w:szCs w:val="24"/>
          <w:lang w:eastAsia="en-US"/>
        </w:rPr>
        <w:t>nadobudnutím účinnosti tejto smernice</w:t>
      </w:r>
      <w:r>
        <w:rPr>
          <w:szCs w:val="24"/>
          <w:lang w:eastAsia="en-US"/>
        </w:rPr>
        <w:t>, a skupinami stanovenými v článku 6 tejto smernic</w:t>
      </w:r>
      <w:r>
        <w:rPr>
          <w:szCs w:val="24"/>
          <w:lang w:eastAsia="en-US"/>
        </w:rPr>
        <w:t>e.</w:t>
      </w:r>
      <w:r>
        <w:rPr>
          <w:b/>
          <w:szCs w:val="24"/>
          <w:lang w:eastAsia="en-US"/>
        </w:rPr>
        <w:t xml:space="preserve"> [PN 128]</w:t>
      </w:r>
    </w:p>
    <w:p w:rsidR="006C6719" w:rsidRDefault="00614864">
      <w:pPr>
        <w:spacing w:before="120" w:after="120" w:line="360" w:lineRule="auto"/>
        <w:ind w:left="850" w:hanging="850"/>
        <w:rPr>
          <w:b/>
          <w:szCs w:val="24"/>
          <w:lang w:eastAsia="en-US"/>
        </w:rPr>
      </w:pPr>
      <w:r>
        <w:rPr>
          <w:szCs w:val="24"/>
          <w:lang w:eastAsia="en-US"/>
        </w:rPr>
        <w:t>2.</w:t>
      </w:r>
      <w:r>
        <w:rPr>
          <w:szCs w:val="24"/>
          <w:lang w:eastAsia="en-US"/>
        </w:rPr>
        <w:tab/>
        <w:t xml:space="preserve">Vodičské oprávnenie udelené pred </w:t>
      </w:r>
      <w:r>
        <w:rPr>
          <w:strike/>
          <w:szCs w:val="24"/>
          <w:lang w:eastAsia="en-US"/>
        </w:rPr>
        <w:t>19. januárom 2013</w:t>
      </w:r>
      <w:r>
        <w:rPr>
          <w:b/>
          <w:i/>
          <w:szCs w:val="24"/>
          <w:lang w:eastAsia="en-US"/>
        </w:rPr>
        <w:t>nadobudnutím účinnosti tejto smernice</w:t>
      </w:r>
      <w:r>
        <w:rPr>
          <w:szCs w:val="24"/>
          <w:lang w:eastAsia="en-US"/>
        </w:rPr>
        <w:t xml:space="preserve"> sa nezruší, ani sa neposudzuje podľa ustanovení tejto smernice.</w:t>
      </w:r>
      <w:r>
        <w:rPr>
          <w:b/>
          <w:szCs w:val="24"/>
          <w:lang w:eastAsia="en-US"/>
        </w:rPr>
        <w:t xml:space="preserve"> [PN 129]</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19</w:t>
      </w:r>
      <w:r>
        <w:rPr>
          <w:szCs w:val="24"/>
          <w:lang w:eastAsia="en-US"/>
        </w:rPr>
        <w:br/>
        <w:t>Vzájomná pomoc</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 xml:space="preserve">Členské štáty si pri vykonávaní tejto smernice </w:t>
      </w:r>
      <w:r>
        <w:rPr>
          <w:szCs w:val="24"/>
          <w:lang w:eastAsia="en-US"/>
        </w:rPr>
        <w:t>navzájom pomáhajú. Vymieňajú si informácie o vodičských preukazoch, ktoré vydali, vymenili, nahradili, obnovili, obmedzili, pozastavili, odobrali, zrušili, alebo odvolali, o zákazoch vedenia vozidla, ktoré uložili, alebo plánujú schváliť, a vzájomne konzul</w:t>
      </w:r>
      <w:r>
        <w:rPr>
          <w:szCs w:val="24"/>
          <w:lang w:eastAsia="en-US"/>
        </w:rPr>
        <w:t>tujú, aby si overili, či žiadateľ o vodičský preukaz nepodlieha zákazu vedenia vozidla v žiadnom členskom štáte. Využívajú sieť vodičských preukazov EÚ zriadenú na uvedené účely.</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Členské štáty môžu využívať sieť vodičských preukazov EÚ aj na výmenu info</w:t>
      </w:r>
      <w:r>
        <w:rPr>
          <w:szCs w:val="24"/>
          <w:lang w:eastAsia="en-US"/>
        </w:rPr>
        <w:t>rmácií na tieto účely:</w:t>
      </w:r>
    </w:p>
    <w:p w:rsidR="006C6719" w:rsidRDefault="00614864">
      <w:pPr>
        <w:spacing w:before="120" w:after="120" w:line="360" w:lineRule="auto"/>
        <w:ind w:left="1416" w:hanging="566"/>
        <w:rPr>
          <w:szCs w:val="24"/>
          <w:lang w:eastAsia="en-US"/>
        </w:rPr>
      </w:pPr>
      <w:r>
        <w:rPr>
          <w:szCs w:val="24"/>
          <w:lang w:eastAsia="en-US"/>
        </w:rPr>
        <w:t>a)</w:t>
      </w:r>
      <w:r>
        <w:rPr>
          <w:szCs w:val="24"/>
          <w:lang w:eastAsia="en-US"/>
        </w:rPr>
        <w:tab/>
        <w:t>umožňovať svojim orgánom overiť platnosť a pravosť vodičského preukazu počas cestných kontrol alebo v rámci opatrení proti falšovaniu;</w:t>
      </w:r>
    </w:p>
    <w:p w:rsidR="006C6719" w:rsidRDefault="00614864">
      <w:pPr>
        <w:spacing w:before="120" w:after="120" w:line="360" w:lineRule="auto"/>
        <w:ind w:left="1416" w:hanging="566"/>
        <w:rPr>
          <w:szCs w:val="24"/>
          <w:lang w:eastAsia="en-US"/>
        </w:rPr>
      </w:pPr>
      <w:r>
        <w:rPr>
          <w:szCs w:val="24"/>
          <w:lang w:eastAsia="en-US"/>
        </w:rPr>
        <w:t>b)</w:t>
      </w:r>
      <w:r>
        <w:rPr>
          <w:szCs w:val="24"/>
          <w:lang w:eastAsia="en-US"/>
        </w:rPr>
        <w:tab/>
        <w:t>uľahčovať vyšetrovania, ktorých cieľom je identifikovať osobu zodpovednú za dopravné priestu</w:t>
      </w:r>
      <w:r>
        <w:rPr>
          <w:szCs w:val="24"/>
          <w:lang w:eastAsia="en-US"/>
        </w:rPr>
        <w:t>pky súvisiace s bezpečnosťou cestnej premávky v súlade so smernicou Európskeho parlamentu a Rady (EÚ) 2015/413</w:t>
      </w:r>
      <w:r>
        <w:rPr>
          <w:szCs w:val="24"/>
          <w:vertAlign w:val="superscript"/>
          <w:lang w:eastAsia="en-US"/>
        </w:rPr>
        <w:footnoteReference w:id="23"/>
      </w:r>
      <w:r>
        <w:rPr>
          <w:szCs w:val="24"/>
          <w:lang w:eastAsia="en-US"/>
        </w:rPr>
        <w:t>;</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416" w:hanging="566"/>
        <w:rPr>
          <w:b/>
          <w:szCs w:val="24"/>
          <w:lang w:eastAsia="en-US"/>
        </w:rPr>
      </w:pPr>
      <w:r>
        <w:rPr>
          <w:szCs w:val="24"/>
          <w:lang w:eastAsia="en-US"/>
        </w:rPr>
        <w:lastRenderedPageBreak/>
        <w:t>c)</w:t>
      </w:r>
      <w:r>
        <w:rPr>
          <w:szCs w:val="24"/>
          <w:lang w:eastAsia="en-US"/>
        </w:rPr>
        <w:tab/>
        <w:t>predchádzať deliktom</w:t>
      </w:r>
      <w:r>
        <w:rPr>
          <w:b/>
          <w:i/>
          <w:szCs w:val="24"/>
          <w:lang w:eastAsia="en-US"/>
        </w:rPr>
        <w:t xml:space="preserve"> súvisiacim s cestnou premávkou</w:t>
      </w:r>
      <w:r>
        <w:rPr>
          <w:szCs w:val="24"/>
          <w:lang w:eastAsia="en-US"/>
        </w:rPr>
        <w:t>, odhaľovať</w:t>
      </w:r>
      <w:r>
        <w:rPr>
          <w:b/>
          <w:i/>
          <w:szCs w:val="24"/>
          <w:lang w:eastAsia="en-US"/>
        </w:rPr>
        <w:t xml:space="preserve"> ich</w:t>
      </w:r>
      <w:r>
        <w:rPr>
          <w:szCs w:val="24"/>
          <w:lang w:eastAsia="en-US"/>
        </w:rPr>
        <w:t xml:space="preserve"> a vyšetrovať </w:t>
      </w:r>
      <w:r>
        <w:rPr>
          <w:strike/>
          <w:szCs w:val="24"/>
          <w:lang w:eastAsia="en-US"/>
        </w:rPr>
        <w:t xml:space="preserve">ich, ako sa </w:t>
      </w:r>
      <w:proofErr w:type="spellStart"/>
      <w:r>
        <w:rPr>
          <w:strike/>
          <w:szCs w:val="24"/>
          <w:lang w:eastAsia="en-US"/>
        </w:rPr>
        <w:t>uvádza</w:t>
      </w:r>
      <w:r>
        <w:rPr>
          <w:b/>
          <w:i/>
          <w:szCs w:val="24"/>
          <w:lang w:eastAsia="en-US"/>
        </w:rPr>
        <w:t>v</w:t>
      </w:r>
      <w:proofErr w:type="spellEnd"/>
      <w:r>
        <w:rPr>
          <w:b/>
          <w:i/>
          <w:szCs w:val="24"/>
          <w:lang w:eastAsia="en-US"/>
        </w:rPr>
        <w:t xml:space="preserve"> súlade s</w:t>
      </w:r>
      <w:r>
        <w:rPr>
          <w:szCs w:val="24"/>
          <w:lang w:eastAsia="en-US"/>
        </w:rPr>
        <w:t xml:space="preserve"> [ODKAZ NA PRÜM II]</w:t>
      </w:r>
      <w:r>
        <w:rPr>
          <w:b/>
          <w:i/>
          <w:szCs w:val="24"/>
          <w:lang w:eastAsia="en-US"/>
        </w:rPr>
        <w:t xml:space="preserve"> za predpok</w:t>
      </w:r>
      <w:r>
        <w:rPr>
          <w:b/>
          <w:i/>
          <w:szCs w:val="24"/>
          <w:lang w:eastAsia="en-US"/>
        </w:rPr>
        <w:t>ladu, že sa na tento účel uplatňujú všetky v ňom uvedené podmienky potrebné na tento účel, a že sa náležite dodržiava zásada obmedzenia účelu, nevyhnutnosti a proporcionality</w:t>
      </w:r>
      <w:r>
        <w:rPr>
          <w:szCs w:val="24"/>
          <w:lang w:eastAsia="en-US"/>
        </w:rPr>
        <w:t>;</w:t>
      </w:r>
      <w:r>
        <w:rPr>
          <w:b/>
          <w:szCs w:val="24"/>
          <w:lang w:eastAsia="en-US"/>
        </w:rPr>
        <w:t xml:space="preserve"> [PN 130]</w:t>
      </w:r>
    </w:p>
    <w:p w:rsidR="006C6719" w:rsidRDefault="00614864">
      <w:pPr>
        <w:spacing w:before="120" w:after="120" w:line="360" w:lineRule="auto"/>
        <w:ind w:left="1416" w:hanging="566"/>
        <w:rPr>
          <w:szCs w:val="24"/>
          <w:lang w:eastAsia="en-US"/>
        </w:rPr>
      </w:pPr>
      <w:r>
        <w:rPr>
          <w:szCs w:val="24"/>
          <w:lang w:eastAsia="en-US"/>
        </w:rPr>
        <w:t>d)</w:t>
      </w:r>
      <w:r>
        <w:rPr>
          <w:szCs w:val="24"/>
          <w:lang w:eastAsia="en-US"/>
        </w:rPr>
        <w:tab/>
        <w:t>presadzovať smernicu (EÚ) 2022/2561;</w:t>
      </w:r>
    </w:p>
    <w:p w:rsidR="006C6719" w:rsidRDefault="00614864">
      <w:pPr>
        <w:spacing w:before="120" w:after="120" w:line="360" w:lineRule="auto"/>
        <w:ind w:left="1416" w:hanging="566"/>
        <w:rPr>
          <w:szCs w:val="24"/>
          <w:lang w:eastAsia="en-US"/>
        </w:rPr>
      </w:pPr>
      <w:r>
        <w:rPr>
          <w:szCs w:val="24"/>
          <w:lang w:eastAsia="en-US"/>
        </w:rPr>
        <w:t>e)</w:t>
      </w:r>
      <w:r>
        <w:rPr>
          <w:szCs w:val="24"/>
          <w:lang w:eastAsia="en-US"/>
        </w:rPr>
        <w:tab/>
        <w:t>vykonávať a presadzovať [NOV</w:t>
      </w:r>
      <w:r>
        <w:rPr>
          <w:szCs w:val="24"/>
          <w:lang w:eastAsia="en-US"/>
        </w:rPr>
        <w:t>Á SMERNICA O CELOÚNIJNEJ PLATNOSTI URČITÝCH ZÁKAZOV VEDENIA VOZIDLA].</w:t>
      </w:r>
    </w:p>
    <w:p w:rsidR="006C6719" w:rsidRDefault="00614864">
      <w:pPr>
        <w:spacing w:before="120" w:after="120" w:line="360" w:lineRule="auto"/>
        <w:ind w:left="850" w:hanging="850"/>
        <w:rPr>
          <w:szCs w:val="24"/>
          <w:lang w:eastAsia="en-US"/>
        </w:rPr>
      </w:pPr>
      <w:r>
        <w:rPr>
          <w:szCs w:val="24"/>
          <w:lang w:eastAsia="en-US"/>
        </w:rPr>
        <w:t>3.</w:t>
      </w:r>
      <w:r>
        <w:rPr>
          <w:szCs w:val="24"/>
          <w:lang w:eastAsia="en-US"/>
        </w:rPr>
        <w:tab/>
        <w:t>Prístup k sieti musí byť zabezpečený. Sieť zabezpečuje synchrónnu (v reálnom čase) a asynchrónnu výmenu informácií a odosielanie a prijímanie zabezpečených správ, oznámení a príloh.</w:t>
      </w:r>
    </w:p>
    <w:p w:rsidR="006C6719" w:rsidRDefault="00614864">
      <w:pPr>
        <w:spacing w:before="120" w:after="120" w:line="360" w:lineRule="auto"/>
        <w:ind w:left="850"/>
        <w:rPr>
          <w:szCs w:val="24"/>
          <w:lang w:eastAsia="en-US"/>
        </w:rPr>
      </w:pPr>
      <w:r>
        <w:rPr>
          <w:szCs w:val="24"/>
          <w:lang w:eastAsia="en-US"/>
        </w:rPr>
        <w:t>Č</w:t>
      </w:r>
      <w:r>
        <w:rPr>
          <w:szCs w:val="24"/>
          <w:lang w:eastAsia="en-US"/>
        </w:rPr>
        <w:t>lenské štáty prijmú všetky potrebné kroky na zabezpečenie aktuálnosti informácií vymieňaných prostredníctvom siete.</w:t>
      </w:r>
    </w:p>
    <w:p w:rsidR="006C6719" w:rsidRDefault="00614864">
      <w:pPr>
        <w:spacing w:before="120" w:after="120" w:line="360" w:lineRule="auto"/>
        <w:ind w:left="850"/>
        <w:rPr>
          <w:szCs w:val="24"/>
          <w:lang w:eastAsia="en-US"/>
        </w:rPr>
      </w:pPr>
      <w:r>
        <w:rPr>
          <w:szCs w:val="24"/>
          <w:lang w:eastAsia="en-US"/>
        </w:rPr>
        <w:t>Členské štáty môžu udeliť prístup k sieti len orgánom príslušným na účely uvedené v odsekoch 1 a 2.</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4.</w:t>
      </w:r>
      <w:r>
        <w:rPr>
          <w:szCs w:val="24"/>
          <w:lang w:eastAsia="en-US"/>
        </w:rPr>
        <w:tab/>
      </w:r>
      <w:r>
        <w:rPr>
          <w:szCs w:val="24"/>
          <w:lang w:eastAsia="en-US"/>
        </w:rPr>
        <w:t xml:space="preserve">Členské štáty si navzájom pomáhajú aj pri zavádzaní mobilného vodičského preukazu, najmä s cieľom zaručiť plynulú </w:t>
      </w:r>
      <w:proofErr w:type="spellStart"/>
      <w:r>
        <w:rPr>
          <w:szCs w:val="24"/>
          <w:lang w:eastAsia="en-US"/>
        </w:rPr>
        <w:t>interoperabilitu</w:t>
      </w:r>
      <w:proofErr w:type="spellEnd"/>
      <w:r>
        <w:rPr>
          <w:szCs w:val="24"/>
          <w:lang w:eastAsia="en-US"/>
        </w:rPr>
        <w:t xml:space="preserve"> medzi aplikáciami a prvkami overovania uvedenými v časti C prílohy I.</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 xml:space="preserve">Na zabezpečenie </w:t>
      </w:r>
      <w:proofErr w:type="spellStart"/>
      <w:r>
        <w:rPr>
          <w:szCs w:val="24"/>
          <w:lang w:eastAsia="en-US"/>
        </w:rPr>
        <w:t>interoperability</w:t>
      </w:r>
      <w:proofErr w:type="spellEnd"/>
      <w:r>
        <w:rPr>
          <w:szCs w:val="24"/>
          <w:lang w:eastAsia="en-US"/>
        </w:rPr>
        <w:t xml:space="preserve"> medzi vnútroštátnym</w:t>
      </w:r>
      <w:r>
        <w:rPr>
          <w:szCs w:val="24"/>
          <w:lang w:eastAsia="en-US"/>
        </w:rPr>
        <w:t>i systémami pripojenými k sieti vodičských preukazov EÚ a ochrany osobných údajov vymieňaných v tejto súvislosti prijme Komisia do 6. júna 2026 vykonávacie akty, ktorými sa stanovia podrobné prevádzkové požiadavky, požiadavky na rozhrania a technické požia</w:t>
      </w:r>
      <w:r>
        <w:rPr>
          <w:szCs w:val="24"/>
          <w:lang w:eastAsia="en-US"/>
        </w:rPr>
        <w:t>davky siete vodičských preukazov EÚ. Uvedené vykonávacie akty sa prijmú v súlade s postupom preskúmania uvedeným v článku 22 ods. 2.</w:t>
      </w:r>
    </w:p>
    <w:p w:rsidR="006C6719" w:rsidRDefault="00614864">
      <w:pPr>
        <w:spacing w:before="120" w:after="120" w:line="360" w:lineRule="auto"/>
        <w:ind w:left="850" w:hanging="850"/>
        <w:rPr>
          <w:szCs w:val="24"/>
          <w:lang w:eastAsia="en-US"/>
        </w:rPr>
      </w:pPr>
      <w:r>
        <w:rPr>
          <w:szCs w:val="24"/>
          <w:lang w:eastAsia="en-US"/>
        </w:rPr>
        <w:t>6.</w:t>
      </w:r>
      <w:r>
        <w:rPr>
          <w:szCs w:val="24"/>
          <w:lang w:eastAsia="en-US"/>
        </w:rPr>
        <w:tab/>
        <w:t>Členské štáty môžu spolupracovať pri vymáhaní akéhokoľvek čiastočného obmedzenia, pozastavenia, odobratia alebo zrušenia</w:t>
      </w:r>
      <w:r>
        <w:rPr>
          <w:szCs w:val="24"/>
          <w:lang w:eastAsia="en-US"/>
        </w:rPr>
        <w:t xml:space="preserve"> vodičského oprávnenia alebo vodičského preukazu, najmä ak sú príslušné opatrenia obmedzené na určité skupiny vodičských preukazov alebo na územia určitých členských štátov, a to konkrétne prostredníctvom potvrdení týkajúcich sa vodičských preukazov, ktoré</w:t>
      </w:r>
      <w:r>
        <w:rPr>
          <w:szCs w:val="24"/>
          <w:lang w:eastAsia="en-US"/>
        </w:rPr>
        <w:t xml:space="preserve"> vydali.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20</w:t>
      </w:r>
      <w:r>
        <w:rPr>
          <w:szCs w:val="24"/>
          <w:lang w:eastAsia="en-US"/>
        </w:rPr>
        <w:br/>
        <w:t xml:space="preserve">Preskúmanie </w:t>
      </w:r>
    </w:p>
    <w:p w:rsidR="006C6719" w:rsidRDefault="00614864">
      <w:pPr>
        <w:spacing w:before="120" w:after="120" w:line="360" w:lineRule="auto"/>
        <w:rPr>
          <w:b/>
          <w:szCs w:val="24"/>
          <w:lang w:eastAsia="en-US"/>
        </w:rPr>
      </w:pPr>
      <w:r>
        <w:rPr>
          <w:szCs w:val="24"/>
          <w:lang w:eastAsia="en-US"/>
        </w:rPr>
        <w:t>Členské štáty každoročne informujú Komisiu o počte vydaných, obnovených, nahradených, odobratých a vymenených vodičských preukazov pre každú skupinu vrátane údajov o vydávaní a používaní mobilných vodičských preukazov.</w:t>
      </w:r>
      <w:r>
        <w:rPr>
          <w:b/>
          <w:i/>
          <w:szCs w:val="24"/>
          <w:lang w:eastAsia="en-US"/>
        </w:rPr>
        <w:t xml:space="preserve"> Čle</w:t>
      </w:r>
      <w:r>
        <w:rPr>
          <w:b/>
          <w:i/>
          <w:szCs w:val="24"/>
          <w:lang w:eastAsia="en-US"/>
        </w:rPr>
        <w:t>nské štáty tiež informujú Komisiu do troch mesiacov, ak sa zákony, iné právne predpisy a správne opatrenia, ktoré prijali a ktoré sú potrebné na dosiahnutie súladu s touto smernicou, zmenili spôsobom ovplyvňujúcim uplatňovanie ustanovení tejto smernice.</w:t>
      </w:r>
      <w:r>
        <w:rPr>
          <w:b/>
          <w:szCs w:val="24"/>
          <w:lang w:eastAsia="en-US"/>
        </w:rPr>
        <w:t xml:space="preserve"> [P</w:t>
      </w:r>
      <w:r>
        <w:rPr>
          <w:b/>
          <w:szCs w:val="24"/>
          <w:lang w:eastAsia="en-US"/>
        </w:rPr>
        <w:t>N 131]</w:t>
      </w:r>
    </w:p>
    <w:p w:rsidR="006C6719" w:rsidRDefault="00614864">
      <w:pPr>
        <w:spacing w:before="120" w:after="120" w:line="360" w:lineRule="auto"/>
        <w:rPr>
          <w:b/>
          <w:szCs w:val="24"/>
          <w:lang w:eastAsia="en-US"/>
        </w:rPr>
      </w:pPr>
      <w:r>
        <w:rPr>
          <w:b/>
          <w:i/>
          <w:szCs w:val="24"/>
          <w:lang w:eastAsia="en-US"/>
        </w:rPr>
        <w:t>Členské štáty si tiež vymieňajú údaje o svojich najlepších postupoch, pokiaľ ide o opatrenia v oblasti bezpečnosti cestnej premávky a školenia v oblasti informovanosti o rizikách, najmä v prípade vodičov-začiatočníkov a v rámci celoživotného vzdeláv</w:t>
      </w:r>
      <w:r>
        <w:rPr>
          <w:b/>
          <w:i/>
          <w:szCs w:val="24"/>
          <w:lang w:eastAsia="en-US"/>
        </w:rPr>
        <w:t>ania, druhy lekárskych prehliadok na posúdenie spôsobilosti podľa vekových skupín, používanie systému podpory podľa vekových skupín prostredníctvom spätnej väzby s preukázaním účasti a odporúčaní poskytnutých inštruktorom autoškoly, dopravným psychológom a</w:t>
      </w:r>
      <w:r>
        <w:rPr>
          <w:b/>
          <w:i/>
          <w:szCs w:val="24"/>
          <w:lang w:eastAsia="en-US"/>
        </w:rPr>
        <w:t xml:space="preserve">lebo skúšajúcim pri skúškach z vedenia motorových vozidiel, ako aj opatrenia na zvýšenie bezpečnosti cestnej premávky medzi zraniteľnými účastníkmi cestnej premávky vrátane opatrení upravujúcich </w:t>
      </w:r>
      <w:proofErr w:type="spellStart"/>
      <w:r>
        <w:rPr>
          <w:b/>
          <w:i/>
          <w:szCs w:val="24"/>
          <w:lang w:eastAsia="en-US"/>
        </w:rPr>
        <w:t>mikromobilitu</w:t>
      </w:r>
      <w:proofErr w:type="spellEnd"/>
      <w:r>
        <w:rPr>
          <w:b/>
          <w:i/>
          <w:szCs w:val="24"/>
          <w:lang w:eastAsia="en-US"/>
        </w:rPr>
        <w:t>.</w:t>
      </w:r>
      <w:r>
        <w:rPr>
          <w:b/>
          <w:szCs w:val="24"/>
          <w:lang w:eastAsia="en-US"/>
        </w:rPr>
        <w:t xml:space="preserve"> [PN 132]</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rPr>
          <w:b/>
          <w:szCs w:val="24"/>
          <w:lang w:eastAsia="en-US"/>
        </w:rPr>
      </w:pPr>
      <w:r>
        <w:rPr>
          <w:b/>
          <w:i/>
          <w:szCs w:val="24"/>
          <w:lang w:eastAsia="en-US"/>
        </w:rPr>
        <w:lastRenderedPageBreak/>
        <w:t>Komisia sa vyzýva, aby do 1. júla 2</w:t>
      </w:r>
      <w:r>
        <w:rPr>
          <w:b/>
          <w:i/>
          <w:szCs w:val="24"/>
          <w:lang w:eastAsia="en-US"/>
        </w:rPr>
        <w:t>027 predložila Európskemu parlamentu a Rade správu o účinkoch používania vnútroštátnych ustanovení o necestných pojazdných strojoch a jeho vplyve na vnútorný trh a bezpečnosť cestnej premávky. K správe môže v prípade potreby pripojiť návrh Európskemu parla</w:t>
      </w:r>
      <w:r>
        <w:rPr>
          <w:b/>
          <w:i/>
          <w:szCs w:val="24"/>
          <w:lang w:eastAsia="en-US"/>
        </w:rPr>
        <w:t>mentu a Rade s cieľom uľahčiť používanie necestných pojazdných strojov v celej Únii.</w:t>
      </w:r>
      <w:r>
        <w:rPr>
          <w:b/>
          <w:szCs w:val="24"/>
          <w:lang w:eastAsia="en-US"/>
        </w:rPr>
        <w:t xml:space="preserve"> [PN 321]</w:t>
      </w:r>
    </w:p>
    <w:p w:rsidR="006C6719" w:rsidRDefault="00614864">
      <w:pPr>
        <w:spacing w:before="120" w:after="120" w:line="360" w:lineRule="auto"/>
        <w:rPr>
          <w:b/>
          <w:szCs w:val="24"/>
          <w:lang w:eastAsia="en-US"/>
        </w:rPr>
      </w:pPr>
      <w:r>
        <w:rPr>
          <w:b/>
          <w:i/>
          <w:szCs w:val="24"/>
          <w:lang w:eastAsia="en-US"/>
        </w:rPr>
        <w:t>Členské štáty každoročne nahlasujú Komisii štatistické údaje podľa jednotlivých skupín vodičských preukazov o dopravných nehodách spôsobených vodičmi-začiatočníkm</w:t>
      </w:r>
      <w:r>
        <w:rPr>
          <w:b/>
          <w:i/>
          <w:szCs w:val="24"/>
          <w:lang w:eastAsia="en-US"/>
        </w:rPr>
        <w:t>i v rámci systému vedenia vozidla so sprievodom, ako sa vymedzuje v článku 14. Komisia by mala každé tri roky vypracovať správu porovnávajúcu dopravné nehody spôsobené vodičmi, ktorí získali vodičský preukaz na základe systému vedenia motorového vozidla so</w:t>
      </w:r>
      <w:r>
        <w:rPr>
          <w:b/>
          <w:i/>
          <w:szCs w:val="24"/>
          <w:lang w:eastAsia="en-US"/>
        </w:rPr>
        <w:t xml:space="preserve"> sprievodom, s ostatnými vodičmi. V správe sa zohľadnia údaje za každú skupinu vodičských preukazov. Komisia túto správu zverejní, a to aj prostredníctvom portálu cezhraničnej výmeny informácií zriadeného [smernicou o cezhraničnej výmene informácií].</w:t>
      </w:r>
      <w:r>
        <w:rPr>
          <w:b/>
          <w:szCs w:val="24"/>
          <w:lang w:eastAsia="en-US"/>
        </w:rPr>
        <w:t xml:space="preserve"> [PN 1</w:t>
      </w:r>
      <w:r>
        <w:rPr>
          <w:b/>
          <w:szCs w:val="24"/>
          <w:lang w:eastAsia="en-US"/>
        </w:rPr>
        <w:t>33]</w:t>
      </w:r>
    </w:p>
    <w:p w:rsidR="006C6719" w:rsidRDefault="00614864">
      <w:pPr>
        <w:spacing w:before="120" w:after="120" w:line="360" w:lineRule="auto"/>
        <w:rPr>
          <w:szCs w:val="24"/>
          <w:lang w:eastAsia="en-US"/>
        </w:rPr>
      </w:pPr>
      <w:r>
        <w:rPr>
          <w:szCs w:val="24"/>
          <w:lang w:eastAsia="en-US"/>
        </w:rPr>
        <w:t>Do [nadobudnutie účinnosti + 5 rokov] a potom každých päť rokov Komisia predloží Európskemu parlamentu a Rade správu o vykonávaní tejto smernice vrátane jej vplyvu na bezpečnosť cestnej premávky.</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21</w:t>
      </w:r>
      <w:r>
        <w:rPr>
          <w:szCs w:val="24"/>
          <w:lang w:eastAsia="en-US"/>
        </w:rPr>
        <w:br/>
        <w:t>Vykonávanie delegovania právomoci</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Komisii</w:t>
      </w:r>
      <w:r>
        <w:rPr>
          <w:szCs w:val="24"/>
          <w:lang w:eastAsia="en-US"/>
        </w:rPr>
        <w:t xml:space="preserve"> sa udeľuje právomoc prijímať delegované akty za podmienok stanovených v tomto článku.</w:t>
      </w:r>
    </w:p>
    <w:p w:rsidR="006C6719" w:rsidRDefault="00614864">
      <w:pPr>
        <w:spacing w:before="120" w:after="120" w:line="360" w:lineRule="auto"/>
        <w:ind w:left="850" w:hanging="850"/>
        <w:rPr>
          <w:b/>
          <w:szCs w:val="24"/>
          <w:lang w:eastAsia="en-US"/>
        </w:rPr>
      </w:pPr>
      <w:r>
        <w:rPr>
          <w:szCs w:val="24"/>
          <w:lang w:eastAsia="en-US"/>
        </w:rPr>
        <w:t>2.</w:t>
      </w:r>
      <w:r>
        <w:rPr>
          <w:szCs w:val="24"/>
          <w:lang w:eastAsia="en-US"/>
        </w:rPr>
        <w:tab/>
        <w:t xml:space="preserve">Právomoc prijímať delegované akty uvedené v článku 4 ods. 8, článku 5 ods. 6, článku 8 ods. 2, článku </w:t>
      </w:r>
      <w:r>
        <w:rPr>
          <w:b/>
          <w:i/>
          <w:szCs w:val="24"/>
          <w:lang w:eastAsia="en-US"/>
        </w:rPr>
        <w:t xml:space="preserve">9 ods. 2, článku </w:t>
      </w:r>
      <w:r>
        <w:rPr>
          <w:szCs w:val="24"/>
          <w:lang w:eastAsia="en-US"/>
        </w:rPr>
        <w:t>10 ods. 8</w:t>
      </w:r>
      <w:r>
        <w:rPr>
          <w:b/>
          <w:i/>
          <w:szCs w:val="24"/>
          <w:lang w:eastAsia="en-US"/>
        </w:rPr>
        <w:t xml:space="preserve">, článku 11 písm. a), článku 12 ods. </w:t>
      </w:r>
      <w:r>
        <w:rPr>
          <w:b/>
          <w:i/>
          <w:szCs w:val="24"/>
          <w:lang w:eastAsia="en-US"/>
        </w:rPr>
        <w:t>8a</w:t>
      </w:r>
      <w:r>
        <w:rPr>
          <w:szCs w:val="24"/>
          <w:lang w:eastAsia="en-US"/>
        </w:rPr>
        <w:t xml:space="preserve"> </w:t>
      </w:r>
      <w:r>
        <w:rPr>
          <w:strike/>
          <w:szCs w:val="24"/>
          <w:lang w:eastAsia="en-US"/>
        </w:rPr>
        <w:t>a</w:t>
      </w:r>
      <w:r>
        <w:rPr>
          <w:b/>
          <w:i/>
          <w:szCs w:val="24"/>
          <w:lang w:eastAsia="en-US"/>
        </w:rPr>
        <w:t>,</w:t>
      </w:r>
      <w:r>
        <w:rPr>
          <w:szCs w:val="24"/>
          <w:lang w:eastAsia="en-US"/>
        </w:rPr>
        <w:t xml:space="preserve"> článku 16</w:t>
      </w:r>
      <w:r>
        <w:rPr>
          <w:b/>
          <w:i/>
          <w:szCs w:val="24"/>
          <w:lang w:eastAsia="en-US"/>
        </w:rPr>
        <w:t xml:space="preserve"> ods. 2 a článku 16a</w:t>
      </w:r>
      <w:r>
        <w:rPr>
          <w:szCs w:val="24"/>
          <w:lang w:eastAsia="en-US"/>
        </w:rPr>
        <w:t xml:space="preserve"> ods. 2 sa Komisii udeľuje na obdobie piatich rokov od </w:t>
      </w:r>
      <w:r>
        <w:rPr>
          <w:b/>
          <w:i/>
          <w:szCs w:val="24"/>
          <w:lang w:eastAsia="en-US"/>
        </w:rPr>
        <w:t xml:space="preserve">... </w:t>
      </w:r>
      <w:r>
        <w:rPr>
          <w:szCs w:val="24"/>
          <w:lang w:eastAsia="en-US"/>
        </w:rPr>
        <w:t>[</w:t>
      </w:r>
      <w:proofErr w:type="spellStart"/>
      <w:r>
        <w:rPr>
          <w:strike/>
          <w:szCs w:val="24"/>
          <w:lang w:eastAsia="en-US"/>
        </w:rPr>
        <w:t>dátum</w:t>
      </w:r>
      <w:r>
        <w:rPr>
          <w:b/>
          <w:i/>
          <w:szCs w:val="24"/>
          <w:lang w:eastAsia="en-US"/>
        </w:rPr>
        <w:t>deň</w:t>
      </w:r>
      <w:proofErr w:type="spellEnd"/>
      <w:r>
        <w:rPr>
          <w:szCs w:val="24"/>
          <w:lang w:eastAsia="en-US"/>
        </w:rPr>
        <w:t xml:space="preserve"> nadobudnutia účinnosti smernice]. Komisia vypracuje správu týkajúcu sa delegovania právomoci najneskôr deväť mesiacov pred skončením tohto päťročného ob</w:t>
      </w:r>
      <w:r>
        <w:rPr>
          <w:szCs w:val="24"/>
          <w:lang w:eastAsia="en-US"/>
        </w:rPr>
        <w:t xml:space="preserve">dobia. Delegovanie právomoci sa automaticky predlžuje o rovnako dlhé obdobia, pokiaľ Európsky parlament alebo Rada nevznesú voči takémuto predĺženiu námietku najneskôr tri mesiace pred </w:t>
      </w:r>
      <w:proofErr w:type="spellStart"/>
      <w:r>
        <w:rPr>
          <w:strike/>
          <w:szCs w:val="24"/>
          <w:lang w:eastAsia="en-US"/>
        </w:rPr>
        <w:t>skončením</w:t>
      </w:r>
      <w:r>
        <w:rPr>
          <w:b/>
          <w:i/>
          <w:szCs w:val="24"/>
          <w:lang w:eastAsia="en-US"/>
        </w:rPr>
        <w:t>koncom</w:t>
      </w:r>
      <w:proofErr w:type="spellEnd"/>
      <w:r>
        <w:rPr>
          <w:szCs w:val="24"/>
          <w:lang w:eastAsia="en-US"/>
        </w:rPr>
        <w:t xml:space="preserve"> každého obdobia.</w:t>
      </w:r>
      <w:r>
        <w:rPr>
          <w:b/>
          <w:szCs w:val="24"/>
          <w:lang w:eastAsia="en-US"/>
        </w:rPr>
        <w:t xml:space="preserve"> [PN 134]</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Delegovanie právomoci uv</w:t>
      </w:r>
      <w:r>
        <w:rPr>
          <w:szCs w:val="24"/>
          <w:lang w:eastAsia="en-US"/>
        </w:rPr>
        <w:t>edené v článku 4 ods. 8, článku 5 ods. 6, článku 8 ods. 2, článku 10 ods. 8 a článku 16 ods. 2 môžu Európsky parlament alebo Rada kedykoľvek odvolať. Rozhodnutím o odvolaní sa ukončí delegovanie právomoci, ktoré sa v ňom uvádza. Rozhodnutie nadobúda účinno</w:t>
      </w:r>
      <w:r>
        <w:rPr>
          <w:szCs w:val="24"/>
          <w:lang w:eastAsia="en-US"/>
        </w:rPr>
        <w:t xml:space="preserve">sť dňom nasledujúcim po jeho uverejnení v </w:t>
      </w:r>
      <w:r>
        <w:rPr>
          <w:i/>
          <w:szCs w:val="24"/>
          <w:lang w:eastAsia="en-US"/>
        </w:rPr>
        <w:t>Úradnom vestníku Európskej únie</w:t>
      </w:r>
      <w:r>
        <w:rPr>
          <w:szCs w:val="24"/>
          <w:lang w:eastAsia="en-US"/>
        </w:rPr>
        <w:t xml:space="preserve"> alebo k neskoršiemu dátumu, ktorý je v ňom stanovený. Nie je ním dotknutá platnosť delegovaných aktov, ktoré už nadobudli účinnosť.</w:t>
      </w:r>
    </w:p>
    <w:p w:rsidR="006C6719" w:rsidRDefault="00614864">
      <w:pPr>
        <w:spacing w:before="120" w:after="120" w:line="360" w:lineRule="auto"/>
        <w:ind w:left="850" w:hanging="850"/>
        <w:rPr>
          <w:szCs w:val="24"/>
          <w:lang w:eastAsia="en-US"/>
        </w:rPr>
      </w:pPr>
      <w:r>
        <w:rPr>
          <w:szCs w:val="24"/>
          <w:lang w:eastAsia="en-US"/>
        </w:rPr>
        <w:t>4.</w:t>
      </w:r>
      <w:r>
        <w:rPr>
          <w:szCs w:val="24"/>
          <w:lang w:eastAsia="en-US"/>
        </w:rPr>
        <w:tab/>
        <w:t>Komisia pred prijatím delegovaného aktu konzult</w:t>
      </w:r>
      <w:r>
        <w:rPr>
          <w:szCs w:val="24"/>
          <w:lang w:eastAsia="en-US"/>
        </w:rPr>
        <w:t xml:space="preserve">uje s expertmi určenými jednotlivými členskými štátmi v súlade so zásadami stanovenými v </w:t>
      </w:r>
      <w:proofErr w:type="spellStart"/>
      <w:r>
        <w:rPr>
          <w:szCs w:val="24"/>
          <w:lang w:eastAsia="en-US"/>
        </w:rPr>
        <w:t>Medziinštitucionálnej</w:t>
      </w:r>
      <w:proofErr w:type="spellEnd"/>
      <w:r>
        <w:rPr>
          <w:szCs w:val="24"/>
          <w:lang w:eastAsia="en-US"/>
        </w:rPr>
        <w:t xml:space="preserve"> dohode o lepšej tvorbe práva z 13. apríla 2016.</w:t>
      </w:r>
    </w:p>
    <w:p w:rsidR="006C6719" w:rsidRDefault="00614864">
      <w:pPr>
        <w:spacing w:before="120" w:after="120" w:line="360" w:lineRule="auto"/>
        <w:ind w:left="850" w:hanging="850"/>
        <w:rPr>
          <w:szCs w:val="24"/>
          <w:lang w:eastAsia="en-US"/>
        </w:rPr>
      </w:pPr>
      <w:r>
        <w:rPr>
          <w:szCs w:val="24"/>
          <w:lang w:eastAsia="en-US"/>
        </w:rPr>
        <w:t>5.</w:t>
      </w:r>
      <w:r>
        <w:rPr>
          <w:szCs w:val="24"/>
          <w:lang w:eastAsia="en-US"/>
        </w:rPr>
        <w:tab/>
        <w:t>Komisia oznamuje delegovaný akt hneď po jeho prijatí súčasne Európskemu parlamentu a Rade.</w:t>
      </w:r>
    </w:p>
    <w:p w:rsidR="006C6719" w:rsidRDefault="00614864">
      <w:pPr>
        <w:spacing w:before="120" w:after="120" w:line="360" w:lineRule="auto"/>
        <w:ind w:left="850" w:hanging="850"/>
        <w:rPr>
          <w:szCs w:val="24"/>
          <w:lang w:eastAsia="en-US"/>
        </w:rPr>
      </w:pPr>
      <w:r>
        <w:rPr>
          <w:szCs w:val="24"/>
          <w:lang w:eastAsia="en-US"/>
        </w:rPr>
        <w:t>6.</w:t>
      </w:r>
      <w:r>
        <w:rPr>
          <w:szCs w:val="24"/>
          <w:lang w:eastAsia="en-US"/>
        </w:rPr>
        <w:tab/>
      </w:r>
      <w:r>
        <w:rPr>
          <w:szCs w:val="24"/>
          <w:lang w:eastAsia="en-US"/>
        </w:rPr>
        <w:t>Delegovaný akt prijatý podľa článku 4 ods. 8, článku 5 ods. 6, článku 8 ods. 2, článku 10 ods. 8 a článku 16 ods. 2 nadobudne účinnosť, len ak Európsky parlament alebo Rada voči nemu nevzniesli námietku v lehote dvoch mesiacov odo dňa oznámenia uvedeného a</w:t>
      </w:r>
      <w:r>
        <w:rPr>
          <w:szCs w:val="24"/>
          <w:lang w:eastAsia="en-US"/>
        </w:rPr>
        <w:t>ktu Európskemu parlamentu a Rade, alebo ak pred skončením uvedenej lehoty Európsky parlament a Rada informovali Komisiu o svojom rozhodnutí nevzniesť námietku. Na podnet Európskeho parlamentu alebo Rady sa táto lehota predĺži o dva mesiace.</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22</w:t>
      </w:r>
      <w:r>
        <w:rPr>
          <w:szCs w:val="24"/>
          <w:lang w:eastAsia="en-US"/>
        </w:rPr>
        <w:br/>
        <w:t>Pos</w:t>
      </w:r>
      <w:r>
        <w:rPr>
          <w:szCs w:val="24"/>
          <w:lang w:eastAsia="en-US"/>
        </w:rPr>
        <w:t xml:space="preserve">tup výboru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Komisii pomáha výbor pre vodičské preukazy. Uvedený výbor sa považuje za výbor v zmysle nariadenia (EÚ) č. 182/2011.</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Ak sa odkazuje na tento odsek, uplatňuje sa článok 5 nariadenia (EÚ) č. 182/2011.</w:t>
      </w:r>
    </w:p>
    <w:p w:rsidR="006C6719" w:rsidRDefault="00614864">
      <w:pPr>
        <w:spacing w:before="120" w:after="120" w:line="360" w:lineRule="auto"/>
        <w:ind w:left="850"/>
        <w:rPr>
          <w:szCs w:val="24"/>
          <w:lang w:eastAsia="en-US"/>
        </w:rPr>
      </w:pPr>
      <w:r>
        <w:rPr>
          <w:szCs w:val="24"/>
          <w:lang w:eastAsia="en-US"/>
        </w:rPr>
        <w:t xml:space="preserve">Ak sa má stanovisko výboru získať </w:t>
      </w:r>
      <w:r>
        <w:rPr>
          <w:szCs w:val="24"/>
          <w:lang w:eastAsia="en-US"/>
        </w:rPr>
        <w:t>písomným postupom, uvedený postup sa ukončí bez výsledku, ak tak v rámci lehoty na vydanie stanoviska rozhodne predseda výboru, alebo ak o to požiada jednoduchá väčšina členov výboru.</w:t>
      </w:r>
    </w:p>
    <w:p w:rsidR="006C6719" w:rsidRDefault="00614864">
      <w:pPr>
        <w:spacing w:before="120" w:after="120" w:line="360" w:lineRule="auto"/>
        <w:ind w:left="850"/>
        <w:rPr>
          <w:szCs w:val="24"/>
          <w:lang w:eastAsia="en-US"/>
        </w:rPr>
      </w:pPr>
      <w:r>
        <w:rPr>
          <w:szCs w:val="24"/>
          <w:lang w:eastAsia="en-US"/>
        </w:rPr>
        <w:t xml:space="preserve">Ak výbor nevydá žiadne stanovisko, Komisia neprijme návrh vykonávacieho </w:t>
      </w:r>
      <w:r>
        <w:rPr>
          <w:szCs w:val="24"/>
          <w:lang w:eastAsia="en-US"/>
        </w:rPr>
        <w:t xml:space="preserve">aktu a uplatňuje sa článok 5 ods. 4 tretí </w:t>
      </w:r>
      <w:proofErr w:type="spellStart"/>
      <w:r>
        <w:rPr>
          <w:szCs w:val="24"/>
          <w:lang w:eastAsia="en-US"/>
        </w:rPr>
        <w:t>pododsek</w:t>
      </w:r>
      <w:proofErr w:type="spellEnd"/>
      <w:r>
        <w:rPr>
          <w:szCs w:val="24"/>
          <w:lang w:eastAsia="en-US"/>
        </w:rPr>
        <w:t xml:space="preserve"> nariadenia (EÚ) č. 182/2011.</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Ak sa odkazuje na tento odsek, uplatňuje sa článok 8 nariadenia (EÚ) č. 182/2011.</w:t>
      </w:r>
    </w:p>
    <w:p w:rsidR="006C6719" w:rsidRDefault="00614864">
      <w:pPr>
        <w:spacing w:before="120" w:after="120" w:line="360" w:lineRule="auto"/>
        <w:jc w:val="center"/>
        <w:rPr>
          <w:szCs w:val="24"/>
          <w:lang w:eastAsia="en-US"/>
        </w:rPr>
      </w:pPr>
      <w:r>
        <w:rPr>
          <w:szCs w:val="24"/>
          <w:lang w:eastAsia="en-US"/>
        </w:rPr>
        <w:t>Článok 23</w:t>
      </w:r>
      <w:r>
        <w:rPr>
          <w:szCs w:val="24"/>
          <w:lang w:eastAsia="en-US"/>
        </w:rPr>
        <w:br/>
        <w:t>Zmeny smernice (EÚ) 2022/2561</w:t>
      </w:r>
    </w:p>
    <w:p w:rsidR="006C6719" w:rsidRDefault="00614864">
      <w:pPr>
        <w:spacing w:before="120" w:after="120" w:line="360" w:lineRule="auto"/>
        <w:ind w:left="850" w:hanging="850"/>
        <w:rPr>
          <w:szCs w:val="24"/>
          <w:lang w:eastAsia="en-US"/>
        </w:rPr>
      </w:pPr>
      <w:r>
        <w:rPr>
          <w:szCs w:val="24"/>
          <w:lang w:eastAsia="en-US"/>
        </w:rPr>
        <w:t>Smernica (EÚ) 2022/2561 sa mení takto:</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V článk</w:t>
      </w:r>
      <w:r>
        <w:rPr>
          <w:szCs w:val="24"/>
          <w:lang w:eastAsia="en-US"/>
        </w:rPr>
        <w:t>u 5 ods. 2 smernice (EÚ) 2022/2561 sa dopĺňa toto písmeno c):</w:t>
      </w:r>
    </w:p>
    <w:p w:rsidR="006C6719" w:rsidRDefault="00614864">
      <w:pPr>
        <w:spacing w:before="120" w:after="120" w:line="360" w:lineRule="auto"/>
        <w:ind w:left="1416" w:hanging="566"/>
        <w:rPr>
          <w:b/>
          <w:szCs w:val="24"/>
          <w:lang w:eastAsia="en-US"/>
        </w:rPr>
      </w:pPr>
      <w:r>
        <w:rPr>
          <w:szCs w:val="24"/>
          <w:lang w:eastAsia="en-US"/>
        </w:rPr>
        <w:t>„c)</w:t>
      </w:r>
      <w:r>
        <w:rPr>
          <w:szCs w:val="24"/>
          <w:lang w:eastAsia="en-US"/>
        </w:rPr>
        <w:tab/>
        <w:t xml:space="preserve">po dovŕšení veku 17 rokov vozidlá patriace do skupiny vodičských oprávnení C </w:t>
      </w:r>
      <w:r>
        <w:rPr>
          <w:b/>
          <w:i/>
          <w:szCs w:val="24"/>
          <w:lang w:eastAsia="en-US"/>
        </w:rPr>
        <w:t xml:space="preserve">a C1 </w:t>
      </w:r>
      <w:r>
        <w:rPr>
          <w:szCs w:val="24"/>
          <w:lang w:eastAsia="en-US"/>
        </w:rPr>
        <w:t>za predpokladu, že sú držiteľmi OOS podľa článku 6 ods. 1</w:t>
      </w:r>
      <w:r>
        <w:rPr>
          <w:b/>
          <w:i/>
          <w:szCs w:val="24"/>
          <w:lang w:eastAsia="en-US"/>
        </w:rPr>
        <w:t>,</w:t>
      </w:r>
      <w:r>
        <w:rPr>
          <w:szCs w:val="24"/>
          <w:lang w:eastAsia="en-US"/>
        </w:rPr>
        <w:t xml:space="preserve"> a len za podmienok stanovených v článku 14 ods. 2</w:t>
      </w:r>
      <w:r>
        <w:rPr>
          <w:szCs w:val="24"/>
          <w:lang w:eastAsia="en-US"/>
        </w:rPr>
        <w:t xml:space="preserve"> smernice [ODKAZ NA TÚTO SMERNICU].</w:t>
      </w:r>
      <w:r>
        <w:rPr>
          <w:b/>
          <w:i/>
          <w:szCs w:val="24"/>
          <w:lang w:eastAsia="en-US"/>
        </w:rPr>
        <w:t>“</w:t>
      </w:r>
      <w:r>
        <w:rPr>
          <w:b/>
          <w:szCs w:val="24"/>
          <w:lang w:eastAsia="en-US"/>
        </w:rPr>
        <w:t xml:space="preserve"> [PN 135]</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r>
      <w:r>
        <w:rPr>
          <w:b/>
          <w:i/>
          <w:szCs w:val="24"/>
          <w:lang w:eastAsia="en-US"/>
        </w:rPr>
        <w:t>V článku 5 ods. 3 sa písmeno a) nahrádza takto:</w:t>
      </w:r>
    </w:p>
    <w:p w:rsidR="006C6719" w:rsidRDefault="00614864">
      <w:pPr>
        <w:spacing w:before="120" w:after="120" w:line="360" w:lineRule="auto"/>
        <w:ind w:left="1416" w:hanging="566"/>
        <w:rPr>
          <w:szCs w:val="24"/>
          <w:lang w:eastAsia="en-US"/>
        </w:rPr>
      </w:pPr>
      <w:r>
        <w:rPr>
          <w:szCs w:val="24"/>
          <w:lang w:eastAsia="en-US"/>
        </w:rPr>
        <w:t>„</w:t>
      </w:r>
      <w:r>
        <w:rPr>
          <w:b/>
          <w:i/>
          <w:szCs w:val="24"/>
          <w:lang w:eastAsia="en-US"/>
        </w:rPr>
        <w:t>a)</w:t>
      </w:r>
      <w:r>
        <w:rPr>
          <w:szCs w:val="24"/>
          <w:lang w:eastAsia="en-US"/>
        </w:rPr>
        <w:tab/>
      </w:r>
      <w:r>
        <w:rPr>
          <w:b/>
          <w:i/>
          <w:szCs w:val="24"/>
          <w:lang w:eastAsia="en-US"/>
        </w:rPr>
        <w:t>po dovŕšení veku 21 rokov:</w:t>
      </w:r>
    </w:p>
    <w:p w:rsidR="006C6719" w:rsidRDefault="00614864">
      <w:pPr>
        <w:spacing w:before="120" w:after="120" w:line="360" w:lineRule="auto"/>
        <w:ind w:left="1982" w:hanging="566"/>
        <w:rPr>
          <w:szCs w:val="24"/>
          <w:lang w:eastAsia="en-US"/>
        </w:rPr>
      </w:pPr>
      <w:r>
        <w:rPr>
          <w:b/>
          <w:i/>
          <w:szCs w:val="24"/>
          <w:lang w:eastAsia="en-US"/>
        </w:rPr>
        <w:t>i)</w:t>
      </w:r>
      <w:r>
        <w:rPr>
          <w:b/>
          <w:i/>
          <w:szCs w:val="24"/>
          <w:lang w:eastAsia="en-US"/>
        </w:rPr>
        <w:tab/>
        <w:t>vozidlá patriace do skupín vodičského oprávnenia D a D + E za predpokladu, že sú držiteľmi osvedčenia o odbornej spôsobilosti</w:t>
      </w:r>
      <w:r>
        <w:rPr>
          <w:b/>
          <w:i/>
          <w:szCs w:val="24"/>
          <w:lang w:eastAsia="en-US"/>
        </w:rPr>
        <w:t xml:space="preserve"> podľa článku 6 ods. 2.</w:t>
      </w:r>
    </w:p>
    <w:p w:rsidR="006C6719" w:rsidRDefault="00614864">
      <w:pPr>
        <w:widowControl/>
        <w:rPr>
          <w:b/>
          <w:i/>
          <w:szCs w:val="24"/>
          <w:lang w:eastAsia="en-US"/>
        </w:rPr>
      </w:pPr>
      <w:r>
        <w:rPr>
          <w:b/>
          <w:i/>
          <w:szCs w:val="24"/>
          <w:lang w:eastAsia="en-US"/>
        </w:rPr>
        <w:br w:type="page"/>
      </w:r>
    </w:p>
    <w:p w:rsidR="006C6719" w:rsidRDefault="00614864">
      <w:pPr>
        <w:spacing w:before="120" w:after="120" w:line="360" w:lineRule="auto"/>
        <w:ind w:left="1982"/>
        <w:rPr>
          <w:szCs w:val="24"/>
          <w:lang w:eastAsia="en-US"/>
        </w:rPr>
      </w:pPr>
      <w:r>
        <w:rPr>
          <w:b/>
          <w:i/>
          <w:szCs w:val="24"/>
          <w:lang w:eastAsia="en-US"/>
        </w:rPr>
        <w:lastRenderedPageBreak/>
        <w:t>Každý členský štát môže vodičom vozidiel v skupinách vodičského oprávnenia D1 a D1 + E povoliť viesť takéto vozidlá na svojom území po dovŕšení veku 18 rokov za predpokladu, že sú držiteľmi osvedčenia o odbornej spôsobilosti podľa</w:t>
      </w:r>
      <w:r>
        <w:rPr>
          <w:b/>
          <w:i/>
          <w:szCs w:val="24"/>
          <w:lang w:eastAsia="en-US"/>
        </w:rPr>
        <w:t xml:space="preserve"> článku 6 ods. 1.</w:t>
      </w:r>
    </w:p>
    <w:p w:rsidR="006C6719" w:rsidRDefault="00614864">
      <w:pPr>
        <w:spacing w:before="120" w:after="120" w:line="360" w:lineRule="auto"/>
        <w:ind w:left="1982"/>
        <w:rPr>
          <w:szCs w:val="24"/>
          <w:lang w:eastAsia="en-US"/>
        </w:rPr>
      </w:pPr>
      <w:r>
        <w:rPr>
          <w:b/>
          <w:i/>
          <w:szCs w:val="24"/>
          <w:lang w:eastAsia="en-US"/>
        </w:rPr>
        <w:t>Každý členský štát môže znížiť minimálny vek pre skupiny D a DE pre profesionálnych vodičov autobusov a autokarov na:</w:t>
      </w:r>
    </w:p>
    <w:p w:rsidR="006C6719" w:rsidRDefault="00614864">
      <w:pPr>
        <w:spacing w:before="120" w:after="120" w:line="360" w:lineRule="auto"/>
        <w:ind w:left="2548" w:hanging="566"/>
        <w:rPr>
          <w:szCs w:val="24"/>
          <w:lang w:eastAsia="en-US"/>
        </w:rPr>
      </w:pPr>
      <w:r>
        <w:rPr>
          <w:b/>
          <w:i/>
          <w:szCs w:val="24"/>
          <w:lang w:eastAsia="en-US"/>
        </w:rPr>
        <w:t>-</w:t>
      </w:r>
      <w:r>
        <w:rPr>
          <w:szCs w:val="24"/>
          <w:lang w:eastAsia="en-US"/>
        </w:rPr>
        <w:tab/>
      </w:r>
      <w:r>
        <w:rPr>
          <w:b/>
          <w:i/>
          <w:szCs w:val="24"/>
          <w:lang w:eastAsia="en-US"/>
        </w:rPr>
        <w:t>19 rokov na svojom území za predpokladu, že vodiči absolvovali úplný odborný výcvik a sú držiteľmi osvedčenia o odborn</w:t>
      </w:r>
      <w:r>
        <w:rPr>
          <w:b/>
          <w:i/>
          <w:szCs w:val="24"/>
          <w:lang w:eastAsia="en-US"/>
        </w:rPr>
        <w:t>ej spôsobilosti v súlade s článkom 6 ods. 1 smernice (EÚ) 2022/2561;</w:t>
      </w:r>
    </w:p>
    <w:p w:rsidR="006C6719" w:rsidRDefault="00614864">
      <w:pPr>
        <w:spacing w:before="120" w:after="120" w:line="360" w:lineRule="auto"/>
        <w:ind w:left="2548" w:hanging="566"/>
        <w:rPr>
          <w:szCs w:val="24"/>
          <w:lang w:eastAsia="en-US"/>
        </w:rPr>
      </w:pPr>
      <w:r>
        <w:rPr>
          <w:b/>
          <w:i/>
          <w:szCs w:val="24"/>
          <w:lang w:eastAsia="en-US"/>
        </w:rPr>
        <w:t>-</w:t>
      </w:r>
      <w:r>
        <w:rPr>
          <w:szCs w:val="24"/>
          <w:lang w:eastAsia="en-US"/>
        </w:rPr>
        <w:tab/>
      </w:r>
      <w:r>
        <w:rPr>
          <w:b/>
          <w:i/>
          <w:szCs w:val="24"/>
          <w:lang w:eastAsia="en-US"/>
        </w:rPr>
        <w:t>18 rokov na svojom území za predpokladu, že vodiči absolvovali úplný odborný výcvik a sú držiteľmi osvedčenia o odbornej spôsobilosti v súlade s článkom 6 ods. 1 smernice (EÚ) 2022/2561</w:t>
      </w:r>
      <w:r>
        <w:rPr>
          <w:b/>
          <w:i/>
          <w:szCs w:val="24"/>
          <w:lang w:eastAsia="en-US"/>
        </w:rPr>
        <w:t xml:space="preserve"> a vedú takéto vozidlá bez cestujúcich alebo na linkách kratších ako 50 km s cestujúcimi;</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1982" w:hanging="566"/>
        <w:rPr>
          <w:szCs w:val="24"/>
          <w:lang w:eastAsia="en-US"/>
        </w:rPr>
      </w:pPr>
      <w:r>
        <w:rPr>
          <w:b/>
          <w:i/>
          <w:szCs w:val="24"/>
          <w:lang w:eastAsia="en-US"/>
        </w:rPr>
        <w:lastRenderedPageBreak/>
        <w:t>ii)</w:t>
      </w:r>
      <w:r>
        <w:rPr>
          <w:b/>
          <w:i/>
          <w:szCs w:val="24"/>
          <w:lang w:eastAsia="en-US"/>
        </w:rPr>
        <w:tab/>
        <w:t>vozidlá patriace do skupín vodičského oprávnenia D a D + E za predpokladu, že sú držiteľmi osvedčenia o odbornej spôsobilosti podľa článku 6 ods. 1.</w:t>
      </w:r>
    </w:p>
    <w:p w:rsidR="006C6719" w:rsidRDefault="00614864">
      <w:pPr>
        <w:spacing w:before="120" w:after="120" w:line="360" w:lineRule="auto"/>
        <w:ind w:left="1982"/>
        <w:rPr>
          <w:szCs w:val="24"/>
          <w:lang w:eastAsia="en-US"/>
        </w:rPr>
      </w:pPr>
      <w:r>
        <w:rPr>
          <w:b/>
          <w:i/>
          <w:szCs w:val="24"/>
          <w:lang w:eastAsia="en-US"/>
        </w:rPr>
        <w:t>Každý člens</w:t>
      </w:r>
      <w:r>
        <w:rPr>
          <w:b/>
          <w:i/>
          <w:szCs w:val="24"/>
          <w:lang w:eastAsia="en-US"/>
        </w:rPr>
        <w:t>ký štát môže znížiť minimálny vek pre skupiny D a DE pre profesionálnych vodičov autobusov a autokarov na:</w:t>
      </w:r>
    </w:p>
    <w:p w:rsidR="006C6719" w:rsidRDefault="00614864">
      <w:pPr>
        <w:spacing w:before="120" w:after="120" w:line="360" w:lineRule="auto"/>
        <w:ind w:left="2548" w:hanging="566"/>
        <w:rPr>
          <w:szCs w:val="24"/>
          <w:lang w:eastAsia="en-US"/>
        </w:rPr>
      </w:pPr>
      <w:r>
        <w:rPr>
          <w:b/>
          <w:i/>
          <w:szCs w:val="24"/>
          <w:lang w:eastAsia="en-US"/>
        </w:rPr>
        <w:t>-</w:t>
      </w:r>
      <w:r>
        <w:rPr>
          <w:szCs w:val="24"/>
          <w:lang w:eastAsia="en-US"/>
        </w:rPr>
        <w:tab/>
      </w:r>
      <w:r>
        <w:rPr>
          <w:b/>
          <w:i/>
          <w:szCs w:val="24"/>
          <w:lang w:eastAsia="en-US"/>
        </w:rPr>
        <w:t>19 rokov na svojom území za predpokladu, že vodiči absolvovali úplný odborný výcvik a sú držiteľmi osvedčenia o odbornej spôsobilosti v súlade s čl</w:t>
      </w:r>
      <w:r>
        <w:rPr>
          <w:b/>
          <w:i/>
          <w:szCs w:val="24"/>
          <w:lang w:eastAsia="en-US"/>
        </w:rPr>
        <w:t>ánkom 6 ods. 1 smernice (EÚ) 2022/2561;</w:t>
      </w:r>
    </w:p>
    <w:p w:rsidR="006C6719" w:rsidRDefault="00614864">
      <w:pPr>
        <w:spacing w:before="120" w:after="120" w:line="360" w:lineRule="auto"/>
        <w:ind w:left="2548" w:hanging="566"/>
        <w:rPr>
          <w:szCs w:val="24"/>
          <w:lang w:eastAsia="en-US"/>
        </w:rPr>
      </w:pPr>
      <w:r>
        <w:rPr>
          <w:b/>
          <w:i/>
          <w:szCs w:val="24"/>
          <w:lang w:eastAsia="en-US"/>
        </w:rPr>
        <w:t>-</w:t>
      </w:r>
      <w:r>
        <w:rPr>
          <w:szCs w:val="24"/>
          <w:lang w:eastAsia="en-US"/>
        </w:rPr>
        <w:tab/>
      </w:r>
      <w:r>
        <w:rPr>
          <w:b/>
          <w:i/>
          <w:szCs w:val="24"/>
          <w:lang w:eastAsia="en-US"/>
        </w:rPr>
        <w:t>18 rokov na svojom území za predpokladu, že vodiči absolvovali úplný odborný výcvik a sú držiteľmi osvedčenia o odbornej spôsobilosti v súlade s článkom 6 ods. 1 smernice (EÚ) 2022/2561 a vedú takéto vozidlá bez ce</w:t>
      </w:r>
      <w:r>
        <w:rPr>
          <w:b/>
          <w:i/>
          <w:szCs w:val="24"/>
          <w:lang w:eastAsia="en-US"/>
        </w:rPr>
        <w:t>stujúcich alebo na linkách kratších ako 50 km s cestujúcimi.“</w:t>
      </w:r>
      <w:r>
        <w:rPr>
          <w:b/>
          <w:szCs w:val="24"/>
          <w:lang w:eastAsia="en-US"/>
        </w:rPr>
        <w:t xml:space="preserve"> [PN 322]</w:t>
      </w:r>
    </w:p>
    <w:p w:rsidR="006C6719" w:rsidRDefault="00614864">
      <w:pPr>
        <w:spacing w:before="120" w:after="120" w:line="360" w:lineRule="auto"/>
        <w:ind w:left="851" w:hanging="851"/>
        <w:rPr>
          <w:b/>
          <w:szCs w:val="24"/>
          <w:lang w:eastAsia="en-US"/>
        </w:rPr>
      </w:pPr>
      <w:r>
        <w:rPr>
          <w:b/>
          <w:i/>
          <w:szCs w:val="24"/>
          <w:lang w:eastAsia="en-US"/>
        </w:rPr>
        <w:t>3.</w:t>
      </w:r>
      <w:r>
        <w:rPr>
          <w:b/>
          <w:i/>
          <w:szCs w:val="24"/>
          <w:lang w:eastAsia="en-US"/>
        </w:rPr>
        <w:tab/>
        <w:t>V článku 5 sa vypúšťa odsek 3 písm. b).</w:t>
      </w:r>
      <w:r>
        <w:rPr>
          <w:b/>
          <w:szCs w:val="24"/>
          <w:lang w:eastAsia="en-US"/>
        </w:rPr>
        <w:t xml:space="preserve"> [PN 323]</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jc w:val="center"/>
        <w:rPr>
          <w:szCs w:val="24"/>
          <w:lang w:eastAsia="en-US"/>
        </w:rPr>
      </w:pPr>
      <w:r>
        <w:rPr>
          <w:szCs w:val="24"/>
          <w:lang w:eastAsia="en-US"/>
        </w:rPr>
        <w:lastRenderedPageBreak/>
        <w:t>Článok 24</w:t>
      </w:r>
      <w:r>
        <w:rPr>
          <w:szCs w:val="24"/>
          <w:lang w:eastAsia="en-US"/>
        </w:rPr>
        <w:br/>
        <w:t>Zmeny nariadenia Rady (EÚ) 2018/1724</w:t>
      </w:r>
    </w:p>
    <w:p w:rsidR="006C6719" w:rsidRDefault="00614864">
      <w:pPr>
        <w:spacing w:before="120" w:after="120" w:line="360" w:lineRule="auto"/>
        <w:rPr>
          <w:szCs w:val="24"/>
          <w:lang w:eastAsia="en-US"/>
        </w:rPr>
      </w:pPr>
      <w:r>
        <w:rPr>
          <w:szCs w:val="24"/>
          <w:lang w:eastAsia="en-US"/>
        </w:rPr>
        <w:t>Príloha II k nariadeniu (EÚ) 2018/1724 sa mení takto:</w:t>
      </w:r>
    </w:p>
    <w:p w:rsidR="006C6719" w:rsidRDefault="00614864">
      <w:pPr>
        <w:spacing w:before="120" w:after="120" w:line="360" w:lineRule="auto"/>
        <w:ind w:left="850" w:hanging="850"/>
        <w:rPr>
          <w:szCs w:val="24"/>
          <w:lang w:eastAsia="en-US"/>
        </w:rPr>
      </w:pPr>
      <w:r>
        <w:rPr>
          <w:szCs w:val="24"/>
          <w:lang w:eastAsia="en-US"/>
        </w:rPr>
        <w:t>a)</w:t>
      </w:r>
      <w:r>
        <w:rPr>
          <w:szCs w:val="24"/>
          <w:lang w:eastAsia="en-US"/>
        </w:rPr>
        <w:tab/>
        <w:t>v druhom stĺpci, ktorý patr</w:t>
      </w:r>
      <w:r>
        <w:rPr>
          <w:szCs w:val="24"/>
          <w:lang w:eastAsia="en-US"/>
        </w:rPr>
        <w:t>í k riadku „Presťahovanie“, sa pridáva toto políčko: „získanie a obnovenie vodičského preukazu“;</w:t>
      </w:r>
    </w:p>
    <w:p w:rsidR="006C6719" w:rsidRDefault="00614864">
      <w:pPr>
        <w:spacing w:before="120" w:after="120" w:line="360" w:lineRule="auto"/>
        <w:ind w:left="850" w:hanging="850"/>
        <w:rPr>
          <w:szCs w:val="24"/>
          <w:lang w:eastAsia="en-US"/>
        </w:rPr>
      </w:pPr>
      <w:r>
        <w:rPr>
          <w:szCs w:val="24"/>
          <w:lang w:eastAsia="en-US"/>
        </w:rPr>
        <w:t>b)</w:t>
      </w:r>
      <w:r>
        <w:rPr>
          <w:szCs w:val="24"/>
          <w:lang w:eastAsia="en-US"/>
        </w:rPr>
        <w:tab/>
        <w:t>v treťom stĺpci, ktorý patrí k riadku „Presťahovanie“, sa pridáva toto políčko: „vydanie, výmena a náhrada vodičských preukazov EÚ“.</w:t>
      </w:r>
    </w:p>
    <w:p w:rsidR="006C6719" w:rsidRDefault="00614864">
      <w:pPr>
        <w:spacing w:before="120" w:after="120" w:line="360" w:lineRule="auto"/>
        <w:jc w:val="center"/>
        <w:rPr>
          <w:szCs w:val="24"/>
          <w:lang w:eastAsia="en-US"/>
        </w:rPr>
      </w:pPr>
      <w:r>
        <w:rPr>
          <w:szCs w:val="24"/>
          <w:lang w:eastAsia="en-US"/>
        </w:rPr>
        <w:t>Článok 25</w:t>
      </w:r>
      <w:r>
        <w:rPr>
          <w:szCs w:val="24"/>
          <w:lang w:eastAsia="en-US"/>
        </w:rPr>
        <w:br/>
        <w:t xml:space="preserve">Transpozícia </w:t>
      </w:r>
    </w:p>
    <w:p w:rsidR="006C6719" w:rsidRDefault="00614864">
      <w:pPr>
        <w:spacing w:before="120" w:after="120" w:line="360" w:lineRule="auto"/>
        <w:ind w:left="850" w:hanging="850"/>
        <w:rPr>
          <w:b/>
          <w:szCs w:val="24"/>
          <w:lang w:eastAsia="en-US"/>
        </w:rPr>
      </w:pPr>
      <w:r>
        <w:rPr>
          <w:szCs w:val="24"/>
          <w:lang w:eastAsia="en-US"/>
        </w:rPr>
        <w:t>1.</w:t>
      </w:r>
      <w:r>
        <w:rPr>
          <w:szCs w:val="24"/>
          <w:lang w:eastAsia="en-US"/>
        </w:rPr>
        <w:tab/>
      </w:r>
      <w:r>
        <w:rPr>
          <w:b/>
          <w:i/>
          <w:szCs w:val="24"/>
          <w:lang w:eastAsia="en-US"/>
        </w:rPr>
        <w:t xml:space="preserve">Bez toho, aby bol dotknutý odsek 1a, </w:t>
      </w:r>
      <w:r>
        <w:rPr>
          <w:szCs w:val="24"/>
          <w:lang w:eastAsia="en-US"/>
        </w:rPr>
        <w:t>členské štáty prijmú a uverejnia najneskôr do [dátum prijatia + 2 roky] zákony, iné právne predpisy a správne opatrenia potrebné na dosiahnutie súladu s touto smernicou. Komisii bezodkladne oznámia znenie týchto ust</w:t>
      </w:r>
      <w:r>
        <w:rPr>
          <w:szCs w:val="24"/>
          <w:lang w:eastAsia="en-US"/>
        </w:rPr>
        <w:t>anovení.</w:t>
      </w:r>
      <w:r>
        <w:rPr>
          <w:b/>
          <w:szCs w:val="24"/>
          <w:lang w:eastAsia="en-US"/>
        </w:rPr>
        <w:t xml:space="preserve"> [PN 324]</w:t>
      </w:r>
    </w:p>
    <w:p w:rsidR="006C6719" w:rsidRDefault="00614864">
      <w:pPr>
        <w:spacing w:before="120" w:after="120" w:line="360" w:lineRule="auto"/>
        <w:ind w:left="850"/>
        <w:rPr>
          <w:b/>
          <w:szCs w:val="24"/>
          <w:lang w:eastAsia="en-US"/>
        </w:rPr>
      </w:pPr>
      <w:r>
        <w:rPr>
          <w:b/>
          <w:i/>
          <w:szCs w:val="24"/>
          <w:lang w:eastAsia="en-US"/>
        </w:rPr>
        <w:t xml:space="preserve">Bez toho, aby bol dotknutý odsek 1a, </w:t>
      </w:r>
      <w:r>
        <w:rPr>
          <w:szCs w:val="24"/>
          <w:lang w:eastAsia="en-US"/>
        </w:rPr>
        <w:t>uvedené ustanovenia uplatňujú od [dátum prijatia + 3 roky].</w:t>
      </w:r>
      <w:r>
        <w:rPr>
          <w:b/>
          <w:szCs w:val="24"/>
          <w:lang w:eastAsia="en-US"/>
        </w:rPr>
        <w:t xml:space="preserve"> [PN 325]</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rPr>
          <w:szCs w:val="24"/>
          <w:lang w:eastAsia="en-US"/>
        </w:rPr>
      </w:pPr>
      <w:r>
        <w:rPr>
          <w:szCs w:val="24"/>
          <w:lang w:eastAsia="en-US"/>
        </w:rPr>
        <w:lastRenderedPageBreak/>
        <w:t>Členské štáty uvedú priamo v prijatých ustanoveniach alebo pri ich úradnom uverejnení odkaz na túto smernicu. Podrobnosti o odkaze</w:t>
      </w:r>
      <w:r>
        <w:rPr>
          <w:szCs w:val="24"/>
          <w:lang w:eastAsia="en-US"/>
        </w:rPr>
        <w:t xml:space="preserve"> upravia členské štáty.</w:t>
      </w:r>
    </w:p>
    <w:p w:rsidR="006C6719" w:rsidRDefault="00614864">
      <w:pPr>
        <w:spacing w:before="120" w:after="120" w:line="360" w:lineRule="auto"/>
        <w:ind w:left="850" w:hanging="850"/>
        <w:rPr>
          <w:szCs w:val="24"/>
          <w:lang w:eastAsia="en-US"/>
        </w:rPr>
      </w:pPr>
      <w:r>
        <w:rPr>
          <w:b/>
          <w:i/>
          <w:szCs w:val="24"/>
          <w:lang w:eastAsia="en-US"/>
        </w:rPr>
        <w:t>1a.</w:t>
      </w:r>
      <w:r>
        <w:rPr>
          <w:szCs w:val="24"/>
          <w:lang w:eastAsia="en-US"/>
        </w:rPr>
        <w:tab/>
      </w:r>
      <w:r>
        <w:rPr>
          <w:b/>
          <w:i/>
          <w:szCs w:val="24"/>
          <w:lang w:eastAsia="en-US"/>
        </w:rPr>
        <w:t>Členské štáty prijmú a uverejnia najneskôr do ... [dátum prijatia +4 mesiace] zákony, iné právne predpisy a správne opatrenia potrebné na dosiahnutie súladu s článkom 9 ods. 2 tejto smernice.</w:t>
      </w:r>
    </w:p>
    <w:p w:rsidR="006C6719" w:rsidRDefault="00614864">
      <w:pPr>
        <w:spacing w:before="120" w:after="120" w:line="360" w:lineRule="auto"/>
        <w:ind w:left="850"/>
        <w:rPr>
          <w:b/>
          <w:szCs w:val="24"/>
          <w:lang w:eastAsia="en-US"/>
        </w:rPr>
      </w:pPr>
      <w:r>
        <w:rPr>
          <w:b/>
          <w:i/>
          <w:szCs w:val="24"/>
          <w:lang w:eastAsia="en-US"/>
        </w:rPr>
        <w:t>Uvedené ustanovenia uplatňujú od ...</w:t>
      </w:r>
      <w:r>
        <w:rPr>
          <w:b/>
          <w:i/>
          <w:szCs w:val="24"/>
          <w:lang w:eastAsia="en-US"/>
        </w:rPr>
        <w:t xml:space="preserve"> [dátum prijatia + 4 mesiace].</w:t>
      </w:r>
      <w:r>
        <w:rPr>
          <w:b/>
          <w:szCs w:val="24"/>
          <w:lang w:eastAsia="en-US"/>
        </w:rPr>
        <w:t xml:space="preserve"> [PN 326]</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Členské štáty oznámia Komisii znenie hlavných ustanovení vnútroštátneho práva, ktoré prijmú v oblasti pôsobnosti tejto smernice.</w:t>
      </w:r>
    </w:p>
    <w:p w:rsidR="006C6719" w:rsidRDefault="00614864">
      <w:pPr>
        <w:spacing w:before="120" w:after="120" w:line="360" w:lineRule="auto"/>
        <w:jc w:val="center"/>
        <w:rPr>
          <w:szCs w:val="24"/>
          <w:lang w:eastAsia="en-US"/>
        </w:rPr>
      </w:pPr>
      <w:r>
        <w:rPr>
          <w:szCs w:val="24"/>
          <w:lang w:eastAsia="en-US"/>
        </w:rPr>
        <w:t>Článok 26</w:t>
      </w:r>
      <w:r>
        <w:rPr>
          <w:szCs w:val="24"/>
          <w:lang w:eastAsia="en-US"/>
        </w:rPr>
        <w:br/>
        <w:t xml:space="preserve">Zrušenie </w:t>
      </w:r>
    </w:p>
    <w:p w:rsidR="006C6719" w:rsidRDefault="00614864">
      <w:pPr>
        <w:spacing w:before="120" w:after="120" w:line="360" w:lineRule="auto"/>
        <w:ind w:left="850" w:hanging="850"/>
        <w:rPr>
          <w:szCs w:val="24"/>
          <w:lang w:eastAsia="en-US"/>
        </w:rPr>
      </w:pPr>
      <w:r>
        <w:rPr>
          <w:szCs w:val="24"/>
          <w:lang w:eastAsia="en-US"/>
        </w:rPr>
        <w:t>1.</w:t>
      </w:r>
      <w:r>
        <w:rPr>
          <w:szCs w:val="24"/>
          <w:lang w:eastAsia="en-US"/>
        </w:rPr>
        <w:tab/>
        <w:t>Smernica 2006/126/ES sa zrušuje s účinnosťou od [dátum prijat</w:t>
      </w:r>
      <w:r>
        <w:rPr>
          <w:szCs w:val="24"/>
          <w:lang w:eastAsia="en-US"/>
        </w:rPr>
        <w:t>ia + 3 roky].</w:t>
      </w:r>
    </w:p>
    <w:p w:rsidR="006C6719" w:rsidRDefault="00614864">
      <w:pPr>
        <w:spacing w:before="120" w:after="120" w:line="360" w:lineRule="auto"/>
        <w:ind w:left="850"/>
        <w:rPr>
          <w:szCs w:val="24"/>
          <w:lang w:eastAsia="en-US"/>
        </w:rPr>
      </w:pPr>
      <w:r>
        <w:rPr>
          <w:szCs w:val="24"/>
          <w:lang w:eastAsia="en-US"/>
        </w:rPr>
        <w:t>Odkazy na smernicu 2006/126/ES sa vykladajú ako odkazy na túto smernicu a znejú v súlade s tabuľkou zhody uvedenou v prílohe VII.</w:t>
      </w:r>
    </w:p>
    <w:p w:rsidR="006C6719" w:rsidRDefault="00614864">
      <w:pPr>
        <w:spacing w:before="120" w:after="120" w:line="360" w:lineRule="auto"/>
        <w:ind w:left="850" w:hanging="850"/>
        <w:rPr>
          <w:szCs w:val="24"/>
          <w:lang w:eastAsia="en-US"/>
        </w:rPr>
      </w:pPr>
      <w:r>
        <w:rPr>
          <w:szCs w:val="24"/>
          <w:lang w:eastAsia="en-US"/>
        </w:rPr>
        <w:t>2.</w:t>
      </w:r>
      <w:r>
        <w:rPr>
          <w:szCs w:val="24"/>
          <w:lang w:eastAsia="en-US"/>
        </w:rPr>
        <w:tab/>
        <w:t>Nariadenie (EÚ) č. 383/2012 sa zrušuje s účinnosťou od [dátum prijatia + 3 roky].</w:t>
      </w:r>
    </w:p>
    <w:p w:rsidR="006C6719" w:rsidRDefault="00614864">
      <w:pPr>
        <w:widowControl/>
        <w:rPr>
          <w:szCs w:val="24"/>
          <w:lang w:eastAsia="en-US"/>
        </w:rPr>
      </w:pPr>
      <w:r>
        <w:rPr>
          <w:szCs w:val="24"/>
          <w:lang w:eastAsia="en-US"/>
        </w:rPr>
        <w:br w:type="page"/>
      </w:r>
    </w:p>
    <w:p w:rsidR="006C6719" w:rsidRDefault="00614864">
      <w:pPr>
        <w:spacing w:before="120" w:after="120" w:line="360" w:lineRule="auto"/>
        <w:ind w:left="850" w:hanging="850"/>
        <w:rPr>
          <w:szCs w:val="24"/>
          <w:lang w:eastAsia="en-US"/>
        </w:rPr>
      </w:pPr>
      <w:r>
        <w:rPr>
          <w:szCs w:val="24"/>
          <w:lang w:eastAsia="en-US"/>
        </w:rPr>
        <w:lastRenderedPageBreak/>
        <w:t>3.</w:t>
      </w:r>
      <w:r>
        <w:rPr>
          <w:szCs w:val="24"/>
          <w:lang w:eastAsia="en-US"/>
        </w:rPr>
        <w:tab/>
        <w:t>Odkazy na nariadenie (</w:t>
      </w:r>
      <w:r>
        <w:rPr>
          <w:szCs w:val="24"/>
          <w:lang w:eastAsia="en-US"/>
        </w:rPr>
        <w:t>EÚ) č. 383/2012 sa považujú za odkazy na časť B prílohy I k tejto smernici a znejú v súlade s tabuľkou zhody uvedenou v prílohe VII.</w:t>
      </w:r>
    </w:p>
    <w:p w:rsidR="006C6719" w:rsidRDefault="00614864">
      <w:pPr>
        <w:spacing w:before="120" w:after="120" w:line="360" w:lineRule="auto"/>
        <w:jc w:val="center"/>
        <w:rPr>
          <w:szCs w:val="24"/>
          <w:lang w:eastAsia="en-US"/>
        </w:rPr>
      </w:pPr>
      <w:r>
        <w:rPr>
          <w:szCs w:val="24"/>
          <w:lang w:eastAsia="en-US"/>
        </w:rPr>
        <w:t>Článok 27</w:t>
      </w:r>
      <w:r>
        <w:rPr>
          <w:szCs w:val="24"/>
          <w:lang w:eastAsia="en-US"/>
        </w:rPr>
        <w:br/>
        <w:t xml:space="preserve">Nadobudnutie účinnosti </w:t>
      </w:r>
    </w:p>
    <w:p w:rsidR="006C6719" w:rsidRDefault="00614864">
      <w:pPr>
        <w:spacing w:before="120" w:after="120" w:line="360" w:lineRule="auto"/>
        <w:rPr>
          <w:szCs w:val="24"/>
          <w:lang w:eastAsia="en-US"/>
        </w:rPr>
      </w:pPr>
      <w:r>
        <w:rPr>
          <w:szCs w:val="24"/>
          <w:lang w:eastAsia="en-US"/>
        </w:rPr>
        <w:t xml:space="preserve">Táto smernica nadobúda účinnosť dvadsiatym dňom po jej uverejnení v </w:t>
      </w:r>
      <w:r>
        <w:rPr>
          <w:i/>
          <w:szCs w:val="24"/>
          <w:lang w:eastAsia="en-US"/>
        </w:rPr>
        <w:t>Úradnom vestníku Euró</w:t>
      </w:r>
      <w:r>
        <w:rPr>
          <w:i/>
          <w:szCs w:val="24"/>
          <w:lang w:eastAsia="en-US"/>
        </w:rPr>
        <w:t>pskej únie</w:t>
      </w:r>
      <w:r>
        <w:rPr>
          <w:szCs w:val="24"/>
          <w:lang w:eastAsia="en-US"/>
        </w:rPr>
        <w:t>.</w:t>
      </w:r>
    </w:p>
    <w:p w:rsidR="006C6719" w:rsidRDefault="00614864">
      <w:pPr>
        <w:spacing w:before="120" w:after="120" w:line="360" w:lineRule="auto"/>
        <w:jc w:val="center"/>
        <w:rPr>
          <w:szCs w:val="24"/>
          <w:lang w:eastAsia="en-US"/>
        </w:rPr>
      </w:pPr>
      <w:r>
        <w:rPr>
          <w:szCs w:val="24"/>
          <w:lang w:eastAsia="en-US"/>
        </w:rPr>
        <w:t>Článok 28</w:t>
      </w:r>
      <w:r>
        <w:rPr>
          <w:szCs w:val="24"/>
          <w:lang w:eastAsia="en-US"/>
        </w:rPr>
        <w:br/>
        <w:t>Adresáti</w:t>
      </w:r>
    </w:p>
    <w:p w:rsidR="006C6719" w:rsidRDefault="00614864">
      <w:pPr>
        <w:spacing w:before="120" w:after="120" w:line="360" w:lineRule="auto"/>
        <w:rPr>
          <w:szCs w:val="24"/>
          <w:lang w:eastAsia="en-US"/>
        </w:rPr>
      </w:pPr>
      <w:r>
        <w:rPr>
          <w:szCs w:val="24"/>
          <w:lang w:eastAsia="en-US"/>
        </w:rPr>
        <w:t>Táto smernica je určená členským štátom.</w:t>
      </w:r>
    </w:p>
    <w:p w:rsidR="006C6719" w:rsidRDefault="00614864">
      <w:pPr>
        <w:keepNext/>
        <w:widowControl/>
        <w:spacing w:before="120" w:line="360" w:lineRule="auto"/>
        <w:rPr>
          <w:szCs w:val="24"/>
          <w:lang w:eastAsia="en-US"/>
        </w:rPr>
      </w:pPr>
      <w:r>
        <w:rPr>
          <w:szCs w:val="24"/>
          <w:lang w:eastAsia="en-US"/>
        </w:rPr>
        <w:t>V …</w:t>
      </w:r>
      <w:bookmarkStart w:id="8" w:name="_GoBack"/>
      <w:bookmarkEnd w:id="8"/>
    </w:p>
    <w:p w:rsidR="006C6719" w:rsidRDefault="00614864">
      <w:pPr>
        <w:keepNext/>
        <w:widowControl/>
        <w:tabs>
          <w:tab w:val="left" w:pos="4252"/>
        </w:tabs>
        <w:spacing w:before="720" w:after="100" w:line="360" w:lineRule="auto"/>
        <w:jc w:val="both"/>
        <w:rPr>
          <w:i/>
          <w:szCs w:val="24"/>
          <w:lang w:eastAsia="en-US"/>
        </w:rPr>
      </w:pPr>
      <w:r>
        <w:rPr>
          <w:i/>
          <w:szCs w:val="24"/>
          <w:lang w:eastAsia="en-US"/>
        </w:rPr>
        <w:t>Za Európsky parlament</w:t>
      </w:r>
      <w:r>
        <w:rPr>
          <w:i/>
          <w:szCs w:val="24"/>
          <w:lang w:eastAsia="en-US"/>
        </w:rPr>
        <w:tab/>
        <w:t>Za Radu</w:t>
      </w:r>
    </w:p>
    <w:p w:rsidR="006C6719" w:rsidRDefault="00614864">
      <w:pPr>
        <w:widowControl/>
        <w:tabs>
          <w:tab w:val="left" w:pos="4252"/>
        </w:tabs>
        <w:spacing w:line="360" w:lineRule="auto"/>
        <w:rPr>
          <w:i/>
          <w:szCs w:val="24"/>
          <w:lang w:eastAsia="en-US"/>
        </w:rPr>
      </w:pPr>
      <w:r>
        <w:rPr>
          <w:i/>
          <w:szCs w:val="24"/>
          <w:lang w:eastAsia="en-US"/>
        </w:rPr>
        <w:t>predsedníčka</w:t>
      </w:r>
      <w:r>
        <w:rPr>
          <w:i/>
          <w:szCs w:val="24"/>
          <w:lang w:eastAsia="en-US"/>
        </w:rPr>
        <w:tab/>
        <w:t>predseda/predsedníčka</w:t>
      </w:r>
    </w:p>
    <w:p w:rsidR="006C6719" w:rsidRDefault="006C6719">
      <w:pPr>
        <w:pStyle w:val="NormalHanging12a"/>
        <w:sectPr w:rsidR="006C671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C6719" w:rsidRDefault="00614864">
      <w:pPr>
        <w:widowControl/>
        <w:spacing w:before="120" w:after="120"/>
        <w:jc w:val="center"/>
        <w:rPr>
          <w:rFonts w:eastAsia="Calibri"/>
          <w:noProof/>
          <w:color w:val="0000FF"/>
          <w:szCs w:val="22"/>
          <w:lang w:eastAsia="en-US"/>
        </w:rPr>
      </w:pPr>
      <w:r>
        <w:rPr>
          <w:rFonts w:eastAsia="Calibri"/>
          <w:noProof/>
          <w:szCs w:val="22"/>
          <w:lang w:eastAsia="en-US"/>
        </w:rPr>
        <w:lastRenderedPageBreak/>
        <w:t>Príloha I</w:t>
      </w:r>
    </w:p>
    <w:p w:rsidR="006C6719" w:rsidRDefault="00614864">
      <w:pPr>
        <w:widowControl/>
        <w:spacing w:after="360"/>
        <w:jc w:val="center"/>
        <w:rPr>
          <w:rFonts w:eastAsia="Calibri"/>
          <w:noProof/>
          <w:szCs w:val="22"/>
          <w:lang w:eastAsia="en-US"/>
        </w:rPr>
      </w:pPr>
      <w:r>
        <w:rPr>
          <w:rFonts w:eastAsia="Calibri"/>
          <w:noProof/>
          <w:szCs w:val="22"/>
          <w:lang w:eastAsia="en-US"/>
        </w:rPr>
        <w:t>USTANOVENIA TÝKAJÚCE SA VODIČSKÝCH PREUKAZOV VYDANÝCH ČLENSKÝMI ŠTÁTMI</w:t>
      </w:r>
    </w:p>
    <w:p w:rsidR="006C6719" w:rsidRDefault="00614864">
      <w:pPr>
        <w:widowControl/>
        <w:spacing w:after="360"/>
        <w:jc w:val="center"/>
        <w:rPr>
          <w:rFonts w:eastAsia="Calibri"/>
          <w:b/>
          <w:noProof/>
          <w:szCs w:val="22"/>
          <w:lang w:eastAsia="en-US"/>
        </w:rPr>
      </w:pPr>
      <w:r>
        <w:rPr>
          <w:rFonts w:eastAsia="Calibri"/>
          <w:b/>
          <w:noProof/>
          <w:szCs w:val="22"/>
          <w:lang w:eastAsia="en-US"/>
        </w:rPr>
        <w:t>ČASŤ A1: VŠEOBECNÉ ŠPECIFIKÁCIE FYZICKÉHO VODIČSKÉHO PREUKAZU</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Fyzické vlastnosti karty vzoru vodičského preukazu Únie sú v súlade s normami ISO 7810 a 7816-1.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Karta je vyrobená z polykarbonátu.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Spôsoby odskúšania vlastností vodičských preukazov na úče</w:t>
      </w:r>
      <w:r>
        <w:rPr>
          <w:rFonts w:eastAsia="Calibri"/>
          <w:noProof/>
          <w:szCs w:val="22"/>
          <w:lang w:eastAsia="en-US"/>
        </w:rPr>
        <w:t xml:space="preserve">ly potvrdenia ich zhody s medzinárodnými normami sú v súlade s normou ISO 10373.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Vodičský preukaz má dve strany a zhoduje sa so vzorom na obrázku 1.</w:t>
      </w:r>
    </w:p>
    <w:p w:rsidR="006C6719" w:rsidRDefault="00614864">
      <w:pPr>
        <w:widowControl/>
        <w:spacing w:before="120" w:after="120"/>
        <w:ind w:left="720" w:firstLine="720"/>
        <w:rPr>
          <w:rFonts w:eastAsia="Calibri"/>
          <w:noProof/>
          <w:szCs w:val="22"/>
          <w:lang w:eastAsia="en-US"/>
        </w:rPr>
      </w:pPr>
      <w:r>
        <w:rPr>
          <w:rFonts w:eastAsia="Calibri"/>
          <w:i/>
          <w:noProof/>
          <w:color w:val="000000"/>
          <w:szCs w:val="22"/>
          <w:lang w:eastAsia="en-US"/>
        </w:rPr>
        <w:t>Strana 1</w:t>
      </w:r>
      <w:r>
        <w:rPr>
          <w:rFonts w:eastAsia="Calibri"/>
          <w:noProof/>
          <w:szCs w:val="22"/>
          <w:lang w:eastAsia="en-US"/>
        </w:rPr>
        <w:tab/>
      </w:r>
      <w:r>
        <w:rPr>
          <w:rFonts w:eastAsia="Calibri"/>
          <w:noProof/>
          <w:szCs w:val="22"/>
          <w:lang w:eastAsia="en-US"/>
        </w:rPr>
        <w:tab/>
      </w:r>
      <w:r>
        <w:rPr>
          <w:rFonts w:eastAsia="Calibri"/>
          <w:noProof/>
          <w:szCs w:val="22"/>
          <w:lang w:eastAsia="en-US"/>
        </w:rPr>
        <w:tab/>
      </w:r>
      <w:r>
        <w:rPr>
          <w:rFonts w:eastAsia="Calibri"/>
          <w:noProof/>
          <w:szCs w:val="22"/>
          <w:lang w:eastAsia="en-US"/>
        </w:rPr>
        <w:tab/>
      </w:r>
      <w:r>
        <w:rPr>
          <w:rFonts w:eastAsia="Calibri"/>
          <w:noProof/>
          <w:szCs w:val="22"/>
          <w:lang w:eastAsia="en-US"/>
        </w:rPr>
        <w:tab/>
      </w:r>
      <w:r>
        <w:rPr>
          <w:rFonts w:eastAsia="Calibri"/>
          <w:noProof/>
          <w:szCs w:val="22"/>
          <w:lang w:eastAsia="en-US"/>
        </w:rPr>
        <w:tab/>
      </w:r>
      <w:r>
        <w:rPr>
          <w:rFonts w:eastAsia="Calibri"/>
          <w:i/>
          <w:noProof/>
          <w:color w:val="000000"/>
          <w:szCs w:val="22"/>
          <w:lang w:eastAsia="en-US"/>
        </w:rPr>
        <w:t>Strana 2</w:t>
      </w:r>
      <w:r>
        <w:rPr>
          <w:rFonts w:eastAsia="Calibri"/>
          <w:noProof/>
          <w:color w:val="000000"/>
          <w:szCs w:val="22"/>
          <w:lang w:eastAsia="en-US"/>
        </w:rPr>
        <w:t xml:space="preserve"> </w:t>
      </w:r>
    </w:p>
    <w:p w:rsidR="006C6719" w:rsidRDefault="00614864">
      <w:pPr>
        <w:widowControl/>
        <w:spacing w:before="120" w:after="120"/>
        <w:ind w:firstLine="720"/>
        <w:rPr>
          <w:rFonts w:eastAsia="Calibri"/>
          <w:i/>
          <w:iCs/>
          <w:noProof/>
          <w:color w:val="000000"/>
          <w:szCs w:val="22"/>
          <w:lang w:eastAsia="en-US"/>
        </w:rPr>
      </w:pPr>
      <w:r>
        <w:rPr>
          <w:rFonts w:eastAsia="Calibri"/>
          <w:i/>
          <w:noProof/>
          <w:color w:val="000000"/>
          <w:szCs w:val="22"/>
          <w:lang w:val="en-GB"/>
        </w:rPr>
        <w:drawing>
          <wp:inline distT="0" distB="0" distL="0" distR="0">
            <wp:extent cx="2565775" cy="1620000"/>
            <wp:effectExtent l="0" t="0" r="6350" b="0"/>
            <wp:docPr id="2" name="Picture 2" descr="Graf, rozptýlený graf&#10;&#10;Automaticky vygenerovaný 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Pr>
          <w:rFonts w:eastAsia="Calibri"/>
          <w:i/>
          <w:noProof/>
          <w:color w:val="000000"/>
          <w:szCs w:val="22"/>
          <w:lang w:eastAsia="en-US"/>
        </w:rPr>
        <w:t xml:space="preserve"> </w:t>
      </w:r>
      <w:r>
        <w:rPr>
          <w:rFonts w:eastAsia="Calibri"/>
          <w:noProof/>
          <w:szCs w:val="22"/>
          <w:lang w:val="en-GB"/>
        </w:rPr>
        <w:drawing>
          <wp:inline distT="0" distB="0" distL="0" distR="0">
            <wp:extent cx="2576540" cy="1620000"/>
            <wp:effectExtent l="0" t="0" r="0" b="0"/>
            <wp:docPr id="4" name="Picture 4" descr="Tabuľka&#10;&#10;Automaticky vygenerovaný 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6C6719" w:rsidRDefault="00614864">
      <w:pPr>
        <w:widowControl/>
        <w:spacing w:before="120" w:after="120"/>
        <w:ind w:firstLine="720"/>
        <w:rPr>
          <w:rFonts w:eastAsia="Calibri"/>
          <w:i/>
          <w:noProof/>
          <w:color w:val="000000"/>
          <w:szCs w:val="22"/>
          <w:lang w:eastAsia="en-US"/>
        </w:rPr>
      </w:pPr>
      <w:r>
        <w:rPr>
          <w:rFonts w:eastAsia="Calibri"/>
          <w:i/>
          <w:noProof/>
          <w:color w:val="000000"/>
          <w:szCs w:val="22"/>
          <w:lang w:eastAsia="en-US"/>
        </w:rPr>
        <w:t>Obrázok 1: Vzor vodičského preukazu EÚ</w:t>
      </w:r>
    </w:p>
    <w:p w:rsidR="006C6719" w:rsidRDefault="00614864">
      <w:pPr>
        <w:widowControl/>
        <w:spacing w:before="120" w:after="120"/>
        <w:ind w:left="850"/>
        <w:jc w:val="both"/>
        <w:rPr>
          <w:rFonts w:eastAsia="Calibri"/>
          <w:i/>
          <w:noProof/>
          <w:color w:val="000000"/>
          <w:szCs w:val="22"/>
          <w:lang w:eastAsia="en-US"/>
        </w:rPr>
      </w:pPr>
      <w:r>
        <w:rPr>
          <w:rFonts w:eastAsia="Calibri"/>
          <w:noProof/>
          <w:color w:val="000000"/>
          <w:szCs w:val="22"/>
          <w:lang w:eastAsia="en-US"/>
        </w:rPr>
        <w:t xml:space="preserve">1. Priezvisko 2. Meno 3. Dátum a </w:t>
      </w:r>
      <w:r>
        <w:rPr>
          <w:rFonts w:eastAsia="Calibri"/>
          <w:noProof/>
          <w:color w:val="000000"/>
          <w:szCs w:val="22"/>
          <w:lang w:eastAsia="en-US"/>
        </w:rPr>
        <w:t>miesto narodenia 4a. Dátum vydania 4b. Dátum uplynutia platnosti 4c. </w:t>
      </w:r>
      <w:r>
        <w:rPr>
          <w:rFonts w:eastAsia="Calibri"/>
          <w:noProof/>
          <w:szCs w:val="22"/>
          <w:lang w:eastAsia="en-US"/>
        </w:rPr>
        <w:t>Vydal</w:t>
      </w:r>
      <w:r>
        <w:rPr>
          <w:rFonts w:eastAsia="Calibri"/>
          <w:noProof/>
          <w:color w:val="000000"/>
          <w:szCs w:val="22"/>
          <w:lang w:eastAsia="en-US"/>
        </w:rPr>
        <w:t xml:space="preserve"> 5. Číslo vodičského preukazu 10. Platný od 11. Platný do 12. Kódy</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t>Vodičský preukaz obsahuje informácie uvedené v časti D takto: </w:t>
      </w:r>
    </w:p>
    <w:p w:rsidR="006C6719" w:rsidRDefault="00614864">
      <w:pPr>
        <w:widowControl/>
        <w:spacing w:before="120" w:after="120"/>
        <w:ind w:left="850"/>
        <w:jc w:val="both"/>
        <w:rPr>
          <w:rFonts w:eastAsia="Calibri"/>
          <w:i/>
          <w:iCs/>
          <w:noProof/>
          <w:color w:val="000000"/>
          <w:szCs w:val="22"/>
          <w:lang w:eastAsia="en-US"/>
        </w:rPr>
      </w:pPr>
      <w:r>
        <w:rPr>
          <w:rFonts w:eastAsia="Calibri"/>
          <w:noProof/>
          <w:szCs w:val="22"/>
          <w:lang w:eastAsia="en-US"/>
        </w:rPr>
        <w:t xml:space="preserve">Strana 1 obsahuje: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slová „vodičský preukaz“</w:t>
      </w:r>
      <w:r>
        <w:rPr>
          <w:rFonts w:eastAsia="Calibri"/>
          <w:noProof/>
          <w:szCs w:val="22"/>
          <w:lang w:eastAsia="en-US"/>
        </w:rPr>
        <w:t xml:space="preserve"> vytlačené veľkým písmom v jazyku alebo jazykoch členského štátu vydávajúceho vodičský preukaz;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názov členského štátu vydávajúceho vodičský preukaz (nepovinne);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negatív rozlišovacieho znaku členského štátu vydávajúceho vodičský preukaz, v modrom ob</w:t>
      </w:r>
      <w:r>
        <w:rPr>
          <w:rFonts w:eastAsia="Calibri"/>
          <w:noProof/>
          <w:szCs w:val="22"/>
          <w:lang w:eastAsia="en-US"/>
        </w:rPr>
        <w:t xml:space="preserve">dĺžniku a obkolesený 12 žltými hviezdičkami, ako sa stanovuje v časti D bode 1;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 xml:space="preserve">špecifické informácie týkajúce sa vydaného vodičského preukazu (polia 1 až 9), ako sa stanovuje v časti D bode 3;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r>
      <w:r>
        <w:rPr>
          <w:rFonts w:eastAsia="Calibri"/>
          <w:noProof/>
          <w:szCs w:val="22"/>
          <w:lang w:eastAsia="en-US"/>
        </w:rPr>
        <w:t xml:space="preserve">slová „Vzor Európskej únie“ v jazyku (jazykoch) členského štátu vydávajúceho vodičský preukaz a slová „Vodičský preukaz“ v ostatných jazykoch Európskej únie, vytlačené ružovou farbou tak, aby tvorili pozadie preukazu, ako sa stanovuje v časti D bode 2.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St</w:t>
      </w:r>
      <w:r>
        <w:rPr>
          <w:rFonts w:eastAsia="Calibri"/>
          <w:noProof/>
          <w:szCs w:val="22"/>
          <w:lang w:eastAsia="en-US"/>
        </w:rPr>
        <w:t>rana 2 obsahuje: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f)</w:t>
      </w:r>
      <w:r>
        <w:rPr>
          <w:rFonts w:eastAsia="Calibri"/>
          <w:noProof/>
          <w:szCs w:val="22"/>
          <w:lang w:eastAsia="en-US"/>
        </w:rPr>
        <w:tab/>
        <w:t>špecifické informácie týkajúce sa skupín vydaného vodičského preukazu (polia 9 až 12), ako sa stanovuje v časti D bode 4;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g)</w:t>
      </w:r>
      <w:r>
        <w:rPr>
          <w:rFonts w:eastAsia="Calibri"/>
          <w:noProof/>
          <w:szCs w:val="22"/>
          <w:lang w:eastAsia="en-US"/>
        </w:rPr>
        <w:tab/>
        <w:t>špecifické informácie týkajúce sa správy vodičského preukazu (polia 13 a 14), ako sa stanovuje v časti D bode</w:t>
      </w:r>
      <w:r>
        <w:rPr>
          <w:rFonts w:eastAsia="Calibri"/>
          <w:noProof/>
          <w:szCs w:val="22"/>
          <w:lang w:eastAsia="en-US"/>
        </w:rPr>
        <w:t> 5;</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h)</w:t>
      </w:r>
      <w:r>
        <w:rPr>
          <w:rFonts w:eastAsia="Calibri"/>
          <w:noProof/>
          <w:szCs w:val="22"/>
          <w:lang w:eastAsia="en-US"/>
        </w:rPr>
        <w:tab/>
        <w:t xml:space="preserve">vysvetlenie týchto očíslovaných polí, ktoré sú uvedené na stranách 1 a 2 vodičského preukazu: 1, 2, 3, 4a, 4b, 4c, 5, 10, 11 a 12.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lastRenderedPageBreak/>
        <w:t xml:space="preserve">Ak chce členský štát vykonať záznamy v inom národnom jazyku, než je jeden z týchto jazykov: bulharský, chorvátsky, </w:t>
      </w:r>
      <w:r>
        <w:rPr>
          <w:rFonts w:eastAsia="Calibri"/>
          <w:noProof/>
          <w:szCs w:val="22"/>
          <w:lang w:eastAsia="en-US"/>
        </w:rPr>
        <w:t>český, dánsky, holandský, anglický, estónsky, fínsky, francúzsky, nemecký, grécky, maďarský, taliansky, lotyšský, litovský, maltský, poľský, portugalský, rumunský, slovenský, slovinský, španielsky alebo švédsky, vystaví dvojjazyčnú verziu vodičského preuka</w:t>
      </w:r>
      <w:r>
        <w:rPr>
          <w:rFonts w:eastAsia="Calibri"/>
          <w:noProof/>
          <w:szCs w:val="22"/>
          <w:lang w:eastAsia="en-US"/>
        </w:rPr>
        <w:t>zu, pričom použije jeden z uvedených jazykov bez toho, aby boli dotknuté ostatné ustanovenia tejto prílohy.</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Vo vzore vodičského preukazu Únie je vyhradené miesto, aby bolo možné zavedenie mikročipu alebo podobného počítačového zariadenia alebo možné vytlač</w:t>
      </w:r>
      <w:r>
        <w:rPr>
          <w:rFonts w:eastAsia="Calibri"/>
          <w:noProof/>
          <w:szCs w:val="22"/>
          <w:lang w:eastAsia="en-US"/>
        </w:rPr>
        <w:t xml:space="preserve">enie kódu QR.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Referenčné farby sú: </w:t>
      </w:r>
    </w:p>
    <w:p w:rsidR="006C6719" w:rsidRDefault="00614864">
      <w:pPr>
        <w:widowControl/>
        <w:tabs>
          <w:tab w:val="left" w:pos="1417"/>
        </w:tabs>
        <w:spacing w:before="120" w:after="120"/>
        <w:ind w:left="1417"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t xml:space="preserve">modrá: Pantone Reflex Blue; </w:t>
      </w:r>
    </w:p>
    <w:p w:rsidR="006C6719" w:rsidRDefault="00614864">
      <w:pPr>
        <w:widowControl/>
        <w:tabs>
          <w:tab w:val="num" w:pos="1417"/>
        </w:tabs>
        <w:spacing w:before="120" w:after="120"/>
        <w:ind w:left="1417" w:hanging="567"/>
        <w:jc w:val="both"/>
        <w:rPr>
          <w:rFonts w:eastAsia="Calibri"/>
          <w:noProof/>
          <w:szCs w:val="22"/>
          <w:lang w:eastAsia="en-US"/>
        </w:rPr>
      </w:pPr>
      <w:r>
        <w:rPr>
          <w:rFonts w:eastAsia="Calibri"/>
          <w:noProof/>
          <w:szCs w:val="22"/>
          <w:lang w:eastAsia="en-US"/>
        </w:rPr>
        <w:t xml:space="preserve">žltá: Pantone Yellow.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 xml:space="preserve">Osobitné ustanovenia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Ak má držiteľ vodičského preukazu vydaného členským štátom v súlade s touto prílohou svoje obvyklé bydlisko v inom členskom štáte, tento </w:t>
      </w:r>
      <w:r>
        <w:rPr>
          <w:rFonts w:eastAsia="Calibri"/>
          <w:noProof/>
          <w:szCs w:val="22"/>
          <w:lang w:eastAsia="en-US"/>
        </w:rPr>
        <w:t>členský štát môže zaznamenať do vodičského preukazu informácie, ktoré sú dôležité pre udelenie vodičského preukazu, za predpokladu, že takýto typ informácií zaznamenáva aj vo vodičských preukazoch, ktoré vydáva, a za predpokladu, že vo vodičskom preukaze z</w:t>
      </w:r>
      <w:r>
        <w:rPr>
          <w:rFonts w:eastAsia="Calibri"/>
          <w:noProof/>
          <w:szCs w:val="22"/>
          <w:lang w:eastAsia="en-US"/>
        </w:rPr>
        <w:t xml:space="preserve">ostane dosť miesta na tento účel.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Členské štáty môžu doplniť farby alebo označenia, ako sú čiarové kódy a národné symboly, bez toho, aby boli dotknuté ostatné ustanovenia tejto prílohy. Členské štáty o tom informujú Komisiu.</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 xml:space="preserve">V súvislosti so vzájomným uznávaním vodičských preukazov nesmie čiarový kód obsahovať iné informácie než tie, ktoré sú už uvedené vo vodičskom preukaze alebo ktoré sú dôležité v procese vydávania vodičského preukazu.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Informácie na prednej a zadnej stra</w:t>
      </w:r>
      <w:r>
        <w:rPr>
          <w:rFonts w:eastAsia="Calibri"/>
          <w:noProof/>
          <w:szCs w:val="22"/>
          <w:lang w:eastAsia="en-US"/>
        </w:rPr>
        <w:t xml:space="preserve">ne karty musia byť čitateľné voľným okom, pričom sa pre polia 9 až 12 na strane 2 použije veľkosť písma minimálne 5 bodov. </w:t>
      </w:r>
    </w:p>
    <w:p w:rsidR="006C6719" w:rsidRDefault="006C6719">
      <w:pPr>
        <w:widowControl/>
        <w:spacing w:before="120" w:after="120"/>
        <w:jc w:val="both"/>
        <w:rPr>
          <w:rFonts w:eastAsia="Calibri"/>
          <w:noProof/>
          <w:szCs w:val="22"/>
          <w:lang w:eastAsia="en-US"/>
        </w:rPr>
      </w:pPr>
    </w:p>
    <w:p w:rsidR="006C6719" w:rsidRDefault="00614864">
      <w:pPr>
        <w:widowControl/>
        <w:spacing w:after="360"/>
        <w:jc w:val="center"/>
        <w:rPr>
          <w:rFonts w:eastAsia="Calibri"/>
          <w:b/>
          <w:noProof/>
          <w:szCs w:val="22"/>
          <w:lang w:eastAsia="en-US"/>
        </w:rPr>
      </w:pPr>
      <w:r>
        <w:rPr>
          <w:rFonts w:eastAsia="Calibri"/>
          <w:b/>
          <w:noProof/>
          <w:szCs w:val="22"/>
          <w:lang w:eastAsia="en-US"/>
        </w:rPr>
        <w:t>ČASŤ A2: ŠPECIFIKÁCIE PRE FYZICKÝ VODIČSKÝ PREUKAZ ZAMERANÉ PROTI FALŠOVANIU </w:t>
      </w:r>
    </w:p>
    <w:p w:rsidR="006C6719" w:rsidRDefault="00614864">
      <w:pPr>
        <w:widowControl/>
        <w:spacing w:before="120" w:after="120"/>
        <w:ind w:left="850" w:hanging="850"/>
        <w:jc w:val="both"/>
        <w:rPr>
          <w:rFonts w:eastAsia="Calibri"/>
          <w:b/>
          <w:noProof/>
          <w:szCs w:val="22"/>
          <w:lang w:eastAsia="en-US"/>
        </w:rPr>
      </w:pPr>
      <w:r>
        <w:rPr>
          <w:rFonts w:eastAsia="Calibri"/>
          <w:noProof/>
          <w:szCs w:val="22"/>
          <w:lang w:eastAsia="en-US"/>
        </w:rPr>
        <w:t>1.</w:t>
      </w:r>
      <w:r>
        <w:rPr>
          <w:rFonts w:eastAsia="Calibri"/>
          <w:noProof/>
          <w:szCs w:val="22"/>
          <w:lang w:eastAsia="en-US"/>
        </w:rPr>
        <w:tab/>
        <w:t>Fyzická bezpečnosť vodičských preukazov je ohrozen</w:t>
      </w:r>
      <w:r>
        <w:rPr>
          <w:rFonts w:eastAsia="Calibri"/>
          <w:noProof/>
          <w:szCs w:val="22"/>
          <w:lang w:eastAsia="en-US"/>
        </w:rPr>
        <w:t xml:space="preserve">á: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výrobou falošných kariet: vytvorením nového objektu, ktorý vykazuje veľkú podobnosť s dokladom, buď jeho zhotovením od základu, alebo kopírovaním originálu dokladu;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zmenou materiálu: zmenou vlastností originálu dokladu, napr. úpravou niektorých </w:t>
      </w:r>
      <w:r>
        <w:rPr>
          <w:rFonts w:eastAsia="Calibri"/>
          <w:noProof/>
          <w:szCs w:val="22"/>
          <w:lang w:eastAsia="en-US"/>
        </w:rPr>
        <w:t xml:space="preserve">údajov vytlačených na doklade.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Celková bezpečnosť spočíva v celistvosti systému, ktorý sa skladá z aplikačného procesu, prenosu údajov, materiálu samotnej karty, tlačiarenskej techniky, minimálneho súboru rôznych ochranných prvkov a procesu personali</w:t>
      </w:r>
      <w:r>
        <w:rPr>
          <w:rFonts w:eastAsia="Calibri"/>
          <w:noProof/>
          <w:szCs w:val="22"/>
          <w:lang w:eastAsia="en-US"/>
        </w:rPr>
        <w:t xml:space="preserve">zácie.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3.</w:t>
      </w:r>
      <w:r>
        <w:rPr>
          <w:rFonts w:eastAsia="Calibri"/>
          <w:noProof/>
          <w:szCs w:val="22"/>
          <w:lang w:eastAsia="en-US"/>
        </w:rPr>
        <w:tab/>
        <w:t xml:space="preserve">Materiál použitý na vodičské preukazy je chránený proti falšovaniu použitím týchto techník (povinné ochranné prvky):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hlavné časti kariet nie sú citlivé na UV lúče;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ochranné pozadie predlohy má byť navrhnuté tak, aby bolo odolné voči falš</w:t>
      </w:r>
      <w:r>
        <w:rPr>
          <w:rFonts w:eastAsia="Calibri"/>
          <w:noProof/>
          <w:szCs w:val="22"/>
          <w:lang w:eastAsia="en-US"/>
        </w:rPr>
        <w:t>ovaniu snímaním, tlačou alebo kopírovaním s použitím dúhovej tlače s viacfarebnými ochrannými atramentmi a pozitívnou a negatívnou gilošovanou tlačou. Predloha sa neskladá zo základných farieb (CMYK), obsahuje dezény celej šablóny minimálne v dvoch osobitn</w:t>
      </w:r>
      <w:r>
        <w:rPr>
          <w:rFonts w:eastAsia="Calibri"/>
          <w:noProof/>
          <w:szCs w:val="22"/>
          <w:lang w:eastAsia="en-US"/>
        </w:rPr>
        <w:t>ých farbách a zahŕňa mikropísmo;</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optické premenlivé prvky poskytujúce primeranú ochranu proti kopírovaniu a pozmeňovaniu fotografie;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 xml:space="preserve">laserové rytie;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 xml:space="preserve">v oblasti fotografie sa bezpečnostné pozadie dezénu a fotografie prekrývajú aspoň na jej okraji </w:t>
      </w:r>
      <w:r>
        <w:rPr>
          <w:rFonts w:eastAsia="Calibri"/>
          <w:noProof/>
          <w:szCs w:val="22"/>
          <w:lang w:eastAsia="en-US"/>
        </w:rPr>
        <w:t xml:space="preserve">(zoslabujúca štruktúra).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 xml:space="preserve">Materiál použitý na vodičské preukazy je okrem toho chránený proti falšovaniu použitím aspoň troch z týchto techník (dodatočné ochranné prvky):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atramenty meniace farbu*;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termochromický atrament*;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lastRenderedPageBreak/>
        <w:t>c)</w:t>
      </w:r>
      <w:r>
        <w:rPr>
          <w:rFonts w:eastAsia="Calibri"/>
          <w:noProof/>
          <w:szCs w:val="22"/>
          <w:lang w:eastAsia="en-US"/>
        </w:rPr>
        <w:tab/>
        <w:t>špeciálne hologra</w:t>
      </w:r>
      <w:r>
        <w:rPr>
          <w:rFonts w:eastAsia="Calibri"/>
          <w:noProof/>
          <w:szCs w:val="22"/>
          <w:lang w:eastAsia="en-US"/>
        </w:rPr>
        <w:t xml:space="preserve">my*;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 xml:space="preserve">variabilné laserové obrázky*;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e)</w:t>
      </w:r>
      <w:r>
        <w:rPr>
          <w:rFonts w:eastAsia="Calibri"/>
          <w:noProof/>
          <w:szCs w:val="22"/>
          <w:lang w:eastAsia="en-US"/>
        </w:rPr>
        <w:tab/>
        <w:t xml:space="preserve">ultrafialové atramenty fluorescenčnej farby, viditeľné a priehľadné;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f)</w:t>
      </w:r>
      <w:r>
        <w:rPr>
          <w:rFonts w:eastAsia="Calibri"/>
          <w:noProof/>
          <w:szCs w:val="22"/>
          <w:lang w:eastAsia="en-US"/>
        </w:rPr>
        <w:tab/>
        <w:t>írisová tlač;</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g)</w:t>
      </w:r>
      <w:r>
        <w:rPr>
          <w:rFonts w:eastAsia="Calibri"/>
          <w:noProof/>
          <w:szCs w:val="22"/>
          <w:lang w:eastAsia="en-US"/>
        </w:rPr>
        <w:tab/>
        <w:t>digitálny vodoznak na pozadí;</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h)</w:t>
      </w:r>
      <w:r>
        <w:rPr>
          <w:rFonts w:eastAsia="Calibri"/>
          <w:noProof/>
          <w:szCs w:val="22"/>
          <w:lang w:eastAsia="en-US"/>
        </w:rPr>
        <w:tab/>
        <w:t xml:space="preserve">infračervené alebo fosforeskujúce pigmenty;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i)</w:t>
      </w:r>
      <w:r>
        <w:rPr>
          <w:rFonts w:eastAsia="Calibri"/>
          <w:noProof/>
          <w:szCs w:val="22"/>
          <w:lang w:eastAsia="en-US"/>
        </w:rPr>
        <w:tab/>
        <w:t xml:space="preserve">hmatateľné znaky, symboly alebo vzory*.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5.</w:t>
      </w:r>
      <w:r>
        <w:rPr>
          <w:rFonts w:eastAsia="Calibri"/>
          <w:noProof/>
          <w:szCs w:val="22"/>
          <w:lang w:eastAsia="en-US"/>
        </w:rPr>
        <w:tab/>
        <w:t xml:space="preserve">Členské štáty môžu zaviesť dodatočné ochranné prvky. Ako základ sa uprednostňujú techniky označené hviezdičkou, pretože umožňujú orgánom činným v trestnom konaní kontrolovať platnosť bez osobitných špeciálnych prostriedkov. </w:t>
      </w:r>
    </w:p>
    <w:p w:rsidR="006C6719" w:rsidRDefault="006C6719">
      <w:pPr>
        <w:widowControl/>
        <w:spacing w:before="120" w:after="120"/>
        <w:jc w:val="both"/>
        <w:rPr>
          <w:rFonts w:eastAsia="Calibri"/>
          <w:noProof/>
          <w:szCs w:val="22"/>
          <w:lang w:eastAsia="en-US"/>
        </w:rPr>
      </w:pPr>
    </w:p>
    <w:p w:rsidR="006C6719" w:rsidRDefault="00614864">
      <w:pPr>
        <w:widowControl/>
        <w:spacing w:after="360"/>
        <w:jc w:val="center"/>
        <w:rPr>
          <w:rFonts w:eastAsia="Calibri"/>
          <w:b/>
          <w:noProof/>
          <w:szCs w:val="22"/>
          <w:lang w:eastAsia="en-US"/>
        </w:rPr>
      </w:pPr>
      <w:r>
        <w:rPr>
          <w:rFonts w:eastAsia="Calibri"/>
          <w:b/>
          <w:noProof/>
          <w:szCs w:val="22"/>
          <w:lang w:eastAsia="en-US"/>
        </w:rPr>
        <w:t>ČASŤ B: ŠPECIFIKÁCIE PRE MI</w:t>
      </w:r>
      <w:r>
        <w:rPr>
          <w:rFonts w:eastAsia="Calibri"/>
          <w:b/>
          <w:noProof/>
          <w:szCs w:val="22"/>
          <w:lang w:eastAsia="en-US"/>
        </w:rPr>
        <w:t>KROČIP ZAVEDENÝ AKO SÚČASŤ FYZICKÉHO VODIČSKÉHO PREUKAZU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Mikročip a údaje obsiahnuté v mikročipe vrátane doplnkových informácií stanovených vnútroštátnymi právnymi predpismi členského štátu týkajúcimi sa vodičských preukazov sú v súlade s ustanoveniami</w:t>
      </w:r>
      <w:r>
        <w:rPr>
          <w:rFonts w:eastAsia="Calibri"/>
          <w:noProof/>
          <w:szCs w:val="22"/>
          <w:lang w:eastAsia="en-US"/>
        </w:rPr>
        <w:t xml:space="preserve"> časti B1.</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Zoznam uplatniteľných noriem pre vodičské preukazy s mikročipom je uvedený v časti B2.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t xml:space="preserve">Vodičské preukazy s mikročipom podliehajú postupu typového schválenia EÚ v súlade s ustanoveniami uvedenými v časti B3.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Po splnení všetkých prísl</w:t>
      </w:r>
      <w:r>
        <w:rPr>
          <w:rFonts w:eastAsia="Calibri"/>
          <w:noProof/>
          <w:szCs w:val="22"/>
          <w:lang w:eastAsia="en-US"/>
        </w:rPr>
        <w:t xml:space="preserve">ušných ustanovení typového schválenia EÚ v súvislosti s vodičským preukazom s mikročipom v súlade s odsekmi 1 až 3 členský štát vydá výrobcovi alebo jeho zástupcovi osvedčenie o typovom schválení EÚ.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5.</w:t>
      </w:r>
      <w:r>
        <w:rPr>
          <w:rFonts w:eastAsia="Calibri"/>
          <w:noProof/>
          <w:szCs w:val="22"/>
          <w:lang w:eastAsia="en-US"/>
        </w:rPr>
        <w:tab/>
        <w:t xml:space="preserve">V prípade potreby môže členský štát, najmä s cieľom </w:t>
      </w:r>
      <w:r>
        <w:rPr>
          <w:rFonts w:eastAsia="Calibri"/>
          <w:noProof/>
          <w:szCs w:val="22"/>
          <w:lang w:eastAsia="en-US"/>
        </w:rPr>
        <w:t xml:space="preserve">zabezpečiť dodržiavanie ustanovení tejto časti, odobrať typové schválenie EÚ, ktoré vydal.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6.</w:t>
      </w:r>
      <w:r>
        <w:rPr>
          <w:rFonts w:eastAsia="Calibri"/>
          <w:noProof/>
          <w:szCs w:val="22"/>
          <w:lang w:eastAsia="en-US"/>
        </w:rPr>
        <w:tab/>
        <w:t xml:space="preserve">Osvedčenia o typovom schválení EÚ a oznámenie o ich odobratí musia byť v súlade so vzorom uvedeným v časti B4.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7.</w:t>
      </w:r>
      <w:r>
        <w:rPr>
          <w:rFonts w:eastAsia="Calibri"/>
          <w:noProof/>
          <w:szCs w:val="22"/>
          <w:lang w:eastAsia="en-US"/>
        </w:rPr>
        <w:tab/>
        <w:t>Komisii sa poskytnú informácie o všetkých vyda</w:t>
      </w:r>
      <w:r>
        <w:rPr>
          <w:rFonts w:eastAsia="Calibri"/>
          <w:noProof/>
          <w:szCs w:val="22"/>
          <w:lang w:eastAsia="en-US"/>
        </w:rPr>
        <w:t xml:space="preserve">ných alebo odobratých osvedčeniach o typovom schválení EÚ. V prípade odobratia sa uvedie podrobné odôvodnenie.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Komisia informuje členské štáty o akomkoľvek odobratí typového schválenia EÚ.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8.</w:t>
      </w:r>
      <w:r>
        <w:rPr>
          <w:rFonts w:eastAsia="Calibri"/>
          <w:noProof/>
          <w:szCs w:val="22"/>
          <w:lang w:eastAsia="en-US"/>
        </w:rPr>
        <w:tab/>
        <w:t>Osvedčenia o typovom schválení EÚ vydané členskými štátmi sa v</w:t>
      </w:r>
      <w:r>
        <w:rPr>
          <w:rFonts w:eastAsia="Calibri"/>
          <w:noProof/>
          <w:szCs w:val="22"/>
          <w:lang w:eastAsia="en-US"/>
        </w:rPr>
        <w:t xml:space="preserve">zájomne uznávajú.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9.</w:t>
      </w:r>
      <w:r>
        <w:rPr>
          <w:rFonts w:eastAsia="Calibri"/>
          <w:noProof/>
          <w:szCs w:val="22"/>
          <w:lang w:eastAsia="en-US"/>
        </w:rPr>
        <w:tab/>
      </w:r>
      <w:r>
        <w:rPr>
          <w:rFonts w:eastAsia="Calibri"/>
          <w:noProof/>
          <w:szCs w:val="22"/>
          <w:lang w:eastAsia="en-US"/>
        </w:rPr>
        <w:t>Ak členský štát zistí, že značný počet vodičských preukazov s mikročipom opakovane nespĺňa ustanovenia tejto časti prílohy I, oznámi to Komisii. Uvedie príslušné čísla osvedčení o typovom schválení EÚ súvisiace s týmito vodičskými preukazmi a opíše neplnen</w:t>
      </w:r>
      <w:r>
        <w:rPr>
          <w:rFonts w:eastAsia="Calibri"/>
          <w:noProof/>
          <w:szCs w:val="22"/>
          <w:lang w:eastAsia="en-US"/>
        </w:rPr>
        <w:t xml:space="preserve">ie ustanovení. Komisia bez zbytočného odkladu informuje všetky ostatné členské štáty o skutočnostiach, ktoré jej boli oznámené v súlade s týmto odsekom.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10.</w:t>
      </w:r>
      <w:r>
        <w:rPr>
          <w:rFonts w:eastAsia="Calibri"/>
          <w:noProof/>
          <w:szCs w:val="22"/>
          <w:lang w:eastAsia="en-US"/>
        </w:rPr>
        <w:tab/>
        <w:t>Členský štát, ktorý vydal tieto vodičské preukazy, bezodkladne problém prešetrí a prijme vhodné ná</w:t>
      </w:r>
      <w:r>
        <w:rPr>
          <w:rFonts w:eastAsia="Calibri"/>
          <w:noProof/>
          <w:szCs w:val="22"/>
          <w:lang w:eastAsia="en-US"/>
        </w:rPr>
        <w:t xml:space="preserve">pravné opatrenia a v prípade potreby odoberie osvedčenie o typovom schválení EÚ. </w:t>
      </w:r>
    </w:p>
    <w:p w:rsidR="006C6719" w:rsidRDefault="00614864">
      <w:pPr>
        <w:widowControl/>
        <w:spacing w:after="200" w:line="276" w:lineRule="auto"/>
        <w:rPr>
          <w:rFonts w:eastAsia="Calibri"/>
          <w:b/>
          <w:noProof/>
          <w:szCs w:val="22"/>
          <w:lang w:eastAsia="en-US"/>
        </w:rPr>
      </w:pPr>
      <w:r>
        <w:rPr>
          <w:rFonts w:eastAsia="Calibri"/>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B1: Všeobecné požiadavky na vodičské preukazy s mikročipom </w:t>
      </w:r>
    </w:p>
    <w:p w:rsidR="006C6719" w:rsidRDefault="00614864">
      <w:pPr>
        <w:widowControl/>
        <w:spacing w:before="120" w:after="120"/>
        <w:jc w:val="both"/>
        <w:rPr>
          <w:rFonts w:eastAsia="Calibri"/>
          <w:b/>
          <w:noProof/>
          <w:szCs w:val="22"/>
          <w:lang w:eastAsia="en-US"/>
        </w:rPr>
      </w:pPr>
      <w:r>
        <w:rPr>
          <w:rFonts w:eastAsia="Calibri"/>
          <w:noProof/>
          <w:szCs w:val="22"/>
          <w:lang w:eastAsia="en-US"/>
        </w:rPr>
        <w:t xml:space="preserve">Všeobecné požiadavky na vodičské preukazy s mikročipom opísané v tejto prílohe sa opierajú o medzinárodné </w:t>
      </w:r>
      <w:r>
        <w:rPr>
          <w:rFonts w:eastAsia="Calibri"/>
          <w:noProof/>
          <w:szCs w:val="22"/>
          <w:lang w:eastAsia="en-US"/>
        </w:rPr>
        <w:t>normy, najmä o normy ISO/IEC séria 18013. Zahŕňajú: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a)</w:t>
      </w:r>
      <w:r>
        <w:rPr>
          <w:rFonts w:eastAsia="Calibri"/>
          <w:noProof/>
          <w:szCs w:val="22"/>
          <w:lang w:eastAsia="en-US"/>
        </w:rPr>
        <w:tab/>
        <w:t>špecifikácie pre mikročip a štruktúru logických údajov na mikročipe;</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špecifikácie ukladania harmonizovaných a doplnkových údajov;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c)</w:t>
      </w:r>
      <w:r>
        <w:rPr>
          <w:rFonts w:eastAsia="Calibri"/>
          <w:noProof/>
          <w:szCs w:val="22"/>
          <w:lang w:eastAsia="en-US"/>
        </w:rPr>
        <w:tab/>
        <w:t>špecifikácie týkajúce sa mechanizmov ochrany údajov v súvislost</w:t>
      </w:r>
      <w:r>
        <w:rPr>
          <w:rFonts w:eastAsia="Calibri"/>
          <w:noProof/>
          <w:szCs w:val="22"/>
          <w:lang w:eastAsia="en-US"/>
        </w:rPr>
        <w:t>i s digitálne uloženými údajmi na mikročipe. </w:t>
      </w:r>
    </w:p>
    <w:p w:rsidR="006C6719" w:rsidRDefault="00614864">
      <w:pPr>
        <w:widowControl/>
        <w:tabs>
          <w:tab w:val="left" w:pos="850"/>
        </w:tabs>
        <w:spacing w:before="120" w:after="120"/>
        <w:ind w:left="850" w:hanging="850"/>
        <w:jc w:val="both"/>
        <w:rPr>
          <w:rFonts w:eastAsia="Calibri"/>
          <w:b/>
          <w:noProof/>
          <w:szCs w:val="22"/>
          <w:lang w:eastAsia="en-US"/>
        </w:rPr>
      </w:pPr>
      <w:r>
        <w:rPr>
          <w:rFonts w:eastAsia="Calibri"/>
          <w:b/>
          <w:noProof/>
          <w:szCs w:val="22"/>
          <w:lang w:eastAsia="en-US"/>
        </w:rPr>
        <w:t>1.</w:t>
      </w:r>
      <w:r>
        <w:rPr>
          <w:rFonts w:eastAsia="Calibri"/>
          <w:b/>
          <w:noProof/>
          <w:szCs w:val="22"/>
          <w:lang w:eastAsia="en-US"/>
        </w:rPr>
        <w:tab/>
        <w:t>SKRATKY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b/>
                <w:noProof/>
                <w:szCs w:val="22"/>
                <w:lang w:eastAsia="en-US"/>
              </w:rPr>
              <w:t>Skratka</w:t>
            </w:r>
            <w:r>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b/>
                <w:noProof/>
                <w:szCs w:val="22"/>
                <w:lang w:eastAsia="en-US"/>
              </w:rPr>
              <w:t>Význam</w:t>
            </w:r>
            <w:r>
              <w:rPr>
                <w:rFonts w:eastAsia="Calibri"/>
                <w:noProof/>
                <w:szCs w:val="22"/>
                <w:lang w:eastAsia="en-US"/>
              </w:rPr>
              <w:t xml:space="preserve">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Identifikátor aplikácie (Application Identifier)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Základná ochrana prístupu (Basic Access Protection)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Skupina údajov (Data Group)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 xml:space="preserve">Úroveň zabezpečenia 4+ </w:t>
            </w:r>
            <w:r>
              <w:rPr>
                <w:rFonts w:eastAsia="Calibri"/>
                <w:noProof/>
                <w:szCs w:val="22"/>
                <w:lang w:eastAsia="en-US"/>
              </w:rPr>
              <w:t>(Evaluation Assurance Level 4 Augmented)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Elementárny súbor (Elementary File)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Identifikátor elementárneho súboru (Elementary File Identifier)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Strojovo snímateľné cestovné doklady (Machine Readable Travel Documents)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 xml:space="preserve">Karta </w:t>
            </w:r>
            <w:r>
              <w:rPr>
                <w:rFonts w:eastAsia="Calibri"/>
                <w:noProof/>
                <w:szCs w:val="22"/>
                <w:lang w:eastAsia="en-US"/>
              </w:rPr>
              <w:t>s integrovaným obvodom (Integrated Circuit Card)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Medzinárodná organizácia pre normalizáciu (International Standard Organisation)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Logická štruktúra údajov (Logical Data Structure)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Bezkontaktná karta s integrovanými obvodmi (Proximity I</w:t>
            </w:r>
            <w:r>
              <w:rPr>
                <w:rFonts w:eastAsia="Calibri"/>
                <w:noProof/>
                <w:szCs w:val="22"/>
                <w:lang w:eastAsia="en-US"/>
              </w:rPr>
              <w:t>ntegrated Circuit Card)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Špeciálne rozšírenie identifikátora aplikácie (Proprietary Application Identifier Extension)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Registrovaný identifikátor aplikácie (Registered Application Identifier) </w:t>
            </w:r>
          </w:p>
        </w:tc>
      </w:tr>
      <w:tr w:rsidR="006C6719">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after="120"/>
              <w:jc w:val="both"/>
              <w:rPr>
                <w:rFonts w:eastAsia="Calibri"/>
                <w:noProof/>
                <w:szCs w:val="22"/>
                <w:lang w:eastAsia="en-US"/>
              </w:rPr>
            </w:pPr>
            <w:r>
              <w:rPr>
                <w:rFonts w:eastAsia="Calibri"/>
                <w:noProof/>
                <w:szCs w:val="22"/>
                <w:lang w:eastAsia="en-US"/>
              </w:rPr>
              <w:t xml:space="preserve">Objekt zabezpečenia dokumentu (Document </w:t>
            </w:r>
            <w:r>
              <w:rPr>
                <w:rFonts w:eastAsia="Calibri"/>
                <w:noProof/>
                <w:szCs w:val="22"/>
                <w:lang w:eastAsia="en-US"/>
              </w:rPr>
              <w:t>Security Object) </w:t>
            </w:r>
          </w:p>
        </w:tc>
      </w:tr>
    </w:tbl>
    <w:p w:rsidR="006C6719" w:rsidRDefault="00614864">
      <w:pPr>
        <w:widowControl/>
        <w:spacing w:after="200" w:line="276" w:lineRule="auto"/>
        <w:rPr>
          <w:rFonts w:eastAsia="MS Gothic"/>
          <w:bCs/>
          <w:caps/>
          <w:noProof/>
          <w:szCs w:val="28"/>
          <w:lang w:eastAsia="en-US"/>
        </w:rPr>
      </w:pPr>
      <w:r>
        <w:rPr>
          <w:rFonts w:eastAsia="Calibri"/>
          <w:noProof/>
          <w:szCs w:val="22"/>
          <w:lang w:eastAsia="en-US"/>
        </w:rPr>
        <w:br w:type="page"/>
      </w:r>
    </w:p>
    <w:p w:rsidR="006C6719" w:rsidRDefault="00614864">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lastRenderedPageBreak/>
        <w:t>2.</w:t>
      </w:r>
      <w:r>
        <w:rPr>
          <w:rFonts w:eastAsia="Calibri"/>
          <w:b/>
          <w:noProof/>
          <w:szCs w:val="22"/>
          <w:lang w:eastAsia="en-US"/>
        </w:rPr>
        <w:tab/>
        <w:t>ÚDAJE ULOŽENÉ NA MIKROČIPE</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Harmonizované povinné a nepovinné údaje o vodičskom preukaze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Na mikročip sa ukladajú harmonizované údaje o vodičských preukazoch uvedené v časti D. Ak sa členský štát rozhodne zaviesť do vodičského preukazu údajové položky označené v časti D ako nepovinné, tieto údaje sa uložia na mikročip.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Doplnkové údaje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Člen</w:t>
      </w:r>
      <w:r>
        <w:rPr>
          <w:rFonts w:eastAsia="Calibri"/>
          <w:noProof/>
          <w:szCs w:val="22"/>
          <w:lang w:eastAsia="en-US"/>
        </w:rPr>
        <w:t xml:space="preserve">ské štáty môžu na mikročipe uchovávať aj doplnkové údaje, ktoré sa stanovujú v ich vnútroštátnych právnych predpisoch týkajúcich sa vodičských preukazov. Informujú o tom Komisiu. </w:t>
      </w:r>
    </w:p>
    <w:p w:rsidR="006C6719" w:rsidRDefault="00614864">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t>3.</w:t>
      </w:r>
      <w:r>
        <w:rPr>
          <w:rFonts w:eastAsia="Calibri"/>
          <w:b/>
          <w:noProof/>
          <w:szCs w:val="22"/>
          <w:lang w:eastAsia="en-US"/>
        </w:rPr>
        <w:tab/>
        <w:t xml:space="preserve">MIKROČIP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Typ pamäťového média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Pamäťové médium pre údaje o vodičskom </w:t>
      </w:r>
      <w:r>
        <w:rPr>
          <w:rFonts w:eastAsia="Calibri"/>
          <w:noProof/>
          <w:szCs w:val="22"/>
          <w:lang w:eastAsia="en-US"/>
        </w:rPr>
        <w:t xml:space="preserve">preukaze je mikročip s kontaktným, bezkontaktným alebo s kombinovaným kontaktným a bezkontaktným (duálnym) rozhraním, ako sa uvádza v časti B2 položke 1.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Aplikácie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Všetky údaje na mikročipe sa uchovávajú v elektronických aplikáciách. Všetky aplikácie </w:t>
      </w:r>
      <w:r>
        <w:rPr>
          <w:rFonts w:eastAsia="Calibri"/>
          <w:noProof/>
          <w:szCs w:val="22"/>
          <w:lang w:eastAsia="en-US"/>
        </w:rPr>
        <w:t xml:space="preserve">na mikročipe sa označujú jedinečným kódom, tzv. identifikátorom aplikácie (AID), ako sa uvádza v časti B2 položke 2.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lastRenderedPageBreak/>
        <w:t>a)</w:t>
      </w:r>
      <w:r>
        <w:rPr>
          <w:rFonts w:eastAsia="Calibri"/>
          <w:noProof/>
          <w:szCs w:val="22"/>
          <w:lang w:eastAsia="en-US"/>
        </w:rPr>
        <w:tab/>
        <w:t xml:space="preserve">Aplikácia vodičského preukazu EÚ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Povinné a nepovinné údaje o vodičských preukazoch, uvedené v časti D prílohy I, sa uchovávajú vo vy</w:t>
      </w:r>
      <w:r>
        <w:rPr>
          <w:rFonts w:eastAsia="Calibri"/>
          <w:noProof/>
          <w:szCs w:val="22"/>
          <w:lang w:eastAsia="en-US"/>
        </w:rPr>
        <w:t xml:space="preserve">hradenej aplikácii vodičského preukazu EÚ. AID aplikácie vodičského preukazu EÚ je: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„A0 00 00 04 56 45 44 4C 2D 30 31“,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pričom sa skladá z týchto dvoch zložiek: </w:t>
      </w:r>
    </w:p>
    <w:p w:rsidR="006C6719" w:rsidRDefault="00614864">
      <w:pPr>
        <w:widowControl/>
        <w:tabs>
          <w:tab w:val="num" w:pos="1417"/>
        </w:tabs>
        <w:spacing w:before="120" w:after="120"/>
        <w:ind w:left="1417" w:hanging="567"/>
        <w:jc w:val="both"/>
        <w:rPr>
          <w:rFonts w:eastAsia="Calibri"/>
          <w:noProof/>
          <w:szCs w:val="22"/>
          <w:lang w:eastAsia="en-US"/>
        </w:rPr>
      </w:pPr>
      <w:r>
        <w:rPr>
          <w:rFonts w:eastAsia="Calibri"/>
          <w:noProof/>
          <w:szCs w:val="22"/>
          <w:lang w:eastAsia="en-US"/>
        </w:rPr>
        <w:t xml:space="preserve">registrovaného identifikátora aplikácie (RID) pre Európsku komisiu: „A0 00 00 04 56“, </w:t>
      </w:r>
    </w:p>
    <w:p w:rsidR="006C6719" w:rsidRDefault="00614864">
      <w:pPr>
        <w:widowControl/>
        <w:tabs>
          <w:tab w:val="num" w:pos="1417"/>
        </w:tabs>
        <w:spacing w:before="120" w:after="120"/>
        <w:ind w:left="1417" w:hanging="567"/>
        <w:jc w:val="both"/>
        <w:rPr>
          <w:rFonts w:eastAsia="Calibri"/>
          <w:noProof/>
          <w:szCs w:val="22"/>
          <w:lang w:eastAsia="en-US"/>
        </w:rPr>
      </w:pPr>
      <w:r>
        <w:rPr>
          <w:rFonts w:eastAsia="Calibri"/>
          <w:noProof/>
          <w:szCs w:val="22"/>
          <w:lang w:eastAsia="en-US"/>
        </w:rPr>
        <w:t>špeci</w:t>
      </w:r>
      <w:r>
        <w:rPr>
          <w:rFonts w:eastAsia="Calibri"/>
          <w:noProof/>
          <w:szCs w:val="22"/>
          <w:lang w:eastAsia="en-US"/>
        </w:rPr>
        <w:t xml:space="preserve">álneho rozšírenia identifikátora aplikácie (PIX) pre aplikáciu vodičského preukazu EÚ: „45 44 4C 2D 30 31“ (EDL-01).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Údaje sú zoskupené v skupinách údajov (DG) ako súčasť logickej štruktúry údajov (LDS).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DG sa uchovávajú ako elementárne súbory (EF) v apl</w:t>
      </w:r>
      <w:r>
        <w:rPr>
          <w:rFonts w:eastAsia="Calibri"/>
          <w:noProof/>
          <w:szCs w:val="22"/>
          <w:lang w:eastAsia="en-US"/>
        </w:rPr>
        <w:t xml:space="preserve">ikácii vodičského preukazu EÚ a sú chránené v súlade s časťou B2 položkou 3.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Ostatné aplikácie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Ďalšie doplnkové údaje sa uchovávajú v jednej alebo viacerých vyhradených aplikáciách okrem aplikácie vodičského preukazu EÚ. Každá takáto aplikácia sa označí jedinečným AID. </w:t>
      </w:r>
    </w:p>
    <w:p w:rsidR="006C6719" w:rsidRDefault="00614864">
      <w:pPr>
        <w:widowControl/>
        <w:rPr>
          <w:rFonts w:eastAsia="Calibri"/>
          <w:b/>
          <w:noProof/>
          <w:szCs w:val="22"/>
          <w:lang w:eastAsia="en-US"/>
        </w:rPr>
      </w:pPr>
      <w:r>
        <w:rPr>
          <w:rFonts w:eastAsia="Calibri"/>
          <w:b/>
          <w:noProof/>
          <w:szCs w:val="22"/>
          <w:lang w:eastAsia="en-US"/>
        </w:rPr>
        <w:br w:type="page"/>
      </w:r>
    </w:p>
    <w:p w:rsidR="006C6719" w:rsidRDefault="00614864">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lastRenderedPageBreak/>
        <w:t>4.</w:t>
      </w:r>
      <w:r>
        <w:rPr>
          <w:rFonts w:eastAsia="Calibri"/>
          <w:b/>
          <w:noProof/>
          <w:szCs w:val="22"/>
          <w:lang w:eastAsia="en-US"/>
        </w:rPr>
        <w:tab/>
        <w:t xml:space="preserve">LOGICKÁ ŠTRUKTÚRA ÚDAJOV APLIKÁCIE VODIČSKÉHO PREUKAZU EÚ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Logická štruk</w:t>
      </w:r>
      <w:r>
        <w:rPr>
          <w:rFonts w:eastAsia="Calibri"/>
          <w:noProof/>
          <w:szCs w:val="22"/>
          <w:lang w:eastAsia="en-US"/>
        </w:rPr>
        <w:t xml:space="preserve">túra údajov (Logical Data Structure)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Údaje o vodičskom preukaze sa uchovávajú na mikročipe v logickej štruktúre údajov (LDS) stanovenej v časti B2 položke 4. V tomto oddiele sa špecifikujú dodatočné požiadavky na povinné a doplnkové DG.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Každá skupina úda</w:t>
      </w:r>
      <w:r>
        <w:rPr>
          <w:rFonts w:eastAsia="Calibri"/>
          <w:noProof/>
          <w:szCs w:val="22"/>
          <w:lang w:eastAsia="en-US"/>
        </w:rPr>
        <w:t xml:space="preserve">jov sa uchováva v jednom elementárnom súbore (EF). Elementárne súbory, ktoré sa majú použiť pre aplikáciu vodičského preukazu EÚ, sa označujú identifikátormi elementárneho súboru (EFID) a krátkymi identifikátormi EF, ako sa stanovuje v časti B2 položke 5.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Povinné skupiny údajov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Povinné a nepovinné prvky údajov sa uchovávajú v týchto skupinách údajov (DG):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DG 1: všetky povinné a nepovinné prvky údajov vytlačené na doklade okrem zobrazenia tváre a zobrazenia podpisu;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DG 5: zobrazenie podpisu </w:t>
      </w:r>
      <w:r>
        <w:rPr>
          <w:rFonts w:eastAsia="Calibri"/>
          <w:noProof/>
          <w:szCs w:val="22"/>
          <w:lang w:eastAsia="en-US"/>
        </w:rPr>
        <w:t>držiteľa preukazu;</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DG 6: zobrazenie tváre držiteľa preukazu.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Štruktúra údajov v skupine údajov DG 1 je stanovená v bode 6 a v časti B2 položke 6. Údaje uvedené v skupinách údajov DG 5 a DG 6 sa uchovávajú podľa špecifikácií v časti B2 položke 7.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r>
      <w:r>
        <w:rPr>
          <w:rFonts w:eastAsia="Calibri"/>
          <w:noProof/>
          <w:szCs w:val="22"/>
          <w:lang w:eastAsia="en-US"/>
        </w:rPr>
        <w:t xml:space="preserve">Doplnkové skupiny údajov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Prvky doplnkových údajov, ak sú stanovené vnútroštátnymi právnymi predpismi členských štátov týkajúcimi sa vodičských preukazov, sa uchovávajú v týchto skupinách údajov: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DG 2: podrobnosti o držiteľovi preukazu okrem biometrick</w:t>
      </w:r>
      <w:r>
        <w:rPr>
          <w:rFonts w:eastAsia="Calibri"/>
          <w:noProof/>
          <w:szCs w:val="22"/>
          <w:lang w:eastAsia="en-US"/>
        </w:rPr>
        <w:t xml:space="preserve">ých údajov;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DG 3: podrobnosti o orgáne, ktorý preukaz vydal;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DG 4: zobrazenie tváre (portrétna fotografia);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DG 7: biometrické údaje (odtlačky prstov) držiteľa preukazu;</w:t>
      </w:r>
    </w:p>
    <w:p w:rsidR="006C6719" w:rsidRDefault="00614864">
      <w:pPr>
        <w:widowControl/>
        <w:spacing w:before="120" w:after="120"/>
        <w:ind w:left="1417" w:hanging="567"/>
        <w:jc w:val="both"/>
        <w:rPr>
          <w:rFonts w:eastAsia="Calibri"/>
          <w:b/>
          <w:noProof/>
          <w:szCs w:val="22"/>
          <w:lang w:eastAsia="en-US"/>
        </w:rPr>
      </w:pPr>
      <w:r>
        <w:rPr>
          <w:rFonts w:eastAsia="Calibri"/>
          <w:strike/>
          <w:noProof/>
          <w:szCs w:val="22"/>
          <w:lang w:eastAsia="en-US"/>
        </w:rPr>
        <w:t>e)</w:t>
      </w:r>
      <w:r>
        <w:rPr>
          <w:rFonts w:eastAsia="Calibri"/>
          <w:strike/>
          <w:noProof/>
          <w:szCs w:val="22"/>
          <w:lang w:eastAsia="en-US"/>
        </w:rPr>
        <w:tab/>
        <w:t>DG 8: biometrické údaje (dúhovka) držiteľa preukazu;</w:t>
      </w:r>
      <w:r>
        <w:rPr>
          <w:rFonts w:eastAsia="Calibri"/>
          <w:b/>
          <w:noProof/>
          <w:szCs w:val="22"/>
          <w:lang w:eastAsia="en-US"/>
        </w:rPr>
        <w:t xml:space="preserve"> [PN 138]</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f)</w:t>
      </w:r>
      <w:r>
        <w:rPr>
          <w:rFonts w:eastAsia="Calibri"/>
          <w:noProof/>
          <w:szCs w:val="22"/>
          <w:lang w:eastAsia="en-US"/>
        </w:rPr>
        <w:tab/>
      </w:r>
      <w:r>
        <w:rPr>
          <w:rFonts w:eastAsia="Calibri"/>
          <w:noProof/>
          <w:szCs w:val="22"/>
          <w:lang w:eastAsia="en-US"/>
        </w:rPr>
        <w:t xml:space="preserve">DG 11: ďalšie podrobnosti, napríklad úplné meno držiteľa v abecede príslušného štátu.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Údaje uvedené v týchto skupinách údajov sa uchovávajú podľa špecifikácií v časti B2 položke 8. </w:t>
      </w:r>
    </w:p>
    <w:p w:rsidR="006C6719" w:rsidRDefault="00614864">
      <w:pPr>
        <w:widowControl/>
        <w:spacing w:after="200" w:line="276" w:lineRule="auto"/>
        <w:rPr>
          <w:rFonts w:eastAsia="Calibri"/>
          <w:noProof/>
          <w:szCs w:val="22"/>
          <w:lang w:eastAsia="en-US"/>
        </w:rPr>
      </w:pPr>
      <w:r>
        <w:rPr>
          <w:rFonts w:eastAsia="Calibri"/>
          <w:noProof/>
          <w:szCs w:val="22"/>
          <w:lang w:eastAsia="en-US"/>
        </w:rPr>
        <w:br w:type="page"/>
      </w:r>
    </w:p>
    <w:p w:rsidR="006C6719" w:rsidRDefault="00614864">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lastRenderedPageBreak/>
        <w:t>5.</w:t>
      </w:r>
      <w:r>
        <w:rPr>
          <w:rFonts w:eastAsia="Calibri"/>
          <w:b/>
          <w:noProof/>
          <w:szCs w:val="22"/>
          <w:lang w:eastAsia="en-US"/>
        </w:rPr>
        <w:tab/>
        <w:t xml:space="preserve">MECHANIZMY ZABEZPEČENIA ÚDAJOV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Na overenie pravosti a celistvosti m</w:t>
      </w:r>
      <w:r>
        <w:rPr>
          <w:rFonts w:eastAsia="Calibri"/>
          <w:noProof/>
          <w:szCs w:val="22"/>
          <w:lang w:eastAsia="en-US"/>
        </w:rPr>
        <w:t xml:space="preserve">ikročipu a údajov na ňom uložených, ako aj na obmedzenie prístupu k údajom o vodičskom preukaze sa používajú primerané mechanizmy.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Údaje na mikročipe sú chránené podľa špecifikácií stanovených v časti B2 položke 3. V tomto oddiele sa stanovujú dodatočné p</w:t>
      </w:r>
      <w:r>
        <w:rPr>
          <w:rFonts w:eastAsia="Calibri"/>
          <w:noProof/>
          <w:szCs w:val="22"/>
          <w:lang w:eastAsia="en-US"/>
        </w:rPr>
        <w:t xml:space="preserve">ožiadavky, ktoré sa musia plniť.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Overenie pravosti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Povinná pasívna autentifikácia </w:t>
      </w:r>
    </w:p>
    <w:p w:rsidR="006C6719" w:rsidRDefault="00614864">
      <w:pPr>
        <w:widowControl/>
        <w:spacing w:before="120" w:after="120"/>
        <w:ind w:left="851"/>
        <w:jc w:val="both"/>
        <w:rPr>
          <w:rFonts w:eastAsia="Calibri"/>
          <w:noProof/>
          <w:szCs w:val="22"/>
          <w:lang w:eastAsia="en-US"/>
        </w:rPr>
      </w:pPr>
      <w:r>
        <w:rPr>
          <w:rFonts w:eastAsia="Calibri"/>
          <w:noProof/>
          <w:szCs w:val="22"/>
          <w:lang w:eastAsia="en-US"/>
        </w:rPr>
        <w:t xml:space="preserve">Všetky skupiny údajov uložené v aplikácii vodičského preukazu EÚ sú chránené pasívnou autentifikáciou. </w:t>
      </w:r>
    </w:p>
    <w:p w:rsidR="006C6719" w:rsidRDefault="00614864">
      <w:pPr>
        <w:widowControl/>
        <w:spacing w:before="120" w:after="120"/>
        <w:ind w:left="851"/>
        <w:jc w:val="both"/>
        <w:rPr>
          <w:rFonts w:eastAsia="Calibri"/>
          <w:noProof/>
          <w:szCs w:val="22"/>
          <w:lang w:eastAsia="en-US"/>
        </w:rPr>
      </w:pPr>
      <w:r>
        <w:rPr>
          <w:rFonts w:eastAsia="Calibri"/>
          <w:noProof/>
          <w:szCs w:val="22"/>
          <w:lang w:eastAsia="en-US"/>
        </w:rPr>
        <w:t>Údaje týkajúce sa pasívnej autentifikácie musia spĺňať požiad</w:t>
      </w:r>
      <w:r>
        <w:rPr>
          <w:rFonts w:eastAsia="Calibri"/>
          <w:noProof/>
          <w:szCs w:val="22"/>
          <w:lang w:eastAsia="en-US"/>
        </w:rPr>
        <w:t xml:space="preserve">avky stanovené v časti B2 položke 9.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Nepovinná aktívna autentifikácia </w:t>
      </w:r>
    </w:p>
    <w:p w:rsidR="006C6719" w:rsidRDefault="00614864">
      <w:pPr>
        <w:widowControl/>
        <w:spacing w:before="120" w:after="120"/>
        <w:ind w:left="851"/>
        <w:jc w:val="both"/>
        <w:rPr>
          <w:rFonts w:eastAsia="Calibri"/>
          <w:noProof/>
          <w:szCs w:val="22"/>
          <w:lang w:eastAsia="en-US"/>
        </w:rPr>
      </w:pPr>
      <w:r>
        <w:rPr>
          <w:rFonts w:eastAsia="Calibri"/>
          <w:noProof/>
          <w:szCs w:val="22"/>
          <w:lang w:eastAsia="en-US"/>
        </w:rPr>
        <w:t xml:space="preserve">Mechanizmus nepovinnej aktívnej autentifikácie sa uplatňuje, aby sa zabezpečilo, že pôvodný mikročip nebude nahradený.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 xml:space="preserve">Obmedzenie prístupu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Povinná základná ochrana prístup</w:t>
      </w:r>
      <w:r>
        <w:rPr>
          <w:rFonts w:eastAsia="Calibri"/>
          <w:noProof/>
          <w:szCs w:val="22"/>
          <w:lang w:eastAsia="en-US"/>
        </w:rPr>
        <w:t xml:space="preserve">u (Basic Access Protection)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Mechanizmus základnej ochrany prístupu (BAP) sa uplatňuje na všetky údaje v aplikácii vodičského preukazu EÚ. V záujme interoperability s existujúcimi systémami, ako sú systémy používajúce strojovo snímateľné cestovné doklady (</w:t>
      </w:r>
      <w:r>
        <w:rPr>
          <w:rFonts w:eastAsia="Calibri"/>
          <w:noProof/>
          <w:szCs w:val="22"/>
          <w:lang w:eastAsia="en-US"/>
        </w:rPr>
        <w:t xml:space="preserve">eMRTD), je povinné použitie jednoriadkovej strojovo snímateľnej zóny (MRZ), ako sa stanovuje v časti B2 položke 10.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Kľúč dokumentu Kdoc používaný na prístup k čipu sa generuje z jednoriadkovej MRZ, ktorú možno vložiť manuálne alebo použitím OCR (optické r</w:t>
      </w:r>
      <w:r>
        <w:rPr>
          <w:rFonts w:eastAsia="Calibri"/>
          <w:noProof/>
          <w:szCs w:val="22"/>
          <w:lang w:eastAsia="en-US"/>
        </w:rPr>
        <w:t xml:space="preserve">ozpoznávanie písma) čítačky. Uplatní sa konfigurácia BAP 1 vymedzená pre jednoriadkovú MRZ, ako sa uvádza v časti B2 položke 10.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Podmienená rozšírená kontrola prístupu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Ak sú osobné údaje uvedené v článku 9 ods. 1 nariadenia (EÚ) 2016/679 uložené na mikročipe, prístup k týmto údajom je chránený pomocou ďalších opatrení.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Mechanizmy rozšírenej kontroly prístupu spĺňajú špecifikácie časti B2 položky 11.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3.</w:t>
      </w:r>
      <w:r>
        <w:rPr>
          <w:rFonts w:eastAsia="Calibri"/>
          <w:noProof/>
          <w:szCs w:val="22"/>
          <w:lang w:eastAsia="en-US"/>
        </w:rPr>
        <w:tab/>
        <w:t>Infraštruktúra v</w:t>
      </w:r>
      <w:r>
        <w:rPr>
          <w:rFonts w:eastAsia="Calibri"/>
          <w:noProof/>
          <w:szCs w:val="22"/>
          <w:lang w:eastAsia="en-US"/>
        </w:rPr>
        <w:t xml:space="preserve">erejného kľúča (PKI) pre vodičské preukazy s mikročipom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Členské štáty vypracujú potrebné vnútroštátne opatrenia pre manažment verejných kľúčov v súlade s prílohou A k norme ISO 18013_3. </w:t>
      </w:r>
    </w:p>
    <w:p w:rsidR="006C6719" w:rsidRDefault="00614864">
      <w:pPr>
        <w:keepNext/>
        <w:widowControl/>
        <w:tabs>
          <w:tab w:val="num" w:pos="850"/>
        </w:tabs>
        <w:spacing w:before="120" w:after="120"/>
        <w:ind w:left="851" w:hanging="851"/>
        <w:jc w:val="both"/>
        <w:rPr>
          <w:rFonts w:eastAsia="Calibri"/>
          <w:b/>
          <w:noProof/>
          <w:szCs w:val="22"/>
          <w:lang w:eastAsia="en-US"/>
        </w:rPr>
      </w:pPr>
      <w:r>
        <w:rPr>
          <w:rFonts w:eastAsia="Calibri"/>
          <w:b/>
          <w:noProof/>
          <w:szCs w:val="22"/>
          <w:lang w:eastAsia="en-US"/>
        </w:rPr>
        <w:t>6.</w:t>
      </w:r>
      <w:r>
        <w:rPr>
          <w:rFonts w:eastAsia="Calibri"/>
          <w:b/>
          <w:noProof/>
          <w:szCs w:val="22"/>
          <w:lang w:eastAsia="en-US"/>
        </w:rPr>
        <w:tab/>
        <w:t xml:space="preserve">ZOBRAZENIE ÚDAJOV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Formátovanie údajov v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6C6719">
        <w:trPr>
          <w:jc w:val="center"/>
        </w:trPr>
        <w:tc>
          <w:tcPr>
            <w:tcW w:w="669"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lastRenderedPageBreak/>
              <w:t>Tag</w:t>
            </w:r>
          </w:p>
        </w:tc>
        <w:tc>
          <w:tcPr>
            <w:tcW w:w="485"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L</w:t>
            </w:r>
          </w:p>
        </w:tc>
        <w:tc>
          <w:tcPr>
            <w:tcW w:w="6594" w:type="dxa"/>
            <w:gridSpan w:val="6"/>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Hodnota</w:t>
            </w:r>
          </w:p>
        </w:tc>
        <w:tc>
          <w:tcPr>
            <w:tcW w:w="1559" w:type="dxa"/>
            <w:gridSpan w:val="2"/>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Kódovanie</w:t>
            </w:r>
          </w:p>
        </w:tc>
        <w:tc>
          <w:tcPr>
            <w:tcW w:w="1134" w:type="dxa"/>
            <w:gridSpan w:val="2"/>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P/N</w:t>
            </w:r>
          </w:p>
        </w:tc>
      </w:tr>
      <w:tr w:rsidR="006C6719">
        <w:trPr>
          <w:jc w:val="center"/>
        </w:trPr>
        <w:tc>
          <w:tcPr>
            <w:tcW w:w="669" w:type="dxa"/>
          </w:tcPr>
          <w:p w:rsidR="006C6719" w:rsidRDefault="00614864">
            <w:pPr>
              <w:keepNext/>
              <w:widowControl/>
              <w:spacing w:before="60" w:after="60"/>
              <w:jc w:val="both"/>
              <w:rPr>
                <w:rFonts w:ascii="Times New Roman" w:hAnsi="Times New Roman"/>
                <w:noProof/>
              </w:rPr>
            </w:pPr>
            <w:r>
              <w:rPr>
                <w:rFonts w:ascii="Times New Roman" w:hAnsi="Times New Roman"/>
                <w:noProof/>
              </w:rPr>
              <w:t>61</w:t>
            </w:r>
          </w:p>
        </w:tc>
        <w:tc>
          <w:tcPr>
            <w:tcW w:w="485"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6594" w:type="dxa"/>
            <w:gridSpan w:val="6"/>
          </w:tcPr>
          <w:p w:rsidR="006C6719" w:rsidRDefault="00614864">
            <w:pPr>
              <w:keepNext/>
              <w:widowControl/>
              <w:spacing w:before="60" w:after="60"/>
              <w:jc w:val="both"/>
              <w:rPr>
                <w:rFonts w:ascii="Times New Roman" w:hAnsi="Times New Roman"/>
                <w:noProof/>
              </w:rPr>
            </w:pPr>
            <w:r>
              <w:rPr>
                <w:rFonts w:ascii="Times New Roman" w:hAnsi="Times New Roman"/>
                <w:noProof/>
              </w:rPr>
              <w:t>DG1 Prvky údajov (vnorené)</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C6719">
            <w:pPr>
              <w:keepNext/>
              <w:widowControl/>
              <w:spacing w:before="60" w:after="60"/>
              <w:jc w:val="both"/>
              <w:rPr>
                <w:rFonts w:ascii="Times New Roman" w:hAnsi="Times New Roman"/>
                <w:noProof/>
              </w:rPr>
            </w:pPr>
          </w:p>
        </w:tc>
      </w:tr>
      <w:tr w:rsidR="006C6719">
        <w:trPr>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Tag</w:t>
            </w:r>
          </w:p>
        </w:tc>
        <w:tc>
          <w:tcPr>
            <w:tcW w:w="485"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L</w:t>
            </w:r>
          </w:p>
        </w:tc>
        <w:tc>
          <w:tcPr>
            <w:tcW w:w="5275" w:type="dxa"/>
            <w:gridSpan w:val="4"/>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Hodnota</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C6719">
            <w:pPr>
              <w:keepNext/>
              <w:widowControl/>
              <w:spacing w:before="60" w:after="60"/>
              <w:jc w:val="both"/>
              <w:rPr>
                <w:rFonts w:ascii="Times New Roman" w:hAnsi="Times New Roman"/>
                <w:noProof/>
              </w:rPr>
            </w:pPr>
          </w:p>
        </w:tc>
      </w:tr>
      <w:tr w:rsidR="006C6719">
        <w:trPr>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01</w:t>
            </w:r>
          </w:p>
        </w:tc>
        <w:tc>
          <w:tcPr>
            <w:tcW w:w="485"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5275" w:type="dxa"/>
            <w:gridSpan w:val="4"/>
          </w:tcPr>
          <w:p w:rsidR="006C6719" w:rsidRDefault="00614864">
            <w:pPr>
              <w:keepNext/>
              <w:widowControl/>
              <w:spacing w:before="60" w:after="60"/>
              <w:jc w:val="both"/>
              <w:rPr>
                <w:rFonts w:ascii="Times New Roman" w:hAnsi="Times New Roman"/>
                <w:noProof/>
              </w:rPr>
            </w:pPr>
            <w:r>
              <w:rPr>
                <w:rFonts w:ascii="Times New Roman" w:hAnsi="Times New Roman"/>
                <w:noProof/>
              </w:rPr>
              <w:t>Číslo typového schválenia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02</w:t>
            </w:r>
          </w:p>
        </w:tc>
        <w:tc>
          <w:tcPr>
            <w:tcW w:w="485"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5275" w:type="dxa"/>
            <w:gridSpan w:val="4"/>
          </w:tcPr>
          <w:p w:rsidR="006C6719" w:rsidRDefault="00614864">
            <w:pPr>
              <w:keepNext/>
              <w:widowControl/>
              <w:spacing w:before="60" w:after="60"/>
              <w:jc w:val="both"/>
              <w:rPr>
                <w:rFonts w:ascii="Times New Roman" w:hAnsi="Times New Roman"/>
                <w:noProof/>
              </w:rPr>
            </w:pPr>
            <w:r>
              <w:rPr>
                <w:rFonts w:ascii="Times New Roman" w:hAnsi="Times New Roman"/>
                <w:noProof/>
              </w:rPr>
              <w:t>Zložený dátový objekt z demografických prvkov údajov</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Tag</w:t>
            </w:r>
          </w:p>
        </w:tc>
        <w:tc>
          <w:tcPr>
            <w:tcW w:w="546"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L</w:t>
            </w:r>
          </w:p>
        </w:tc>
        <w:tc>
          <w:tcPr>
            <w:tcW w:w="3829"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Hodnota</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C6719">
            <w:pPr>
              <w:keepNext/>
              <w:widowControl/>
              <w:spacing w:before="60" w:after="60"/>
              <w:jc w:val="both"/>
              <w:rPr>
                <w:rFonts w:ascii="Times New Roman" w:hAnsi="Times New Roman"/>
                <w:noProof/>
              </w:rPr>
            </w:pP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03</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3</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Členský štát, ktorý preukaz vydal</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a3</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04</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Priezvisko(-á) držiteľa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05</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Ďalšie meno (mená) držiteľa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06</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4</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Dátum narodenia (ddmmrrrr)</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n8</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07</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Miesto narodenia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08</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3</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Štátna príslušnosť</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a3</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09</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1</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Pohlavie</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M/F/U</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0A</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4</w:t>
            </w:r>
          </w:p>
        </w:tc>
        <w:tc>
          <w:tcPr>
            <w:tcW w:w="3829" w:type="dxa"/>
          </w:tcPr>
          <w:p w:rsidR="006C6719" w:rsidRDefault="00614864">
            <w:pPr>
              <w:keepNext/>
              <w:widowControl/>
              <w:spacing w:before="60" w:after="60"/>
              <w:rPr>
                <w:rFonts w:ascii="Times New Roman" w:hAnsi="Times New Roman"/>
                <w:noProof/>
              </w:rPr>
            </w:pPr>
            <w:r>
              <w:rPr>
                <w:rFonts w:ascii="Times New Roman" w:hAnsi="Times New Roman"/>
                <w:noProof/>
              </w:rPr>
              <w:t xml:space="preserve">Dátum </w:t>
            </w:r>
            <w:r>
              <w:rPr>
                <w:rFonts w:ascii="Times New Roman" w:hAnsi="Times New Roman"/>
                <w:noProof/>
              </w:rPr>
              <w:t>vydania preukazu (ddmmrrrr)</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n8</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0B</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4</w:t>
            </w:r>
          </w:p>
        </w:tc>
        <w:tc>
          <w:tcPr>
            <w:tcW w:w="3829" w:type="dxa"/>
          </w:tcPr>
          <w:p w:rsidR="006C6719" w:rsidRDefault="00614864">
            <w:pPr>
              <w:keepNext/>
              <w:widowControl/>
              <w:spacing w:before="60" w:after="60"/>
              <w:rPr>
                <w:rFonts w:ascii="Times New Roman" w:hAnsi="Times New Roman"/>
                <w:noProof/>
              </w:rPr>
            </w:pPr>
            <w:r>
              <w:rPr>
                <w:rFonts w:ascii="Times New Roman" w:hAnsi="Times New Roman"/>
                <w:noProof/>
              </w:rPr>
              <w:t>Dátum skončenia platnosti preukazu (ddmmrrrr)</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n8</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0C</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Vydávajúci orgán</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0D</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rPr>
                <w:rFonts w:ascii="Times New Roman" w:hAnsi="Times New Roman"/>
                <w:noProof/>
              </w:rPr>
            </w:pPr>
            <w:r>
              <w:rPr>
                <w:rFonts w:ascii="Times New Roman" w:hAnsi="Times New Roman"/>
                <w:noProof/>
              </w:rPr>
              <w:t>Administratívne číslo (iné ako číslo dokladu)</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0E</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Číslo dokladu</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5F 0F</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rPr>
                <w:rFonts w:ascii="Times New Roman" w:hAnsi="Times New Roman"/>
                <w:noProof/>
              </w:rPr>
            </w:pPr>
            <w:r>
              <w:rPr>
                <w:rFonts w:ascii="Times New Roman" w:hAnsi="Times New Roman"/>
                <w:noProof/>
              </w:rPr>
              <w:t xml:space="preserve">Miesto </w:t>
            </w:r>
            <w:r>
              <w:rPr>
                <w:rFonts w:ascii="Times New Roman" w:hAnsi="Times New Roman"/>
                <w:noProof/>
              </w:rPr>
              <w:t>trvalého pobytu alebo poštová adresa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r w:rsidR="006C6719">
        <w:trPr>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14864">
            <w:pPr>
              <w:keepNext/>
              <w:widowControl/>
              <w:spacing w:before="60" w:after="60"/>
              <w:jc w:val="both"/>
              <w:rPr>
                <w:rFonts w:ascii="Times New Roman" w:hAnsi="Times New Roman"/>
                <w:noProof/>
              </w:rPr>
            </w:pPr>
            <w:r>
              <w:rPr>
                <w:rFonts w:ascii="Times New Roman" w:hAnsi="Times New Roman"/>
                <w:noProof/>
              </w:rPr>
              <w:t>7F 63</w:t>
            </w:r>
          </w:p>
        </w:tc>
        <w:tc>
          <w:tcPr>
            <w:tcW w:w="485"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5275" w:type="dxa"/>
            <w:gridSpan w:val="4"/>
          </w:tcPr>
          <w:p w:rsidR="006C6719" w:rsidRDefault="00614864">
            <w:pPr>
              <w:keepNext/>
              <w:widowControl/>
              <w:spacing w:before="60" w:after="60"/>
              <w:rPr>
                <w:rFonts w:ascii="Times New Roman" w:hAnsi="Times New Roman"/>
                <w:noProof/>
              </w:rPr>
            </w:pPr>
            <w:r>
              <w:rPr>
                <w:rFonts w:ascii="Times New Roman" w:hAnsi="Times New Roman"/>
                <w:noProof/>
              </w:rPr>
              <w:t>Zložený dátový objekt z/zo skupín vozidiel/obmedzení/podmienok</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Tag</w:t>
            </w:r>
          </w:p>
        </w:tc>
        <w:tc>
          <w:tcPr>
            <w:tcW w:w="546"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L</w:t>
            </w:r>
          </w:p>
        </w:tc>
        <w:tc>
          <w:tcPr>
            <w:tcW w:w="3829" w:type="dxa"/>
            <w:shd w:val="clear" w:color="auto" w:fill="BFBFBF"/>
          </w:tcPr>
          <w:p w:rsidR="006C6719" w:rsidRDefault="00614864">
            <w:pPr>
              <w:keepNext/>
              <w:widowControl/>
              <w:spacing w:before="60" w:after="60"/>
              <w:jc w:val="both"/>
              <w:rPr>
                <w:rFonts w:ascii="Times New Roman" w:hAnsi="Times New Roman"/>
                <w:noProof/>
              </w:rPr>
            </w:pPr>
            <w:r>
              <w:rPr>
                <w:rFonts w:ascii="Times New Roman" w:hAnsi="Times New Roman"/>
                <w:noProof/>
              </w:rPr>
              <w:t>Hodnota (zakódovaná podľa ďalej uvedeného vymedzenia)</w:t>
            </w:r>
          </w:p>
        </w:tc>
        <w:tc>
          <w:tcPr>
            <w:tcW w:w="1559" w:type="dxa"/>
            <w:gridSpan w:val="2"/>
          </w:tcPr>
          <w:p w:rsidR="006C6719" w:rsidRDefault="006C6719">
            <w:pPr>
              <w:keepNext/>
              <w:widowControl/>
              <w:spacing w:before="60" w:after="60"/>
              <w:jc w:val="both"/>
              <w:rPr>
                <w:rFonts w:ascii="Times New Roman" w:hAnsi="Times New Roman"/>
                <w:noProof/>
              </w:rPr>
            </w:pPr>
          </w:p>
        </w:tc>
        <w:tc>
          <w:tcPr>
            <w:tcW w:w="1134" w:type="dxa"/>
            <w:gridSpan w:val="2"/>
          </w:tcPr>
          <w:p w:rsidR="006C6719" w:rsidRDefault="006C6719">
            <w:pPr>
              <w:keepNext/>
              <w:widowControl/>
              <w:spacing w:before="60" w:after="60"/>
              <w:jc w:val="both"/>
              <w:rPr>
                <w:rFonts w:ascii="Times New Roman" w:hAnsi="Times New Roman"/>
                <w:noProof/>
              </w:rPr>
            </w:pP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02</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1</w:t>
            </w:r>
          </w:p>
        </w:tc>
        <w:tc>
          <w:tcPr>
            <w:tcW w:w="3829" w:type="dxa"/>
          </w:tcPr>
          <w:p w:rsidR="006C6719" w:rsidRDefault="00614864">
            <w:pPr>
              <w:keepNext/>
              <w:widowControl/>
              <w:spacing w:before="60" w:after="60"/>
              <w:rPr>
                <w:rFonts w:ascii="Times New Roman" w:hAnsi="Times New Roman"/>
                <w:noProof/>
              </w:rPr>
            </w:pPr>
            <w:r>
              <w:rPr>
                <w:rFonts w:ascii="Times New Roman" w:hAnsi="Times New Roman"/>
                <w:noProof/>
              </w:rPr>
              <w:t>Počet skupín/obmedzení/podmienok</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87</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Skupina/obmedzenie/podmienka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P</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87</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Skupina/obmedzenie/podmienka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w:t>
            </w:r>
          </w:p>
        </w:tc>
      </w:tr>
      <w:tr w:rsidR="006C6719">
        <w:trPr>
          <w:gridAfter w:val="1"/>
          <w:wAfter w:w="17" w:type="dxa"/>
          <w:jc w:val="center"/>
        </w:trPr>
        <w:tc>
          <w:tcPr>
            <w:tcW w:w="669"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34" w:type="dxa"/>
          </w:tcPr>
          <w:p w:rsidR="006C6719" w:rsidRDefault="006C6719">
            <w:pPr>
              <w:keepNext/>
              <w:widowControl/>
              <w:spacing w:before="60" w:after="60"/>
              <w:jc w:val="both"/>
              <w:rPr>
                <w:rFonts w:ascii="Times New Roman" w:hAnsi="Times New Roman"/>
                <w:noProof/>
              </w:rPr>
            </w:pPr>
          </w:p>
        </w:tc>
        <w:tc>
          <w:tcPr>
            <w:tcW w:w="485" w:type="dxa"/>
          </w:tcPr>
          <w:p w:rsidR="006C6719" w:rsidRDefault="006C6719">
            <w:pPr>
              <w:keepNext/>
              <w:widowControl/>
              <w:spacing w:before="60" w:after="60"/>
              <w:jc w:val="both"/>
              <w:rPr>
                <w:rFonts w:ascii="Times New Roman" w:hAnsi="Times New Roman"/>
                <w:noProof/>
              </w:rPr>
            </w:pPr>
          </w:p>
        </w:tc>
        <w:tc>
          <w:tcPr>
            <w:tcW w:w="883" w:type="dxa"/>
          </w:tcPr>
          <w:p w:rsidR="006C6719" w:rsidRDefault="00614864">
            <w:pPr>
              <w:keepNext/>
              <w:widowControl/>
              <w:spacing w:before="60" w:after="60"/>
              <w:jc w:val="both"/>
              <w:rPr>
                <w:rFonts w:ascii="Times New Roman" w:hAnsi="Times New Roman"/>
                <w:noProof/>
              </w:rPr>
            </w:pPr>
            <w:r>
              <w:rPr>
                <w:rFonts w:ascii="Times New Roman" w:hAnsi="Times New Roman"/>
                <w:noProof/>
              </w:rPr>
              <w:t>87</w:t>
            </w:r>
          </w:p>
        </w:tc>
        <w:tc>
          <w:tcPr>
            <w:tcW w:w="546" w:type="dxa"/>
          </w:tcPr>
          <w:p w:rsidR="006C6719" w:rsidRDefault="00614864">
            <w:pPr>
              <w:keepNext/>
              <w:widowControl/>
              <w:spacing w:before="60" w:after="60"/>
              <w:jc w:val="both"/>
              <w:rPr>
                <w:rFonts w:ascii="Times New Roman" w:hAnsi="Times New Roman"/>
                <w:noProof/>
              </w:rPr>
            </w:pPr>
            <w:r>
              <w:rPr>
                <w:rFonts w:ascii="Times New Roman" w:hAnsi="Times New Roman"/>
                <w:noProof/>
              </w:rPr>
              <w:t>V</w:t>
            </w:r>
          </w:p>
        </w:tc>
        <w:tc>
          <w:tcPr>
            <w:tcW w:w="3829" w:type="dxa"/>
          </w:tcPr>
          <w:p w:rsidR="006C6719" w:rsidRDefault="00614864">
            <w:pPr>
              <w:keepNext/>
              <w:widowControl/>
              <w:spacing w:before="60" w:after="60"/>
              <w:jc w:val="both"/>
              <w:rPr>
                <w:rFonts w:ascii="Times New Roman" w:hAnsi="Times New Roman"/>
                <w:noProof/>
              </w:rPr>
            </w:pPr>
            <w:r>
              <w:rPr>
                <w:rFonts w:ascii="Times New Roman" w:hAnsi="Times New Roman"/>
                <w:noProof/>
              </w:rPr>
              <w:t>Skupina/obmedzenie/podmienka</w:t>
            </w:r>
          </w:p>
        </w:tc>
        <w:tc>
          <w:tcPr>
            <w:tcW w:w="1559"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ans</w:t>
            </w:r>
          </w:p>
        </w:tc>
        <w:tc>
          <w:tcPr>
            <w:tcW w:w="1134" w:type="dxa"/>
            <w:gridSpan w:val="2"/>
          </w:tcPr>
          <w:p w:rsidR="006C6719" w:rsidRDefault="00614864">
            <w:pPr>
              <w:keepNext/>
              <w:widowControl/>
              <w:spacing w:before="60" w:after="60"/>
              <w:jc w:val="both"/>
              <w:rPr>
                <w:rFonts w:ascii="Times New Roman" w:hAnsi="Times New Roman"/>
                <w:noProof/>
              </w:rPr>
            </w:pPr>
            <w:r>
              <w:rPr>
                <w:rFonts w:ascii="Times New Roman" w:hAnsi="Times New Roman"/>
                <w:noProof/>
              </w:rPr>
              <w:t>N</w:t>
            </w:r>
          </w:p>
        </w:tc>
      </w:tr>
    </w:tbl>
    <w:p w:rsidR="006C6719" w:rsidRDefault="006C6719">
      <w:pPr>
        <w:widowControl/>
        <w:spacing w:before="120" w:after="120"/>
        <w:jc w:val="both"/>
        <w:rPr>
          <w:rFonts w:eastAsia="Calibri"/>
          <w:noProof/>
          <w:szCs w:val="22"/>
          <w:lang w:eastAsia="en-US"/>
        </w:rPr>
      </w:pP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Logický formát záznamu</w:t>
      </w:r>
    </w:p>
    <w:p w:rsidR="006C6719" w:rsidRDefault="00614864">
      <w:pPr>
        <w:keepNext/>
        <w:keepLines/>
        <w:widowControl/>
        <w:spacing w:before="120" w:after="120"/>
        <w:ind w:left="850"/>
        <w:jc w:val="both"/>
        <w:rPr>
          <w:rFonts w:eastAsia="Calibri"/>
          <w:noProof/>
          <w:szCs w:val="22"/>
          <w:lang w:eastAsia="en-US"/>
        </w:rPr>
      </w:pPr>
      <w:r>
        <w:rPr>
          <w:rFonts w:eastAsia="Calibri"/>
          <w:noProof/>
          <w:szCs w:val="22"/>
          <w:lang w:eastAsia="en-US"/>
        </w:rPr>
        <w:t>Skupiny týkajúce sa vozidiel, obmedzenia alebo podmienky sa zostavia v dátovom objekte</w:t>
      </w:r>
      <w:r>
        <w:rPr>
          <w:rFonts w:eastAsia="Calibri"/>
          <w:noProof/>
          <w:szCs w:val="22"/>
          <w:lang w:eastAsia="en-US"/>
        </w:rPr>
        <w:t xml:space="preserve"> podľa štruktúry stanovenej v tejto tabuľke:</w:t>
      </w:r>
    </w:p>
    <w:tbl>
      <w:tblPr>
        <w:tblStyle w:val="TableGrid1"/>
        <w:tblW w:w="8386" w:type="dxa"/>
        <w:tblInd w:w="850" w:type="dxa"/>
        <w:tblLook w:val="04A0" w:firstRow="1" w:lastRow="0" w:firstColumn="1" w:lastColumn="0" w:noHBand="0" w:noVBand="1"/>
      </w:tblPr>
      <w:tblGrid>
        <w:gridCol w:w="2451"/>
        <w:gridCol w:w="1570"/>
        <w:gridCol w:w="1712"/>
        <w:gridCol w:w="837"/>
        <w:gridCol w:w="773"/>
        <w:gridCol w:w="1043"/>
      </w:tblGrid>
      <w:tr w:rsidR="006C6719">
        <w:tc>
          <w:tcPr>
            <w:tcW w:w="2516" w:type="dxa"/>
          </w:tcPr>
          <w:p w:rsidR="006C6719" w:rsidRDefault="00614864">
            <w:pPr>
              <w:widowControl/>
              <w:spacing w:before="120" w:after="120"/>
              <w:jc w:val="both"/>
              <w:rPr>
                <w:rFonts w:ascii="Times New Roman" w:hAnsi="Times New Roman"/>
                <w:noProof/>
              </w:rPr>
            </w:pPr>
            <w:r>
              <w:rPr>
                <w:rFonts w:ascii="Times New Roman" w:hAnsi="Times New Roman"/>
                <w:noProof/>
              </w:rPr>
              <w:t>Kód skupiny vozidla</w:t>
            </w:r>
          </w:p>
        </w:tc>
        <w:tc>
          <w:tcPr>
            <w:tcW w:w="1596" w:type="dxa"/>
          </w:tcPr>
          <w:p w:rsidR="006C6719" w:rsidRDefault="00614864">
            <w:pPr>
              <w:widowControl/>
              <w:spacing w:before="120" w:after="120"/>
              <w:rPr>
                <w:rFonts w:ascii="Times New Roman" w:hAnsi="Times New Roman"/>
                <w:noProof/>
              </w:rPr>
            </w:pPr>
            <w:r>
              <w:rPr>
                <w:rFonts w:ascii="Times New Roman" w:hAnsi="Times New Roman"/>
                <w:noProof/>
              </w:rPr>
              <w:t>Dátum vydania</w:t>
            </w:r>
          </w:p>
        </w:tc>
        <w:tc>
          <w:tcPr>
            <w:tcW w:w="1736" w:type="dxa"/>
          </w:tcPr>
          <w:p w:rsidR="006C6719" w:rsidRDefault="00614864">
            <w:pPr>
              <w:widowControl/>
              <w:spacing w:before="120" w:after="120"/>
              <w:rPr>
                <w:rFonts w:ascii="Times New Roman" w:hAnsi="Times New Roman"/>
                <w:noProof/>
              </w:rPr>
            </w:pPr>
            <w:r>
              <w:rPr>
                <w:rFonts w:ascii="Times New Roman" w:hAnsi="Times New Roman"/>
                <w:noProof/>
              </w:rPr>
              <w:t>Dátum skončenia platnosti</w:t>
            </w:r>
          </w:p>
        </w:tc>
        <w:tc>
          <w:tcPr>
            <w:tcW w:w="846" w:type="dxa"/>
          </w:tcPr>
          <w:p w:rsidR="006C6719" w:rsidRDefault="00614864">
            <w:pPr>
              <w:widowControl/>
              <w:spacing w:before="120" w:after="120"/>
              <w:jc w:val="both"/>
              <w:rPr>
                <w:rFonts w:ascii="Times New Roman" w:hAnsi="Times New Roman"/>
                <w:noProof/>
              </w:rPr>
            </w:pPr>
            <w:r>
              <w:rPr>
                <w:rFonts w:ascii="Times New Roman" w:hAnsi="Times New Roman"/>
                <w:noProof/>
              </w:rPr>
              <w:t>Kód</w:t>
            </w:r>
          </w:p>
        </w:tc>
        <w:tc>
          <w:tcPr>
            <w:tcW w:w="776" w:type="dxa"/>
          </w:tcPr>
          <w:p w:rsidR="006C6719" w:rsidRDefault="00614864">
            <w:pPr>
              <w:widowControl/>
              <w:spacing w:before="120" w:after="120"/>
              <w:jc w:val="both"/>
              <w:rPr>
                <w:rFonts w:ascii="Times New Roman" w:hAnsi="Times New Roman"/>
                <w:noProof/>
              </w:rPr>
            </w:pPr>
            <w:r>
              <w:rPr>
                <w:rFonts w:ascii="Times New Roman" w:hAnsi="Times New Roman"/>
                <w:noProof/>
              </w:rPr>
              <w:t>Znak</w:t>
            </w:r>
          </w:p>
        </w:tc>
        <w:tc>
          <w:tcPr>
            <w:tcW w:w="916" w:type="dxa"/>
          </w:tcPr>
          <w:p w:rsidR="006C6719" w:rsidRDefault="00614864">
            <w:pPr>
              <w:widowControl/>
              <w:spacing w:before="120" w:after="120"/>
              <w:jc w:val="both"/>
              <w:rPr>
                <w:rFonts w:ascii="Times New Roman" w:hAnsi="Times New Roman"/>
                <w:noProof/>
              </w:rPr>
            </w:pPr>
            <w:r>
              <w:rPr>
                <w:rFonts w:ascii="Times New Roman" w:hAnsi="Times New Roman"/>
                <w:noProof/>
              </w:rPr>
              <w:t>Hodnota</w:t>
            </w:r>
          </w:p>
        </w:tc>
      </w:tr>
    </w:tbl>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kde:</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kódy skupín vozidiel sa uvádzajú tak, ako sa vymedzuje v článku 6 (napr. AM, A1, A2, A, B1, B atď.),</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 xml:space="preserve">dátum vydania sa pri </w:t>
      </w:r>
      <w:r>
        <w:rPr>
          <w:rFonts w:eastAsia="Calibri"/>
          <w:noProof/>
          <w:szCs w:val="22"/>
          <w:lang w:eastAsia="en-US"/>
        </w:rPr>
        <w:t>skupine vozidla uvádza vo formáte DDMMRRRR (deň dvojmiestnym číslom, potom mesiac dvojmiestnym číslom a rok štvormiestnym číslom),</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 xml:space="preserve">dátum skončenia platnosti sa pri skupine vozidla uvádza vo formáte DDMMRRRR (deň dvojmiestnym číslom, potom mesiac </w:t>
      </w:r>
      <w:r>
        <w:rPr>
          <w:rFonts w:eastAsia="Calibri"/>
          <w:noProof/>
          <w:szCs w:val="22"/>
          <w:lang w:eastAsia="en-US"/>
        </w:rPr>
        <w:t>dvojmiestnym číslom a rok štvormiestnym číslom),</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d)</w:t>
      </w:r>
      <w:r>
        <w:rPr>
          <w:rFonts w:eastAsia="Calibri"/>
          <w:noProof/>
          <w:szCs w:val="22"/>
          <w:lang w:eastAsia="en-US"/>
        </w:rPr>
        <w:tab/>
        <w:t>kód, znak a hodnota označujú doplnkové informácie alebo obmedzenia týkajúce sa skupiny vozidla alebo vodiča.</w:t>
      </w:r>
    </w:p>
    <w:p w:rsidR="006C6719" w:rsidRDefault="006C6719">
      <w:pPr>
        <w:widowControl/>
        <w:spacing w:before="120" w:after="120"/>
        <w:jc w:val="both"/>
        <w:rPr>
          <w:rFonts w:eastAsia="Calibri"/>
          <w:noProof/>
          <w:szCs w:val="22"/>
          <w:lang w:eastAsia="en-US"/>
        </w:rPr>
      </w:pPr>
    </w:p>
    <w:p w:rsidR="006C6719" w:rsidRDefault="00614864">
      <w:pPr>
        <w:widowControl/>
        <w:rPr>
          <w:rFonts w:eastAsia="Calibri"/>
          <w:b/>
          <w:noProof/>
          <w:szCs w:val="22"/>
          <w:lang w:eastAsia="en-US"/>
        </w:rPr>
      </w:pPr>
      <w:r>
        <w:rPr>
          <w:rFonts w:eastAsia="Calibri"/>
          <w:b/>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B2: Zoznam platných noriem pre vodičské preukazy s pamäťovým médiom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b/>
                <w:noProof/>
                <w:color w:val="000000"/>
                <w:szCs w:val="24"/>
                <w:lang w:eastAsia="en-US"/>
              </w:rPr>
              <w:t>Položka</w:t>
            </w:r>
            <w:r>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b/>
                <w:noProof/>
                <w:color w:val="000000"/>
                <w:szCs w:val="24"/>
                <w:lang w:eastAsia="en-US"/>
              </w:rPr>
              <w:t>Predmet</w:t>
            </w:r>
            <w:r>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b/>
                <w:noProof/>
                <w:color w:val="000000"/>
                <w:szCs w:val="24"/>
                <w:lang w:eastAsia="en-US"/>
              </w:rPr>
              <w:t>Požiadavka</w:t>
            </w:r>
            <w:r>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b/>
                <w:noProof/>
                <w:color w:val="000000"/>
                <w:szCs w:val="24"/>
                <w:lang w:eastAsia="en-US"/>
              </w:rPr>
              <w:t>Platí pre</w:t>
            </w:r>
            <w:r>
              <w:rPr>
                <w:noProof/>
                <w:color w:val="000000"/>
                <w:szCs w:val="24"/>
                <w:lang w:eastAsia="en-US"/>
              </w:rPr>
              <w:t xml:space="preserve">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Rozhranie pamäťového média, organizácia a príkazy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Norma ISO/IEC séria 7816 (kontaktné), norma ISO/IEC séria 14443 (bezkontaktné), ako sa uvádza v norme ISO/IEC 18013-2:2008, príloha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3. ods. 1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Identifikátor aplikácie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3. ods. 2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Mechanizmy zabezpečenia údajov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3. ods. 2 písm. a) </w:t>
            </w:r>
          </w:p>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5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Logická štruktúra údajov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4. ods. 1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Identifikátory elementárneho súboru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18013-2:2008, tabuľka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Časť B1, bod 4. ods. 1</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Zobrazenie údajov pre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 18013-2:2008, príloha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Časť B1, bod 4. ods. 2</w:t>
            </w:r>
          </w:p>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6. ods. 1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Zobrazenie povinných údajov pre DG 5 a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18013-2:2008, príloha C.6.6 a príloha C.6.7, zobrazenie tváre a zobrazenie podpisu sa uložia vo formáte JPEG alebo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Časť B1, bod 4. ods. 2</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Zobrazenie nepovinných a doplnkových údajov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18013-2:2008, príloha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4. </w:t>
            </w:r>
            <w:r>
              <w:rPr>
                <w:noProof/>
                <w:color w:val="000000"/>
                <w:szCs w:val="24"/>
                <w:lang w:eastAsia="en-US"/>
              </w:rPr>
              <w:t>ods. 3</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Pasívna autentifikácia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18013-3:2009, odsek 8.1, údaje sa uchovávajú v EF.SOd (objekt zabezpečenia dokumentu) v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5. ods. 1 písm. a)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Základné obmedzenie prístupu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18013-3:2009 a jej zmena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B1, bod 5. ods. 2 písm. a)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Konfigurácia základného obmedzenia prístupu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ISO/IEC 18013-3:2009, príloha B.8 </w:t>
            </w:r>
          </w:p>
        </w:tc>
        <w:tc>
          <w:tcPr>
            <w:tcW w:w="0" w:type="auto"/>
            <w:vMerge/>
            <w:vAlign w:val="center"/>
            <w:hideMark/>
          </w:tcPr>
          <w:p w:rsidR="006C6719" w:rsidRDefault="006C6719">
            <w:pPr>
              <w:widowControl/>
              <w:spacing w:before="120" w:after="120"/>
              <w:rPr>
                <w:rFonts w:eastAsia="Calibri"/>
                <w:noProof/>
                <w:szCs w:val="22"/>
                <w:lang w:eastAsia="en-US"/>
              </w:rPr>
            </w:pP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Rozšírené obmedzenie prístupu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Technické usmernenie TR-03110, Bezpečnostné mechanizmy vyššieho rádu pre strojovo </w:t>
            </w:r>
            <w:r>
              <w:rPr>
                <w:noProof/>
                <w:color w:val="000000"/>
                <w:szCs w:val="24"/>
                <w:lang w:eastAsia="en-US"/>
              </w:rPr>
              <w:lastRenderedPageBreak/>
              <w:t xml:space="preserve">snímateľné cestovné doklady – rozšírená kontrola prístupu (Extended Access Control – EAC), verzia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lastRenderedPageBreak/>
              <w:t xml:space="preserve">Časť B1, bod 5. ods. 2 písm. b)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Skúšobné metódy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B3 bod 1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Bezpečnostné osvedčenie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Úroveň zabezpečenia 4+ (EAL 4+) alebo rovnocenná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Časť B3 bod 2 </w:t>
            </w:r>
          </w:p>
        </w:tc>
      </w:tr>
      <w:tr w:rsidR="006C6719">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jc w:val="both"/>
              <w:textAlignment w:val="baseline"/>
              <w:rPr>
                <w:noProof/>
                <w:szCs w:val="24"/>
                <w:lang w:eastAsia="en-US"/>
              </w:rPr>
            </w:pPr>
            <w:r>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Funkčné osvedčenie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 xml:space="preserve">Skúšanie inteligentnej karty podľa ISO série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hd w:val="clear" w:color="auto" w:fill="FFFFFF"/>
              <w:spacing w:before="120" w:after="120"/>
              <w:textAlignment w:val="baseline"/>
              <w:rPr>
                <w:noProof/>
                <w:szCs w:val="24"/>
                <w:lang w:eastAsia="en-US"/>
              </w:rPr>
            </w:pPr>
            <w:r>
              <w:rPr>
                <w:noProof/>
                <w:color w:val="000000"/>
                <w:szCs w:val="24"/>
                <w:lang w:eastAsia="en-US"/>
              </w:rPr>
              <w:t>Časť B3 bod 3</w:t>
            </w:r>
            <w:r>
              <w:rPr>
                <w:noProof/>
                <w:szCs w:val="24"/>
                <w:lang w:eastAsia="en-US"/>
              </w:rPr>
              <w:t>.</w:t>
            </w:r>
          </w:p>
        </w:tc>
      </w:tr>
    </w:tbl>
    <w:p w:rsidR="006C6719" w:rsidRDefault="006C6719">
      <w:pPr>
        <w:widowControl/>
        <w:spacing w:before="120" w:after="120"/>
        <w:jc w:val="both"/>
        <w:rPr>
          <w:rFonts w:eastAsia="Calibri"/>
          <w:noProof/>
          <w:szCs w:val="22"/>
          <w:lang w:eastAsia="en-US"/>
        </w:rPr>
      </w:pPr>
    </w:p>
    <w:p w:rsidR="006C6719" w:rsidRDefault="00614864">
      <w:pPr>
        <w:widowControl/>
        <w:rPr>
          <w:rFonts w:eastAsia="Calibri"/>
          <w:b/>
          <w:noProof/>
          <w:szCs w:val="22"/>
          <w:lang w:eastAsia="en-US"/>
        </w:rPr>
      </w:pPr>
      <w:r>
        <w:rPr>
          <w:rFonts w:eastAsia="Calibri"/>
          <w:b/>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 xml:space="preserve">ČASŤ B3: Postup typového </w:t>
      </w:r>
      <w:r>
        <w:rPr>
          <w:rFonts w:eastAsia="Calibri"/>
          <w:b/>
          <w:noProof/>
          <w:szCs w:val="22"/>
          <w:lang w:eastAsia="en-US"/>
        </w:rPr>
        <w:t>schválenia EÚ vodičských preukazov s mikročipom </w:t>
      </w:r>
    </w:p>
    <w:p w:rsidR="006C6719" w:rsidRDefault="00614864">
      <w:pPr>
        <w:keepNext/>
        <w:widowControl/>
        <w:tabs>
          <w:tab w:val="left"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t>1.</w:t>
      </w:r>
      <w:r>
        <w:rPr>
          <w:rFonts w:eastAsia="MS Gothic"/>
          <w:b/>
          <w:bCs/>
          <w:smallCaps/>
          <w:noProof/>
          <w:szCs w:val="28"/>
          <w:lang w:eastAsia="en-US"/>
        </w:rPr>
        <w:tab/>
        <w:t xml:space="preserve">VŠEOBECNÉ USTANOVENIA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Výrobcovia, ktorí žiadajú o typové schválenie EÚ vodičských preukazov s mikročipom, predložia bezpečnostné osvedčenie a funkčné osvedčenie.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Všetky zamýšľané úpravy výrobného postup</w:t>
      </w:r>
      <w:r>
        <w:rPr>
          <w:rFonts w:eastAsia="Calibri"/>
          <w:noProof/>
          <w:szCs w:val="22"/>
          <w:lang w:eastAsia="en-US"/>
        </w:rPr>
        <w:t xml:space="preserve">u vrátane softvéru podliehajú predchádzajúcemu oznámeniu orgánu, ktorý udelil typové schválenie. Tento orgán si môže pred schválením úprav vyžiadať ďalšie informácie a vykonanie skúšok.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Pri skúškach sa dodržiavajú metódy stanovené v časti B2 položke 12. </w:t>
      </w:r>
    </w:p>
    <w:p w:rsidR="006C6719" w:rsidRDefault="00614864">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t>2.</w:t>
      </w:r>
      <w:r>
        <w:rPr>
          <w:rFonts w:eastAsia="MS Gothic"/>
          <w:b/>
          <w:bCs/>
          <w:smallCaps/>
          <w:noProof/>
          <w:szCs w:val="28"/>
          <w:lang w:eastAsia="en-US"/>
        </w:rPr>
        <w:tab/>
        <w:t xml:space="preserve">BEZPEČNOSTNÉ OSVEDČENIE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V prípade bezpečnostného hodnotenia sa mikročipy vodičských preukazov hodnotia podľa kritérií stanovených v časti B2 položke 13.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Bezpečnostné osvedčenie sa vydá iba na základe úspešného hodnotenia schopnosti mikročipu odolať pokusom o falšovanie alebo zmenu údajov. </w:t>
      </w:r>
    </w:p>
    <w:p w:rsidR="006C6719" w:rsidRDefault="00614864">
      <w:pPr>
        <w:widowControl/>
        <w:rPr>
          <w:rFonts w:eastAsia="MS Gothic"/>
          <w:b/>
          <w:bCs/>
          <w:smallCaps/>
          <w:noProof/>
          <w:szCs w:val="28"/>
          <w:lang w:eastAsia="en-US"/>
        </w:rPr>
      </w:pPr>
      <w:r>
        <w:rPr>
          <w:rFonts w:eastAsia="MS Gothic"/>
          <w:b/>
          <w:bCs/>
          <w:smallCaps/>
          <w:noProof/>
          <w:szCs w:val="28"/>
          <w:lang w:eastAsia="en-US"/>
        </w:rPr>
        <w:br w:type="page"/>
      </w:r>
    </w:p>
    <w:p w:rsidR="006C6719" w:rsidRDefault="00614864">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lastRenderedPageBreak/>
        <w:t>3.</w:t>
      </w:r>
      <w:r>
        <w:rPr>
          <w:rFonts w:eastAsia="MS Gothic"/>
          <w:b/>
          <w:bCs/>
          <w:smallCaps/>
          <w:noProof/>
          <w:szCs w:val="28"/>
          <w:lang w:eastAsia="en-US"/>
        </w:rPr>
        <w:tab/>
        <w:t xml:space="preserve">FUNKČNÉ OSVEDČENIE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Funkčné hodnotenie vodičských preukazov s mikročipom prebieha skúšaním v laboratóriu v súlade</w:t>
      </w:r>
      <w:r>
        <w:rPr>
          <w:rFonts w:eastAsia="Calibri"/>
          <w:noProof/>
          <w:szCs w:val="22"/>
          <w:lang w:eastAsia="en-US"/>
        </w:rPr>
        <w:t xml:space="preserve"> s kritériami stanovenými v časti B2 položke 14.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Členské štáty zavádzajúce mikročip do vodičských preukazov zabezpečia, aby sa dodržiavali príslušné funkčné normy a požiadavky časti B1.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Funkčné osvedčenie sa výrobcovi vydá, ak sú splnené všetky tieto pod</w:t>
      </w:r>
      <w:r>
        <w:rPr>
          <w:rFonts w:eastAsia="Calibri"/>
          <w:noProof/>
          <w:szCs w:val="22"/>
          <w:lang w:eastAsia="en-US"/>
        </w:rPr>
        <w:t xml:space="preserve">mienky: </w:t>
      </w:r>
    </w:p>
    <w:p w:rsidR="006C6719" w:rsidRDefault="00614864">
      <w:pPr>
        <w:widowControl/>
        <w:tabs>
          <w:tab w:val="left" w:pos="1984"/>
        </w:tabs>
        <w:spacing w:before="120" w:after="120"/>
        <w:ind w:left="1984"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t xml:space="preserve">pre mikročip existuje platné bezpečnostné osvedčenie, </w:t>
      </w:r>
    </w:p>
    <w:p w:rsidR="006C6719" w:rsidRDefault="00614864">
      <w:pPr>
        <w:widowControl/>
        <w:tabs>
          <w:tab w:val="num" w:pos="1984"/>
        </w:tabs>
        <w:spacing w:before="120" w:after="120"/>
        <w:ind w:left="1984" w:hanging="567"/>
        <w:jc w:val="both"/>
        <w:rPr>
          <w:rFonts w:eastAsia="Calibri"/>
          <w:noProof/>
          <w:szCs w:val="22"/>
          <w:lang w:eastAsia="en-US"/>
        </w:rPr>
      </w:pPr>
      <w:r>
        <w:rPr>
          <w:rFonts w:eastAsia="Calibri"/>
          <w:noProof/>
          <w:szCs w:val="22"/>
          <w:lang w:eastAsia="en-US"/>
        </w:rPr>
        <w:t xml:space="preserve">preukázal sa súlad s požiadavkami časti B2 a </w:t>
      </w:r>
    </w:p>
    <w:p w:rsidR="006C6719" w:rsidRDefault="00614864">
      <w:pPr>
        <w:widowControl/>
        <w:tabs>
          <w:tab w:val="num" w:pos="1984"/>
        </w:tabs>
        <w:spacing w:before="120" w:after="120"/>
        <w:ind w:left="1984" w:hanging="567"/>
        <w:jc w:val="both"/>
        <w:rPr>
          <w:rFonts w:eastAsia="Calibri"/>
          <w:noProof/>
          <w:szCs w:val="22"/>
          <w:lang w:eastAsia="en-US"/>
        </w:rPr>
      </w:pPr>
      <w:r>
        <w:rPr>
          <w:rFonts w:eastAsia="Calibri"/>
          <w:noProof/>
          <w:szCs w:val="22"/>
          <w:lang w:eastAsia="en-US"/>
        </w:rPr>
        <w:t xml:space="preserve">boli úspešne vykonané funkčné skúšky.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Orgán príslušného členského štátu je zodpovedný za vydanie funkčného osvedčenia. Na funkčnom osvedčení sa</w:t>
      </w:r>
      <w:r>
        <w:rPr>
          <w:rFonts w:eastAsia="Calibri"/>
          <w:noProof/>
          <w:szCs w:val="22"/>
          <w:lang w:eastAsia="en-US"/>
        </w:rPr>
        <w:t xml:space="preserve"> uvádza totožnosť vydávajúceho orgánu, totožnosť žiadateľa, označenie mikročipu a podrobný zoznam skúšok a ich výsledky.</w:t>
      </w:r>
    </w:p>
    <w:p w:rsidR="006C6719" w:rsidRDefault="00614864">
      <w:pPr>
        <w:widowControl/>
        <w:rPr>
          <w:rFonts w:eastAsia="MS Gothic"/>
          <w:b/>
          <w:bCs/>
          <w:smallCaps/>
          <w:noProof/>
          <w:szCs w:val="28"/>
          <w:lang w:eastAsia="en-US"/>
        </w:rPr>
      </w:pPr>
      <w:r>
        <w:rPr>
          <w:rFonts w:eastAsia="MS Gothic"/>
          <w:b/>
          <w:bCs/>
          <w:smallCaps/>
          <w:noProof/>
          <w:szCs w:val="28"/>
          <w:lang w:eastAsia="en-US"/>
        </w:rPr>
        <w:br w:type="page"/>
      </w:r>
    </w:p>
    <w:p w:rsidR="006C6719" w:rsidRDefault="00614864">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lastRenderedPageBreak/>
        <w:t>4.</w:t>
      </w:r>
      <w:r>
        <w:rPr>
          <w:rFonts w:eastAsia="MS Gothic"/>
          <w:b/>
          <w:bCs/>
          <w:smallCaps/>
          <w:noProof/>
          <w:szCs w:val="28"/>
          <w:lang w:eastAsia="en-US"/>
        </w:rPr>
        <w:tab/>
        <w:t xml:space="preserve">OSVEDČENIE O TYPOVOM SCHVÁLENÍ EÚ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Vzor osvedčenia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Členské štáty po predložení bezpečnostných a funkčných osvedčení podľa tejt</w:t>
      </w:r>
      <w:r>
        <w:rPr>
          <w:rFonts w:eastAsia="Calibri"/>
          <w:noProof/>
          <w:szCs w:val="22"/>
          <w:lang w:eastAsia="en-US"/>
        </w:rPr>
        <w:t xml:space="preserve">o prílohy vydajú osvedčenie o typovom schválení EÚ. Osvedčenia o typovom schválení EÚ sú v súlade so vzorom uvedeným v časti B4.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Systém číslovania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Systém číslovania typového schválenia EÚ obsahuje: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písmeno „e“, po ktorom nasleduje rozlišujúce čísl</w:t>
      </w:r>
      <w:r>
        <w:rPr>
          <w:rFonts w:eastAsia="Calibri"/>
          <w:noProof/>
          <w:szCs w:val="22"/>
          <w:lang w:eastAsia="en-US"/>
        </w:rPr>
        <w:t>o členského štátu, ktorý vydal typové schválenie EÚ:</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pre Nemecko,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w:t>
      </w:r>
      <w:r>
        <w:rPr>
          <w:rFonts w:eastAsia="Calibri"/>
          <w:noProof/>
          <w:szCs w:val="22"/>
          <w:lang w:eastAsia="en-US"/>
        </w:rPr>
        <w:tab/>
        <w:t xml:space="preserve">pre Francúzsko,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3</w:t>
      </w:r>
      <w:r>
        <w:rPr>
          <w:rFonts w:eastAsia="Calibri"/>
          <w:noProof/>
          <w:szCs w:val="22"/>
          <w:lang w:eastAsia="en-US"/>
        </w:rPr>
        <w:tab/>
        <w:t xml:space="preserve">pre Taliansko,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4</w:t>
      </w:r>
      <w:r>
        <w:rPr>
          <w:rFonts w:eastAsia="Calibri"/>
          <w:noProof/>
          <w:szCs w:val="22"/>
          <w:lang w:eastAsia="en-US"/>
        </w:rPr>
        <w:tab/>
        <w:t xml:space="preserve">pre Holandsko,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5</w:t>
      </w:r>
      <w:r>
        <w:rPr>
          <w:rFonts w:eastAsia="Calibri"/>
          <w:noProof/>
          <w:szCs w:val="22"/>
          <w:lang w:eastAsia="en-US"/>
        </w:rPr>
        <w:tab/>
        <w:t xml:space="preserve">pre Švédsko,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6</w:t>
      </w:r>
      <w:r>
        <w:rPr>
          <w:rFonts w:eastAsia="Calibri"/>
          <w:noProof/>
          <w:szCs w:val="22"/>
          <w:lang w:eastAsia="en-US"/>
        </w:rPr>
        <w:tab/>
        <w:t xml:space="preserve">pre Belgicko,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7</w:t>
      </w:r>
      <w:r>
        <w:rPr>
          <w:rFonts w:eastAsia="Calibri"/>
          <w:noProof/>
          <w:szCs w:val="22"/>
          <w:lang w:eastAsia="en-US"/>
        </w:rPr>
        <w:tab/>
        <w:t xml:space="preserve">pre Maďarsko,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8</w:t>
      </w:r>
      <w:r>
        <w:rPr>
          <w:rFonts w:eastAsia="Calibri"/>
          <w:noProof/>
          <w:szCs w:val="22"/>
          <w:lang w:eastAsia="en-US"/>
        </w:rPr>
        <w:tab/>
        <w:t xml:space="preserve">pre Českú republiku,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9</w:t>
      </w:r>
      <w:r>
        <w:rPr>
          <w:rFonts w:eastAsia="Calibri"/>
          <w:noProof/>
          <w:szCs w:val="22"/>
          <w:lang w:eastAsia="en-US"/>
        </w:rPr>
        <w:tab/>
        <w:t xml:space="preserve">pre Španielsko,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lastRenderedPageBreak/>
        <w:t>12</w:t>
      </w:r>
      <w:r>
        <w:rPr>
          <w:rFonts w:eastAsia="Calibri"/>
          <w:noProof/>
          <w:szCs w:val="22"/>
          <w:lang w:eastAsia="en-US"/>
        </w:rPr>
        <w:tab/>
        <w:t xml:space="preserve">pre Rakúsko,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13</w:t>
      </w:r>
      <w:r>
        <w:rPr>
          <w:rFonts w:eastAsia="Calibri"/>
          <w:noProof/>
          <w:szCs w:val="22"/>
          <w:lang w:eastAsia="en-US"/>
        </w:rPr>
        <w:tab/>
        <w:t xml:space="preserve">pre Luxembursko,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17</w:t>
      </w:r>
      <w:r>
        <w:rPr>
          <w:rFonts w:eastAsia="Calibri"/>
          <w:noProof/>
          <w:szCs w:val="22"/>
          <w:lang w:eastAsia="en-US"/>
        </w:rPr>
        <w:tab/>
        <w:t xml:space="preserve">pre Fínsko,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18</w:t>
      </w:r>
      <w:r>
        <w:rPr>
          <w:rFonts w:eastAsia="Calibri"/>
          <w:noProof/>
          <w:szCs w:val="22"/>
          <w:lang w:eastAsia="en-US"/>
        </w:rPr>
        <w:tab/>
        <w:t xml:space="preserve">pre Dánsko,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19</w:t>
      </w:r>
      <w:r>
        <w:rPr>
          <w:rFonts w:eastAsia="Calibri"/>
          <w:noProof/>
          <w:szCs w:val="22"/>
          <w:lang w:eastAsia="en-US"/>
        </w:rPr>
        <w:tab/>
        <w:t xml:space="preserve">pre Rumunsko,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20</w:t>
      </w:r>
      <w:r>
        <w:rPr>
          <w:rFonts w:eastAsia="Calibri"/>
          <w:noProof/>
          <w:szCs w:val="22"/>
          <w:lang w:eastAsia="en-US"/>
        </w:rPr>
        <w:tab/>
        <w:t xml:space="preserve">pre Poľsko,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21</w:t>
      </w:r>
      <w:r>
        <w:rPr>
          <w:rFonts w:eastAsia="Calibri"/>
          <w:noProof/>
          <w:szCs w:val="22"/>
          <w:lang w:eastAsia="en-US"/>
        </w:rPr>
        <w:tab/>
        <w:t xml:space="preserve">pre Portugalsko,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23</w:t>
      </w:r>
      <w:r>
        <w:rPr>
          <w:rFonts w:eastAsia="Calibri"/>
          <w:noProof/>
          <w:szCs w:val="22"/>
          <w:lang w:eastAsia="en-US"/>
        </w:rPr>
        <w:tab/>
        <w:t xml:space="preserve">pre Grécko,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24</w:t>
      </w:r>
      <w:r>
        <w:rPr>
          <w:rFonts w:eastAsia="Calibri"/>
          <w:noProof/>
          <w:szCs w:val="22"/>
          <w:lang w:eastAsia="en-US"/>
        </w:rPr>
        <w:tab/>
        <w:t xml:space="preserve">pre Írsko;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25</w:t>
      </w:r>
      <w:r>
        <w:rPr>
          <w:rFonts w:eastAsia="Calibri"/>
          <w:noProof/>
          <w:szCs w:val="22"/>
          <w:lang w:eastAsia="en-US"/>
        </w:rPr>
        <w:tab/>
        <w:t xml:space="preserve">pre Chorvátsko,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26</w:t>
      </w:r>
      <w:r>
        <w:rPr>
          <w:rFonts w:eastAsia="Calibri"/>
          <w:noProof/>
          <w:szCs w:val="22"/>
          <w:lang w:eastAsia="en-US"/>
        </w:rPr>
        <w:tab/>
        <w:t xml:space="preserve">pre Slovinsko,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27</w:t>
      </w:r>
      <w:r>
        <w:rPr>
          <w:rFonts w:eastAsia="Calibri"/>
          <w:noProof/>
          <w:szCs w:val="22"/>
          <w:lang w:eastAsia="en-US"/>
        </w:rPr>
        <w:tab/>
        <w:t xml:space="preserve">pre Slovensko,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29</w:t>
      </w:r>
      <w:r>
        <w:rPr>
          <w:rFonts w:eastAsia="Calibri"/>
          <w:noProof/>
          <w:szCs w:val="22"/>
          <w:lang w:eastAsia="en-US"/>
        </w:rPr>
        <w:tab/>
        <w:t xml:space="preserve">pre Estónsko,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32</w:t>
      </w:r>
      <w:r>
        <w:rPr>
          <w:rFonts w:eastAsia="Calibri"/>
          <w:noProof/>
          <w:szCs w:val="22"/>
          <w:lang w:eastAsia="en-US"/>
        </w:rPr>
        <w:tab/>
        <w:t xml:space="preserve">pre Lotyšsko,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34</w:t>
      </w:r>
      <w:r>
        <w:rPr>
          <w:rFonts w:eastAsia="Calibri"/>
          <w:noProof/>
          <w:szCs w:val="22"/>
          <w:lang w:eastAsia="en-US"/>
        </w:rPr>
        <w:tab/>
        <w:t xml:space="preserve">pre Bulharsko,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36</w:t>
      </w:r>
      <w:r>
        <w:rPr>
          <w:rFonts w:eastAsia="Calibri"/>
          <w:noProof/>
          <w:szCs w:val="22"/>
          <w:lang w:eastAsia="en-US"/>
        </w:rPr>
        <w:tab/>
        <w:t xml:space="preserve">pre Litvu,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49</w:t>
      </w:r>
      <w:r>
        <w:rPr>
          <w:rFonts w:eastAsia="Calibri"/>
          <w:noProof/>
          <w:szCs w:val="22"/>
          <w:lang w:eastAsia="en-US"/>
        </w:rPr>
        <w:tab/>
      </w:r>
      <w:r>
        <w:rPr>
          <w:rFonts w:eastAsia="Calibri"/>
          <w:noProof/>
          <w:szCs w:val="22"/>
          <w:lang w:eastAsia="en-US"/>
        </w:rPr>
        <w:t xml:space="preserve">pre Cyprus, </w:t>
      </w:r>
    </w:p>
    <w:p w:rsidR="006C6719" w:rsidRDefault="00614864">
      <w:pPr>
        <w:widowControl/>
        <w:spacing w:before="120" w:after="120"/>
        <w:ind w:left="1417"/>
        <w:jc w:val="both"/>
        <w:rPr>
          <w:rFonts w:eastAsia="Calibri"/>
          <w:noProof/>
          <w:szCs w:val="22"/>
          <w:lang w:eastAsia="en-US"/>
        </w:rPr>
      </w:pPr>
      <w:r>
        <w:rPr>
          <w:rFonts w:eastAsia="Calibri"/>
          <w:noProof/>
          <w:szCs w:val="22"/>
          <w:lang w:eastAsia="en-US"/>
        </w:rPr>
        <w:t>50</w:t>
      </w:r>
      <w:r>
        <w:rPr>
          <w:rFonts w:eastAsia="Calibri"/>
          <w:noProof/>
          <w:szCs w:val="22"/>
          <w:lang w:eastAsia="en-US"/>
        </w:rPr>
        <w:tab/>
        <w:t>pre Maltu;</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 xml:space="preserve">písmená DL, pričom pred nimi sa nachádza spojovník a za nimi nasledujú dve číslice označujúce poradové číslo pridelené tejto prílohe alebo poslednú významnú technickú zmenu tejto prílohy. Poradové číslo tejto prílohy je 00;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c)</w:t>
      </w:r>
      <w:r>
        <w:rPr>
          <w:rFonts w:eastAsia="Calibri"/>
          <w:noProof/>
          <w:szCs w:val="22"/>
          <w:lang w:eastAsia="en-US"/>
        </w:rPr>
        <w:tab/>
        <w:t>jedinečné identifikačné číslo typového schválenia EÚ pridelené členským štátom, ktorý ho vydal.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Príklad systému číslovania typového schválenia EÚ: e50-DL00 12345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Číslo schválenia sa uchováva na mikročipe v DG 1 v prípade každého vodičského preukazu </w:t>
      </w:r>
      <w:r>
        <w:rPr>
          <w:rFonts w:eastAsia="Calibri"/>
          <w:noProof/>
          <w:szCs w:val="22"/>
          <w:lang w:eastAsia="en-US"/>
        </w:rPr>
        <w:t>s takýmto mikročipom. </w:t>
      </w:r>
    </w:p>
    <w:p w:rsidR="006C6719" w:rsidRDefault="006C6719">
      <w:pPr>
        <w:widowControl/>
        <w:spacing w:before="120" w:after="120"/>
        <w:jc w:val="both"/>
        <w:rPr>
          <w:rFonts w:eastAsia="Calibri"/>
          <w:noProof/>
          <w:szCs w:val="22"/>
          <w:lang w:eastAsia="en-US"/>
        </w:rPr>
      </w:pPr>
    </w:p>
    <w:p w:rsidR="006C6719" w:rsidRDefault="00614864">
      <w:pPr>
        <w:widowControl/>
        <w:rPr>
          <w:rFonts w:eastAsia="Calibri"/>
          <w:b/>
          <w:noProof/>
          <w:szCs w:val="22"/>
          <w:lang w:eastAsia="en-US"/>
        </w:rPr>
      </w:pPr>
      <w:r>
        <w:rPr>
          <w:rFonts w:eastAsia="Calibri"/>
          <w:b/>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B4: Vzor osvedčenia o typovom schválení EÚ vodičských preukazov s mikročipom </w:t>
      </w:r>
    </w:p>
    <w:p w:rsidR="006C6719" w:rsidRDefault="00614864">
      <w:pPr>
        <w:widowControl/>
        <w:spacing w:before="120" w:after="120"/>
        <w:jc w:val="both"/>
        <w:rPr>
          <w:rFonts w:eastAsia="Calibri"/>
          <w:noProof/>
          <w:szCs w:val="22"/>
          <w:lang w:eastAsia="en-US"/>
        </w:rPr>
      </w:pPr>
      <w:r>
        <w:rPr>
          <w:rFonts w:eastAsia="Calibri"/>
          <w:noProof/>
          <w:szCs w:val="22"/>
          <w:lang w:eastAsia="en-US"/>
        </w:rPr>
        <w:t>Názov príslušného orgánu: … </w:t>
      </w:r>
    </w:p>
    <w:p w:rsidR="006C6719" w:rsidRDefault="00614864">
      <w:pPr>
        <w:widowControl/>
        <w:spacing w:before="120" w:after="120"/>
        <w:jc w:val="both"/>
        <w:rPr>
          <w:rFonts w:eastAsia="Calibri"/>
          <w:noProof/>
          <w:szCs w:val="22"/>
          <w:lang w:eastAsia="en-US"/>
        </w:rPr>
      </w:pPr>
      <w:r>
        <w:rPr>
          <w:rFonts w:eastAsia="Calibri"/>
          <w:noProof/>
          <w:szCs w:val="22"/>
          <w:lang w:eastAsia="en-US"/>
        </w:rPr>
        <w:t>Oznámenie sa týka (</w:t>
      </w:r>
      <w:hyperlink r:id="rId11" w:anchor="E0003" w:tgtFrame="_blank" w:history="1">
        <w:r>
          <w:rPr>
            <w:rFonts w:eastAsia="Calibri"/>
            <w:noProof/>
            <w:szCs w:val="22"/>
            <w:lang w:eastAsia="en-US"/>
          </w:rPr>
          <w:t>*</w:t>
        </w:r>
      </w:hyperlink>
      <w:r>
        <w:rPr>
          <w:rFonts w:eastAsia="Calibri"/>
          <w:noProof/>
          <w:szCs w:val="22"/>
          <w:lang w:eastAsia="en-US"/>
        </w:rPr>
        <w:t>): </w:t>
      </w:r>
    </w:p>
    <w:p w:rsidR="006C6719" w:rsidRDefault="00614864">
      <w:pPr>
        <w:widowControl/>
        <w:spacing w:before="120" w:after="120"/>
        <w:jc w:val="both"/>
        <w:rPr>
          <w:rFonts w:eastAsia="Calibri"/>
          <w:noProof/>
          <w:szCs w:val="22"/>
          <w:lang w:eastAsia="en-US"/>
        </w:rPr>
      </w:pPr>
      <w:r>
        <w:rPr>
          <w:rFonts w:eastAsia="Calibri"/>
          <w:noProof/>
          <w:szCs w:val="22"/>
          <w:lang w:eastAsia="en-US"/>
        </w:rPr>
        <w:t>– schválenia  </w:t>
      </w:r>
    </w:p>
    <w:p w:rsidR="006C6719" w:rsidRDefault="00614864">
      <w:pPr>
        <w:widowControl/>
        <w:spacing w:before="120" w:after="120"/>
        <w:jc w:val="both"/>
        <w:rPr>
          <w:rFonts w:eastAsia="Calibri"/>
          <w:noProof/>
          <w:szCs w:val="22"/>
          <w:lang w:eastAsia="en-US"/>
        </w:rPr>
      </w:pPr>
      <w:r>
        <w:rPr>
          <w:rFonts w:eastAsia="Calibri"/>
          <w:noProof/>
          <w:szCs w:val="22"/>
          <w:lang w:eastAsia="en-US"/>
        </w:rPr>
        <w:t>– odobratie schválenia  </w:t>
      </w:r>
    </w:p>
    <w:p w:rsidR="006C6719" w:rsidRDefault="00614864">
      <w:pPr>
        <w:widowControl/>
        <w:spacing w:before="120" w:after="120"/>
        <w:jc w:val="both"/>
        <w:rPr>
          <w:rFonts w:eastAsia="Calibri"/>
          <w:noProof/>
          <w:szCs w:val="22"/>
          <w:lang w:eastAsia="en-US"/>
        </w:rPr>
      </w:pPr>
      <w:r>
        <w:rPr>
          <w:rFonts w:eastAsia="Calibri"/>
          <w:noProof/>
          <w:szCs w:val="22"/>
          <w:lang w:eastAsia="en-US"/>
        </w:rPr>
        <w:t>vodičského preukazu EÚ s mikročipom </w:t>
      </w:r>
    </w:p>
    <w:p w:rsidR="006C6719" w:rsidRDefault="00614864">
      <w:pPr>
        <w:widowControl/>
        <w:spacing w:before="120" w:after="120"/>
        <w:jc w:val="both"/>
        <w:rPr>
          <w:rFonts w:eastAsia="Calibri"/>
          <w:noProof/>
          <w:szCs w:val="22"/>
          <w:lang w:eastAsia="en-US"/>
        </w:rPr>
      </w:pPr>
      <w:r>
        <w:rPr>
          <w:rFonts w:eastAsia="Calibri"/>
          <w:noProof/>
          <w:szCs w:val="22"/>
          <w:lang w:eastAsia="en-US"/>
        </w:rPr>
        <w:t>Schválenie č.: … </w:t>
      </w:r>
    </w:p>
    <w:p w:rsidR="006C6719" w:rsidRDefault="00614864">
      <w:pPr>
        <w:widowControl/>
        <w:spacing w:before="120" w:after="120"/>
        <w:jc w:val="both"/>
        <w:rPr>
          <w:rFonts w:eastAsia="Calibri"/>
          <w:noProof/>
          <w:szCs w:val="22"/>
          <w:lang w:eastAsia="en-US"/>
        </w:rPr>
      </w:pPr>
      <w:r>
        <w:rPr>
          <w:rFonts w:eastAsia="Calibri"/>
          <w:noProof/>
          <w:szCs w:val="22"/>
          <w:lang w:eastAsia="en-US"/>
        </w:rPr>
        <w:t>1. Výrobná alebo obchodná značka: … </w:t>
      </w:r>
    </w:p>
    <w:p w:rsidR="006C6719" w:rsidRDefault="00614864">
      <w:pPr>
        <w:widowControl/>
        <w:spacing w:before="120" w:after="120"/>
        <w:jc w:val="both"/>
        <w:rPr>
          <w:rFonts w:eastAsia="Calibri"/>
          <w:noProof/>
          <w:szCs w:val="22"/>
          <w:lang w:eastAsia="en-US"/>
        </w:rPr>
      </w:pPr>
      <w:r>
        <w:rPr>
          <w:rFonts w:eastAsia="Calibri"/>
          <w:noProof/>
          <w:szCs w:val="22"/>
          <w:lang w:eastAsia="en-US"/>
        </w:rPr>
        <w:t>2. Model: … </w:t>
      </w:r>
    </w:p>
    <w:p w:rsidR="006C6719" w:rsidRDefault="00614864">
      <w:pPr>
        <w:widowControl/>
        <w:spacing w:before="120" w:after="120"/>
        <w:jc w:val="both"/>
        <w:rPr>
          <w:rFonts w:eastAsia="Calibri"/>
          <w:noProof/>
          <w:szCs w:val="22"/>
          <w:lang w:eastAsia="en-US"/>
        </w:rPr>
      </w:pPr>
      <w:r>
        <w:rPr>
          <w:rFonts w:eastAsia="Calibri"/>
          <w:noProof/>
          <w:szCs w:val="22"/>
          <w:lang w:eastAsia="en-US"/>
        </w:rPr>
        <w:t>3. Meno výrobcu, prípadne jeho zástupcu: … </w:t>
      </w:r>
    </w:p>
    <w:p w:rsidR="006C6719" w:rsidRDefault="00614864">
      <w:pPr>
        <w:widowControl/>
        <w:spacing w:before="120" w:after="120"/>
        <w:jc w:val="both"/>
        <w:rPr>
          <w:rFonts w:eastAsia="Calibri"/>
          <w:noProof/>
          <w:szCs w:val="22"/>
          <w:lang w:eastAsia="en-US"/>
        </w:rPr>
      </w:pPr>
      <w:r>
        <w:rPr>
          <w:rFonts w:eastAsia="Calibri"/>
          <w:noProof/>
          <w:szCs w:val="22"/>
          <w:lang w:eastAsia="en-US"/>
        </w:rPr>
        <w:t>… </w:t>
      </w:r>
    </w:p>
    <w:p w:rsidR="006C6719" w:rsidRDefault="00614864">
      <w:pPr>
        <w:widowControl/>
        <w:spacing w:before="120" w:after="120"/>
        <w:jc w:val="both"/>
        <w:rPr>
          <w:rFonts w:eastAsia="Calibri"/>
          <w:noProof/>
          <w:szCs w:val="22"/>
          <w:lang w:eastAsia="en-US"/>
        </w:rPr>
      </w:pPr>
      <w:r>
        <w:rPr>
          <w:rFonts w:eastAsia="Calibri"/>
          <w:noProof/>
          <w:szCs w:val="22"/>
          <w:lang w:eastAsia="en-US"/>
        </w:rPr>
        <w:t>4. Adresa výrobcu, prípadn</w:t>
      </w:r>
      <w:r>
        <w:rPr>
          <w:rFonts w:eastAsia="Calibri"/>
          <w:noProof/>
          <w:szCs w:val="22"/>
          <w:lang w:eastAsia="en-US"/>
        </w:rPr>
        <w:t>e jeho zástupcu: … </w:t>
      </w:r>
    </w:p>
    <w:p w:rsidR="006C6719" w:rsidRDefault="00614864">
      <w:pPr>
        <w:widowControl/>
        <w:spacing w:before="120" w:after="120"/>
        <w:jc w:val="both"/>
        <w:rPr>
          <w:rFonts w:eastAsia="Calibri"/>
          <w:noProof/>
          <w:szCs w:val="22"/>
          <w:lang w:eastAsia="en-US"/>
        </w:rPr>
      </w:pPr>
      <w:r>
        <w:rPr>
          <w:rFonts w:eastAsia="Calibri"/>
          <w:noProof/>
          <w:szCs w:val="22"/>
          <w:lang w:eastAsia="en-US"/>
        </w:rPr>
        <w:t>… </w:t>
      </w:r>
    </w:p>
    <w:p w:rsidR="006C6719" w:rsidRDefault="00614864">
      <w:pPr>
        <w:widowControl/>
        <w:spacing w:before="120" w:after="120"/>
        <w:jc w:val="both"/>
        <w:rPr>
          <w:rFonts w:eastAsia="Calibri"/>
          <w:noProof/>
          <w:szCs w:val="22"/>
          <w:lang w:eastAsia="en-US"/>
        </w:rPr>
      </w:pPr>
      <w:r>
        <w:rPr>
          <w:rFonts w:eastAsia="Calibri"/>
          <w:noProof/>
          <w:szCs w:val="22"/>
          <w:lang w:eastAsia="en-US"/>
        </w:rPr>
        <w:t>5. Správy o laboratórnych skúškach: </w:t>
      </w:r>
    </w:p>
    <w:p w:rsidR="006C6719" w:rsidRDefault="00614864">
      <w:pPr>
        <w:widowControl/>
        <w:spacing w:before="120" w:after="120"/>
        <w:jc w:val="both"/>
        <w:rPr>
          <w:rFonts w:eastAsia="Calibri"/>
          <w:noProof/>
          <w:szCs w:val="22"/>
          <w:lang w:eastAsia="en-US"/>
        </w:rPr>
      </w:pPr>
      <w:r>
        <w:rPr>
          <w:rFonts w:eastAsia="Calibri"/>
          <w:noProof/>
          <w:szCs w:val="22"/>
          <w:lang w:eastAsia="en-US"/>
        </w:rPr>
        <w:t>5.1. Číslo bezpečnostného osvedčenia: … Dátum: … </w:t>
      </w:r>
    </w:p>
    <w:p w:rsidR="006C6719" w:rsidRDefault="00614864">
      <w:pPr>
        <w:widowControl/>
        <w:spacing w:before="120" w:after="120"/>
        <w:jc w:val="both"/>
        <w:rPr>
          <w:rFonts w:eastAsia="Calibri"/>
          <w:noProof/>
          <w:szCs w:val="22"/>
          <w:lang w:eastAsia="en-US"/>
        </w:rPr>
      </w:pPr>
      <w:r>
        <w:rPr>
          <w:rFonts w:eastAsia="Calibri"/>
          <w:noProof/>
          <w:szCs w:val="22"/>
          <w:lang w:eastAsia="en-US"/>
        </w:rPr>
        <w:t>Vydal: … </w:t>
      </w:r>
    </w:p>
    <w:p w:rsidR="006C6719" w:rsidRDefault="00614864">
      <w:pPr>
        <w:widowControl/>
        <w:spacing w:before="120" w:after="120"/>
        <w:jc w:val="both"/>
        <w:rPr>
          <w:rFonts w:eastAsia="Calibri"/>
          <w:noProof/>
          <w:szCs w:val="22"/>
          <w:lang w:eastAsia="en-US"/>
        </w:rPr>
      </w:pPr>
      <w:r>
        <w:rPr>
          <w:rFonts w:eastAsia="Calibri"/>
          <w:noProof/>
          <w:szCs w:val="22"/>
          <w:lang w:eastAsia="en-US"/>
        </w:rPr>
        <w:t>5.2. Číslo funkčného osvedčenia: … Dátum: … </w:t>
      </w:r>
    </w:p>
    <w:p w:rsidR="006C6719" w:rsidRDefault="00614864">
      <w:pPr>
        <w:widowControl/>
        <w:spacing w:before="120" w:after="120"/>
        <w:jc w:val="both"/>
        <w:rPr>
          <w:rFonts w:eastAsia="Calibri"/>
          <w:noProof/>
          <w:szCs w:val="22"/>
          <w:lang w:eastAsia="en-US"/>
        </w:rPr>
      </w:pPr>
      <w:r>
        <w:rPr>
          <w:rFonts w:eastAsia="Calibri"/>
          <w:noProof/>
          <w:szCs w:val="22"/>
          <w:lang w:eastAsia="en-US"/>
        </w:rPr>
        <w:t>Vydal: … </w:t>
      </w:r>
    </w:p>
    <w:p w:rsidR="006C6719" w:rsidRDefault="00614864">
      <w:pPr>
        <w:widowControl/>
        <w:spacing w:before="120" w:after="120"/>
        <w:jc w:val="both"/>
        <w:rPr>
          <w:rFonts w:eastAsia="Calibri"/>
          <w:noProof/>
          <w:szCs w:val="22"/>
          <w:lang w:eastAsia="en-US"/>
        </w:rPr>
      </w:pPr>
      <w:r>
        <w:rPr>
          <w:rFonts w:eastAsia="Calibri"/>
          <w:noProof/>
          <w:szCs w:val="22"/>
          <w:lang w:eastAsia="en-US"/>
        </w:rPr>
        <w:t>6. Dátum schválenia: … </w:t>
      </w:r>
    </w:p>
    <w:p w:rsidR="006C6719" w:rsidRDefault="00614864">
      <w:pPr>
        <w:widowControl/>
        <w:spacing w:before="120" w:after="120"/>
        <w:jc w:val="both"/>
        <w:rPr>
          <w:rFonts w:eastAsia="Calibri"/>
          <w:noProof/>
          <w:szCs w:val="22"/>
          <w:lang w:eastAsia="en-US"/>
        </w:rPr>
      </w:pPr>
      <w:r>
        <w:rPr>
          <w:rFonts w:eastAsia="Calibri"/>
          <w:noProof/>
          <w:szCs w:val="22"/>
          <w:lang w:eastAsia="en-US"/>
        </w:rPr>
        <w:t>7. Dátum odobratia schválenia: … </w:t>
      </w:r>
    </w:p>
    <w:p w:rsidR="006C6719" w:rsidRDefault="00614864">
      <w:pPr>
        <w:widowControl/>
        <w:spacing w:before="120" w:after="120"/>
        <w:jc w:val="both"/>
        <w:rPr>
          <w:rFonts w:eastAsia="Calibri"/>
          <w:noProof/>
          <w:szCs w:val="22"/>
          <w:lang w:eastAsia="en-US"/>
        </w:rPr>
      </w:pPr>
      <w:r>
        <w:rPr>
          <w:rFonts w:eastAsia="Calibri"/>
          <w:noProof/>
          <w:szCs w:val="22"/>
          <w:lang w:eastAsia="en-US"/>
        </w:rPr>
        <w:t>8. Miesto: … </w:t>
      </w:r>
    </w:p>
    <w:p w:rsidR="006C6719" w:rsidRDefault="00614864">
      <w:pPr>
        <w:widowControl/>
        <w:spacing w:before="120" w:after="120"/>
        <w:jc w:val="both"/>
        <w:rPr>
          <w:rFonts w:eastAsia="Calibri"/>
          <w:noProof/>
          <w:szCs w:val="22"/>
          <w:lang w:eastAsia="en-US"/>
        </w:rPr>
      </w:pPr>
      <w:r>
        <w:rPr>
          <w:rFonts w:eastAsia="Calibri"/>
          <w:noProof/>
          <w:szCs w:val="22"/>
          <w:lang w:eastAsia="en-US"/>
        </w:rPr>
        <w:t>9. Dátum:</w:t>
      </w:r>
      <w:r>
        <w:rPr>
          <w:rFonts w:eastAsia="Calibri"/>
          <w:noProof/>
          <w:szCs w:val="22"/>
          <w:lang w:eastAsia="en-US"/>
        </w:rPr>
        <w:t xml:space="preserve"> … </w:t>
      </w:r>
    </w:p>
    <w:p w:rsidR="006C6719" w:rsidRDefault="00614864">
      <w:pPr>
        <w:widowControl/>
        <w:spacing w:before="120" w:after="120"/>
        <w:jc w:val="both"/>
        <w:rPr>
          <w:rFonts w:eastAsia="Calibri"/>
          <w:noProof/>
          <w:szCs w:val="22"/>
          <w:lang w:eastAsia="en-US"/>
        </w:rPr>
      </w:pPr>
      <w:r>
        <w:rPr>
          <w:rFonts w:eastAsia="Calibri"/>
          <w:noProof/>
          <w:szCs w:val="22"/>
          <w:lang w:eastAsia="en-US"/>
        </w:rPr>
        <w:t>10. Prílohy (opisné dokumenty): … </w:t>
      </w:r>
    </w:p>
    <w:p w:rsidR="006C6719" w:rsidRDefault="00614864">
      <w:pPr>
        <w:widowControl/>
        <w:spacing w:before="120" w:after="120"/>
        <w:jc w:val="both"/>
        <w:rPr>
          <w:rFonts w:eastAsia="Calibri"/>
          <w:noProof/>
          <w:szCs w:val="22"/>
          <w:lang w:eastAsia="en-US"/>
        </w:rPr>
      </w:pPr>
      <w:r>
        <w:rPr>
          <w:rFonts w:eastAsia="Calibri"/>
          <w:noProof/>
          <w:szCs w:val="22"/>
          <w:lang w:eastAsia="en-US"/>
        </w:rPr>
        <w:t>11. Podpis: … </w:t>
      </w:r>
    </w:p>
    <w:p w:rsidR="006C6719" w:rsidRDefault="00614864">
      <w:pPr>
        <w:widowControl/>
        <w:spacing w:before="120" w:after="120"/>
        <w:jc w:val="both"/>
        <w:rPr>
          <w:rFonts w:eastAsia="Calibri"/>
          <w:noProof/>
          <w:szCs w:val="22"/>
          <w:lang w:eastAsia="en-US"/>
        </w:rPr>
      </w:pPr>
      <w:r>
        <w:rPr>
          <w:rFonts w:eastAsia="Calibri"/>
          <w:noProof/>
          <w:szCs w:val="22"/>
          <w:lang w:eastAsia="en-US"/>
        </w:rPr>
        <w:t xml:space="preserve"> </w:t>
      </w:r>
    </w:p>
    <w:p w:rsidR="006C6719" w:rsidRDefault="00614864">
      <w:pPr>
        <w:widowControl/>
        <w:spacing w:before="120" w:after="120"/>
        <w:jc w:val="both"/>
        <w:rPr>
          <w:rFonts w:eastAsia="Calibri"/>
          <w:noProof/>
          <w:szCs w:val="22"/>
          <w:lang w:eastAsia="en-US"/>
        </w:rPr>
      </w:pPr>
      <w:r>
        <w:rPr>
          <w:rFonts w:eastAsia="Calibri"/>
          <w:noProof/>
          <w:szCs w:val="22"/>
          <w:lang w:eastAsia="en-US"/>
        </w:rPr>
        <w:t>(*) Začiarknite príslušný rámček. </w:t>
      </w:r>
    </w:p>
    <w:p w:rsidR="006C6719" w:rsidRDefault="00614864">
      <w:pPr>
        <w:widowControl/>
        <w:spacing w:after="200" w:line="276" w:lineRule="auto"/>
        <w:rPr>
          <w:rFonts w:eastAsia="Calibri"/>
          <w:b/>
          <w:noProof/>
          <w:szCs w:val="22"/>
          <w:lang w:eastAsia="en-US"/>
        </w:rPr>
      </w:pPr>
      <w:r>
        <w:rPr>
          <w:rFonts w:eastAsia="Calibri"/>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C: ŠPECIFIKÁCIE PRE MOBILNÝ VODIČSKÝ PREUKAZ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Aplikácie pre mobilné vodičské preukazy sú k dispozícii pre najbežnejšie mobilné operačné systémy </w:t>
      </w:r>
      <w:r>
        <w:rPr>
          <w:rFonts w:eastAsia="Calibri"/>
          <w:noProof/>
          <w:szCs w:val="22"/>
          <w:lang w:eastAsia="en-US"/>
        </w:rPr>
        <w:t>a oprávneným osobám poskytujú minimálne tieto funkcie:</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a)</w:t>
      </w:r>
      <w:r>
        <w:rPr>
          <w:rFonts w:eastAsia="Calibri"/>
          <w:noProof/>
          <w:szCs w:val="22"/>
          <w:lang w:eastAsia="en-US"/>
        </w:rPr>
        <w:tab/>
        <w:t xml:space="preserve">získavanie a ukladanie údajov alebo ukazovateľa na preukázanie vodičských oprávnení osoby; </w:t>
      </w:r>
    </w:p>
    <w:p w:rsidR="006C6719" w:rsidRDefault="00614864">
      <w:pPr>
        <w:widowControl/>
        <w:spacing w:before="120" w:after="120"/>
        <w:ind w:left="1417" w:hanging="567"/>
        <w:jc w:val="both"/>
        <w:rPr>
          <w:rFonts w:eastAsia="Calibri"/>
          <w:noProof/>
          <w:szCs w:val="22"/>
          <w:lang w:eastAsia="en-US"/>
        </w:rPr>
      </w:pPr>
      <w:r>
        <w:rPr>
          <w:rFonts w:eastAsia="Calibri"/>
          <w:noProof/>
          <w:szCs w:val="22"/>
          <w:lang w:eastAsia="en-US"/>
        </w:rPr>
        <w:t>b)</w:t>
      </w:r>
      <w:r>
        <w:rPr>
          <w:rFonts w:eastAsia="Calibri"/>
          <w:noProof/>
          <w:szCs w:val="22"/>
          <w:lang w:eastAsia="en-US"/>
        </w:rPr>
        <w:tab/>
        <w:t>zobrazenie a prenos týchto údajov alebo ukazovateľa.</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2.</w:t>
      </w:r>
      <w:r>
        <w:rPr>
          <w:rFonts w:eastAsia="Calibri"/>
          <w:noProof/>
          <w:szCs w:val="22"/>
          <w:lang w:eastAsia="en-US"/>
        </w:rPr>
        <w:tab/>
        <w:t>Aplikácia a ďalšie príslušné systémy sú v súlad</w:t>
      </w:r>
      <w:r>
        <w:rPr>
          <w:rFonts w:eastAsia="Calibri"/>
          <w:noProof/>
          <w:szCs w:val="22"/>
          <w:lang w:eastAsia="en-US"/>
        </w:rPr>
        <w:t xml:space="preserve">e s normou ISO/IEC 18013-5 týkajúcou sa mobilných vodičských preukazov a s nariadením (EÚ) 910/2014.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3.</w:t>
      </w:r>
      <w:r>
        <w:rPr>
          <w:rFonts w:eastAsia="Calibri"/>
          <w:noProof/>
          <w:szCs w:val="22"/>
          <w:lang w:eastAsia="en-US"/>
        </w:rPr>
        <w:tab/>
        <w:t>Na účely tejto prílohy sa držiteľ mobilného vodičského preukazu vydaného v súlade s touto smernicou považuje za oprávneného používateľa len vtedy, ak j</w:t>
      </w:r>
      <w:r>
        <w:rPr>
          <w:rFonts w:eastAsia="Calibri"/>
          <w:noProof/>
          <w:szCs w:val="22"/>
          <w:lang w:eastAsia="en-US"/>
        </w:rPr>
        <w:t>e takto identifikovaný. Primárnym spôsobom identifikácie je elektronická identifikácia. Na účely elektronickej identifikácie takýchto osôb musia byť akceptované prinajmenšom všetky prostriedky elektronickej identifikácie uvedené v nariadení (EÚ) 910/2014.</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4.</w:t>
      </w:r>
      <w:r>
        <w:rPr>
          <w:rFonts w:eastAsia="Calibri"/>
          <w:noProof/>
          <w:szCs w:val="22"/>
          <w:lang w:eastAsia="en-US"/>
        </w:rPr>
        <w:tab/>
        <w:t>Relevantným vnútroštátnym systémom je príslušný register vodičských preukazov členského štátu, v ktorom si držiteľ vodičského preukazu zriadil svoje obvyklé bydlisko.</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5.</w:t>
      </w:r>
      <w:r>
        <w:rPr>
          <w:rFonts w:eastAsia="Calibri"/>
          <w:noProof/>
          <w:szCs w:val="22"/>
          <w:lang w:eastAsia="en-US"/>
        </w:rPr>
        <w:tab/>
        <w:t>Aplikácia držiteľovi vodičského preukazu umožňuje získať z relevantného vnútroštá</w:t>
      </w:r>
      <w:r>
        <w:rPr>
          <w:rFonts w:eastAsia="Calibri"/>
          <w:noProof/>
          <w:szCs w:val="22"/>
          <w:lang w:eastAsia="en-US"/>
        </w:rPr>
        <w:t>tneho systému overiteľné údaje obsahujúce informácie uvedené v časti D a jednorazový token. Ak časť informácií uvedených v časti D nie je vo vnútroštátnom systéme dostupná, držiteľ vodičského preukazu môže svoje chýbajúce prvky údajov získať inými bezpečný</w:t>
      </w:r>
      <w:r>
        <w:rPr>
          <w:rFonts w:eastAsia="Calibri"/>
          <w:noProof/>
          <w:szCs w:val="22"/>
          <w:lang w:eastAsia="en-US"/>
        </w:rPr>
        <w:t xml:space="preserve">mi spôsobmi (napríklad fotografiu držiteľa z jeho biometrického pasu pomocou komunikácie na krátku vzdialenosť).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Pomocou aplikácie možno automaticky alebo manuálne aktualizovať overiteľné údaje (údaje, ktoré vodičský preukaz obsahuje, o držiteľovi podľa č</w:t>
      </w:r>
      <w:r>
        <w:rPr>
          <w:rFonts w:eastAsia="Calibri"/>
          <w:noProof/>
          <w:szCs w:val="22"/>
          <w:lang w:eastAsia="en-US"/>
        </w:rPr>
        <w:t>asti D) z relevantného vnútroštátneho systému členského štátu obvyklého bydliska. Aplikácia neumožňuje žiadne iné spôsoby úpravy získaných údajov.</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Pomocou aplikácie môže držiteľ vodičského preukazu zobraziť alebo preniesť všetky údaje obsiahnuté v mobilnom</w:t>
      </w:r>
      <w:r>
        <w:rPr>
          <w:rFonts w:eastAsia="Calibri"/>
          <w:noProof/>
          <w:szCs w:val="22"/>
          <w:lang w:eastAsia="en-US"/>
        </w:rPr>
        <w:t xml:space="preserve"> vodičskom preukaze alebo ich časť tretej strane. Príslušné orgány členských štátov sú oprávnené získať údaje obsiahnuté v mobilných vodičských preukazoch na účely zistenia vodičských oprávnení držiteľa vodičského preukazu (overenie).</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Aplikácia umožňuje dr</w:t>
      </w:r>
      <w:r>
        <w:rPr>
          <w:rFonts w:eastAsia="Calibri"/>
          <w:noProof/>
          <w:szCs w:val="22"/>
          <w:lang w:eastAsia="en-US"/>
        </w:rPr>
        <w:t>žiteľovi vodičského preukazu preniesť tretej strane jednorazový token získaný z vnútroštátneho systému. Tento token môže prijímajúca strana použiť na získanie informácií uvedených v časti D relevantného vnútroštátneho systému, ak má na to oprávnenie od prí</w:t>
      </w:r>
      <w:r>
        <w:rPr>
          <w:rFonts w:eastAsia="Calibri"/>
          <w:noProof/>
          <w:szCs w:val="22"/>
          <w:lang w:eastAsia="en-US"/>
        </w:rPr>
        <w:t>slušného členského štátu. Príslušné orgány členských štátov majú oprávnenie na prístup k vnútroštátnym systémom iných členských štátov. Členské štáty zaistia, aby sa po overení údajov držiteľa vodičského preukazu prenesené údaje neuchovali.</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lastRenderedPageBreak/>
        <w:t>Na základe in</w:t>
      </w:r>
      <w:r>
        <w:rPr>
          <w:rFonts w:eastAsia="Calibri"/>
          <w:noProof/>
          <w:szCs w:val="22"/>
          <w:lang w:eastAsia="en-US"/>
        </w:rPr>
        <w:t xml:space="preserve">formácií prenesených priamo z aplikácie alebo získaných pomocou jednorazového tokenu môžu príslušné orgány určiť vodičské oprávnenia držiteľa mobilného vodičského preukazu (overenie) vrátane akýchkoľvek obmedzení uplatniteľných v rámci Únie alebo na území </w:t>
      </w:r>
      <w:r>
        <w:rPr>
          <w:rFonts w:eastAsia="Calibri"/>
          <w:noProof/>
          <w:szCs w:val="22"/>
          <w:lang w:eastAsia="en-US"/>
        </w:rPr>
        <w:t>členského štátu. Členské štáty nepovažujú údaje za platné, ak boli získané viac než sedem dní pred časom overenia alebo ak je číslo vodičského preukazu uvedené v zozname zrušených vodičských preukazov spravovanom členským štátom, ktorý mobilný vodičský pre</w:t>
      </w:r>
      <w:r>
        <w:rPr>
          <w:rFonts w:eastAsia="Calibri"/>
          <w:noProof/>
          <w:szCs w:val="22"/>
          <w:lang w:eastAsia="en-US"/>
        </w:rPr>
        <w:t xml:space="preserve">ukaz vydal. Zoznam zrušených vodičských preukazov obsahuje informácie o všetkých vodičských preukazoch, na základe ktorých ich držitelia už nemajú oprávnenie viesť vozidlo.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6.</w:t>
      </w:r>
      <w:r>
        <w:rPr>
          <w:rFonts w:eastAsia="Calibri"/>
          <w:noProof/>
          <w:szCs w:val="22"/>
          <w:lang w:eastAsia="en-US"/>
        </w:rPr>
        <w:tab/>
        <w:t xml:space="preserve">Odchylne od nariadenia (EÚ) č. 910/2014 a výlučne na to, aby mal držiteľ </w:t>
      </w:r>
      <w:r>
        <w:rPr>
          <w:rFonts w:eastAsia="Calibri"/>
          <w:noProof/>
          <w:szCs w:val="22"/>
          <w:lang w:eastAsia="en-US"/>
        </w:rPr>
        <w:t>mobilného vodičského preukazu v takýchto situáciách možnosť dokázať, že má oprávnenie viesť vozidlo, zostávajú funkcie na zobrazenie a prenos údajov alebo jednorazového tokenu dostupné aj vtedy, ak sú identifikačné údaje osoby spojené s európskymi peňaženk</w:t>
      </w:r>
      <w:r>
        <w:rPr>
          <w:rFonts w:eastAsia="Calibri"/>
          <w:noProof/>
          <w:szCs w:val="22"/>
          <w:lang w:eastAsia="en-US"/>
        </w:rPr>
        <w:t>ami digitálnej identity neplatné, ako sa uvádza v článku 3 uvedeného nariadenia.</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7.</w:t>
      </w:r>
      <w:r>
        <w:rPr>
          <w:rFonts w:eastAsia="Calibri"/>
          <w:noProof/>
          <w:szCs w:val="22"/>
          <w:lang w:eastAsia="en-US"/>
        </w:rPr>
        <w:tab/>
        <w:t>Vnútroštátne systémy uložia alebo spracujú žiadosť zadanú na základe uvedeného jednorazového tokenu výlučne na účel uplatnenia ustanovenia tejto smernice. Na uvedený účel m</w:t>
      </w:r>
      <w:r>
        <w:rPr>
          <w:rFonts w:eastAsia="Calibri"/>
          <w:noProof/>
          <w:szCs w:val="22"/>
          <w:lang w:eastAsia="en-US"/>
        </w:rPr>
        <w:t>ožno použiť sieť vodičských preukazov EÚ uvedenú v článku 19.</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8.</w:t>
      </w:r>
      <w:r>
        <w:rPr>
          <w:rFonts w:eastAsia="Calibri"/>
          <w:noProof/>
          <w:szCs w:val="22"/>
          <w:lang w:eastAsia="en-US"/>
        </w:rPr>
        <w:tab/>
        <w:t>Držitelia mobilných vodičských preukazov majú možnosť obnoviť, nahradiť alebo vymeniť svoje vodičské preukazy v Únii pomocou aplikácie alebo špecializovaného portálu digitálnych služieb posky</w:t>
      </w:r>
      <w:r>
        <w:rPr>
          <w:rFonts w:eastAsia="Calibri"/>
          <w:noProof/>
          <w:szCs w:val="22"/>
          <w:lang w:eastAsia="en-US"/>
        </w:rPr>
        <w:t xml:space="preserve">tovaného členskými štátmi. </w:t>
      </w:r>
    </w:p>
    <w:p w:rsidR="006C6719" w:rsidRDefault="00614864">
      <w:pPr>
        <w:widowControl/>
        <w:spacing w:after="200" w:line="276" w:lineRule="auto"/>
        <w:rPr>
          <w:rFonts w:eastAsia="Calibri"/>
          <w:b/>
          <w:noProof/>
          <w:szCs w:val="22"/>
          <w:lang w:eastAsia="en-US"/>
        </w:rPr>
      </w:pPr>
      <w:r>
        <w:rPr>
          <w:rFonts w:eastAsia="Calibri"/>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D: ÚDAJE, KTORÉ SA MAJÚ ZAVIESŤ DO VODIČSKÉHO PREUKAZU EÚ </w:t>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t>1.</w:t>
      </w:r>
      <w:r>
        <w:rPr>
          <w:rFonts w:eastAsia="Calibri"/>
          <w:noProof/>
          <w:szCs w:val="22"/>
          <w:lang w:eastAsia="en-US"/>
        </w:rPr>
        <w:tab/>
        <w:t xml:space="preserve">Rozlišovacie znaky členských štátov vydávajúcich vodičský preukaz sa stanovujú takto: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B: Belgicko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BG: Bulharsko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CZ: Česká republika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DK: Dánsko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D: Nemecko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EST: Estónsko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GR: Grécko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E: Španielsko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F: Francúzsko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HR: Chorvátsko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IRL: Írsko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I: Taliansko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CY: Cyprus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LV: Lotyšsko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lastRenderedPageBreak/>
        <w:t>LT: Litva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L: Luxembursko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H: Maďarsko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M: Malta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NL: Holandsko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A: Rakúsko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PL: Poľsko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 Portugalsko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RO: Rumunsko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 xml:space="preserve">SLO: </w:t>
      </w:r>
      <w:r>
        <w:rPr>
          <w:rFonts w:eastAsia="Calibri"/>
          <w:noProof/>
          <w:szCs w:val="22"/>
          <w:lang w:eastAsia="en-US"/>
        </w:rPr>
        <w:t>Slovinsko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SK: Slovensko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FIN: Fínsko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S: Švédsko </w:t>
      </w:r>
    </w:p>
    <w:p w:rsidR="006C6719" w:rsidRDefault="006C6719">
      <w:pPr>
        <w:widowControl/>
        <w:spacing w:before="120" w:after="120"/>
        <w:ind w:left="850"/>
        <w:jc w:val="both"/>
        <w:rPr>
          <w:rFonts w:eastAsia="Calibri"/>
          <w:noProof/>
          <w:szCs w:val="22"/>
          <w:lang w:eastAsia="en-US"/>
        </w:rPr>
      </w:pP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Slová „vodičský preukaz“, ktoré sa majú na vodičský preukaz vytlačiť v jazyku (jazykoch) členských štátov, sa stanovujú takto: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Свидетелство за управление на МПС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Permiso de Conducción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Řidičský průk</w:t>
      </w:r>
      <w:r>
        <w:rPr>
          <w:rFonts w:eastAsia="Calibri"/>
          <w:noProof/>
          <w:szCs w:val="22"/>
          <w:lang w:eastAsia="en-US"/>
        </w:rPr>
        <w:t>az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Kørekort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Führerschein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Juhiluba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Άδεια Οδήγησης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Driving Licence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Permis de conduire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Ceadúas Tiomána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Vozačka dozvola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Patente di guida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Vadītāja apliecība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Vairuotojo pažymėjimas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Vezetői engedély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lastRenderedPageBreak/>
        <w:t>Liċenzja tas-Sewqan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Rijbewijs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Prawo Jazdy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Carta de Condução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Permis de conducere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Vodičský preukaz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Vozniško dovoljenje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Ajokortti </w:t>
      </w:r>
    </w:p>
    <w:p w:rsidR="006C6719" w:rsidRDefault="00614864">
      <w:pPr>
        <w:widowControl/>
        <w:spacing w:before="120" w:after="120"/>
        <w:ind w:left="850"/>
        <w:jc w:val="both"/>
        <w:rPr>
          <w:rFonts w:eastAsia="Calibri"/>
          <w:noProof/>
          <w:szCs w:val="22"/>
          <w:lang w:eastAsia="en-US"/>
        </w:rPr>
      </w:pPr>
      <w:r>
        <w:rPr>
          <w:rFonts w:eastAsia="Calibri"/>
          <w:noProof/>
          <w:szCs w:val="22"/>
          <w:lang w:eastAsia="en-US"/>
        </w:rPr>
        <w:t>Körkort. </w:t>
      </w:r>
    </w:p>
    <w:p w:rsidR="006C6719" w:rsidRDefault="006C6719">
      <w:pPr>
        <w:widowControl/>
        <w:spacing w:after="200" w:line="276" w:lineRule="auto"/>
        <w:rPr>
          <w:rFonts w:eastAsia="Calibri"/>
          <w:noProof/>
          <w:szCs w:val="22"/>
          <w:lang w:eastAsia="en-US"/>
        </w:rPr>
      </w:pP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t>Špecifické informácie týkajúce sa vydaného vodičského preukazu sa stanovujú takto: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Informácie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priezvisko držiteľa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ďalšie meno (mená) držiteľa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dátum a miesto narodenia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dátum vydania vodičského preukazu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dátum skončenia platnosti vodičského preukazu alebo pomlčka, ak má preukaz podľa ustanovenia článku 10 ods. 2 druhého pododseku neobmedzenú platnosť</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názov vydávajúceho orgánu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iné číslo, než je číslo uvedené pod poľom 5, na administratívne účely (nepovinne)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číslo vodičského preukazu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fotografia držiteľa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podpis držiteľa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miesto trvalého pobytu alebo poštová adresu (nepovinne)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skupina vozidla (vozidiel), ktoré je držiteľ oprávnený viesť (národné skupiny sú vytlačené iným typom písma ako harmonizované skupiny) </w:t>
            </w:r>
          </w:p>
        </w:tc>
      </w:tr>
    </w:tbl>
    <w:p w:rsidR="006C6719" w:rsidRDefault="006C6719">
      <w:pPr>
        <w:widowControl/>
        <w:spacing w:before="120" w:after="120"/>
        <w:textAlignment w:val="baseline"/>
        <w:rPr>
          <w:noProof/>
          <w:szCs w:val="24"/>
          <w:lang w:eastAsia="en-US"/>
        </w:rPr>
      </w:pP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t xml:space="preserve">Špecifické informácie týkajúce sa skupín vydaného </w:t>
      </w:r>
      <w:r>
        <w:rPr>
          <w:rFonts w:eastAsia="Calibri"/>
          <w:noProof/>
          <w:szCs w:val="22"/>
          <w:lang w:eastAsia="en-US"/>
        </w:rPr>
        <w:t>vodičského preukazu sa stanovujú takto: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Informácie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skupina vozidla (vozidiel), ktoré je držiteľ oprávnený viesť (národné skupiny sú vytlačené iným typom písma ako harmonizované skupiny)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 xml:space="preserve">dátum prvého vydania vodičského preukazu každej </w:t>
            </w:r>
            <w:r>
              <w:rPr>
                <w:noProof/>
                <w:color w:val="000000"/>
                <w:szCs w:val="24"/>
                <w:shd w:val="clear" w:color="auto" w:fill="FFFFFF"/>
                <w:lang w:eastAsia="en-US"/>
              </w:rPr>
              <w:t>skupiny (tento dátum sa musí v prípade následnej náhrady alebo výmeny znovu uviesť na novom vodičskom preukaze); každé pole v dátume tvoria dve číslice v tomto poradí: deň.mesiac.rok (DD.MM.RR)</w:t>
            </w:r>
            <w:r>
              <w:rPr>
                <w:noProof/>
                <w:color w:val="000000"/>
                <w:szCs w:val="24"/>
                <w:lang w:eastAsia="en-US"/>
              </w:rPr>
              <w:t xml:space="preserv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 xml:space="preserve">dátum skončenia platnosti vodičského preukazu každej </w:t>
            </w:r>
            <w:r>
              <w:rPr>
                <w:noProof/>
                <w:color w:val="000000"/>
                <w:szCs w:val="24"/>
                <w:shd w:val="clear" w:color="auto" w:fill="FFFFFF"/>
                <w:lang w:eastAsia="en-US"/>
              </w:rPr>
              <w:t>skupiny; každé pole v dátume tvoria dve číslice v tomto poradí: deň.mesiac.rok (DD.MM.RR)</w:t>
            </w:r>
            <w:r>
              <w:rPr>
                <w:noProof/>
                <w:color w:val="000000"/>
                <w:szCs w:val="24"/>
                <w:lang w:eastAsia="en-US"/>
              </w:rPr>
              <w:t xml:space="preserv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 xml:space="preserve">doplnkové informácie/obmedzenie (obmedzenia) vo forme kódu uvedené oproti príslušnej skupine, ako sa uvádza v časti E </w:t>
            </w:r>
          </w:p>
        </w:tc>
      </w:tr>
    </w:tbl>
    <w:p w:rsidR="006C6719" w:rsidRDefault="00614864">
      <w:pPr>
        <w:widowControl/>
        <w:spacing w:before="120" w:after="120"/>
        <w:textAlignment w:val="baseline"/>
        <w:rPr>
          <w:noProof/>
          <w:szCs w:val="24"/>
          <w:lang w:eastAsia="en-US"/>
        </w:rPr>
      </w:pPr>
      <w:r>
        <w:rPr>
          <w:noProof/>
          <w:szCs w:val="24"/>
          <w:lang w:eastAsia="en-US"/>
        </w:rPr>
        <w:t>Ak kód uvedený v časti E platí pre všet</w:t>
      </w:r>
      <w:r>
        <w:rPr>
          <w:noProof/>
          <w:szCs w:val="24"/>
          <w:lang w:eastAsia="en-US"/>
        </w:rPr>
        <w:t xml:space="preserve">ky skupiny, pre ktoré bol preukaz vydaný, môže byť vytlačený pod poľami 9, 10 a 11.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ind w:left="850" w:hanging="850"/>
        <w:jc w:val="both"/>
        <w:rPr>
          <w:rFonts w:eastAsia="Calibri"/>
          <w:noProof/>
          <w:szCs w:val="22"/>
          <w:lang w:eastAsia="en-US"/>
        </w:rPr>
      </w:pPr>
      <w:r>
        <w:rPr>
          <w:rFonts w:eastAsia="Calibri"/>
          <w:noProof/>
          <w:szCs w:val="22"/>
          <w:lang w:eastAsia="en-US"/>
        </w:rPr>
        <w:lastRenderedPageBreak/>
        <w:t>5.</w:t>
      </w:r>
      <w:r>
        <w:rPr>
          <w:rFonts w:eastAsia="Calibri"/>
          <w:noProof/>
          <w:szCs w:val="22"/>
          <w:lang w:eastAsia="en-US"/>
        </w:rPr>
        <w:tab/>
        <w:t>Špecifické informácie týkajúce sa správy vydaného vodičského preukazu sa stanovujú takto: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Informácie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 xml:space="preserve">možný záznam informácií hostiteľského členského </w:t>
            </w:r>
            <w:r>
              <w:rPr>
                <w:noProof/>
                <w:color w:val="000000"/>
                <w:szCs w:val="24"/>
                <w:shd w:val="clear" w:color="auto" w:fill="FFFFFF"/>
                <w:lang w:eastAsia="en-US"/>
              </w:rPr>
              <w:t>štátu, ktoré sú dôležité pre správu vodičského preukazu pri vykonávaní časti A1 ods. 4 písm. a);</w:t>
            </w:r>
            <w:r>
              <w:rPr>
                <w:noProof/>
                <w:color w:val="000000"/>
                <w:szCs w:val="24"/>
                <w:lang w:eastAsia="en-US"/>
              </w:rPr>
              <w:t xml:space="preserve"> </w:t>
            </w:r>
          </w:p>
        </w:tc>
      </w:tr>
      <w:tr w:rsidR="006C6719">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možný záznam informácií členského štátu, ktorý vydáva vodičský preukaz, dôležitých pre správu vodičského preukazu alebo týkajúcich sa bezpečnosti cestne</w:t>
            </w:r>
            <w:r>
              <w:rPr>
                <w:noProof/>
                <w:color w:val="000000"/>
                <w:szCs w:val="24"/>
                <w:shd w:val="clear" w:color="auto" w:fill="FFFFFF"/>
                <w:lang w:eastAsia="en-US"/>
              </w:rPr>
              <w:t>j premávky (nepovinne). Ak sa informácie týkajú jedného z nadpisov vymedzených v tejto prílohe, nasledujú za číslom príslušného poľa.</w:t>
            </w:r>
            <w:r>
              <w:rPr>
                <w:noProof/>
                <w:color w:val="000000"/>
                <w:szCs w:val="24"/>
                <w:lang w:eastAsia="en-US"/>
              </w:rPr>
              <w:t xml:space="preserve"> </w:t>
            </w:r>
          </w:p>
          <w:p w:rsidR="006C6719" w:rsidRDefault="00614864">
            <w:pPr>
              <w:widowControl/>
              <w:spacing w:before="120" w:after="120"/>
              <w:textAlignment w:val="baseline"/>
              <w:rPr>
                <w:noProof/>
                <w:szCs w:val="24"/>
                <w:lang w:eastAsia="en-US"/>
              </w:rPr>
            </w:pPr>
            <w:r>
              <w:rPr>
                <w:noProof/>
                <w:color w:val="000000"/>
                <w:szCs w:val="24"/>
                <w:shd w:val="clear" w:color="auto" w:fill="FFFFFF"/>
                <w:lang w:eastAsia="en-US"/>
              </w:rPr>
              <w:t xml:space="preserve">Na základe osobitného písomného súhlasu držiteľa sa na tomto mieste môžu doplniť aj informácie, ktoré sa netýkajú správy </w:t>
            </w:r>
            <w:r>
              <w:rPr>
                <w:noProof/>
                <w:color w:val="000000"/>
                <w:szCs w:val="24"/>
                <w:shd w:val="clear" w:color="auto" w:fill="FFFFFF"/>
                <w:lang w:eastAsia="en-US"/>
              </w:rPr>
              <w:t>vodičského preukazu alebo bezpečnosti cestnej premávky; takýto doplnok nesmie zmeniť žiadnym spôsobom použitie vzoru ako vodičského preukazu.</w:t>
            </w:r>
            <w:r>
              <w:rPr>
                <w:noProof/>
                <w:color w:val="000000"/>
                <w:szCs w:val="24"/>
                <w:lang w:eastAsia="en-US"/>
              </w:rPr>
              <w:t xml:space="preserve"> </w:t>
            </w:r>
          </w:p>
        </w:tc>
      </w:tr>
    </w:tbl>
    <w:p w:rsidR="006C6719" w:rsidRDefault="006C6719">
      <w:pPr>
        <w:widowControl/>
        <w:spacing w:before="120" w:after="120"/>
        <w:jc w:val="both"/>
        <w:rPr>
          <w:rFonts w:eastAsia="Calibri"/>
          <w:noProof/>
          <w:szCs w:val="22"/>
          <w:lang w:eastAsia="en-US"/>
        </w:rPr>
      </w:pPr>
    </w:p>
    <w:p w:rsidR="006C6719" w:rsidRDefault="00614864">
      <w:pPr>
        <w:widowControl/>
        <w:spacing w:after="200" w:line="276" w:lineRule="auto"/>
        <w:rPr>
          <w:rFonts w:eastAsia="Calibri"/>
          <w:b/>
          <w:noProof/>
          <w:szCs w:val="22"/>
          <w:lang w:eastAsia="en-US"/>
        </w:rPr>
      </w:pPr>
      <w:r>
        <w:rPr>
          <w:rFonts w:eastAsia="Calibri"/>
          <w:noProof/>
          <w:szCs w:val="22"/>
          <w:lang w:eastAsia="en-US"/>
        </w:rPr>
        <w:br w:type="page"/>
      </w:r>
    </w:p>
    <w:p w:rsidR="006C6719" w:rsidRDefault="00614864">
      <w:pPr>
        <w:widowControl/>
        <w:spacing w:after="360"/>
        <w:jc w:val="center"/>
        <w:rPr>
          <w:rFonts w:eastAsia="Calibri"/>
          <w:b/>
          <w:noProof/>
          <w:szCs w:val="22"/>
          <w:lang w:eastAsia="en-US"/>
        </w:rPr>
      </w:pPr>
      <w:r>
        <w:rPr>
          <w:rFonts w:eastAsia="Calibri"/>
          <w:b/>
          <w:noProof/>
          <w:szCs w:val="22"/>
          <w:lang w:eastAsia="en-US"/>
        </w:rPr>
        <w:lastRenderedPageBreak/>
        <w:t>ČASŤ E: KÓDY ÚNIE A NÁRODNÉ KÓDY </w:t>
      </w:r>
    </w:p>
    <w:p w:rsidR="006C6719" w:rsidRDefault="00614864">
      <w:pPr>
        <w:widowControl/>
        <w:spacing w:before="120" w:after="120"/>
        <w:jc w:val="both"/>
        <w:rPr>
          <w:rFonts w:eastAsia="Calibri"/>
          <w:noProof/>
          <w:szCs w:val="22"/>
          <w:lang w:eastAsia="en-US"/>
        </w:rPr>
      </w:pPr>
      <w:r>
        <w:rPr>
          <w:rFonts w:eastAsia="Calibri"/>
          <w:noProof/>
          <w:szCs w:val="22"/>
          <w:lang w:eastAsia="en-US"/>
        </w:rPr>
        <w:t>Kódy 01 až 99 sú harmonizované kódy Európskej únie </w:t>
      </w:r>
    </w:p>
    <w:p w:rsidR="006C6719" w:rsidRDefault="00614864">
      <w:pPr>
        <w:widowControl/>
        <w:spacing w:before="120" w:after="120"/>
        <w:jc w:val="both"/>
        <w:rPr>
          <w:rFonts w:eastAsia="Calibri"/>
          <w:i/>
          <w:noProof/>
          <w:szCs w:val="22"/>
          <w:lang w:eastAsia="en-US"/>
        </w:rPr>
      </w:pPr>
      <w:r>
        <w:rPr>
          <w:rFonts w:eastAsia="Calibri"/>
          <w:i/>
          <w:noProof/>
          <w:szCs w:val="22"/>
          <w:lang w:eastAsia="en-US"/>
        </w:rPr>
        <w:t>VODIČ (zdravotné dôvody</w:t>
      </w:r>
      <w:r>
        <w:rPr>
          <w:rFonts w:eastAsia="Calibri"/>
          <w:i/>
          <w:noProof/>
          <w:szCs w:val="22"/>
          <w:lang w:eastAsia="en-US"/>
        </w:rPr>
        <w:t>)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Korekcia a/alebo ochrana zraku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Okuliare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Kontaktná šošovka (šošovky)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Ochrana očí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Okuliare alebo kontaktné šošovky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Špecifická optická pomôcka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Sluchová pomôcka/komunikačná pomôcka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Protéza/ortéza končatín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Protéza/ortéza hornej končatiny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Protéza/ortéza dolnej končatiny </w:t>
            </w:r>
          </w:p>
        </w:tc>
      </w:tr>
    </w:tbl>
    <w:p w:rsidR="006C6719" w:rsidRDefault="006C6719">
      <w:pPr>
        <w:widowControl/>
        <w:spacing w:before="120" w:after="120"/>
        <w:jc w:val="both"/>
        <w:rPr>
          <w:rFonts w:eastAsia="Calibri"/>
          <w:noProof/>
          <w:szCs w:val="22"/>
          <w:lang w:eastAsia="en-US"/>
        </w:rPr>
      </w:pPr>
    </w:p>
    <w:p w:rsidR="006C6719" w:rsidRDefault="00614864">
      <w:pPr>
        <w:widowControl/>
        <w:rPr>
          <w:rFonts w:eastAsia="Calibri"/>
          <w:i/>
          <w:noProof/>
          <w:szCs w:val="22"/>
          <w:lang w:eastAsia="en-US"/>
        </w:rPr>
      </w:pPr>
      <w:r>
        <w:rPr>
          <w:rFonts w:eastAsia="Calibri"/>
          <w:i/>
          <w:noProof/>
          <w:szCs w:val="22"/>
          <w:lang w:eastAsia="en-US"/>
        </w:rPr>
        <w:br w:type="page"/>
      </w:r>
    </w:p>
    <w:p w:rsidR="006C6719" w:rsidRDefault="00614864">
      <w:pPr>
        <w:widowControl/>
        <w:spacing w:before="120" w:after="120"/>
        <w:jc w:val="both"/>
        <w:rPr>
          <w:rFonts w:eastAsia="Calibri"/>
          <w:i/>
          <w:noProof/>
          <w:szCs w:val="22"/>
          <w:lang w:eastAsia="en-US"/>
        </w:rPr>
      </w:pPr>
      <w:r>
        <w:rPr>
          <w:rFonts w:eastAsia="Calibri"/>
          <w:i/>
          <w:noProof/>
          <w:szCs w:val="22"/>
          <w:lang w:eastAsia="en-US"/>
        </w:rPr>
        <w:lastRenderedPageBreak/>
        <w:t>ÚPRAVY VOZIDLA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Modifikované radenie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Automatická voľba prevodového pomeru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Upravený ovládač prevodu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Modifikovaná spojka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Upravený spojkový pedál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Ručne ovládaná spojka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Automatická spojka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Opatrenie proti zablokovaniu alebo aktivácii spojkového pedálu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Modifikované brzdové systémy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Upravený brzdový pedál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Brzdový pedál vhodný na používanie ľavou nohou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Posuvný brzdový pedál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Sklápací brzdový pedál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Ručne ovládaná brzda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Ovládanie brzdy </w:t>
            </w:r>
            <w:r>
              <w:rPr>
                <w:noProof/>
                <w:szCs w:val="24"/>
                <w:lang w:eastAsia="en-US"/>
              </w:rPr>
              <w:t>maximálnou silou … N</w:t>
            </w:r>
            <w:bookmarkStart w:id="9" w:name="_Ref121904344"/>
            <w:r>
              <w:rPr>
                <w:noProof/>
                <w:szCs w:val="24"/>
                <w:vertAlign w:val="superscript"/>
                <w:lang w:eastAsia="en-US"/>
              </w:rPr>
              <w:footnoteReference w:id="24"/>
            </w:r>
            <w:bookmarkEnd w:id="9"/>
            <w:r>
              <w:rPr>
                <w:noProof/>
                <w:szCs w:val="24"/>
                <w:lang w:eastAsia="en-US"/>
              </w:rPr>
              <w:t xml:space="preserve"> [napríklad: „20.07(300N)“]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Upravená parkovacia brzda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Opatrenie proti zablokovaniu alebo aktivácii brzdového pedálu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Brzda ovládaná kolenom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Ovládanie brzdového systému s podporou vonkajšej sily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Modifikované akcelerátorové systémy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Upravený pedál akcelerátora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Sklápací pedál akcelerátora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Ručne ovládaný akcelerátor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Akcelerátor ovládaný kolenom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Ovládanie akcelerátora s podporou vonkajšej sily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Pedál akcelerátora vľavo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Opatrenie proti zablokovaniu alebo aktivácii pedálu akcelerátora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Úpravy a zabezpečenie pedálov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Ďalší súbor paralelných pedálov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Pedále na rovnakej alebo takmer rovnakej úrovni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Opatrenie proti zablokovaniu alebo aktivácii pedála akcelerátora a brzdových pedálov, ak nie sú ovládané nohou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Zvýšená podlaha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Kombinované systémy prevádzkovej brzdy a akcelerátora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Akcelerátor a prevádzková brzda ako kombinovaný systém ovládaný jednou rukou </w:t>
            </w:r>
          </w:p>
        </w:tc>
      </w:tr>
    </w:tbl>
    <w:p w:rsidR="006C6719" w:rsidRDefault="006C6719">
      <w:pPr>
        <w:keepNext/>
        <w:widowControl/>
        <w:spacing w:before="120" w:after="120"/>
        <w:textAlignment w:val="baseline"/>
        <w:rPr>
          <w:noProof/>
          <w:szCs w:val="24"/>
          <w:lang w:eastAsia="en-US"/>
        </w:rPr>
        <w:sectPr w:rsidR="006C6719">
          <w:footerReference w:type="default" r:id="rId12"/>
          <w:footerReference w:type="first" r:id="rId13"/>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textAlignment w:val="baseline"/>
              <w:rPr>
                <w:noProof/>
                <w:szCs w:val="24"/>
                <w:lang w:eastAsia="en-US"/>
              </w:rPr>
            </w:pPr>
            <w:r>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jc w:val="right"/>
              <w:textAlignment w:val="baseline"/>
              <w:rPr>
                <w:noProof/>
                <w:szCs w:val="24"/>
                <w:lang w:eastAsia="en-US"/>
              </w:rPr>
            </w:pPr>
            <w:r>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jc w:val="both"/>
              <w:textAlignment w:val="baseline"/>
              <w:rPr>
                <w:noProof/>
                <w:szCs w:val="24"/>
                <w:lang w:eastAsia="en-US"/>
              </w:rPr>
            </w:pPr>
            <w:r>
              <w:rPr>
                <w:noProof/>
                <w:szCs w:val="24"/>
                <w:lang w:eastAsia="en-US"/>
              </w:rPr>
              <w:t xml:space="preserve">Akcelerátor a prevádzková brzda ako kombinovaný systém ovládaný vonkajšou silou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Kombinované systémy prevádzkovej brzdy, akcelerátora a riadenia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Akcelerátor, prevádzková brzda a riadenie ako kombinovaný systém ovládaný vonkajšou silou jednou rukou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Akcelerátor, prevádzková brzda a riadenie ako kombinovaný systém ovládaný vonkajšou silou oboma rukami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Modifikované usporiadanie ovládačov (spínače svetiel, stierače/ostrekovače predného okna, klaksón, smerové svetlá atď.)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Ovládacie zariadenia ovládateľné bez toho, aby vodič pustil riadenie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Ovládacie zariadenia ovládateľné ľavou rukou bez toho, aby vodič pustil riadenie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Ovládacie zariadenia ovládateľné pravou rukou bez toho, aby vodič pustil riadenie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Ovládacie zariadenia ovládateľné bez toho, aby vodič pustil riadenie,</w:t>
            </w:r>
            <w:r>
              <w:rPr>
                <w:noProof/>
                <w:szCs w:val="24"/>
                <w:lang w:eastAsia="en-US"/>
              </w:rPr>
              <w:t xml:space="preserve"> mechanizmy akcelerátora a bŕzd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Modifikovaný mechanizmus riadenia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Riadenie s maximálnou ovládacou silou … N</w:t>
            </w:r>
            <w:r>
              <w:rPr>
                <w:noProof/>
                <w:szCs w:val="24"/>
                <w:vertAlign w:val="superscript"/>
                <w:lang w:eastAsia="en-US"/>
              </w:rPr>
              <w:footnoteReference w:id="25"/>
            </w:r>
            <w:r>
              <w:rPr>
                <w:noProof/>
                <w:szCs w:val="24"/>
                <w:lang w:eastAsia="en-US"/>
              </w:rPr>
              <w:t xml:space="preserve"> [napríklad „40.01 (140N)“]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Upravený volant (rozšírená/hrubšia časť volantu, zmenšený priemer atď.)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Upravené umiestnenie volantu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Nožné riadenie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Pomocné zariadenie na volante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Alternatívny upravený systém riadenia ovládaný jednou rukou/ramenom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Alternatívny upravený systém riadenia ovládaný dvoma rukami/ramenami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Modifikované zariadenia na výhľad dozadu a do strán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Upravené zariadenie na výhľad dozadu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Doplnkové vnútorné zariadenie umožňujúce bočný výhľad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Zariadenie umožňujúce výhľad v mŕtvom uhle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Miesto na sedenie vodiča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Sedadlo vodiča v normálnej výške výhľadu a normálnej vzdialenosti od volantu a pedálov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Sedadlo vodiča prispôsobené tvaru tela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Sedadlo vodiča s bočnou podperou na zlepšenie stability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Sedadlo vodiča s lakťovou opierkou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Úprava bezpečnostného pásu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Typ bezpečnostného pásu s opierkou na zlepšenie stability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Modifikácie motocyklov (použitie podkódov je povinné)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Samostatne ovládaná brzda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Upravená brzda predného kolesa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Upravená brzda zadného kolesa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Upravený akcelerátor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Výška sedadla umožňujúca vodičovi v sediacej polohe, aby mal súčasne obe nohy na zemi a udržiaval rovnováhu motocykla pri zastavení a státí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Maximálna ovládacia sila brzdy predného kolesa … N</w:t>
            </w:r>
            <w:r>
              <w:rPr>
                <w:noProof/>
                <w:szCs w:val="24"/>
                <w:vertAlign w:val="superscript"/>
                <w:lang w:eastAsia="en-US"/>
              </w:rPr>
              <w:footnoteReference w:id="26"/>
            </w:r>
            <w:r>
              <w:rPr>
                <w:noProof/>
                <w:szCs w:val="24"/>
                <w:lang w:eastAsia="en-US"/>
              </w:rPr>
              <w:t xml:space="preserve"> [napríklad „44.09 (140N)“]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Maximálna </w:t>
            </w:r>
            <w:r>
              <w:rPr>
                <w:noProof/>
                <w:szCs w:val="24"/>
                <w:lang w:eastAsia="en-US"/>
              </w:rPr>
              <w:t>ovládacia sila brzdy zadného kolesa … N</w:t>
            </w:r>
            <w:r>
              <w:rPr>
                <w:noProof/>
                <w:szCs w:val="24"/>
                <w:vertAlign w:val="superscript"/>
                <w:lang w:eastAsia="en-US"/>
              </w:rPr>
              <w:footnoteReference w:id="27"/>
            </w:r>
            <w:r>
              <w:rPr>
                <w:noProof/>
                <w:szCs w:val="24"/>
                <w:lang w:eastAsia="en-US"/>
              </w:rPr>
              <w:t xml:space="preserve"> [napríklad „44.10 (240 N)“]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Upravená opierka nôh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Upravená rukoväť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Len motocykel s postranným vozíkom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Len trojkolky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Len pre vozidlá s viac ako dvoma kolesami, ktoré od vodiča nevyžadujú udržiavať rovnováhu pri štartovaní, zastavení a státí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textAlignment w:val="baseline"/>
              <w:rPr>
                <w:noProof/>
                <w:szCs w:val="24"/>
                <w:lang w:eastAsia="en-US"/>
              </w:rPr>
            </w:pPr>
            <w:r>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keepNext/>
              <w:widowControl/>
              <w:spacing w:before="120" w:after="120"/>
              <w:textAlignment w:val="baseline"/>
              <w:rPr>
                <w:noProof/>
                <w:szCs w:val="24"/>
                <w:lang w:eastAsia="en-US"/>
              </w:rPr>
            </w:pPr>
            <w:r>
              <w:rPr>
                <w:noProof/>
                <w:szCs w:val="24"/>
                <w:lang w:eastAsia="en-US"/>
              </w:rPr>
              <w:t xml:space="preserve">Len pre špecifické vozidlo/číslo karosérie (identifikačné číslo vozidla, VIN) </w:t>
            </w:r>
          </w:p>
        </w:tc>
      </w:tr>
    </w:tbl>
    <w:p w:rsidR="006C6719" w:rsidRDefault="006C6719">
      <w:pPr>
        <w:widowControl/>
        <w:spacing w:before="120" w:after="120"/>
        <w:jc w:val="both"/>
        <w:rPr>
          <w:rFonts w:eastAsia="Calibri"/>
          <w:noProof/>
          <w:color w:val="000000"/>
          <w:szCs w:val="22"/>
          <w:lang w:eastAsia="en-US"/>
        </w:rPr>
      </w:pP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lastRenderedPageBreak/>
        <w:t xml:space="preserve">Písmená na použitie v kombinácii s kódmi 01 až 44 na účely bližšieho určenia: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a</w:t>
      </w:r>
      <w:r>
        <w:rPr>
          <w:rFonts w:eastAsia="Calibri"/>
          <w:noProof/>
          <w:szCs w:val="22"/>
          <w:lang w:eastAsia="en-US"/>
        </w:rPr>
        <w:tab/>
      </w:r>
      <w:r>
        <w:rPr>
          <w:rFonts w:eastAsia="Calibri"/>
          <w:noProof/>
          <w:color w:val="000000"/>
          <w:szCs w:val="22"/>
          <w:lang w:eastAsia="en-US"/>
        </w:rPr>
        <w:t xml:space="preserve">ľavé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b</w:t>
      </w:r>
      <w:r>
        <w:rPr>
          <w:rFonts w:eastAsia="Calibri"/>
          <w:noProof/>
          <w:szCs w:val="22"/>
          <w:lang w:eastAsia="en-US"/>
        </w:rPr>
        <w:tab/>
      </w:r>
      <w:r>
        <w:rPr>
          <w:rFonts w:eastAsia="Calibri"/>
          <w:noProof/>
          <w:color w:val="000000"/>
          <w:szCs w:val="22"/>
          <w:lang w:eastAsia="en-US"/>
        </w:rPr>
        <w:t xml:space="preserve">pravé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c</w:t>
      </w:r>
      <w:r>
        <w:rPr>
          <w:rFonts w:eastAsia="Calibri"/>
          <w:noProof/>
          <w:szCs w:val="22"/>
          <w:lang w:eastAsia="en-US"/>
        </w:rPr>
        <w:tab/>
      </w:r>
      <w:r>
        <w:rPr>
          <w:rFonts w:eastAsia="Calibri"/>
          <w:noProof/>
          <w:color w:val="000000"/>
          <w:szCs w:val="22"/>
          <w:lang w:eastAsia="en-US"/>
        </w:rPr>
        <w:t xml:space="preserve">ruka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d</w:t>
      </w:r>
      <w:r>
        <w:rPr>
          <w:rFonts w:eastAsia="Calibri"/>
          <w:noProof/>
          <w:szCs w:val="22"/>
          <w:lang w:eastAsia="en-US"/>
        </w:rPr>
        <w:tab/>
      </w:r>
      <w:r>
        <w:rPr>
          <w:rFonts w:eastAsia="Calibri"/>
          <w:noProof/>
          <w:color w:val="000000"/>
          <w:szCs w:val="22"/>
          <w:lang w:eastAsia="en-US"/>
        </w:rPr>
        <w:t xml:space="preserve">noha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e</w:t>
      </w:r>
      <w:r>
        <w:rPr>
          <w:rFonts w:eastAsia="Calibri"/>
          <w:noProof/>
          <w:szCs w:val="22"/>
          <w:lang w:eastAsia="en-US"/>
        </w:rPr>
        <w:tab/>
      </w:r>
      <w:r>
        <w:rPr>
          <w:rFonts w:eastAsia="Calibri"/>
          <w:noProof/>
          <w:color w:val="000000"/>
          <w:szCs w:val="22"/>
          <w:lang w:eastAsia="en-US"/>
        </w:rPr>
        <w:t xml:space="preserve">stredné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f</w:t>
      </w:r>
      <w:r>
        <w:rPr>
          <w:rFonts w:eastAsia="Calibri"/>
          <w:noProof/>
          <w:szCs w:val="22"/>
          <w:lang w:eastAsia="en-US"/>
        </w:rPr>
        <w:tab/>
      </w:r>
      <w:r>
        <w:rPr>
          <w:rFonts w:eastAsia="Calibri"/>
          <w:noProof/>
          <w:color w:val="000000"/>
          <w:szCs w:val="22"/>
          <w:lang w:eastAsia="en-US"/>
        </w:rPr>
        <w:t xml:space="preserve">rameno </w:t>
      </w:r>
    </w:p>
    <w:p w:rsidR="006C6719" w:rsidRDefault="00614864">
      <w:pPr>
        <w:widowControl/>
        <w:spacing w:before="120" w:after="120"/>
        <w:jc w:val="both"/>
        <w:rPr>
          <w:rFonts w:eastAsia="Calibri"/>
          <w:iCs/>
          <w:noProof/>
          <w:color w:val="000000"/>
          <w:szCs w:val="22"/>
          <w:lang w:eastAsia="en-US"/>
        </w:rPr>
      </w:pPr>
      <w:r>
        <w:rPr>
          <w:rFonts w:eastAsia="Calibri"/>
          <w:noProof/>
          <w:color w:val="000000"/>
          <w:szCs w:val="22"/>
          <w:lang w:eastAsia="en-US"/>
        </w:rPr>
        <w:t>g</w:t>
      </w:r>
      <w:r>
        <w:rPr>
          <w:rFonts w:eastAsia="Calibri"/>
          <w:noProof/>
          <w:szCs w:val="22"/>
          <w:lang w:eastAsia="en-US"/>
        </w:rPr>
        <w:tab/>
      </w:r>
      <w:r>
        <w:rPr>
          <w:rFonts w:eastAsia="Calibri"/>
          <w:noProof/>
          <w:color w:val="000000"/>
          <w:szCs w:val="22"/>
          <w:lang w:eastAsia="en-US"/>
        </w:rPr>
        <w:t xml:space="preserve">palec </w:t>
      </w:r>
    </w:p>
    <w:p w:rsidR="006C6719" w:rsidRDefault="006C6719">
      <w:pPr>
        <w:widowControl/>
        <w:spacing w:before="120" w:after="120"/>
        <w:jc w:val="both"/>
        <w:rPr>
          <w:rFonts w:eastAsia="Calibri"/>
          <w:i/>
          <w:iCs/>
          <w:noProof/>
          <w:color w:val="000000"/>
          <w:szCs w:val="22"/>
          <w:lang w:eastAsia="en-US"/>
        </w:rPr>
      </w:pPr>
    </w:p>
    <w:p w:rsidR="006C6719" w:rsidRDefault="00614864">
      <w:pPr>
        <w:widowControl/>
        <w:rPr>
          <w:rFonts w:eastAsia="Calibri"/>
          <w:i/>
          <w:noProof/>
          <w:szCs w:val="22"/>
          <w:lang w:eastAsia="en-US"/>
        </w:rPr>
      </w:pPr>
      <w:r>
        <w:rPr>
          <w:rFonts w:eastAsia="Calibri"/>
          <w:i/>
          <w:noProof/>
          <w:szCs w:val="22"/>
          <w:lang w:eastAsia="en-US"/>
        </w:rPr>
        <w:br w:type="page"/>
      </w:r>
    </w:p>
    <w:p w:rsidR="006C6719" w:rsidRDefault="00614864">
      <w:pPr>
        <w:widowControl/>
        <w:spacing w:before="120" w:after="120"/>
        <w:jc w:val="both"/>
        <w:rPr>
          <w:rFonts w:eastAsia="Calibri"/>
          <w:i/>
          <w:noProof/>
          <w:szCs w:val="22"/>
          <w:lang w:eastAsia="en-US"/>
        </w:rPr>
      </w:pPr>
      <w:r>
        <w:rPr>
          <w:rFonts w:eastAsia="Calibri"/>
          <w:i/>
          <w:noProof/>
          <w:szCs w:val="22"/>
          <w:lang w:eastAsia="en-US"/>
        </w:rPr>
        <w:lastRenderedPageBreak/>
        <w:t>KÓDY NA POUŽÍVANIE S OBMEDZENIAMI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Nepovinná rovnocennosť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color w:val="000000"/>
                <w:szCs w:val="24"/>
                <w:lang w:eastAsia="en-US"/>
              </w:rPr>
            </w:pPr>
            <w:r>
              <w:rPr>
                <w:noProof/>
                <w:color w:val="000000"/>
                <w:szCs w:val="24"/>
                <w:lang w:eastAsia="en-US"/>
              </w:rPr>
              <w:t xml:space="preserve">Držiteľovi sa udeľuje nepovinná rovnocennosť uvedená v článku 9 ods. 3 písm. 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color w:val="000000"/>
                <w:szCs w:val="24"/>
                <w:lang w:eastAsia="en-US"/>
              </w:rPr>
            </w:pPr>
            <w:r>
              <w:rPr>
                <w:noProof/>
                <w:color w:val="000000"/>
                <w:szCs w:val="24"/>
                <w:lang w:eastAsia="en-US"/>
              </w:rPr>
              <w:t xml:space="preserve">Držiteľovi sa udeľuje nepovinná rovnocennosť uvedená v článku 9 ods. 3 písm. b)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tcPr>
          <w:p w:rsidR="006C6719" w:rsidRDefault="006C6719">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jc w:val="right"/>
              <w:textAlignment w:val="baseline"/>
              <w:rPr>
                <w:noProof/>
                <w:szCs w:val="24"/>
                <w:lang w:eastAsia="en-US"/>
              </w:rPr>
            </w:pPr>
            <w:r>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jc w:val="both"/>
              <w:textAlignment w:val="baseline"/>
              <w:rPr>
                <w:noProof/>
                <w:color w:val="000000"/>
                <w:szCs w:val="24"/>
                <w:lang w:eastAsia="en-US"/>
              </w:rPr>
            </w:pPr>
            <w:r>
              <w:rPr>
                <w:noProof/>
                <w:color w:val="000000"/>
                <w:szCs w:val="24"/>
                <w:lang w:eastAsia="en-US"/>
              </w:rPr>
              <w:t xml:space="preserve">Vodičské oprávnenia označené ako skupina B1 sa obmedzuje na vozidlá </w:t>
            </w:r>
            <w:r>
              <w:rPr>
                <w:noProof/>
                <w:color w:val="000000"/>
                <w:szCs w:val="24"/>
                <w:lang w:eastAsia="en-US"/>
              </w:rPr>
              <w:t>uvedené v článku 9 ods. 4 písm. c)</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both"/>
              <w:textAlignment w:val="baseline"/>
              <w:rPr>
                <w:noProof/>
                <w:szCs w:val="24"/>
                <w:lang w:eastAsia="en-US"/>
              </w:rPr>
            </w:pPr>
            <w:r>
              <w:rPr>
                <w:noProof/>
                <w:szCs w:val="24"/>
                <w:lang w:eastAsia="en-US"/>
              </w:rPr>
              <w:t xml:space="preserve">Len na jazdy cez deň (napríklad: jedna hodina po východe slnka a jedna hodina pred západom slnka)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Obmedzenie na jazdy v okruhu … km od miesta bydliska držiteľa preukazu alebo len v rámci mesta/regiónu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Vedenie vozidla bez spolucestujúcich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Obmedzenie na jazdy rýchlosťou maximálne … km/h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Vedenie vozidla povolené len v sprievode osoby, ktorá je držiteľom vodičského preukazu minimálne rovnocennej skupiny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Bez prípojného vozidla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Jazda po diaľnici nepovolená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Požitie alkoholu nepovolené </w:t>
            </w:r>
          </w:p>
        </w:tc>
      </w:tr>
      <w:tr w:rsidR="006C6719">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vedenie vozidiel vybavených alkoholovým imobilizérom v súlade s EN 50436. Označenie dátumu skončenia platnosti je nepovinné [napríklad „69“ alebo „69(01.01.2016)“] </w:t>
            </w:r>
          </w:p>
        </w:tc>
      </w:tr>
    </w:tbl>
    <w:p w:rsidR="006C6719" w:rsidRDefault="006C6719">
      <w:pPr>
        <w:widowControl/>
        <w:spacing w:before="120" w:after="120"/>
        <w:jc w:val="both"/>
        <w:rPr>
          <w:rFonts w:eastAsia="Calibri"/>
          <w:noProof/>
          <w:szCs w:val="22"/>
          <w:lang w:eastAsia="en-US"/>
        </w:rPr>
      </w:pPr>
    </w:p>
    <w:p w:rsidR="006C6719" w:rsidRDefault="00614864">
      <w:pPr>
        <w:widowControl/>
        <w:rPr>
          <w:rFonts w:eastAsia="Calibri"/>
          <w:i/>
          <w:noProof/>
          <w:color w:val="000000"/>
          <w:szCs w:val="22"/>
          <w:lang w:eastAsia="en-US"/>
        </w:rPr>
      </w:pPr>
      <w:r>
        <w:rPr>
          <w:rFonts w:eastAsia="Calibri"/>
          <w:i/>
          <w:noProof/>
          <w:color w:val="000000"/>
          <w:szCs w:val="22"/>
          <w:lang w:eastAsia="en-US"/>
        </w:rPr>
        <w:br w:type="page"/>
      </w:r>
    </w:p>
    <w:p w:rsidR="006C6719" w:rsidRDefault="00614864">
      <w:pPr>
        <w:widowControl/>
        <w:spacing w:before="120" w:after="120"/>
        <w:jc w:val="both"/>
        <w:rPr>
          <w:rFonts w:eastAsia="Calibri"/>
          <w:noProof/>
          <w:szCs w:val="22"/>
          <w:lang w:eastAsia="en-US"/>
        </w:rPr>
      </w:pPr>
      <w:r>
        <w:rPr>
          <w:rFonts w:eastAsia="Calibri"/>
          <w:i/>
          <w:noProof/>
          <w:color w:val="000000"/>
          <w:szCs w:val="22"/>
          <w:lang w:eastAsia="en-US"/>
        </w:rPr>
        <w:lastRenderedPageBreak/>
        <w:t>ADMINISTRATÍVNE ZÁLEŽITOSTI</w:t>
      </w:r>
      <w:r>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Výmena vodičského preukazu č. … vydaného … (rozlišovacia značka EÚ/OSN v prípade tretej krajiny; napríklad „70.0123456789.NL“)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Duplikát vodičského preukazu č. … (rozlišovacia značka EÚ/OSN v prípade tretej krajiny; napríklad „71.987654321.HR“)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7</w:t>
            </w:r>
            <w:r>
              <w:rPr>
                <w:noProof/>
                <w:szCs w:val="24"/>
                <w:lang w:eastAsia="en-US"/>
              </w:rPr>
              <w:t xml:space="preserve">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vozidlá skupiny B typu motorové štvorkolky (B1)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Len pre vozidlá s automatickou prevodovkou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Len pre vozidlá, ktoré spĺňajú špecifikácie uvedené v zátvorkách, v súvislosti s uplatňovaním článku 19 tejto smernice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jc w:val="right"/>
              <w:textAlignment w:val="baseline"/>
              <w:rPr>
                <w:noProof/>
                <w:szCs w:val="24"/>
                <w:lang w:eastAsia="en-US"/>
              </w:rPr>
            </w:pPr>
            <w:r>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6719" w:rsidRDefault="00614864">
            <w:pPr>
              <w:widowControl/>
              <w:spacing w:before="120" w:after="120"/>
              <w:textAlignment w:val="baseline"/>
              <w:rPr>
                <w:noProof/>
                <w:szCs w:val="24"/>
                <w:lang w:eastAsia="en-US"/>
              </w:rPr>
            </w:pPr>
            <w:r>
              <w:rPr>
                <w:noProof/>
                <w:szCs w:val="24"/>
                <w:lang w:eastAsia="en-US"/>
              </w:rPr>
              <w:t xml:space="preserve">Len pre dvojkolesové vozidlá s postranným vozíkom alebo bez neho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trojkolky alebo ľahké štvorkolky skupiny AM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trojkolky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trojkolky s prípojným vozidlom s maximálnou prípustnou hmotnosťou nepresahujúcou 750 kg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Motocykel skupiny A1 s pomerom výkonu k hmotnosti nad 0,1 kW/kg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Vozidlo skupiny BE, kde maximálna prípustná hmotnosť prípojného vozidla presahuje 3 500 kg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Len pre držiteľov vodičského preukazu na motorovú trojkolku skupiny A, ktorí nedosiahli vek 24 rokov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Len pre držiteľov vodičského preukazu na dvojk</w:t>
            </w:r>
            <w:r>
              <w:rPr>
                <w:noProof/>
                <w:szCs w:val="24"/>
                <w:lang w:eastAsia="en-US"/>
              </w:rPr>
              <w:t xml:space="preserve">olesový motocykel skupiny A, ktorí nedosiahli vek 21 rokov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Vodič, ktorý je držiteľom OOS a spĺňa požiadavku odbornej spôsobilosti uvedenú v smernici (EÚ) 2022/2561 do … [napríklad „95(01.01.12)“]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Vozidlá skupiny B s prípojným vozidlom s maximálnou prípustnou hmotnosťou presahujúcou 750 kg, kde maximálna prípustná hmotnosť takejto jazdnej súpravy presahuje 3 500 kg, ale nepresahuje 4 250 kg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Nie je oprávnený viesť vozidlo skupiny C1, ktoré p</w:t>
            </w:r>
            <w:r>
              <w:rPr>
                <w:noProof/>
                <w:szCs w:val="24"/>
                <w:lang w:eastAsia="en-US"/>
              </w:rPr>
              <w:t>atrí do rozsahu pôsobnosti nariadenia Európskeho parlamentu a Rady (EÚ) č. 165/2014</w:t>
            </w:r>
            <w:r>
              <w:rPr>
                <w:noProof/>
                <w:szCs w:val="24"/>
                <w:vertAlign w:val="superscript"/>
                <w:lang w:eastAsia="en-US"/>
              </w:rPr>
              <w:footnoteReference w:id="28"/>
            </w:r>
            <w:r>
              <w:rPr>
                <w:noProof/>
                <w:szCs w:val="24"/>
                <w:lang w:eastAsia="en-US"/>
              </w:rPr>
              <w:t xml:space="preserve">.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lang w:eastAsia="en-US"/>
              </w:rPr>
              <w:t xml:space="preserve">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lang w:eastAsia="en-US"/>
              </w:rPr>
              <w:t xml:space="preserve">Vodič sa považuje za vodiča-začiatočníka a vzťahujú sa na neho podmienky skúšobnej lehoty. V prípade výmeny, obnovy alebo nahradenia vodičského preukazu sa ku kódu doplní dátum skončenia skúšobnej lehoty (napríklad „98.01.13.04.2028“) </w:t>
            </w:r>
          </w:p>
        </w:tc>
      </w:tr>
      <w:tr w:rsidR="006C6719">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jc w:val="right"/>
              <w:textAlignment w:val="baseline"/>
              <w:rPr>
                <w:noProof/>
                <w:szCs w:val="24"/>
                <w:lang w:eastAsia="en-US"/>
              </w:rPr>
            </w:pPr>
            <w:r>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6719" w:rsidRDefault="00614864">
            <w:pPr>
              <w:widowControl/>
              <w:spacing w:before="120" w:after="120"/>
              <w:textAlignment w:val="baseline"/>
              <w:rPr>
                <w:noProof/>
                <w:szCs w:val="24"/>
                <w:lang w:eastAsia="en-US"/>
              </w:rPr>
            </w:pPr>
            <w:r>
              <w:rPr>
                <w:noProof/>
                <w:color w:val="000000"/>
                <w:szCs w:val="24"/>
                <w:lang w:eastAsia="en-US"/>
              </w:rPr>
              <w:t>Držiteľ s</w:t>
            </w:r>
            <w:r>
              <w:rPr>
                <w:noProof/>
                <w:color w:val="000000"/>
                <w:szCs w:val="24"/>
                <w:lang w:eastAsia="en-US"/>
              </w:rPr>
              <w:t xml:space="preserve">pĺňa podmienky systému vedenia vozidla so sprievodom do dovŕšenia veku 18 rokov </w:t>
            </w:r>
          </w:p>
        </w:tc>
      </w:tr>
    </w:tbl>
    <w:p w:rsidR="006C6719" w:rsidRDefault="00614864">
      <w:pPr>
        <w:widowControl/>
        <w:spacing w:before="120" w:after="120"/>
        <w:jc w:val="both"/>
        <w:rPr>
          <w:rFonts w:eastAsia="Calibri"/>
          <w:noProof/>
          <w:szCs w:val="22"/>
          <w:lang w:eastAsia="en-US"/>
        </w:rPr>
      </w:pPr>
      <w:r>
        <w:rPr>
          <w:rFonts w:eastAsia="Calibri"/>
          <w:noProof/>
          <w:color w:val="000000"/>
          <w:szCs w:val="22"/>
          <w:shd w:val="clear" w:color="auto" w:fill="FFFFFF"/>
          <w:lang w:eastAsia="en-US"/>
        </w:rPr>
        <w:t>Kódy 100 a vyššie sú národné kódy platné len pre jazdu na území členského štátu, ktorý vodičský preukaz vydal.</w:t>
      </w:r>
      <w:r>
        <w:rPr>
          <w:rFonts w:eastAsia="Calibri"/>
          <w:noProof/>
          <w:color w:val="000000"/>
          <w:szCs w:val="22"/>
          <w:lang w:eastAsia="en-US"/>
        </w:rPr>
        <w:t xml:space="preserve"> </w:t>
      </w:r>
    </w:p>
    <w:p w:rsidR="006C6719" w:rsidRDefault="006C6719">
      <w:pPr>
        <w:widowControl/>
        <w:spacing w:before="120" w:after="120"/>
        <w:jc w:val="both"/>
        <w:rPr>
          <w:rFonts w:eastAsia="Calibri"/>
          <w:noProof/>
          <w:szCs w:val="22"/>
          <w:lang w:eastAsia="en-US"/>
        </w:rPr>
        <w:sectPr w:rsidR="006C6719">
          <w:pgSz w:w="11907" w:h="16839"/>
          <w:pgMar w:top="1134" w:right="1417" w:bottom="1134" w:left="1417" w:header="709" w:footer="709" w:gutter="0"/>
          <w:cols w:space="720"/>
          <w:docGrid w:linePitch="360"/>
        </w:sectPr>
      </w:pPr>
    </w:p>
    <w:p w:rsidR="006C6719" w:rsidRDefault="00614864">
      <w:pPr>
        <w:widowControl/>
        <w:spacing w:before="120" w:after="120"/>
        <w:jc w:val="center"/>
        <w:rPr>
          <w:rFonts w:eastAsia="Calibri"/>
          <w:noProof/>
          <w:color w:val="0000FF"/>
          <w:szCs w:val="22"/>
          <w:lang w:eastAsia="en-US"/>
        </w:rPr>
      </w:pPr>
      <w:r>
        <w:rPr>
          <w:rFonts w:eastAsia="Calibri"/>
          <w:noProof/>
          <w:szCs w:val="22"/>
          <w:lang w:eastAsia="en-US"/>
        </w:rPr>
        <w:lastRenderedPageBreak/>
        <w:t>Príloha II</w:t>
      </w:r>
    </w:p>
    <w:p w:rsidR="006C6719" w:rsidRDefault="00614864">
      <w:pPr>
        <w:widowControl/>
        <w:spacing w:after="360" w:line="360" w:lineRule="auto"/>
        <w:jc w:val="center"/>
        <w:rPr>
          <w:rFonts w:eastAsia="Calibri"/>
          <w:bCs/>
          <w:noProof/>
          <w:szCs w:val="22"/>
          <w:lang w:eastAsia="en-US"/>
        </w:rPr>
      </w:pPr>
      <w:r>
        <w:rPr>
          <w:rFonts w:eastAsia="Calibri"/>
          <w:caps/>
          <w:noProof/>
          <w:szCs w:val="22"/>
          <w:lang w:eastAsia="en-US"/>
        </w:rPr>
        <w:t xml:space="preserve">MINIMÁLNE POŽIADAVKY NA </w:t>
      </w:r>
      <w:r>
        <w:rPr>
          <w:rFonts w:eastAsia="Calibri"/>
          <w:caps/>
          <w:noProof/>
          <w:szCs w:val="22"/>
          <w:lang w:eastAsia="en-US"/>
        </w:rPr>
        <w:t>VODIČSKÉ SKÚŠKY</w:t>
      </w:r>
      <w:r>
        <w:rPr>
          <w:rFonts w:eastAsia="Calibri"/>
          <w:noProof/>
          <w:szCs w:val="22"/>
          <w:lang w:eastAsia="en-US"/>
        </w:rPr>
        <w:t xml:space="preserve"> A VEDOMOSTI, ZRUČNOSTI A SPRÁVANIE NA VEDENIE POHÁŇANÉHO VOZIDLA</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I.   </w:t>
      </w:r>
      <w:r>
        <w:rPr>
          <w:rFonts w:eastAsia="Calibri"/>
          <w:noProof/>
          <w:color w:val="000000"/>
          <w:szCs w:val="22"/>
          <w:lang w:eastAsia="en-US"/>
        </w:rPr>
        <w:tab/>
        <w:t xml:space="preserve">MINIMÁLNE POŽIADAVKY NA VODIČSKÉ SKÚŠKY </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Členské štáty prijmú potrebné opatrenia na zabezpečenie toho, aby žiadatelia o vodičské preukazy mali vedomosti a zručnosti a ab</w:t>
      </w:r>
      <w:r>
        <w:rPr>
          <w:rFonts w:eastAsia="Calibri"/>
          <w:noProof/>
          <w:color w:val="000000"/>
          <w:szCs w:val="22"/>
          <w:lang w:eastAsia="en-US"/>
        </w:rPr>
        <w:t xml:space="preserve">y preukazovali správanie požadované na vedenie poháňaného vozidla. Skúšky zavedené na tento účel musia obsahovať: </w:t>
      </w:r>
    </w:p>
    <w:p w:rsidR="006C6719" w:rsidRDefault="00614864">
      <w:pPr>
        <w:widowControl/>
        <w:tabs>
          <w:tab w:val="num" w:pos="1417"/>
        </w:tabs>
        <w:spacing w:before="120" w:after="120" w:line="360" w:lineRule="auto"/>
        <w:ind w:left="1417" w:hanging="567"/>
        <w:rPr>
          <w:rFonts w:eastAsia="Calibri"/>
          <w:noProof/>
          <w:szCs w:val="22"/>
          <w:lang w:eastAsia="en-US"/>
        </w:rPr>
      </w:pPr>
      <w:r>
        <w:rPr>
          <w:rFonts w:eastAsia="Calibri"/>
          <w:noProof/>
          <w:color w:val="000000"/>
          <w:szCs w:val="22"/>
          <w:lang w:eastAsia="en-US"/>
        </w:rPr>
        <w:t>–</w:t>
      </w:r>
      <w:r>
        <w:rPr>
          <w:rFonts w:eastAsia="Calibri"/>
          <w:noProof/>
          <w:color w:val="000000"/>
          <w:szCs w:val="22"/>
          <w:lang w:eastAsia="en-US"/>
        </w:rPr>
        <w:tab/>
        <w:t xml:space="preserve">teoretickú skúšku,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po úspešnom absolvovaní teoretickej skúšky aj skúšku zručností a správania.</w:t>
      </w:r>
      <w:r>
        <w:rPr>
          <w:rFonts w:eastAsia="Calibri"/>
          <w:noProof/>
          <w:szCs w:val="22"/>
          <w:lang w:eastAsia="en-US"/>
        </w:rPr>
        <w:t xml:space="preserve"> </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Podmienky, za ktorých sa tieto skúšky ve</w:t>
      </w:r>
      <w:r>
        <w:rPr>
          <w:rFonts w:eastAsia="Calibri"/>
          <w:noProof/>
          <w:color w:val="000000"/>
          <w:szCs w:val="22"/>
          <w:lang w:eastAsia="en-US"/>
        </w:rPr>
        <w:t>dú, sú stanovené ďalej.</w:t>
      </w:r>
    </w:p>
    <w:p w:rsidR="006C6719" w:rsidRDefault="00614864">
      <w:pPr>
        <w:widowControl/>
        <w:spacing w:before="120" w:after="120" w:line="360" w:lineRule="auto"/>
        <w:rPr>
          <w:rFonts w:eastAsia="Calibri"/>
          <w:noProof/>
          <w:szCs w:val="22"/>
          <w:lang w:eastAsia="en-US"/>
        </w:rPr>
      </w:pPr>
      <w:r>
        <w:rPr>
          <w:rFonts w:eastAsia="Calibri"/>
          <w:noProof/>
          <w:szCs w:val="22"/>
          <w:lang w:eastAsia="en-US"/>
        </w:rPr>
        <w:t>A.</w:t>
      </w:r>
      <w:r>
        <w:rPr>
          <w:rFonts w:eastAsia="Calibri"/>
          <w:noProof/>
          <w:szCs w:val="22"/>
          <w:lang w:eastAsia="en-US"/>
        </w:rPr>
        <w:tab/>
        <w:t>TEORETICKÁ SKÚŠKA</w:t>
      </w:r>
    </w:p>
    <w:p w:rsidR="006C6719" w:rsidRDefault="00614864">
      <w:pPr>
        <w:widowControl/>
        <w:tabs>
          <w:tab w:val="left" w:pos="850"/>
        </w:tabs>
        <w:spacing w:before="120" w:after="120" w:line="360" w:lineRule="auto"/>
        <w:ind w:left="850" w:hanging="850"/>
        <w:rPr>
          <w:rFonts w:eastAsia="Calibri"/>
          <w:bCs/>
          <w:noProof/>
          <w:color w:val="000000"/>
          <w:szCs w:val="22"/>
          <w:lang w:eastAsia="en-US"/>
        </w:rPr>
      </w:pPr>
      <w:r>
        <w:rPr>
          <w:rFonts w:eastAsia="Calibri"/>
          <w:bCs/>
          <w:noProof/>
          <w:color w:val="000000"/>
          <w:szCs w:val="22"/>
          <w:lang w:eastAsia="en-US"/>
        </w:rPr>
        <w:t>1.</w:t>
      </w:r>
      <w:r>
        <w:rPr>
          <w:rFonts w:eastAsia="Calibri"/>
          <w:bCs/>
          <w:noProof/>
          <w:color w:val="000000"/>
          <w:szCs w:val="22"/>
          <w:lang w:eastAsia="en-US"/>
        </w:rPr>
        <w:tab/>
      </w:r>
      <w:r>
        <w:rPr>
          <w:rFonts w:eastAsia="Calibri"/>
          <w:noProof/>
          <w:color w:val="000000"/>
          <w:szCs w:val="22"/>
          <w:lang w:eastAsia="en-US"/>
        </w:rPr>
        <w:t>Forma</w:t>
      </w:r>
      <w:r>
        <w:rPr>
          <w:rFonts w:eastAsia="Calibri"/>
          <w:noProof/>
          <w:szCs w:val="22"/>
          <w:lang w:eastAsia="en-US"/>
        </w:rPr>
        <w:t xml:space="preserve"> </w:t>
      </w:r>
    </w:p>
    <w:p w:rsidR="006C6719" w:rsidRDefault="00614864">
      <w:pPr>
        <w:widowControl/>
        <w:spacing w:before="120" w:after="120" w:line="360" w:lineRule="auto"/>
        <w:rPr>
          <w:rFonts w:eastAsia="Calibri"/>
          <w:noProof/>
          <w:color w:val="000000"/>
          <w:szCs w:val="22"/>
          <w:lang w:eastAsia="en-US"/>
        </w:rPr>
      </w:pPr>
      <w:r>
        <w:rPr>
          <w:rFonts w:eastAsia="Calibri"/>
          <w:noProof/>
          <w:color w:val="000000"/>
          <w:szCs w:val="22"/>
          <w:lang w:eastAsia="en-US"/>
        </w:rPr>
        <w:t>Zvolená forma je taká, aby sa zabezpečilo, že žiadateľ má požadované vedomosti o predmetoch uvedených v bodoch 2, 3 a 4.</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rPr>
          <w:rFonts w:eastAsia="Calibri"/>
          <w:noProof/>
          <w:color w:val="000000"/>
          <w:szCs w:val="22"/>
          <w:lang w:eastAsia="en-US"/>
        </w:rPr>
      </w:pPr>
      <w:r>
        <w:rPr>
          <w:rFonts w:eastAsia="Calibri"/>
          <w:noProof/>
          <w:color w:val="000000"/>
          <w:szCs w:val="22"/>
          <w:lang w:eastAsia="en-US"/>
        </w:rPr>
        <w:lastRenderedPageBreak/>
        <w:t>Každý žiadateľ o vodičský preukaz v jednej skupine, ktorý zložil teoretickú s</w:t>
      </w:r>
      <w:r>
        <w:rPr>
          <w:rFonts w:eastAsia="Calibri"/>
          <w:noProof/>
          <w:color w:val="000000"/>
          <w:szCs w:val="22"/>
          <w:lang w:eastAsia="en-US"/>
        </w:rPr>
        <w:t>kúšku na vodičský preukaz v inej skupine, môže byť vyňatý zo spoločných ustanovení bodov 2, 3 a 4.</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2.</w:t>
      </w:r>
      <w:r>
        <w:rPr>
          <w:rFonts w:eastAsia="Calibri"/>
          <w:noProof/>
          <w:color w:val="000000"/>
          <w:szCs w:val="22"/>
          <w:lang w:eastAsia="en-US"/>
        </w:rPr>
        <w:tab/>
        <w:t>Obsah teoretickej skúšky pre všetky skupiny vozidiel </w:t>
      </w:r>
    </w:p>
    <w:p w:rsidR="006C6719" w:rsidRDefault="00614864">
      <w:pPr>
        <w:widowControl/>
        <w:spacing w:before="120" w:after="120" w:line="360" w:lineRule="auto"/>
        <w:rPr>
          <w:rFonts w:eastAsia="Calibri"/>
          <w:noProof/>
          <w:szCs w:val="22"/>
          <w:lang w:eastAsia="en-US"/>
        </w:rPr>
      </w:pPr>
      <w:r>
        <w:rPr>
          <w:rFonts w:eastAsia="Calibri"/>
          <w:noProof/>
          <w:szCs w:val="22"/>
          <w:lang w:eastAsia="en-US"/>
        </w:rPr>
        <w:t>Otázky sa zadávajú pre každú z tém uvedených v nasledujúcich bodoch; obsah a forma otázok sa ponech</w:t>
      </w:r>
      <w:r>
        <w:rPr>
          <w:rFonts w:eastAsia="Calibri"/>
          <w:noProof/>
          <w:szCs w:val="22"/>
          <w:lang w:eastAsia="en-US"/>
        </w:rPr>
        <w:t>ávajú na zváženie každého členského štátu: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pravidlá cestnej premávky: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najmä pokiaľ ide o dopravné značky, označenia a signály, prednosti v jazde a rýchlostné obmedzenia;</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vodič: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Pr>
          <w:rFonts w:eastAsia="Calibri"/>
          <w:noProof/>
          <w:color w:val="000000"/>
          <w:szCs w:val="22"/>
          <w:lang w:eastAsia="en-US"/>
        </w:rPr>
        <w:t xml:space="preserve">význam ostražitosti a vzťahu k iným účastníkom cestnej premávky vrátane používateľov prostriedkov mikromobility,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všeobecné vnímanie vrátane vnímania nebezpečenstva, posudzovanie a rozhodovanie, najmä čas reakcie a takisto zmeny v správaní vodiča pod vpl</w:t>
      </w:r>
      <w:r>
        <w:rPr>
          <w:rFonts w:eastAsia="Calibri"/>
          <w:noProof/>
          <w:color w:val="000000"/>
          <w:szCs w:val="22"/>
          <w:lang w:eastAsia="en-US"/>
        </w:rPr>
        <w:t>yvom alkoholu, drog a liekov, stav mysle a únava;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b/>
          <w:i/>
        </w:rPr>
        <w:lastRenderedPageBreak/>
        <w:t>–</w:t>
      </w:r>
      <w:r>
        <w:rPr>
          <w:b/>
          <w:i/>
        </w:rPr>
        <w:tab/>
        <w:t>vplyvy na riziko rozptyľovania spôsobeného používaním mobilného telefónu alebo iných elektronických zariadení počas jazdy a bezpečnostné dôsledky;</w:t>
      </w:r>
      <w:r>
        <w:rPr>
          <w:b/>
        </w:rPr>
        <w:t xml:space="preserve"> [PN 139]</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cesta: </w:t>
      </w:r>
    </w:p>
    <w:p w:rsidR="006C6719" w:rsidRDefault="00614864">
      <w:pPr>
        <w:widowControl/>
        <w:tabs>
          <w:tab w:val="num" w:pos="1417"/>
        </w:tabs>
        <w:spacing w:before="120" w:after="120" w:line="360" w:lineRule="auto"/>
        <w:ind w:left="1417" w:hanging="567"/>
        <w:rPr>
          <w:rFonts w:eastAsia="Calibri"/>
          <w:b/>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 xml:space="preserve">najdôležitejšie zásady týkajúce </w:t>
      </w:r>
      <w:r>
        <w:rPr>
          <w:rFonts w:eastAsia="Calibri"/>
          <w:noProof/>
          <w:color w:val="000000"/>
          <w:szCs w:val="22"/>
          <w:lang w:eastAsia="en-US"/>
        </w:rPr>
        <w:t>sa dodržiavania bezpečnej vzdialenosti medzi vozidlami, brzdnej vzdialenosti a udržania vozidla na ceste v rôznych poveternostných podmienkach a pri rôznom stave vozovky,</w:t>
      </w:r>
      <w:r>
        <w:rPr>
          <w:rFonts w:eastAsia="Calibri"/>
          <w:noProof/>
          <w:szCs w:val="22"/>
          <w:lang w:eastAsia="en-US"/>
        </w:rPr>
        <w:t xml:space="preserve"> </w:t>
      </w:r>
      <w:r>
        <w:rPr>
          <w:b/>
          <w:i/>
        </w:rPr>
        <w:t>predovšetkým vrátane sneženia a klzkej vozovky,</w:t>
      </w:r>
      <w:r>
        <w:t xml:space="preserve"> </w:t>
      </w:r>
      <w:r>
        <w:rPr>
          <w:b/>
        </w:rPr>
        <w:t>[PN 140]</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rizikové faktory vedenia v</w:t>
      </w:r>
      <w:r>
        <w:rPr>
          <w:rFonts w:eastAsia="Calibri"/>
          <w:noProof/>
          <w:color w:val="000000"/>
          <w:szCs w:val="22"/>
          <w:lang w:eastAsia="en-US"/>
        </w:rPr>
        <w:t xml:space="preserve">ozidla týkajúce sa rôzneho stavu cesty vrátane vnímania a predvídania nebezpečenstva, najmä v závislosti od počasia a denného alebo nočného času,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 xml:space="preserve">charakteristiky rôznych typov ciest a súvisiacich zákonných požiadaviek,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bezpečné vedenie vozidla v cest</w:t>
      </w:r>
      <w:r>
        <w:rPr>
          <w:rFonts w:eastAsia="Calibri"/>
          <w:noProof/>
          <w:color w:val="000000"/>
          <w:szCs w:val="22"/>
          <w:lang w:eastAsia="en-US"/>
        </w:rPr>
        <w:t>ných tuneloch;</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ostatní účastníci cestnej premávky: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tabs>
          <w:tab w:val="num" w:pos="1417"/>
        </w:tabs>
        <w:spacing w:before="120" w:after="120" w:line="360" w:lineRule="auto"/>
        <w:ind w:left="1417" w:hanging="567"/>
        <w:rPr>
          <w:rFonts w:eastAsia="Calibri"/>
          <w:b/>
          <w:noProof/>
          <w:sz w:val="22"/>
          <w:szCs w:val="22"/>
          <w:lang w:eastAsia="en-US"/>
        </w:rPr>
      </w:pPr>
      <w:r>
        <w:rPr>
          <w:rFonts w:eastAsia="Calibri"/>
          <w:noProof/>
          <w:color w:val="000000"/>
          <w:szCs w:val="22"/>
          <w:lang w:eastAsia="en-US"/>
        </w:rPr>
        <w:lastRenderedPageBreak/>
        <w:t>–</w:t>
      </w:r>
      <w:r>
        <w:rPr>
          <w:rFonts w:eastAsia="Calibri"/>
          <w:noProof/>
          <w:color w:val="000000"/>
          <w:szCs w:val="22"/>
          <w:lang w:eastAsia="en-US"/>
        </w:rPr>
        <w:tab/>
        <w:t>osobitné rizikové faktory týkajúce sa nedostatku skúseností iných účastníkov cestnej premávky, najmä najzraniteľnejších skupín účastníkov</w:t>
      </w:r>
      <w:r>
        <w:rPr>
          <w:rFonts w:eastAsia="Calibri"/>
          <w:noProof/>
          <w:szCs w:val="22"/>
          <w:lang w:eastAsia="en-US"/>
        </w:rPr>
        <w:t>, ktorí sú v premávke menej chránení v porovnaní s používat</w:t>
      </w:r>
      <w:r>
        <w:rPr>
          <w:rFonts w:eastAsia="Calibri"/>
          <w:noProof/>
          <w:szCs w:val="22"/>
          <w:lang w:eastAsia="en-US"/>
        </w:rPr>
        <w:t xml:space="preserve">eľmi motorových vozidiel, ako sú automobily, autobusy a nákladné automobily, a ktorí sú priamo vystavení pôsobeniu nárazových síl. Do tejto kategórie patria </w:t>
      </w:r>
      <w:r>
        <w:rPr>
          <w:b/>
          <w:i/>
        </w:rPr>
        <w:t xml:space="preserve">deti, </w:t>
      </w:r>
      <w:r>
        <w:rPr>
          <w:rFonts w:eastAsia="Calibri"/>
          <w:noProof/>
          <w:szCs w:val="22"/>
          <w:lang w:eastAsia="en-US"/>
        </w:rPr>
        <w:t xml:space="preserve">chodci, cyklisti, používatelia motorových dvojkolesových vozidiel, používatelia prostriedkov </w:t>
      </w:r>
      <w:r>
        <w:rPr>
          <w:rFonts w:eastAsia="Calibri"/>
          <w:noProof/>
          <w:szCs w:val="22"/>
          <w:lang w:eastAsia="en-US"/>
        </w:rPr>
        <w:t>osobnej mobility a osoby so zdravotným postihnutím alebo osoby so zníženou pohyblivosťou a schopnosťou orientácie,</w:t>
      </w:r>
      <w:r>
        <w:rPr>
          <w:rFonts w:eastAsia="Calibri"/>
          <w:b/>
          <w:noProof/>
          <w:szCs w:val="22"/>
          <w:lang w:eastAsia="en-US"/>
        </w:rPr>
        <w:t xml:space="preserve"> [PN 141]</w:t>
      </w:r>
    </w:p>
    <w:p w:rsidR="006C6719" w:rsidRDefault="00614864">
      <w:pPr>
        <w:widowControl/>
        <w:tabs>
          <w:tab w:val="num" w:pos="1417"/>
        </w:tabs>
        <w:spacing w:before="120" w:after="120" w:line="360" w:lineRule="auto"/>
        <w:ind w:left="1417" w:hanging="567"/>
        <w:rPr>
          <w:rFonts w:eastAsia="Calibri"/>
          <w:b/>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riziká obsiahnuté v pohybe a vedení rôznych typov vozidiel a </w:t>
      </w:r>
      <w:r>
        <w:rPr>
          <w:rFonts w:eastAsia="Calibri"/>
          <w:strike/>
          <w:noProof/>
          <w:color w:val="000000"/>
          <w:szCs w:val="22"/>
          <w:lang w:eastAsia="en-US"/>
        </w:rPr>
        <w:t>rôznych zorných polí ich vodičov vrátane vozidiel s pokročilými asist</w:t>
      </w:r>
      <w:r>
        <w:rPr>
          <w:rFonts w:eastAsia="Calibri"/>
          <w:strike/>
          <w:noProof/>
          <w:color w:val="000000"/>
          <w:szCs w:val="22"/>
          <w:lang w:eastAsia="en-US"/>
        </w:rPr>
        <w:t xml:space="preserve">enčnými systémami pre vodiča a inými prvkami automatizácie </w:t>
      </w:r>
      <w:r>
        <w:rPr>
          <w:b/>
          <w:i/>
        </w:rPr>
        <w:t>interakcii s nimi v dôsledku rôznych rozmerov a jazdnej dynamiky a rôznych zorných polí ich vodičov</w:t>
      </w:r>
      <w:r>
        <w:rPr>
          <w:rFonts w:eastAsia="Calibri"/>
          <w:noProof/>
          <w:color w:val="000000"/>
          <w:szCs w:val="22"/>
          <w:lang w:eastAsia="en-US"/>
        </w:rPr>
        <w:t>;</w:t>
      </w:r>
      <w:r>
        <w:rPr>
          <w:rFonts w:eastAsia="Calibri"/>
          <w:b/>
          <w:noProof/>
          <w:color w:val="000000"/>
          <w:szCs w:val="22"/>
          <w:lang w:eastAsia="en-US"/>
        </w:rPr>
        <w:t xml:space="preserve"> [PN 142]</w:t>
      </w:r>
    </w:p>
    <w:p w:rsidR="006C6719" w:rsidRDefault="00614864">
      <w:pPr>
        <w:widowControl/>
        <w:spacing w:before="120" w:after="120" w:line="360" w:lineRule="auto"/>
        <w:ind w:left="1417" w:hanging="567"/>
        <w:rPr>
          <w:rFonts w:eastAsia="Calibri"/>
          <w:b/>
          <w:noProof/>
          <w:szCs w:val="22"/>
          <w:lang w:eastAsia="en-US"/>
        </w:rPr>
      </w:pPr>
      <w:r>
        <w:rPr>
          <w:b/>
          <w:i/>
        </w:rPr>
        <w:t>–</w:t>
      </w:r>
      <w:r>
        <w:rPr>
          <w:b/>
          <w:i/>
        </w:rPr>
        <w:tab/>
        <w:t>mŕtve uhly a zmeny sklonu;</w:t>
      </w:r>
      <w:r>
        <w:rPr>
          <w:b/>
        </w:rPr>
        <w:t xml:space="preserve"> [PN 143]</w:t>
      </w:r>
    </w:p>
    <w:p w:rsidR="006C6719" w:rsidRDefault="00614864">
      <w:pPr>
        <w:widowControl/>
        <w:spacing w:before="120" w:after="120" w:line="360" w:lineRule="auto"/>
        <w:ind w:left="1417" w:hanging="567"/>
        <w:rPr>
          <w:rFonts w:eastAsia="Calibri"/>
          <w:b/>
          <w:noProof/>
          <w:szCs w:val="22"/>
          <w:lang w:eastAsia="en-US"/>
        </w:rPr>
      </w:pPr>
      <w:r>
        <w:rPr>
          <w:b/>
          <w:i/>
        </w:rPr>
        <w:t>–</w:t>
      </w:r>
      <w:r>
        <w:rPr>
          <w:b/>
          <w:i/>
        </w:rPr>
        <w:tab/>
        <w:t xml:space="preserve">riadne a včasné používanie smerových </w:t>
      </w:r>
      <w:r>
        <w:rPr>
          <w:b/>
          <w:i/>
        </w:rPr>
        <w:t>svietidiel;</w:t>
      </w:r>
      <w:r>
        <w:rPr>
          <w:b/>
        </w:rPr>
        <w:t xml:space="preserve"> [PN 144]</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všeobecné pravidlá a predpisy a iné záležitosti: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tabs>
          <w:tab w:val="num" w:pos="1417"/>
        </w:tabs>
        <w:spacing w:before="120" w:after="120" w:line="360" w:lineRule="auto"/>
        <w:ind w:left="1417" w:hanging="567"/>
        <w:rPr>
          <w:rFonts w:eastAsia="Calibri"/>
          <w:noProof/>
          <w:szCs w:val="22"/>
          <w:lang w:eastAsia="en-US"/>
        </w:rPr>
      </w:pPr>
      <w:r>
        <w:rPr>
          <w:rFonts w:eastAsia="Calibri"/>
          <w:noProof/>
          <w:color w:val="000000"/>
          <w:szCs w:val="22"/>
          <w:lang w:eastAsia="en-US"/>
        </w:rPr>
        <w:lastRenderedPageBreak/>
        <w:t>–</w:t>
      </w:r>
      <w:r>
        <w:rPr>
          <w:rFonts w:eastAsia="Calibri"/>
          <w:noProof/>
          <w:color w:val="000000"/>
          <w:szCs w:val="22"/>
          <w:lang w:eastAsia="en-US"/>
        </w:rPr>
        <w:tab/>
        <w:t xml:space="preserve">pravidlá týkajúce sa dokladov požadovaných na používanie vozidiel,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všeobecné pravidlá, ktoré špecifikujú, ako sa vodič musí správať v prípade nehody (postavenie výstražných za</w:t>
      </w:r>
      <w:r>
        <w:rPr>
          <w:rFonts w:eastAsia="Calibri"/>
          <w:noProof/>
          <w:color w:val="000000"/>
          <w:szCs w:val="22"/>
          <w:lang w:eastAsia="en-US"/>
        </w:rPr>
        <w:t>riadení a spustenie výstražnej signalizácie), a opatrenia, ktoré môže urobiť v snahe pomôcť obetiam dopravnej nehody v prípade potreby,</w:t>
      </w:r>
    </w:p>
    <w:p w:rsidR="006C6719" w:rsidRDefault="00614864">
      <w:pPr>
        <w:widowControl/>
        <w:tabs>
          <w:tab w:val="num" w:pos="1417"/>
        </w:tabs>
        <w:spacing w:before="120" w:after="120" w:line="360" w:lineRule="auto"/>
        <w:ind w:left="1417" w:hanging="567"/>
        <w:rPr>
          <w:rFonts w:eastAsia="Calibri"/>
          <w:b/>
          <w:noProof/>
          <w:szCs w:val="22"/>
          <w:lang w:eastAsia="en-US"/>
        </w:rPr>
      </w:pPr>
      <w:r>
        <w:rPr>
          <w:b/>
          <w:i/>
        </w:rPr>
        <w:t>–</w:t>
      </w:r>
      <w:r>
        <w:rPr>
          <w:b/>
          <w:i/>
        </w:rPr>
        <w:tab/>
        <w:t>pravidlá správania sa v prípade, že sa blíži núdzové vozidlo, a čo robiť na mieste zrážky;</w:t>
      </w:r>
      <w:r>
        <w:rPr>
          <w:b/>
        </w:rPr>
        <w:t xml:space="preserve"> [PN 145]</w:t>
      </w:r>
    </w:p>
    <w:p w:rsidR="006C6719" w:rsidRDefault="00614864">
      <w:pPr>
        <w:widowControl/>
        <w:tabs>
          <w:tab w:val="num" w:pos="1417"/>
        </w:tabs>
        <w:spacing w:before="120" w:after="120" w:line="360" w:lineRule="auto"/>
        <w:ind w:left="1417" w:hanging="567"/>
        <w:rPr>
          <w:rFonts w:eastAsia="Calibri"/>
          <w:noProof/>
          <w:szCs w:val="22"/>
          <w:lang w:eastAsia="en-US"/>
        </w:rPr>
      </w:pPr>
      <w:r>
        <w:rPr>
          <w:rFonts w:eastAsia="Calibri"/>
          <w:noProof/>
          <w:color w:val="000000"/>
          <w:szCs w:val="22"/>
          <w:lang w:eastAsia="en-US"/>
        </w:rPr>
        <w:t>–</w:t>
      </w:r>
      <w:r>
        <w:rPr>
          <w:rFonts w:eastAsia="Calibri"/>
          <w:noProof/>
          <w:color w:val="000000"/>
          <w:szCs w:val="22"/>
          <w:lang w:eastAsia="en-US"/>
        </w:rPr>
        <w:tab/>
        <w:t>bezpečnostné fak</w:t>
      </w:r>
      <w:r>
        <w:rPr>
          <w:rFonts w:eastAsia="Calibri"/>
          <w:noProof/>
          <w:color w:val="000000"/>
          <w:szCs w:val="22"/>
          <w:lang w:eastAsia="en-US"/>
        </w:rPr>
        <w:t xml:space="preserve">tory týkajúce sa vozidla, záťaže a prepravovaných osôb, </w:t>
      </w:r>
    </w:p>
    <w:p w:rsidR="006C6719" w:rsidRDefault="00614864">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 xml:space="preserve">znalosť aspektov bezpečnosti týkajúcich sa vozidiel s pohonom na alternatívne palivá </w:t>
      </w:r>
      <w:r>
        <w:rPr>
          <w:b/>
          <w:i/>
        </w:rPr>
        <w:t>a/alebo na batérie, najmä rizík objemového vzplanutia/veľkého požiaru alebo chemickej reakcie v prípade nehody a</w:t>
      </w:r>
      <w:r>
        <w:rPr>
          <w:b/>
          <w:i/>
        </w:rPr>
        <w:t>lebo poruchy</w:t>
      </w:r>
      <w:r>
        <w:rPr>
          <w:rFonts w:eastAsia="Calibri"/>
          <w:noProof/>
          <w:color w:val="000000"/>
          <w:szCs w:val="22"/>
          <w:lang w:eastAsia="en-US"/>
        </w:rPr>
        <w:t>;</w:t>
      </w:r>
      <w:r>
        <w:rPr>
          <w:rFonts w:eastAsia="Calibri"/>
          <w:b/>
          <w:noProof/>
          <w:color w:val="000000"/>
          <w:szCs w:val="22"/>
          <w:lang w:eastAsia="en-US"/>
        </w:rPr>
        <w:t xml:space="preserve"> [PN 146]</w:t>
      </w:r>
      <w:r>
        <w:rPr>
          <w:rFonts w:eastAsia="Calibri"/>
          <w:noProof/>
          <w:color w:val="000000"/>
          <w:szCs w:val="22"/>
          <w:lang w:eastAsia="en-US"/>
        </w:rPr>
        <w:t xml:space="preserve">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f)</w:t>
      </w:r>
      <w:r>
        <w:rPr>
          <w:rFonts w:eastAsia="Calibri"/>
          <w:noProof/>
          <w:szCs w:val="22"/>
          <w:lang w:eastAsia="en-US"/>
        </w:rPr>
        <w:tab/>
        <w:t xml:space="preserve">bezpečnostné opatrenia potrebné pri vystupovaní z vozidla </w:t>
      </w:r>
      <w:r>
        <w:rPr>
          <w:b/>
          <w:i/>
        </w:rPr>
        <w:t xml:space="preserve">vrátane zabezpečenia toho, aby bolo bezpečné otvoriť dvere vozidla a aby to nepredstavovalo nebezpečenstvo pre iných účastníkov cestnej premávky, ako sú chodci, cyklisti a používatelia </w:t>
      </w:r>
      <w:proofErr w:type="spellStart"/>
      <w:r>
        <w:rPr>
          <w:b/>
          <w:i/>
        </w:rPr>
        <w:t>mikromobility</w:t>
      </w:r>
      <w:proofErr w:type="spellEnd"/>
      <w:r>
        <w:rPr>
          <w:rFonts w:eastAsia="Calibri"/>
          <w:noProof/>
          <w:szCs w:val="22"/>
          <w:lang w:eastAsia="en-US"/>
        </w:rPr>
        <w:t>;</w:t>
      </w:r>
      <w:r>
        <w:rPr>
          <w:rFonts w:eastAsia="Calibri"/>
          <w:b/>
          <w:noProof/>
          <w:szCs w:val="22"/>
          <w:lang w:eastAsia="en-US"/>
        </w:rPr>
        <w:t xml:space="preserve"> [PN 147]</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g)</w:t>
      </w:r>
      <w:r>
        <w:rPr>
          <w:rFonts w:eastAsia="Calibri"/>
          <w:noProof/>
          <w:szCs w:val="22"/>
          <w:lang w:eastAsia="en-US"/>
        </w:rPr>
        <w:tab/>
        <w:t>mechanické aspekty, ktoré majú vplyv na be</w:t>
      </w:r>
      <w:r>
        <w:rPr>
          <w:rFonts w:eastAsia="Calibri"/>
          <w:noProof/>
          <w:szCs w:val="22"/>
          <w:lang w:eastAsia="en-US"/>
        </w:rPr>
        <w:t>zpečnosť cestnej premávky; žiadatelia musia byť schopní zistiť najbežnejšie poruchy, najmä v riadení, v systéme pruženia a v brzdnom systéme, poruchy pneumatík, svetiel a smerových svetiel, odrazných skiel, spätných zrkadiel, čelného skla a stieračov, výfu</w:t>
      </w:r>
      <w:r>
        <w:rPr>
          <w:rFonts w:eastAsia="Calibri"/>
          <w:noProof/>
          <w:szCs w:val="22"/>
          <w:lang w:eastAsia="en-US"/>
        </w:rPr>
        <w:t>kového systému, bezpečnostných pásov a zvukového výstražného zariadenia;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bezpečnostné zariadenie vozidla, a najmä použitie bezpečnostných pásov, opierok hlavy, bezpečnostného zariadenia pre deti a nabíjania elektrických vozidiel;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i)</w:t>
      </w:r>
      <w:r>
        <w:rPr>
          <w:rFonts w:eastAsia="Calibri"/>
          <w:noProof/>
          <w:szCs w:val="22"/>
          <w:lang w:eastAsia="en-US"/>
        </w:rPr>
        <w:tab/>
        <w:t>pravidlá a aspekty</w:t>
      </w:r>
      <w:r>
        <w:rPr>
          <w:rFonts w:eastAsia="Calibri"/>
          <w:noProof/>
          <w:szCs w:val="22"/>
          <w:lang w:eastAsia="en-US"/>
        </w:rPr>
        <w:t xml:space="preserve"> týkajúce sa používania vozidla vo vzťahu k životnému prostrediu, a to aj pokiaľ ide o elektrické vozidlá: primerané použitie zvukovej výstražnej signalizácie, mierna spotreba paliva/energie, obmedzenie emisií (emisie skleníkových plynov, látky znečisťujúc</w:t>
      </w:r>
      <w:r>
        <w:rPr>
          <w:rFonts w:eastAsia="Calibri"/>
          <w:noProof/>
          <w:szCs w:val="22"/>
          <w:lang w:eastAsia="en-US"/>
        </w:rPr>
        <w:t>e ovzdušie, hluk a mikroplasty z opotrebovania pneumatík</w:t>
      </w:r>
      <w:r>
        <w:rPr>
          <w:b/>
          <w:i/>
        </w:rPr>
        <w:t>, bŕzd</w:t>
      </w:r>
      <w:r>
        <w:rPr>
          <w:rFonts w:eastAsia="Calibri"/>
          <w:noProof/>
          <w:szCs w:val="22"/>
          <w:lang w:eastAsia="en-US"/>
        </w:rPr>
        <w:t xml:space="preserve"> a ciest atď.);</w:t>
      </w:r>
      <w:r>
        <w:rPr>
          <w:rFonts w:eastAsia="Calibri"/>
          <w:b/>
          <w:noProof/>
          <w:szCs w:val="22"/>
          <w:lang w:eastAsia="en-US"/>
        </w:rPr>
        <w:t xml:space="preserve"> [PN 148]</w:t>
      </w:r>
    </w:p>
    <w:p w:rsidR="006C6719" w:rsidRDefault="00614864">
      <w:pPr>
        <w:widowControl/>
        <w:rPr>
          <w:rFonts w:eastAsia="Calibri"/>
          <w:b/>
          <w:noProof/>
          <w:szCs w:val="22"/>
          <w:lang w:eastAsia="en-US"/>
        </w:rPr>
      </w:pPr>
      <w:r>
        <w:rPr>
          <w:rFonts w:eastAsia="Calibri"/>
          <w:b/>
          <w:noProof/>
          <w:szCs w:val="22"/>
          <w:lang w:eastAsia="en-US"/>
        </w:rPr>
        <w:br w:type="page"/>
      </w:r>
    </w:p>
    <w:p w:rsidR="006C6719" w:rsidRDefault="00614864">
      <w:pPr>
        <w:widowControl/>
        <w:spacing w:before="120" w:after="120" w:line="360" w:lineRule="auto"/>
        <w:ind w:left="1417" w:hanging="567"/>
        <w:rPr>
          <w:b/>
          <w:i/>
        </w:rPr>
      </w:pPr>
      <w:proofErr w:type="spellStart"/>
      <w:r>
        <w:rPr>
          <w:b/>
          <w:i/>
        </w:rPr>
        <w:lastRenderedPageBreak/>
        <w:t>ia</w:t>
      </w:r>
      <w:proofErr w:type="spellEnd"/>
      <w:r>
        <w:rPr>
          <w:b/>
          <w:i/>
        </w:rPr>
        <w:t>)</w:t>
      </w:r>
      <w:r>
        <w:rPr>
          <w:b/>
          <w:i/>
        </w:rPr>
        <w:tab/>
        <w:t xml:space="preserve">základné znalosti o použití vybavenia na poskytnutie prvej pomoci a schopnosť poskytnúť prvú pomoc vrátane </w:t>
      </w:r>
      <w:proofErr w:type="spellStart"/>
      <w:r>
        <w:rPr>
          <w:b/>
          <w:i/>
        </w:rPr>
        <w:t>kardiopulmonálnej</w:t>
      </w:r>
      <w:proofErr w:type="spellEnd"/>
      <w:r>
        <w:rPr>
          <w:b/>
          <w:i/>
        </w:rPr>
        <w:t xml:space="preserve"> resuscitácie (</w:t>
      </w:r>
      <w:proofErr w:type="spellStart"/>
      <w:r>
        <w:rPr>
          <w:b/>
          <w:i/>
        </w:rPr>
        <w:t>KPR</w:t>
      </w:r>
      <w:proofErr w:type="spellEnd"/>
      <w:r>
        <w:rPr>
          <w:b/>
          <w:i/>
        </w:rPr>
        <w:t>);</w:t>
      </w:r>
    </w:p>
    <w:p w:rsidR="006C6719" w:rsidRDefault="00614864">
      <w:pPr>
        <w:widowControl/>
        <w:spacing w:before="120" w:after="120" w:line="360" w:lineRule="auto"/>
        <w:ind w:left="1417" w:firstLine="1"/>
        <w:rPr>
          <w:b/>
        </w:rPr>
      </w:pPr>
      <w:r>
        <w:rPr>
          <w:b/>
          <w:i/>
        </w:rPr>
        <w:t>členské štáty môžu</w:t>
      </w:r>
      <w:r>
        <w:rPr>
          <w:b/>
          <w:i/>
        </w:rPr>
        <w:t xml:space="preserve"> alternatívne umožniť, aby predtým ukončený praktický kurz prvej pomoci, ktorého súčasťou bola aj KPR, umožňoval výnimku z obsahu teoretickej skúšky týkajúceho sa prvej pomoci;</w:t>
      </w:r>
      <w:r>
        <w:rPr>
          <w:b/>
        </w:rPr>
        <w:t xml:space="preserve"> [PN 149]</w:t>
      </w:r>
    </w:p>
    <w:p w:rsidR="006C6719" w:rsidRDefault="00614864">
      <w:pPr>
        <w:widowControl/>
        <w:spacing w:before="120" w:after="120" w:line="360" w:lineRule="auto"/>
        <w:ind w:left="1417" w:hanging="567"/>
        <w:rPr>
          <w:b/>
        </w:rPr>
      </w:pPr>
      <w:proofErr w:type="spellStart"/>
      <w:r>
        <w:rPr>
          <w:b/>
          <w:i/>
        </w:rPr>
        <w:t>ib</w:t>
      </w:r>
      <w:proofErr w:type="spellEnd"/>
      <w:r>
        <w:rPr>
          <w:b/>
          <w:i/>
        </w:rPr>
        <w:t>)</w:t>
      </w:r>
      <w:r>
        <w:rPr>
          <w:b/>
          <w:i/>
        </w:rPr>
        <w:tab/>
        <w:t xml:space="preserve">bezpečná interakcia s funkciami pokročilých asistenčných systémov </w:t>
      </w:r>
      <w:r>
        <w:rPr>
          <w:b/>
          <w:i/>
        </w:rPr>
        <w:t>pre vodiča a ďalšími automatizovanými prvkami vrátane súvisiacich výhod, obmedzení a rizík;</w:t>
      </w:r>
      <w:r>
        <w:rPr>
          <w:b/>
        </w:rPr>
        <w:t xml:space="preserve"> [PN 150]</w:t>
      </w:r>
    </w:p>
    <w:p w:rsidR="006C6719" w:rsidRDefault="00614864">
      <w:pPr>
        <w:widowControl/>
        <w:spacing w:before="120" w:after="120" w:line="360" w:lineRule="auto"/>
        <w:ind w:left="1417" w:hanging="567"/>
        <w:rPr>
          <w:rFonts w:eastAsia="Calibri"/>
          <w:b/>
          <w:noProof/>
          <w:szCs w:val="22"/>
          <w:lang w:eastAsia="en-US"/>
        </w:rPr>
      </w:pPr>
      <w:proofErr w:type="spellStart"/>
      <w:r>
        <w:rPr>
          <w:b/>
          <w:i/>
        </w:rPr>
        <w:t>ic</w:t>
      </w:r>
      <w:proofErr w:type="spellEnd"/>
      <w:r>
        <w:rPr>
          <w:b/>
          <w:i/>
        </w:rPr>
        <w:t>)</w:t>
      </w:r>
      <w:r>
        <w:rPr>
          <w:b/>
          <w:i/>
        </w:rPr>
        <w:tab/>
        <w:t xml:space="preserve">základný regulačný rámec systémov obmedzovania prístupu vozidiel do miest vrátane </w:t>
      </w:r>
      <w:proofErr w:type="spellStart"/>
      <w:r>
        <w:rPr>
          <w:b/>
          <w:i/>
        </w:rPr>
        <w:t>nízkoemisných</w:t>
      </w:r>
      <w:proofErr w:type="spellEnd"/>
      <w:r>
        <w:rPr>
          <w:b/>
          <w:i/>
        </w:rPr>
        <w:t xml:space="preserve"> zón;</w:t>
      </w:r>
      <w:r>
        <w:rPr>
          <w:b/>
        </w:rPr>
        <w:t xml:space="preserve"> [</w:t>
      </w:r>
      <w:proofErr w:type="spellStart"/>
      <w:r>
        <w:rPr>
          <w:b/>
        </w:rPr>
        <w:t>PN</w:t>
      </w:r>
      <w:proofErr w:type="spellEnd"/>
      <w:r>
        <w:rPr>
          <w:b/>
        </w:rPr>
        <w:t> 151]</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3.</w:t>
      </w:r>
      <w:r>
        <w:rPr>
          <w:rFonts w:eastAsia="Calibri"/>
          <w:noProof/>
          <w:color w:val="000000"/>
          <w:szCs w:val="22"/>
          <w:lang w:eastAsia="en-US"/>
        </w:rPr>
        <w:tab/>
        <w:t xml:space="preserve">Osobitné ustanovenia pre skupiny A1, </w:t>
      </w:r>
      <w:r>
        <w:rPr>
          <w:rFonts w:eastAsia="Calibri"/>
          <w:noProof/>
          <w:color w:val="000000"/>
          <w:szCs w:val="22"/>
          <w:lang w:eastAsia="en-US"/>
        </w:rPr>
        <w:t>A2 a A</w:t>
      </w:r>
      <w:r>
        <w:rPr>
          <w:rFonts w:eastAsia="Calibri"/>
          <w:noProof/>
          <w:szCs w:val="22"/>
          <w:lang w:eastAsia="en-US"/>
        </w:rPr>
        <w:t xml:space="preserve"> </w:t>
      </w:r>
    </w:p>
    <w:p w:rsidR="006C6719" w:rsidRDefault="00614864">
      <w:pPr>
        <w:widowControl/>
        <w:spacing w:before="120" w:after="120" w:line="360" w:lineRule="auto"/>
        <w:rPr>
          <w:rFonts w:eastAsia="Calibri"/>
          <w:noProof/>
          <w:szCs w:val="22"/>
          <w:lang w:eastAsia="en-US"/>
        </w:rPr>
      </w:pPr>
      <w:r>
        <w:rPr>
          <w:rFonts w:eastAsia="Calibri"/>
          <w:noProof/>
          <w:szCs w:val="22"/>
          <w:lang w:eastAsia="en-US"/>
        </w:rPr>
        <w:t>Povinná kontrola všeobecných vedomostí o: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použití ochranného vybavenia, ako sú rukavice, čižmy, odev a bezpečnostná prilba;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viditeľnosti vodičov motocyklov pre ostatných účastníkov cestnej premávky;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 xml:space="preserve">rizikových faktoroch týkajúcich sa </w:t>
      </w:r>
      <w:r>
        <w:rPr>
          <w:rFonts w:eastAsia="Calibri"/>
          <w:noProof/>
          <w:szCs w:val="22"/>
          <w:lang w:eastAsia="en-US"/>
        </w:rPr>
        <w:t>rôznych vyššie uvedených podmienok cestnej premávky s dodatočnou pozornosťou na klzké časti, ako sú kryty odvodňovacích kanálov, vodorovné dopravné značky, ako sú čiary a šípky, električkové koľajnice;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mechanických aspektoch, ktoré majú vplyv na bezpeč</w:t>
      </w:r>
      <w:r>
        <w:rPr>
          <w:rFonts w:eastAsia="Calibri"/>
          <w:noProof/>
          <w:szCs w:val="22"/>
          <w:lang w:eastAsia="en-US"/>
        </w:rPr>
        <w:t>nosť cestnej premávky, ako sú uvedené vyššie s dodatočnou pozornosťou na klzké časti, ako sú spínač núdzového zastavenia, mierky hladiny oleja a reťaz. </w:t>
      </w:r>
    </w:p>
    <w:p w:rsidR="006C6719" w:rsidRDefault="00614864">
      <w:pPr>
        <w:widowControl/>
        <w:tabs>
          <w:tab w:val="num" w:pos="850"/>
        </w:tabs>
        <w:spacing w:before="120" w:after="120" w:line="360" w:lineRule="auto"/>
        <w:ind w:left="850" w:hanging="850"/>
        <w:rPr>
          <w:rFonts w:eastAsia="Calibri"/>
          <w:b/>
          <w:bCs/>
          <w:noProof/>
          <w:color w:val="000000"/>
          <w:szCs w:val="22"/>
          <w:lang w:eastAsia="en-US"/>
        </w:rPr>
      </w:pPr>
      <w:r>
        <w:rPr>
          <w:rFonts w:eastAsia="Calibri"/>
          <w:noProof/>
          <w:color w:val="000000"/>
          <w:szCs w:val="22"/>
          <w:lang w:eastAsia="en-US"/>
        </w:rPr>
        <w:t>4.</w:t>
      </w:r>
      <w:r>
        <w:rPr>
          <w:rFonts w:eastAsia="Calibri"/>
          <w:noProof/>
          <w:color w:val="000000"/>
          <w:szCs w:val="22"/>
          <w:lang w:eastAsia="en-US"/>
        </w:rPr>
        <w:tab/>
        <w:t>Osobitné ustanovenia pre skupiny C, CE, C1, C1E, D, DE, D1</w:t>
      </w:r>
      <w:r>
        <w:rPr>
          <w:rFonts w:eastAsia="Calibri"/>
          <w:b/>
          <w:i/>
          <w:noProof/>
          <w:color w:val="000000"/>
          <w:szCs w:val="22"/>
          <w:lang w:eastAsia="en-US"/>
        </w:rPr>
        <w:t>,</w:t>
      </w:r>
      <w:r>
        <w:rPr>
          <w:rFonts w:eastAsia="Calibri"/>
          <w:noProof/>
          <w:color w:val="000000"/>
          <w:szCs w:val="22"/>
          <w:lang w:eastAsia="en-US"/>
        </w:rPr>
        <w:t xml:space="preserve"> </w:t>
      </w:r>
      <w:r>
        <w:rPr>
          <w:rFonts w:eastAsia="Calibri"/>
          <w:strike/>
          <w:noProof/>
          <w:color w:val="000000"/>
          <w:szCs w:val="22"/>
          <w:lang w:eastAsia="en-US"/>
        </w:rPr>
        <w:t>a</w:t>
      </w:r>
      <w:r>
        <w:rPr>
          <w:rFonts w:eastAsia="Calibri"/>
          <w:noProof/>
          <w:color w:val="000000"/>
          <w:szCs w:val="22"/>
          <w:lang w:eastAsia="en-US"/>
        </w:rPr>
        <w:t> D1E</w:t>
      </w:r>
      <w:r>
        <w:rPr>
          <w:rFonts w:eastAsia="Calibri"/>
          <w:noProof/>
          <w:szCs w:val="22"/>
          <w:lang w:eastAsia="en-US"/>
        </w:rPr>
        <w:t xml:space="preserve"> </w:t>
      </w:r>
      <w:r>
        <w:rPr>
          <w:b/>
          <w:i/>
        </w:rPr>
        <w:t>a T</w:t>
      </w:r>
      <w:r>
        <w:rPr>
          <w:b/>
        </w:rPr>
        <w:t xml:space="preserve"> [PN 152]</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Povinná kontrola v</w:t>
      </w:r>
      <w:r>
        <w:rPr>
          <w:rFonts w:eastAsia="Calibri"/>
          <w:noProof/>
          <w:szCs w:val="22"/>
          <w:lang w:eastAsia="en-US"/>
        </w:rPr>
        <w:t>šeobecných vedomostí o: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pravidlách hodín jazdy a dobách odpočinku vymedzených nariadením Európskeho parlamentu a Rady (ES) č. 561/2006</w:t>
      </w:r>
      <w:r>
        <w:rPr>
          <w:rFonts w:eastAsia="Calibri"/>
          <w:noProof/>
          <w:szCs w:val="22"/>
          <w:vertAlign w:val="superscript"/>
          <w:lang w:eastAsia="en-US"/>
        </w:rPr>
        <w:footnoteReference w:id="29"/>
      </w:r>
      <w:r>
        <w:rPr>
          <w:rFonts w:eastAsia="Calibri"/>
          <w:noProof/>
          <w:szCs w:val="22"/>
          <w:lang w:eastAsia="en-US"/>
        </w:rPr>
        <w:t>; používaní záznamového zariadenia vymedzeného nariadením (EÚ) č. 165/2014;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pravidlách o type príslušnej dopravy:</w:t>
      </w:r>
      <w:r>
        <w:rPr>
          <w:rFonts w:eastAsia="Calibri"/>
          <w:noProof/>
          <w:szCs w:val="22"/>
          <w:lang w:eastAsia="en-US"/>
        </w:rPr>
        <w:t xml:space="preserve"> nákladnej alebo osobnej;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dokladoch vozidiel a prepravných dokladoch požadovaných pre vnútroštátnu a medzinárodnú prepravu tovaru a cestujúcich;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d)</w:t>
      </w:r>
      <w:r>
        <w:rPr>
          <w:rFonts w:eastAsia="Calibri"/>
          <w:noProof/>
          <w:szCs w:val="22"/>
          <w:lang w:eastAsia="en-US"/>
        </w:rPr>
        <w:tab/>
        <w:t>tom, ako sa správať v prípade nehody; vedomostiach o opatreniach, ktoré sa majú prijať po nehode aleb</w:t>
      </w:r>
      <w:r>
        <w:rPr>
          <w:rFonts w:eastAsia="Calibri"/>
          <w:noProof/>
          <w:szCs w:val="22"/>
          <w:lang w:eastAsia="en-US"/>
        </w:rPr>
        <w:t xml:space="preserve">o podobnej udalosti, vrátane núdzových opatrení, ako je evakuácia cestujúcich a základných vedomostí o prvej pomoci </w:t>
      </w:r>
      <w:r>
        <w:rPr>
          <w:b/>
          <w:i/>
        </w:rPr>
        <w:t>vrátane KPR</w:t>
      </w:r>
      <w:r>
        <w:rPr>
          <w:rFonts w:eastAsia="Calibri"/>
          <w:noProof/>
          <w:szCs w:val="22"/>
          <w:lang w:eastAsia="en-US"/>
        </w:rPr>
        <w:t>;</w:t>
      </w:r>
      <w:r>
        <w:rPr>
          <w:rFonts w:eastAsia="Calibri"/>
          <w:b/>
          <w:noProof/>
          <w:szCs w:val="22"/>
          <w:lang w:eastAsia="en-US"/>
        </w:rPr>
        <w:t xml:space="preserve"> [PN 153]</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bezpečnostných opatreniach, ktoré sa majú vykonať počas demontáže a výmeny kolies;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 xml:space="preserve">pravidlách o hmotnosti </w:t>
      </w:r>
      <w:r>
        <w:rPr>
          <w:rFonts w:eastAsia="Calibri"/>
          <w:noProof/>
          <w:szCs w:val="22"/>
          <w:lang w:eastAsia="en-US"/>
        </w:rPr>
        <w:t>a rozmeroch vozidiel; pravidlách o obmedzovačoch rýchlosti; </w:t>
      </w:r>
    </w:p>
    <w:p w:rsidR="006C6719" w:rsidRDefault="00614864">
      <w:pPr>
        <w:widowControl/>
        <w:spacing w:before="120" w:after="120" w:line="360" w:lineRule="auto"/>
        <w:ind w:left="1417" w:hanging="567"/>
        <w:rPr>
          <w:rFonts w:eastAsia="Calibri"/>
          <w:b/>
          <w:noProof/>
          <w:szCs w:val="22"/>
          <w:lang w:eastAsia="en-US"/>
        </w:rPr>
      </w:pPr>
      <w:r>
        <w:rPr>
          <w:b/>
          <w:i/>
        </w:rPr>
        <w:t>fa)</w:t>
      </w:r>
      <w:r>
        <w:rPr>
          <w:b/>
          <w:i/>
        </w:rPr>
        <w:tab/>
        <w:t>účele a použití spomaľovačov/výfukov a bŕzd;</w:t>
      </w:r>
      <w:r>
        <w:rPr>
          <w:rFonts w:eastAsia="Calibri"/>
          <w:b/>
          <w:noProof/>
          <w:szCs w:val="22"/>
          <w:lang w:eastAsia="en-US"/>
        </w:rPr>
        <w:t xml:space="preserve"> [PN 154]</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g)</w:t>
      </w:r>
      <w:r>
        <w:rPr>
          <w:rFonts w:eastAsia="Calibri"/>
          <w:noProof/>
          <w:szCs w:val="22"/>
          <w:lang w:eastAsia="en-US"/>
        </w:rPr>
        <w:tab/>
        <w:t>prekážkach vo výhľade spôsobených vlastnosťami ich vozidiel</w:t>
      </w:r>
      <w:r>
        <w:rPr>
          <w:b/>
          <w:i/>
        </w:rPr>
        <w:t xml:space="preserve">, najmä pokiaľ ide o chodcov pred vozidlom a cyklistov zboku </w:t>
      </w:r>
      <w:proofErr w:type="spellStart"/>
      <w:r>
        <w:rPr>
          <w:b/>
          <w:i/>
        </w:rPr>
        <w:t>vozida</w:t>
      </w:r>
      <w:proofErr w:type="spellEnd"/>
      <w:r>
        <w:rPr>
          <w:b/>
          <w:i/>
        </w:rPr>
        <w:t xml:space="preserve"> a pred </w:t>
      </w:r>
      <w:r>
        <w:rPr>
          <w:b/>
          <w:i/>
        </w:rPr>
        <w:t>vozidlom</w:t>
      </w:r>
      <w:r>
        <w:rPr>
          <w:rFonts w:eastAsia="Calibri"/>
          <w:noProof/>
          <w:szCs w:val="22"/>
          <w:lang w:eastAsia="en-US"/>
        </w:rPr>
        <w:t>;</w:t>
      </w:r>
      <w:r>
        <w:rPr>
          <w:rFonts w:eastAsia="Calibri"/>
          <w:b/>
          <w:noProof/>
          <w:szCs w:val="22"/>
          <w:lang w:eastAsia="en-US"/>
        </w:rPr>
        <w:t xml:space="preserve"> [PN 155]</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čítaní cestnej mapy, plánovaní trasy vrátane používania elektronických navigačných systémov (nepovinné); </w:t>
      </w:r>
    </w:p>
    <w:p w:rsidR="006C6719" w:rsidRDefault="00614864">
      <w:pPr>
        <w:widowControl/>
        <w:spacing w:before="120" w:after="120" w:line="360" w:lineRule="auto"/>
        <w:ind w:left="1417" w:hanging="567"/>
        <w:rPr>
          <w:rFonts w:eastAsia="Calibri"/>
          <w:b/>
          <w:noProof/>
          <w:szCs w:val="22"/>
          <w:lang w:eastAsia="en-US"/>
        </w:rPr>
      </w:pPr>
      <w:r>
        <w:rPr>
          <w:b/>
          <w:i/>
        </w:rPr>
        <w:t>ha)</w:t>
      </w:r>
      <w:r>
        <w:rPr>
          <w:b/>
          <w:i/>
        </w:rPr>
        <w:tab/>
        <w:t>defenzívnom a ekologickom vedení vozidla: vzdialenosť od vozidla vpredu; predbiehanie v zákrute, zmena jazdného pruhu, pravi</w:t>
      </w:r>
      <w:r>
        <w:rPr>
          <w:b/>
          <w:i/>
        </w:rPr>
        <w:t>dlá prednosti, obmedzenia rýchlosti;</w:t>
      </w:r>
      <w:r>
        <w:rPr>
          <w:rFonts w:eastAsia="Calibri"/>
          <w:b/>
          <w:noProof/>
          <w:szCs w:val="22"/>
          <w:lang w:eastAsia="en-US"/>
        </w:rPr>
        <w:t xml:space="preserve"> [PN 156]</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i)</w:t>
      </w:r>
      <w:r>
        <w:rPr>
          <w:rFonts w:eastAsia="Calibri"/>
          <w:noProof/>
          <w:szCs w:val="22"/>
          <w:lang w:eastAsia="en-US"/>
        </w:rPr>
        <w:tab/>
        <w:t>bezpečnostných faktoroch týkajúcich sa nákladu vozidla: kontrola nákladu (umiestnenie a upevnenie), ťažkosti s rôznymi druhmi nákladu (napríklad kvapaliny, visiace náklady,…), nakladanie a vykladanie tovar</w:t>
      </w:r>
      <w:r>
        <w:rPr>
          <w:rFonts w:eastAsia="Calibri"/>
          <w:noProof/>
          <w:szCs w:val="22"/>
          <w:lang w:eastAsia="en-US"/>
        </w:rPr>
        <w:t>u a použitie nakladacieho zariadenia (iba pre skupiny C, CE, C1, C1E</w:t>
      </w:r>
      <w:r>
        <w:rPr>
          <w:b/>
          <w:i/>
        </w:rPr>
        <w:t>, T</w:t>
      </w:r>
      <w:r>
        <w:rPr>
          <w:rFonts w:eastAsia="Calibri"/>
          <w:noProof/>
          <w:szCs w:val="22"/>
          <w:lang w:eastAsia="en-US"/>
        </w:rPr>
        <w:t>); </w:t>
      </w:r>
      <w:r>
        <w:rPr>
          <w:rFonts w:eastAsia="Calibri"/>
          <w:b/>
          <w:noProof/>
          <w:szCs w:val="22"/>
          <w:lang w:eastAsia="en-US"/>
        </w:rPr>
        <w:t>[PN 157]</w:t>
      </w:r>
    </w:p>
    <w:p w:rsidR="006C6719" w:rsidRDefault="00614864">
      <w:pPr>
        <w:widowControl/>
        <w:spacing w:before="120" w:after="120" w:line="360" w:lineRule="auto"/>
        <w:ind w:left="1417" w:hanging="567"/>
        <w:rPr>
          <w:rFonts w:eastAsia="Calibri"/>
          <w:b/>
          <w:noProof/>
          <w:szCs w:val="22"/>
          <w:lang w:eastAsia="en-US"/>
        </w:rPr>
      </w:pPr>
      <w:proofErr w:type="spellStart"/>
      <w:r>
        <w:rPr>
          <w:b/>
          <w:i/>
        </w:rPr>
        <w:t>ia</w:t>
      </w:r>
      <w:proofErr w:type="spellEnd"/>
      <w:r>
        <w:rPr>
          <w:b/>
          <w:i/>
        </w:rPr>
        <w:t>)</w:t>
      </w:r>
      <w:r>
        <w:rPr>
          <w:b/>
          <w:i/>
        </w:rPr>
        <w:tab/>
        <w:t>bezpečnostných opatreniach, postupoch a protokoloch týkajúcich sa bezpečných parkovísk;</w:t>
      </w:r>
      <w:r>
        <w:rPr>
          <w:rFonts w:eastAsia="Calibri"/>
          <w:b/>
          <w:noProof/>
          <w:szCs w:val="22"/>
          <w:lang w:eastAsia="en-US"/>
        </w:rPr>
        <w:t xml:space="preserve"> [PN 158]</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j)</w:t>
      </w:r>
      <w:r>
        <w:rPr>
          <w:rFonts w:eastAsia="Calibri"/>
          <w:noProof/>
          <w:szCs w:val="22"/>
          <w:lang w:eastAsia="en-US"/>
        </w:rPr>
        <w:tab/>
        <w:t>zodpovednosti vodiča, pokiaľ ide o prepravu cestujúcich; pohodlí a be</w:t>
      </w:r>
      <w:r>
        <w:rPr>
          <w:rFonts w:eastAsia="Calibri"/>
          <w:noProof/>
          <w:szCs w:val="22"/>
          <w:lang w:eastAsia="en-US"/>
        </w:rPr>
        <w:t>zpečnosti cestujúcich</w:t>
      </w:r>
      <w:r>
        <w:rPr>
          <w:b/>
          <w:i/>
        </w:rPr>
        <w:t>, a najmä osôb so zdravotným postihnutím a zníženou pohyblivosťou, ako aj o vhodnej reakcii v prípade rodovo motivovaného obťažovania a násilia</w:t>
      </w:r>
      <w:r>
        <w:rPr>
          <w:rFonts w:eastAsia="Calibri"/>
          <w:noProof/>
          <w:szCs w:val="22"/>
          <w:lang w:eastAsia="en-US"/>
        </w:rPr>
        <w:t xml:space="preserve">; preprave detí; potrebných kontrolách pred odcestovaním; </w:t>
      </w:r>
      <w:r>
        <w:rPr>
          <w:rFonts w:eastAsia="Calibri"/>
          <w:strike/>
          <w:noProof/>
          <w:szCs w:val="22"/>
          <w:lang w:eastAsia="en-US"/>
        </w:rPr>
        <w:t>všetky druhy autobusov sú súčasťou</w:t>
      </w:r>
      <w:r>
        <w:rPr>
          <w:rFonts w:eastAsia="Calibri"/>
          <w:strike/>
          <w:noProof/>
          <w:szCs w:val="22"/>
          <w:lang w:eastAsia="en-US"/>
        </w:rPr>
        <w:t xml:space="preserve"> teoretickej skúšky</w:t>
      </w:r>
      <w:r>
        <w:rPr>
          <w:rFonts w:eastAsia="Calibri"/>
          <w:noProof/>
          <w:szCs w:val="22"/>
          <w:lang w:eastAsia="en-US"/>
        </w:rPr>
        <w:t xml:space="preserve"> </w:t>
      </w:r>
      <w:r>
        <w:rPr>
          <w:b/>
          <w:i/>
        </w:rPr>
        <w:t>súčasťou teoretickej skúšky</w:t>
      </w:r>
      <w:r>
        <w:t xml:space="preserve"> </w:t>
      </w:r>
      <w:r>
        <w:rPr>
          <w:b/>
          <w:i/>
        </w:rPr>
        <w:t>sú</w:t>
      </w:r>
      <w:r>
        <w:t xml:space="preserve"> </w:t>
      </w:r>
      <w:r>
        <w:rPr>
          <w:b/>
          <w:i/>
        </w:rPr>
        <w:t>všetky druhy autobusov</w:t>
      </w:r>
      <w:r>
        <w:t xml:space="preserve"> </w:t>
      </w:r>
      <w:r>
        <w:rPr>
          <w:rFonts w:eastAsia="Calibri"/>
          <w:noProof/>
          <w:szCs w:val="22"/>
          <w:lang w:eastAsia="en-US"/>
        </w:rPr>
        <w:t>(autobusy verejnej hromadnej dopravy a diaľkové autobusy, autobusy s osobitnými rozmermi,…) (iba pre skupiny D, DE, D1, D1E);</w:t>
      </w:r>
      <w:r>
        <w:rPr>
          <w:rFonts w:eastAsia="Calibri"/>
          <w:b/>
          <w:noProof/>
          <w:szCs w:val="22"/>
          <w:lang w:eastAsia="en-US"/>
        </w:rPr>
        <w:t xml:space="preserve"> [PN 159]</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k)</w:t>
      </w:r>
      <w:r>
        <w:rPr>
          <w:rFonts w:eastAsia="Calibri"/>
          <w:noProof/>
          <w:szCs w:val="22"/>
          <w:lang w:eastAsia="en-US"/>
        </w:rPr>
        <w:tab/>
        <w:t>členské štáty môžu oslobodiť žiadateľa o vod</w:t>
      </w:r>
      <w:r>
        <w:rPr>
          <w:rFonts w:eastAsia="Calibri"/>
          <w:noProof/>
          <w:szCs w:val="22"/>
          <w:lang w:eastAsia="en-US"/>
        </w:rPr>
        <w:t xml:space="preserve">ičský preukaz pre vozidlo skupiny C1 alebo C1E, ktoré nepatrí do oblasti pôsobnosti nariadenia (EÚ) č. 165/2014, od povinnosti preukázať znalosť tém uvedených v bode 4 ods. 1 písm. a) až c).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Povinná kontrola všeobecných vedomostí o týchto dodatočných</w:t>
      </w:r>
      <w:r>
        <w:rPr>
          <w:rFonts w:eastAsia="Calibri"/>
          <w:noProof/>
          <w:szCs w:val="22"/>
          <w:lang w:eastAsia="en-US"/>
        </w:rPr>
        <w:t xml:space="preserve"> ustanoveniach pre skupiny C, CE, D a DE: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zásadách konštrukcie a fungovania: spaľovacích motorov, kvapalín (napríklad motorového oleja, chladiacej kvapaliny, kvapaliny do ostrekovačov), palivového systému, elektrického systému, systému zapaľovania, sys</w:t>
      </w:r>
      <w:r>
        <w:rPr>
          <w:rFonts w:eastAsia="Calibri"/>
          <w:noProof/>
          <w:szCs w:val="22"/>
          <w:lang w:eastAsia="en-US"/>
        </w:rPr>
        <w:t>tému prevodovky (spojka, prevodovka atď.);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mazaní a protimrazovej ochrane;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zásadách konštrukcie, montáže, správneho používania a starostlivosti o pneumatiky;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zásadách druhov, prevádzky, hlavných súčiastok, spojení, používania a každodennej údrž</w:t>
      </w:r>
      <w:r>
        <w:rPr>
          <w:rFonts w:eastAsia="Calibri"/>
          <w:noProof/>
          <w:szCs w:val="22"/>
          <w:lang w:eastAsia="en-US"/>
        </w:rPr>
        <w:t>by brzdových obložení a regulátorov otáčok a používania protiblokovacích bŕzd;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zásadách druhov, prevádzky, hlavných súčiastok, spojenia, používania a každodennej údržby spojovacích systémov (iba pre skupiny CE, DE);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metódach hľadania príčin porúch;</w:t>
      </w:r>
      <w:r>
        <w:rPr>
          <w:rFonts w:eastAsia="Calibri"/>
          <w:noProof/>
          <w:szCs w:val="22"/>
          <w:lang w:eastAsia="en-US"/>
        </w:rPr>
        <w:t>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g)</w:t>
      </w:r>
      <w:r>
        <w:rPr>
          <w:rFonts w:eastAsia="Calibri"/>
          <w:noProof/>
          <w:szCs w:val="22"/>
          <w:lang w:eastAsia="en-US"/>
        </w:rPr>
        <w:tab/>
        <w:t>preventívnej údržbe vozidiel a potrebných prevádzkových opravách;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zodpovednosti vodiča, pokiaľ ide o preberanie, prepravu a dodanie tovaru v súlade s dohodnutými podmienkami (iba pre skupiny C, CE). </w:t>
      </w:r>
    </w:p>
    <w:p w:rsidR="006C6719" w:rsidRDefault="00614864">
      <w:pPr>
        <w:widowControl/>
        <w:spacing w:before="120" w:after="120" w:line="360" w:lineRule="auto"/>
        <w:rPr>
          <w:rFonts w:eastAsia="Calibri"/>
          <w:noProof/>
          <w:szCs w:val="22"/>
          <w:lang w:eastAsia="en-US"/>
        </w:rPr>
      </w:pPr>
      <w:r>
        <w:rPr>
          <w:rFonts w:eastAsia="Calibri"/>
          <w:noProof/>
          <w:szCs w:val="22"/>
          <w:lang w:eastAsia="en-US"/>
        </w:rPr>
        <w:t>B.</w:t>
      </w:r>
      <w:r>
        <w:rPr>
          <w:rFonts w:eastAsia="Calibri"/>
          <w:noProof/>
          <w:szCs w:val="22"/>
          <w:lang w:eastAsia="en-US"/>
        </w:rPr>
        <w:tab/>
        <w:t>SKÚŠKA ZRUČNOSTÍ A SPRÁVANIA </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 xml:space="preserve">Vozidlo </w:t>
      </w:r>
      <w:r>
        <w:rPr>
          <w:rFonts w:eastAsia="Calibri"/>
          <w:noProof/>
          <w:color w:val="000000"/>
          <w:szCs w:val="22"/>
          <w:lang w:eastAsia="en-US"/>
        </w:rPr>
        <w:t>a jeho vybavenie</w:t>
      </w:r>
      <w:r>
        <w:rPr>
          <w:rFonts w:eastAsia="Calibri"/>
          <w:noProof/>
          <w:szCs w:val="22"/>
          <w:lang w:eastAsia="en-US"/>
        </w:rPr>
        <w:t xml:space="preserv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Prevodovka vozidla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Vedenie vozidla s ručnou prevodovkou podlieha zloženiu skúšky zručností a správania vo vozidle s ručnou prevodovkou. </w:t>
      </w:r>
    </w:p>
    <w:p w:rsidR="006C6719" w:rsidRDefault="00614864">
      <w:pPr>
        <w:widowControl/>
        <w:spacing w:before="120" w:after="120" w:line="360" w:lineRule="auto"/>
        <w:ind w:left="1417"/>
        <w:rPr>
          <w:rFonts w:eastAsia="Calibri"/>
          <w:noProof/>
          <w:szCs w:val="22"/>
          <w:lang w:eastAsia="en-US"/>
        </w:rPr>
      </w:pPr>
      <w:r>
        <w:rPr>
          <w:rFonts w:eastAsia="Calibri"/>
          <w:noProof/>
          <w:color w:val="000000"/>
          <w:szCs w:val="22"/>
          <w:lang w:eastAsia="en-US"/>
        </w:rPr>
        <w:t>„Vozidlo s ručnou prevodovkou“ je vozidlo, v ktorom je prítomný pedál spojky (alebo pri skupin</w:t>
      </w:r>
      <w:r>
        <w:rPr>
          <w:rFonts w:eastAsia="Calibri"/>
          <w:noProof/>
          <w:color w:val="000000"/>
          <w:szCs w:val="22"/>
          <w:lang w:eastAsia="en-US"/>
        </w:rPr>
        <w:t xml:space="preserve">ách A, A2 a A1 ručne ovládaná páka) a vodič ho musí ovládať pri rozjazde alebo zastavení vozidla a pri radení prevodových stupňov.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Vozidlá, ktoré nespĺňajú kritériá stanovené v bode 5 ods. 1 písm. a), sa považujú za vozidlá s automatickou prevodovkou</w:t>
      </w:r>
      <w:r>
        <w:rPr>
          <w:rFonts w:eastAsia="Calibri"/>
          <w:noProof/>
          <w:szCs w:val="22"/>
          <w:lang w:eastAsia="en-US"/>
        </w:rPr>
        <w:t>.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Bez toho, aby bol dotknutý bod 5 ods. 1 písm. c), ak žiadateľ podstúpi skúšku zručností a správania vo vozidle s automatickou prevodovkou, táto skutočnosť sa zaznamená na každý vodičský preukaz vydaný na základe takejto skúšky pomocou príslušného kódu Ú</w:t>
      </w:r>
      <w:r>
        <w:rPr>
          <w:rFonts w:eastAsia="Calibri"/>
          <w:noProof/>
          <w:color w:val="000000"/>
          <w:szCs w:val="22"/>
          <w:lang w:eastAsia="en-US"/>
        </w:rPr>
        <w:t>nie stanoveného v časti E prílohy I. Vodičské preukazy s týmto označením sa používajú iba na vedenie vozidiel s automatickou prevodovkou.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Kód Únie vyznačený na vodičskom preukaze skupiny A1, A2, A, B1, B</w:t>
      </w:r>
      <w:r>
        <w:rPr>
          <w:b/>
          <w:i/>
        </w:rPr>
        <w:t>, B+</w:t>
      </w:r>
      <w:r>
        <w:rPr>
          <w:rFonts w:eastAsia="Calibri"/>
          <w:noProof/>
          <w:szCs w:val="22"/>
          <w:lang w:eastAsia="en-US"/>
        </w:rPr>
        <w:t xml:space="preserve"> a BE vydanom na základe skúšky zručností a s</w:t>
      </w:r>
      <w:r>
        <w:rPr>
          <w:rFonts w:eastAsia="Calibri"/>
          <w:noProof/>
          <w:szCs w:val="22"/>
          <w:lang w:eastAsia="en-US"/>
        </w:rPr>
        <w:t xml:space="preserve">právania vykonanej vo vozidle s automatickou prevodovkou sa </w:t>
      </w:r>
      <w:r>
        <w:rPr>
          <w:b/>
          <w:i/>
        </w:rPr>
        <w:t xml:space="preserve">nenariadi, nezobrazí alebo sa </w:t>
      </w:r>
      <w:r>
        <w:rPr>
          <w:rFonts w:eastAsia="Calibri"/>
          <w:noProof/>
          <w:szCs w:val="22"/>
          <w:lang w:eastAsia="en-US"/>
        </w:rPr>
        <w:t>odstráni, ak držiteľ zloží špecializovanú skúšku zručností a správania alebo dokončí špecializovaný výcvik</w:t>
      </w:r>
      <w:r>
        <w:rPr>
          <w:b/>
          <w:i/>
        </w:rPr>
        <w:t>, ktorý môže prebehnúť pred skúškou zručností a správania vo</w:t>
      </w:r>
      <w:r>
        <w:rPr>
          <w:b/>
          <w:i/>
        </w:rPr>
        <w:t xml:space="preserve"> vozidle s automatickou prevodovkou alebo po nej</w:t>
      </w:r>
      <w:r>
        <w:rPr>
          <w:rFonts w:eastAsia="Calibri"/>
          <w:noProof/>
          <w:szCs w:val="22"/>
          <w:lang w:eastAsia="en-US"/>
        </w:rPr>
        <w:t>.</w:t>
      </w:r>
      <w:r>
        <w:rPr>
          <w:rFonts w:eastAsia="Calibri"/>
          <w:b/>
          <w:noProof/>
          <w:szCs w:val="22"/>
          <w:lang w:eastAsia="en-US"/>
        </w:rPr>
        <w:t xml:space="preserve"> [PN 160]</w:t>
      </w:r>
      <w:r>
        <w:rPr>
          <w:rFonts w:eastAsia="Calibri"/>
          <w:noProof/>
          <w:szCs w:val="22"/>
          <w:lang w:eastAsia="en-US"/>
        </w:rPr>
        <w:t>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Členské štáty prijmú opatrenia potrebné na: </w:t>
      </w:r>
    </w:p>
    <w:p w:rsidR="006C6719" w:rsidRDefault="00614864">
      <w:pPr>
        <w:widowControl/>
        <w:spacing w:before="120" w:after="120" w:line="360" w:lineRule="auto"/>
        <w:ind w:left="1985" w:hanging="568"/>
        <w:rPr>
          <w:rFonts w:eastAsia="Calibri"/>
          <w:b/>
          <w:noProof/>
          <w:color w:val="000000"/>
          <w:szCs w:val="22"/>
          <w:lang w:eastAsia="en-US"/>
        </w:rPr>
      </w:pPr>
      <w:r>
        <w:rPr>
          <w:rFonts w:eastAsia="Calibri"/>
          <w:noProof/>
          <w:color w:val="000000"/>
          <w:szCs w:val="22"/>
          <w:lang w:eastAsia="en-US"/>
        </w:rPr>
        <w:t xml:space="preserve">i) </w:t>
      </w:r>
      <w:r>
        <w:rPr>
          <w:rFonts w:eastAsia="Calibri"/>
          <w:noProof/>
          <w:color w:val="000000"/>
          <w:szCs w:val="22"/>
          <w:lang w:eastAsia="en-US"/>
        </w:rPr>
        <w:tab/>
        <w:t>schválenie špecializovaného výcviku a dohľad nad ním</w:t>
      </w:r>
      <w:r>
        <w:rPr>
          <w:b/>
          <w:i/>
        </w:rPr>
        <w:t>, a to aj v</w:t>
      </w:r>
      <w:r>
        <w:t xml:space="preserve"> </w:t>
      </w:r>
      <w:r>
        <w:rPr>
          <w:b/>
          <w:i/>
        </w:rPr>
        <w:t xml:space="preserve">rámci všeobecného výcviku vodičov, </w:t>
      </w:r>
      <w:r>
        <w:rPr>
          <w:rFonts w:eastAsia="Calibri"/>
          <w:noProof/>
          <w:color w:val="000000"/>
          <w:szCs w:val="22"/>
          <w:lang w:eastAsia="en-US"/>
        </w:rPr>
        <w:t>alebo</w:t>
      </w:r>
      <w:r>
        <w:rPr>
          <w:rFonts w:eastAsia="Calibri"/>
          <w:b/>
          <w:noProof/>
          <w:color w:val="000000"/>
          <w:szCs w:val="22"/>
          <w:lang w:eastAsia="en-US"/>
        </w:rPr>
        <w:t xml:space="preserve"> [PN 161]</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5" w:hanging="568"/>
        <w:rPr>
          <w:rFonts w:eastAsia="Calibri"/>
          <w:noProof/>
          <w:color w:val="000000"/>
          <w:szCs w:val="22"/>
          <w:lang w:eastAsia="en-US"/>
        </w:rPr>
      </w:pPr>
      <w:r>
        <w:rPr>
          <w:rFonts w:eastAsia="Calibri"/>
          <w:noProof/>
          <w:color w:val="000000"/>
          <w:szCs w:val="22"/>
          <w:lang w:eastAsia="en-US"/>
        </w:rPr>
        <w:lastRenderedPageBreak/>
        <w:t xml:space="preserve">ii) </w:t>
      </w:r>
      <w:r>
        <w:rPr>
          <w:rFonts w:eastAsia="Calibri"/>
          <w:noProof/>
          <w:color w:val="000000"/>
          <w:szCs w:val="22"/>
          <w:lang w:eastAsia="en-US"/>
        </w:rPr>
        <w:tab/>
      </w:r>
      <w:r>
        <w:t>organizovanie</w:t>
      </w:r>
      <w:r>
        <w:rPr>
          <w:rFonts w:eastAsia="Calibri"/>
          <w:noProof/>
          <w:color w:val="000000"/>
          <w:szCs w:val="22"/>
          <w:lang w:eastAsia="en-US"/>
        </w:rPr>
        <w:t xml:space="preserve"> špecializova</w:t>
      </w:r>
      <w:r>
        <w:rPr>
          <w:rFonts w:eastAsia="Calibri"/>
          <w:noProof/>
          <w:color w:val="000000"/>
          <w:szCs w:val="22"/>
          <w:lang w:eastAsia="en-US"/>
        </w:rPr>
        <w:t>ných skúšok zručností a správania.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Vozidlá použité na výcvik alebo skúšku, na ktoré sa tento bod vzťahuje, majú manuálnu prevodovku a patria do tej skupiny vodičského preukazu, o ktorý účastníci požiadali.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Dĺžka skúšky zručností a správania a prejdená vz</w:t>
      </w:r>
      <w:r>
        <w:rPr>
          <w:rFonts w:eastAsia="Calibri"/>
          <w:noProof/>
          <w:color w:val="000000"/>
          <w:szCs w:val="22"/>
          <w:lang w:eastAsia="en-US"/>
        </w:rPr>
        <w:t xml:space="preserve">dialenosť musia byť dostatočné na to, aby sa posúdili zručnosti a správanie stanovené v bode 6 alebo 7 tejto prílohy, pričom osobitná pozornosť sa venuje ovládaniu prevodovky vozidla.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Súčasťou výcviku sú všetky aspekty uvedené v bode 6 alebo 7 tejto prílohy, pričom osobitná pozornosť sa venuje ovládaniu prevodovky vozidla. Každý účastník vykoná praktickú časť výcviku a preukáže svoje zručnosti a správanie na verejných komunikáciách. Výc</w:t>
      </w:r>
      <w:r>
        <w:rPr>
          <w:rFonts w:eastAsia="Calibri"/>
          <w:noProof/>
          <w:color w:val="000000"/>
          <w:szCs w:val="22"/>
          <w:lang w:eastAsia="en-US"/>
        </w:rPr>
        <w:t xml:space="preserve">vik trvá najmenej 7 hodín.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d)</w:t>
      </w:r>
      <w:r>
        <w:rPr>
          <w:rFonts w:eastAsia="Calibri"/>
          <w:noProof/>
          <w:szCs w:val="22"/>
          <w:lang w:eastAsia="en-US"/>
        </w:rPr>
        <w:tab/>
        <w:t>Osobitné ustanovenia týkajúce sa vozidiel skupiny BE, C, CE, C1, C1E, D, DE, D1</w:t>
      </w:r>
      <w:r>
        <w:rPr>
          <w:rFonts w:eastAsia="Calibri"/>
          <w:b/>
          <w:i/>
          <w:noProof/>
          <w:szCs w:val="22"/>
          <w:lang w:eastAsia="en-US"/>
        </w:rPr>
        <w:t>,</w:t>
      </w:r>
      <w:r>
        <w:rPr>
          <w:rFonts w:eastAsia="Calibri"/>
          <w:noProof/>
          <w:szCs w:val="22"/>
          <w:lang w:eastAsia="en-US"/>
        </w:rPr>
        <w:t xml:space="preserve"> </w:t>
      </w:r>
      <w:r>
        <w:rPr>
          <w:rFonts w:eastAsia="Calibri"/>
          <w:strike/>
          <w:noProof/>
          <w:szCs w:val="22"/>
          <w:lang w:eastAsia="en-US"/>
        </w:rPr>
        <w:t>a </w:t>
      </w:r>
      <w:r>
        <w:rPr>
          <w:rFonts w:eastAsia="Calibri"/>
          <w:noProof/>
          <w:szCs w:val="22"/>
          <w:lang w:eastAsia="en-US"/>
        </w:rPr>
        <w:t xml:space="preserve">D1E </w:t>
      </w:r>
      <w:r>
        <w:rPr>
          <w:rFonts w:eastAsia="Calibri"/>
          <w:b/>
          <w:i/>
          <w:noProof/>
          <w:szCs w:val="22"/>
          <w:lang w:eastAsia="en-US"/>
        </w:rPr>
        <w:t>a T</w:t>
      </w:r>
      <w:r>
        <w:rPr>
          <w:rFonts w:eastAsia="Calibri"/>
          <w:noProof/>
          <w:szCs w:val="22"/>
          <w:lang w:eastAsia="en-US"/>
        </w:rPr>
        <w:t xml:space="preserve"> </w:t>
      </w:r>
      <w:r>
        <w:rPr>
          <w:rFonts w:eastAsia="Calibri"/>
          <w:b/>
          <w:noProof/>
          <w:szCs w:val="22"/>
          <w:lang w:eastAsia="en-US"/>
        </w:rPr>
        <w:t>[PN 162]</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 xml:space="preserve">Členské štáty môžu rozhodnúť, že na vodičský preukaz pre vozidlá skupiny BE, C, CE, C1, C1E, D, DE, D1 alebo D1E sa </w:t>
      </w:r>
      <w:r>
        <w:rPr>
          <w:rFonts w:eastAsia="Calibri"/>
          <w:noProof/>
          <w:color w:val="000000"/>
          <w:szCs w:val="22"/>
          <w:lang w:eastAsia="en-US"/>
        </w:rPr>
        <w:t xml:space="preserve">nezaznamená žiadne obmedzenie týkajúce sa vozidiel s automatickou prevodovkou podľa bodu 5 ods. 1 písm. b), ak je žiadateľ už držiteľom vodičského preukazu získaného na vozidle s ručnou prevodovkou aspoň v jednej z týchto skupín: B, BE, C, CE, C1, C1E, D, </w:t>
      </w:r>
      <w:r>
        <w:rPr>
          <w:rFonts w:eastAsia="Calibri"/>
          <w:noProof/>
          <w:color w:val="000000"/>
          <w:szCs w:val="22"/>
          <w:lang w:eastAsia="en-US"/>
        </w:rPr>
        <w:t>DE, D1 alebo D1E a v priebehu skúšky zručností a správania vykonal činnosti opísané v bode 8 ods. 4.</w:t>
      </w:r>
      <w:r>
        <w:rPr>
          <w:rFonts w:eastAsia="Calibri"/>
          <w:noProof/>
          <w:szCs w:val="22"/>
          <w:lang w:eastAsia="en-US"/>
        </w:rPr>
        <w:t xml:space="preserv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Vozidlá použité pri skúškach zručností a správania sú v súlade s minimálnymi kritériami uvedenými ďalej. Členské štáty môžu stanoviť prísnejšie kritéri</w:t>
      </w:r>
      <w:r>
        <w:rPr>
          <w:rFonts w:eastAsia="Calibri"/>
          <w:noProof/>
          <w:szCs w:val="22"/>
          <w:lang w:eastAsia="en-US"/>
        </w:rPr>
        <w:t>á alebo pridať ďalšie kritériá. Členské štáty môžu na vozidlá skupiny A1, A2 a A používané pri skúške zručností a správania uplatniť toleranciu 5 cm3 pod požadovaný minimálny objem valcov.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a)</w:t>
      </w:r>
      <w:r>
        <w:rPr>
          <w:rFonts w:eastAsia="Calibri"/>
          <w:noProof/>
          <w:szCs w:val="22"/>
          <w:lang w:eastAsia="en-US"/>
        </w:rPr>
        <w:tab/>
        <w:t>Skupina A1: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Motocykel skupiny A1 bez postranného vozíka s vý</w:t>
      </w:r>
      <w:r>
        <w:rPr>
          <w:rFonts w:eastAsia="Calibri"/>
          <w:noProof/>
          <w:color w:val="000000"/>
          <w:szCs w:val="22"/>
          <w:lang w:eastAsia="en-US"/>
        </w:rPr>
        <w:t>konom najviac 11 kW a s pomerom výkonu k hmotnosti najviac 0,1 kW/kg, schopný dosiahnuť rýchlosť najmenej 90 km/h.</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 motocykel poháňaný spaľovacím motorom, musí mať objem valcov motora najmenej 120 cm3.</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 motocykel poháňaný elektrickým mo</w:t>
      </w:r>
      <w:r>
        <w:rPr>
          <w:rFonts w:eastAsia="Calibri"/>
          <w:noProof/>
          <w:color w:val="000000"/>
          <w:szCs w:val="22"/>
          <w:lang w:eastAsia="en-US"/>
        </w:rPr>
        <w:t>torom, musí pomer výkonu k hmotnosti vozidla dosahovať najmenej 0,08 kW/kg.</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Skupina A2: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Motocykel bez postranného vozíka s výkonom najmenej 20 kW, no nepresahujúcim 35 kW, a s pomerom výkonu k hmotnosti najviac 0,2 kW/kg.</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 motocykel poháňaný</w:t>
      </w:r>
      <w:r>
        <w:rPr>
          <w:rFonts w:eastAsia="Calibri"/>
          <w:noProof/>
          <w:color w:val="000000"/>
          <w:szCs w:val="22"/>
          <w:lang w:eastAsia="en-US"/>
        </w:rPr>
        <w:t xml:space="preserve"> spaľovacím motorom, musí mať objem valcov motora najmenej 250 cm3.</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 motocykel poháňaný elektrickým motorom, musí pomer výkonu k hmotnosti vozidla dosahovať najmenej 0,15 kW/kg.</w:t>
      </w:r>
      <w:r>
        <w:rPr>
          <w:rFonts w:eastAsia="Calibri"/>
          <w:noProof/>
          <w:szCs w:val="22"/>
          <w:lang w:eastAsia="en-US"/>
        </w:rPr>
        <w:t xml:space="preserv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c)</w:t>
      </w:r>
      <w:r>
        <w:rPr>
          <w:rFonts w:eastAsia="Calibri"/>
          <w:noProof/>
          <w:szCs w:val="22"/>
          <w:lang w:eastAsia="en-US"/>
        </w:rPr>
        <w:tab/>
        <w:t>Skupina A: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Motocykel bez postranného vozíka, ktorého hmotnosť</w:t>
      </w:r>
      <w:r>
        <w:rPr>
          <w:rFonts w:eastAsia="Calibri"/>
          <w:noProof/>
          <w:color w:val="000000"/>
          <w:szCs w:val="22"/>
          <w:lang w:eastAsia="en-US"/>
        </w:rPr>
        <w:t xml:space="preserve"> v nenaloženom stave je vyššia než 180 kg, s výkonom najmenej 50 kW. Členský štát môže akceptovať toleranciu 5 kg pod požadovanú minimálnu hmotnosť.</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 motocykel poháňaný spaľovacím motorom, musí mať objem valcov motora najmenej 600 cm3.</w:t>
      </w:r>
      <w:r>
        <w:rPr>
          <w:rFonts w:eastAsia="Calibri"/>
          <w:noProof/>
          <w:szCs w:val="22"/>
          <w:lang w:eastAsia="en-US"/>
        </w:rPr>
        <w:t xml:space="preserv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Pokiaľ je</w:t>
      </w:r>
      <w:r>
        <w:rPr>
          <w:rFonts w:eastAsia="Calibri"/>
          <w:noProof/>
          <w:color w:val="000000"/>
          <w:szCs w:val="22"/>
          <w:lang w:eastAsia="en-US"/>
        </w:rPr>
        <w:t xml:space="preserve"> motocykel poháňaný elektrickým motorom, musí pomer výkonu k hmotnosti vozidla dosahovať najmenej 0,25 kW/kg.</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Skupina B: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Štvorkolesové vozidlá skupiny B schopné dosiahnuť rýchlosť najmenej 100 km/h.</w:t>
      </w:r>
      <w:r>
        <w:rPr>
          <w:rFonts w:eastAsia="Calibri"/>
          <w:noProof/>
          <w:szCs w:val="22"/>
          <w:lang w:eastAsia="en-US"/>
        </w:rPr>
        <w:t xml:space="preserv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e)</w:t>
      </w:r>
      <w:r>
        <w:rPr>
          <w:rFonts w:eastAsia="Calibri"/>
          <w:noProof/>
          <w:szCs w:val="22"/>
          <w:lang w:eastAsia="en-US"/>
        </w:rPr>
        <w:tab/>
        <w:t>Skupina BE: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 xml:space="preserve">Jazdná súprava pozostávajúca zo </w:t>
      </w:r>
      <w:r>
        <w:rPr>
          <w:rFonts w:eastAsia="Calibri"/>
          <w:noProof/>
          <w:color w:val="000000"/>
          <w:szCs w:val="22"/>
          <w:lang w:eastAsia="en-US"/>
        </w:rPr>
        <w:t>skúšobného vozidla skupiny B a z prípojného vozidla s maximálnou prípustnou hmotnosťou aspoň 1 000 kg, schopná dosiahnuť rýchlosť najmenej 100 km/h, ktorá nepatrí do skupiny B; nákladný priestor prípojného vozidla pozostáva z uzavretej obdĺžnikovej karosér</w:t>
      </w:r>
      <w:r>
        <w:rPr>
          <w:rFonts w:eastAsia="Calibri"/>
          <w:noProof/>
          <w:color w:val="000000"/>
          <w:szCs w:val="22"/>
          <w:lang w:eastAsia="en-US"/>
        </w:rPr>
        <w:t>ie, ktorá je aspoň taká široká a vysoká ako motorové vozidlo; uzavretá obdĺžniková karoséria môže byť aj mierne užšia ako motorové vozidlo za predpokladu, že výhľad dozadu je možný iba s použitím vonkajších spätných zrkadiel motorového vozidla; prípojné vo</w:t>
      </w:r>
      <w:r>
        <w:rPr>
          <w:rFonts w:eastAsia="Calibri"/>
          <w:noProof/>
          <w:color w:val="000000"/>
          <w:szCs w:val="22"/>
          <w:lang w:eastAsia="en-US"/>
        </w:rPr>
        <w:t>zidlo má reálnu celkovú hmotnosť najmenej 800 kg.</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Skupina B1: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Motorom poháňaná štvorkolka schopná dosiahnuť rýchlosť najmenej 60 km/h.</w:t>
      </w:r>
      <w:r>
        <w:rPr>
          <w:rFonts w:eastAsia="Calibri"/>
          <w:noProof/>
          <w:szCs w:val="22"/>
          <w:lang w:eastAsia="en-US"/>
        </w:rPr>
        <w:t xml:space="preserv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g)</w:t>
      </w:r>
      <w:r>
        <w:rPr>
          <w:rFonts w:eastAsia="Calibri"/>
          <w:noProof/>
          <w:szCs w:val="22"/>
          <w:lang w:eastAsia="en-US"/>
        </w:rPr>
        <w:tab/>
        <w:t>Skupina C: </w:t>
      </w:r>
    </w:p>
    <w:p w:rsidR="006C6719" w:rsidRDefault="00614864">
      <w:pPr>
        <w:widowControl/>
        <w:spacing w:before="120" w:after="120" w:line="360" w:lineRule="auto"/>
        <w:ind w:left="1417"/>
        <w:rPr>
          <w:rFonts w:eastAsia="Calibri"/>
          <w:b/>
          <w:noProof/>
          <w:color w:val="000000"/>
          <w:szCs w:val="22"/>
          <w:lang w:eastAsia="en-US"/>
        </w:rPr>
      </w:pPr>
      <w:r>
        <w:rPr>
          <w:rFonts w:eastAsia="Calibri"/>
          <w:noProof/>
          <w:color w:val="000000"/>
          <w:szCs w:val="22"/>
          <w:lang w:eastAsia="en-US"/>
        </w:rPr>
        <w:t>Vozidlo skupiny C s </w:t>
      </w:r>
      <w:r>
        <w:rPr>
          <w:rFonts w:eastAsia="Calibri"/>
          <w:strike/>
          <w:noProof/>
          <w:color w:val="000000"/>
          <w:szCs w:val="22"/>
          <w:lang w:eastAsia="en-US"/>
        </w:rPr>
        <w:t>maximálnou prípustnou</w:t>
      </w:r>
      <w:r>
        <w:rPr>
          <w:rFonts w:eastAsia="Calibri"/>
          <w:noProof/>
          <w:color w:val="000000"/>
          <w:szCs w:val="22"/>
          <w:lang w:eastAsia="en-US"/>
        </w:rPr>
        <w:t xml:space="preserve"> </w:t>
      </w:r>
      <w:r>
        <w:rPr>
          <w:b/>
          <w:bCs/>
          <w:i/>
          <w:iCs/>
        </w:rPr>
        <w:t>najväčšou</w:t>
      </w:r>
      <w:r>
        <w:t xml:space="preserve"> </w:t>
      </w:r>
      <w:r>
        <w:rPr>
          <w:b/>
          <w:i/>
        </w:rPr>
        <w:t>povolenou</w:t>
      </w:r>
      <w:r>
        <w:t xml:space="preserve"> </w:t>
      </w:r>
      <w:r>
        <w:rPr>
          <w:rFonts w:eastAsia="Calibri"/>
          <w:noProof/>
          <w:color w:val="000000"/>
          <w:szCs w:val="22"/>
          <w:lang w:eastAsia="en-US"/>
        </w:rPr>
        <w:t xml:space="preserve">hmotnosťou najmenej 12 000 kg, dĺžkou najmenej 8 m, so šírkou najmenej 2,40 m a schopné dosiahnuť rýchlosť najmenej 80 km/h; vybavené protiblokovacími brzdami a záznamovým zariadením, ako je vymedzené v nariadení (EÚ) č. 165/2014; </w:t>
      </w:r>
      <w:r>
        <w:rPr>
          <w:rFonts w:eastAsia="Calibri"/>
          <w:strike/>
          <w:noProof/>
          <w:color w:val="000000"/>
          <w:szCs w:val="22"/>
          <w:lang w:eastAsia="en-US"/>
        </w:rPr>
        <w:t>nákladný priestor pozostá</w:t>
      </w:r>
      <w:r>
        <w:rPr>
          <w:rFonts w:eastAsia="Calibri"/>
          <w:strike/>
          <w:noProof/>
          <w:color w:val="000000"/>
          <w:szCs w:val="22"/>
          <w:lang w:eastAsia="en-US"/>
        </w:rPr>
        <w:t>va z uzavretej obdĺžnikovej karosérie, ktorá je aspoň taká široká a vysoká ako kabína vodiča;</w:t>
      </w:r>
      <w:r>
        <w:rPr>
          <w:rFonts w:eastAsia="Calibri"/>
          <w:noProof/>
          <w:color w:val="000000"/>
          <w:szCs w:val="22"/>
          <w:lang w:eastAsia="en-US"/>
        </w:rPr>
        <w:t xml:space="preserve"> vozidlo má najmenšiu reálnu celkovú hmotnosť 10 000 kg.</w:t>
      </w:r>
      <w:r>
        <w:rPr>
          <w:rFonts w:eastAsia="Calibri"/>
          <w:b/>
          <w:noProof/>
          <w:szCs w:val="22"/>
          <w:lang w:eastAsia="en-US"/>
        </w:rPr>
        <w:t xml:space="preserve"> [PN 163]</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Skupina CE: </w:t>
      </w:r>
    </w:p>
    <w:p w:rsidR="006C6719" w:rsidRDefault="00614864">
      <w:pPr>
        <w:widowControl/>
        <w:spacing w:before="120" w:after="120" w:line="360" w:lineRule="auto"/>
        <w:ind w:left="1417"/>
        <w:rPr>
          <w:rFonts w:eastAsia="Calibri"/>
          <w:b/>
          <w:noProof/>
          <w:color w:val="000000"/>
          <w:szCs w:val="22"/>
          <w:lang w:eastAsia="en-US"/>
        </w:rPr>
      </w:pPr>
      <w:r>
        <w:rPr>
          <w:rFonts w:eastAsia="Calibri"/>
          <w:noProof/>
          <w:color w:val="000000"/>
          <w:szCs w:val="22"/>
          <w:lang w:eastAsia="en-US"/>
        </w:rPr>
        <w:t>Buď kĺbové vozidlo, alebo jazdná súprava pozostávajúca zo skúšobného vozidla skup</w:t>
      </w:r>
      <w:r>
        <w:rPr>
          <w:rFonts w:eastAsia="Calibri"/>
          <w:noProof/>
          <w:color w:val="000000"/>
          <w:szCs w:val="22"/>
          <w:lang w:eastAsia="en-US"/>
        </w:rPr>
        <w:t xml:space="preserve">iny C a z prípojného vozidla s dĺžkou najmenej 7,5 m; kĺbové vozidlo aj jazdná súprava majú </w:t>
      </w:r>
      <w:r>
        <w:rPr>
          <w:rFonts w:eastAsia="Calibri"/>
          <w:strike/>
          <w:noProof/>
          <w:color w:val="000000"/>
          <w:szCs w:val="22"/>
          <w:lang w:eastAsia="en-US"/>
        </w:rPr>
        <w:t>maximálnu prípustnú</w:t>
      </w:r>
      <w:r>
        <w:rPr>
          <w:rFonts w:eastAsia="Calibri"/>
          <w:noProof/>
          <w:color w:val="000000"/>
          <w:szCs w:val="22"/>
          <w:lang w:eastAsia="en-US"/>
        </w:rPr>
        <w:t xml:space="preserve"> </w:t>
      </w:r>
      <w:r>
        <w:rPr>
          <w:b/>
          <w:bCs/>
          <w:i/>
          <w:iCs/>
        </w:rPr>
        <w:t>najväčšiu</w:t>
      </w:r>
      <w:r>
        <w:t xml:space="preserve"> </w:t>
      </w:r>
      <w:r>
        <w:rPr>
          <w:b/>
          <w:i/>
        </w:rPr>
        <w:t>povolenú</w:t>
      </w:r>
      <w:r>
        <w:t xml:space="preserve"> </w:t>
      </w:r>
      <w:r>
        <w:rPr>
          <w:rFonts w:eastAsia="Calibri"/>
          <w:noProof/>
          <w:color w:val="000000"/>
          <w:szCs w:val="22"/>
          <w:lang w:eastAsia="en-US"/>
        </w:rPr>
        <w:t xml:space="preserve">hmotnosť najmenej 20 000 kg, dĺžku najmenej 14 m a šírku najmenej 2,40 m, sú schopné dosiahnuť rýchlosť najmenej 80 km/h, sú </w:t>
      </w:r>
      <w:r>
        <w:rPr>
          <w:rFonts w:eastAsia="Calibri"/>
          <w:noProof/>
          <w:color w:val="000000"/>
          <w:szCs w:val="22"/>
          <w:lang w:eastAsia="en-US"/>
        </w:rPr>
        <w:t>vybavené protiblokovacími brzdami</w:t>
      </w:r>
      <w:r>
        <w:rPr>
          <w:b/>
          <w:i/>
        </w:rPr>
        <w:t>,</w:t>
      </w:r>
      <w:r>
        <w:t xml:space="preserve"> </w:t>
      </w:r>
      <w:r>
        <w:rPr>
          <w:b/>
          <w:i/>
        </w:rPr>
        <w:t>točnicou, prevodovkou s minimálne ôsmimi prevodovými stupňami vpred</w:t>
      </w:r>
      <w:r>
        <w:t xml:space="preserve"> </w:t>
      </w:r>
      <w:r>
        <w:rPr>
          <w:rFonts w:eastAsia="Calibri"/>
          <w:noProof/>
          <w:color w:val="000000"/>
          <w:szCs w:val="22"/>
          <w:lang w:eastAsia="en-US"/>
        </w:rPr>
        <w:t xml:space="preserve">a záznamovým zariadením, ako je vymedzené v nariadení (EÚ) č. 165/2014; </w:t>
      </w:r>
      <w:r>
        <w:rPr>
          <w:rFonts w:eastAsia="Calibri"/>
          <w:strike/>
          <w:noProof/>
          <w:color w:val="000000"/>
          <w:szCs w:val="22"/>
          <w:lang w:eastAsia="en-US"/>
        </w:rPr>
        <w:t>nákladný priestor pozostáva z uzavretej obdĺžnikovej karosérie, ktorá je aspoň ta</w:t>
      </w:r>
      <w:r>
        <w:rPr>
          <w:rFonts w:eastAsia="Calibri"/>
          <w:strike/>
          <w:noProof/>
          <w:color w:val="000000"/>
          <w:szCs w:val="22"/>
          <w:lang w:eastAsia="en-US"/>
        </w:rPr>
        <w:t>ká široká a vysoká ako kabína vodiča;</w:t>
      </w:r>
      <w:r>
        <w:rPr>
          <w:rFonts w:eastAsia="Calibri"/>
          <w:noProof/>
          <w:color w:val="000000"/>
          <w:szCs w:val="22"/>
          <w:lang w:eastAsia="en-US"/>
        </w:rPr>
        <w:t xml:space="preserve"> kĺbové vozidlo aj jazdná súprava majú najmenšiu reálnu celkovú hmotnosť 15 000 kg.</w:t>
      </w:r>
      <w:r>
        <w:rPr>
          <w:rFonts w:eastAsia="Calibri"/>
          <w:noProof/>
          <w:szCs w:val="22"/>
          <w:lang w:eastAsia="en-US"/>
        </w:rPr>
        <w:t xml:space="preserve"> </w:t>
      </w:r>
      <w:r>
        <w:rPr>
          <w:rFonts w:eastAsia="Calibri"/>
          <w:b/>
          <w:noProof/>
          <w:szCs w:val="22"/>
          <w:lang w:eastAsia="en-US"/>
        </w:rPr>
        <w:t>[PN 164]</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i)</w:t>
      </w:r>
      <w:r>
        <w:rPr>
          <w:rFonts w:eastAsia="Calibri"/>
          <w:noProof/>
          <w:szCs w:val="22"/>
          <w:lang w:eastAsia="en-US"/>
        </w:rPr>
        <w:tab/>
        <w:t>Skupina C1: </w:t>
      </w:r>
    </w:p>
    <w:p w:rsidR="006C6719" w:rsidRDefault="00614864">
      <w:pPr>
        <w:widowControl/>
        <w:spacing w:before="120" w:after="120" w:line="360" w:lineRule="auto"/>
        <w:ind w:left="1417"/>
        <w:rPr>
          <w:rFonts w:eastAsia="Calibri"/>
          <w:b/>
          <w:noProof/>
          <w:color w:val="000000"/>
          <w:szCs w:val="22"/>
          <w:lang w:eastAsia="en-US"/>
        </w:rPr>
      </w:pPr>
      <w:r>
        <w:rPr>
          <w:rFonts w:eastAsia="Calibri"/>
          <w:noProof/>
          <w:color w:val="000000"/>
          <w:szCs w:val="22"/>
          <w:lang w:eastAsia="en-US"/>
        </w:rPr>
        <w:t>Vozidlo podskupiny C1 s </w:t>
      </w:r>
      <w:r>
        <w:rPr>
          <w:rFonts w:eastAsia="Calibri"/>
          <w:strike/>
          <w:noProof/>
          <w:color w:val="000000"/>
          <w:szCs w:val="22"/>
          <w:lang w:eastAsia="en-US"/>
        </w:rPr>
        <w:t>maximálnou prípustnou</w:t>
      </w:r>
      <w:r>
        <w:rPr>
          <w:rFonts w:eastAsia="Calibri"/>
          <w:noProof/>
          <w:color w:val="000000"/>
          <w:szCs w:val="22"/>
          <w:lang w:eastAsia="en-US"/>
        </w:rPr>
        <w:t xml:space="preserve"> </w:t>
      </w:r>
      <w:r>
        <w:rPr>
          <w:b/>
          <w:bCs/>
          <w:i/>
          <w:iCs/>
        </w:rPr>
        <w:t>najväčšou</w:t>
      </w:r>
      <w:r>
        <w:t xml:space="preserve"> </w:t>
      </w:r>
      <w:r>
        <w:rPr>
          <w:b/>
          <w:i/>
        </w:rPr>
        <w:t xml:space="preserve">povolenou </w:t>
      </w:r>
      <w:r>
        <w:rPr>
          <w:rFonts w:eastAsia="Calibri"/>
          <w:noProof/>
          <w:color w:val="000000"/>
          <w:szCs w:val="22"/>
          <w:lang w:eastAsia="en-US"/>
        </w:rPr>
        <w:t xml:space="preserve">hmotnosťou aspoň 4 000 kg, s dĺžkou aspoň </w:t>
      </w:r>
      <w:r>
        <w:rPr>
          <w:rFonts w:eastAsia="Calibri"/>
          <w:noProof/>
          <w:color w:val="000000"/>
          <w:szCs w:val="22"/>
          <w:lang w:eastAsia="en-US"/>
        </w:rPr>
        <w:t>5 m a schopné dosiahnuť rýchlosť najmenej 80 km/h; vybavené protiblokovacími brzdami a záznamovým zariadením, ako je vymedzené v </w:t>
      </w:r>
      <w:r>
        <w:rPr>
          <w:rFonts w:eastAsia="Calibri"/>
          <w:noProof/>
          <w:szCs w:val="22"/>
          <w:lang w:eastAsia="en-US"/>
        </w:rPr>
        <w:t>nariadení (EÚ) č. 165/2014</w:t>
      </w:r>
      <w:r>
        <w:rPr>
          <w:rFonts w:eastAsia="Calibri"/>
          <w:noProof/>
          <w:color w:val="000000"/>
          <w:szCs w:val="22"/>
          <w:lang w:eastAsia="en-US"/>
        </w:rPr>
        <w:t xml:space="preserve">; </w:t>
      </w:r>
      <w:r>
        <w:rPr>
          <w:rFonts w:eastAsia="Calibri"/>
          <w:strike/>
          <w:noProof/>
          <w:color w:val="000000"/>
          <w:szCs w:val="22"/>
          <w:lang w:eastAsia="en-US"/>
        </w:rPr>
        <w:t>nákladný priestor pozostáva z uzavretej obdĺžnikovej karosérie, ktorá je aspoň taká široká a vysoká</w:t>
      </w:r>
      <w:r>
        <w:rPr>
          <w:rFonts w:eastAsia="Calibri"/>
          <w:strike/>
          <w:noProof/>
          <w:color w:val="000000"/>
          <w:szCs w:val="22"/>
          <w:lang w:eastAsia="en-US"/>
        </w:rPr>
        <w:t xml:space="preserve"> ako kabína vodiča;</w:t>
      </w:r>
      <w:r>
        <w:rPr>
          <w:rFonts w:eastAsia="Calibri"/>
          <w:noProof/>
          <w:szCs w:val="22"/>
          <w:lang w:eastAsia="en-US"/>
        </w:rPr>
        <w:t xml:space="preserve"> </w:t>
      </w:r>
      <w:r>
        <w:rPr>
          <w:rFonts w:eastAsia="Calibri"/>
          <w:b/>
          <w:noProof/>
          <w:szCs w:val="22"/>
          <w:lang w:eastAsia="en-US"/>
        </w:rPr>
        <w:t>[PN 165]</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j)</w:t>
      </w:r>
      <w:r>
        <w:rPr>
          <w:rFonts w:eastAsia="Calibri"/>
          <w:noProof/>
          <w:szCs w:val="22"/>
          <w:lang w:eastAsia="en-US"/>
        </w:rPr>
        <w:tab/>
        <w:t>Skupina C1E: </w:t>
      </w:r>
    </w:p>
    <w:p w:rsidR="006C6719" w:rsidRDefault="00614864">
      <w:pPr>
        <w:widowControl/>
        <w:spacing w:before="120" w:after="120" w:line="360" w:lineRule="auto"/>
        <w:ind w:left="1417"/>
        <w:rPr>
          <w:rFonts w:eastAsia="Calibri"/>
          <w:b/>
          <w:noProof/>
          <w:color w:val="000000"/>
          <w:szCs w:val="22"/>
          <w:lang w:eastAsia="en-US"/>
        </w:rPr>
      </w:pPr>
      <w:r>
        <w:rPr>
          <w:rFonts w:eastAsia="Calibri"/>
          <w:noProof/>
          <w:color w:val="000000"/>
          <w:szCs w:val="22"/>
          <w:lang w:eastAsia="en-US"/>
        </w:rPr>
        <w:t>Jazdná súprava pozostávajúca zo skúšobného vozidla podskupiny C1 a z prípojného vozidla s </w:t>
      </w:r>
      <w:r>
        <w:rPr>
          <w:rFonts w:eastAsia="Calibri"/>
          <w:strike/>
          <w:noProof/>
          <w:color w:val="000000"/>
          <w:szCs w:val="22"/>
          <w:lang w:eastAsia="en-US"/>
        </w:rPr>
        <w:t>maximálnou prípustnou</w:t>
      </w:r>
      <w:r>
        <w:rPr>
          <w:rFonts w:eastAsia="Calibri"/>
          <w:noProof/>
          <w:color w:val="000000"/>
          <w:szCs w:val="22"/>
          <w:lang w:eastAsia="en-US"/>
        </w:rPr>
        <w:t xml:space="preserve"> </w:t>
      </w:r>
      <w:r>
        <w:rPr>
          <w:b/>
          <w:bCs/>
          <w:i/>
          <w:iCs/>
        </w:rPr>
        <w:t>najväčšou</w:t>
      </w:r>
      <w:r>
        <w:t xml:space="preserve"> </w:t>
      </w:r>
      <w:r>
        <w:rPr>
          <w:b/>
          <w:i/>
        </w:rPr>
        <w:t xml:space="preserve">povolenou </w:t>
      </w:r>
      <w:r>
        <w:rPr>
          <w:rFonts w:eastAsia="Calibri"/>
          <w:noProof/>
          <w:color w:val="000000"/>
          <w:szCs w:val="22"/>
          <w:lang w:eastAsia="en-US"/>
        </w:rPr>
        <w:t>hmotnosťou aspoň 1 250 kg; táto jazdná súprava má dĺžku najmenej 8 m a je scho</w:t>
      </w:r>
      <w:r>
        <w:rPr>
          <w:rFonts w:eastAsia="Calibri"/>
          <w:noProof/>
          <w:color w:val="000000"/>
          <w:szCs w:val="22"/>
          <w:lang w:eastAsia="en-US"/>
        </w:rPr>
        <w:t xml:space="preserve">pná dosiahnuť rýchlosť najmenej 80 km/h; </w:t>
      </w:r>
      <w:r>
        <w:rPr>
          <w:rFonts w:eastAsia="Calibri"/>
          <w:strike/>
          <w:noProof/>
          <w:color w:val="000000"/>
          <w:szCs w:val="22"/>
          <w:lang w:eastAsia="en-US"/>
        </w:rPr>
        <w:t xml:space="preserve">nákladný priestor prípojného vozidla pozostáva z uzavretej obdĺžnikovej karosérie, ktorá je aspoň taká široká a vysoká ako kabína vodiča; uzavretá obdĺžniková karoséria môže byť aj trochu užšia než kabína vodiča za </w:t>
      </w:r>
      <w:r>
        <w:rPr>
          <w:rFonts w:eastAsia="Calibri"/>
          <w:strike/>
          <w:noProof/>
          <w:color w:val="000000"/>
          <w:szCs w:val="22"/>
          <w:lang w:eastAsia="en-US"/>
        </w:rPr>
        <w:t xml:space="preserve">predpokladu, že výhľad dozadu je možný iba s použitím vonkajších spätných zrkadiel motorového vozidla; </w:t>
      </w:r>
      <w:r>
        <w:rPr>
          <w:rFonts w:eastAsia="Calibri"/>
          <w:noProof/>
          <w:color w:val="000000"/>
          <w:szCs w:val="22"/>
          <w:lang w:eastAsia="en-US"/>
        </w:rPr>
        <w:t>prípojné vozidlo má reálnu celkovú hmotnosť najmenej 800 kg.</w:t>
      </w:r>
      <w:r>
        <w:rPr>
          <w:rFonts w:eastAsia="Calibri"/>
          <w:noProof/>
          <w:szCs w:val="22"/>
          <w:lang w:eastAsia="en-US"/>
        </w:rPr>
        <w:t xml:space="preserve"> </w:t>
      </w:r>
      <w:r>
        <w:rPr>
          <w:rFonts w:eastAsia="Calibri"/>
          <w:b/>
          <w:noProof/>
          <w:szCs w:val="22"/>
          <w:lang w:eastAsia="en-US"/>
        </w:rPr>
        <w:t>[PN 166]</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k)</w:t>
      </w:r>
      <w:r>
        <w:rPr>
          <w:rFonts w:eastAsia="Calibri"/>
          <w:noProof/>
          <w:szCs w:val="22"/>
          <w:lang w:eastAsia="en-US"/>
        </w:rPr>
        <w:tab/>
        <w:t>Skupina D: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 xml:space="preserve">Vozidlo skupiny D s dĺžkou najmenej 10 m, so šírkou najmenej </w:t>
      </w:r>
      <w:r>
        <w:rPr>
          <w:rFonts w:eastAsia="Calibri"/>
          <w:noProof/>
          <w:color w:val="000000"/>
          <w:szCs w:val="22"/>
          <w:lang w:eastAsia="en-US"/>
        </w:rPr>
        <w:t>2,40 m a schopné dosiahnuť rýchlosť najmenej 80 km/h; vybavené protiblokovacími brzdami a záznamovým zariadením, ako je vymedzené v nariadení (EÚ) č. 165/2014.</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l)</w:t>
      </w:r>
      <w:r>
        <w:rPr>
          <w:rFonts w:eastAsia="Calibri"/>
          <w:noProof/>
          <w:szCs w:val="22"/>
          <w:lang w:eastAsia="en-US"/>
        </w:rPr>
        <w:tab/>
        <w:t>Skupina DE: </w:t>
      </w:r>
    </w:p>
    <w:p w:rsidR="006C6719" w:rsidRDefault="00614864">
      <w:pPr>
        <w:widowControl/>
        <w:spacing w:before="120" w:after="120" w:line="360" w:lineRule="auto"/>
        <w:ind w:left="1417"/>
        <w:rPr>
          <w:rFonts w:eastAsia="Calibri"/>
          <w:b/>
          <w:noProof/>
          <w:color w:val="000000"/>
          <w:szCs w:val="22"/>
          <w:lang w:eastAsia="en-US"/>
        </w:rPr>
      </w:pPr>
      <w:r>
        <w:rPr>
          <w:rFonts w:eastAsia="Calibri"/>
          <w:noProof/>
          <w:color w:val="000000"/>
          <w:szCs w:val="22"/>
          <w:lang w:eastAsia="en-US"/>
        </w:rPr>
        <w:t>Jazdná súprava pozostávajúca zo skúšobného vozidla skupiny D a z prípojného voz</w:t>
      </w:r>
      <w:r>
        <w:rPr>
          <w:rFonts w:eastAsia="Calibri"/>
          <w:noProof/>
          <w:color w:val="000000"/>
          <w:szCs w:val="22"/>
          <w:lang w:eastAsia="en-US"/>
        </w:rPr>
        <w:t>idla s </w:t>
      </w:r>
      <w:r>
        <w:rPr>
          <w:rFonts w:eastAsia="Calibri"/>
          <w:strike/>
          <w:noProof/>
          <w:color w:val="000000"/>
          <w:szCs w:val="22"/>
          <w:lang w:eastAsia="en-US"/>
        </w:rPr>
        <w:t>maximálnou prípustnou</w:t>
      </w:r>
      <w:r>
        <w:rPr>
          <w:rFonts w:eastAsia="Calibri"/>
          <w:noProof/>
          <w:color w:val="000000"/>
          <w:szCs w:val="22"/>
          <w:lang w:eastAsia="en-US"/>
        </w:rPr>
        <w:t xml:space="preserve"> </w:t>
      </w:r>
      <w:r>
        <w:rPr>
          <w:b/>
          <w:bCs/>
          <w:i/>
          <w:iCs/>
        </w:rPr>
        <w:t>najväčšou</w:t>
      </w:r>
      <w:r>
        <w:t xml:space="preserve"> </w:t>
      </w:r>
      <w:r>
        <w:rPr>
          <w:b/>
          <w:i/>
        </w:rPr>
        <w:t>povolenou</w:t>
      </w:r>
      <w:r>
        <w:rPr>
          <w:rFonts w:eastAsia="Calibri"/>
          <w:noProof/>
          <w:color w:val="000000"/>
          <w:szCs w:val="22"/>
          <w:lang w:eastAsia="en-US"/>
        </w:rPr>
        <w:t xml:space="preserve"> hmotnosťou najmenej 1 250 kg, so šírkou aspoň 2,40 m a schopná dosiahnuť rýchlosť najmenej 80 km/h; </w:t>
      </w:r>
      <w:r>
        <w:rPr>
          <w:rFonts w:eastAsia="Calibri"/>
          <w:strike/>
          <w:noProof/>
          <w:color w:val="000000"/>
          <w:szCs w:val="22"/>
          <w:lang w:eastAsia="en-US"/>
        </w:rPr>
        <w:t>nákladný priestor prípojného vozidla pozostáva z uzavretej obdĺžnikovej karosérie, ktorá je najmenej 2 m ši</w:t>
      </w:r>
      <w:r>
        <w:rPr>
          <w:rFonts w:eastAsia="Calibri"/>
          <w:strike/>
          <w:noProof/>
          <w:color w:val="000000"/>
          <w:szCs w:val="22"/>
          <w:lang w:eastAsia="en-US"/>
        </w:rPr>
        <w:t>roká a 2 m vysoká;</w:t>
      </w:r>
      <w:r>
        <w:rPr>
          <w:rFonts w:eastAsia="Calibri"/>
          <w:noProof/>
          <w:color w:val="000000"/>
          <w:szCs w:val="22"/>
          <w:lang w:eastAsia="en-US"/>
        </w:rPr>
        <w:t xml:space="preserve"> prípojné vozidlo má reálnu celkovú hmotnosť najmenej 800 kg.</w:t>
      </w:r>
      <w:r>
        <w:rPr>
          <w:rFonts w:eastAsia="Calibri"/>
          <w:noProof/>
          <w:szCs w:val="22"/>
          <w:lang w:eastAsia="en-US"/>
        </w:rPr>
        <w:t xml:space="preserve"> </w:t>
      </w:r>
      <w:r>
        <w:rPr>
          <w:rFonts w:eastAsia="Calibri"/>
          <w:b/>
          <w:noProof/>
          <w:szCs w:val="22"/>
          <w:lang w:eastAsia="en-US"/>
        </w:rPr>
        <w:t>[PN 167]</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m)</w:t>
      </w:r>
      <w:r>
        <w:rPr>
          <w:rFonts w:eastAsia="Calibri"/>
          <w:noProof/>
          <w:szCs w:val="22"/>
          <w:lang w:eastAsia="en-US"/>
        </w:rPr>
        <w:tab/>
        <w:t>Skupina D1: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Vozidlo podskupiny D1 s maximálnou prípustnou hmotnosťou aspoň 4 000 kg, s dĺžkou aspoň 5 m a schopné dosiahnuť rýchlosť najmenej 80 km/h; vybavené pro</w:t>
      </w:r>
      <w:r>
        <w:rPr>
          <w:rFonts w:eastAsia="Calibri"/>
          <w:noProof/>
          <w:color w:val="000000"/>
          <w:szCs w:val="22"/>
          <w:lang w:eastAsia="en-US"/>
        </w:rPr>
        <w:t>tiblokovacími brzdami a záznamovým zariadením, ako je vymedzené v nariadení (EÚ) č. 165/2014.</w:t>
      </w:r>
      <w:r>
        <w:rPr>
          <w:rFonts w:eastAsia="Calibri"/>
          <w:noProof/>
          <w:szCs w:val="22"/>
          <w:lang w:eastAsia="en-US"/>
        </w:rPr>
        <w:t xml:space="preserv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n)</w:t>
      </w:r>
      <w:r>
        <w:rPr>
          <w:rFonts w:eastAsia="Calibri"/>
          <w:noProof/>
          <w:szCs w:val="22"/>
          <w:lang w:eastAsia="en-US"/>
        </w:rPr>
        <w:tab/>
        <w:t>Skupina D1E: </w:t>
      </w:r>
    </w:p>
    <w:p w:rsidR="006C6719" w:rsidRDefault="00614864">
      <w:pPr>
        <w:widowControl/>
        <w:spacing w:before="120" w:after="120" w:line="360" w:lineRule="auto"/>
        <w:ind w:left="1417"/>
        <w:rPr>
          <w:rFonts w:eastAsia="Calibri"/>
          <w:noProof/>
          <w:color w:val="000000"/>
          <w:szCs w:val="22"/>
          <w:lang w:eastAsia="en-US"/>
        </w:rPr>
      </w:pPr>
      <w:r>
        <w:rPr>
          <w:rFonts w:eastAsia="Calibri"/>
          <w:noProof/>
          <w:color w:val="000000"/>
          <w:szCs w:val="22"/>
          <w:lang w:eastAsia="en-US"/>
        </w:rPr>
        <w:t>Jazdná súprava pozostávajúca zo skúšobného vozidla podskupiny D1 a z prípojného vozidla s maximálnou prípustnou hmotnosťou aspoň 1 250 kg a sc</w:t>
      </w:r>
      <w:r>
        <w:rPr>
          <w:rFonts w:eastAsia="Calibri"/>
          <w:noProof/>
          <w:color w:val="000000"/>
          <w:szCs w:val="22"/>
          <w:lang w:eastAsia="en-US"/>
        </w:rPr>
        <w:t>hopná dosiahnuť rýchlosť najmenej 80 km/h; nákladný priestor prípojného vozidla pozostáva z uzavretej obdĺžnikovej karosérie, ktorá je najmenej 2 m široká a 2 m vysoká; prípojné vozidlo má reálnu celkovú hmotnosť najmenej 800 kg.</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6.</w:t>
      </w:r>
      <w:r>
        <w:rPr>
          <w:rFonts w:eastAsia="Calibri"/>
          <w:noProof/>
          <w:color w:val="000000"/>
          <w:szCs w:val="22"/>
          <w:lang w:eastAsia="en-US"/>
        </w:rPr>
        <w:tab/>
        <w:t>Zručnosti a správanie,</w:t>
      </w:r>
      <w:r>
        <w:rPr>
          <w:rFonts w:eastAsia="Calibri"/>
          <w:noProof/>
          <w:color w:val="000000"/>
          <w:szCs w:val="22"/>
          <w:lang w:eastAsia="en-US"/>
        </w:rPr>
        <w:t xml:space="preserve"> ktoré sa majú skúšať pre skupiny A1, A2 a A</w:t>
      </w:r>
      <w:r>
        <w:rPr>
          <w:rFonts w:eastAsia="Calibri"/>
          <w:noProof/>
          <w:szCs w:val="22"/>
          <w:lang w:eastAsia="en-US"/>
        </w:rPr>
        <w:t xml:space="preserv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Príprava a technická kontrola vozidla vzhľadom na bezpečnosť cestnej premávky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Žiadatelia preukážu, že sú schopní pripraviť sa na bezpečnú jazdu tým, že splnia tieto požiadavky: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upraviť ochranné vybaveni</w:t>
      </w:r>
      <w:r>
        <w:rPr>
          <w:rFonts w:eastAsia="Calibri"/>
          <w:noProof/>
          <w:szCs w:val="22"/>
          <w:lang w:eastAsia="en-US"/>
        </w:rPr>
        <w:t>e, ako sú rukavice, čižmy, odev a bezpečnostná prilba;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uskutočniť náhodnú kontrolu stavu pneumatík, bŕzd, riadenia, spínača núdzového zastavenia (ak je to vhodné), reťaze, mierok hladiny oleja, svetlometov, smeroviek a zvukového výstražného zariadenia.</w:t>
      </w:r>
      <w:r>
        <w:rPr>
          <w:rFonts w:eastAsia="Calibri"/>
          <w:noProof/>
          <w:szCs w:val="22"/>
          <w:lang w:eastAsia="en-US"/>
        </w:rPr>
        <w:t>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 xml:space="preserve">Osobitné úkony, ktoré sa majú odskúšať vzhľadom na bezpečnosť cestnej premávky: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zdvihnutie motocykla na stojan a zloženie zo stojana a tlačenie motocykla bez pomoci motora chôdzou popri vozidle;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zaparkovanie motocykla na stojane;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 xml:space="preserve">musia </w:t>
      </w:r>
      <w:r>
        <w:rPr>
          <w:rFonts w:eastAsia="Calibri"/>
          <w:noProof/>
          <w:szCs w:val="22"/>
          <w:lang w:eastAsia="en-US"/>
        </w:rPr>
        <w:t>sa vykonať aspoň dva úkony pri nízkej rýchlosti vrátane slalomu. Toto umožní vyhodnotiť spôsobilosť pri manipulácii so spojkou v spojení s brzdou, rovnováhou, smerom pohľadu a polohou na motocykli a polohou nôh na nožných opierkach;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musia sa vykonať as</w:t>
      </w:r>
      <w:r>
        <w:rPr>
          <w:rFonts w:eastAsia="Calibri"/>
          <w:noProof/>
          <w:szCs w:val="22"/>
          <w:lang w:eastAsia="en-US"/>
        </w:rPr>
        <w:t>poň dva úkony pri vyššej rýchlosti, z ktorých jeden je pri druhom alebo treťom prevodovom stupni pri rýchlosti najmenej 30 km/h a jeden úkon je vyhýbanie sa prekážke pri minimálnej rýchlosti 50 km/h. Toto umožní vyhodnotiť spôsobilosť v polohe na motocykli</w:t>
      </w:r>
      <w:r>
        <w:rPr>
          <w:rFonts w:eastAsia="Calibri"/>
          <w:noProof/>
          <w:szCs w:val="22"/>
          <w:lang w:eastAsia="en-US"/>
        </w:rPr>
        <w:t>, smere pohľadu, rovnováhy, techniky riadenia a techniky zmeny prevodových stupňov;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brzdenie: uskutočnia sa aspoň dve brzdenia vrátane núdzového brzdenia pri rýchlosti najmenej 50 km/h. Toto umožní vyhodnotenie spôsobilosti pri manipulácii s prednou a </w:t>
      </w:r>
      <w:r>
        <w:rPr>
          <w:rFonts w:eastAsia="Calibri"/>
          <w:noProof/>
          <w:szCs w:val="22"/>
          <w:lang w:eastAsia="en-US"/>
        </w:rPr>
        <w:t>zadnou brzdou, smere pohľadu a polohe na motocykli.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t>Správanie v premávke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Žiadatelia musia vykonať všetky tieto činnosti úplne bezpečne v situáciách bežnej premávky a vykonať všetky nevyhnutné bezpečnostné opatrenia:</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výjazd; po zaparkovaní, po za</w:t>
      </w:r>
      <w:r>
        <w:rPr>
          <w:rFonts w:eastAsia="Calibri"/>
          <w:noProof/>
          <w:szCs w:val="22"/>
          <w:lang w:eastAsia="en-US"/>
        </w:rPr>
        <w:t>stávke v premávke; výjazd z vozovky;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jazda na rovných cestách; prechádzanie okolo vozidiel idúcich v protismere vrátane obmedzených priestorov;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jazda v zákrute;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križovatky: priblíženie sa ku križovatke a prejazd križovatiek a prípojok;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e)</w:t>
      </w:r>
      <w:r>
        <w:rPr>
          <w:rFonts w:eastAsia="Calibri"/>
          <w:noProof/>
          <w:szCs w:val="22"/>
          <w:lang w:eastAsia="en-US"/>
        </w:rPr>
        <w:tab/>
        <w:t>zmen</w:t>
      </w:r>
      <w:r>
        <w:rPr>
          <w:rFonts w:eastAsia="Calibri"/>
          <w:noProof/>
          <w:szCs w:val="22"/>
          <w:lang w:eastAsia="en-US"/>
        </w:rPr>
        <w:t>a smeru: zatáčky doľava a doprava; zmena jazdných pruhov</w:t>
      </w:r>
      <w:r>
        <w:rPr>
          <w:b/>
          <w:i/>
        </w:rPr>
        <w:t>, otočenie</w:t>
      </w:r>
      <w:r>
        <w:rPr>
          <w:rFonts w:eastAsia="Calibri"/>
          <w:noProof/>
          <w:szCs w:val="22"/>
          <w:lang w:eastAsia="en-US"/>
        </w:rPr>
        <w:t xml:space="preserve">; </w:t>
      </w:r>
      <w:r>
        <w:rPr>
          <w:rFonts w:eastAsia="Calibri"/>
          <w:b/>
          <w:noProof/>
          <w:szCs w:val="22"/>
          <w:lang w:eastAsia="en-US"/>
        </w:rPr>
        <w:t>[PN 169]</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vjazd na diaľnicu/výjazd z diaľnice alebo podobných cestných komunikácií (ak sú k dispozícii): zaradenie sa zo zrýchľovacieho pruhu; jazda v spomaľovacom pruhu;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g)</w:t>
      </w:r>
      <w:r>
        <w:rPr>
          <w:rFonts w:eastAsia="Calibri"/>
          <w:noProof/>
          <w:szCs w:val="22"/>
          <w:lang w:eastAsia="en-US"/>
        </w:rPr>
        <w:tab/>
      </w:r>
      <w:r>
        <w:rPr>
          <w:rFonts w:eastAsia="Calibri"/>
          <w:noProof/>
          <w:szCs w:val="22"/>
          <w:lang w:eastAsia="en-US"/>
        </w:rPr>
        <w:t xml:space="preserve">predbiehanie/obiehanie: predbiehanie </w:t>
      </w:r>
      <w:r>
        <w:rPr>
          <w:rFonts w:eastAsia="Calibri"/>
          <w:strike/>
          <w:noProof/>
          <w:szCs w:val="22"/>
          <w:lang w:eastAsia="en-US"/>
        </w:rPr>
        <w:t>inej</w:t>
      </w:r>
      <w:r>
        <w:rPr>
          <w:rFonts w:eastAsia="Calibri"/>
          <w:noProof/>
          <w:szCs w:val="22"/>
          <w:lang w:eastAsia="en-US"/>
        </w:rPr>
        <w:t xml:space="preserve"> </w:t>
      </w:r>
      <w:r>
        <w:rPr>
          <w:b/>
          <w:i/>
        </w:rPr>
        <w:t>iných účastníkov</w:t>
      </w:r>
      <w:r>
        <w:rPr>
          <w:rFonts w:eastAsia="Calibri"/>
          <w:noProof/>
          <w:szCs w:val="22"/>
          <w:lang w:eastAsia="en-US"/>
        </w:rPr>
        <w:t xml:space="preserve"> premávky </w:t>
      </w:r>
      <w:r>
        <w:rPr>
          <w:rFonts w:eastAsia="Calibri"/>
          <w:strike/>
          <w:noProof/>
          <w:szCs w:val="22"/>
          <w:lang w:eastAsia="en-US"/>
        </w:rPr>
        <w:t>(ak je to možné);</w:t>
      </w:r>
      <w:r>
        <w:rPr>
          <w:rFonts w:eastAsia="Calibri"/>
          <w:noProof/>
          <w:szCs w:val="22"/>
          <w:lang w:eastAsia="en-US"/>
        </w:rPr>
        <w:t xml:space="preserve"> </w:t>
      </w:r>
      <w:r>
        <w:rPr>
          <w:b/>
          <w:i/>
        </w:rPr>
        <w:t xml:space="preserve">vrátane cyklistov, používateľov </w:t>
      </w:r>
      <w:proofErr w:type="spellStart"/>
      <w:r>
        <w:rPr>
          <w:b/>
          <w:i/>
        </w:rPr>
        <w:t>mikromobility</w:t>
      </w:r>
      <w:proofErr w:type="spellEnd"/>
      <w:r>
        <w:rPr>
          <w:b/>
          <w:i/>
        </w:rPr>
        <w:t xml:space="preserve">, chodcov; </w:t>
      </w:r>
      <w:r>
        <w:rPr>
          <w:rFonts w:eastAsia="Calibri"/>
          <w:noProof/>
          <w:szCs w:val="22"/>
          <w:lang w:eastAsia="en-US"/>
        </w:rPr>
        <w:t xml:space="preserve">jazda popri prekážkach, napr. zaparkovaných autách; nechať sa predísť inými účastníkmi (ak je to primerané); </w:t>
      </w:r>
      <w:r>
        <w:rPr>
          <w:rFonts w:eastAsia="Calibri"/>
          <w:b/>
          <w:noProof/>
          <w:szCs w:val="22"/>
          <w:lang w:eastAsia="en-US"/>
        </w:rPr>
        <w:t>[PN 1</w:t>
      </w:r>
      <w:r>
        <w:rPr>
          <w:rFonts w:eastAsia="Calibri"/>
          <w:b/>
          <w:noProof/>
          <w:szCs w:val="22"/>
          <w:lang w:eastAsia="en-US"/>
        </w:rPr>
        <w:t>70]</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h)</w:t>
      </w:r>
      <w:r>
        <w:rPr>
          <w:rFonts w:eastAsia="Calibri"/>
          <w:noProof/>
          <w:szCs w:val="22"/>
          <w:lang w:eastAsia="en-US"/>
        </w:rPr>
        <w:tab/>
        <w:t>špeciálne cestné charakteristiky (ak existujú): kruhové objazdy; prejazdy cez železničné priecestia</w:t>
      </w:r>
      <w:r>
        <w:rPr>
          <w:b/>
          <w:i/>
        </w:rPr>
        <w:t>, cyklistické jazdné pruhy</w:t>
      </w:r>
      <w:r>
        <w:rPr>
          <w:rFonts w:eastAsia="Calibri"/>
          <w:noProof/>
          <w:szCs w:val="22"/>
          <w:lang w:eastAsia="en-US"/>
        </w:rPr>
        <w:t xml:space="preserve">; zastávky električiek/autobusov; priechody pre chodcov; jazda do/z dlhých svahov; tunely; </w:t>
      </w:r>
      <w:r>
        <w:rPr>
          <w:rFonts w:eastAsia="Calibri"/>
          <w:b/>
          <w:noProof/>
          <w:szCs w:val="22"/>
          <w:lang w:eastAsia="en-US"/>
        </w:rPr>
        <w:t>[PN 171]</w:t>
      </w:r>
    </w:p>
    <w:p w:rsidR="006C6719" w:rsidRDefault="00614864">
      <w:pPr>
        <w:widowControl/>
        <w:spacing w:before="120" w:after="120" w:line="360" w:lineRule="auto"/>
        <w:ind w:left="1417" w:hanging="567"/>
        <w:rPr>
          <w:rFonts w:eastAsia="Calibri"/>
          <w:b/>
          <w:noProof/>
          <w:szCs w:val="22"/>
          <w:lang w:eastAsia="en-US"/>
        </w:rPr>
      </w:pPr>
      <w:r>
        <w:rPr>
          <w:b/>
          <w:i/>
        </w:rPr>
        <w:t>ha)</w:t>
      </w:r>
      <w:r>
        <w:rPr>
          <w:b/>
          <w:i/>
        </w:rPr>
        <w:tab/>
        <w:t>interakcia s inými v</w:t>
      </w:r>
      <w:r>
        <w:rPr>
          <w:b/>
          <w:i/>
        </w:rPr>
        <w:t>ozidlami vrátane predvídania mŕtveho uhla a primeraného používania smerových svietidiel;</w:t>
      </w:r>
      <w:r>
        <w:rPr>
          <w:rFonts w:eastAsia="Calibri"/>
          <w:b/>
          <w:noProof/>
          <w:szCs w:val="22"/>
          <w:lang w:eastAsia="en-US"/>
        </w:rPr>
        <w:t xml:space="preserve"> [PN 172]</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i)</w:t>
      </w:r>
      <w:r>
        <w:rPr>
          <w:rFonts w:eastAsia="Calibri"/>
          <w:noProof/>
          <w:szCs w:val="22"/>
          <w:lang w:eastAsia="en-US"/>
        </w:rPr>
        <w:tab/>
        <w:t>reakcia na nebezpečné situácie a ich predvídanie posudzované pomocou simulátorov;</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j)</w:t>
      </w:r>
      <w:r>
        <w:rPr>
          <w:rFonts w:eastAsia="Calibri"/>
          <w:noProof/>
          <w:szCs w:val="22"/>
          <w:lang w:eastAsia="en-US"/>
        </w:rPr>
        <w:tab/>
        <w:t>prijatie nevyhnutných bezpečnostných opatrení pri vystupovaní z vozidl</w:t>
      </w:r>
      <w:r>
        <w:rPr>
          <w:rFonts w:eastAsia="Calibri"/>
          <w:noProof/>
          <w:szCs w:val="22"/>
          <w:lang w:eastAsia="en-US"/>
        </w:rPr>
        <w:t>a</w:t>
      </w:r>
      <w:r>
        <w:rPr>
          <w:b/>
          <w:i/>
        </w:rPr>
        <w:t>, najmä s ohľadom na cyklistov</w:t>
      </w:r>
      <w:r>
        <w:rPr>
          <w:rFonts w:eastAsia="Calibri"/>
          <w:noProof/>
          <w:szCs w:val="22"/>
          <w:lang w:eastAsia="en-US"/>
        </w:rPr>
        <w:t xml:space="preserve">. </w:t>
      </w:r>
      <w:r>
        <w:rPr>
          <w:rFonts w:eastAsia="Calibri"/>
          <w:b/>
          <w:noProof/>
          <w:szCs w:val="22"/>
          <w:lang w:eastAsia="en-US"/>
        </w:rPr>
        <w:t>[PN 173]</w:t>
      </w:r>
    </w:p>
    <w:p w:rsidR="006C6719" w:rsidRDefault="00614864">
      <w:pPr>
        <w:widowControl/>
        <w:tabs>
          <w:tab w:val="num" w:pos="850"/>
        </w:tabs>
        <w:spacing w:before="120" w:after="120" w:line="360" w:lineRule="auto"/>
        <w:ind w:left="850" w:hanging="850"/>
        <w:rPr>
          <w:rFonts w:eastAsia="Calibri"/>
          <w:noProof/>
          <w:szCs w:val="22"/>
          <w:lang w:eastAsia="en-US"/>
        </w:rPr>
      </w:pPr>
      <w:r>
        <w:rPr>
          <w:rFonts w:eastAsia="Calibri"/>
          <w:noProof/>
          <w:color w:val="000000"/>
          <w:szCs w:val="22"/>
          <w:lang w:eastAsia="en-US"/>
        </w:rPr>
        <w:t>7.</w:t>
      </w:r>
      <w:r>
        <w:rPr>
          <w:rFonts w:eastAsia="Calibri"/>
          <w:noProof/>
          <w:color w:val="000000"/>
          <w:szCs w:val="22"/>
          <w:lang w:eastAsia="en-US"/>
        </w:rPr>
        <w:tab/>
        <w:t xml:space="preserve">Zručnosti a správanie, ktoré sa majú skúšať pre skupiny B, B1 a BE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Príprava a technická kontrola vozidla vzhľadom na bezpečnosť cestnej premávky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Žiadatelia musia preukázať, že sú schopní pripraviť sa na bezpečné vedenie vozidla tým, že splnia tieto požiadavky: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a)</w:t>
      </w:r>
      <w:r>
        <w:rPr>
          <w:rFonts w:eastAsia="Calibri"/>
          <w:noProof/>
          <w:szCs w:val="22"/>
          <w:lang w:eastAsia="en-US"/>
        </w:rPr>
        <w:tab/>
        <w:t>úprava sedadla do správnej polohy;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nastavenie spätných zrkadiel, bezpečnostných pásov a opierok hlavy, ak existujú;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kontrola z</w:t>
      </w:r>
      <w:r>
        <w:rPr>
          <w:rFonts w:eastAsia="Calibri"/>
          <w:noProof/>
          <w:szCs w:val="22"/>
          <w:lang w:eastAsia="en-US"/>
        </w:rPr>
        <w:t>avretých dverí;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vykonanie náhodnej kontroly stavu pneumatík, riadenia, bŕzd, kvapalín (napr. motorového oleja, chladiacej kvapaliny, kvapaliny ostrekovača), svetiel, svetlometov, smeroviek a zvukového výstražného zariadenia;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kontrola bezpečnostných</w:t>
      </w:r>
      <w:r>
        <w:rPr>
          <w:rFonts w:eastAsia="Calibri"/>
          <w:noProof/>
          <w:szCs w:val="22"/>
          <w:lang w:eastAsia="en-US"/>
        </w:rPr>
        <w:t xml:space="preserve"> faktorov súvisiacich s nakladaním: korba, plachty, nákladové dvere, zaistenie kabíny, spôsob nakladania, zabezpečenie nákladu (iba pre skupinu BE);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kontrola spojovacieho mechanizmu a brzdy a elektrických spojov (iba pre skupinu BE).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Skupiny B a B1</w:t>
      </w:r>
      <w:r>
        <w:rPr>
          <w:rFonts w:eastAsia="Calibri"/>
          <w:noProof/>
          <w:szCs w:val="22"/>
          <w:lang w:eastAsia="en-US"/>
        </w:rPr>
        <w:t>: majú sa odskúšať osobitné úkony vzhľadom na bezpečnosť cestnej premávky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Skúša sa výber z týchto úkonov (aspoň dva úkony za štyri body vrátane jedného so spiatočkou):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a)</w:t>
      </w:r>
      <w:r>
        <w:rPr>
          <w:rFonts w:eastAsia="Calibri"/>
          <w:noProof/>
          <w:szCs w:val="22"/>
          <w:lang w:eastAsia="en-US"/>
        </w:rPr>
        <w:tab/>
        <w:t xml:space="preserve">cúvanie priamo alebo so zatáčaním vpravo alebo vľavo okolo rohu pri zachovaní </w:t>
      </w:r>
      <w:r>
        <w:rPr>
          <w:rFonts w:eastAsia="Calibri"/>
          <w:noProof/>
          <w:szCs w:val="22"/>
          <w:lang w:eastAsia="en-US"/>
        </w:rPr>
        <w:t>určeného smeru;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otočenie vozidla do protismeru s použitím prevodovej páky a spätného chodu;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zaparkovanie vozidla a výjazd z parkovacieho miesta (pozdĺžne, šikmé alebo kolmé, dopredu alebo cúvaním, na rovine, pri stúpaní a klesaní);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presné brzde</w:t>
      </w:r>
      <w:r>
        <w:rPr>
          <w:rFonts w:eastAsia="Calibri"/>
          <w:noProof/>
          <w:szCs w:val="22"/>
          <w:lang w:eastAsia="en-US"/>
        </w:rPr>
        <w:t>nie do zastavenia; uskutočnenie núdzového zastavenia je však nepovinné.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 xml:space="preserve">Skupina BE: majú sa odskúšať osobitné úkony vzhľadom na bezpečnosť cestnej premávky: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pripojenie a odpojenie alebo odpojenie prípojného vozidla od motorového vozidla a jeho opät</w:t>
      </w:r>
      <w:r>
        <w:rPr>
          <w:rFonts w:eastAsia="Calibri"/>
          <w:noProof/>
          <w:szCs w:val="22"/>
          <w:lang w:eastAsia="en-US"/>
        </w:rPr>
        <w:t>ovné pripojenie; tento úkon musí obsahovať zaparkovanie ťažného vozidla vedľa prípojného vozidla (t. j. nie v jednej línii);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cúvanie v zákrute, ktorej krivka závisí od rozhodnutia členských štátov;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bezpečné zaparkovanie kvôli nakladaniu/vykladaniu.</w:t>
      </w:r>
      <w:r>
        <w:rPr>
          <w:rFonts w:eastAsia="Calibri"/>
          <w:noProof/>
          <w:szCs w:val="22"/>
          <w:lang w:eastAsia="en-US"/>
        </w:rPr>
        <w:t>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t>Správanie v premávke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Žiadatelia musia vykonať všetky tieto činnosti úplne bezpečne v situáciách bežnej premávky a vykonať všetky nevyhnutné bezpečnostné opatrenia: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výjazd: po zaparkovaní, po zastavení v premávke; výjazd z vozovky;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 xml:space="preserve">jazda na </w:t>
      </w:r>
      <w:r>
        <w:rPr>
          <w:rFonts w:eastAsia="Calibri"/>
          <w:noProof/>
          <w:szCs w:val="22"/>
          <w:lang w:eastAsia="en-US"/>
        </w:rPr>
        <w:t>rovných cestách; prechádzanie okolo vozidiel idúcich v protismere vrátane obmedzených priestorov;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vedenie vozidla v zákrutách;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križovatky: priblíženie sa ku križovatke a prejazd križovatiek a prípojok;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zmena smeru: zatáčky doľava a doprava; zme</w:t>
      </w:r>
      <w:r>
        <w:rPr>
          <w:rFonts w:eastAsia="Calibri"/>
          <w:noProof/>
          <w:szCs w:val="22"/>
          <w:lang w:eastAsia="en-US"/>
        </w:rPr>
        <w:t>na jazdných pruhov;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vjazd na diaľnicu/výjazd z diaľnice alebo podobných cestných komunikácií (ak sú k dispozícii): zaradenie sa zo zrýchľovacieho pruhu; jazda v spomaľovacom pruhu;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g)</w:t>
      </w:r>
      <w:r>
        <w:rPr>
          <w:rFonts w:eastAsia="Calibri"/>
          <w:noProof/>
          <w:szCs w:val="22"/>
          <w:lang w:eastAsia="en-US"/>
        </w:rPr>
        <w:tab/>
        <w:t xml:space="preserve">predbiehanie/obiehanie: predbiehanie </w:t>
      </w:r>
      <w:r>
        <w:rPr>
          <w:rFonts w:eastAsia="Calibri"/>
          <w:strike/>
          <w:noProof/>
          <w:szCs w:val="22"/>
          <w:lang w:eastAsia="en-US"/>
        </w:rPr>
        <w:t>inej</w:t>
      </w:r>
      <w:r>
        <w:rPr>
          <w:rFonts w:eastAsia="Calibri"/>
          <w:noProof/>
          <w:szCs w:val="22"/>
          <w:lang w:eastAsia="en-US"/>
        </w:rPr>
        <w:t xml:space="preserve"> </w:t>
      </w:r>
      <w:r>
        <w:rPr>
          <w:b/>
          <w:i/>
        </w:rPr>
        <w:t>iných účastníkov cestnej</w:t>
      </w:r>
      <w:r>
        <w:t xml:space="preserve"> </w:t>
      </w:r>
      <w:r>
        <w:rPr>
          <w:rFonts w:eastAsia="Calibri"/>
          <w:noProof/>
          <w:szCs w:val="22"/>
          <w:lang w:eastAsia="en-US"/>
        </w:rPr>
        <w:t xml:space="preserve">premávky </w:t>
      </w:r>
      <w:r>
        <w:rPr>
          <w:b/>
          <w:i/>
        </w:rPr>
        <w:t>vrátane cyklistov</w:t>
      </w:r>
      <w:r>
        <w:t xml:space="preserve"> </w:t>
      </w:r>
      <w:r>
        <w:rPr>
          <w:rFonts w:eastAsia="Calibri"/>
          <w:noProof/>
          <w:szCs w:val="22"/>
          <w:lang w:eastAsia="en-US"/>
        </w:rPr>
        <w:t xml:space="preserve">(ak je to možné); jazda popri prekážkach, napríklad zaparkovaných autách; nechať sa predísť inými účastníkmi (ak je to primerané); </w:t>
      </w:r>
      <w:r>
        <w:rPr>
          <w:rFonts w:eastAsia="Calibri"/>
          <w:b/>
          <w:noProof/>
          <w:szCs w:val="22"/>
          <w:lang w:eastAsia="en-US"/>
        </w:rPr>
        <w:t>[PN 174]</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b/>
          <w:i/>
        </w:rPr>
        <w:lastRenderedPageBreak/>
        <w:t>ga)</w:t>
      </w:r>
      <w:r>
        <w:rPr>
          <w:b/>
          <w:i/>
        </w:rPr>
        <w:tab/>
        <w:t>nezávislá jazda na určené miesto určenia nad rámec konkrétnych označení odbočenia;</w:t>
      </w:r>
      <w:r>
        <w:rPr>
          <w:rFonts w:eastAsia="Calibri"/>
          <w:b/>
          <w:noProof/>
          <w:szCs w:val="22"/>
          <w:lang w:eastAsia="en-US"/>
        </w:rPr>
        <w:t xml:space="preserve"> [PN 175]</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h)</w:t>
      </w:r>
      <w:r>
        <w:rPr>
          <w:rFonts w:eastAsia="Calibri"/>
          <w:noProof/>
          <w:szCs w:val="22"/>
          <w:lang w:eastAsia="en-US"/>
        </w:rPr>
        <w:tab/>
        <w:t xml:space="preserve">špeciálne cestné charakteristiky (ak existujú): kruhové objazdy; </w:t>
      </w:r>
      <w:r>
        <w:rPr>
          <w:b/>
          <w:i/>
        </w:rPr>
        <w:t>jazda kruhovým objazdom veľkým vozidlom; pravostranná a ľavostranná jazda;</w:t>
      </w:r>
      <w:r>
        <w:t xml:space="preserve"> </w:t>
      </w:r>
      <w:r>
        <w:rPr>
          <w:rFonts w:eastAsia="Calibri"/>
          <w:noProof/>
          <w:szCs w:val="22"/>
          <w:lang w:eastAsia="en-US"/>
        </w:rPr>
        <w:t xml:space="preserve">prejazdy cez železničné priecestia; zastávky električiek/autobusov; priechody pre chodcov; </w:t>
      </w:r>
      <w:r>
        <w:rPr>
          <w:b/>
          <w:i/>
        </w:rPr>
        <w:t xml:space="preserve">cyklistické </w:t>
      </w:r>
      <w:r>
        <w:rPr>
          <w:b/>
          <w:i/>
        </w:rPr>
        <w:t xml:space="preserve">pruhy; </w:t>
      </w:r>
      <w:r>
        <w:rPr>
          <w:rFonts w:eastAsia="Calibri"/>
          <w:noProof/>
          <w:szCs w:val="22"/>
          <w:lang w:eastAsia="en-US"/>
        </w:rPr>
        <w:t xml:space="preserve">jazda do/z dlhých svahov; </w:t>
      </w:r>
      <w:r>
        <w:rPr>
          <w:b/>
          <w:i/>
        </w:rPr>
        <w:t>zmeny sklonu;</w:t>
      </w:r>
      <w:r>
        <w:t xml:space="preserve"> </w:t>
      </w:r>
      <w:r>
        <w:rPr>
          <w:rFonts w:eastAsia="Calibri"/>
          <w:noProof/>
          <w:szCs w:val="22"/>
          <w:lang w:eastAsia="en-US"/>
        </w:rPr>
        <w:t xml:space="preserve">tunely; </w:t>
      </w:r>
      <w:r>
        <w:rPr>
          <w:rFonts w:eastAsia="Calibri"/>
          <w:b/>
          <w:noProof/>
          <w:szCs w:val="22"/>
          <w:lang w:eastAsia="en-US"/>
        </w:rPr>
        <w:t>[PN 176]</w:t>
      </w:r>
    </w:p>
    <w:p w:rsidR="006C6719" w:rsidRDefault="00614864">
      <w:pPr>
        <w:widowControl/>
        <w:spacing w:before="120" w:after="120" w:line="360" w:lineRule="auto"/>
        <w:ind w:left="1417" w:hanging="567"/>
        <w:rPr>
          <w:rFonts w:eastAsia="Calibri"/>
          <w:b/>
          <w:noProof/>
          <w:szCs w:val="22"/>
          <w:lang w:eastAsia="en-US"/>
        </w:rPr>
      </w:pPr>
      <w:r>
        <w:rPr>
          <w:b/>
          <w:i/>
        </w:rPr>
        <w:t>ha)</w:t>
      </w:r>
      <w:r>
        <w:rPr>
          <w:b/>
          <w:i/>
        </w:rPr>
        <w:tab/>
        <w:t>interakcia s inými používateľmi ciest vrátane predvídania mŕtveho uhla a primeraného používania smerových svietidiel;</w:t>
      </w:r>
      <w:r>
        <w:rPr>
          <w:rFonts w:eastAsia="Calibri"/>
          <w:b/>
          <w:noProof/>
          <w:szCs w:val="22"/>
          <w:lang w:eastAsia="en-US"/>
        </w:rPr>
        <w:t xml:space="preserve"> [PN 177]</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i)</w:t>
      </w:r>
      <w:r>
        <w:rPr>
          <w:rFonts w:eastAsia="Calibri"/>
          <w:noProof/>
          <w:szCs w:val="22"/>
          <w:lang w:eastAsia="en-US"/>
        </w:rPr>
        <w:tab/>
      </w:r>
      <w:r>
        <w:rPr>
          <w:rFonts w:eastAsia="Calibri"/>
          <w:strike/>
          <w:noProof/>
          <w:szCs w:val="22"/>
          <w:lang w:eastAsia="en-US"/>
        </w:rPr>
        <w:t>prijatie potrebných bezpečnostných opatrení pri vystupovan</w:t>
      </w:r>
      <w:r>
        <w:rPr>
          <w:rFonts w:eastAsia="Calibri"/>
          <w:strike/>
          <w:noProof/>
          <w:szCs w:val="22"/>
          <w:lang w:eastAsia="en-US"/>
        </w:rPr>
        <w:t>í z</w:t>
      </w:r>
      <w:r>
        <w:rPr>
          <w:rFonts w:eastAsia="Calibri"/>
          <w:noProof/>
          <w:szCs w:val="22"/>
          <w:lang w:eastAsia="en-US"/>
        </w:rPr>
        <w:t> </w:t>
      </w:r>
      <w:r>
        <w:rPr>
          <w:b/>
          <w:i/>
        </w:rPr>
        <w:t>nastupovanie do vozidla a vystupovanie z vozidla vrátane uistenia sa o</w:t>
      </w:r>
      <w:r>
        <w:t> </w:t>
      </w:r>
      <w:r>
        <w:rPr>
          <w:b/>
          <w:i/>
        </w:rPr>
        <w:t xml:space="preserve">tom, že je bezpečné otvoriť dvere </w:t>
      </w:r>
      <w:r>
        <w:rPr>
          <w:rFonts w:eastAsia="Calibri"/>
          <w:noProof/>
          <w:szCs w:val="22"/>
          <w:lang w:eastAsia="en-US"/>
        </w:rPr>
        <w:t xml:space="preserve">vozidla </w:t>
      </w:r>
      <w:r>
        <w:rPr>
          <w:b/>
          <w:i/>
        </w:rPr>
        <w:t xml:space="preserve">a že to nepredstavuje nebezpečenstvo pre iných účastníkov cestnej premávky, ako sú chodci, cyklisti a používatelia </w:t>
      </w:r>
      <w:proofErr w:type="spellStart"/>
      <w:r>
        <w:rPr>
          <w:b/>
          <w:i/>
        </w:rPr>
        <w:t>mikromobility</w:t>
      </w:r>
      <w:proofErr w:type="spellEnd"/>
      <w:r>
        <w:rPr>
          <w:b/>
          <w:i/>
        </w:rPr>
        <w:t>, s osobitn</w:t>
      </w:r>
      <w:r>
        <w:rPr>
          <w:b/>
          <w:i/>
        </w:rPr>
        <w:t>ým dôrazom na otváranie dverí rukou, ktorá je od nich ďalej</w:t>
      </w:r>
      <w:r>
        <w:rPr>
          <w:rFonts w:eastAsia="Calibri"/>
          <w:noProof/>
          <w:szCs w:val="22"/>
          <w:lang w:eastAsia="en-US"/>
        </w:rPr>
        <w:t>;</w:t>
      </w:r>
      <w:r>
        <w:rPr>
          <w:rFonts w:eastAsia="Calibri"/>
          <w:b/>
          <w:noProof/>
          <w:szCs w:val="22"/>
          <w:lang w:eastAsia="en-US"/>
        </w:rPr>
        <w:t xml:space="preserve"> [PN 178]</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j)</w:t>
      </w:r>
      <w:r>
        <w:rPr>
          <w:rFonts w:eastAsia="Calibri"/>
          <w:noProof/>
          <w:szCs w:val="22"/>
          <w:lang w:eastAsia="en-US"/>
        </w:rPr>
        <w:tab/>
        <w:t xml:space="preserve">reakcia na nebezpečné situácie a ich predvídanie posudzované </w:t>
      </w:r>
      <w:r>
        <w:rPr>
          <w:rFonts w:eastAsia="Calibri"/>
          <w:b/>
          <w:i/>
          <w:noProof/>
          <w:szCs w:val="22"/>
          <w:lang w:eastAsia="en-US"/>
        </w:rPr>
        <w:t>aj</w:t>
      </w:r>
      <w:r>
        <w:rPr>
          <w:rFonts w:eastAsia="Calibri"/>
          <w:noProof/>
          <w:szCs w:val="22"/>
          <w:lang w:eastAsia="en-US"/>
        </w:rPr>
        <w:t xml:space="preserve"> pomocou </w:t>
      </w:r>
      <w:r>
        <w:rPr>
          <w:rFonts w:eastAsia="Calibri"/>
          <w:strike/>
          <w:noProof/>
          <w:szCs w:val="22"/>
          <w:lang w:eastAsia="en-US"/>
        </w:rPr>
        <w:t>simulátorov</w:t>
      </w:r>
      <w:r>
        <w:rPr>
          <w:rFonts w:eastAsia="Calibri"/>
          <w:noProof/>
          <w:szCs w:val="22"/>
          <w:lang w:eastAsia="en-US"/>
        </w:rPr>
        <w:t xml:space="preserve"> </w:t>
      </w:r>
      <w:r>
        <w:rPr>
          <w:b/>
          <w:i/>
        </w:rPr>
        <w:t>trenažérov</w:t>
      </w:r>
      <w:r>
        <w:rPr>
          <w:rFonts w:eastAsia="Calibri"/>
          <w:noProof/>
          <w:szCs w:val="22"/>
          <w:lang w:eastAsia="en-US"/>
        </w:rPr>
        <w:t>.</w:t>
      </w:r>
      <w:r>
        <w:rPr>
          <w:rFonts w:eastAsia="Calibri"/>
          <w:b/>
          <w:noProof/>
          <w:szCs w:val="22"/>
          <w:lang w:eastAsia="en-US"/>
        </w:rPr>
        <w:t xml:space="preserve"> [PN 179]</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lastRenderedPageBreak/>
        <w:t>8.</w:t>
      </w:r>
      <w:r>
        <w:rPr>
          <w:rFonts w:eastAsia="Calibri"/>
          <w:noProof/>
          <w:color w:val="000000"/>
          <w:szCs w:val="22"/>
          <w:lang w:eastAsia="en-US"/>
        </w:rPr>
        <w:tab/>
        <w:t xml:space="preserve">Zručnosti a správanie, ktoré sa má skúšať v prípade skupín C, CE, C1, </w:t>
      </w:r>
      <w:r>
        <w:rPr>
          <w:rFonts w:eastAsia="Calibri"/>
          <w:noProof/>
          <w:color w:val="000000"/>
          <w:szCs w:val="22"/>
          <w:lang w:eastAsia="en-US"/>
        </w:rPr>
        <w:t>C1E, D, DE, D1 a D1E</w:t>
      </w:r>
      <w:r>
        <w:rPr>
          <w:rFonts w:eastAsia="Calibri"/>
          <w:noProof/>
          <w:szCs w:val="22"/>
          <w:lang w:eastAsia="en-US"/>
        </w:rPr>
        <w:t xml:space="preserv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Príprava a technická kontrola vozidla vzhľadom na bezpečnosť cestnej premávky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Žiadatelia musia preukázať, že sú schopní pripraviť sa na bezpečné vedenie vozidla tým, že splnia tieto požiadavky: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 xml:space="preserve">úprava sedadla do správnej </w:t>
      </w:r>
      <w:r>
        <w:rPr>
          <w:rFonts w:eastAsia="Calibri"/>
          <w:noProof/>
          <w:szCs w:val="22"/>
          <w:lang w:eastAsia="en-US"/>
        </w:rPr>
        <w:t>polohy;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nastavenie spätných zrkadiel, bezpečnostných pásov a opierok hlavy, ak existujú;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náhodné kontroly stavu pneumatík, riadenia, bŕzd, svetiel, svetlometov, smeroviek a zvukového výstražného zariadenia;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kontrola všetkých brzdových a riadiac</w:t>
      </w:r>
      <w:r>
        <w:rPr>
          <w:rFonts w:eastAsia="Calibri"/>
          <w:noProof/>
          <w:szCs w:val="22"/>
          <w:lang w:eastAsia="en-US"/>
        </w:rPr>
        <w:t>ich systémov s posilňovačom; kontrola stavu kolies, matíc pre upevnenie kolies, blatníkov, čelného skla, okien a stieračov, kvapalín (napr. motorového oleja, chladiacej kvapaliny, kvapaliny ostrekovača); kontrola a používanie prístrojovej dosky vrátane záz</w:t>
      </w:r>
      <w:r>
        <w:rPr>
          <w:rFonts w:eastAsia="Calibri"/>
          <w:noProof/>
          <w:szCs w:val="22"/>
          <w:lang w:eastAsia="en-US"/>
        </w:rPr>
        <w:t>namového zariadenia, ako je vymedzené v nariadení (EÚ) č. 165/2014. Táto posledná požiadavka sa neuplatňuje na žiadateľov o vodičský preukaz na vozidlo skupiny C1 alebo C1E, ktoré nepatrí do oblasti pôsobnosti tohto nariadenia;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e)</w:t>
      </w:r>
      <w:r>
        <w:rPr>
          <w:rFonts w:eastAsia="Calibri"/>
          <w:noProof/>
          <w:szCs w:val="22"/>
          <w:lang w:eastAsia="en-US"/>
        </w:rPr>
        <w:tab/>
        <w:t>kontrola tlaku vzduchu</w:t>
      </w:r>
      <w:r>
        <w:rPr>
          <w:rFonts w:eastAsia="Calibri"/>
          <w:noProof/>
          <w:szCs w:val="22"/>
          <w:lang w:eastAsia="en-US"/>
        </w:rPr>
        <w:t>, zásobníkov vzduchu a tlmičov;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kontrola bezpečnostných faktorov súvisiacich s nakladaním: korba, plachty, nákladové dvere, nakladací mechanizmus (ak existuje), zaistenie kabíny (ak existuje), spôsob nakladania, zabezpečenia nákladu (iba pre skupiny C,</w:t>
      </w:r>
      <w:r>
        <w:rPr>
          <w:rFonts w:eastAsia="Calibri"/>
          <w:noProof/>
          <w:szCs w:val="22"/>
          <w:lang w:eastAsia="en-US"/>
        </w:rPr>
        <w:t xml:space="preserve"> CE, C1, C1E);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g)</w:t>
      </w:r>
      <w:r>
        <w:rPr>
          <w:rFonts w:eastAsia="Calibri"/>
          <w:noProof/>
          <w:szCs w:val="22"/>
          <w:lang w:eastAsia="en-US"/>
        </w:rPr>
        <w:tab/>
        <w:t>kontrola spojovacieho mechanizmu a brzdy a elektrických spojov (iba pre skupiny CE, C1E, DE, D1E);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schopnosť vykonať osobitné bezpečnostné opatrenia vo vozidle; ovládanie korby, pomocných dverí, núdzových východov, zariadení prvej po</w:t>
      </w:r>
      <w:r>
        <w:rPr>
          <w:rFonts w:eastAsia="Calibri"/>
          <w:noProof/>
          <w:szCs w:val="22"/>
          <w:lang w:eastAsia="en-US"/>
        </w:rPr>
        <w:t>moci, hasiacich prístrojov a iných bezpečnostných zariadení (iba pre skupiny D, DE, D1, D1E);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i)</w:t>
      </w:r>
      <w:r>
        <w:rPr>
          <w:rFonts w:eastAsia="Calibri"/>
          <w:noProof/>
          <w:szCs w:val="22"/>
          <w:lang w:eastAsia="en-US"/>
        </w:rPr>
        <w:tab/>
        <w:t>čítanie cestnej mapy, plánovanie trasy vrátane používania elektronických navigačných systémov (nepovinné).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Osobitné úkony, ktoré sa majú odskúšať vzhľadom</w:t>
      </w:r>
      <w:r>
        <w:rPr>
          <w:rFonts w:eastAsia="Calibri"/>
          <w:noProof/>
          <w:szCs w:val="22"/>
          <w:lang w:eastAsia="en-US"/>
        </w:rPr>
        <w:t xml:space="preserve"> na bezpečnosť cestnej premávky: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pripojenie a odpojenie alebo odpojenie prípojného vozidla od motorového vozidla a jeho opätovné pripojenie; tento úkon musí zahŕňať zaparkovanie ťažného vozidla vedľa prípojného vozidla (t. j. nie v jednej línii) (iba p</w:t>
      </w:r>
      <w:r>
        <w:rPr>
          <w:rFonts w:eastAsia="Calibri"/>
          <w:noProof/>
          <w:szCs w:val="22"/>
          <w:lang w:eastAsia="en-US"/>
        </w:rPr>
        <w:t>re skupiny CE, C1E, DE, D1E);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proofErr w:type="spellStart"/>
      <w:r>
        <w:rPr>
          <w:b/>
          <w:i/>
        </w:rPr>
        <w:lastRenderedPageBreak/>
        <w:t>aa</w:t>
      </w:r>
      <w:proofErr w:type="spellEnd"/>
      <w:r>
        <w:rPr>
          <w:b/>
          <w:i/>
        </w:rPr>
        <w:t>)</w:t>
      </w:r>
      <w:r>
        <w:rPr>
          <w:b/>
          <w:i/>
        </w:rPr>
        <w:tab/>
        <w:t xml:space="preserve">rôzne spojovacie mechanizmy medzi prípojným vozidlom a ťažným vozidlom, berúc do úvahy točnicu pre kĺbové vozidlá (pre návesy) a závesy ojových prívesov (ťažné vozidlo s pevným podvozkom), ako aj štandardné prevádzkové </w:t>
      </w:r>
      <w:r>
        <w:rPr>
          <w:b/>
          <w:i/>
        </w:rPr>
        <w:t>postupy a protokoly na pripojenie a odpojenie prípojných vozidiel od ťažných vozidiel pri použití týchto spojovacích mechanizmov;</w:t>
      </w:r>
      <w:r>
        <w:rPr>
          <w:rFonts w:eastAsia="Calibri"/>
          <w:b/>
          <w:noProof/>
          <w:szCs w:val="22"/>
          <w:lang w:eastAsia="en-US"/>
        </w:rPr>
        <w:t xml:space="preserve"> [PN 184]</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cúvanie v zákrute, ktorej krivka závisí od rozhodnutia členských štátov;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c)</w:t>
      </w:r>
      <w:r>
        <w:rPr>
          <w:rFonts w:eastAsia="Calibri"/>
          <w:noProof/>
          <w:szCs w:val="22"/>
          <w:lang w:eastAsia="en-US"/>
        </w:rPr>
        <w:tab/>
        <w:t xml:space="preserve">bezpečné zaparkovanie kvôli </w:t>
      </w:r>
      <w:r>
        <w:rPr>
          <w:rFonts w:eastAsia="Calibri"/>
          <w:noProof/>
          <w:szCs w:val="22"/>
          <w:lang w:eastAsia="en-US"/>
        </w:rPr>
        <w:t>nakladaniu/vykladaniu pri nakladacej rampe/plošine alebo pri podobnom zariadení (iba pre skupiny C, CE, C1, C1E</w:t>
      </w:r>
      <w:r>
        <w:rPr>
          <w:rFonts w:eastAsia="Calibri"/>
          <w:b/>
          <w:i/>
          <w:noProof/>
          <w:szCs w:val="22"/>
          <w:lang w:eastAsia="en-US"/>
        </w:rPr>
        <w:t>, T</w:t>
      </w:r>
      <w:r>
        <w:rPr>
          <w:rFonts w:eastAsia="Calibri"/>
          <w:noProof/>
          <w:szCs w:val="22"/>
          <w:lang w:eastAsia="en-US"/>
        </w:rPr>
        <w:t xml:space="preserve">); </w:t>
      </w:r>
      <w:r>
        <w:rPr>
          <w:rFonts w:eastAsia="Calibri"/>
          <w:b/>
          <w:noProof/>
          <w:szCs w:val="22"/>
          <w:lang w:eastAsia="en-US"/>
        </w:rPr>
        <w:t>[PN 185]</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zaparkovanie tak, aby mohli cestujúci bezpečne nastúpiť do autobusu alebo z neho vystúpiť (iba pre skupiny D, DE, D1, D1E).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Správanie v premávke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Žiadatelia musia vykonať všetky tieto činnosti úplne bezpečne v situáciách bežnej premávky a vykonať všetky nevyhnutné bezpečnostné opatrenia: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výjazd: po zaparkovaní, po zastavení v premávke; výjazd z vozovky;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jazda na rovn</w:t>
      </w:r>
      <w:r>
        <w:rPr>
          <w:rFonts w:eastAsia="Calibri"/>
          <w:noProof/>
          <w:szCs w:val="22"/>
          <w:lang w:eastAsia="en-US"/>
        </w:rPr>
        <w:t>ých cestách; prechádzanie okolo vozidiel idúcich v protismere vrátane obmedzených priestorov;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vedenie vozidla v zákrutách;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križovatky: priblíženie sa ku križovatke a prejazd križovatiek a prípojok;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e)</w:t>
      </w:r>
      <w:r>
        <w:rPr>
          <w:rFonts w:eastAsia="Calibri"/>
          <w:noProof/>
          <w:szCs w:val="22"/>
          <w:lang w:eastAsia="en-US"/>
        </w:rPr>
        <w:tab/>
        <w:t>zmena smeru: zatáčky doľava a doprava; zmena j</w:t>
      </w:r>
      <w:r>
        <w:rPr>
          <w:rFonts w:eastAsia="Calibri"/>
          <w:noProof/>
          <w:szCs w:val="22"/>
          <w:lang w:eastAsia="en-US"/>
        </w:rPr>
        <w:t>azdných pruhov</w:t>
      </w:r>
      <w:r>
        <w:rPr>
          <w:rFonts w:eastAsia="Calibri"/>
          <w:b/>
          <w:i/>
          <w:noProof/>
          <w:szCs w:val="22"/>
          <w:lang w:eastAsia="en-US"/>
        </w:rPr>
        <w:t>, otočenie</w:t>
      </w:r>
      <w:r>
        <w:rPr>
          <w:rFonts w:eastAsia="Calibri"/>
          <w:noProof/>
          <w:szCs w:val="22"/>
          <w:lang w:eastAsia="en-US"/>
        </w:rPr>
        <w:t xml:space="preserve">; </w:t>
      </w:r>
      <w:r>
        <w:rPr>
          <w:rFonts w:eastAsia="Calibri"/>
          <w:b/>
          <w:noProof/>
          <w:szCs w:val="22"/>
          <w:lang w:eastAsia="en-US"/>
        </w:rPr>
        <w:t>[PN 186]</w:t>
      </w:r>
    </w:p>
    <w:p w:rsidR="006C6719" w:rsidRDefault="00614864">
      <w:pPr>
        <w:widowControl/>
        <w:spacing w:before="120" w:after="120" w:line="360" w:lineRule="auto"/>
        <w:ind w:left="1417" w:hanging="567"/>
        <w:rPr>
          <w:rFonts w:eastAsia="Calibri"/>
          <w:b/>
          <w:noProof/>
          <w:szCs w:val="22"/>
          <w:lang w:eastAsia="en-US"/>
        </w:rPr>
      </w:pPr>
      <w:proofErr w:type="spellStart"/>
      <w:r>
        <w:rPr>
          <w:b/>
          <w:i/>
        </w:rPr>
        <w:t>ea</w:t>
      </w:r>
      <w:proofErr w:type="spellEnd"/>
      <w:r>
        <w:rPr>
          <w:b/>
          <w:i/>
        </w:rPr>
        <w:t>)</w:t>
      </w:r>
      <w:r>
        <w:rPr>
          <w:b/>
          <w:i/>
        </w:rPr>
        <w:tab/>
        <w:t>zohľadnenie mŕtveho uhla;</w:t>
      </w:r>
      <w:r>
        <w:rPr>
          <w:rFonts w:eastAsia="Calibri"/>
          <w:b/>
          <w:noProof/>
          <w:szCs w:val="22"/>
          <w:lang w:eastAsia="en-US"/>
        </w:rPr>
        <w:t xml:space="preserve"> [PN 187]</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vjazd na diaľnicu/výjazd z diaľnice alebo podobných cestných komunikácií (ak sú k dispozícii): zaradenie sa zo zrýchľovacieho pruhu; jazda v spomaľovacom pruhu;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g)</w:t>
      </w:r>
      <w:r>
        <w:rPr>
          <w:rFonts w:eastAsia="Calibri"/>
          <w:noProof/>
          <w:szCs w:val="22"/>
          <w:lang w:eastAsia="en-US"/>
        </w:rPr>
        <w:tab/>
        <w:t>predbiehanie/o</w:t>
      </w:r>
      <w:r>
        <w:rPr>
          <w:rFonts w:eastAsia="Calibri"/>
          <w:noProof/>
          <w:szCs w:val="22"/>
          <w:lang w:eastAsia="en-US"/>
        </w:rPr>
        <w:t xml:space="preserve">biehanie: predbiehanie </w:t>
      </w:r>
      <w:r>
        <w:rPr>
          <w:rFonts w:eastAsia="Calibri"/>
          <w:strike/>
          <w:noProof/>
          <w:szCs w:val="22"/>
          <w:lang w:eastAsia="en-US"/>
        </w:rPr>
        <w:t>inej</w:t>
      </w:r>
      <w:r>
        <w:rPr>
          <w:rFonts w:eastAsia="Calibri"/>
          <w:noProof/>
          <w:szCs w:val="22"/>
          <w:lang w:eastAsia="en-US"/>
        </w:rPr>
        <w:t xml:space="preserve"> </w:t>
      </w:r>
      <w:r>
        <w:rPr>
          <w:b/>
          <w:i/>
        </w:rPr>
        <w:t>iných účastníkov cestnej</w:t>
      </w:r>
      <w:r>
        <w:t xml:space="preserve"> </w:t>
      </w:r>
      <w:r>
        <w:rPr>
          <w:b/>
          <w:i/>
        </w:rPr>
        <w:t>premávky</w:t>
      </w:r>
      <w:r>
        <w:t xml:space="preserve"> </w:t>
      </w:r>
      <w:r>
        <w:rPr>
          <w:b/>
          <w:i/>
        </w:rPr>
        <w:t xml:space="preserve">a používateľov </w:t>
      </w:r>
      <w:proofErr w:type="spellStart"/>
      <w:r>
        <w:rPr>
          <w:b/>
          <w:i/>
        </w:rPr>
        <w:t>mikromobility</w:t>
      </w:r>
      <w:proofErr w:type="spellEnd"/>
      <w:r>
        <w:rPr>
          <w:b/>
          <w:i/>
        </w:rPr>
        <w:t xml:space="preserve"> vrátane cyklistov a chodcov</w:t>
      </w:r>
      <w:r>
        <w:t xml:space="preserve"> </w:t>
      </w:r>
      <w:r>
        <w:rPr>
          <w:rFonts w:eastAsia="Calibri"/>
          <w:noProof/>
          <w:szCs w:val="22"/>
          <w:lang w:eastAsia="en-US"/>
        </w:rPr>
        <w:t xml:space="preserve">(ak je to možné); jazda popri prekážkach, napríklad zaparkovaných autách; nechať sa predísť inými účastníkmi (ak je to primerané); </w:t>
      </w:r>
      <w:r>
        <w:rPr>
          <w:rFonts w:eastAsia="Calibri"/>
          <w:b/>
          <w:noProof/>
          <w:szCs w:val="22"/>
          <w:lang w:eastAsia="en-US"/>
        </w:rPr>
        <w:t>[PN 188]</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h)</w:t>
      </w:r>
      <w:r>
        <w:rPr>
          <w:rFonts w:eastAsia="Calibri"/>
          <w:noProof/>
          <w:szCs w:val="22"/>
          <w:lang w:eastAsia="en-US"/>
        </w:rPr>
        <w:tab/>
        <w:t xml:space="preserve">špeciálne cestné charakteristiky </w:t>
      </w:r>
      <w:r>
        <w:rPr>
          <w:rFonts w:eastAsia="Calibri"/>
          <w:strike/>
          <w:noProof/>
          <w:szCs w:val="22"/>
          <w:lang w:eastAsia="en-US"/>
        </w:rPr>
        <w:t>(ak existujú): kruhové objazdy</w:t>
      </w:r>
      <w:r>
        <w:rPr>
          <w:b/>
          <w:i/>
        </w:rPr>
        <w:t>: jazda kruhovým objazdom veľkým vozidlom; ľavostranná a pravostranná jazda</w:t>
      </w:r>
      <w:r>
        <w:rPr>
          <w:rFonts w:eastAsia="Calibri"/>
          <w:noProof/>
          <w:szCs w:val="22"/>
          <w:lang w:eastAsia="en-US"/>
        </w:rPr>
        <w:t>; prejazdy cez železničné priecestia; zastávky električiek/autobusov; priechody pre chodcov</w:t>
      </w:r>
      <w:r>
        <w:rPr>
          <w:rFonts w:eastAsia="Calibri"/>
          <w:strike/>
          <w:noProof/>
          <w:szCs w:val="22"/>
          <w:lang w:eastAsia="en-US"/>
        </w:rPr>
        <w:t>;</w:t>
      </w:r>
      <w:r>
        <w:rPr>
          <w:b/>
          <w:i/>
        </w:rPr>
        <w:t>, cyklistick</w:t>
      </w:r>
      <w:r>
        <w:rPr>
          <w:b/>
          <w:i/>
        </w:rPr>
        <w:t>é jazdné pruhy</w:t>
      </w:r>
      <w:r>
        <w:rPr>
          <w:rFonts w:eastAsia="Calibri"/>
          <w:noProof/>
          <w:szCs w:val="22"/>
          <w:lang w:eastAsia="en-US"/>
        </w:rPr>
        <w:t xml:space="preserve"> jazda do/z dlhých svahov; tunely; </w:t>
      </w:r>
      <w:r>
        <w:rPr>
          <w:rFonts w:eastAsia="Calibri"/>
          <w:b/>
          <w:noProof/>
          <w:szCs w:val="22"/>
          <w:lang w:eastAsia="en-US"/>
        </w:rPr>
        <w:t>[PN 189]</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i)</w:t>
      </w:r>
      <w:r>
        <w:rPr>
          <w:rFonts w:eastAsia="Calibri"/>
          <w:noProof/>
          <w:szCs w:val="22"/>
          <w:lang w:eastAsia="en-US"/>
        </w:rPr>
        <w:tab/>
      </w:r>
      <w:r>
        <w:rPr>
          <w:rFonts w:eastAsia="Calibri"/>
          <w:strike/>
          <w:noProof/>
          <w:szCs w:val="22"/>
          <w:lang w:eastAsia="en-US"/>
        </w:rPr>
        <w:t>prijatie potrebných bezpečnostných opatrení pri vystupovaní z</w:t>
      </w:r>
      <w:r>
        <w:rPr>
          <w:rFonts w:eastAsia="Calibri"/>
          <w:noProof/>
          <w:szCs w:val="22"/>
          <w:lang w:eastAsia="en-US"/>
        </w:rPr>
        <w:t> </w:t>
      </w:r>
      <w:r>
        <w:rPr>
          <w:b/>
          <w:i/>
        </w:rPr>
        <w:t>nastupovanie do vozidla a vystupovanie z vozidla vrátane uistenia sa o</w:t>
      </w:r>
      <w:r>
        <w:t> </w:t>
      </w:r>
      <w:r>
        <w:rPr>
          <w:b/>
          <w:i/>
        </w:rPr>
        <w:t xml:space="preserve">tom, že je bezpečné otvoriť dvere </w:t>
      </w:r>
      <w:r>
        <w:rPr>
          <w:rFonts w:eastAsia="Calibri"/>
          <w:noProof/>
          <w:szCs w:val="22"/>
          <w:lang w:eastAsia="en-US"/>
        </w:rPr>
        <w:t xml:space="preserve">vozidla </w:t>
      </w:r>
      <w:r>
        <w:rPr>
          <w:b/>
          <w:i/>
        </w:rPr>
        <w:t>a že to nepredstavuj</w:t>
      </w:r>
      <w:r>
        <w:rPr>
          <w:b/>
          <w:i/>
        </w:rPr>
        <w:t xml:space="preserve">e nebezpečenstvo pre iných účastníkov cestnej premávky, ako sú chodci, cyklisti a používatelia </w:t>
      </w:r>
      <w:proofErr w:type="spellStart"/>
      <w:r>
        <w:rPr>
          <w:b/>
          <w:i/>
        </w:rPr>
        <w:t>mikromobility</w:t>
      </w:r>
      <w:proofErr w:type="spellEnd"/>
      <w:r>
        <w:rPr>
          <w:b/>
          <w:i/>
        </w:rPr>
        <w:t>;</w:t>
      </w:r>
      <w:r>
        <w:rPr>
          <w:rFonts w:eastAsia="Calibri"/>
          <w:noProof/>
          <w:szCs w:val="22"/>
          <w:lang w:eastAsia="en-US"/>
        </w:rPr>
        <w:t xml:space="preserve"> </w:t>
      </w:r>
      <w:r>
        <w:rPr>
          <w:rFonts w:eastAsia="Calibri"/>
          <w:b/>
          <w:noProof/>
          <w:szCs w:val="22"/>
          <w:lang w:eastAsia="en-US"/>
        </w:rPr>
        <w:t>[PN 190]</w:t>
      </w:r>
    </w:p>
    <w:p w:rsidR="006C6719" w:rsidRDefault="00614864">
      <w:pPr>
        <w:widowControl/>
        <w:spacing w:before="120" w:after="120" w:line="360" w:lineRule="auto"/>
        <w:ind w:left="1417" w:hanging="567"/>
        <w:rPr>
          <w:rFonts w:eastAsia="Calibri"/>
          <w:b/>
          <w:noProof/>
          <w:szCs w:val="22"/>
          <w:lang w:eastAsia="en-US"/>
        </w:rPr>
      </w:pPr>
      <w:proofErr w:type="spellStart"/>
      <w:r>
        <w:rPr>
          <w:b/>
          <w:i/>
        </w:rPr>
        <w:t>ia</w:t>
      </w:r>
      <w:proofErr w:type="spellEnd"/>
      <w:r>
        <w:rPr>
          <w:b/>
          <w:i/>
        </w:rPr>
        <w:t>)</w:t>
      </w:r>
      <w:r>
        <w:rPr>
          <w:b/>
          <w:i/>
        </w:rPr>
        <w:tab/>
        <w:t>bezpečnostné opatrenia pri bezpečnom nastupovaní do vozidla a vystupovaní z vozidla.</w:t>
      </w:r>
      <w:r>
        <w:rPr>
          <w:rFonts w:eastAsia="Calibri"/>
          <w:b/>
          <w:noProof/>
          <w:szCs w:val="22"/>
          <w:lang w:eastAsia="en-US"/>
        </w:rPr>
        <w:t xml:space="preserve"> [PN 191]</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Bezpečné a energeticky efektívne ved</w:t>
      </w:r>
      <w:r>
        <w:rPr>
          <w:rFonts w:eastAsia="Calibri"/>
          <w:noProof/>
          <w:szCs w:val="22"/>
          <w:lang w:eastAsia="en-US"/>
        </w:rPr>
        <w:t xml:space="preserve">enie vozidla: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a)</w:t>
      </w:r>
      <w:r>
        <w:rPr>
          <w:rFonts w:eastAsia="Calibri"/>
          <w:noProof/>
          <w:szCs w:val="22"/>
          <w:lang w:eastAsia="en-US"/>
        </w:rPr>
        <w:tab/>
        <w:t>vedenie vozidla takým spôsobom, aby sa zaistila bezpečnosť a znížila spotreba paliva/energie a emisie počas zvyšovania a znižovania rýchlosti, pri jazde do kopca a z kopca</w:t>
      </w:r>
      <w:r>
        <w:rPr>
          <w:b/>
          <w:i/>
        </w:rPr>
        <w:t>, vzdialenosť od vozidla vpredu;</w:t>
      </w:r>
      <w:r>
        <w:t xml:space="preserve"> </w:t>
      </w:r>
      <w:r>
        <w:rPr>
          <w:b/>
          <w:i/>
        </w:rPr>
        <w:t>predbiehanie v zákrute, zmena jazd</w:t>
      </w:r>
      <w:r>
        <w:rPr>
          <w:b/>
          <w:i/>
        </w:rPr>
        <w:t>ného pruhu, pravidlá prednosti, obmedzenia rýchlosti</w:t>
      </w:r>
      <w:r>
        <w:rPr>
          <w:rFonts w:eastAsia="Calibri"/>
          <w:noProof/>
          <w:szCs w:val="22"/>
          <w:lang w:eastAsia="en-US"/>
        </w:rPr>
        <w:t>;</w:t>
      </w:r>
      <w:r>
        <w:rPr>
          <w:rFonts w:eastAsia="Calibri"/>
          <w:b/>
          <w:noProof/>
          <w:szCs w:val="22"/>
          <w:lang w:eastAsia="en-US"/>
        </w:rPr>
        <w:t xml:space="preserve"> [PN 192]</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b)</w:t>
      </w:r>
      <w:r>
        <w:rPr>
          <w:rFonts w:eastAsia="Calibri"/>
          <w:noProof/>
          <w:szCs w:val="22"/>
          <w:lang w:eastAsia="en-US"/>
        </w:rPr>
        <w:tab/>
        <w:t xml:space="preserve">reakcia na nebezpečné situácie a ich predvídanie posudzované </w:t>
      </w:r>
      <w:r>
        <w:rPr>
          <w:b/>
          <w:i/>
        </w:rPr>
        <w:t>aj</w:t>
      </w:r>
      <w:r>
        <w:t xml:space="preserve"> </w:t>
      </w:r>
      <w:r>
        <w:rPr>
          <w:rFonts w:eastAsia="Calibri"/>
          <w:noProof/>
          <w:szCs w:val="22"/>
          <w:lang w:eastAsia="en-US"/>
        </w:rPr>
        <w:t xml:space="preserve">pomocou </w:t>
      </w:r>
      <w:r>
        <w:rPr>
          <w:rFonts w:eastAsia="Calibri"/>
          <w:strike/>
          <w:noProof/>
          <w:szCs w:val="22"/>
          <w:lang w:eastAsia="en-US"/>
        </w:rPr>
        <w:t>simulátorov</w:t>
      </w:r>
      <w:r>
        <w:rPr>
          <w:rFonts w:eastAsia="Calibri"/>
          <w:noProof/>
          <w:szCs w:val="22"/>
          <w:lang w:eastAsia="en-US"/>
        </w:rPr>
        <w:t xml:space="preserve"> </w:t>
      </w:r>
      <w:r>
        <w:rPr>
          <w:b/>
          <w:i/>
        </w:rPr>
        <w:t>trenažérov</w:t>
      </w:r>
      <w:r>
        <w:rPr>
          <w:rFonts w:eastAsia="Calibri"/>
          <w:noProof/>
          <w:szCs w:val="22"/>
          <w:lang w:eastAsia="en-US"/>
        </w:rPr>
        <w:t xml:space="preserve">. </w:t>
      </w:r>
      <w:r>
        <w:rPr>
          <w:rFonts w:eastAsia="Calibri"/>
          <w:b/>
          <w:noProof/>
          <w:szCs w:val="22"/>
          <w:lang w:eastAsia="en-US"/>
        </w:rPr>
        <w:t>[PN 193]</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9.</w:t>
      </w:r>
      <w:r>
        <w:rPr>
          <w:rFonts w:eastAsia="Calibri"/>
          <w:noProof/>
          <w:szCs w:val="22"/>
          <w:lang w:eastAsia="en-US"/>
        </w:rPr>
        <w:tab/>
        <w:t xml:space="preserve">Známkovanie skúšok zručností a správania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Pre každú z dopravných situácií uve</w:t>
      </w:r>
      <w:r>
        <w:rPr>
          <w:rFonts w:eastAsia="Calibri"/>
          <w:noProof/>
          <w:szCs w:val="22"/>
          <w:lang w:eastAsia="en-US"/>
        </w:rPr>
        <w:t>dených v bodoch 6, 7 a 8 ohodnotenie odráža stupeň ľahkosti, s akou žiadateľ zvláda ovládanie vozidla a jeho preukázanú schopnosť viesť vozidlo úplne bezpečne v premávke. Skúšajúci sa musí v priebehu celej skúšky cítiť bezpečne. Trestom za chyby pri vedení</w:t>
      </w:r>
      <w:r>
        <w:rPr>
          <w:rFonts w:eastAsia="Calibri"/>
          <w:noProof/>
          <w:szCs w:val="22"/>
          <w:lang w:eastAsia="en-US"/>
        </w:rPr>
        <w:t xml:space="preserve"> vozidla alebo nebezpečné správanie priamo ohrozujúce bezpečnosť skúšobného vozidla, jeho cestujúcich alebo iných účastníkov cestnej premávky je nezloženie skúšky bez ohľadu na to, či skúšajúci alebo sprevádzajúca osoba museli zasahovať. Skúšajúci sa však </w:t>
      </w:r>
      <w:r>
        <w:rPr>
          <w:rFonts w:eastAsia="Calibri"/>
          <w:noProof/>
          <w:szCs w:val="22"/>
          <w:lang w:eastAsia="en-US"/>
        </w:rPr>
        <w:t>aj tak slobodne rozhodne, či sa skúška zručností a správania dokončí alebo nie. </w:t>
      </w:r>
    </w:p>
    <w:p w:rsidR="006C6719" w:rsidRDefault="00614864">
      <w:pPr>
        <w:widowControl/>
        <w:spacing w:before="120" w:after="120" w:line="360" w:lineRule="auto"/>
        <w:ind w:left="851"/>
        <w:rPr>
          <w:rFonts w:eastAsia="Calibri"/>
          <w:b/>
          <w:noProof/>
          <w:szCs w:val="22"/>
          <w:lang w:eastAsia="en-US"/>
        </w:rPr>
      </w:pPr>
      <w:r>
        <w:rPr>
          <w:rFonts w:eastAsia="Calibri"/>
          <w:noProof/>
          <w:szCs w:val="22"/>
          <w:lang w:eastAsia="en-US"/>
        </w:rPr>
        <w:t xml:space="preserve">Skúšajúci je odborne vyškolený, aby správne ohodnotil schopnosť žiadateľa bezpečne viesť vozidlo. Práca skúšajúcich sa sleduje a je pod dohľadom </w:t>
      </w:r>
      <w:r>
        <w:rPr>
          <w:b/>
          <w:i/>
        </w:rPr>
        <w:t>nezávislého</w:t>
      </w:r>
      <w:r>
        <w:t xml:space="preserve"> </w:t>
      </w:r>
      <w:r>
        <w:rPr>
          <w:rFonts w:eastAsia="Calibri"/>
          <w:noProof/>
          <w:szCs w:val="22"/>
          <w:lang w:eastAsia="en-US"/>
        </w:rPr>
        <w:t>orgánu oprávneného</w:t>
      </w:r>
      <w:r>
        <w:rPr>
          <w:rFonts w:eastAsia="Calibri"/>
          <w:noProof/>
          <w:szCs w:val="22"/>
          <w:lang w:eastAsia="en-US"/>
        </w:rPr>
        <w:t xml:space="preserve"> členským štátom zabezpečiť správne a dôsledné uplatnenie vyhodnotenia chýb v súlade s normami ustanovenými v tejto prílohe.</w:t>
      </w:r>
      <w:r>
        <w:rPr>
          <w:rFonts w:eastAsia="Calibri"/>
          <w:b/>
          <w:noProof/>
          <w:szCs w:val="22"/>
          <w:lang w:eastAsia="en-US"/>
        </w:rPr>
        <w:t xml:space="preserve"> [PN 194]</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Skúšajúci počas hodnotenia venujú zvláštnu pozornosť skutočnosti, či žiadateľ pri vedení vozidla preukazuje defenzívn</w:t>
      </w:r>
      <w:r>
        <w:rPr>
          <w:rFonts w:eastAsia="Calibri"/>
          <w:noProof/>
          <w:szCs w:val="22"/>
          <w:lang w:eastAsia="en-US"/>
        </w:rPr>
        <w:t>e a spoločenské správanie. Toto odráža celkový štýl vedenia vozidla a skúšajúci to zohľadní pri celkovom obraze o žiadateľovi. Zahŕňa to primerané a rozhodné (bezpečné) vedenie vozidla, ktoré zohľadňuje stav vozovky a poveternostné podmienky, zohľadňuje os</w:t>
      </w:r>
      <w:r>
        <w:rPr>
          <w:rFonts w:eastAsia="Calibri"/>
          <w:noProof/>
          <w:szCs w:val="22"/>
          <w:lang w:eastAsia="en-US"/>
        </w:rPr>
        <w:t>tatnú premávku, zohľadňuje záujmy ostatných účastníkov cestnej premávky (najmä zraniteľných účastníkov cestnej premávky) a zahŕňa predvídanie situácie. </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Skúšajúci ďalej vyhodnocuje, či žiadateľ: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a)</w:t>
      </w:r>
      <w:r>
        <w:rPr>
          <w:rFonts w:eastAsia="Calibri"/>
          <w:noProof/>
          <w:szCs w:val="22"/>
          <w:lang w:eastAsia="en-US"/>
        </w:rPr>
        <w:tab/>
        <w:t>ovláda vozidlo; berúc do úvahy: správne použitie bezpe</w:t>
      </w:r>
      <w:r>
        <w:rPr>
          <w:rFonts w:eastAsia="Calibri"/>
          <w:noProof/>
          <w:szCs w:val="22"/>
          <w:lang w:eastAsia="en-US"/>
        </w:rPr>
        <w:t xml:space="preserve">čnostných pásov, </w:t>
      </w:r>
      <w:r>
        <w:rPr>
          <w:b/>
          <w:i/>
        </w:rPr>
        <w:t xml:space="preserve">moderných bezpečnostných prvkov a asistenčných systémov pre vodiča, </w:t>
      </w:r>
      <w:r>
        <w:rPr>
          <w:rFonts w:eastAsia="Calibri"/>
          <w:noProof/>
          <w:szCs w:val="22"/>
          <w:lang w:eastAsia="en-US"/>
        </w:rPr>
        <w:t>spätných zrkadiel, opierok hlavy; sedadla; správne použitie svetiel a iných zariadení; správne použitie spojky, prevodovky, akcelerátora, brzdových systémov (vrátane treti</w:t>
      </w:r>
      <w:r>
        <w:rPr>
          <w:rFonts w:eastAsia="Calibri"/>
          <w:noProof/>
          <w:szCs w:val="22"/>
          <w:lang w:eastAsia="en-US"/>
        </w:rPr>
        <w:t>eho brzdového systému, ak existuje), riadenia; ovládanie vozidla za rôznych okolností pri rôznych rýchlostiach; stabilitu na ceste; hmotnosť, rozmery a charakteristiky vozidla; hmotnosť a druh nákladu (iba pre skupiny BE, C, CE, C1, C1E, DE, D1E</w:t>
      </w:r>
      <w:r>
        <w:rPr>
          <w:b/>
          <w:i/>
        </w:rPr>
        <w:t>, T</w:t>
      </w:r>
      <w:r>
        <w:rPr>
          <w:rFonts w:eastAsia="Calibri"/>
          <w:noProof/>
          <w:szCs w:val="22"/>
          <w:lang w:eastAsia="en-US"/>
        </w:rPr>
        <w:t xml:space="preserve">); pohodlie cestujúcich (iba pre skupiny D, DE, D1, D1E) (žiadne prudké zrýchlenie, plynulá jazda a žiadne prudké brzdenie); </w:t>
      </w:r>
      <w:r>
        <w:rPr>
          <w:rFonts w:eastAsia="Calibri"/>
          <w:b/>
          <w:noProof/>
          <w:szCs w:val="22"/>
          <w:lang w:eastAsia="en-US"/>
        </w:rPr>
        <w:t>[PN 195]</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b)</w:t>
      </w:r>
      <w:r>
        <w:rPr>
          <w:rFonts w:eastAsia="Calibri"/>
          <w:noProof/>
          <w:szCs w:val="22"/>
          <w:lang w:eastAsia="en-US"/>
        </w:rPr>
        <w:tab/>
        <w:t>vedie vozidlo hospodárne, bezpečne a energeticky efektívne, berúc do úvahy otáčky motora za minútu, radenie prevodový</w:t>
      </w:r>
      <w:r>
        <w:rPr>
          <w:rFonts w:eastAsia="Calibri"/>
          <w:noProof/>
          <w:szCs w:val="22"/>
          <w:lang w:eastAsia="en-US"/>
        </w:rPr>
        <w:t>ch stupňov, brzdenie a zrýchľovanie</w:t>
      </w:r>
      <w:r>
        <w:rPr>
          <w:b/>
          <w:bCs/>
          <w:i/>
          <w:iCs/>
        </w:rPr>
        <w:t>,</w:t>
      </w:r>
      <w:r>
        <w:t xml:space="preserve"> </w:t>
      </w:r>
      <w:r>
        <w:rPr>
          <w:b/>
          <w:i/>
        </w:rPr>
        <w:t>a používa asistenčné systémy a/alebo bezpečnostné prvky zabudované vo vozidle</w:t>
      </w:r>
      <w:r>
        <w:rPr>
          <w:rFonts w:eastAsia="Calibri"/>
          <w:noProof/>
          <w:szCs w:val="22"/>
          <w:lang w:eastAsia="en-US"/>
        </w:rPr>
        <w:t xml:space="preserve"> (iba pre skupiny B, BE, C, CE, C1, C1E, D, DE, D1, D1E); </w:t>
      </w:r>
      <w:r>
        <w:rPr>
          <w:rFonts w:eastAsia="Calibri"/>
          <w:b/>
          <w:noProof/>
          <w:szCs w:val="22"/>
          <w:lang w:eastAsia="en-US"/>
        </w:rPr>
        <w:t>[PN 196]</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c)</w:t>
      </w:r>
      <w:r>
        <w:rPr>
          <w:rFonts w:eastAsia="Calibri"/>
          <w:noProof/>
          <w:szCs w:val="22"/>
          <w:lang w:eastAsia="en-US"/>
        </w:rPr>
        <w:tab/>
        <w:t>spĺňa pravidlá stanovené pre pozorovanie: kruhové pozorovanie; správne p</w:t>
      </w:r>
      <w:r>
        <w:rPr>
          <w:rFonts w:eastAsia="Calibri"/>
          <w:noProof/>
          <w:szCs w:val="22"/>
          <w:lang w:eastAsia="en-US"/>
        </w:rPr>
        <w:t xml:space="preserve">oužívanie zrkadiel </w:t>
      </w:r>
      <w:r>
        <w:rPr>
          <w:b/>
          <w:i/>
        </w:rPr>
        <w:t>a nových technológií</w:t>
      </w:r>
      <w:r>
        <w:rPr>
          <w:rFonts w:eastAsia="Calibri"/>
          <w:noProof/>
          <w:szCs w:val="22"/>
          <w:lang w:eastAsia="en-US"/>
        </w:rPr>
        <w:t xml:space="preserve">; videnie do diaľky, na strednú a blízku vzdialenosť; </w:t>
      </w:r>
      <w:r>
        <w:rPr>
          <w:rFonts w:eastAsia="Calibri"/>
          <w:b/>
          <w:noProof/>
          <w:szCs w:val="22"/>
          <w:lang w:eastAsia="en-US"/>
        </w:rPr>
        <w:t>[PN 197]</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dodržiavanie prednosti/dávanie prednosti v jazde: prednosť na križovatkách a prípojkách; dávanie prednosti pri iných príležitostiach (napr. zmena smeru</w:t>
      </w:r>
      <w:r>
        <w:rPr>
          <w:rFonts w:eastAsia="Calibri"/>
          <w:noProof/>
          <w:szCs w:val="22"/>
          <w:lang w:eastAsia="en-US"/>
        </w:rPr>
        <w:t>, zmena jazdných pruhov, osobitné úkony);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správna poloha na ceste: správna poloha na ceste, v pruhoch, na kruhových objazdoch, v zákrutách, vhodná pre typ a charakteristiky vozidla; predbežné zaujatie polohy;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udržiava vzdialenosť: udržiavanie prime</w:t>
      </w:r>
      <w:r>
        <w:rPr>
          <w:rFonts w:eastAsia="Calibri"/>
          <w:noProof/>
          <w:szCs w:val="22"/>
          <w:lang w:eastAsia="en-US"/>
        </w:rPr>
        <w:t>ranej vzdialenosti spredu a zboku; udržiavanie primeranej vzdialenosti od ostatných účastníkov cestnej premávky, najmä od zraniteľných účastníkov cestnej premávky;</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g)</w:t>
      </w:r>
      <w:r>
        <w:rPr>
          <w:rFonts w:eastAsia="Calibri"/>
          <w:noProof/>
          <w:szCs w:val="22"/>
          <w:lang w:eastAsia="en-US"/>
        </w:rPr>
        <w:tab/>
        <w:t>dodržiava povolené a odporúčané rýchlosti: neprekročenie najvyššej povolenej rýchlosti;</w:t>
      </w:r>
      <w:r>
        <w:rPr>
          <w:rFonts w:eastAsia="Calibri"/>
          <w:noProof/>
          <w:szCs w:val="22"/>
          <w:lang w:eastAsia="en-US"/>
        </w:rPr>
        <w:t xml:space="preserve"> prispôsobenie rýchlosti poveternostným/dopravným podmienkam a v prípade potreby vnútroštátnym rýchlostným obmedzeniam; vedenie vozidla takou rýchlosťou, pri ktorej je možné zastaviť na vzdialenosť v rámci viditeľnej a voľnej cesty; prispôsobenie rýchlosti</w:t>
      </w:r>
      <w:r>
        <w:rPr>
          <w:rFonts w:eastAsia="Calibri"/>
          <w:noProof/>
          <w:szCs w:val="22"/>
          <w:lang w:eastAsia="en-US"/>
        </w:rPr>
        <w:t xml:space="preserve"> všeobecnej rýchlosti rovnakého druhu účastníkov cestnej premávky;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rešpektuje svetelnú signalizáciu, dopravné značky a iné označenia: správny postup pri svetelnej signalizácii; riadenie sa pokynmi osôb riadiacich premávku; správny postup pri zvislých d</w:t>
      </w:r>
      <w:r>
        <w:rPr>
          <w:rFonts w:eastAsia="Calibri"/>
          <w:noProof/>
          <w:szCs w:val="22"/>
          <w:lang w:eastAsia="en-US"/>
        </w:rPr>
        <w:t>opravných značkách (zákazy alebo príkazy); správny postup pri vodorovnom dopravnom značení;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i)</w:t>
      </w:r>
      <w:r>
        <w:rPr>
          <w:rFonts w:eastAsia="Calibri"/>
          <w:noProof/>
          <w:szCs w:val="22"/>
          <w:lang w:eastAsia="en-US"/>
        </w:rPr>
        <w:tab/>
        <w:t>dodržiava pravidlá signalizácie: dávanie správnych a primerane načasovaných znamení v prípade potreby; správne ukazovanie smerov; správny postup vzhľadom na vše</w:t>
      </w:r>
      <w:r>
        <w:rPr>
          <w:rFonts w:eastAsia="Calibri"/>
          <w:noProof/>
          <w:szCs w:val="22"/>
          <w:lang w:eastAsia="en-US"/>
        </w:rPr>
        <w:t>tky znamenia, ktoré dávajú iní účastníci cestnej premávky;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j)</w:t>
      </w:r>
      <w:r>
        <w:rPr>
          <w:rFonts w:eastAsia="Calibri"/>
          <w:noProof/>
          <w:szCs w:val="22"/>
          <w:lang w:eastAsia="en-US"/>
        </w:rPr>
        <w:tab/>
        <w:t>ovláda brzdenie a zastavovanie: včasné spomaľovanie, brzdenie alebo zastavenie podľa okolností; predvídanie; používanie rôznych brzdných systémov (iba pre skupiny C, CE, D, DE); používanie inýc</w:t>
      </w:r>
      <w:r>
        <w:rPr>
          <w:rFonts w:eastAsia="Calibri"/>
          <w:noProof/>
          <w:szCs w:val="22"/>
          <w:lang w:eastAsia="en-US"/>
        </w:rPr>
        <w:t xml:space="preserve">h systémov zníženia rýchlosti ako bŕzd </w:t>
      </w:r>
      <w:r>
        <w:rPr>
          <w:b/>
          <w:i/>
        </w:rPr>
        <w:t xml:space="preserve">a používanie technológií zabudovaných vo vozidle </w:t>
      </w:r>
      <w:r>
        <w:rPr>
          <w:rFonts w:eastAsia="Calibri"/>
          <w:noProof/>
          <w:szCs w:val="22"/>
          <w:lang w:eastAsia="en-US"/>
        </w:rPr>
        <w:t xml:space="preserve">(iba pre skupiny C, CE, D, DE). </w:t>
      </w:r>
      <w:r>
        <w:rPr>
          <w:rFonts w:eastAsia="Calibri"/>
          <w:b/>
          <w:noProof/>
          <w:szCs w:val="22"/>
          <w:lang w:eastAsia="en-US"/>
        </w:rPr>
        <w:t>[PN 198]</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tabs>
          <w:tab w:val="num" w:pos="850"/>
        </w:tabs>
        <w:spacing w:before="120" w:after="120" w:line="360" w:lineRule="auto"/>
        <w:ind w:left="850" w:hanging="850"/>
        <w:rPr>
          <w:rFonts w:eastAsia="Calibri"/>
          <w:noProof/>
          <w:szCs w:val="22"/>
          <w:lang w:eastAsia="en-US"/>
        </w:rPr>
      </w:pPr>
      <w:r>
        <w:rPr>
          <w:rFonts w:eastAsia="Calibri"/>
          <w:noProof/>
          <w:color w:val="000000"/>
          <w:szCs w:val="22"/>
          <w:lang w:eastAsia="en-US"/>
        </w:rPr>
        <w:lastRenderedPageBreak/>
        <w:t>10.</w:t>
      </w:r>
      <w:r>
        <w:rPr>
          <w:rFonts w:eastAsia="Calibri"/>
          <w:noProof/>
          <w:color w:val="000000"/>
          <w:szCs w:val="22"/>
          <w:lang w:eastAsia="en-US"/>
        </w:rPr>
        <w:tab/>
        <w:t xml:space="preserve">Trvanie skúšky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Trvanie skúšky a prejdená vzdialenosť musia byť dostatočné na vyhodnotenie zručností a správania stanoven</w:t>
      </w:r>
      <w:r>
        <w:rPr>
          <w:rFonts w:eastAsia="Calibri"/>
          <w:noProof/>
          <w:color w:val="000000"/>
          <w:szCs w:val="22"/>
          <w:lang w:eastAsia="en-US"/>
        </w:rPr>
        <w:t>ých v časti B tejto prílohy. Za žiadnych okolností čas strávený vedením vozidla na ceste nie je kratší než 25 minút pre skupiny A, A1, A2, B, B1 a BE a kratší než 45 minút pre ostatné skupiny. Toto nezahŕňa prijatie žiadateľa, prípravu vozidla, technickú k</w:t>
      </w:r>
      <w:r>
        <w:rPr>
          <w:rFonts w:eastAsia="Calibri"/>
          <w:noProof/>
          <w:color w:val="000000"/>
          <w:szCs w:val="22"/>
          <w:lang w:eastAsia="en-US"/>
        </w:rPr>
        <w:t xml:space="preserve">ontrolu vozidla vzhľadom na cestnú bezpečnosť, osobitné úkony a oznámenie výsledku praktickej skúšky.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11.</w:t>
      </w:r>
      <w:r>
        <w:rPr>
          <w:rFonts w:eastAsia="Calibri"/>
          <w:noProof/>
          <w:color w:val="000000"/>
          <w:szCs w:val="22"/>
          <w:lang w:eastAsia="en-US"/>
        </w:rPr>
        <w:tab/>
        <w:t> Miesto konania skúšky</w:t>
      </w:r>
      <w:r>
        <w:rPr>
          <w:rFonts w:eastAsia="Calibri"/>
          <w:noProof/>
          <w:szCs w:val="22"/>
          <w:lang w:eastAsia="en-US"/>
        </w:rPr>
        <w:t xml:space="preserve">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Časť skúšky na vyhodnotenie osobitných úkonov sa môže vykonávať vo zvláštnom skúšobnom teréne. Vždy, keď je to možné, sa časť skúšky s cieľom vyhodnotiť správanie v premávke vykonáva na cestách mimo zastavaných oblastí, na rýchlostných komunikáciách a diaľ</w:t>
      </w:r>
      <w:r>
        <w:rPr>
          <w:rFonts w:eastAsia="Calibri"/>
          <w:noProof/>
          <w:color w:val="000000"/>
          <w:szCs w:val="22"/>
          <w:lang w:eastAsia="en-US"/>
        </w:rPr>
        <w:t>niciach (alebo podobných cestných komunikáciách), ako aj na všetkých druhoch mestských komunikácií (obytné zóny, zóny s rýchlosťou 30 a 50 km/h, mestské rýchlostné komunikácie), ktoré predstavujú rôzne druhy ťažkostí, s ktorými sa vodiči pravdepodobne môžu</w:t>
      </w:r>
      <w:r>
        <w:rPr>
          <w:rFonts w:eastAsia="Calibri"/>
          <w:noProof/>
          <w:color w:val="000000"/>
          <w:szCs w:val="22"/>
          <w:lang w:eastAsia="en-US"/>
        </w:rPr>
        <w:t xml:space="preserve"> stretnúť. Je takisto žiaduce, aby sa skúška uskutočnila v podmienkach rôznej hustoty premávky. Čas strávený jazdou na ceste sa využije optimálnym spôsobom, aby žiadateľ mohol byť vyhodnotený vo všetkých rôznych oblastiach premávky, s ktorými sa môže stret</w:t>
      </w:r>
      <w:r>
        <w:rPr>
          <w:rFonts w:eastAsia="Calibri"/>
          <w:noProof/>
          <w:color w:val="000000"/>
          <w:szCs w:val="22"/>
          <w:lang w:eastAsia="en-US"/>
        </w:rPr>
        <w:t xml:space="preserve">núť, s mimoriadnym dôrazom na zmenu týchto oblastí. </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spacing w:before="120" w:after="120" w:line="360" w:lineRule="auto"/>
        <w:rPr>
          <w:rFonts w:eastAsia="Calibri"/>
          <w:bCs/>
          <w:noProof/>
          <w:color w:val="000000"/>
          <w:szCs w:val="22"/>
          <w:lang w:eastAsia="en-US"/>
        </w:rPr>
      </w:pPr>
      <w:r>
        <w:rPr>
          <w:rFonts w:eastAsia="Calibri"/>
          <w:noProof/>
          <w:color w:val="000000"/>
          <w:szCs w:val="22"/>
          <w:lang w:eastAsia="en-US"/>
        </w:rPr>
        <w:lastRenderedPageBreak/>
        <w:t>II.   VEDOMOSTI, ZRUČNOSTI A SPRÁVANIE NA VEDENIE POHÁŇANÉHO VOZIDLA</w:t>
      </w:r>
      <w:r>
        <w:rPr>
          <w:rFonts w:eastAsia="Calibri"/>
          <w:noProof/>
          <w:szCs w:val="22"/>
          <w:lang w:eastAsia="en-US"/>
        </w:rPr>
        <w:t xml:space="preserve"> </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 xml:space="preserve">Vodiči všetkých poháňaných vozidiel majú kedykoľvek vedomosti, zručnosti a správanie opísané v bodoch 1 až 9, aby boli schopní: </w:t>
      </w:r>
    </w:p>
    <w:p w:rsidR="006C6719" w:rsidRDefault="00614864">
      <w:pPr>
        <w:widowControl/>
        <w:tabs>
          <w:tab w:val="left"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Pr>
          <w:rFonts w:eastAsia="Calibri"/>
          <w:noProof/>
          <w:color w:val="000000"/>
          <w:szCs w:val="22"/>
          <w:lang w:eastAsia="en-US"/>
        </w:rPr>
        <w:t>rozpoznať a predvídať nebezpečenstvá a riziká v premávke a zhodnotiť ich vážnosť,</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dostatočne ovládať vozidlo, aby nevytvorili nebezpečné situácie, a primerane reagovať, ak by sa takéto situácie vyskytli,</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splniť predpisy cestnej premávky, a najmä tie, k</w:t>
      </w:r>
      <w:r>
        <w:rPr>
          <w:rFonts w:eastAsia="Calibri"/>
          <w:noProof/>
          <w:color w:val="000000"/>
          <w:szCs w:val="22"/>
          <w:lang w:eastAsia="en-US"/>
        </w:rPr>
        <w:t>toré sú určené na zabránenie nehôd na cestách a zachovanie plynulosti premávky,</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zistiť akékoľvek závažné technické poruchy na svojich vozidlách, najmä tie, ktoré predstavujú bezpečnostné riziko, a odstrániť ich vhodným spôsobom,</w:t>
      </w:r>
    </w:p>
    <w:p w:rsidR="006C6719" w:rsidRDefault="00614864">
      <w:pPr>
        <w:widowControl/>
        <w:tabs>
          <w:tab w:val="num" w:pos="850"/>
        </w:tabs>
        <w:spacing w:before="120" w:after="120" w:line="360" w:lineRule="auto"/>
        <w:ind w:left="850" w:hanging="850"/>
        <w:rPr>
          <w:rFonts w:eastAsia="Calibri"/>
          <w:b/>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brať do úvahy všetky fa</w:t>
      </w:r>
      <w:r>
        <w:rPr>
          <w:rFonts w:eastAsia="Calibri"/>
          <w:noProof/>
          <w:color w:val="000000"/>
          <w:szCs w:val="22"/>
          <w:lang w:eastAsia="en-US"/>
        </w:rPr>
        <w:t>ktory ovplyvňujúce správanie pri vedení vozidla (napr. alkohol, únava, slabý zrak</w:t>
      </w:r>
      <w:r>
        <w:rPr>
          <w:b/>
          <w:i/>
        </w:rPr>
        <w:t>, používanie elektronických zariadení</w:t>
      </w:r>
      <w:r>
        <w:rPr>
          <w:rFonts w:eastAsia="Calibri"/>
          <w:noProof/>
          <w:color w:val="000000"/>
          <w:szCs w:val="22"/>
          <w:lang w:eastAsia="en-US"/>
        </w:rPr>
        <w:t xml:space="preserve"> atď.) tak, aby sa zachovali všetky schopnosti potrebné pre bezpečné vedenie vozidla,</w:t>
      </w:r>
      <w:r>
        <w:rPr>
          <w:rFonts w:eastAsia="Calibri"/>
          <w:b/>
          <w:noProof/>
          <w:color w:val="000000"/>
          <w:szCs w:val="22"/>
          <w:lang w:eastAsia="en-US"/>
        </w:rPr>
        <w:t xml:space="preserve"> [PN 199]</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tabs>
          <w:tab w:val="num" w:pos="850"/>
        </w:tabs>
        <w:spacing w:before="120" w:after="120" w:line="360" w:lineRule="auto"/>
        <w:ind w:left="850" w:hanging="850"/>
        <w:rPr>
          <w:rFonts w:eastAsia="Calibri"/>
          <w:noProof/>
          <w:szCs w:val="22"/>
          <w:lang w:eastAsia="en-US"/>
        </w:rPr>
      </w:pPr>
      <w:r>
        <w:rPr>
          <w:rFonts w:eastAsia="Calibri"/>
          <w:noProof/>
          <w:color w:val="000000"/>
          <w:szCs w:val="22"/>
          <w:lang w:eastAsia="en-US"/>
        </w:rPr>
        <w:lastRenderedPageBreak/>
        <w:t>–</w:t>
      </w:r>
      <w:r>
        <w:rPr>
          <w:rFonts w:eastAsia="Calibri"/>
          <w:noProof/>
          <w:color w:val="000000"/>
          <w:szCs w:val="22"/>
          <w:lang w:eastAsia="en-US"/>
        </w:rPr>
        <w:tab/>
        <w:t>pomôcť zaručiť bezpečnosť všetkých účas</w:t>
      </w:r>
      <w:r>
        <w:rPr>
          <w:rFonts w:eastAsia="Calibri"/>
          <w:noProof/>
          <w:color w:val="000000"/>
          <w:szCs w:val="22"/>
          <w:lang w:eastAsia="en-US"/>
        </w:rPr>
        <w:t>tníkov cestnej premávky, a najmä zraniteľných účastníkov cestnej premávky, vzájomným rešpektovaním sa,</w:t>
      </w:r>
    </w:p>
    <w:p w:rsidR="006C6719" w:rsidRDefault="00614864">
      <w:pPr>
        <w:widowControl/>
        <w:tabs>
          <w:tab w:val="num" w:pos="850"/>
        </w:tabs>
        <w:spacing w:before="120" w:after="120" w:line="360" w:lineRule="auto"/>
        <w:ind w:left="850" w:hanging="850"/>
        <w:rPr>
          <w:rFonts w:eastAsia="Calibri"/>
          <w:b/>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mať dostatočné vedomosti o rizikových faktoroch súvisiacich s </w:t>
      </w:r>
      <w:r>
        <w:rPr>
          <w:rFonts w:eastAsia="Calibri"/>
          <w:strike/>
          <w:noProof/>
          <w:color w:val="000000"/>
          <w:szCs w:val="22"/>
          <w:lang w:eastAsia="en-US"/>
        </w:rPr>
        <w:t>prostriedkami</w:t>
      </w:r>
      <w:r>
        <w:rPr>
          <w:rFonts w:eastAsia="Calibri"/>
          <w:noProof/>
          <w:color w:val="000000"/>
          <w:szCs w:val="22"/>
          <w:lang w:eastAsia="en-US"/>
        </w:rPr>
        <w:t xml:space="preserve"> </w:t>
      </w:r>
      <w:r>
        <w:rPr>
          <w:b/>
          <w:i/>
        </w:rPr>
        <w:t>cyklistami, chodcami a používateľmi</w:t>
      </w:r>
      <w:r>
        <w:t xml:space="preserve"> </w:t>
      </w:r>
      <w:r>
        <w:rPr>
          <w:rFonts w:eastAsia="Calibri"/>
          <w:noProof/>
          <w:color w:val="000000"/>
          <w:szCs w:val="22"/>
          <w:lang w:eastAsia="en-US"/>
        </w:rPr>
        <w:t>mikromobility,</w:t>
      </w:r>
      <w:r>
        <w:rPr>
          <w:rFonts w:eastAsia="Calibri"/>
          <w:b/>
          <w:noProof/>
          <w:color w:val="000000"/>
          <w:szCs w:val="22"/>
          <w:lang w:eastAsia="en-US"/>
        </w:rPr>
        <w:t xml:space="preserve"> [PN 200]</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mať dostatočn</w:t>
      </w:r>
      <w:r>
        <w:rPr>
          <w:rFonts w:eastAsia="Calibri"/>
          <w:noProof/>
          <w:color w:val="000000"/>
          <w:szCs w:val="22"/>
          <w:lang w:eastAsia="en-US"/>
        </w:rPr>
        <w:t>é vedomosti o oblasti bezpečnosti týkajúcej sa používania vozidiel s pohonom na alternatívne palivá,</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mať dostatočné vedomosti o používaní pokročilých asistenčných systémov vodiča a iných prvkov automatizácie vozidla.</w:t>
      </w:r>
    </w:p>
    <w:p w:rsidR="006C6719" w:rsidRDefault="00614864">
      <w:pPr>
        <w:widowControl/>
        <w:spacing w:before="120" w:after="120" w:line="360" w:lineRule="auto"/>
        <w:rPr>
          <w:rFonts w:eastAsia="Calibri"/>
          <w:b/>
          <w:noProof/>
          <w:color w:val="000000"/>
          <w:szCs w:val="22"/>
          <w:lang w:eastAsia="en-US"/>
        </w:rPr>
      </w:pPr>
      <w:r>
        <w:rPr>
          <w:rFonts w:eastAsia="Calibri"/>
          <w:strike/>
          <w:noProof/>
          <w:color w:val="000000"/>
          <w:szCs w:val="22"/>
          <w:lang w:eastAsia="en-US"/>
        </w:rPr>
        <w:t>Členské štáty môžu vykonávať</w:t>
      </w:r>
      <w:r>
        <w:rPr>
          <w:rFonts w:eastAsia="Calibri"/>
          <w:noProof/>
          <w:color w:val="000000"/>
          <w:szCs w:val="22"/>
          <w:lang w:eastAsia="en-US"/>
        </w:rPr>
        <w:t xml:space="preserve"> </w:t>
      </w:r>
      <w:r>
        <w:rPr>
          <w:b/>
          <w:i/>
        </w:rPr>
        <w:t xml:space="preserve">Členské </w:t>
      </w:r>
      <w:r>
        <w:rPr>
          <w:b/>
          <w:i/>
        </w:rPr>
        <w:t>štáty sa nabádajú, aby prijali a vykonávali</w:t>
      </w:r>
      <w:r>
        <w:t xml:space="preserve"> </w:t>
      </w:r>
      <w:r>
        <w:rPr>
          <w:rFonts w:eastAsia="Calibri"/>
          <w:noProof/>
          <w:color w:val="000000"/>
          <w:szCs w:val="22"/>
          <w:lang w:eastAsia="en-US"/>
        </w:rPr>
        <w:t xml:space="preserve">primerané opatrenia s cieľom zabezpečiť, aby si vodiči, ktorí už nemajú vedomosti, zručnosti a správanie opísané v bodoch 1 až 9, mohli obnoviť tieto vedomosti a zručnosti a naďalej vykazovať také správanie, aké </w:t>
      </w:r>
      <w:r>
        <w:rPr>
          <w:rFonts w:eastAsia="Calibri"/>
          <w:noProof/>
          <w:color w:val="000000"/>
          <w:szCs w:val="22"/>
          <w:lang w:eastAsia="en-US"/>
        </w:rPr>
        <w:t xml:space="preserve">sa požaduje na vedenie poháňaného vozidla. </w:t>
      </w:r>
      <w:r>
        <w:rPr>
          <w:b/>
          <w:i/>
        </w:rPr>
        <w:t>Členské štáty môžu na finančnú podporu takýchto opatrení použiť príjmy vyčlenené podľa smernice (EÚ) 2015/413.</w:t>
      </w:r>
      <w:r>
        <w:rPr>
          <w:rFonts w:eastAsia="Calibri"/>
          <w:b/>
          <w:noProof/>
          <w:color w:val="000000"/>
          <w:szCs w:val="22"/>
          <w:lang w:eastAsia="en-US"/>
        </w:rPr>
        <w:t xml:space="preserve"> [PN 201]</w:t>
      </w:r>
    </w:p>
    <w:p w:rsidR="006C6719" w:rsidRDefault="006C6719">
      <w:pPr>
        <w:widowControl/>
        <w:spacing w:before="120" w:after="120"/>
        <w:jc w:val="both"/>
        <w:rPr>
          <w:rFonts w:eastAsia="Calibri"/>
          <w:noProof/>
          <w:szCs w:val="22"/>
          <w:lang w:eastAsia="en-US"/>
        </w:rPr>
        <w:sectPr w:rsidR="006C6719">
          <w:footnotePr>
            <w:numRestart w:val="eachSect"/>
          </w:footnotePr>
          <w:pgSz w:w="11907" w:h="16839"/>
          <w:pgMar w:top="1134" w:right="1417" w:bottom="1134" w:left="1417" w:header="709" w:footer="709" w:gutter="0"/>
          <w:cols w:space="720"/>
          <w:docGrid w:linePitch="360"/>
        </w:sectPr>
      </w:pPr>
    </w:p>
    <w:p w:rsidR="006C6719" w:rsidRDefault="00614864">
      <w:pPr>
        <w:widowControl/>
        <w:spacing w:before="120" w:after="120" w:line="360" w:lineRule="auto"/>
        <w:jc w:val="center"/>
        <w:rPr>
          <w:rFonts w:eastAsia="Calibri"/>
          <w:noProof/>
          <w:szCs w:val="22"/>
          <w:lang w:eastAsia="en-US"/>
        </w:rPr>
      </w:pPr>
      <w:r>
        <w:rPr>
          <w:rFonts w:eastAsia="Calibri"/>
          <w:noProof/>
          <w:szCs w:val="22"/>
          <w:lang w:eastAsia="en-US"/>
        </w:rPr>
        <w:lastRenderedPageBreak/>
        <w:t>Príloha III</w:t>
      </w:r>
    </w:p>
    <w:p w:rsidR="006C6719" w:rsidRDefault="00614864">
      <w:pPr>
        <w:widowControl/>
        <w:spacing w:before="120" w:after="120" w:line="360" w:lineRule="auto"/>
        <w:textAlignment w:val="baseline"/>
        <w:rPr>
          <w:b/>
          <w:noProof/>
          <w:szCs w:val="24"/>
          <w:lang w:eastAsia="en-US"/>
        </w:rPr>
      </w:pPr>
      <w:r>
        <w:rPr>
          <w:noProof/>
          <w:szCs w:val="24"/>
          <w:lang w:eastAsia="en-US"/>
        </w:rPr>
        <w:t xml:space="preserve">MINIMÁLNE NORMY </w:t>
      </w:r>
      <w:r>
        <w:rPr>
          <w:strike/>
          <w:noProof/>
          <w:szCs w:val="24"/>
          <w:lang w:eastAsia="en-US"/>
        </w:rPr>
        <w:t>TELESNEJ A DUŠEVNEJ</w:t>
      </w:r>
      <w:r>
        <w:rPr>
          <w:noProof/>
          <w:szCs w:val="24"/>
          <w:lang w:eastAsia="en-US"/>
        </w:rPr>
        <w:t xml:space="preserve"> SPÔSOBILOSTI NA VEDENIE POHÁŇANÉHO VOZIDLA </w:t>
      </w:r>
      <w:r>
        <w:rPr>
          <w:b/>
          <w:noProof/>
          <w:szCs w:val="24"/>
          <w:lang w:eastAsia="en-US"/>
        </w:rPr>
        <w:t>[PN 258, 327 a 338]</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 xml:space="preserve">VYMEDZENIE POJMOV </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r>
      <w:r>
        <w:rPr>
          <w:rFonts w:eastAsia="Calibri"/>
          <w:noProof/>
          <w:color w:val="000000"/>
          <w:szCs w:val="22"/>
          <w:lang w:eastAsia="en-US"/>
        </w:rPr>
        <w:t xml:space="preserve">Na účely tejto prílohy sa vodiči klasifikujú do dvoch skupín: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1.</w:t>
      </w:r>
      <w:r>
        <w:rPr>
          <w:rFonts w:eastAsia="Calibri"/>
          <w:noProof/>
          <w:szCs w:val="22"/>
          <w:lang w:eastAsia="en-US"/>
        </w:rPr>
        <w:tab/>
        <w:t>skupina 1: </w:t>
      </w:r>
      <w:r>
        <w:rPr>
          <w:rFonts w:eastAsia="Calibri"/>
          <w:noProof/>
          <w:color w:val="000000"/>
          <w:szCs w:val="22"/>
          <w:lang w:eastAsia="en-US"/>
        </w:rPr>
        <w:t>vodiči vozidiel skupín A, A1, A2, AM, B, B1</w:t>
      </w:r>
      <w:r>
        <w:rPr>
          <w:b/>
          <w:i/>
        </w:rPr>
        <w:t>, BE</w:t>
      </w:r>
      <w:r>
        <w:t xml:space="preserve"> </w:t>
      </w:r>
      <w:r>
        <w:rPr>
          <w:b/>
          <w:i/>
        </w:rPr>
        <w:t>a</w:t>
      </w:r>
      <w:r>
        <w:t> </w:t>
      </w:r>
      <w:r>
        <w:rPr>
          <w:b/>
          <w:i/>
        </w:rPr>
        <w:t>T</w:t>
      </w:r>
      <w:r>
        <w:rPr>
          <w:rFonts w:eastAsia="Calibri"/>
          <w:noProof/>
          <w:color w:val="000000"/>
          <w:szCs w:val="22"/>
          <w:lang w:eastAsia="en-US"/>
        </w:rPr>
        <w:t xml:space="preserve"> </w:t>
      </w:r>
      <w:r>
        <w:rPr>
          <w:rFonts w:eastAsia="Calibri"/>
          <w:strike/>
          <w:noProof/>
          <w:color w:val="000000"/>
          <w:szCs w:val="22"/>
          <w:lang w:eastAsia="en-US"/>
        </w:rPr>
        <w:t>a BE</w:t>
      </w:r>
      <w:r>
        <w:rPr>
          <w:rFonts w:eastAsia="Calibri"/>
          <w:noProof/>
          <w:color w:val="000000"/>
          <w:szCs w:val="22"/>
          <w:lang w:eastAsia="en-US"/>
        </w:rPr>
        <w:t xml:space="preserve">, </w:t>
      </w:r>
      <w:r>
        <w:rPr>
          <w:rFonts w:eastAsia="Calibri"/>
          <w:b/>
          <w:noProof/>
          <w:color w:val="000000"/>
          <w:szCs w:val="22"/>
          <w:lang w:eastAsia="en-US"/>
        </w:rPr>
        <w:t>[PN 202]</w:t>
      </w:r>
    </w:p>
    <w:p w:rsidR="006C6719" w:rsidRDefault="00614864">
      <w:pPr>
        <w:widowControl/>
        <w:spacing w:before="120" w:after="120" w:line="360" w:lineRule="auto"/>
        <w:ind w:left="1417" w:hanging="567"/>
        <w:rPr>
          <w:rFonts w:eastAsia="Calibri"/>
          <w:noProof/>
          <w:color w:val="000000"/>
          <w:szCs w:val="22"/>
          <w:lang w:eastAsia="en-US"/>
        </w:rPr>
      </w:pPr>
      <w:r>
        <w:rPr>
          <w:rFonts w:eastAsia="Calibri"/>
          <w:noProof/>
          <w:szCs w:val="22"/>
          <w:lang w:eastAsia="en-US"/>
        </w:rPr>
        <w:t>2.</w:t>
      </w:r>
      <w:r>
        <w:rPr>
          <w:rFonts w:eastAsia="Calibri"/>
          <w:noProof/>
          <w:szCs w:val="22"/>
          <w:lang w:eastAsia="en-US"/>
        </w:rPr>
        <w:tab/>
        <w:t>skupina 2: </w:t>
      </w:r>
      <w:r>
        <w:rPr>
          <w:rFonts w:eastAsia="Calibri"/>
          <w:noProof/>
          <w:color w:val="000000"/>
          <w:szCs w:val="22"/>
          <w:lang w:eastAsia="en-US"/>
        </w:rPr>
        <w:t>vodiči vozid</w:t>
      </w:r>
      <w:r>
        <w:rPr>
          <w:rFonts w:eastAsia="Calibri"/>
          <w:noProof/>
          <w:color w:val="000000"/>
          <w:szCs w:val="22"/>
          <w:lang w:eastAsia="en-US"/>
        </w:rPr>
        <w:t>iel skupín C, CE, C1, C1E, D, DE, D1 a D1E.</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3.</w:t>
      </w:r>
      <w:r>
        <w:rPr>
          <w:rFonts w:eastAsia="Calibri"/>
          <w:noProof/>
          <w:szCs w:val="22"/>
          <w:lang w:eastAsia="en-US"/>
        </w:rPr>
        <w:tab/>
        <w:t xml:space="preserve">Vo vnútroštátnych právnych predpisoch sa </w:t>
      </w:r>
      <w:r>
        <w:rPr>
          <w:rFonts w:eastAsia="Calibri"/>
          <w:strike/>
          <w:noProof/>
          <w:szCs w:val="22"/>
          <w:lang w:eastAsia="en-US"/>
        </w:rPr>
        <w:t>môže stanoviť</w:t>
      </w:r>
      <w:r>
        <w:rPr>
          <w:rFonts w:eastAsia="Calibri"/>
          <w:noProof/>
          <w:szCs w:val="22"/>
          <w:lang w:eastAsia="en-US"/>
        </w:rPr>
        <w:t xml:space="preserve"> </w:t>
      </w:r>
      <w:r>
        <w:rPr>
          <w:b/>
          <w:i/>
        </w:rPr>
        <w:t>stanoví</w:t>
      </w:r>
      <w:r>
        <w:rPr>
          <w:rFonts w:eastAsia="Calibri"/>
          <w:noProof/>
          <w:szCs w:val="22"/>
          <w:lang w:eastAsia="en-US"/>
        </w:rPr>
        <w:t>, že ustanovenia tejto prílohy pre vodičov skupiny 2 sa vzťahujú na vodičov vozidiel skupiny B, ktorí používajú svoj vodičský preukaz na profesion</w:t>
      </w:r>
      <w:r>
        <w:rPr>
          <w:rFonts w:eastAsia="Calibri"/>
          <w:noProof/>
          <w:szCs w:val="22"/>
          <w:lang w:eastAsia="en-US"/>
        </w:rPr>
        <w:t xml:space="preserve">álne účely (taxíky, </w:t>
      </w:r>
      <w:r>
        <w:rPr>
          <w:rFonts w:eastAsia="Calibri"/>
          <w:strike/>
          <w:noProof/>
          <w:szCs w:val="22"/>
          <w:lang w:eastAsia="en-US"/>
        </w:rPr>
        <w:t>sanitky</w:t>
      </w:r>
      <w:r>
        <w:rPr>
          <w:rFonts w:eastAsia="Calibri"/>
          <w:noProof/>
          <w:szCs w:val="22"/>
          <w:lang w:eastAsia="en-US"/>
        </w:rPr>
        <w:t xml:space="preserve"> </w:t>
      </w:r>
      <w:r>
        <w:rPr>
          <w:b/>
          <w:i/>
        </w:rPr>
        <w:t>sanitné vozidlá</w:t>
      </w:r>
      <w:r>
        <w:t xml:space="preserve"> </w:t>
      </w:r>
      <w:r>
        <w:rPr>
          <w:rFonts w:eastAsia="Calibri"/>
          <w:noProof/>
          <w:szCs w:val="22"/>
          <w:lang w:eastAsia="en-US"/>
        </w:rPr>
        <w:t xml:space="preserve">atď.). </w:t>
      </w:r>
      <w:r>
        <w:rPr>
          <w:rFonts w:eastAsia="Calibri"/>
          <w:b/>
          <w:noProof/>
          <w:szCs w:val="22"/>
          <w:lang w:eastAsia="en-US"/>
        </w:rPr>
        <w:t>[PN 203]</w:t>
      </w:r>
    </w:p>
    <w:p w:rsidR="006C6719" w:rsidRDefault="00614864">
      <w:pPr>
        <w:widowControl/>
        <w:tabs>
          <w:tab w:val="left"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2.</w:t>
      </w:r>
      <w:r>
        <w:rPr>
          <w:rFonts w:eastAsia="Calibri"/>
          <w:noProof/>
          <w:color w:val="000000"/>
          <w:szCs w:val="22"/>
          <w:lang w:eastAsia="en-US"/>
        </w:rPr>
        <w:tab/>
        <w:t>Podobne sú žiadatelia o prvý vodičský preukaz alebo o obnovenie vodičského preukazu klasifikovaní do skupiny, do ktorej budú patriť, keď bude ich vodičský preukaz vydaný alebo obnovený.</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rPr>
          <w:rFonts w:eastAsia="Calibri"/>
          <w:b/>
          <w:noProof/>
          <w:szCs w:val="22"/>
          <w:lang w:eastAsia="en-US"/>
        </w:rPr>
      </w:pPr>
      <w:r>
        <w:rPr>
          <w:rFonts w:eastAsia="Calibri"/>
          <w:strike/>
          <w:noProof/>
          <w:color w:val="000000"/>
          <w:szCs w:val="22"/>
          <w:lang w:eastAsia="en-US"/>
        </w:rPr>
        <w:lastRenderedPageBreak/>
        <w:t>LEKÁRSKE PREHLIADKY</w:t>
      </w:r>
      <w:r>
        <w:rPr>
          <w:rFonts w:eastAsia="Calibri"/>
          <w:noProof/>
          <w:color w:val="000000"/>
          <w:szCs w:val="22"/>
          <w:lang w:eastAsia="en-US"/>
        </w:rPr>
        <w:t xml:space="preserve"> </w:t>
      </w:r>
      <w:r>
        <w:rPr>
          <w:b/>
          <w:i/>
        </w:rPr>
        <w:t>SPÔSOBILOSŤ NA VEDENIE POHÁŇANÉHO VOZIDLA</w:t>
      </w:r>
      <w:r>
        <w:rPr>
          <w:rFonts w:eastAsia="Calibri"/>
          <w:b/>
          <w:noProof/>
          <w:color w:val="000000"/>
          <w:szCs w:val="22"/>
          <w:lang w:eastAsia="en-US"/>
        </w:rPr>
        <w:t xml:space="preserve"> [PN 259, 328 a 339]</w:t>
      </w:r>
    </w:p>
    <w:p w:rsidR="006C6719" w:rsidRDefault="00614864">
      <w:pPr>
        <w:widowControl/>
        <w:tabs>
          <w:tab w:val="left"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3.</w:t>
      </w:r>
      <w:r>
        <w:rPr>
          <w:rFonts w:eastAsia="Calibri"/>
          <w:noProof/>
          <w:color w:val="000000"/>
          <w:szCs w:val="22"/>
          <w:lang w:eastAsia="en-US"/>
        </w:rPr>
        <w:tab/>
        <w:t>Skupina 1:</w:t>
      </w:r>
      <w:r>
        <w:rPr>
          <w:rFonts w:eastAsia="Calibri"/>
          <w:noProof/>
          <w:szCs w:val="22"/>
          <w:lang w:eastAsia="en-US"/>
        </w:rPr>
        <w:t xml:space="preserve"> </w:t>
      </w:r>
    </w:p>
    <w:p w:rsidR="006C6719" w:rsidRDefault="00614864">
      <w:pPr>
        <w:widowControl/>
        <w:spacing w:before="120" w:after="120" w:line="360" w:lineRule="auto"/>
        <w:ind w:left="850"/>
        <w:rPr>
          <w:rFonts w:eastAsia="Calibri"/>
          <w:b/>
          <w:noProof/>
          <w:color w:val="000000"/>
          <w:szCs w:val="22"/>
          <w:lang w:eastAsia="en-US"/>
        </w:rPr>
      </w:pPr>
      <w:r>
        <w:rPr>
          <w:rFonts w:eastAsia="Calibri"/>
          <w:noProof/>
          <w:color w:val="000000"/>
          <w:szCs w:val="22"/>
          <w:lang w:eastAsia="en-US"/>
        </w:rPr>
        <w:t xml:space="preserve">Žiadatelia vykonávajú </w:t>
      </w:r>
      <w:r>
        <w:rPr>
          <w:b/>
          <w:i/>
        </w:rPr>
        <w:t xml:space="preserve">buď </w:t>
      </w:r>
      <w:r>
        <w:rPr>
          <w:rFonts w:eastAsia="Calibri"/>
          <w:noProof/>
          <w:color w:val="000000"/>
          <w:szCs w:val="22"/>
          <w:lang w:eastAsia="en-US"/>
        </w:rPr>
        <w:t>sebahodnotenie</w:t>
      </w:r>
      <w:r>
        <w:rPr>
          <w:b/>
          <w:i/>
        </w:rPr>
        <w:t>, alebo lekársku prehliadku</w:t>
      </w:r>
      <w:r>
        <w:rPr>
          <w:rFonts w:eastAsia="Calibri"/>
          <w:noProof/>
          <w:color w:val="000000"/>
          <w:szCs w:val="22"/>
          <w:lang w:eastAsia="en-US"/>
        </w:rPr>
        <w:t xml:space="preserve"> </w:t>
      </w:r>
      <w:r>
        <w:rPr>
          <w:rFonts w:eastAsia="Calibri"/>
          <w:strike/>
          <w:noProof/>
          <w:color w:val="000000"/>
          <w:szCs w:val="22"/>
          <w:lang w:eastAsia="en-US"/>
        </w:rPr>
        <w:t>svojej telesnej a duševnej spôsobilosti</w:t>
      </w:r>
      <w:r>
        <w:rPr>
          <w:rFonts w:eastAsia="Calibri"/>
          <w:noProof/>
          <w:color w:val="000000"/>
          <w:szCs w:val="22"/>
          <w:lang w:eastAsia="en-US"/>
        </w:rPr>
        <w:t xml:space="preserve"> na vedenie poháňaného vozidla </w:t>
      </w:r>
      <w:r>
        <w:rPr>
          <w:b/>
          <w:i/>
        </w:rPr>
        <w:t>v súlade s vnútroštát</w:t>
      </w:r>
      <w:r>
        <w:rPr>
          <w:b/>
          <w:i/>
        </w:rPr>
        <w:t>nym systémom zavedeným v členskom štáte obvyklého bydliska</w:t>
      </w:r>
      <w:r>
        <w:rPr>
          <w:rFonts w:eastAsia="Calibri"/>
          <w:noProof/>
          <w:color w:val="000000"/>
          <w:szCs w:val="22"/>
          <w:lang w:eastAsia="en-US"/>
        </w:rPr>
        <w:t xml:space="preserve">. </w:t>
      </w:r>
      <w:r>
        <w:rPr>
          <w:rFonts w:eastAsia="Calibri"/>
          <w:b/>
          <w:noProof/>
          <w:color w:val="000000"/>
          <w:szCs w:val="22"/>
          <w:lang w:eastAsia="en-US"/>
        </w:rPr>
        <w:t>[PN 260 a 329]</w:t>
      </w:r>
    </w:p>
    <w:p w:rsidR="006C6719" w:rsidRDefault="00614864">
      <w:pPr>
        <w:widowControl/>
        <w:spacing w:before="120" w:after="120" w:line="360" w:lineRule="auto"/>
        <w:ind w:left="850"/>
        <w:rPr>
          <w:rFonts w:eastAsia="Calibri"/>
          <w:b/>
          <w:noProof/>
          <w:color w:val="000000"/>
          <w:szCs w:val="22"/>
          <w:lang w:eastAsia="en-US"/>
        </w:rPr>
      </w:pPr>
      <w:r>
        <w:rPr>
          <w:rFonts w:eastAsia="Calibri"/>
          <w:noProof/>
          <w:color w:val="000000"/>
          <w:szCs w:val="22"/>
          <w:lang w:eastAsia="en-US"/>
        </w:rPr>
        <w:t xml:space="preserve">Od žiadateľov sa vyžaduje, aby sa podrobili lekárskej prehliadke, </w:t>
      </w:r>
      <w:r>
        <w:rPr>
          <w:rFonts w:eastAsia="Calibri"/>
          <w:strike/>
          <w:noProof/>
          <w:color w:val="000000"/>
          <w:szCs w:val="22"/>
          <w:lang w:eastAsia="en-US"/>
        </w:rPr>
        <w:t xml:space="preserve">ak sa pri sebahodnotení telesnej a duševnej spôsobilosti </w:t>
      </w:r>
      <w:r>
        <w:rPr>
          <w:b/>
          <w:i/>
        </w:rPr>
        <w:t>vrátane náležitého vyšetrenia zraku</w:t>
      </w:r>
      <w:r>
        <w:t xml:space="preserve">, </w:t>
      </w:r>
      <w:r>
        <w:rPr>
          <w:b/>
          <w:i/>
        </w:rPr>
        <w:t>ako</w:t>
      </w:r>
      <w:r>
        <w:t xml:space="preserve"> </w:t>
      </w:r>
      <w:r>
        <w:rPr>
          <w:b/>
          <w:i/>
        </w:rPr>
        <w:t>sa</w:t>
      </w:r>
      <w:r>
        <w:t xml:space="preserve"> </w:t>
      </w:r>
      <w:r>
        <w:rPr>
          <w:b/>
          <w:i/>
        </w:rPr>
        <w:t xml:space="preserve">uvádza v bode </w:t>
      </w:r>
      <w:r>
        <w:rPr>
          <w:b/>
          <w:i/>
        </w:rPr>
        <w:t>6</w:t>
      </w:r>
      <w:r>
        <w:t xml:space="preserve">, </w:t>
      </w:r>
      <w:r>
        <w:rPr>
          <w:rFonts w:eastAsia="Calibri"/>
          <w:noProof/>
          <w:color w:val="000000"/>
          <w:szCs w:val="22"/>
          <w:lang w:eastAsia="en-US"/>
        </w:rPr>
        <w:t xml:space="preserve">pri plnení nevyhnutných formalít alebo v priebehu skúšky, ktorá je nevyhnutná na získanie vodičského preukazu, </w:t>
      </w:r>
      <w:r>
        <w:rPr>
          <w:rFonts w:eastAsia="Calibri"/>
          <w:strike/>
          <w:noProof/>
          <w:color w:val="000000"/>
          <w:szCs w:val="22"/>
          <w:lang w:eastAsia="en-US"/>
        </w:rPr>
        <w:t>preukáže, že pravdepodobne majú jednu alebo viac zdravotných nespôsobilostí uvedených v</w:t>
      </w:r>
      <w:r>
        <w:rPr>
          <w:rFonts w:eastAsia="Calibri"/>
          <w:noProof/>
          <w:color w:val="000000"/>
          <w:szCs w:val="22"/>
          <w:lang w:eastAsia="en-US"/>
        </w:rPr>
        <w:t> </w:t>
      </w:r>
      <w:r>
        <w:rPr>
          <w:b/>
          <w:i/>
        </w:rPr>
        <w:t xml:space="preserve">pričom táto prehliadka sa zavŕši vydaním odôvodneného </w:t>
      </w:r>
      <w:r>
        <w:rPr>
          <w:b/>
          <w:i/>
        </w:rPr>
        <w:t xml:space="preserve">lekárskeho posudku lekárskym orgánom, ktorého odborné znalosti sú primerané komplexnosti kombinovaných účelov </w:t>
      </w:r>
      <w:r>
        <w:rPr>
          <w:rFonts w:eastAsia="Calibri"/>
          <w:noProof/>
          <w:color w:val="000000"/>
          <w:szCs w:val="22"/>
          <w:lang w:eastAsia="en-US"/>
        </w:rPr>
        <w:t xml:space="preserve">tejto </w:t>
      </w:r>
      <w:r>
        <w:rPr>
          <w:rFonts w:eastAsia="Calibri"/>
          <w:strike/>
          <w:noProof/>
          <w:color w:val="000000"/>
          <w:szCs w:val="22"/>
          <w:lang w:eastAsia="en-US"/>
        </w:rPr>
        <w:t>prílohe</w:t>
      </w:r>
      <w:r>
        <w:rPr>
          <w:rFonts w:eastAsia="Calibri"/>
          <w:noProof/>
          <w:color w:val="000000"/>
          <w:szCs w:val="22"/>
          <w:lang w:eastAsia="en-US"/>
        </w:rPr>
        <w:t xml:space="preserve"> </w:t>
      </w:r>
      <w:r>
        <w:rPr>
          <w:b/>
          <w:i/>
        </w:rPr>
        <w:t>prílohy</w:t>
      </w:r>
      <w:r>
        <w:rPr>
          <w:rFonts w:eastAsia="Calibri"/>
          <w:noProof/>
          <w:color w:val="000000"/>
          <w:szCs w:val="22"/>
          <w:lang w:eastAsia="en-US"/>
        </w:rPr>
        <w:t xml:space="preserve">. </w:t>
      </w:r>
      <w:r>
        <w:rPr>
          <w:rFonts w:eastAsia="Calibri"/>
          <w:b/>
          <w:noProof/>
          <w:color w:val="000000"/>
          <w:szCs w:val="22"/>
          <w:lang w:eastAsia="en-US"/>
        </w:rPr>
        <w:t>[PN 205]</w:t>
      </w:r>
    </w:p>
    <w:p w:rsidR="006C6719" w:rsidRDefault="00614864">
      <w:pPr>
        <w:widowControl/>
        <w:rPr>
          <w:rFonts w:eastAsia="Calibri"/>
          <w:strike/>
          <w:noProof/>
          <w:color w:val="000000"/>
          <w:szCs w:val="22"/>
          <w:lang w:eastAsia="en-US"/>
        </w:rPr>
      </w:pPr>
      <w:r>
        <w:rPr>
          <w:rFonts w:eastAsia="Calibri"/>
          <w:strike/>
          <w:noProof/>
          <w:color w:val="000000"/>
          <w:szCs w:val="22"/>
          <w:lang w:eastAsia="en-US"/>
        </w:rPr>
        <w:br w:type="page"/>
      </w:r>
    </w:p>
    <w:p w:rsidR="006C6719" w:rsidRDefault="00614864">
      <w:pPr>
        <w:widowControl/>
        <w:spacing w:before="120" w:after="120" w:line="360" w:lineRule="auto"/>
        <w:ind w:left="850"/>
        <w:rPr>
          <w:rFonts w:eastAsia="Calibri"/>
          <w:b/>
          <w:noProof/>
          <w:color w:val="000000"/>
          <w:szCs w:val="22"/>
          <w:lang w:eastAsia="en-US"/>
        </w:rPr>
      </w:pPr>
      <w:r>
        <w:rPr>
          <w:rFonts w:eastAsia="Calibri"/>
          <w:strike/>
          <w:noProof/>
          <w:color w:val="000000"/>
          <w:szCs w:val="22"/>
          <w:lang w:eastAsia="en-US"/>
        </w:rPr>
        <w:lastRenderedPageBreak/>
        <w:t xml:space="preserve">Rovnaký postup sa na vodičov vzťahuje pri obnovovaní vodičského preukazu </w:t>
      </w:r>
      <w:r>
        <w:rPr>
          <w:b/>
          <w:i/>
        </w:rPr>
        <w:t xml:space="preserve">Pri obnovovaní vodičských preukazov </w:t>
      </w:r>
      <w:r>
        <w:rPr>
          <w:b/>
          <w:i/>
        </w:rPr>
        <w:t>môžu byť vodiči podrobení lekárskej prehliadke</w:t>
      </w:r>
      <w:r>
        <w:t xml:space="preserve"> na </w:t>
      </w:r>
      <w:r>
        <w:rPr>
          <w:b/>
          <w:i/>
        </w:rPr>
        <w:t>vedenie motorového vozidla, sebahodnoteniu alebo akejkoľvek inej forme posúdenia spôsobilosti viesť motorové vozidlo v súlade s vnútroštátnym systémom zavedeným v členskom štáte obvyklého bydliska</w:t>
      </w:r>
      <w:r>
        <w:rPr>
          <w:rFonts w:eastAsia="Calibri"/>
          <w:noProof/>
          <w:color w:val="000000"/>
          <w:szCs w:val="22"/>
          <w:lang w:eastAsia="en-US"/>
        </w:rPr>
        <w:t xml:space="preserve">. </w:t>
      </w:r>
      <w:r>
        <w:rPr>
          <w:rFonts w:eastAsia="Calibri"/>
          <w:b/>
          <w:noProof/>
          <w:color w:val="000000"/>
          <w:szCs w:val="22"/>
          <w:lang w:eastAsia="en-US"/>
        </w:rPr>
        <w:t>[PN 262,</w:t>
      </w:r>
      <w:r>
        <w:rPr>
          <w:rFonts w:eastAsia="Calibri"/>
          <w:b/>
          <w:noProof/>
          <w:color w:val="000000"/>
          <w:szCs w:val="22"/>
          <w:lang w:eastAsia="en-US"/>
        </w:rPr>
        <w:t xml:space="preserve"> 331 a 341]</w:t>
      </w:r>
    </w:p>
    <w:p w:rsidR="006C6719" w:rsidRDefault="00614864">
      <w:pPr>
        <w:widowControl/>
        <w:tabs>
          <w:tab w:val="left" w:pos="850"/>
        </w:tabs>
        <w:spacing w:before="120" w:after="120" w:line="360" w:lineRule="auto"/>
        <w:ind w:left="850" w:hanging="850"/>
        <w:rPr>
          <w:rFonts w:eastAsia="Calibri"/>
          <w:b/>
          <w:noProof/>
          <w:szCs w:val="22"/>
          <w:lang w:eastAsia="en-US"/>
        </w:rPr>
      </w:pPr>
      <w:r>
        <w:rPr>
          <w:b/>
          <w:i/>
        </w:rPr>
        <w:t>3a.</w:t>
      </w:r>
      <w:r>
        <w:rPr>
          <w:b/>
          <w:i/>
        </w:rPr>
        <w:tab/>
        <w:t>Členské štáty môžu na účel vydávania alebo následného obnovenia vodičských preukazov stanoviť prísnejšie normy a pravidlá, než sú normy a pravidlá stanovené v tejto prílohe.</w:t>
      </w:r>
      <w:r>
        <w:rPr>
          <w:b/>
        </w:rPr>
        <w:t xml:space="preserve"> [PN 206]</w:t>
      </w:r>
    </w:p>
    <w:p w:rsidR="006C6719" w:rsidRDefault="00614864">
      <w:pPr>
        <w:widowControl/>
        <w:tabs>
          <w:tab w:val="left"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4.</w:t>
      </w:r>
      <w:r>
        <w:rPr>
          <w:rFonts w:eastAsia="Calibri"/>
          <w:noProof/>
          <w:color w:val="000000"/>
          <w:szCs w:val="22"/>
          <w:lang w:eastAsia="en-US"/>
        </w:rPr>
        <w:tab/>
        <w:t>Skupina 2:</w:t>
      </w:r>
      <w:r>
        <w:rPr>
          <w:rFonts w:eastAsia="Calibri"/>
          <w:noProof/>
          <w:szCs w:val="22"/>
          <w:lang w:eastAsia="en-US"/>
        </w:rPr>
        <w:t xml:space="preserve"> </w:t>
      </w:r>
    </w:p>
    <w:p w:rsidR="006C6719" w:rsidRDefault="00614864">
      <w:pPr>
        <w:widowControl/>
        <w:spacing w:before="120" w:after="120" w:line="360" w:lineRule="auto"/>
        <w:ind w:left="850"/>
        <w:rPr>
          <w:rFonts w:eastAsia="Calibri"/>
          <w:b/>
          <w:noProof/>
          <w:szCs w:val="22"/>
          <w:lang w:eastAsia="en-US"/>
        </w:rPr>
      </w:pPr>
      <w:r>
        <w:rPr>
          <w:rFonts w:eastAsia="Calibri"/>
          <w:noProof/>
          <w:color w:val="000000"/>
          <w:szCs w:val="22"/>
          <w:lang w:eastAsia="en-US"/>
        </w:rPr>
        <w:t>Žiadatelia sa podrobia lekárskej prehliadk</w:t>
      </w:r>
      <w:r>
        <w:rPr>
          <w:rFonts w:eastAsia="Calibri"/>
          <w:noProof/>
          <w:color w:val="000000"/>
          <w:szCs w:val="22"/>
          <w:lang w:eastAsia="en-US"/>
        </w:rPr>
        <w:t xml:space="preserve">e </w:t>
      </w:r>
      <w:r>
        <w:rPr>
          <w:b/>
          <w:i/>
        </w:rPr>
        <w:t xml:space="preserve">na účel posúdenia svojej telesnej a duševnej spôsobilosti na vedenie poháňaného vozidla </w:t>
      </w:r>
      <w:r>
        <w:rPr>
          <w:rFonts w:eastAsia="Calibri"/>
          <w:noProof/>
          <w:color w:val="000000"/>
          <w:szCs w:val="22"/>
          <w:lang w:eastAsia="en-US"/>
        </w:rPr>
        <w:t>pred prvým vydaním vodičského preukazu a potom sa vodiči kontrolujú pri každom obnovení svojho vodičského preukazu v súlade s vnútroštátnym systémom zavedeným v člens</w:t>
      </w:r>
      <w:r>
        <w:rPr>
          <w:rFonts w:eastAsia="Calibri"/>
          <w:noProof/>
          <w:color w:val="000000"/>
          <w:szCs w:val="22"/>
          <w:lang w:eastAsia="en-US"/>
        </w:rPr>
        <w:t xml:space="preserve">kom štáte obvyklého bydliska. </w:t>
      </w:r>
      <w:r>
        <w:rPr>
          <w:b/>
          <w:i/>
        </w:rPr>
        <w:t>Lekársku prehliadku môže vykonať všeobecný lekár za predpokladu, že absolvoval online kurz odbornej prípravy uvedený v článku 10 ods. 8a.</w:t>
      </w:r>
      <w:r>
        <w:rPr>
          <w:rFonts w:eastAsia="Calibri"/>
          <w:b/>
          <w:noProof/>
          <w:color w:val="000000"/>
          <w:szCs w:val="22"/>
          <w:lang w:eastAsia="en-US"/>
        </w:rPr>
        <w:t xml:space="preserve"> [PN 207]</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tabs>
          <w:tab w:val="left" w:pos="850"/>
        </w:tabs>
        <w:spacing w:before="120" w:after="120" w:line="360" w:lineRule="auto"/>
        <w:ind w:left="850" w:hanging="850"/>
        <w:rPr>
          <w:rFonts w:eastAsia="Calibri"/>
          <w:b/>
          <w:noProof/>
          <w:color w:val="000000"/>
          <w:szCs w:val="22"/>
          <w:lang w:eastAsia="en-US"/>
        </w:rPr>
      </w:pPr>
      <w:r>
        <w:rPr>
          <w:b/>
          <w:i/>
        </w:rPr>
        <w:lastRenderedPageBreak/>
        <w:t>4a.</w:t>
      </w:r>
      <w:r>
        <w:rPr>
          <w:b/>
          <w:i/>
        </w:rPr>
        <w:tab/>
        <w:t>Rovnaký postup sa na vodičov vzťahuje pri obnovovaní vodičského preukazu.</w:t>
      </w:r>
      <w:r>
        <w:rPr>
          <w:rFonts w:eastAsia="Calibri"/>
          <w:b/>
          <w:noProof/>
          <w:color w:val="000000"/>
          <w:szCs w:val="22"/>
          <w:lang w:eastAsia="en-US"/>
        </w:rPr>
        <w:t xml:space="preserve"> [PN 208]</w:t>
      </w:r>
    </w:p>
    <w:p w:rsidR="006C6719" w:rsidRDefault="00614864">
      <w:pPr>
        <w:widowControl/>
        <w:tabs>
          <w:tab w:val="left"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5.</w:t>
      </w:r>
      <w:r>
        <w:rPr>
          <w:rFonts w:eastAsia="Calibri"/>
          <w:noProof/>
          <w:color w:val="000000"/>
          <w:szCs w:val="22"/>
          <w:lang w:eastAsia="en-US"/>
        </w:rPr>
        <w:tab/>
        <w:t>Normy stanovené členskými štátmi na vydávanie alebo akékoľvek následné obnovenie vodičských preukazov môžu byť prísnejšie ako normy ustanovené v tejto prílohe. </w:t>
      </w:r>
    </w:p>
    <w:p w:rsidR="006C6719" w:rsidRDefault="00614864">
      <w:pPr>
        <w:widowControl/>
        <w:spacing w:before="120" w:after="120" w:line="360" w:lineRule="auto"/>
        <w:rPr>
          <w:rFonts w:eastAsia="Calibri"/>
          <w:bCs/>
          <w:noProof/>
          <w:color w:val="000000"/>
          <w:szCs w:val="22"/>
          <w:lang w:eastAsia="en-US"/>
        </w:rPr>
      </w:pPr>
      <w:r>
        <w:rPr>
          <w:rFonts w:eastAsia="Calibri"/>
          <w:noProof/>
          <w:color w:val="000000"/>
          <w:szCs w:val="22"/>
          <w:lang w:eastAsia="en-US"/>
        </w:rPr>
        <w:t>ZRAK</w:t>
      </w:r>
      <w:r>
        <w:rPr>
          <w:rFonts w:eastAsia="Calibri"/>
          <w:noProof/>
          <w:szCs w:val="22"/>
          <w:lang w:eastAsia="en-US"/>
        </w:rPr>
        <w:t xml:space="preserve"> </w:t>
      </w:r>
    </w:p>
    <w:p w:rsidR="006C6719" w:rsidRDefault="00614864">
      <w:pPr>
        <w:widowControl/>
        <w:tabs>
          <w:tab w:val="left" w:pos="850"/>
        </w:tabs>
        <w:spacing w:before="120" w:after="120" w:line="360" w:lineRule="auto"/>
        <w:ind w:left="850" w:hanging="850"/>
        <w:textAlignment w:val="baseline"/>
        <w:rPr>
          <w:rFonts w:eastAsia="Calibri"/>
          <w:b/>
          <w:noProof/>
          <w:szCs w:val="22"/>
          <w:lang w:eastAsia="en-US"/>
        </w:rPr>
      </w:pPr>
      <w:r>
        <w:rPr>
          <w:rFonts w:eastAsia="Calibri"/>
          <w:noProof/>
          <w:szCs w:val="22"/>
          <w:lang w:eastAsia="en-US"/>
        </w:rPr>
        <w:t>6.</w:t>
      </w:r>
      <w:r>
        <w:rPr>
          <w:rFonts w:eastAsia="Calibri"/>
          <w:noProof/>
          <w:szCs w:val="22"/>
          <w:lang w:eastAsia="en-US"/>
        </w:rPr>
        <w:tab/>
      </w:r>
      <w:r>
        <w:rPr>
          <w:rFonts w:eastAsia="Calibri"/>
          <w:noProof/>
          <w:color w:val="000000"/>
          <w:szCs w:val="22"/>
          <w:lang w:eastAsia="en-US"/>
        </w:rPr>
        <w:t xml:space="preserve">Všetci žiadatelia o vodičský preukaz </w:t>
      </w:r>
      <w:r>
        <w:rPr>
          <w:b/>
          <w:i/>
        </w:rPr>
        <w:t xml:space="preserve">a o jeho obnovenie </w:t>
      </w:r>
      <w:r>
        <w:rPr>
          <w:rFonts w:eastAsia="Calibri"/>
          <w:noProof/>
          <w:color w:val="000000"/>
          <w:szCs w:val="22"/>
          <w:lang w:eastAsia="en-US"/>
        </w:rPr>
        <w:t xml:space="preserve">sa podrobia vhodnému vyšetreniu s cieľom zaistiť, že majú primeranú zrakovú ostrosť </w:t>
      </w:r>
      <w:r>
        <w:rPr>
          <w:b/>
          <w:i/>
        </w:rPr>
        <w:t xml:space="preserve">meranú prostredníctvom overenej tabuľky ostrosti zraku </w:t>
      </w:r>
      <w:r>
        <w:rPr>
          <w:rFonts w:eastAsia="Calibri"/>
          <w:noProof/>
          <w:color w:val="000000"/>
          <w:szCs w:val="22"/>
          <w:lang w:eastAsia="en-US"/>
        </w:rPr>
        <w:t>a zorné pole na vedenie poháňaných vozidiel. Ak existujú odôvodnené pochybnosti o zrakovej ostrosti žiadateľa, mal by</w:t>
      </w:r>
      <w:r>
        <w:rPr>
          <w:rFonts w:eastAsia="Calibri"/>
          <w:noProof/>
          <w:color w:val="000000"/>
          <w:szCs w:val="22"/>
          <w:lang w:eastAsia="en-US"/>
        </w:rPr>
        <w:t xml:space="preserve"> ho vyšetriť príslušný lekársky orgán </w:t>
      </w:r>
      <w:r>
        <w:rPr>
          <w:b/>
          <w:i/>
        </w:rPr>
        <w:t>alebo kvalifikovaná osoba v odbore starostlivosti o zrak, ktorá má povolenie podľa vnútroštátneho práva</w:t>
      </w:r>
      <w:r>
        <w:rPr>
          <w:rFonts w:eastAsia="Calibri"/>
          <w:noProof/>
          <w:color w:val="000000"/>
          <w:szCs w:val="22"/>
          <w:lang w:eastAsia="en-US"/>
        </w:rPr>
        <w:t xml:space="preserve">. Pri tejto prehliadke sa pozornosť venuje najmä týmto vlastnostiam: zraková ostrosť, zorné pole, videnie za šera, </w:t>
      </w:r>
      <w:r>
        <w:rPr>
          <w:rFonts w:eastAsia="Calibri"/>
          <w:noProof/>
          <w:color w:val="000000"/>
          <w:szCs w:val="22"/>
          <w:lang w:eastAsia="en-US"/>
        </w:rPr>
        <w:t xml:space="preserve">citlivosť na oslnenie a kontrast, diplopia a ostatné zrakové funkcie, ktoré môžu mať škodlivý vplyv na bezpečné vedenie vozidla. </w:t>
      </w:r>
      <w:r>
        <w:rPr>
          <w:rFonts w:eastAsia="Calibri"/>
          <w:b/>
          <w:noProof/>
          <w:color w:val="000000"/>
          <w:szCs w:val="22"/>
          <w:lang w:eastAsia="en-US"/>
        </w:rPr>
        <w:t>[PN 209]</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850"/>
        <w:rPr>
          <w:rFonts w:eastAsia="Calibri"/>
          <w:b/>
          <w:noProof/>
          <w:szCs w:val="22"/>
          <w:lang w:eastAsia="en-US"/>
        </w:rPr>
      </w:pPr>
      <w:r>
        <w:rPr>
          <w:rFonts w:eastAsia="Calibri"/>
          <w:noProof/>
          <w:color w:val="000000"/>
          <w:szCs w:val="22"/>
          <w:lang w:eastAsia="en-US"/>
        </w:rPr>
        <w:lastRenderedPageBreak/>
        <w:t>V prípade vodičov zo skupiny 1 sa môže o vydaní vodičského preukazu uvažovať vo „výnimočných jednotlivých prípadoch“, keď normu pre zorné pole alebo zrakovú ostrosť nemožno splniť, ale existujú dôvody domnievať sa, že vydaním vodičského preukazu žiadateľov</w:t>
      </w:r>
      <w:r>
        <w:rPr>
          <w:rFonts w:eastAsia="Calibri"/>
          <w:noProof/>
          <w:color w:val="000000"/>
          <w:szCs w:val="22"/>
          <w:lang w:eastAsia="en-US"/>
        </w:rPr>
        <w:t xml:space="preserve">i sa nenaruší bezpečnosť cestnej premávky; v takýchto prípadoch sa vodič nechá vyšetriť príslušným lekárskym orgánom </w:t>
      </w:r>
      <w:r>
        <w:rPr>
          <w:b/>
          <w:i/>
        </w:rPr>
        <w:t xml:space="preserve">alebo osobou kvalifikovanou v odbore starostlivosti o zrak, ktorá má povolenie podľa vnútroštátneho práva, </w:t>
      </w:r>
      <w:r>
        <w:rPr>
          <w:rFonts w:eastAsia="Calibri"/>
          <w:noProof/>
          <w:color w:val="000000"/>
          <w:szCs w:val="22"/>
          <w:lang w:eastAsia="en-US"/>
        </w:rPr>
        <w:t>s cieľom preukázať, že nemá žiad</w:t>
      </w:r>
      <w:r>
        <w:rPr>
          <w:rFonts w:eastAsia="Calibri"/>
          <w:noProof/>
          <w:color w:val="000000"/>
          <w:szCs w:val="22"/>
          <w:lang w:eastAsia="en-US"/>
        </w:rPr>
        <w:t xml:space="preserve">nu inú poruchu zrakovej funkcie, vrátane citlivosti na oslnenie a kontrast a videnia za šera. Vodič alebo žiadateľ takisto podliehajú preukaznej praktickej skúške, ktorú vykoná príslušný orgán. </w:t>
      </w:r>
      <w:r>
        <w:rPr>
          <w:rFonts w:eastAsia="Calibri"/>
          <w:b/>
          <w:noProof/>
          <w:color w:val="000000"/>
          <w:szCs w:val="22"/>
          <w:lang w:eastAsia="en-US"/>
        </w:rPr>
        <w:t>[PN 210]</w:t>
      </w:r>
    </w:p>
    <w:p w:rsidR="006C6719" w:rsidRDefault="00614864">
      <w:pPr>
        <w:widowControl/>
        <w:spacing w:before="120" w:after="120" w:line="360" w:lineRule="auto"/>
        <w:ind w:left="1701" w:hanging="850"/>
        <w:rPr>
          <w:rFonts w:eastAsia="Calibri"/>
          <w:noProof/>
          <w:szCs w:val="22"/>
          <w:lang w:eastAsia="en-US"/>
        </w:rPr>
      </w:pPr>
      <w:r>
        <w:rPr>
          <w:rFonts w:eastAsia="Calibri"/>
          <w:noProof/>
          <w:color w:val="000000"/>
          <w:szCs w:val="22"/>
          <w:lang w:eastAsia="en-US"/>
        </w:rPr>
        <w:t xml:space="preserve">Skupina 1: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1.</w:t>
      </w:r>
      <w:r>
        <w:rPr>
          <w:rFonts w:eastAsia="Calibri"/>
          <w:noProof/>
          <w:szCs w:val="22"/>
          <w:lang w:eastAsia="en-US"/>
        </w:rPr>
        <w:tab/>
        <w:t>Žiadatelia o vodičský preukaz alebo o </w:t>
      </w:r>
      <w:r>
        <w:rPr>
          <w:rFonts w:eastAsia="Calibri"/>
          <w:noProof/>
          <w:szCs w:val="22"/>
          <w:lang w:eastAsia="en-US"/>
        </w:rPr>
        <w:t xml:space="preserve">jeho obnovenie majú binokulárnu zrakovú ostrosť, v prípade potreby s korekčnými šošovkami, najmenej 0,5 </w:t>
      </w:r>
      <w:r>
        <w:rPr>
          <w:b/>
          <w:i/>
        </w:rPr>
        <w:t xml:space="preserve">(desatinný zápis) </w:t>
      </w:r>
      <w:r>
        <w:rPr>
          <w:rFonts w:eastAsia="Calibri"/>
          <w:noProof/>
          <w:szCs w:val="22"/>
          <w:lang w:eastAsia="en-US"/>
        </w:rPr>
        <w:t xml:space="preserve">pri súčasnom používaní oboch očí. </w:t>
      </w:r>
      <w:r>
        <w:rPr>
          <w:rFonts w:eastAsia="Calibri"/>
          <w:b/>
          <w:noProof/>
          <w:szCs w:val="22"/>
          <w:lang w:eastAsia="en-US"/>
        </w:rPr>
        <w:t>[PN 211]</w:t>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t>Navyše horizontálne zorné pole je najmenej 120 stupňov, dodatočný rozsah je aspoň 50 stupňo</w:t>
      </w:r>
      <w:r>
        <w:rPr>
          <w:rFonts w:eastAsia="Calibri"/>
          <w:noProof/>
          <w:color w:val="000000"/>
          <w:szCs w:val="22"/>
          <w:lang w:eastAsia="en-US"/>
        </w:rPr>
        <w:t xml:space="preserve">v doľava a doprava a 20 stupňov smerom nahor a nadol. V okruhu stredných 20 stupňov nie sú prítomné žiadne chyby zraku.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lastRenderedPageBreak/>
        <w:t>Ak sa zistí alebo potvrdí progresívna očná choroba, vydanie alebo obnovenie vodičského preukazu podlieha pravidelným prehliadkam žiad</w:t>
      </w:r>
      <w:r>
        <w:rPr>
          <w:rFonts w:eastAsia="Calibri"/>
          <w:noProof/>
          <w:color w:val="000000"/>
          <w:szCs w:val="22"/>
          <w:lang w:eastAsia="en-US"/>
        </w:rPr>
        <w:t xml:space="preserve">ateľa príslušným lekárskym orgánom.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2.</w:t>
      </w:r>
      <w:r>
        <w:rPr>
          <w:rFonts w:eastAsia="Calibri"/>
          <w:noProof/>
          <w:szCs w:val="22"/>
          <w:lang w:eastAsia="en-US"/>
        </w:rPr>
        <w:tab/>
        <w:t xml:space="preserve">Žiadatelia o vydanie vodičského preukazu alebo o jeho obnovenie, ktorí majú úplnú funkčnú stratu zraku jedného oka alebo používajú iba jedno oko (napr. v prípade diplopie), majú zrakovú ostrosť najmenej 0,5 </w:t>
      </w:r>
      <w:r>
        <w:rPr>
          <w:b/>
          <w:i/>
        </w:rPr>
        <w:t>(desatinn</w:t>
      </w:r>
      <w:r>
        <w:rPr>
          <w:b/>
          <w:i/>
        </w:rPr>
        <w:t>ý zápis)</w:t>
      </w:r>
      <w:r>
        <w:rPr>
          <w:rFonts w:eastAsia="Calibri"/>
          <w:noProof/>
          <w:szCs w:val="22"/>
          <w:lang w:eastAsia="en-US"/>
        </w:rPr>
        <w:t>, a to v prípade potreby aj s použitím korekčných šošoviek. Príslušný lekársky orgán potvrdí, že tento stav monokulárneho videnia existuje dostatočne dlho na to, aby došlo k adaptácii, a že zorné pole tohto oka spĺňa požiadavku stanovenú v bode 6 o</w:t>
      </w:r>
      <w:r>
        <w:rPr>
          <w:rFonts w:eastAsia="Calibri"/>
          <w:noProof/>
          <w:szCs w:val="22"/>
          <w:lang w:eastAsia="en-US"/>
        </w:rPr>
        <w:t xml:space="preserve">ds. 1. </w:t>
      </w:r>
      <w:r>
        <w:rPr>
          <w:rFonts w:eastAsia="Calibri"/>
          <w:b/>
          <w:noProof/>
          <w:szCs w:val="22"/>
          <w:lang w:eastAsia="en-US"/>
        </w:rPr>
        <w:t>[PN 212]</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3.</w:t>
      </w:r>
      <w:r>
        <w:rPr>
          <w:rFonts w:eastAsia="Calibri"/>
          <w:noProof/>
          <w:szCs w:val="22"/>
          <w:lang w:eastAsia="en-US"/>
        </w:rPr>
        <w:tab/>
        <w:t xml:space="preserve">Po akomkoľvek objavení sa nedávno rozvinutej diplopie alebo po strate zraku v jednom oku nasleduje primerané adaptačné obdobie (napríklad šesť mesiacov), počas ktorého nie je povolené viesť vozidlo. Po uplynutí tohto adaptačného obdobia </w:t>
      </w:r>
      <w:r>
        <w:rPr>
          <w:rFonts w:eastAsia="Calibri"/>
          <w:noProof/>
          <w:szCs w:val="22"/>
          <w:lang w:eastAsia="en-US"/>
        </w:rPr>
        <w:t>je vedenie vozidla povolené iba po priaznivom stanovisku odborníkov na zrak a vedenie vozidla. </w:t>
      </w:r>
      <w:r>
        <w:rPr>
          <w:b/>
          <w:i/>
        </w:rPr>
        <w:t>Príslušný orgán môže stanoviť dočasné požiadavky a v prípade potreby obmedzenia nočnej jazdy.</w:t>
      </w:r>
      <w:r>
        <w:rPr>
          <w:rFonts w:eastAsia="Calibri"/>
          <w:b/>
          <w:noProof/>
          <w:szCs w:val="22"/>
          <w:lang w:eastAsia="en-US"/>
        </w:rPr>
        <w:t xml:space="preserve"> [PN 213]</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701" w:hanging="850"/>
        <w:rPr>
          <w:rFonts w:eastAsia="Calibri"/>
          <w:noProof/>
          <w:szCs w:val="22"/>
          <w:lang w:eastAsia="en-US"/>
        </w:rPr>
      </w:pPr>
      <w:r>
        <w:rPr>
          <w:rFonts w:eastAsia="Calibri"/>
          <w:noProof/>
          <w:color w:val="000000"/>
          <w:szCs w:val="22"/>
          <w:lang w:eastAsia="en-US"/>
        </w:rPr>
        <w:lastRenderedPageBreak/>
        <w:t>Skupina 2:</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4.</w:t>
      </w:r>
      <w:r>
        <w:rPr>
          <w:rFonts w:eastAsia="Calibri"/>
          <w:noProof/>
          <w:szCs w:val="22"/>
          <w:lang w:eastAsia="en-US"/>
        </w:rPr>
        <w:tab/>
        <w:t>Žiadatelia o vydanie vodičského preukazu a</w:t>
      </w:r>
      <w:r>
        <w:rPr>
          <w:rFonts w:eastAsia="Calibri"/>
          <w:noProof/>
          <w:szCs w:val="22"/>
          <w:lang w:eastAsia="en-US"/>
        </w:rPr>
        <w:t xml:space="preserve">lebo o jeho obnovenie majú zrakovú ostrosť, v prípade potreby s použitím korekčných šošoviek, s hodnotou aspoň 0,8 </w:t>
      </w:r>
      <w:r>
        <w:rPr>
          <w:b/>
          <w:i/>
        </w:rPr>
        <w:t xml:space="preserve">(desatinný zápis) </w:t>
      </w:r>
      <w:r>
        <w:rPr>
          <w:rFonts w:eastAsia="Calibri"/>
          <w:noProof/>
          <w:szCs w:val="22"/>
          <w:lang w:eastAsia="en-US"/>
        </w:rPr>
        <w:t xml:space="preserve">v lepšom oku a aspoň 0,1 </w:t>
      </w:r>
      <w:r>
        <w:rPr>
          <w:b/>
          <w:i/>
        </w:rPr>
        <w:t xml:space="preserve">(desatinný zápis) </w:t>
      </w:r>
      <w:r>
        <w:rPr>
          <w:rFonts w:eastAsia="Calibri"/>
          <w:noProof/>
          <w:szCs w:val="22"/>
          <w:lang w:eastAsia="en-US"/>
        </w:rPr>
        <w:t>v horšom oku. Keď sa na dosiahnutie hodnôt 0,8 a 0,1 používajú korekčné šošovky,</w:t>
      </w:r>
      <w:r>
        <w:rPr>
          <w:rFonts w:eastAsia="Calibri"/>
          <w:noProof/>
          <w:szCs w:val="22"/>
          <w:lang w:eastAsia="en-US"/>
        </w:rPr>
        <w:t xml:space="preserve"> minimálna ostrosť (0,8 a 0,1) sa dosiahne buď korekciou pomocou okuliarov so silou nepresahujúcou plus osem dioptrií, alebo pomocou kontaktných šošoviek. Korekcia sa musí dobre znášať. </w:t>
      </w:r>
      <w:r>
        <w:rPr>
          <w:b/>
          <w:i/>
        </w:rPr>
        <w:t>Lekársku prehliadku môže vykonať všeobecný lekár, ktorý absolvoval onl</w:t>
      </w:r>
      <w:r>
        <w:rPr>
          <w:b/>
          <w:i/>
        </w:rPr>
        <w:t>ine odbornú prípravu uvedenú v článku 10 ods. 8a.</w:t>
      </w:r>
      <w:r>
        <w:rPr>
          <w:rFonts w:eastAsia="Calibri"/>
          <w:b/>
          <w:noProof/>
          <w:szCs w:val="22"/>
          <w:lang w:eastAsia="en-US"/>
        </w:rPr>
        <w:t xml:space="preserve"> [PN 214]</w:t>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t>Okrem toho binokulárne horizontálne zorné pole je aspoň 160 stupňov, dodatočný rozsah je najmenej 70 stupňov doľava a doprava a 30 stupňov smerom nahor a nadol. V okruhu stredných 30 stupňov nie sú</w:t>
      </w:r>
      <w:r>
        <w:rPr>
          <w:rFonts w:eastAsia="Calibri"/>
          <w:noProof/>
          <w:color w:val="000000"/>
          <w:szCs w:val="22"/>
          <w:lang w:eastAsia="en-US"/>
        </w:rPr>
        <w:t xml:space="preserve"> prítomné žiadne chyby zraku.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rPr>
          <w:rFonts w:eastAsia="Calibri"/>
          <w:b/>
          <w:noProof/>
          <w:szCs w:val="22"/>
          <w:lang w:eastAsia="en-US"/>
        </w:rPr>
      </w:pPr>
      <w:r>
        <w:rPr>
          <w:rFonts w:eastAsia="Calibri"/>
          <w:noProof/>
          <w:color w:val="000000"/>
          <w:szCs w:val="22"/>
          <w:lang w:eastAsia="en-US"/>
        </w:rPr>
        <w:lastRenderedPageBreak/>
        <w:t xml:space="preserve">Vodičské preukazy sa nevydávajú ani neobnovujú žiadateľom alebo vodičom </w:t>
      </w:r>
      <w:r>
        <w:rPr>
          <w:rFonts w:eastAsia="Calibri"/>
          <w:strike/>
          <w:noProof/>
          <w:color w:val="000000"/>
          <w:szCs w:val="22"/>
          <w:lang w:eastAsia="en-US"/>
        </w:rPr>
        <w:t>s</w:t>
      </w:r>
      <w:r>
        <w:rPr>
          <w:b/>
          <w:i/>
        </w:rPr>
        <w:t>, ktorí vykazujú významné zmeny, pokiaľ ide o</w:t>
      </w:r>
      <w:r>
        <w:t> </w:t>
      </w:r>
      <w:r>
        <w:rPr>
          <w:b/>
          <w:i/>
        </w:rPr>
        <w:t xml:space="preserve">videnie za šera, trpia </w:t>
      </w:r>
      <w:r>
        <w:rPr>
          <w:rFonts w:eastAsia="Calibri"/>
          <w:noProof/>
          <w:color w:val="000000"/>
          <w:szCs w:val="22"/>
          <w:lang w:eastAsia="en-US"/>
        </w:rPr>
        <w:t xml:space="preserve">poruchou citlivosti na kontrast </w:t>
      </w:r>
      <w:r>
        <w:rPr>
          <w:rFonts w:eastAsia="Calibri"/>
          <w:strike/>
          <w:noProof/>
          <w:color w:val="000000"/>
          <w:szCs w:val="22"/>
          <w:lang w:eastAsia="en-US"/>
        </w:rPr>
        <w:t>alebo s</w:t>
      </w:r>
      <w:r>
        <w:rPr>
          <w:b/>
          <w:i/>
        </w:rPr>
        <w:t>, nedostatočným videním po oslnení</w:t>
      </w:r>
      <w:r>
        <w:t xml:space="preserve"> s </w:t>
      </w:r>
      <w:r>
        <w:rPr>
          <w:b/>
          <w:i/>
        </w:rPr>
        <w:t xml:space="preserve">neprimeraným časom zotavenia dokonca aj v lepšom oku alebo </w:t>
      </w:r>
      <w:r>
        <w:rPr>
          <w:rFonts w:eastAsia="Calibri"/>
          <w:noProof/>
          <w:color w:val="000000"/>
          <w:szCs w:val="22"/>
          <w:lang w:eastAsia="en-US"/>
        </w:rPr>
        <w:t xml:space="preserve">diplopiou. </w:t>
      </w:r>
      <w:r>
        <w:rPr>
          <w:rFonts w:eastAsia="Calibri"/>
          <w:b/>
          <w:noProof/>
          <w:color w:val="000000"/>
          <w:szCs w:val="22"/>
          <w:lang w:eastAsia="en-US"/>
        </w:rPr>
        <w:t>[PN 215]</w:t>
      </w:r>
    </w:p>
    <w:p w:rsidR="006C6719" w:rsidRDefault="00614864">
      <w:pPr>
        <w:widowControl/>
        <w:spacing w:before="120" w:after="120" w:line="360" w:lineRule="auto"/>
        <w:ind w:left="1418"/>
        <w:rPr>
          <w:rFonts w:eastAsia="Calibri"/>
          <w:b/>
          <w:noProof/>
          <w:color w:val="000000"/>
          <w:szCs w:val="22"/>
          <w:lang w:eastAsia="en-US"/>
        </w:rPr>
      </w:pPr>
      <w:r>
        <w:rPr>
          <w:rFonts w:eastAsia="Calibri"/>
          <w:noProof/>
          <w:color w:val="000000"/>
          <w:szCs w:val="22"/>
          <w:lang w:eastAsia="en-US"/>
        </w:rPr>
        <w:t>Po podstatnej strate zraku v jednom oku nasleduje primerané adaptačné obdobie (napríklad šesť mesiacov), počas ktorého dotknutá osoba nemá dovolené viesť vozidlo. Po uplynutí tohto adaptačného obdobia je vedenie vozidla povolené iba po priaznivom stanovisk</w:t>
      </w:r>
      <w:r>
        <w:rPr>
          <w:rFonts w:eastAsia="Calibri"/>
          <w:noProof/>
          <w:color w:val="000000"/>
          <w:szCs w:val="22"/>
          <w:lang w:eastAsia="en-US"/>
        </w:rPr>
        <w:t xml:space="preserve">u odborníkov na zrak a vedenie vozidla. </w:t>
      </w:r>
      <w:r>
        <w:rPr>
          <w:b/>
          <w:i/>
        </w:rPr>
        <w:t>Príslušný lekársky orgán môže povoliť vedenie vozidla za určitých požiadaviek alebo uložiť obmedzenia.</w:t>
      </w:r>
      <w:r>
        <w:rPr>
          <w:rFonts w:eastAsia="Calibri"/>
          <w:b/>
          <w:noProof/>
          <w:color w:val="000000"/>
          <w:szCs w:val="22"/>
          <w:lang w:eastAsia="en-US"/>
        </w:rPr>
        <w:t xml:space="preserve"> [PN 216]</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 xml:space="preserve">SLUCH </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7.</w:t>
      </w:r>
      <w:r>
        <w:rPr>
          <w:rFonts w:eastAsia="Calibri"/>
          <w:noProof/>
          <w:color w:val="000000"/>
          <w:szCs w:val="22"/>
          <w:lang w:eastAsia="en-US"/>
        </w:rPr>
        <w:tab/>
        <w:t xml:space="preserve">Možnosť vydania alebo obnovenia vodičských preukazov pre žiadateľov alebo vodičov v skupine 2 </w:t>
      </w:r>
      <w:r>
        <w:rPr>
          <w:rFonts w:eastAsia="Calibri"/>
          <w:noProof/>
          <w:color w:val="000000"/>
          <w:szCs w:val="22"/>
          <w:lang w:eastAsia="en-US"/>
        </w:rPr>
        <w:t>podlieha posudku príslušných lekárskych orgánov; pri lekárskej prehliadke sa mimoriadny dôraz bude klásť najmä na rozsah kompenzácie. </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keepNext/>
        <w:widowControl/>
        <w:spacing w:before="120" w:after="120" w:line="360" w:lineRule="auto"/>
        <w:rPr>
          <w:rFonts w:eastAsia="Calibri"/>
          <w:bCs/>
          <w:noProof/>
          <w:color w:val="000000"/>
          <w:szCs w:val="22"/>
          <w:lang w:eastAsia="en-US"/>
        </w:rPr>
      </w:pPr>
      <w:r>
        <w:rPr>
          <w:rFonts w:eastAsia="Calibri"/>
          <w:noProof/>
          <w:color w:val="000000"/>
          <w:szCs w:val="22"/>
          <w:lang w:eastAsia="en-US"/>
        </w:rPr>
        <w:lastRenderedPageBreak/>
        <w:t>OSOBY S TELESNÝM POSTIHNUTÍM</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8.</w:t>
      </w:r>
      <w:r>
        <w:rPr>
          <w:rFonts w:eastAsia="Calibri"/>
          <w:noProof/>
          <w:color w:val="000000"/>
          <w:szCs w:val="22"/>
          <w:lang w:eastAsia="en-US"/>
        </w:rPr>
        <w:tab/>
        <w:t>Vodičské preukazy sa nevydajú ani neobnovia žiadateľom alebo vodičom s ťažkosťami aleb</w:t>
      </w:r>
      <w:r>
        <w:rPr>
          <w:rFonts w:eastAsia="Calibri"/>
          <w:noProof/>
          <w:color w:val="000000"/>
          <w:szCs w:val="22"/>
          <w:lang w:eastAsia="en-US"/>
        </w:rPr>
        <w:t>o poruchami pohybového systému, na základe ktorých môže byť vedenie poháňaného vozidla nebezpečné. </w:t>
      </w:r>
    </w:p>
    <w:p w:rsidR="006C6719" w:rsidRDefault="00614864">
      <w:pPr>
        <w:widowControl/>
        <w:spacing w:before="120" w:after="120" w:line="360" w:lineRule="auto"/>
        <w:ind w:left="1701" w:hanging="850"/>
        <w:rPr>
          <w:rFonts w:eastAsia="Calibri"/>
          <w:noProof/>
          <w:szCs w:val="22"/>
          <w:lang w:eastAsia="en-US"/>
        </w:rPr>
      </w:pPr>
      <w:r>
        <w:rPr>
          <w:rFonts w:eastAsia="Calibri"/>
          <w:noProof/>
          <w:color w:val="000000"/>
          <w:szCs w:val="22"/>
          <w:lang w:eastAsia="en-US"/>
        </w:rPr>
        <w:t xml:space="preserve">Skupina 1: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Vodičské preukazy podliehajúce určitým obmedzeniam môžu byť vydané žiadateľom alebo vodičom s telesným postihnutím na základe vydania posudku</w:t>
      </w:r>
      <w:r>
        <w:rPr>
          <w:rFonts w:eastAsia="Calibri"/>
          <w:noProof/>
          <w:szCs w:val="22"/>
          <w:lang w:eastAsia="en-US"/>
        </w:rPr>
        <w:t xml:space="preserve"> príslušným lekárskym orgánom. Tento posudok sa zakladá na lekárskom posúdení danej poruchy a ak je to potrebné, na praktickej skúške. Zároveň určuje, aký typ úpravy vozidla sa požaduje, ako aj to, či vodič musí používať ortopedické zariadenie, pokiaľ skúš</w:t>
      </w:r>
      <w:r>
        <w:rPr>
          <w:rFonts w:eastAsia="Calibri"/>
          <w:noProof/>
          <w:szCs w:val="22"/>
          <w:lang w:eastAsia="en-US"/>
        </w:rPr>
        <w:t>ka zručností a správania preukáže, že s takýmto zariadením by jazda nebola nebezpečná.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Vodičské preukazy sa môžu vydať alebo obnoviť akémukoľvek žiadateľovi alebo vodičovi s progresívnou chorobu pod podmienkou, že sa táto osoba pravidelne podrobuje pre</w:t>
      </w:r>
      <w:r>
        <w:rPr>
          <w:rFonts w:eastAsia="Calibri"/>
          <w:noProof/>
          <w:szCs w:val="22"/>
          <w:lang w:eastAsia="en-US"/>
        </w:rPr>
        <w:t xml:space="preserve">hliadke, na ktorej sa kontroluje, či je táto osoba stále schopná motorové vozidlo viesť úplne bezpečne.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lastRenderedPageBreak/>
        <w:t xml:space="preserve">Ak ide o telesné postihnutie, vodičský preukaz sa môže vydať alebo obnoviť bez toho, aby sa žiadateľ podroboval pravidelným lekárskym prehliadkam. </w:t>
      </w:r>
    </w:p>
    <w:p w:rsidR="006C6719" w:rsidRDefault="00614864">
      <w:pPr>
        <w:widowControl/>
        <w:spacing w:before="120" w:after="120" w:line="360" w:lineRule="auto"/>
        <w:ind w:left="1701" w:hanging="850"/>
        <w:rPr>
          <w:rFonts w:eastAsia="Calibri"/>
          <w:iCs/>
          <w:noProof/>
          <w:color w:val="000000"/>
          <w:szCs w:val="22"/>
          <w:lang w:eastAsia="en-US"/>
        </w:rPr>
      </w:pPr>
      <w:r>
        <w:rPr>
          <w:rFonts w:eastAsia="Calibri"/>
          <w:noProof/>
          <w:color w:val="000000"/>
          <w:szCs w:val="22"/>
          <w:lang w:eastAsia="en-US"/>
        </w:rPr>
        <w:t>S</w:t>
      </w:r>
      <w:r>
        <w:rPr>
          <w:rFonts w:eastAsia="Calibri"/>
          <w:noProof/>
          <w:color w:val="000000"/>
          <w:szCs w:val="22"/>
          <w:lang w:eastAsia="en-US"/>
        </w:rPr>
        <w:t>kupina 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3.</w:t>
      </w:r>
      <w:r>
        <w:rPr>
          <w:rFonts w:eastAsia="Calibri"/>
          <w:noProof/>
          <w:szCs w:val="22"/>
          <w:lang w:eastAsia="en-US"/>
        </w:rPr>
        <w:tab/>
        <w:t>Príslušný lekársky orgán dôkladne zváži všetky dodatočné riziká a nebezpečenstvá týkajúce sa vedenia vozidiel vymedzených v tejto skupine. </w:t>
      </w:r>
    </w:p>
    <w:p w:rsidR="006C6719" w:rsidRDefault="00614864">
      <w:pPr>
        <w:widowControl/>
        <w:spacing w:before="120" w:after="120" w:line="360" w:lineRule="auto"/>
        <w:rPr>
          <w:rFonts w:eastAsia="Calibri"/>
          <w:iCs/>
          <w:noProof/>
          <w:color w:val="000000"/>
          <w:szCs w:val="22"/>
          <w:lang w:eastAsia="en-US"/>
        </w:rPr>
      </w:pPr>
      <w:r>
        <w:rPr>
          <w:rFonts w:eastAsia="Calibri"/>
          <w:noProof/>
          <w:color w:val="000000"/>
          <w:szCs w:val="22"/>
          <w:lang w:eastAsia="en-US"/>
        </w:rPr>
        <w:t>SRDCOVO-CIEVNE CHOROBY</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noProof/>
          <w:szCs w:val="22"/>
          <w:lang w:eastAsia="en-US"/>
        </w:rPr>
      </w:pPr>
      <w:r>
        <w:rPr>
          <w:rFonts w:eastAsia="Calibri"/>
          <w:noProof/>
          <w:color w:val="000000"/>
          <w:szCs w:val="22"/>
          <w:lang w:eastAsia="en-US"/>
        </w:rPr>
        <w:t>9.</w:t>
      </w:r>
      <w:r>
        <w:rPr>
          <w:rFonts w:eastAsia="Calibri"/>
          <w:noProof/>
          <w:color w:val="000000"/>
          <w:szCs w:val="22"/>
          <w:lang w:eastAsia="en-US"/>
        </w:rPr>
        <w:tab/>
        <w:t>Srdcovo-cievne ochorenia alebo choroby môžu spôsobiť náhle oslabenie mozgov</w:t>
      </w:r>
      <w:r>
        <w:rPr>
          <w:rFonts w:eastAsia="Calibri"/>
          <w:noProof/>
          <w:color w:val="000000"/>
          <w:szCs w:val="22"/>
          <w:lang w:eastAsia="en-US"/>
        </w:rPr>
        <w:t xml:space="preserve">ých funkcií, čo predstavuje nebezpečenstvo z hľadiska bezpečnosti cestnej premávky. Tieto ochorenia sú dôvodom na dočasné alebo trvalé obmedzenie vedenia vozidla.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 prípade nasledujúcich srdcovo-cievnych ochorení sa môžu vodičské preukazy vydávať alebo</w:t>
      </w:r>
      <w:r>
        <w:rPr>
          <w:rFonts w:eastAsia="Calibri"/>
          <w:noProof/>
          <w:szCs w:val="22"/>
          <w:lang w:eastAsia="en-US"/>
        </w:rPr>
        <w:t xml:space="preserve"> obnovovať pre žiadateľov alebo vodičov uvedených skupín až po tom, čo bolo ochorenie účinne vyliečené a bolo vydané príslušné lekárske povolenie, a v prípade potreby pod podmienkou podrobenia sa pravidelným lekárskym kontrolám: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szCs w:val="22"/>
          <w:lang w:eastAsia="en-US"/>
        </w:rPr>
      </w:pPr>
      <w:r>
        <w:rPr>
          <w:rFonts w:eastAsia="Calibri"/>
          <w:noProof/>
          <w:color w:val="000000"/>
          <w:szCs w:val="22"/>
          <w:lang w:eastAsia="en-US"/>
        </w:rPr>
        <w:lastRenderedPageBreak/>
        <w:t>a)</w:t>
      </w:r>
      <w:r>
        <w:rPr>
          <w:rFonts w:eastAsia="Calibri"/>
          <w:noProof/>
          <w:color w:val="000000"/>
          <w:szCs w:val="22"/>
          <w:lang w:eastAsia="en-US"/>
        </w:rPr>
        <w:tab/>
      </w:r>
      <w:r>
        <w:rPr>
          <w:rFonts w:eastAsia="Calibri"/>
          <w:noProof/>
          <w:color w:val="000000"/>
          <w:szCs w:val="22"/>
          <w:lang w:eastAsia="en-US"/>
        </w:rPr>
        <w:t xml:space="preserve">bradyarytmia (poškodenie funkcie sínusového uzla a poruchy vedenia) a tachyarytmia (supraventrikulárna a ventrikulárna arytmia) s prípadom alebo prípadmi synkopy v minulosti v dôsledku porúch srdcového rytmu (uplatňuje sa pre skupiny 1 a 2);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b)</w:t>
      </w:r>
      <w:r>
        <w:rPr>
          <w:rFonts w:eastAsia="Calibri"/>
          <w:noProof/>
          <w:color w:val="000000"/>
          <w:szCs w:val="22"/>
          <w:lang w:eastAsia="en-US"/>
        </w:rPr>
        <w:tab/>
      </w:r>
      <w:r>
        <w:rPr>
          <w:rFonts w:eastAsia="Calibri"/>
          <w:noProof/>
          <w:color w:val="000000"/>
          <w:szCs w:val="22"/>
          <w:lang w:eastAsia="en-US"/>
        </w:rPr>
        <w:t>bradyarytmia: poškodenie funkcie sínusového uzla a poruchy vedenia s Möbitzovou átrioventrikulárnou blokádou II. typu druhého stupňa, átrioventrikulárnou blokádou tretieho stupňa alebo alternujúcou blokádou ramienok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c)</w:t>
      </w:r>
      <w:r>
        <w:rPr>
          <w:rFonts w:eastAsia="Calibri"/>
          <w:noProof/>
          <w:color w:val="000000"/>
          <w:szCs w:val="22"/>
          <w:lang w:eastAsia="en-US"/>
        </w:rPr>
        <w:tab/>
        <w:t>ta</w:t>
      </w:r>
      <w:r>
        <w:rPr>
          <w:rFonts w:eastAsia="Calibri"/>
          <w:noProof/>
          <w:color w:val="000000"/>
          <w:szCs w:val="22"/>
          <w:lang w:eastAsia="en-US"/>
        </w:rPr>
        <w:t>chyarytmia (supraventrikulárna a ventrikulárna arytmia) spojená:</w:t>
      </w:r>
      <w:r>
        <w:rPr>
          <w:rFonts w:eastAsia="Calibri"/>
          <w:noProof/>
          <w:szCs w:val="22"/>
          <w:lang w:eastAsia="en-US"/>
        </w:rPr>
        <w:t xml:space="preserve"> </w:t>
      </w:r>
    </w:p>
    <w:p w:rsidR="006C6719" w:rsidRDefault="00614864">
      <w:pPr>
        <w:widowControl/>
        <w:spacing w:before="120" w:after="120" w:line="360" w:lineRule="auto"/>
        <w:ind w:left="2552" w:hanging="567"/>
        <w:rPr>
          <w:rFonts w:eastAsia="Calibri"/>
          <w:noProof/>
          <w:szCs w:val="22"/>
          <w:lang w:eastAsia="en-US"/>
        </w:rPr>
      </w:pPr>
      <w:r>
        <w:rPr>
          <w:rFonts w:eastAsia="Calibri"/>
          <w:noProof/>
          <w:color w:val="000000"/>
          <w:szCs w:val="22"/>
          <w:lang w:eastAsia="en-US"/>
        </w:rPr>
        <w:t>–</w:t>
      </w:r>
      <w:r>
        <w:rPr>
          <w:rFonts w:eastAsia="Calibri"/>
          <w:noProof/>
          <w:color w:val="000000"/>
          <w:szCs w:val="22"/>
          <w:lang w:eastAsia="en-US"/>
        </w:rPr>
        <w:tab/>
        <w:t xml:space="preserve">so štrukturálnym ochorením srdca a pretrvávajúcou komorovou tachykardiou (VT) (uplatňuje sa pre skupiny 1 a 2) alebo </w:t>
      </w:r>
    </w:p>
    <w:p w:rsidR="006C6719" w:rsidRDefault="00614864">
      <w:pPr>
        <w:widowControl/>
        <w:spacing w:before="120" w:after="120" w:line="360" w:lineRule="auto"/>
        <w:ind w:left="2552"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s polymorfnou nepretrvávajúcou komorovou tachykardiou alebo s indiká</w:t>
      </w:r>
      <w:r>
        <w:rPr>
          <w:rFonts w:eastAsia="Calibri"/>
          <w:noProof/>
          <w:color w:val="000000"/>
          <w:szCs w:val="22"/>
          <w:lang w:eastAsia="en-US"/>
        </w:rPr>
        <w:t>ciou pre defibrilátor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d)</w:t>
      </w:r>
      <w:r>
        <w:rPr>
          <w:rFonts w:eastAsia="Calibri"/>
          <w:noProof/>
          <w:color w:val="000000"/>
          <w:szCs w:val="22"/>
          <w:lang w:eastAsia="en-US"/>
        </w:rPr>
        <w:tab/>
        <w:t>príznaky angíny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e)</w:t>
      </w:r>
      <w:r>
        <w:rPr>
          <w:rFonts w:eastAsia="Calibri"/>
          <w:noProof/>
          <w:color w:val="000000"/>
          <w:szCs w:val="22"/>
          <w:lang w:eastAsia="en-US"/>
        </w:rPr>
        <w:tab/>
        <w:t>trvalá implantácia alebo nahradenie kardiostimulátora (uplatňuje sa iba pre skupinu 2);</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lastRenderedPageBreak/>
        <w:t>f)</w:t>
      </w:r>
      <w:r>
        <w:rPr>
          <w:rFonts w:eastAsia="Calibri"/>
          <w:noProof/>
          <w:color w:val="000000"/>
          <w:szCs w:val="22"/>
          <w:lang w:eastAsia="en-US"/>
        </w:rPr>
        <w:tab/>
        <w:t>implantácia alebo nahradenie defibrilátora alebo</w:t>
      </w:r>
      <w:r>
        <w:rPr>
          <w:rFonts w:eastAsia="Calibri"/>
          <w:noProof/>
          <w:color w:val="000000"/>
          <w:szCs w:val="22"/>
          <w:lang w:eastAsia="en-US"/>
        </w:rPr>
        <w:t xml:space="preserve"> primeraný či neprimeraný výboj defibrilátora (uplatňuje sa iba pre skupinu 1);</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g)</w:t>
      </w:r>
      <w:r>
        <w:rPr>
          <w:rFonts w:eastAsia="Calibri"/>
          <w:noProof/>
          <w:color w:val="000000"/>
          <w:szCs w:val="22"/>
          <w:lang w:eastAsia="en-US"/>
        </w:rPr>
        <w:tab/>
        <w:t>synkopa (prechodná strata vedomia a svalového tonusu charakterizovaná rýchlym nástupom, krátkym trvaním a spontánnym zotavením, ku ktorej dochádza v dôsledku celkového nedo</w:t>
      </w:r>
      <w:r>
        <w:rPr>
          <w:rFonts w:eastAsia="Calibri"/>
          <w:noProof/>
          <w:color w:val="000000"/>
          <w:szCs w:val="22"/>
          <w:lang w:eastAsia="en-US"/>
        </w:rPr>
        <w:t>krvenia mozgu a v prípade ktorej sa predpokladá, že je podmienená reflexom, bez známej príčiny, bez akéhokoľvek preukázateľného ochorenia srdca)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h)</w:t>
      </w:r>
      <w:r>
        <w:rPr>
          <w:rFonts w:eastAsia="Calibri"/>
          <w:noProof/>
          <w:color w:val="000000"/>
          <w:szCs w:val="22"/>
          <w:lang w:eastAsia="en-US"/>
        </w:rPr>
        <w:tab/>
        <w:t>akútny koronárny syndróm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i)</w:t>
      </w:r>
      <w:r>
        <w:rPr>
          <w:rFonts w:eastAsia="Calibri"/>
          <w:noProof/>
          <w:color w:val="000000"/>
          <w:szCs w:val="22"/>
          <w:lang w:eastAsia="en-US"/>
        </w:rPr>
        <w:tab/>
        <w:t>stabilná a</w:t>
      </w:r>
      <w:r>
        <w:rPr>
          <w:rFonts w:eastAsia="Calibri"/>
          <w:noProof/>
          <w:color w:val="000000"/>
          <w:szCs w:val="22"/>
          <w:lang w:eastAsia="en-US"/>
        </w:rPr>
        <w:t>ngina pectoris, pokiaľ sa pri miernej námahe neprejavujú symptómy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j)</w:t>
      </w:r>
      <w:r>
        <w:rPr>
          <w:rFonts w:eastAsia="Calibri"/>
          <w:noProof/>
          <w:color w:val="000000"/>
          <w:szCs w:val="22"/>
          <w:lang w:eastAsia="en-US"/>
        </w:rPr>
        <w:tab/>
        <w:t>perkutánna koronárna intervencia (PKI)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k)</w:t>
      </w:r>
      <w:r>
        <w:rPr>
          <w:rFonts w:eastAsia="Calibri"/>
          <w:noProof/>
          <w:color w:val="000000"/>
          <w:szCs w:val="22"/>
          <w:lang w:eastAsia="en-US"/>
        </w:rPr>
        <w:tab/>
        <w:t>koronárna arteriálna bypassová chirurgia (CABG) (uplatňuje sa pre skupiny 1</w:t>
      </w:r>
      <w:r>
        <w:rPr>
          <w:rFonts w:eastAsia="Calibri"/>
          <w:noProof/>
          <w:color w:val="000000"/>
          <w:szCs w:val="22"/>
          <w:lang w:eastAsia="en-US"/>
        </w:rPr>
        <w:t xml:space="preserve">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l)</w:t>
      </w:r>
      <w:r>
        <w:rPr>
          <w:rFonts w:eastAsia="Calibri"/>
          <w:noProof/>
          <w:color w:val="000000"/>
          <w:szCs w:val="22"/>
          <w:lang w:eastAsia="en-US"/>
        </w:rPr>
        <w:tab/>
        <w:t>mozgová mŕtvica/tranzitórny ischemický atak (TIA)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m)</w:t>
      </w:r>
      <w:r>
        <w:rPr>
          <w:rFonts w:eastAsia="Calibri"/>
          <w:noProof/>
          <w:color w:val="000000"/>
          <w:szCs w:val="22"/>
          <w:lang w:eastAsia="en-US"/>
        </w:rPr>
        <w:tab/>
        <w:t>významná stenóza krčnice (uplatňuje sa iba pre skupinu 2);</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lastRenderedPageBreak/>
        <w:t>n)</w:t>
      </w:r>
      <w:r>
        <w:rPr>
          <w:rFonts w:eastAsia="Calibri"/>
          <w:noProof/>
          <w:color w:val="000000"/>
          <w:szCs w:val="22"/>
          <w:lang w:eastAsia="en-US"/>
        </w:rPr>
        <w:tab/>
        <w:t>maximálny priemer aorty prevyšuje 5,5 cm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o)</w:t>
      </w:r>
      <w:r>
        <w:rPr>
          <w:rFonts w:eastAsia="Calibri"/>
          <w:noProof/>
          <w:color w:val="000000"/>
          <w:szCs w:val="22"/>
          <w:lang w:eastAsia="en-US"/>
        </w:rPr>
        <w:tab/>
        <w:t>zlyhanie srdc</w:t>
      </w:r>
      <w:r>
        <w:rPr>
          <w:rFonts w:eastAsia="Calibri"/>
          <w:noProof/>
          <w:color w:val="000000"/>
          <w:szCs w:val="22"/>
          <w:lang w:eastAsia="en-US"/>
        </w:rPr>
        <w:t>a:</w:t>
      </w:r>
      <w:r>
        <w:rPr>
          <w:rFonts w:eastAsia="Calibri"/>
          <w:noProof/>
          <w:szCs w:val="22"/>
          <w:lang w:eastAsia="en-US"/>
        </w:rPr>
        <w:t xml:space="preserve"> </w:t>
      </w:r>
    </w:p>
    <w:p w:rsidR="006C6719" w:rsidRDefault="00614864">
      <w:pPr>
        <w:widowControl/>
        <w:spacing w:before="120" w:after="120" w:line="360" w:lineRule="auto"/>
        <w:ind w:left="2552"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klasifikácia podľa New York Heart Association (NYHA) I, II, III (uplatňuje sa iba pre skupinu 1),</w:t>
      </w:r>
      <w:r>
        <w:rPr>
          <w:rFonts w:eastAsia="Calibri"/>
          <w:noProof/>
          <w:szCs w:val="22"/>
          <w:lang w:eastAsia="en-US"/>
        </w:rPr>
        <w:t xml:space="preserve"> </w:t>
      </w:r>
    </w:p>
    <w:p w:rsidR="006C6719" w:rsidRDefault="00614864">
      <w:pPr>
        <w:widowControl/>
        <w:spacing w:before="120" w:after="120" w:line="360" w:lineRule="auto"/>
        <w:ind w:left="2552"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klasifikácia NYHA I a II za predpokladu, že ejekčná frakcia ľavej komory predstavuje aspoň 35 %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p)</w:t>
      </w:r>
      <w:r>
        <w:rPr>
          <w:rFonts w:eastAsia="Calibri"/>
          <w:noProof/>
          <w:color w:val="000000"/>
          <w:szCs w:val="22"/>
          <w:lang w:eastAsia="en-US"/>
        </w:rPr>
        <w:tab/>
        <w:t xml:space="preserve">transplantácia </w:t>
      </w:r>
      <w:r>
        <w:rPr>
          <w:rFonts w:eastAsia="Calibri"/>
          <w:noProof/>
          <w:color w:val="000000"/>
          <w:szCs w:val="22"/>
          <w:lang w:eastAsia="en-US"/>
        </w:rPr>
        <w:t>srdca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q)</w:t>
      </w:r>
      <w:r>
        <w:rPr>
          <w:rFonts w:eastAsia="Calibri"/>
          <w:noProof/>
          <w:color w:val="000000"/>
          <w:szCs w:val="22"/>
          <w:lang w:eastAsia="en-US"/>
        </w:rPr>
        <w:tab/>
        <w:t>zariadenie na podporu srdcovej činnosti (uplatňuje sa iba pre skupinu 1);</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r)</w:t>
      </w:r>
      <w:r>
        <w:rPr>
          <w:rFonts w:eastAsia="Calibri"/>
          <w:noProof/>
          <w:color w:val="000000"/>
          <w:szCs w:val="22"/>
          <w:lang w:eastAsia="en-US"/>
        </w:rPr>
        <w:tab/>
        <w:t>operácia srdcovej chlopne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s)</w:t>
      </w:r>
      <w:r>
        <w:rPr>
          <w:rFonts w:eastAsia="Calibri"/>
          <w:noProof/>
          <w:color w:val="000000"/>
          <w:szCs w:val="22"/>
          <w:lang w:eastAsia="en-US"/>
        </w:rPr>
        <w:tab/>
        <w:t>malígna hypertenzia (zvýšenie systolického krvného tlaku na hodnotu ≥ </w:t>
      </w:r>
      <w:r>
        <w:rPr>
          <w:rFonts w:eastAsia="Calibri"/>
          <w:noProof/>
          <w:color w:val="000000"/>
          <w:szCs w:val="22"/>
          <w:lang w:eastAsia="en-US"/>
        </w:rPr>
        <w:t>180 mmHg alebo diastolického krvného tlaku na hodnotu ≥ 110 mmHg spojené s hroziacim alebo progresívnym poškodením orgánov)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t)</w:t>
      </w:r>
      <w:r>
        <w:rPr>
          <w:rFonts w:eastAsia="Calibri"/>
          <w:noProof/>
          <w:color w:val="000000"/>
          <w:szCs w:val="22"/>
          <w:lang w:eastAsia="en-US"/>
        </w:rPr>
        <w:tab/>
        <w:t xml:space="preserve">krvný tlak stupňa III (diastolický krvný tlak ≥ 110 mmHg a/alebo systolický krvný tlak </w:t>
      </w:r>
      <w:r>
        <w:rPr>
          <w:rFonts w:eastAsia="Calibri"/>
          <w:noProof/>
          <w:color w:val="000000"/>
          <w:szCs w:val="22"/>
          <w:lang w:eastAsia="en-US"/>
        </w:rPr>
        <w:t>≥ 180 mmHg) (uplatňuje sa iba pre skupinu 2);</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lastRenderedPageBreak/>
        <w:t>u)</w:t>
      </w:r>
      <w:r>
        <w:rPr>
          <w:rFonts w:eastAsia="Calibri"/>
          <w:noProof/>
          <w:color w:val="000000"/>
          <w:szCs w:val="22"/>
          <w:lang w:eastAsia="en-US"/>
        </w:rPr>
        <w:tab/>
        <w:t>kongenitálne srdcové ochorenie (uplatňuje sa pre skupiny 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v)</w:t>
      </w:r>
      <w:r>
        <w:rPr>
          <w:rFonts w:eastAsia="Calibri"/>
          <w:noProof/>
          <w:color w:val="000000"/>
          <w:szCs w:val="22"/>
          <w:lang w:eastAsia="en-US"/>
        </w:rPr>
        <w:tab/>
        <w:t>hypertrofická kardiomyopatia, ak je bez synkopy (uplatňuje sa iba pre skupinu 1);</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w)</w:t>
      </w:r>
      <w:r>
        <w:rPr>
          <w:rFonts w:eastAsia="Calibri"/>
          <w:noProof/>
          <w:color w:val="000000"/>
          <w:szCs w:val="22"/>
          <w:lang w:eastAsia="en-US"/>
        </w:rPr>
        <w:tab/>
        <w:t>syndróm dlhého intervalu Q-T so synkopou, torsade</w:t>
      </w:r>
      <w:r>
        <w:rPr>
          <w:rFonts w:eastAsia="Calibri"/>
          <w:noProof/>
          <w:color w:val="000000"/>
          <w:szCs w:val="22"/>
          <w:lang w:eastAsia="en-US"/>
        </w:rPr>
        <w:t xml:space="preserve"> des pointes alebo Q-Tc &gt; 500 ms (uplatňuje sa iba pre skupinu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V prípade nasledujúcich srdcovo-cievnych ochorení sa vodičské preukazy pre žiadateľov alebo vodičov uvedených skupín nevydávajú ani neobnovujú: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a)</w:t>
      </w:r>
      <w:r>
        <w:rPr>
          <w:rFonts w:eastAsia="Calibri"/>
          <w:noProof/>
          <w:color w:val="000000"/>
          <w:szCs w:val="22"/>
          <w:lang w:eastAsia="en-US"/>
        </w:rPr>
        <w:tab/>
        <w:t xml:space="preserve">implantácia defibrilátora (uplatňuje </w:t>
      </w:r>
      <w:r>
        <w:rPr>
          <w:rFonts w:eastAsia="Calibri"/>
          <w:noProof/>
          <w:color w:val="000000"/>
          <w:szCs w:val="22"/>
          <w:lang w:eastAsia="en-US"/>
        </w:rPr>
        <w:t>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b)</w:t>
      </w:r>
      <w:r>
        <w:rPr>
          <w:rFonts w:eastAsia="Calibri"/>
          <w:noProof/>
          <w:color w:val="000000"/>
          <w:szCs w:val="22"/>
          <w:lang w:eastAsia="en-US"/>
        </w:rPr>
        <w:tab/>
        <w:t xml:space="preserve">periférne cievne ochorenie – aneuryzma hrudnej a brušnej aorty, pričom maximálny priemer aorty je taký, že hrozí závažné riziko náhleho pretrhnutia a následnej udalosti, ktorá znemožní ovládanie vozidla (uplatňuje sa pre skupiny </w:t>
      </w:r>
      <w:r>
        <w:rPr>
          <w:rFonts w:eastAsia="Calibri"/>
          <w:noProof/>
          <w:color w:val="000000"/>
          <w:szCs w:val="22"/>
          <w:lang w:eastAsia="en-US"/>
        </w:rPr>
        <w:t>1 a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c)</w:t>
      </w:r>
      <w:r>
        <w:rPr>
          <w:rFonts w:eastAsia="Calibri"/>
          <w:noProof/>
          <w:color w:val="000000"/>
          <w:szCs w:val="22"/>
          <w:lang w:eastAsia="en-US"/>
        </w:rPr>
        <w:tab/>
        <w:t>zlyhanie srdca:</w:t>
      </w:r>
      <w:r>
        <w:rPr>
          <w:rFonts w:eastAsia="Calibri"/>
          <w:noProof/>
          <w:szCs w:val="22"/>
          <w:lang w:eastAsia="en-US"/>
        </w:rPr>
        <w:t xml:space="preserve"> </w:t>
      </w:r>
    </w:p>
    <w:p w:rsidR="006C6719" w:rsidRDefault="00614864">
      <w:pPr>
        <w:widowControl/>
        <w:tabs>
          <w:tab w:val="left" w:pos="2551"/>
        </w:tabs>
        <w:spacing w:before="120" w:after="120" w:line="360" w:lineRule="auto"/>
        <w:ind w:left="2551"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klasifikácia NYHA IV (uplatňuje sa iba pre skupinu 1),</w:t>
      </w:r>
      <w:r>
        <w:rPr>
          <w:rFonts w:eastAsia="Calibri"/>
          <w:noProof/>
          <w:szCs w:val="22"/>
          <w:lang w:eastAsia="en-US"/>
        </w:rPr>
        <w:t xml:space="preserve"> </w:t>
      </w:r>
    </w:p>
    <w:p w:rsidR="006C6719" w:rsidRDefault="00614864">
      <w:pPr>
        <w:widowControl/>
        <w:tabs>
          <w:tab w:val="num" w:pos="2551"/>
        </w:tabs>
        <w:spacing w:before="120" w:after="120" w:line="360" w:lineRule="auto"/>
        <w:ind w:left="2551"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t>klasifikácia NYHA III a IV (uplatňuje sa iba pre skupinu 2);</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lastRenderedPageBreak/>
        <w:t>d)</w:t>
      </w:r>
      <w:r>
        <w:rPr>
          <w:rFonts w:eastAsia="Calibri"/>
          <w:noProof/>
          <w:color w:val="000000"/>
          <w:szCs w:val="22"/>
          <w:lang w:eastAsia="en-US"/>
        </w:rPr>
        <w:tab/>
        <w:t>zariadenia na podporu srdcovej činnosti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e)</w:t>
      </w:r>
      <w:r>
        <w:rPr>
          <w:rFonts w:eastAsia="Calibri"/>
          <w:noProof/>
          <w:color w:val="000000"/>
          <w:szCs w:val="22"/>
          <w:lang w:eastAsia="en-US"/>
        </w:rPr>
        <w:tab/>
        <w:t>ochorenie srdcovej chl</w:t>
      </w:r>
      <w:r>
        <w:rPr>
          <w:rFonts w:eastAsia="Calibri"/>
          <w:noProof/>
          <w:color w:val="000000"/>
          <w:szCs w:val="22"/>
          <w:lang w:eastAsia="en-US"/>
        </w:rPr>
        <w:t>opne s aortálnou regurgitáciou, aortálnou stenózou, mitrálnou regurgitáciou alebo mitrálnou stenózou, pokiaľ sa funkčná schopnosť odhaduje na hodnotu NYHA IV alebo pokiaľ nastal prípad synkopy (uplatňuje sa iba pre skupinu 1);</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f)</w:t>
      </w:r>
      <w:r>
        <w:rPr>
          <w:rFonts w:eastAsia="Calibri"/>
          <w:noProof/>
          <w:color w:val="000000"/>
          <w:szCs w:val="22"/>
          <w:lang w:eastAsia="en-US"/>
        </w:rPr>
        <w:tab/>
        <w:t>ochorenie srdcovej chlopn</w:t>
      </w:r>
      <w:r>
        <w:rPr>
          <w:rFonts w:eastAsia="Calibri"/>
          <w:noProof/>
          <w:color w:val="000000"/>
          <w:szCs w:val="22"/>
          <w:lang w:eastAsia="en-US"/>
        </w:rPr>
        <w:t>e podľa klasifikácie NYHA III alebo IV alebo s ejekčnou frakciou (EF) pod 35 %, mitrálnou stenózou a závažnou pľúcnou hypertenziou alebo s echokardiograficky potvrdenou závažnou aortálnou stenózou alebo aortálnou stenózou spôsobujúcou synkopu; s výnimkou ú</w:t>
      </w:r>
      <w:r>
        <w:rPr>
          <w:rFonts w:eastAsia="Calibri"/>
          <w:noProof/>
          <w:color w:val="000000"/>
          <w:szCs w:val="22"/>
          <w:lang w:eastAsia="en-US"/>
        </w:rPr>
        <w:t>plne asymptomatickej závažnej aortálnej stenózy, pokiaľ sú splnené požiadavky záťažového testu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g)</w:t>
      </w:r>
      <w:r>
        <w:rPr>
          <w:rFonts w:eastAsia="Calibri"/>
          <w:noProof/>
          <w:color w:val="000000"/>
          <w:szCs w:val="22"/>
          <w:lang w:eastAsia="en-US"/>
        </w:rPr>
        <w:tab/>
        <w:t>štrukturálna a elektrická kardiomyopatia – hypertrofická kardiomyopatia so synkopami v minulosti alebo pokiaľ sú splnené dv</w:t>
      </w:r>
      <w:r>
        <w:rPr>
          <w:rFonts w:eastAsia="Calibri"/>
          <w:noProof/>
          <w:color w:val="000000"/>
          <w:szCs w:val="22"/>
          <w:lang w:eastAsia="en-US"/>
        </w:rPr>
        <w:t>e alebo viaceré z týchto podmienok: hrúbka steny ľavej komory predstavuje &gt; 3 cm, nepretrvávajúca komorová tachykardia, v minulosti náhle úmrtie v rodine (príbuzného v prvom stupni), žiadny nárast krvného tlaku pri námahe (uplatňuje sa iba pre skupinu 2);</w:t>
      </w:r>
      <w:r>
        <w:rPr>
          <w:rFonts w:eastAsia="Calibri"/>
          <w:noProof/>
          <w:szCs w:val="22"/>
          <w:lang w:eastAsia="en-US"/>
        </w:rPr>
        <w:t xml:space="preserve">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lastRenderedPageBreak/>
        <w:t>h)</w:t>
      </w:r>
      <w:r>
        <w:rPr>
          <w:rFonts w:eastAsia="Calibri"/>
          <w:noProof/>
          <w:color w:val="000000"/>
          <w:szCs w:val="22"/>
          <w:lang w:eastAsia="en-US"/>
        </w:rPr>
        <w:tab/>
        <w:t>syndróm dlhého intervalu Q-T so synkopou, torsade des pointes a Q-Tc &gt; 500 ms (uplatňuje sa iba pre skupinu 2);</w:t>
      </w:r>
      <w:r>
        <w:rPr>
          <w:rFonts w:eastAsia="Calibri"/>
          <w:noProof/>
          <w:szCs w:val="22"/>
          <w:lang w:eastAsia="en-US"/>
        </w:rPr>
        <w:t xml:space="preserve">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i)</w:t>
      </w:r>
      <w:r>
        <w:rPr>
          <w:rFonts w:eastAsia="Calibri"/>
          <w:noProof/>
          <w:color w:val="000000"/>
          <w:szCs w:val="22"/>
          <w:lang w:eastAsia="en-US"/>
        </w:rPr>
        <w:tab/>
        <w:t>Brugadov syndróm so synkopou alebo prerušením náhleho zastavenia srdca (uplatňuje sa pre skupiny 1 a 2).</w:t>
      </w:r>
      <w:r>
        <w:rPr>
          <w:rFonts w:eastAsia="Calibri"/>
          <w:noProof/>
          <w:szCs w:val="22"/>
          <w:lang w:eastAsia="en-US"/>
        </w:rPr>
        <w:t xml:space="preserve"> </w:t>
      </w:r>
    </w:p>
    <w:p w:rsidR="006C6719" w:rsidRDefault="00614864">
      <w:pPr>
        <w:widowControl/>
        <w:spacing w:before="120" w:after="120" w:line="360" w:lineRule="auto"/>
        <w:ind w:left="1984"/>
        <w:rPr>
          <w:rFonts w:eastAsia="Calibri"/>
          <w:noProof/>
          <w:szCs w:val="22"/>
          <w:lang w:eastAsia="en-US"/>
        </w:rPr>
      </w:pPr>
      <w:r>
        <w:rPr>
          <w:rFonts w:eastAsia="Calibri"/>
          <w:noProof/>
          <w:color w:val="000000"/>
          <w:szCs w:val="22"/>
          <w:lang w:eastAsia="en-US"/>
        </w:rPr>
        <w:t>Vodičské preukazy môžu byť vydané alebo obnovené vo výnimočných prípadoch, pokiaľ je to riadne odôvodnené príslušným lekárskym posudkom, a pod podmienkou podrobenia sa pravidelnej lekárskej kontrole, čím sa zabezpečí, že je daná osoba s prihliadnutím na dô</w:t>
      </w:r>
      <w:r>
        <w:rPr>
          <w:rFonts w:eastAsia="Calibri"/>
          <w:noProof/>
          <w:color w:val="000000"/>
          <w:szCs w:val="22"/>
          <w:lang w:eastAsia="en-US"/>
        </w:rPr>
        <w:t xml:space="preserve">sledky jej zdravotného stavu naďalej schopná viesť vozidlo bezpečne.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3.</w:t>
      </w:r>
      <w:r>
        <w:rPr>
          <w:rFonts w:eastAsia="Calibri"/>
          <w:noProof/>
          <w:szCs w:val="22"/>
          <w:lang w:eastAsia="en-US"/>
        </w:rPr>
        <w:tab/>
        <w:t>Iné kardiomyopatie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U žiadateľov alebo vodičov s dobre opísanými kardiomyopatiami (napríklad arytmogénnou kardiomyopatiou pravej komory, non-kompaktnou kardiomyopatiou, katecholaminer</w:t>
      </w:r>
      <w:r>
        <w:rPr>
          <w:rFonts w:eastAsia="Calibri"/>
          <w:noProof/>
          <w:color w:val="000000"/>
          <w:szCs w:val="22"/>
          <w:lang w:eastAsia="en-US"/>
        </w:rPr>
        <w:t xml:space="preserve">gnou polymorfnou komorovou tachykardiou a syndrómom krátkeho intervalu QT) alebo s novými kardiomyopatiami, ktoré sa môžu odhaliť, sa posúdi riziko udalostí spôsobujúcich náhlu neschopnosť. Je potrebné dôkladné posúdenie odborníka. Posúdia sa prognostické </w:t>
      </w:r>
      <w:r>
        <w:rPr>
          <w:rFonts w:eastAsia="Calibri"/>
          <w:noProof/>
          <w:color w:val="000000"/>
          <w:szCs w:val="22"/>
          <w:lang w:eastAsia="en-US"/>
        </w:rPr>
        <w:t>ukazovatele konkrétnej kardiomyopatie.</w:t>
      </w:r>
      <w:r>
        <w:rPr>
          <w:rFonts w:eastAsia="Calibri"/>
          <w:noProof/>
          <w:szCs w:val="22"/>
          <w:lang w:eastAsia="en-US"/>
        </w:rPr>
        <w:t xml:space="preserv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4.</w:t>
      </w:r>
      <w:r>
        <w:rPr>
          <w:rFonts w:eastAsia="Calibri"/>
          <w:noProof/>
          <w:szCs w:val="22"/>
          <w:lang w:eastAsia="en-US"/>
        </w:rPr>
        <w:tab/>
        <w:t>Členské štáty môžu obmedziť vydanie alebo obnovenie vodičských preukazov pre žiadateľov alebo vodičov s inými srdcovo-cievnymi chorobami.</w:t>
      </w:r>
    </w:p>
    <w:p w:rsidR="006C6719" w:rsidRDefault="00614864">
      <w:pPr>
        <w:widowControl/>
        <w:spacing w:before="120" w:after="120" w:line="360" w:lineRule="auto"/>
        <w:rPr>
          <w:rFonts w:eastAsia="Calibri"/>
          <w:noProof/>
          <w:szCs w:val="22"/>
          <w:lang w:eastAsia="en-US"/>
        </w:rPr>
      </w:pPr>
      <w:r>
        <w:rPr>
          <w:rFonts w:eastAsia="Calibri"/>
          <w:iCs/>
          <w:noProof/>
          <w:color w:val="000000"/>
          <w:szCs w:val="22"/>
          <w:lang w:eastAsia="en-US"/>
        </w:rPr>
        <w:t>DIABETES MELLITUS</w:t>
      </w:r>
      <w:r>
        <w:rPr>
          <w:rFonts w:eastAsia="Calibri"/>
          <w:noProof/>
          <w:color w:val="000000"/>
          <w:szCs w:val="22"/>
          <w:lang w:eastAsia="en-US"/>
        </w:rPr>
        <w:t xml:space="preserve"> </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10.</w:t>
      </w:r>
      <w:r>
        <w:rPr>
          <w:rFonts w:eastAsia="Calibri"/>
          <w:noProof/>
          <w:color w:val="000000"/>
          <w:szCs w:val="22"/>
          <w:lang w:eastAsia="en-US"/>
        </w:rPr>
        <w:tab/>
        <w:t>Na účely nasledujúcich bodov sa uplatňuje toto vym</w:t>
      </w:r>
      <w:r>
        <w:rPr>
          <w:rFonts w:eastAsia="Calibri"/>
          <w:noProof/>
          <w:color w:val="000000"/>
          <w:szCs w:val="22"/>
          <w:lang w:eastAsia="en-US"/>
        </w:rPr>
        <w:t xml:space="preserve">edzenie pojmov: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 xml:space="preserve">„ťažká hypoglykémia“ je stav, keď je potrebná pomoc inej osoby;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 xml:space="preserve">„opakovaná hypoglykémia“ je druhá závažná hypoglykémia v priebehu 12 mesiacov.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1:</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 xml:space="preserve">Žiadateľom alebo vodičom, ktorí majú </w:t>
      </w:r>
      <w:r>
        <w:rPr>
          <w:rFonts w:eastAsia="Calibri"/>
          <w:i/>
          <w:iCs/>
          <w:noProof/>
          <w:szCs w:val="22"/>
          <w:lang w:eastAsia="en-US"/>
        </w:rPr>
        <w:t>diabetes mellitus</w:t>
      </w:r>
      <w:r>
        <w:rPr>
          <w:rFonts w:eastAsia="Calibri"/>
          <w:noProof/>
          <w:szCs w:val="22"/>
          <w:lang w:eastAsia="en-US"/>
        </w:rPr>
        <w:t xml:space="preserve">, sa vodičské preukazy </w:t>
      </w:r>
      <w:r>
        <w:rPr>
          <w:rFonts w:eastAsia="Calibri"/>
          <w:noProof/>
          <w:szCs w:val="22"/>
          <w:lang w:eastAsia="en-US"/>
        </w:rPr>
        <w:t>môžu vydať alebo obnoviť. Počas liečby liekmi sa podrobia posudku oprávneného lekárskeho orgánu a pravidelnej lekárskej kontrole, a to primerane každému prípadu, ale interval medzi nimi nepresiahne desať rokov.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2.</w:t>
      </w:r>
      <w:r>
        <w:rPr>
          <w:rFonts w:eastAsia="Calibri"/>
          <w:noProof/>
          <w:szCs w:val="22"/>
          <w:lang w:eastAsia="en-US"/>
        </w:rPr>
        <w:tab/>
        <w:t>Žiadateľ alebo vodič, ktorý má diabetes a</w:t>
      </w:r>
      <w:r>
        <w:rPr>
          <w:rFonts w:eastAsia="Calibri"/>
          <w:noProof/>
          <w:szCs w:val="22"/>
          <w:lang w:eastAsia="en-US"/>
        </w:rPr>
        <w:t> užíva lieky, pri ktorých je riziko, že vyvolajú hypoglykémiu, preukáže, že si uvedomuje riziko spojené s hypoglykemickým stavom a že tento stav dokáže primerane ovládať</w:t>
      </w:r>
      <w:r>
        <w:rPr>
          <w:b/>
          <w:i/>
        </w:rPr>
        <w:t>, a to aj prostredníctvom systému nepretržitého monitorovania, ak to príslušný lekársky</w:t>
      </w:r>
      <w:r>
        <w:rPr>
          <w:b/>
          <w:i/>
        </w:rPr>
        <w:t xml:space="preserve"> orgán považuje za potrebné</w:t>
      </w:r>
      <w:r>
        <w:rPr>
          <w:rFonts w:eastAsia="Calibri"/>
          <w:noProof/>
          <w:szCs w:val="22"/>
          <w:lang w:eastAsia="en-US"/>
        </w:rPr>
        <w:t xml:space="preserve">. </w:t>
      </w:r>
      <w:r>
        <w:rPr>
          <w:rFonts w:eastAsia="Calibri"/>
          <w:b/>
          <w:noProof/>
          <w:szCs w:val="22"/>
          <w:lang w:eastAsia="en-US"/>
        </w:rPr>
        <w:t>[PN 217]</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lastRenderedPageBreak/>
        <w:t>Vodičské preukazy sa nevydajú ani neobnovia žiadateľom alebo vodičom, ktorí si dostatočne neuvedomujú svoj hypoglykemický stav.</w:t>
      </w:r>
      <w:r>
        <w:rPr>
          <w:rFonts w:eastAsia="Calibri"/>
          <w:noProof/>
          <w:szCs w:val="22"/>
          <w:lang w:eastAsia="en-US"/>
        </w:rPr>
        <w:t xml:space="preserve">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Vodičské preukazy sa nevydajú ani neobnovia žiadateľom alebo vodičom, ktorí majú opakov</w:t>
      </w:r>
      <w:r>
        <w:rPr>
          <w:rFonts w:eastAsia="Calibri"/>
          <w:noProof/>
          <w:color w:val="000000"/>
          <w:szCs w:val="22"/>
          <w:lang w:eastAsia="en-US"/>
        </w:rPr>
        <w:t>anú ťažkú hypoglykémiu, pokiaľ nepredložia príslušný lekársky posudok a nepodrobia sa pravidelnej lekárskej kontrole. V prípade opakovanej ťažkej hypoglykémie počas bdelého stavu sa vodičský preukaz nevydá ani neobnoví, kým neuplynú tri mesiace od posledne</w:t>
      </w:r>
      <w:r>
        <w:rPr>
          <w:rFonts w:eastAsia="Calibri"/>
          <w:noProof/>
          <w:color w:val="000000"/>
          <w:szCs w:val="22"/>
          <w:lang w:eastAsia="en-US"/>
        </w:rPr>
        <w:t>j príhody.</w:t>
      </w:r>
      <w:r>
        <w:rPr>
          <w:rFonts w:eastAsia="Calibri"/>
          <w:noProof/>
          <w:szCs w:val="22"/>
          <w:lang w:eastAsia="en-US"/>
        </w:rPr>
        <w:t xml:space="preserve">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Vodičské preukazy môžu byť vydané alebo obnovené vo výnimočných prípadoch, pokiaľ je to riadne odôvodnené príslušným lekárskym posudkom, a pod podmienkou podrobenia sa pravidelnej lekárskej kontrole, čím sa zabezpečí, že je daná osoba s prihlia</w:t>
      </w:r>
      <w:r>
        <w:rPr>
          <w:rFonts w:eastAsia="Calibri"/>
          <w:noProof/>
          <w:color w:val="000000"/>
          <w:szCs w:val="22"/>
          <w:lang w:eastAsia="en-US"/>
        </w:rPr>
        <w:t>dnutím na dôsledky jej zdravotného stavu naďalej schopná viesť vozidlo bezpečne.</w:t>
      </w:r>
      <w:r>
        <w:rPr>
          <w:rFonts w:eastAsia="Calibri"/>
          <w:noProof/>
          <w:szCs w:val="22"/>
          <w:lang w:eastAsia="en-US"/>
        </w:rPr>
        <w:t xml:space="preserve">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2:</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3.</w:t>
      </w:r>
      <w:r>
        <w:rPr>
          <w:rFonts w:eastAsia="Calibri"/>
          <w:noProof/>
          <w:szCs w:val="22"/>
          <w:lang w:eastAsia="en-US"/>
        </w:rPr>
        <w:tab/>
        <w:t>Pokiaľ ide o vodičov s </w:t>
      </w:r>
      <w:r>
        <w:rPr>
          <w:rFonts w:eastAsia="Calibri"/>
          <w:i/>
          <w:iCs/>
          <w:noProof/>
          <w:szCs w:val="22"/>
          <w:lang w:eastAsia="en-US"/>
        </w:rPr>
        <w:t>diabetes mellitus</w:t>
      </w:r>
      <w:r>
        <w:rPr>
          <w:rFonts w:eastAsia="Calibri"/>
          <w:noProof/>
          <w:szCs w:val="22"/>
          <w:lang w:eastAsia="en-US"/>
        </w:rPr>
        <w:t xml:space="preserve">, vydanie/obnovenie vodičských preukazov skupiny 2 možno zvážiť. Pri liečení liekmi, pri ktorých je riziko, že vyvolajú </w:t>
      </w:r>
      <w:r>
        <w:rPr>
          <w:rFonts w:eastAsia="Calibri"/>
          <w:noProof/>
          <w:szCs w:val="22"/>
          <w:lang w:eastAsia="en-US"/>
        </w:rPr>
        <w:t>hypoglykémiu (to znamená inzulínom a niektorými tabletkami), platia tieto kritériá: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984" w:hanging="567"/>
        <w:rPr>
          <w:rFonts w:eastAsia="Calibri"/>
          <w:noProof/>
          <w:szCs w:val="22"/>
          <w:lang w:eastAsia="en-US"/>
        </w:rPr>
      </w:pPr>
      <w:r>
        <w:rPr>
          <w:rFonts w:eastAsia="Calibri"/>
          <w:noProof/>
          <w:color w:val="000000"/>
          <w:szCs w:val="22"/>
          <w:lang w:eastAsia="en-US"/>
        </w:rPr>
        <w:lastRenderedPageBreak/>
        <w:t>a)</w:t>
      </w:r>
      <w:r>
        <w:rPr>
          <w:rFonts w:eastAsia="Calibri"/>
          <w:noProof/>
          <w:color w:val="000000"/>
          <w:szCs w:val="22"/>
          <w:lang w:eastAsia="en-US"/>
        </w:rPr>
        <w:tab/>
        <w:t xml:space="preserve">v predchádzajúcich 12 mesiacoch sa nevyskytla ťažká hypoglykemická príhoda;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b)</w:t>
      </w:r>
      <w:r>
        <w:rPr>
          <w:rFonts w:eastAsia="Calibri"/>
          <w:noProof/>
          <w:color w:val="000000"/>
          <w:szCs w:val="22"/>
          <w:lang w:eastAsia="en-US"/>
        </w:rPr>
        <w:tab/>
        <w:t xml:space="preserve">vodič si plne uvedomuje svoj hypoglykemický stav;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c)</w:t>
      </w:r>
      <w:r>
        <w:rPr>
          <w:rFonts w:eastAsia="Calibri"/>
          <w:noProof/>
          <w:color w:val="000000"/>
          <w:szCs w:val="22"/>
          <w:lang w:eastAsia="en-US"/>
        </w:rPr>
        <w:tab/>
        <w:t>vodič musí preukázať, že tento s</w:t>
      </w:r>
      <w:r>
        <w:rPr>
          <w:rFonts w:eastAsia="Calibri"/>
          <w:noProof/>
          <w:color w:val="000000"/>
          <w:szCs w:val="22"/>
          <w:lang w:eastAsia="en-US"/>
        </w:rPr>
        <w:t>tav dokáže primerane ovládať, a to snímačmi glukózy v krvi, inzulínovou pumpou, inzulínovým perom a/alebo hybridnou uzavretou slučkou najmenej dvakrát denne a v časoch relevantných pre vedenie vozidla;</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d)</w:t>
      </w:r>
      <w:r>
        <w:rPr>
          <w:rFonts w:eastAsia="Calibri"/>
          <w:noProof/>
          <w:color w:val="000000"/>
          <w:szCs w:val="22"/>
          <w:lang w:eastAsia="en-US"/>
        </w:rPr>
        <w:tab/>
        <w:t>vodič musí preukázať, že si uvedomuje riziko vyplýv</w:t>
      </w:r>
      <w:r>
        <w:rPr>
          <w:rFonts w:eastAsia="Calibri"/>
          <w:noProof/>
          <w:color w:val="000000"/>
          <w:szCs w:val="22"/>
          <w:lang w:eastAsia="en-US"/>
        </w:rPr>
        <w:t xml:space="preserve">ajúce z hypoglykemického stavu; </w:t>
      </w:r>
    </w:p>
    <w:p w:rsidR="006C6719" w:rsidRDefault="00614864">
      <w:pPr>
        <w:widowControl/>
        <w:spacing w:before="120" w:after="120" w:line="360" w:lineRule="auto"/>
        <w:ind w:left="1984" w:hanging="567"/>
        <w:rPr>
          <w:rFonts w:eastAsia="Calibri"/>
          <w:noProof/>
          <w:color w:val="000000"/>
          <w:szCs w:val="22"/>
          <w:lang w:eastAsia="en-US"/>
        </w:rPr>
      </w:pPr>
      <w:r>
        <w:rPr>
          <w:rFonts w:eastAsia="Calibri"/>
          <w:noProof/>
          <w:color w:val="000000"/>
          <w:szCs w:val="22"/>
          <w:lang w:eastAsia="en-US"/>
        </w:rPr>
        <w:t>e)</w:t>
      </w:r>
      <w:r>
        <w:rPr>
          <w:rFonts w:eastAsia="Calibri"/>
          <w:noProof/>
          <w:color w:val="000000"/>
          <w:szCs w:val="22"/>
          <w:lang w:eastAsia="en-US"/>
        </w:rPr>
        <w:tab/>
        <w:t xml:space="preserve">v súvislosti s diabetom neexistujú iné obmedzujúce komplikácie. </w:t>
      </w:r>
    </w:p>
    <w:p w:rsidR="006C6719" w:rsidRDefault="00614864">
      <w:pPr>
        <w:widowControl/>
        <w:tabs>
          <w:tab w:val="num" w:pos="1418"/>
        </w:tabs>
        <w:spacing w:before="120" w:after="120" w:line="360" w:lineRule="auto"/>
        <w:ind w:left="1418"/>
        <w:rPr>
          <w:rFonts w:eastAsia="Calibri"/>
          <w:b/>
          <w:noProof/>
          <w:szCs w:val="22"/>
          <w:lang w:eastAsia="en-US"/>
        </w:rPr>
      </w:pPr>
      <w:r>
        <w:rPr>
          <w:rFonts w:eastAsia="Calibri"/>
          <w:noProof/>
          <w:color w:val="000000"/>
          <w:szCs w:val="22"/>
          <w:lang w:eastAsia="en-US"/>
        </w:rPr>
        <w:t xml:space="preserve">Okrem toho v týchto prípadoch sa takéto vodičské preukazy vydávajú </w:t>
      </w:r>
      <w:r>
        <w:rPr>
          <w:b/>
          <w:i/>
        </w:rPr>
        <w:t xml:space="preserve">alebo obnovujú </w:t>
      </w:r>
      <w:r>
        <w:rPr>
          <w:rFonts w:eastAsia="Calibri"/>
          <w:noProof/>
          <w:color w:val="000000"/>
          <w:szCs w:val="22"/>
          <w:lang w:eastAsia="en-US"/>
        </w:rPr>
        <w:t xml:space="preserve">iba na základe </w:t>
      </w:r>
      <w:r>
        <w:rPr>
          <w:rFonts w:eastAsia="Calibri"/>
          <w:strike/>
          <w:noProof/>
          <w:color w:val="000000"/>
          <w:szCs w:val="22"/>
          <w:lang w:eastAsia="en-US"/>
        </w:rPr>
        <w:t>stanoviska</w:t>
      </w:r>
      <w:r>
        <w:rPr>
          <w:rFonts w:eastAsia="Calibri"/>
          <w:noProof/>
          <w:color w:val="000000"/>
          <w:szCs w:val="22"/>
          <w:lang w:eastAsia="en-US"/>
        </w:rPr>
        <w:t xml:space="preserve"> </w:t>
      </w:r>
      <w:r>
        <w:rPr>
          <w:b/>
          <w:i/>
        </w:rPr>
        <w:t xml:space="preserve">kladného posudku </w:t>
      </w:r>
      <w:r>
        <w:rPr>
          <w:rFonts w:eastAsia="Calibri"/>
          <w:noProof/>
          <w:color w:val="000000"/>
          <w:szCs w:val="22"/>
          <w:lang w:eastAsia="en-US"/>
        </w:rPr>
        <w:t xml:space="preserve">príslušného lekárskeho orgánu </w:t>
      </w:r>
      <w:r>
        <w:rPr>
          <w:rFonts w:eastAsia="Calibri"/>
          <w:noProof/>
          <w:color w:val="000000"/>
          <w:szCs w:val="22"/>
          <w:lang w:eastAsia="en-US"/>
        </w:rPr>
        <w:t xml:space="preserve">a pravidelného lekárskeho preskúmania vykonávaného </w:t>
      </w:r>
      <w:r>
        <w:rPr>
          <w:b/>
          <w:i/>
        </w:rPr>
        <w:t xml:space="preserve">odborným lekárom </w:t>
      </w:r>
      <w:r>
        <w:rPr>
          <w:rFonts w:eastAsia="Calibri"/>
          <w:noProof/>
          <w:color w:val="000000"/>
          <w:szCs w:val="22"/>
          <w:lang w:eastAsia="en-US"/>
        </w:rPr>
        <w:t xml:space="preserve">v najviac trojročných intervaloch. </w:t>
      </w:r>
      <w:r>
        <w:rPr>
          <w:rFonts w:eastAsia="Calibri"/>
          <w:b/>
          <w:noProof/>
          <w:color w:val="000000"/>
          <w:szCs w:val="22"/>
          <w:lang w:eastAsia="en-US"/>
        </w:rPr>
        <w:t>[PN 218]</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4.</w:t>
      </w:r>
      <w:r>
        <w:rPr>
          <w:rFonts w:eastAsia="Calibri"/>
          <w:noProof/>
          <w:szCs w:val="22"/>
          <w:lang w:eastAsia="en-US"/>
        </w:rPr>
        <w:tab/>
        <w:t xml:space="preserve">Ťažká hypoglykemická príhoda počas bdelého stavu, dokonca aj taká, ktorá nesúvisí s vedením vozidla, sa oznámi a na jej základe sa nechá </w:t>
      </w:r>
      <w:r>
        <w:rPr>
          <w:rFonts w:eastAsia="Calibri"/>
          <w:noProof/>
          <w:szCs w:val="22"/>
          <w:lang w:eastAsia="en-US"/>
        </w:rPr>
        <w:t>opätovne posúdiť stav pre vydanie vodičského preukazu. </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spacing w:before="120" w:after="120" w:line="360" w:lineRule="auto"/>
        <w:rPr>
          <w:rFonts w:eastAsia="Calibri"/>
          <w:iCs/>
          <w:noProof/>
          <w:color w:val="000000"/>
          <w:szCs w:val="22"/>
          <w:lang w:eastAsia="en-US"/>
        </w:rPr>
      </w:pPr>
      <w:r>
        <w:rPr>
          <w:rFonts w:eastAsia="Calibri"/>
          <w:noProof/>
          <w:color w:val="000000"/>
          <w:szCs w:val="22"/>
          <w:lang w:eastAsia="en-US"/>
        </w:rPr>
        <w:lastRenderedPageBreak/>
        <w:t>CHOROBY NERVOVÉHO SYSTÉMU A OBŠTRUKČNÉ SPÁNKOVÉ APNOE</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11.</w:t>
      </w:r>
      <w:r>
        <w:rPr>
          <w:rFonts w:eastAsia="Calibri"/>
          <w:noProof/>
          <w:color w:val="000000"/>
          <w:szCs w:val="22"/>
          <w:lang w:eastAsia="en-US"/>
        </w:rPr>
        <w:tab/>
        <w:t>Na žiadateľov s chorobami nervového systému a obštrukčným spánkovým apnoe sa vzťahujú tieto pravidlá:</w:t>
      </w:r>
    </w:p>
    <w:p w:rsidR="006C6719" w:rsidRDefault="00614864">
      <w:pPr>
        <w:widowControl/>
        <w:spacing w:before="120" w:after="120" w:line="360" w:lineRule="auto"/>
        <w:ind w:left="1418" w:hanging="567"/>
        <w:rPr>
          <w:rFonts w:eastAsia="Calibri"/>
          <w:noProof/>
          <w:color w:val="000000"/>
          <w:szCs w:val="22"/>
          <w:lang w:eastAsia="en-US"/>
        </w:rPr>
      </w:pPr>
      <w:r>
        <w:rPr>
          <w:rFonts w:eastAsia="Calibri"/>
          <w:noProof/>
          <w:color w:val="000000"/>
          <w:szCs w:val="22"/>
          <w:lang w:eastAsia="en-US"/>
        </w:rPr>
        <w:t>CHOROBY NERVOVÉHO SYSTÉMU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1.</w:t>
      </w:r>
      <w:r>
        <w:rPr>
          <w:rFonts w:eastAsia="Calibri"/>
          <w:noProof/>
          <w:szCs w:val="22"/>
          <w:lang w:eastAsia="en-US"/>
        </w:rPr>
        <w:tab/>
        <w:t>Vodičské</w:t>
      </w:r>
      <w:r>
        <w:rPr>
          <w:rFonts w:eastAsia="Calibri"/>
          <w:noProof/>
          <w:szCs w:val="22"/>
          <w:lang w:eastAsia="en-US"/>
        </w:rPr>
        <w:t xml:space="preserve"> preukazy sa nevydajú ani neobnovia žiadateľom alebo vodičom s vážnymi nervovými chorobami, pokiaľ žiadosť nie je podložená </w:t>
      </w:r>
      <w:r>
        <w:rPr>
          <w:b/>
          <w:i/>
        </w:rPr>
        <w:t xml:space="preserve">kladným lekárskym </w:t>
      </w:r>
      <w:r>
        <w:rPr>
          <w:rFonts w:eastAsia="Calibri"/>
          <w:noProof/>
          <w:szCs w:val="22"/>
          <w:lang w:eastAsia="en-US"/>
        </w:rPr>
        <w:t xml:space="preserve">posudkom oprávneného </w:t>
      </w:r>
      <w:r>
        <w:rPr>
          <w:b/>
          <w:i/>
        </w:rPr>
        <w:t>odborného lekára alebo príslušného</w:t>
      </w:r>
      <w:r>
        <w:t xml:space="preserve"> </w:t>
      </w:r>
      <w:r>
        <w:rPr>
          <w:rFonts w:eastAsia="Calibri"/>
          <w:noProof/>
          <w:szCs w:val="22"/>
          <w:lang w:eastAsia="en-US"/>
        </w:rPr>
        <w:t>lekárskeho orgánu.</w:t>
      </w:r>
      <w:r>
        <w:rPr>
          <w:rFonts w:eastAsia="Calibri"/>
          <w:b/>
          <w:noProof/>
          <w:szCs w:val="22"/>
          <w:lang w:eastAsia="en-US"/>
        </w:rPr>
        <w:t xml:space="preserve"> [PN 219]</w:t>
      </w:r>
    </w:p>
    <w:p w:rsidR="006C6719" w:rsidRDefault="00614864">
      <w:pPr>
        <w:widowControl/>
        <w:spacing w:before="120" w:after="120" w:line="360" w:lineRule="auto"/>
        <w:ind w:left="1418"/>
        <w:rPr>
          <w:rFonts w:eastAsia="Calibri"/>
          <w:b/>
          <w:noProof/>
          <w:szCs w:val="22"/>
          <w:lang w:eastAsia="en-US"/>
        </w:rPr>
      </w:pPr>
      <w:r>
        <w:rPr>
          <w:rFonts w:eastAsia="Calibri"/>
          <w:noProof/>
          <w:color w:val="000000"/>
          <w:szCs w:val="22"/>
          <w:lang w:eastAsia="en-US"/>
        </w:rPr>
        <w:t xml:space="preserve">Poruchy nervového systému </w:t>
      </w:r>
      <w:r>
        <w:rPr>
          <w:rFonts w:eastAsia="Calibri"/>
          <w:noProof/>
          <w:color w:val="000000"/>
          <w:szCs w:val="22"/>
          <w:lang w:eastAsia="en-US"/>
        </w:rPr>
        <w:t>spojené s </w:t>
      </w:r>
      <w:r>
        <w:rPr>
          <w:b/>
          <w:i/>
        </w:rPr>
        <w:t xml:space="preserve">vývojovými poruchami, </w:t>
      </w:r>
      <w:r>
        <w:rPr>
          <w:rFonts w:eastAsia="Calibri"/>
          <w:noProof/>
          <w:color w:val="000000"/>
          <w:szCs w:val="22"/>
          <w:lang w:eastAsia="en-US"/>
        </w:rPr>
        <w:t>chorobami</w:t>
      </w:r>
      <w:r>
        <w:rPr>
          <w:b/>
          <w:i/>
        </w:rPr>
        <w:t>, lekárske</w:t>
      </w:r>
      <w:r>
        <w:rPr>
          <w:rFonts w:eastAsia="Calibri"/>
          <w:noProof/>
          <w:color w:val="000000"/>
          <w:szCs w:val="22"/>
          <w:lang w:eastAsia="en-US"/>
        </w:rPr>
        <w:t xml:space="preserve"> alebo chirurgické zásahy ovplyvňujúce centrálny alebo periférny nervový systém, ktoré vedú </w:t>
      </w:r>
      <w:r>
        <w:rPr>
          <w:rFonts w:eastAsia="Calibri"/>
          <w:strike/>
          <w:noProof/>
          <w:color w:val="000000"/>
          <w:szCs w:val="22"/>
          <w:lang w:eastAsia="en-US"/>
        </w:rPr>
        <w:t>k</w:t>
      </w:r>
      <w:r>
        <w:rPr>
          <w:rFonts w:eastAsia="Calibri"/>
          <w:noProof/>
          <w:color w:val="000000"/>
          <w:szCs w:val="22"/>
          <w:lang w:eastAsia="en-US"/>
        </w:rPr>
        <w:t> </w:t>
      </w:r>
      <w:r>
        <w:rPr>
          <w:b/>
          <w:i/>
        </w:rPr>
        <w:t xml:space="preserve">ku kognitívnym, </w:t>
      </w:r>
      <w:proofErr w:type="spellStart"/>
      <w:r>
        <w:rPr>
          <w:b/>
          <w:i/>
        </w:rPr>
        <w:t>behaviorálnym</w:t>
      </w:r>
      <w:proofErr w:type="spellEnd"/>
      <w:r>
        <w:rPr>
          <w:b/>
          <w:i/>
        </w:rPr>
        <w:t>,</w:t>
      </w:r>
      <w:r>
        <w:t> </w:t>
      </w:r>
      <w:r>
        <w:rPr>
          <w:rFonts w:eastAsia="Calibri"/>
          <w:noProof/>
          <w:color w:val="000000"/>
          <w:szCs w:val="22"/>
          <w:lang w:eastAsia="en-US"/>
        </w:rPr>
        <w:t xml:space="preserve">senzorickým alebo motorickým poruchám a ovplyvňujú </w:t>
      </w:r>
      <w:r>
        <w:rPr>
          <w:b/>
          <w:i/>
        </w:rPr>
        <w:t xml:space="preserve">správanie/fungovanie, </w:t>
      </w:r>
      <w:r>
        <w:rPr>
          <w:rFonts w:eastAsia="Calibri"/>
          <w:noProof/>
          <w:color w:val="000000"/>
          <w:szCs w:val="22"/>
          <w:lang w:eastAsia="en-US"/>
        </w:rPr>
        <w:t>rovnová</w:t>
      </w:r>
      <w:r>
        <w:rPr>
          <w:rFonts w:eastAsia="Calibri"/>
          <w:noProof/>
          <w:color w:val="000000"/>
          <w:szCs w:val="22"/>
          <w:lang w:eastAsia="en-US"/>
        </w:rPr>
        <w:t xml:space="preserve">hu a koordináciu, sa berú do úvahy vo vzťahu k ich funkčným účinkom </w:t>
      </w:r>
      <w:r>
        <w:rPr>
          <w:rFonts w:eastAsia="Calibri"/>
          <w:strike/>
          <w:noProof/>
          <w:color w:val="000000"/>
          <w:szCs w:val="22"/>
          <w:lang w:eastAsia="en-US"/>
        </w:rPr>
        <w:t>a rizikám vývoja choroby</w:t>
      </w:r>
      <w:r>
        <w:rPr>
          <w:rFonts w:eastAsia="Calibri"/>
          <w:noProof/>
          <w:color w:val="000000"/>
          <w:szCs w:val="22"/>
          <w:lang w:eastAsia="en-US"/>
        </w:rPr>
        <w:t xml:space="preserve">. </w:t>
      </w:r>
      <w:r>
        <w:rPr>
          <w:b/>
          <w:i/>
        </w:rPr>
        <w:t>Je potrebné zohľadniť riziká vývoja poruchy a dodržiavanie liečby</w:t>
      </w:r>
      <w:r>
        <w:t xml:space="preserve">. </w:t>
      </w:r>
      <w:r>
        <w:rPr>
          <w:rFonts w:eastAsia="Calibri"/>
          <w:noProof/>
          <w:color w:val="000000"/>
          <w:szCs w:val="22"/>
          <w:lang w:eastAsia="en-US"/>
        </w:rPr>
        <w:t>V takýchto prípadoch vydanie alebo obnovenie vodičského preukazu môže podliehať pravidelnému po</w:t>
      </w:r>
      <w:r>
        <w:rPr>
          <w:rFonts w:eastAsia="Calibri"/>
          <w:noProof/>
          <w:color w:val="000000"/>
          <w:szCs w:val="22"/>
          <w:lang w:eastAsia="en-US"/>
        </w:rPr>
        <w:t xml:space="preserve">súdeniu, ak hrozí zhoršenie stavu. </w:t>
      </w:r>
      <w:r>
        <w:rPr>
          <w:rFonts w:eastAsia="Calibri"/>
          <w:b/>
          <w:noProof/>
          <w:color w:val="000000"/>
          <w:szCs w:val="22"/>
          <w:lang w:eastAsia="en-US"/>
        </w:rPr>
        <w:t>[PN 220]</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hanging="567"/>
        <w:rPr>
          <w:rFonts w:eastAsia="Calibri"/>
          <w:noProof/>
          <w:szCs w:val="22"/>
          <w:lang w:eastAsia="en-US"/>
        </w:rPr>
      </w:pPr>
      <w:r>
        <w:rPr>
          <w:rFonts w:eastAsia="Calibri"/>
          <w:noProof/>
          <w:color w:val="000000"/>
          <w:szCs w:val="22"/>
          <w:lang w:eastAsia="en-US"/>
        </w:rPr>
        <w:lastRenderedPageBreak/>
        <w:t xml:space="preserve">OBŠTRUKČNÉ SPÁNKOVÉ APNOE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 xml:space="preserve">Na účely nasledujúcich bodov: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 xml:space="preserve">„mierny obštrukčný syndróm spánkového apnoe“ je 15 až 29 výskytov apnoe a hypopnoe za hodinu (index apnoe/hypopnoe);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 xml:space="preserve">„závažný obštrukčný syndróm </w:t>
      </w:r>
      <w:r>
        <w:rPr>
          <w:rFonts w:eastAsia="Calibri"/>
          <w:noProof/>
          <w:color w:val="000000"/>
          <w:szCs w:val="22"/>
          <w:lang w:eastAsia="en-US"/>
        </w:rPr>
        <w:t>spánkového apnoe“ je index apnoe/hypopnoe 30 alebo viac, pričom oba sú spojené s nadmernou dennou ospalosťou.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3.</w:t>
      </w:r>
      <w:r>
        <w:rPr>
          <w:rFonts w:eastAsia="Calibri"/>
          <w:noProof/>
          <w:szCs w:val="22"/>
          <w:lang w:eastAsia="en-US"/>
        </w:rPr>
        <w:tab/>
        <w:t>Žiadatelia alebo vodiči s podozrením na mierny alebo závažný obštrukčný syndróm spánkového apnoe sa pred vydaním alebo obnovením vodičského pr</w:t>
      </w:r>
      <w:r>
        <w:rPr>
          <w:rFonts w:eastAsia="Calibri"/>
          <w:noProof/>
          <w:szCs w:val="22"/>
          <w:lang w:eastAsia="en-US"/>
        </w:rPr>
        <w:t>eukazu odporučia na ďalšie lekárske poradenstvo od oprávneného orgánu. Až do potvrdenia diagnózy sa im môže odporučiť neviesť vozidlo.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4.</w:t>
      </w:r>
      <w:r>
        <w:rPr>
          <w:rFonts w:eastAsia="Calibri"/>
          <w:noProof/>
          <w:szCs w:val="22"/>
          <w:lang w:eastAsia="en-US"/>
        </w:rPr>
        <w:tab/>
        <w:t>Vodičský preukaz možno vydať žiadateľom alebo vodičom s miernym alebo závažným obštrukčným syndrómom spánkového apnoe</w:t>
      </w:r>
      <w:r>
        <w:rPr>
          <w:rFonts w:eastAsia="Calibri"/>
          <w:noProof/>
          <w:szCs w:val="22"/>
          <w:lang w:eastAsia="en-US"/>
        </w:rPr>
        <w:t>, ktorí preukážu, že svoje ochorenie majú primerane pod kontrolou, že sa podrobujú vhodnej liečbe a že sa zlepšuje ich prípadná ospalosť, na základe posudku oprávneného lekárskeho orgánu.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5.</w:t>
      </w:r>
      <w:r>
        <w:rPr>
          <w:rFonts w:eastAsia="Calibri"/>
          <w:noProof/>
          <w:szCs w:val="22"/>
          <w:lang w:eastAsia="en-US"/>
        </w:rPr>
        <w:tab/>
        <w:t>Žiadatelia alebo vodiči s miernym alebo závažným obštrukčným s</w:t>
      </w:r>
      <w:r>
        <w:rPr>
          <w:rFonts w:eastAsia="Calibri"/>
          <w:noProof/>
          <w:szCs w:val="22"/>
          <w:lang w:eastAsia="en-US"/>
        </w:rPr>
        <w:t>yndrómom spánkového apnoe sa musia podrobovať pravidelnej lekárskej kontrole v intervaloch nepresahujúcich tri roky pri vodičoch skupiny 1 a jeden rok pri vodičoch skupiny 2, s cieľom určiť mieru dodržiavania liečby, potrebu pokračovania v liečbe a zachová</w:t>
      </w:r>
      <w:r>
        <w:rPr>
          <w:rFonts w:eastAsia="Calibri"/>
          <w:noProof/>
          <w:szCs w:val="22"/>
          <w:lang w:eastAsia="en-US"/>
        </w:rPr>
        <w:t>vania potrebnej miery vigilancie. </w:t>
      </w:r>
    </w:p>
    <w:p w:rsidR="006C6719" w:rsidRDefault="00614864">
      <w:pPr>
        <w:widowControl/>
        <w:spacing w:before="120" w:after="120" w:line="360" w:lineRule="auto"/>
        <w:rPr>
          <w:rFonts w:eastAsia="Calibri"/>
          <w:iCs/>
          <w:noProof/>
          <w:color w:val="000000"/>
          <w:szCs w:val="22"/>
          <w:lang w:eastAsia="en-US"/>
        </w:rPr>
      </w:pPr>
      <w:r>
        <w:rPr>
          <w:rFonts w:eastAsia="Calibri"/>
          <w:noProof/>
          <w:color w:val="000000"/>
          <w:szCs w:val="22"/>
          <w:lang w:eastAsia="en-US"/>
        </w:rPr>
        <w:t>EPILEPSIA</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12.</w:t>
      </w:r>
      <w:r>
        <w:rPr>
          <w:rFonts w:eastAsia="Calibri"/>
          <w:noProof/>
          <w:color w:val="000000"/>
          <w:szCs w:val="22"/>
          <w:lang w:eastAsia="en-US"/>
        </w:rPr>
        <w:tab/>
        <w:t xml:space="preserve">Epileptické záchvaty alebo iné náhle poruchy stavu vedomia predstavujú vážne nebezpečenstvo pre bezpečnosť cestnej premávky, ak sa vyskytnú u osoby, ktorá vedie poháňané vozidlo.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Na účely nasledujúcich bod</w:t>
      </w:r>
      <w:r>
        <w:rPr>
          <w:rFonts w:eastAsia="Calibri"/>
          <w:noProof/>
          <w:color w:val="000000"/>
          <w:szCs w:val="22"/>
          <w:lang w:eastAsia="en-US"/>
        </w:rPr>
        <w:t xml:space="preserve">ov: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 xml:space="preserve">„epilepsia“ je zdravotný stav, v ktorom mala daná osoba dva alebo viac epileptických záchvatov v období kratšom ako päť rokov; </w:t>
      </w:r>
    </w:p>
    <w:p w:rsidR="006C6719" w:rsidRDefault="00614864">
      <w:pPr>
        <w:widowControl/>
        <w:spacing w:before="120" w:after="120" w:line="360" w:lineRule="auto"/>
        <w:ind w:left="850"/>
        <w:rPr>
          <w:rFonts w:eastAsia="Calibri"/>
          <w:noProof/>
          <w:szCs w:val="22"/>
          <w:lang w:eastAsia="en-US"/>
        </w:rPr>
      </w:pPr>
      <w:r>
        <w:rPr>
          <w:rFonts w:eastAsia="Calibri"/>
          <w:noProof/>
          <w:color w:val="000000"/>
          <w:szCs w:val="22"/>
          <w:lang w:eastAsia="en-US"/>
        </w:rPr>
        <w:t xml:space="preserve">„vyvolaný epileptický záchvat“ je záchvat, ktorý má rozoznateľný príčinný faktor, ktorému je možné sa vyhnúť. </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lastRenderedPageBreak/>
        <w:t>Osobe, kto</w:t>
      </w:r>
      <w:r>
        <w:rPr>
          <w:rFonts w:eastAsia="Calibri"/>
          <w:noProof/>
          <w:color w:val="000000"/>
          <w:szCs w:val="22"/>
          <w:lang w:eastAsia="en-US"/>
        </w:rPr>
        <w:t>rá má záchvat alebo stratu vedomia po prvýkrát alebo ojedinele, sa odporučí, aby neviedla vozidlo. Vyžaduje sa odborná správa, v ktorej sa uvedie obdobie zákazu viesť vozidlo a požadovaná následná kontrola.</w:t>
      </w:r>
      <w:r>
        <w:rPr>
          <w:rFonts w:eastAsia="Calibri"/>
          <w:noProof/>
          <w:szCs w:val="22"/>
          <w:lang w:eastAsia="en-US"/>
        </w:rPr>
        <w:t xml:space="preserve"> </w:t>
      </w:r>
    </w:p>
    <w:p w:rsidR="006C6719" w:rsidRDefault="00614864">
      <w:pPr>
        <w:widowControl/>
        <w:spacing w:before="120" w:after="120" w:line="360" w:lineRule="auto"/>
        <w:ind w:left="850"/>
        <w:rPr>
          <w:rFonts w:eastAsia="Calibri"/>
          <w:noProof/>
          <w:color w:val="000000"/>
          <w:szCs w:val="22"/>
          <w:lang w:eastAsia="en-US"/>
        </w:rPr>
      </w:pPr>
      <w:r>
        <w:rPr>
          <w:rFonts w:eastAsia="Calibri"/>
          <w:noProof/>
          <w:color w:val="000000"/>
          <w:szCs w:val="22"/>
          <w:lang w:eastAsia="en-US"/>
        </w:rPr>
        <w:t xml:space="preserve">Je mimoriadne dôležité zistiť, o aký špecifický </w:t>
      </w:r>
      <w:r>
        <w:rPr>
          <w:rFonts w:eastAsia="Calibri"/>
          <w:noProof/>
          <w:color w:val="000000"/>
          <w:szCs w:val="22"/>
          <w:lang w:eastAsia="en-US"/>
        </w:rPr>
        <w:t>epileptický syndróm a typ záchvatu u danej osoby ide, aby sa mohlo vykonať riadne vyhodnotenie spôsobilosti tejto osoby viesť vozidlo bezpečne (vrátane rizika ďalších záchvatov) a aby sa mohla určiť primeraná liečba. To urobí neurológ.</w:t>
      </w:r>
      <w:r>
        <w:rPr>
          <w:rFonts w:eastAsia="Calibri"/>
          <w:noProof/>
          <w:szCs w:val="22"/>
          <w:lang w:eastAsia="en-US"/>
        </w:rPr>
        <w:t xml:space="preserve"> </w:t>
      </w:r>
    </w:p>
    <w:p w:rsidR="006C6719" w:rsidRDefault="00614864">
      <w:pPr>
        <w:widowControl/>
        <w:spacing w:before="120" w:after="120" w:line="360" w:lineRule="auto"/>
        <w:ind w:left="1418" w:hanging="567"/>
        <w:rPr>
          <w:rFonts w:eastAsia="Calibri"/>
          <w:noProof/>
          <w:szCs w:val="22"/>
          <w:lang w:eastAsia="en-US"/>
        </w:rPr>
      </w:pPr>
      <w:r>
        <w:rPr>
          <w:rFonts w:eastAsia="Calibri"/>
          <w:noProof/>
          <w:color w:val="000000"/>
          <w:szCs w:val="22"/>
          <w:lang w:eastAsia="en-US"/>
        </w:rPr>
        <w:t>Skupina 1:</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r>
      <w:r>
        <w:rPr>
          <w:rFonts w:eastAsia="Calibri"/>
          <w:noProof/>
          <w:szCs w:val="22"/>
          <w:lang w:eastAsia="en-US"/>
        </w:rPr>
        <w:t>Vodiči skupiny 1, ktorí sú posudzovaní so zreteľom na to, že majú epilepsiu, podliehajú preskúmavaniu vodičského preukazu až do uplynutia aspoň piatich rokov bez záchvatov. </w:t>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t>Ak daná osoba má epilepsiu, kritériá na nepodmienené vydanie vodičského preukazu s</w:t>
      </w:r>
      <w:r>
        <w:rPr>
          <w:rFonts w:eastAsia="Calibri"/>
          <w:noProof/>
          <w:color w:val="000000"/>
          <w:szCs w:val="22"/>
          <w:lang w:eastAsia="en-US"/>
        </w:rPr>
        <w:t xml:space="preserve">a nepovažujú za splnené. Táto skutočnosť sa oznamuje orgánu vydávajúcemu vodičské preukazy.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2.</w:t>
      </w:r>
      <w:r>
        <w:rPr>
          <w:rFonts w:eastAsia="Calibri"/>
          <w:noProof/>
          <w:szCs w:val="22"/>
          <w:lang w:eastAsia="en-US"/>
        </w:rPr>
        <w:tab/>
        <w:t>Vyvolaný epileptický záchvat: žiadateľ, ktorý má takéto ochorenie spôsobené rozoznateľným vyvolávajúcim faktorom, ktoré sa pravdepodobne nebude opakovať pri v</w:t>
      </w:r>
      <w:r>
        <w:rPr>
          <w:rFonts w:eastAsia="Calibri"/>
          <w:noProof/>
          <w:szCs w:val="22"/>
          <w:lang w:eastAsia="en-US"/>
        </w:rPr>
        <w:t>edení vozidla, môže byť v jednotlivých prípadoch vyhlásený za spôsobilého viesť vozidlo, a to iba na základe neurologického stanoviska (posudok musí byť v prípade potreby v súlade s ostatnými príslušnými oddielmi prílohy III, napr. v prípade alkoholu alebo</w:t>
      </w:r>
      <w:r>
        <w:rPr>
          <w:rFonts w:eastAsia="Calibri"/>
          <w:noProof/>
          <w:szCs w:val="22"/>
          <w:lang w:eastAsia="en-US"/>
        </w:rPr>
        <w:t xml:space="preserve"> iného faktora komorbidity).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3.</w:t>
      </w:r>
      <w:r>
        <w:rPr>
          <w:rFonts w:eastAsia="Calibri"/>
          <w:noProof/>
          <w:szCs w:val="22"/>
          <w:lang w:eastAsia="en-US"/>
        </w:rPr>
        <w:tab/>
        <w:t>Prvý alebo jediný nevyvolaný záchvat: žiadateľa, ktorý mal prvý nevyvolaný epileptický záchvat, možno vyhlásiť za spôsobilého viesť vozidlo, keď počas šiestich mesiacov nemal záchvaty, a po zodpovedajúcom lekárskom posúdení</w:t>
      </w:r>
      <w:r>
        <w:rPr>
          <w:rFonts w:eastAsia="Calibri"/>
          <w:noProof/>
          <w:szCs w:val="22"/>
          <w:lang w:eastAsia="en-US"/>
        </w:rPr>
        <w:t>. Vnútroštátne orgány môžu povoliť vodičom, ktorí majú uznané ukazovatele dobrej prognózy, viesť vozidlo skôr.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4.</w:t>
      </w:r>
      <w:r>
        <w:rPr>
          <w:rFonts w:eastAsia="Calibri"/>
          <w:noProof/>
          <w:szCs w:val="22"/>
          <w:lang w:eastAsia="en-US"/>
        </w:rPr>
        <w:tab/>
        <w:t>Iná strata vedomia: strata vedomia sa posudzuje so zreteľom na riziko jej opakovania počas vedenia vozidla.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5.</w:t>
      </w:r>
      <w:r>
        <w:rPr>
          <w:rFonts w:eastAsia="Calibri"/>
          <w:noProof/>
          <w:szCs w:val="22"/>
          <w:lang w:eastAsia="en-US"/>
        </w:rPr>
        <w:tab/>
        <w:t>Epilepsia: vodičov alebo žiad</w:t>
      </w:r>
      <w:r>
        <w:rPr>
          <w:rFonts w:eastAsia="Calibri"/>
          <w:noProof/>
          <w:szCs w:val="22"/>
          <w:lang w:eastAsia="en-US"/>
        </w:rPr>
        <w:t>ateľov možno vyhlásiť za spôsobilých viesť vozidlo, keď uplynie obdobie jedného roka bez ďalších záchvatov.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6.</w:t>
      </w:r>
      <w:r>
        <w:rPr>
          <w:rFonts w:eastAsia="Calibri"/>
          <w:noProof/>
          <w:szCs w:val="22"/>
          <w:lang w:eastAsia="en-US"/>
        </w:rPr>
        <w:tab/>
        <w:t>Záchvaty výlučne počas spánku: žiadateľa o vodičský preukaz alebo vodiča, ktorý mal záchvaty len počas spánku, možno vyhlásiť za spôsobilého v</w:t>
      </w:r>
      <w:r>
        <w:rPr>
          <w:rFonts w:eastAsia="Calibri"/>
          <w:noProof/>
          <w:szCs w:val="22"/>
          <w:lang w:eastAsia="en-US"/>
        </w:rPr>
        <w:t>iesť vozidlo, pokiaľ sa tento ustálený vzor pozoruje počas obdobia, ktoré nesmie byť kratšie ako obdobie bez záchvatov požadované pri epilepsii. Ak sa u vodiča vyskytujú záchvaty v bdelom stave, vyžaduje sa, aby v období jedného roka pred vydaním vodičskéh</w:t>
      </w:r>
      <w:r>
        <w:rPr>
          <w:rFonts w:eastAsia="Calibri"/>
          <w:noProof/>
          <w:szCs w:val="22"/>
          <w:lang w:eastAsia="en-US"/>
        </w:rPr>
        <w:t xml:space="preserve">o preukazu nedošlo k ďalšej príhode (pozri „Epilepsia“ v bode 12 ods. 5).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7.</w:t>
      </w:r>
      <w:r>
        <w:rPr>
          <w:rFonts w:eastAsia="Calibri"/>
          <w:noProof/>
          <w:szCs w:val="22"/>
          <w:lang w:eastAsia="en-US"/>
        </w:rPr>
        <w:tab/>
        <w:t>Záchvaty bez vplyvu na vedomie alebo schopnosť konať: žiadateľa o vodičský preukaz alebo vodiča, ktorý mal len záchvaty, pri ktorých sa výlučne preukázalo, že nemajú vplyv na ved</w:t>
      </w:r>
      <w:r>
        <w:rPr>
          <w:rFonts w:eastAsia="Calibri"/>
          <w:noProof/>
          <w:szCs w:val="22"/>
          <w:lang w:eastAsia="en-US"/>
        </w:rPr>
        <w:t>omie ani nespôsobujú nejakú funkčnú poruchu, možno vyhlásiť za spôsobilého viesť vozidlo pod podmienkou, že tento ustálený vzor pretrváva počas obdobia, ktoré nesmie byť kratšie ako obdobie bez záchvatu požadované pri epilepsii. Ak vodiča postihne akýkoľve</w:t>
      </w:r>
      <w:r>
        <w:rPr>
          <w:rFonts w:eastAsia="Calibri"/>
          <w:noProof/>
          <w:szCs w:val="22"/>
          <w:lang w:eastAsia="en-US"/>
        </w:rPr>
        <w:t>k iný druh záchvatu, vyžaduje sa, aby v období jedného roka pred vydaním vodičského preukazu nedošlo k ďalšej príhode (pozri časť „Epilepsia“ v bode 12 ods. 5).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8.</w:t>
      </w:r>
      <w:r>
        <w:rPr>
          <w:rFonts w:eastAsia="Calibri"/>
          <w:noProof/>
          <w:szCs w:val="22"/>
          <w:lang w:eastAsia="en-US"/>
        </w:rPr>
        <w:tab/>
        <w:t>Záchvaty v dôsledku zmeny na pokyn lekára alebo obmedzenie protiepileptickej liečby: paci</w:t>
      </w:r>
      <w:r>
        <w:rPr>
          <w:rFonts w:eastAsia="Calibri"/>
          <w:noProof/>
          <w:szCs w:val="22"/>
          <w:lang w:eastAsia="en-US"/>
        </w:rPr>
        <w:t>entovi sa môže odporúčať neviesť vozidlo od začiatku obdobia ukončovania liečby a následne na obdobie šiestich mesiacov po jej skončení. V prípade záchvatov, ktoré sa vyskytnú počas obdobia zmeny alebo po prerušení podávania liekov na pokyn lekára, pacient</w:t>
      </w:r>
      <w:r>
        <w:rPr>
          <w:rFonts w:eastAsia="Calibri"/>
          <w:noProof/>
          <w:szCs w:val="22"/>
          <w:lang w:eastAsia="en-US"/>
        </w:rPr>
        <w:t xml:space="preserve"> nesmie viesť vozidlo tri mesiace po obnovení liečby, ktorá bola predtým účinná.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9.</w:t>
      </w:r>
      <w:r>
        <w:rPr>
          <w:rFonts w:eastAsia="Calibri"/>
          <w:noProof/>
          <w:szCs w:val="22"/>
          <w:lang w:eastAsia="en-US"/>
        </w:rPr>
        <w:tab/>
        <w:t>Po chirurgickej liečbe epilepsie: pozri „Epilepsia“ v bode 112 ods. 5. </w:t>
      </w:r>
    </w:p>
    <w:p w:rsidR="006C6719" w:rsidRDefault="00614864">
      <w:pPr>
        <w:widowControl/>
        <w:spacing w:before="120" w:after="120" w:line="360" w:lineRule="auto"/>
        <w:ind w:left="1418" w:hanging="567"/>
        <w:rPr>
          <w:rFonts w:eastAsia="Calibri"/>
          <w:noProof/>
          <w:szCs w:val="22"/>
          <w:lang w:eastAsia="en-US"/>
        </w:rPr>
      </w:pPr>
      <w:r>
        <w:rPr>
          <w:rFonts w:eastAsia="Calibri"/>
          <w:noProof/>
          <w:color w:val="000000"/>
          <w:szCs w:val="22"/>
          <w:lang w:eastAsia="en-US"/>
        </w:rPr>
        <w:t xml:space="preserve">Skupina 2: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10.</w:t>
      </w:r>
      <w:r>
        <w:rPr>
          <w:rFonts w:eastAsia="Calibri"/>
          <w:noProof/>
          <w:szCs w:val="22"/>
          <w:lang w:eastAsia="en-US"/>
        </w:rPr>
        <w:tab/>
        <w:t xml:space="preserve">Žiadateľ o vodičský preukaz neužíva protiepileptické lieky počas požadovaného </w:t>
      </w:r>
      <w:r>
        <w:rPr>
          <w:rFonts w:eastAsia="Calibri"/>
          <w:noProof/>
          <w:szCs w:val="22"/>
          <w:lang w:eastAsia="en-US"/>
        </w:rPr>
        <w:t>obdobia, v priebehu ktorého sa nevyskytnú epileptické záchvaty. Vykonala sa vhodná následná lekárska kontrola. Pri rozsiahlej neurologickej kontrole sa neukázala žiadna relevantná cerebrálna patológia ani viditeľná epileptiformná aktivita na zázname elektr</w:t>
      </w:r>
      <w:r>
        <w:rPr>
          <w:rFonts w:eastAsia="Calibri"/>
          <w:noProof/>
          <w:szCs w:val="22"/>
          <w:lang w:eastAsia="en-US"/>
        </w:rPr>
        <w:t>oencefalogramu (EEG). Po akútnej príhode sa urobí vyšetrenie EEG a vhodné neurologické posúdenie. </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lastRenderedPageBreak/>
        <w:t>11.</w:t>
      </w:r>
      <w:r>
        <w:rPr>
          <w:rFonts w:eastAsia="Calibri"/>
          <w:noProof/>
          <w:szCs w:val="22"/>
          <w:lang w:eastAsia="en-US"/>
        </w:rPr>
        <w:tab/>
        <w:t>Vyvolaný epileptický záchvat: žiadateľ, u ktorého vyvolaný epileptický záchvat bol spôsobený zjavným rozoznateľným príčinným faktorom, ktorý sa pravdep</w:t>
      </w:r>
      <w:r>
        <w:rPr>
          <w:rFonts w:eastAsia="Calibri"/>
          <w:noProof/>
          <w:szCs w:val="22"/>
          <w:lang w:eastAsia="en-US"/>
        </w:rPr>
        <w:t xml:space="preserve">odobne nebude opakovať počas vedenia vozidla, môže byť v jednotlivých prípadoch vyhlásený za spôsobilého viesť vozidlo, ale </w:t>
      </w:r>
      <w:r>
        <w:rPr>
          <w:rFonts w:eastAsia="Calibri"/>
          <w:b/>
          <w:i/>
          <w:noProof/>
          <w:szCs w:val="22"/>
          <w:lang w:eastAsia="en-US"/>
        </w:rPr>
        <w:t>len</w:t>
      </w:r>
      <w:r>
        <w:rPr>
          <w:rFonts w:eastAsia="Calibri"/>
          <w:noProof/>
          <w:szCs w:val="22"/>
          <w:lang w:eastAsia="en-US"/>
        </w:rPr>
        <w:t xml:space="preserve"> </w:t>
      </w:r>
      <w:r>
        <w:rPr>
          <w:b/>
          <w:i/>
        </w:rPr>
        <w:t>na súkromné použitie, a nie na prepravu iných osôb</w:t>
      </w:r>
      <w:r>
        <w:t>, n</w:t>
      </w:r>
      <w:r>
        <w:rPr>
          <w:rFonts w:eastAsia="Calibri"/>
          <w:noProof/>
          <w:szCs w:val="22"/>
          <w:lang w:eastAsia="en-US"/>
        </w:rPr>
        <w:t>a základe neurologického stanoviska. Po akútnej príhode sa urobí vyšetrenie</w:t>
      </w:r>
      <w:r>
        <w:rPr>
          <w:rFonts w:eastAsia="Calibri"/>
          <w:noProof/>
          <w:szCs w:val="22"/>
          <w:lang w:eastAsia="en-US"/>
        </w:rPr>
        <w:t xml:space="preserve"> EEG a vhodné neurologické posúdenie. </w:t>
      </w:r>
      <w:r>
        <w:rPr>
          <w:rFonts w:eastAsia="Calibri"/>
          <w:b/>
          <w:noProof/>
          <w:szCs w:val="22"/>
          <w:lang w:eastAsia="en-US"/>
        </w:rPr>
        <w:t>[PN 222]</w:t>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t>Osoba so štrukturálnym vnútorným poškodením mozgu, u ktorej je zvýšené riziko záchvatov, nie je spôsobilá viesť vozidlá skupiny 2 až do poklesu rizika epilepsie aspoň na 2 % za rok. Posúdenie musí byť prípadne</w:t>
      </w:r>
      <w:r>
        <w:rPr>
          <w:rFonts w:eastAsia="Calibri"/>
          <w:noProof/>
          <w:color w:val="000000"/>
          <w:szCs w:val="22"/>
          <w:lang w:eastAsia="en-US"/>
        </w:rPr>
        <w:t xml:space="preserve"> v súlade s ostatnými príslušnými oddielmi prílohy III (napríklad v prípade alkoholu).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12.</w:t>
      </w:r>
      <w:r>
        <w:rPr>
          <w:rFonts w:eastAsia="Calibri"/>
          <w:noProof/>
          <w:szCs w:val="22"/>
          <w:lang w:eastAsia="en-US"/>
        </w:rPr>
        <w:tab/>
        <w:t>Prvý alebo jediný nevyvolaný záchvat: o žiadateľovi, ktorý mal prvý nevyvolaný epileptický záchvat, možno vyhlásiť, že je schopný viesť vozidlo, keď sa dosiahlo, že</w:t>
      </w:r>
      <w:r>
        <w:rPr>
          <w:rFonts w:eastAsia="Calibri"/>
          <w:noProof/>
          <w:szCs w:val="22"/>
          <w:lang w:eastAsia="en-US"/>
        </w:rPr>
        <w:t xml:space="preserve"> bez pomoci protiepileptických liekov nemal päť rokov ďalší epileptický záchvat, pokiaľ sa vykonalo vhodné neurologické posúdenie. </w:t>
      </w:r>
      <w:r>
        <w:rPr>
          <w:rFonts w:eastAsia="Calibri"/>
          <w:strike/>
          <w:noProof/>
          <w:szCs w:val="22"/>
          <w:lang w:eastAsia="en-US"/>
        </w:rPr>
        <w:t>Vnútroštátne orgány môžu povoliť vodičom, ktorí majú uznané ukazovatele dobrej prognózy, viesť vozidlo skôr.</w:t>
      </w:r>
      <w:r>
        <w:rPr>
          <w:rFonts w:eastAsia="Calibri"/>
          <w:noProof/>
          <w:szCs w:val="22"/>
          <w:lang w:eastAsia="en-US"/>
        </w:rPr>
        <w:t xml:space="preserve"> </w:t>
      </w:r>
      <w:r>
        <w:rPr>
          <w:rFonts w:eastAsia="Calibri"/>
          <w:b/>
          <w:noProof/>
          <w:szCs w:val="22"/>
          <w:lang w:eastAsia="en-US"/>
        </w:rPr>
        <w:t>[PN 223]</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13.</w:t>
      </w:r>
      <w:r>
        <w:rPr>
          <w:rFonts w:eastAsia="Calibri"/>
          <w:noProof/>
          <w:szCs w:val="22"/>
          <w:lang w:eastAsia="en-US"/>
        </w:rPr>
        <w:tab/>
        <w:t>I</w:t>
      </w:r>
      <w:r>
        <w:rPr>
          <w:rFonts w:eastAsia="Calibri"/>
          <w:noProof/>
          <w:szCs w:val="22"/>
          <w:lang w:eastAsia="en-US"/>
        </w:rPr>
        <w:t>ná strata vedomia: strata vedomia sa posudzuje so zreteľom na riziko jej opakovania počas vedenia vozidla. Riziko opakovania je najviac 2 % ročne.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14.</w:t>
      </w:r>
      <w:r>
        <w:rPr>
          <w:rFonts w:eastAsia="Calibri"/>
          <w:noProof/>
          <w:szCs w:val="22"/>
          <w:lang w:eastAsia="en-US"/>
        </w:rPr>
        <w:tab/>
        <w:t>Epilepsia: je nevyhnutné, aby sa stav, keď sa desať rokov nevyskytli ďalšie záchvaty, dosiahol bez pomoc</w:t>
      </w:r>
      <w:r>
        <w:rPr>
          <w:rFonts w:eastAsia="Calibri"/>
          <w:noProof/>
          <w:szCs w:val="22"/>
          <w:lang w:eastAsia="en-US"/>
        </w:rPr>
        <w:t>i protiepileptických liekov. Vnútroštátne orgány môžu povoliť vodičom, ktorí majú uznané ukazovatele dobrej prognózy, viesť vozidlo skôr. To sa vzťahuje aj na prípad „detskej epilepsie“. </w:t>
      </w:r>
    </w:p>
    <w:p w:rsidR="006C6719" w:rsidRDefault="00614864">
      <w:pPr>
        <w:widowControl/>
        <w:spacing w:before="120" w:after="120" w:line="360" w:lineRule="auto"/>
        <w:ind w:left="1418"/>
        <w:rPr>
          <w:rFonts w:eastAsia="Calibri"/>
          <w:noProof/>
          <w:color w:val="000000"/>
          <w:szCs w:val="22"/>
          <w:lang w:eastAsia="en-US"/>
        </w:rPr>
      </w:pPr>
      <w:r>
        <w:rPr>
          <w:rFonts w:eastAsia="Calibri"/>
          <w:noProof/>
          <w:color w:val="000000"/>
          <w:szCs w:val="22"/>
          <w:lang w:eastAsia="en-US"/>
        </w:rPr>
        <w:t xml:space="preserve">Určité poruchy (napr. tepnovo-žilové deformácie alebo vnútorné </w:t>
      </w:r>
      <w:r>
        <w:rPr>
          <w:rFonts w:eastAsia="Calibri"/>
          <w:noProof/>
          <w:color w:val="000000"/>
          <w:szCs w:val="22"/>
          <w:lang w:eastAsia="en-US"/>
        </w:rPr>
        <w:t>krvácanie do mozgu) sprevádza zvýšené riziko záchvatov, aj keď sa záchvaty zatiaľ nevyskytli. V takejto situácii posúdenie vykoná príslušný lekársky orgán. Na povolenie vydania vodičského preukazu musí byť riziko záchvatu najviac 2 % za rok.</w:t>
      </w:r>
      <w:r>
        <w:rPr>
          <w:rFonts w:eastAsia="Calibri"/>
          <w:noProof/>
          <w:szCs w:val="22"/>
          <w:lang w:eastAsia="en-US"/>
        </w:rPr>
        <w:t xml:space="preserve"> </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DUŠEVNÉ PORUC</w:t>
      </w:r>
      <w:r>
        <w:rPr>
          <w:rFonts w:eastAsia="Calibri"/>
          <w:noProof/>
          <w:color w:val="000000"/>
          <w:szCs w:val="22"/>
          <w:lang w:eastAsia="en-US"/>
        </w:rPr>
        <w:t xml:space="preserve">HY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13.</w:t>
      </w:r>
      <w:r>
        <w:rPr>
          <w:rFonts w:eastAsia="Calibri"/>
          <w:noProof/>
          <w:color w:val="000000"/>
          <w:szCs w:val="22"/>
          <w:lang w:eastAsia="en-US"/>
        </w:rPr>
        <w:tab/>
        <w:t>Na žiadateľov alebo vodičov s duševnou poruchou alebo mentálnym postihnutím sa vzťahujú tieto pravidlá.</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lastRenderedPageBreak/>
        <w:t>Skupina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Vodičské preukazy sa nevydajú ani neobnovia žiadateľom alebo vodičom: </w:t>
      </w:r>
    </w:p>
    <w:p w:rsidR="006C6719" w:rsidRDefault="00614864">
      <w:pPr>
        <w:widowControl/>
        <w:spacing w:before="120" w:after="120" w:line="360" w:lineRule="auto"/>
        <w:ind w:left="1984" w:hanging="567"/>
        <w:rPr>
          <w:rFonts w:eastAsia="Calibri"/>
          <w:b/>
          <w:noProof/>
          <w:color w:val="000000"/>
          <w:szCs w:val="22"/>
          <w:lang w:eastAsia="en-US"/>
        </w:rPr>
      </w:pPr>
      <w:r>
        <w:rPr>
          <w:rFonts w:eastAsia="Calibri"/>
          <w:noProof/>
          <w:color w:val="000000"/>
          <w:szCs w:val="22"/>
          <w:lang w:eastAsia="en-US"/>
        </w:rPr>
        <w:t>a)</w:t>
      </w:r>
      <w:r>
        <w:rPr>
          <w:rFonts w:eastAsia="Calibri"/>
          <w:noProof/>
          <w:color w:val="000000"/>
          <w:szCs w:val="22"/>
          <w:lang w:eastAsia="en-US"/>
        </w:rPr>
        <w:tab/>
        <w:t>s vážnou duševnou</w:t>
      </w:r>
      <w:r>
        <w:rPr>
          <w:b/>
          <w:i/>
        </w:rPr>
        <w:t xml:space="preserve">, kognitívnou alebo </w:t>
      </w:r>
      <w:proofErr w:type="spellStart"/>
      <w:r>
        <w:rPr>
          <w:b/>
          <w:i/>
        </w:rPr>
        <w:t>behaviorálnou</w:t>
      </w:r>
      <w:proofErr w:type="spellEnd"/>
      <w:r>
        <w:rPr>
          <w:rFonts w:eastAsia="Calibri"/>
          <w:noProof/>
          <w:color w:val="000000"/>
          <w:szCs w:val="22"/>
          <w:lang w:eastAsia="en-US"/>
        </w:rPr>
        <w:t xml:space="preserve"> poruchou, vrodenou alebo získanou v dôsledku ochorenia, úrazu alebo neurochirurgických operácií;</w:t>
      </w:r>
      <w:r>
        <w:rPr>
          <w:rFonts w:eastAsia="Calibri"/>
          <w:noProof/>
          <w:szCs w:val="22"/>
          <w:lang w:eastAsia="en-US"/>
        </w:rPr>
        <w:t xml:space="preserve"> </w:t>
      </w:r>
      <w:r>
        <w:rPr>
          <w:rFonts w:eastAsia="Calibri"/>
          <w:b/>
          <w:noProof/>
          <w:szCs w:val="22"/>
          <w:lang w:eastAsia="en-US"/>
        </w:rPr>
        <w:t>[PN 224]</w:t>
      </w:r>
    </w:p>
    <w:p w:rsidR="006C6719" w:rsidRDefault="00614864">
      <w:pPr>
        <w:widowControl/>
        <w:spacing w:before="120" w:after="120" w:line="360" w:lineRule="auto"/>
        <w:ind w:left="1984" w:hanging="567"/>
        <w:rPr>
          <w:rFonts w:eastAsia="Calibri"/>
          <w:b/>
          <w:noProof/>
          <w:color w:val="000000"/>
          <w:szCs w:val="22"/>
          <w:lang w:eastAsia="en-US"/>
        </w:rPr>
      </w:pPr>
      <w:r>
        <w:rPr>
          <w:rFonts w:eastAsia="Calibri"/>
          <w:strike/>
          <w:noProof/>
          <w:color w:val="000000"/>
          <w:szCs w:val="22"/>
          <w:lang w:eastAsia="en-US"/>
        </w:rPr>
        <w:t>b)</w:t>
      </w:r>
      <w:r>
        <w:rPr>
          <w:rFonts w:eastAsia="Calibri"/>
          <w:strike/>
          <w:noProof/>
          <w:color w:val="000000"/>
          <w:szCs w:val="22"/>
          <w:lang w:eastAsia="en-US"/>
        </w:rPr>
        <w:tab/>
        <w:t>s vážnym mentálnym postihnutím;</w:t>
      </w:r>
      <w:r>
        <w:rPr>
          <w:rFonts w:eastAsia="Calibri"/>
          <w:noProof/>
          <w:color w:val="000000"/>
          <w:szCs w:val="22"/>
          <w:lang w:eastAsia="en-US"/>
        </w:rPr>
        <w:t xml:space="preserve"> </w:t>
      </w:r>
      <w:r>
        <w:rPr>
          <w:rFonts w:eastAsia="Calibri"/>
          <w:b/>
          <w:noProof/>
          <w:color w:val="000000"/>
          <w:szCs w:val="22"/>
          <w:lang w:eastAsia="en-US"/>
        </w:rPr>
        <w:t>[PN 225]</w:t>
      </w:r>
    </w:p>
    <w:p w:rsidR="006C6719" w:rsidRDefault="00614864">
      <w:pPr>
        <w:widowControl/>
        <w:spacing w:before="120" w:after="120" w:line="360" w:lineRule="auto"/>
        <w:ind w:left="1984" w:hanging="567"/>
        <w:rPr>
          <w:rFonts w:eastAsia="Calibri"/>
          <w:b/>
          <w:noProof/>
          <w:color w:val="000000"/>
          <w:szCs w:val="22"/>
          <w:lang w:eastAsia="en-US"/>
        </w:rPr>
      </w:pPr>
      <w:r>
        <w:rPr>
          <w:rFonts w:eastAsia="Calibri"/>
          <w:noProof/>
          <w:color w:val="000000"/>
          <w:szCs w:val="22"/>
          <w:lang w:eastAsia="en-US"/>
        </w:rPr>
        <w:t>c)</w:t>
      </w:r>
      <w:r>
        <w:rPr>
          <w:rFonts w:eastAsia="Calibri"/>
          <w:noProof/>
          <w:color w:val="000000"/>
          <w:szCs w:val="22"/>
          <w:lang w:eastAsia="en-US"/>
        </w:rPr>
        <w:tab/>
        <w:t>s </w:t>
      </w:r>
      <w:r>
        <w:rPr>
          <w:rFonts w:eastAsia="Calibri"/>
          <w:strike/>
          <w:noProof/>
          <w:color w:val="000000"/>
          <w:szCs w:val="22"/>
          <w:lang w:eastAsia="en-US"/>
        </w:rPr>
        <w:t>vážnymi poruchami správania, s poruchami správania spojenými s vekom alebo s</w:t>
      </w:r>
      <w:r>
        <w:rPr>
          <w:rFonts w:eastAsia="Calibri"/>
          <w:noProof/>
          <w:color w:val="000000"/>
          <w:szCs w:val="22"/>
          <w:lang w:eastAsia="en-US"/>
        </w:rPr>
        <w:t> poruchami osobnosti, kt</w:t>
      </w:r>
      <w:r>
        <w:rPr>
          <w:rFonts w:eastAsia="Calibri"/>
          <w:noProof/>
          <w:color w:val="000000"/>
          <w:szCs w:val="22"/>
          <w:lang w:eastAsia="en-US"/>
        </w:rPr>
        <w:t xml:space="preserve">oré vážne ovplyvňujú úsudok, správanie alebo prispôsobivosť, </w:t>
      </w:r>
      <w:r>
        <w:rPr>
          <w:rFonts w:eastAsia="Calibri"/>
          <w:b/>
          <w:noProof/>
          <w:color w:val="000000"/>
          <w:szCs w:val="22"/>
          <w:lang w:eastAsia="en-US"/>
        </w:rPr>
        <w:t>[PN 226]</w:t>
      </w:r>
    </w:p>
    <w:p w:rsidR="006C6719" w:rsidRDefault="00614864">
      <w:pPr>
        <w:widowControl/>
        <w:spacing w:before="120" w:after="120" w:line="360" w:lineRule="auto"/>
        <w:ind w:left="1418"/>
        <w:rPr>
          <w:rFonts w:eastAsia="Calibri"/>
          <w:noProof/>
          <w:szCs w:val="22"/>
          <w:lang w:eastAsia="en-US"/>
        </w:rPr>
      </w:pPr>
      <w:r>
        <w:rPr>
          <w:rFonts w:eastAsia="Calibri"/>
          <w:noProof/>
          <w:color w:val="000000"/>
          <w:szCs w:val="22"/>
          <w:lang w:eastAsia="en-US"/>
        </w:rPr>
        <w:t xml:space="preserve">pokiaľ žiadosť nie je podložená posudkom oprávneného lekárskeho orgánu a, v prípade potreby, podmienená pravidelnými lekárskymi kontrolami.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2.</w:t>
      </w:r>
      <w:r>
        <w:rPr>
          <w:rFonts w:eastAsia="Calibri"/>
          <w:noProof/>
          <w:szCs w:val="22"/>
          <w:lang w:eastAsia="en-US"/>
        </w:rPr>
        <w:tab/>
        <w:t>Príslušný lekársky orgán dôkla</w:t>
      </w:r>
      <w:r>
        <w:rPr>
          <w:rFonts w:eastAsia="Calibri"/>
          <w:noProof/>
          <w:szCs w:val="22"/>
          <w:lang w:eastAsia="en-US"/>
        </w:rPr>
        <w:t>dne zváži všetky dodatočné riziká a nebezpečenstvá týkajúce sa vedenia vozidiel vymedzených v tejto skupine. </w:t>
      </w:r>
      <w:r>
        <w:rPr>
          <w:b/>
          <w:i/>
        </w:rPr>
        <w:t>Príslušný lekársky orgán môže stanoviť dočasné požiadavky alebo uložiť obmedzenia na vedenie vozidla.</w:t>
      </w:r>
      <w:r>
        <w:rPr>
          <w:rFonts w:eastAsia="Calibri"/>
          <w:b/>
          <w:noProof/>
          <w:szCs w:val="22"/>
          <w:lang w:eastAsia="en-US"/>
        </w:rPr>
        <w:t xml:space="preserve"> [PN 227]</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spacing w:before="120" w:after="120" w:line="360" w:lineRule="auto"/>
        <w:rPr>
          <w:rFonts w:eastAsia="Calibri"/>
          <w:bCs/>
          <w:noProof/>
          <w:color w:val="000000"/>
          <w:szCs w:val="22"/>
          <w:lang w:eastAsia="en-US"/>
        </w:rPr>
      </w:pPr>
      <w:r>
        <w:rPr>
          <w:rFonts w:eastAsia="Calibri"/>
          <w:noProof/>
          <w:color w:val="000000"/>
          <w:szCs w:val="22"/>
          <w:lang w:eastAsia="en-US"/>
        </w:rPr>
        <w:lastRenderedPageBreak/>
        <w:t>ALKOHOL</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14.</w:t>
      </w:r>
      <w:r>
        <w:rPr>
          <w:rFonts w:eastAsia="Calibri"/>
          <w:noProof/>
          <w:color w:val="000000"/>
          <w:szCs w:val="22"/>
          <w:lang w:eastAsia="en-US"/>
        </w:rPr>
        <w:tab/>
        <w:t>Požívanie alkoholu pr</w:t>
      </w:r>
      <w:r>
        <w:rPr>
          <w:rFonts w:eastAsia="Calibri"/>
          <w:noProof/>
          <w:color w:val="000000"/>
          <w:szCs w:val="22"/>
          <w:lang w:eastAsia="en-US"/>
        </w:rPr>
        <w:t>edstavuje vážne nebezpečenstvo pre bezpečnosť cestnej premávky. Vzhľadom na rozsah problému musia byť lekári veľmi ostražití.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1.</w:t>
      </w:r>
      <w:r>
        <w:rPr>
          <w:rFonts w:eastAsia="Calibri"/>
          <w:noProof/>
          <w:szCs w:val="22"/>
          <w:lang w:eastAsia="en-US"/>
        </w:rPr>
        <w:tab/>
        <w:t xml:space="preserve">Vodičské preukazy sa nevydajú ani neobnovia žiadateľom alebo vodičom, ktorí </w:t>
      </w:r>
      <w:r>
        <w:rPr>
          <w:rFonts w:eastAsia="Calibri"/>
          <w:strike/>
          <w:noProof/>
          <w:szCs w:val="22"/>
          <w:lang w:eastAsia="en-US"/>
        </w:rPr>
        <w:t>sú závislí od alkoholu</w:t>
      </w:r>
      <w:r>
        <w:rPr>
          <w:rFonts w:eastAsia="Calibri"/>
          <w:noProof/>
          <w:szCs w:val="22"/>
          <w:lang w:eastAsia="en-US"/>
        </w:rPr>
        <w:t xml:space="preserve"> </w:t>
      </w:r>
      <w:r>
        <w:rPr>
          <w:b/>
          <w:i/>
        </w:rPr>
        <w:t>trpia alkoholiz</w:t>
      </w:r>
      <w:r>
        <w:rPr>
          <w:b/>
          <w:i/>
        </w:rPr>
        <w:t>mom</w:t>
      </w:r>
      <w:r>
        <w:t xml:space="preserve"> </w:t>
      </w:r>
      <w:r>
        <w:rPr>
          <w:rFonts w:eastAsia="Calibri"/>
          <w:noProof/>
          <w:szCs w:val="22"/>
          <w:lang w:eastAsia="en-US"/>
        </w:rPr>
        <w:t xml:space="preserve">alebo ktorí nie sú schopní zdržať sa vedenia vozidla pod vplyvom alkoholu, pokiaľ sa neuplatnia primerané obmedzenia prostredníctvom </w:t>
      </w:r>
      <w:r>
        <w:rPr>
          <w:b/>
          <w:i/>
        </w:rPr>
        <w:t xml:space="preserve">ich účasti na </w:t>
      </w:r>
      <w:proofErr w:type="spellStart"/>
      <w:r>
        <w:rPr>
          <w:b/>
          <w:i/>
        </w:rPr>
        <w:t>odvykacích</w:t>
      </w:r>
      <w:proofErr w:type="spellEnd"/>
      <w:r>
        <w:rPr>
          <w:b/>
          <w:i/>
        </w:rPr>
        <w:t xml:space="preserve"> programoch vrátane monitorovania a lekárskeho dohľadu a používania </w:t>
      </w:r>
      <w:r>
        <w:rPr>
          <w:rFonts w:eastAsia="Calibri"/>
          <w:noProof/>
          <w:szCs w:val="22"/>
          <w:lang w:eastAsia="en-US"/>
        </w:rPr>
        <w:t>technológií umožňujúcich ko</w:t>
      </w:r>
      <w:r>
        <w:rPr>
          <w:rFonts w:eastAsia="Calibri"/>
          <w:noProof/>
          <w:szCs w:val="22"/>
          <w:lang w:eastAsia="en-US"/>
        </w:rPr>
        <w:t>mpenzovať závislosť (</w:t>
      </w:r>
      <w:r>
        <w:rPr>
          <w:rFonts w:eastAsia="Calibri"/>
          <w:strike/>
          <w:noProof/>
          <w:szCs w:val="22"/>
          <w:lang w:eastAsia="en-US"/>
        </w:rPr>
        <w:t>napr.</w:t>
      </w:r>
      <w:r>
        <w:rPr>
          <w:rFonts w:eastAsia="Calibri"/>
          <w:noProof/>
          <w:szCs w:val="22"/>
          <w:lang w:eastAsia="en-US"/>
        </w:rPr>
        <w:t xml:space="preserve"> </w:t>
      </w:r>
      <w:r>
        <w:rPr>
          <w:rFonts w:eastAsia="Calibri"/>
          <w:strike/>
          <w:noProof/>
          <w:szCs w:val="22"/>
          <w:lang w:eastAsia="en-US"/>
        </w:rPr>
        <w:t>povinné používanie</w:t>
      </w:r>
      <w:r>
        <w:rPr>
          <w:rFonts w:eastAsia="Calibri"/>
          <w:noProof/>
          <w:szCs w:val="22"/>
          <w:lang w:eastAsia="en-US"/>
        </w:rPr>
        <w:t xml:space="preserve"> </w:t>
      </w:r>
      <w:r>
        <w:rPr>
          <w:rFonts w:eastAsia="Calibri"/>
          <w:b/>
          <w:i/>
          <w:noProof/>
          <w:szCs w:val="22"/>
          <w:lang w:eastAsia="en-US"/>
        </w:rPr>
        <w:t>vrátane povinného používania</w:t>
      </w:r>
      <w:r>
        <w:rPr>
          <w:rFonts w:eastAsia="Calibri"/>
          <w:noProof/>
          <w:szCs w:val="22"/>
          <w:lang w:eastAsia="en-US"/>
        </w:rPr>
        <w:t xml:space="preserve"> alkoholového imobilizéra). </w:t>
      </w:r>
      <w:r>
        <w:rPr>
          <w:rFonts w:eastAsia="Calibri"/>
          <w:b/>
          <w:noProof/>
          <w:szCs w:val="22"/>
          <w:lang w:eastAsia="en-US"/>
        </w:rPr>
        <w:t>[PN 228]</w:t>
      </w:r>
    </w:p>
    <w:p w:rsidR="006C6719" w:rsidRDefault="00614864">
      <w:pPr>
        <w:widowControl/>
        <w:spacing w:before="120" w:after="120" w:line="360" w:lineRule="auto"/>
        <w:ind w:left="1418"/>
        <w:rPr>
          <w:rFonts w:eastAsia="Calibri"/>
          <w:b/>
          <w:noProof/>
          <w:szCs w:val="22"/>
          <w:lang w:eastAsia="en-US"/>
        </w:rPr>
      </w:pPr>
      <w:r>
        <w:rPr>
          <w:rFonts w:eastAsia="Calibri"/>
          <w:noProof/>
          <w:color w:val="000000"/>
          <w:szCs w:val="22"/>
          <w:lang w:eastAsia="en-US"/>
        </w:rPr>
        <w:t xml:space="preserve">Vodičské preukazy sa môžu vydať alebo obnoviť bez ďalších obmedzení žiadateľom a vodičom, ktorí boli v minulosti závislí od alkoholu a ktorí absolvovali preukázané obdobie abstinencie, na základe </w:t>
      </w:r>
      <w:r>
        <w:rPr>
          <w:b/>
          <w:i/>
        </w:rPr>
        <w:t xml:space="preserve">kladného </w:t>
      </w:r>
      <w:r>
        <w:rPr>
          <w:rFonts w:eastAsia="Calibri"/>
          <w:noProof/>
          <w:color w:val="000000"/>
          <w:szCs w:val="22"/>
          <w:lang w:eastAsia="en-US"/>
        </w:rPr>
        <w:t>posudku oprávneného lekárskeho orgánu a pravidelnýc</w:t>
      </w:r>
      <w:r>
        <w:rPr>
          <w:rFonts w:eastAsia="Calibri"/>
          <w:noProof/>
          <w:color w:val="000000"/>
          <w:szCs w:val="22"/>
          <w:lang w:eastAsia="en-US"/>
        </w:rPr>
        <w:t xml:space="preserve">h lekárskych kontrol </w:t>
      </w:r>
      <w:r>
        <w:rPr>
          <w:b/>
          <w:i/>
        </w:rPr>
        <w:t>príslušným lekárskym orgánom</w:t>
      </w:r>
      <w:r>
        <w:rPr>
          <w:rFonts w:eastAsia="Calibri"/>
          <w:noProof/>
          <w:color w:val="000000"/>
          <w:szCs w:val="22"/>
          <w:lang w:eastAsia="en-US"/>
        </w:rPr>
        <w:t xml:space="preserve">. </w:t>
      </w:r>
      <w:r>
        <w:rPr>
          <w:rFonts w:eastAsia="Calibri"/>
          <w:b/>
          <w:noProof/>
          <w:color w:val="000000"/>
          <w:szCs w:val="22"/>
          <w:lang w:eastAsia="en-US"/>
        </w:rPr>
        <w:t>[PN 229]</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lastRenderedPageBreak/>
        <w:t>Skupina 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Príslušný lekársky orgán dôkladne zváži všetky dodatočné riziká a nebezpečenstvá týkajúce sa vedenia vozidiel vymedzených v tejto skupine. </w:t>
      </w:r>
    </w:p>
    <w:p w:rsidR="006C6719" w:rsidRDefault="00614864">
      <w:pPr>
        <w:widowControl/>
        <w:spacing w:before="120" w:after="120" w:line="360" w:lineRule="auto"/>
        <w:ind w:left="1417" w:hanging="567"/>
        <w:rPr>
          <w:rFonts w:eastAsia="Calibri"/>
          <w:b/>
          <w:noProof/>
          <w:szCs w:val="22"/>
          <w:lang w:eastAsia="en-US"/>
        </w:rPr>
      </w:pPr>
      <w:r>
        <w:rPr>
          <w:b/>
          <w:i/>
        </w:rPr>
        <w:t>2a.</w:t>
      </w:r>
      <w:r>
        <w:rPr>
          <w:b/>
          <w:i/>
        </w:rPr>
        <w:tab/>
        <w:t>Príslušný lekársky orgán môže stano</w:t>
      </w:r>
      <w:r>
        <w:rPr>
          <w:b/>
          <w:i/>
        </w:rPr>
        <w:t>viť dočasné požiadavky a v náležitých prípadoch uložiť obmedzenia na vedenie vozidla.</w:t>
      </w:r>
      <w:r>
        <w:rPr>
          <w:rFonts w:eastAsia="Calibri"/>
          <w:b/>
          <w:noProof/>
          <w:szCs w:val="22"/>
          <w:lang w:eastAsia="en-US"/>
        </w:rPr>
        <w:t xml:space="preserve"> [PN 230]</w:t>
      </w:r>
    </w:p>
    <w:p w:rsidR="006C6719" w:rsidRDefault="00614864">
      <w:pPr>
        <w:keepNext/>
        <w:widowControl/>
        <w:spacing w:before="120" w:after="120" w:line="360" w:lineRule="auto"/>
        <w:rPr>
          <w:rFonts w:eastAsia="Calibri"/>
          <w:bCs/>
          <w:noProof/>
          <w:color w:val="000000"/>
          <w:szCs w:val="22"/>
          <w:lang w:eastAsia="en-US"/>
        </w:rPr>
      </w:pPr>
      <w:r>
        <w:rPr>
          <w:rFonts w:eastAsia="Calibri"/>
          <w:noProof/>
          <w:color w:val="000000"/>
          <w:szCs w:val="22"/>
          <w:lang w:eastAsia="en-US"/>
        </w:rPr>
        <w:t>DROGY A LIEKY</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15.</w:t>
      </w:r>
      <w:r>
        <w:rPr>
          <w:rFonts w:eastAsia="Calibri"/>
          <w:noProof/>
          <w:color w:val="000000"/>
          <w:szCs w:val="22"/>
          <w:lang w:eastAsia="en-US"/>
        </w:rPr>
        <w:tab/>
        <w:t>Na drogy a lieky sa vzťahujú tieto pravidlá.</w:t>
      </w:r>
    </w:p>
    <w:p w:rsidR="006C6719" w:rsidRDefault="00614864">
      <w:pPr>
        <w:widowControl/>
        <w:spacing w:before="120" w:after="120" w:line="360" w:lineRule="auto"/>
        <w:ind w:left="1418" w:hanging="567"/>
        <w:rPr>
          <w:rFonts w:eastAsia="Calibri"/>
          <w:noProof/>
          <w:szCs w:val="22"/>
          <w:lang w:eastAsia="en-US"/>
        </w:rPr>
      </w:pPr>
      <w:r>
        <w:rPr>
          <w:rFonts w:eastAsia="Calibri"/>
          <w:noProof/>
          <w:szCs w:val="22"/>
          <w:lang w:eastAsia="en-US"/>
        </w:rPr>
        <w:t>Zneužívanie:</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Vodičské preukazy bez ohľadu na skupinu sa nevydajú ani neobnovia žiadateľom aleb</w:t>
      </w:r>
      <w:r>
        <w:rPr>
          <w:rFonts w:eastAsia="Calibri"/>
          <w:noProof/>
          <w:szCs w:val="22"/>
          <w:lang w:eastAsia="en-US"/>
        </w:rPr>
        <w:t xml:space="preserve">o vodičom, ktorí sú </w:t>
      </w:r>
      <w:r>
        <w:rPr>
          <w:rFonts w:eastAsia="Calibri"/>
          <w:strike/>
          <w:noProof/>
          <w:szCs w:val="22"/>
          <w:lang w:eastAsia="en-US"/>
        </w:rPr>
        <w:t>závislí od</w:t>
      </w:r>
      <w:r>
        <w:rPr>
          <w:rFonts w:eastAsia="Calibri"/>
          <w:noProof/>
          <w:szCs w:val="22"/>
          <w:lang w:eastAsia="en-US"/>
        </w:rPr>
        <w:t xml:space="preserve"> </w:t>
      </w:r>
      <w:r>
        <w:rPr>
          <w:b/>
          <w:i/>
        </w:rPr>
        <w:t>užívateľmi</w:t>
      </w:r>
      <w:r>
        <w:t xml:space="preserve"> </w:t>
      </w:r>
      <w:r>
        <w:rPr>
          <w:rFonts w:eastAsia="Calibri"/>
          <w:noProof/>
          <w:szCs w:val="22"/>
          <w:lang w:eastAsia="en-US"/>
        </w:rPr>
        <w:t xml:space="preserve">psychotropných látok alebo </w:t>
      </w:r>
      <w:r>
        <w:rPr>
          <w:rFonts w:eastAsia="Calibri"/>
          <w:strike/>
          <w:noProof/>
          <w:szCs w:val="22"/>
          <w:lang w:eastAsia="en-US"/>
        </w:rPr>
        <w:t>ktorí nie sú od nich závislí, ale ich pravidelne nelegálne užívajú</w:t>
      </w:r>
      <w:r>
        <w:rPr>
          <w:rFonts w:eastAsia="Calibri"/>
          <w:noProof/>
          <w:szCs w:val="22"/>
          <w:lang w:eastAsia="en-US"/>
        </w:rPr>
        <w:t xml:space="preserve"> </w:t>
      </w:r>
      <w:r>
        <w:rPr>
          <w:b/>
          <w:i/>
        </w:rPr>
        <w:t>drog</w:t>
      </w:r>
      <w:r>
        <w:rPr>
          <w:rFonts w:eastAsia="Calibri"/>
          <w:noProof/>
          <w:szCs w:val="22"/>
          <w:lang w:eastAsia="en-US"/>
        </w:rPr>
        <w:t xml:space="preserve">. </w:t>
      </w:r>
      <w:r>
        <w:rPr>
          <w:rFonts w:eastAsia="Calibri"/>
          <w:b/>
          <w:noProof/>
          <w:szCs w:val="22"/>
          <w:lang w:eastAsia="en-US"/>
        </w:rPr>
        <w:t>[PN 231]</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lastRenderedPageBreak/>
        <w:t xml:space="preserve">Pravidelné užívanie: </w:t>
      </w:r>
    </w:p>
    <w:p w:rsidR="006C6719" w:rsidRDefault="00614864">
      <w:pPr>
        <w:widowControl/>
        <w:spacing w:before="120" w:after="120" w:line="360" w:lineRule="auto"/>
        <w:ind w:left="850"/>
        <w:rPr>
          <w:rFonts w:eastAsia="Calibri"/>
          <w:bCs/>
          <w:noProof/>
          <w:color w:val="000000"/>
          <w:szCs w:val="22"/>
          <w:lang w:eastAsia="en-US"/>
        </w:rPr>
      </w:pPr>
      <w:r>
        <w:rPr>
          <w:rFonts w:eastAsia="Calibri"/>
          <w:noProof/>
          <w:color w:val="000000"/>
          <w:szCs w:val="22"/>
          <w:lang w:eastAsia="en-US"/>
        </w:rPr>
        <w:t>Skupina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r>
      <w:r>
        <w:rPr>
          <w:rFonts w:eastAsia="Calibri"/>
          <w:noProof/>
          <w:szCs w:val="22"/>
          <w:lang w:eastAsia="en-US"/>
        </w:rPr>
        <w:t xml:space="preserve">Vodičský preukaz sa nevydá ani neobnoví žiadateľom alebo vodičom, ktorí </w:t>
      </w:r>
      <w:r>
        <w:rPr>
          <w:b/>
          <w:i/>
        </w:rPr>
        <w:t xml:space="preserve">nadmerne alebo </w:t>
      </w:r>
      <w:r>
        <w:rPr>
          <w:rFonts w:eastAsia="Calibri"/>
          <w:noProof/>
          <w:szCs w:val="22"/>
          <w:lang w:eastAsia="en-US"/>
        </w:rPr>
        <w:t xml:space="preserve">pravidelne užívajú psychotropné látky </w:t>
      </w:r>
      <w:r>
        <w:rPr>
          <w:rFonts w:eastAsia="Calibri"/>
          <w:strike/>
          <w:noProof/>
          <w:szCs w:val="22"/>
          <w:lang w:eastAsia="en-US"/>
        </w:rPr>
        <w:t>v akejkoľvek forme, ktoré môžu sťažiť schopnosť viesť vozidlo bezpečne</w:t>
      </w:r>
      <w:r>
        <w:rPr>
          <w:rFonts w:eastAsia="Calibri"/>
          <w:noProof/>
          <w:szCs w:val="22"/>
          <w:lang w:eastAsia="en-US"/>
        </w:rPr>
        <w:t xml:space="preserve">, ak </w:t>
      </w:r>
      <w:r>
        <w:rPr>
          <w:rFonts w:eastAsia="Calibri"/>
          <w:strike/>
          <w:noProof/>
          <w:szCs w:val="22"/>
          <w:lang w:eastAsia="en-US"/>
        </w:rPr>
        <w:t>sú</w:t>
      </w:r>
      <w:r>
        <w:rPr>
          <w:rFonts w:eastAsia="Calibri"/>
          <w:noProof/>
          <w:szCs w:val="22"/>
          <w:lang w:eastAsia="en-US"/>
        </w:rPr>
        <w:t xml:space="preserve"> </w:t>
      </w:r>
      <w:r>
        <w:rPr>
          <w:b/>
          <w:i/>
        </w:rPr>
        <w:t>má</w:t>
      </w:r>
      <w:r>
        <w:t xml:space="preserve"> </w:t>
      </w:r>
      <w:r>
        <w:rPr>
          <w:rFonts w:eastAsia="Calibri"/>
          <w:noProof/>
          <w:szCs w:val="22"/>
          <w:lang w:eastAsia="en-US"/>
        </w:rPr>
        <w:t xml:space="preserve">užité </w:t>
      </w:r>
      <w:r>
        <w:rPr>
          <w:rFonts w:eastAsia="Calibri"/>
          <w:strike/>
          <w:noProof/>
          <w:szCs w:val="22"/>
          <w:lang w:eastAsia="en-US"/>
        </w:rPr>
        <w:t>také množstvá, že majú nepriaznivý účinok</w:t>
      </w:r>
      <w:r>
        <w:rPr>
          <w:rFonts w:eastAsia="Calibri"/>
          <w:noProof/>
          <w:szCs w:val="22"/>
          <w:lang w:eastAsia="en-US"/>
        </w:rPr>
        <w:t xml:space="preserve"> </w:t>
      </w:r>
      <w:r>
        <w:rPr>
          <w:b/>
          <w:i/>
        </w:rPr>
        <w:t>mn</w:t>
      </w:r>
      <w:r>
        <w:rPr>
          <w:b/>
          <w:i/>
        </w:rPr>
        <w:t>ožstvo vplyv</w:t>
      </w:r>
      <w:r>
        <w:rPr>
          <w:rFonts w:eastAsia="Calibri"/>
          <w:noProof/>
          <w:szCs w:val="22"/>
          <w:lang w:eastAsia="en-US"/>
        </w:rPr>
        <w:t xml:space="preserve"> na vedenie vozidla. Toto sa vzťahuje na všetky ostatné lekárske výrobky alebo kombinácie lekárskych výrobkov, ktoré ovplyvňujú schopnosť vodiča viesť vozidlo. </w:t>
      </w:r>
    </w:p>
    <w:p w:rsidR="006C6719" w:rsidRDefault="00614864">
      <w:pPr>
        <w:widowControl/>
        <w:spacing w:before="120" w:after="120" w:line="360" w:lineRule="auto"/>
        <w:ind w:left="1417" w:firstLine="1"/>
        <w:rPr>
          <w:rFonts w:eastAsia="Calibri"/>
          <w:b/>
          <w:noProof/>
          <w:szCs w:val="22"/>
          <w:lang w:eastAsia="en-US"/>
        </w:rPr>
      </w:pPr>
      <w:r>
        <w:rPr>
          <w:b/>
          <w:i/>
        </w:rPr>
        <w:t xml:space="preserve">Príslušný lekársky orgán môže stanoviť dočasné požiadavky a v náležitých prípadoch </w:t>
      </w:r>
      <w:r>
        <w:rPr>
          <w:b/>
          <w:i/>
        </w:rPr>
        <w:t>uložiť obmedzenia na vedenie vozidla.</w:t>
      </w:r>
      <w:r>
        <w:rPr>
          <w:rFonts w:eastAsia="Calibri"/>
          <w:b/>
          <w:noProof/>
          <w:szCs w:val="22"/>
          <w:lang w:eastAsia="en-US"/>
        </w:rPr>
        <w:t xml:space="preserve"> [PN 232]</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3.</w:t>
      </w:r>
      <w:r>
        <w:rPr>
          <w:rFonts w:eastAsia="Calibri"/>
          <w:noProof/>
          <w:szCs w:val="22"/>
          <w:lang w:eastAsia="en-US"/>
        </w:rPr>
        <w:tab/>
        <w:t xml:space="preserve">Príslušný lekársky orgán dôkladne zváži všetky dodatočné riziká a nebezpečenstvá týkajúce sa vedenia vozidiel vymedzených v tejto skupine </w:t>
      </w:r>
      <w:r>
        <w:rPr>
          <w:b/>
          <w:i/>
        </w:rPr>
        <w:t xml:space="preserve">a môže stanoviť dočasné požiadavky a v náležitých </w:t>
      </w:r>
      <w:r>
        <w:rPr>
          <w:b/>
          <w:i/>
        </w:rPr>
        <w:t>prípadoch uložiť obmedzenia na vedenie vozidla</w:t>
      </w:r>
      <w:r>
        <w:rPr>
          <w:rFonts w:eastAsia="Calibri"/>
          <w:noProof/>
          <w:szCs w:val="22"/>
          <w:lang w:eastAsia="en-US"/>
        </w:rPr>
        <w:t xml:space="preserve">. </w:t>
      </w:r>
      <w:r>
        <w:rPr>
          <w:rFonts w:eastAsia="Calibri"/>
          <w:b/>
          <w:noProof/>
          <w:szCs w:val="22"/>
          <w:lang w:eastAsia="en-US"/>
        </w:rPr>
        <w:t>[PN 233]</w:t>
      </w:r>
    </w:p>
    <w:p w:rsidR="006C6719" w:rsidRDefault="00614864">
      <w:pPr>
        <w:widowControl/>
        <w:rPr>
          <w:rFonts w:eastAsia="Calibri"/>
          <w:b/>
          <w:noProof/>
          <w:color w:val="000000"/>
          <w:szCs w:val="22"/>
          <w:lang w:eastAsia="en-US"/>
        </w:rPr>
      </w:pPr>
      <w:r>
        <w:rPr>
          <w:rFonts w:eastAsia="Calibri"/>
          <w:b/>
          <w:noProof/>
          <w:color w:val="000000"/>
          <w:szCs w:val="22"/>
          <w:lang w:eastAsia="en-US"/>
        </w:rPr>
        <w:br w:type="page"/>
      </w:r>
    </w:p>
    <w:p w:rsidR="006C6719" w:rsidRDefault="00614864">
      <w:pPr>
        <w:widowControl/>
        <w:spacing w:before="120" w:after="120" w:line="360" w:lineRule="auto"/>
        <w:rPr>
          <w:rFonts w:eastAsia="Calibri"/>
          <w:bCs/>
          <w:noProof/>
          <w:color w:val="000000"/>
          <w:szCs w:val="22"/>
          <w:lang w:eastAsia="en-US"/>
        </w:rPr>
      </w:pPr>
      <w:r>
        <w:rPr>
          <w:rFonts w:eastAsia="Calibri"/>
          <w:noProof/>
          <w:color w:val="000000"/>
          <w:szCs w:val="22"/>
          <w:lang w:eastAsia="en-US"/>
        </w:rPr>
        <w:lastRenderedPageBreak/>
        <w:t>PORUCHY OBLIČIEK</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16.</w:t>
      </w:r>
      <w:r>
        <w:rPr>
          <w:rFonts w:eastAsia="Calibri"/>
          <w:noProof/>
          <w:color w:val="000000"/>
          <w:szCs w:val="22"/>
          <w:lang w:eastAsia="en-US"/>
        </w:rPr>
        <w:tab/>
        <w:t>Na žiadateľa s poruchami obličiek sa vzťahujú tieto pravidlá.</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Vodičské preukazy sa môžu vydať alebo obnoviť žiadateľom a vodičom s vážnymi obličkovými chorobami</w:t>
      </w:r>
      <w:r>
        <w:rPr>
          <w:rFonts w:eastAsia="Calibri"/>
          <w:noProof/>
          <w:szCs w:val="22"/>
          <w:lang w:eastAsia="en-US"/>
        </w:rPr>
        <w:t>, pričom vydanie podlieha posudku oprávneného lekárskeho orgánu a pravidelným lekárskym kontrolám.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 xml:space="preserve">Okrem výnimočných prípadov riadne zdôvodnených v posudku oprávneného lekárskeho orgánu a podmienených pravidelnými lekárskymi kontrolami sa </w:t>
      </w:r>
      <w:r>
        <w:rPr>
          <w:rFonts w:eastAsia="Calibri"/>
          <w:noProof/>
          <w:szCs w:val="22"/>
          <w:lang w:eastAsia="en-US"/>
        </w:rPr>
        <w:t>vodičské preukazy nevydajú ani neobnovia v prípade žiadateľov alebo vodičov s vážnou a nevyliečiteľnou nedostatočnou činnosťou obličiek. </w:t>
      </w:r>
    </w:p>
    <w:p w:rsidR="006C6719" w:rsidRDefault="00614864">
      <w:pPr>
        <w:widowControl/>
        <w:spacing w:before="120" w:after="120" w:line="360" w:lineRule="auto"/>
        <w:rPr>
          <w:rFonts w:eastAsia="Calibri"/>
          <w:bCs/>
          <w:noProof/>
          <w:color w:val="000000"/>
          <w:szCs w:val="22"/>
          <w:lang w:eastAsia="en-US"/>
        </w:rPr>
      </w:pPr>
      <w:r>
        <w:rPr>
          <w:rFonts w:eastAsia="Calibri"/>
          <w:noProof/>
          <w:color w:val="000000"/>
          <w:szCs w:val="22"/>
          <w:lang w:eastAsia="en-US"/>
        </w:rPr>
        <w:t>RÔZNE USTANOVENIA</w:t>
      </w:r>
      <w:r>
        <w:rPr>
          <w:rFonts w:eastAsia="Calibri"/>
          <w:noProof/>
          <w:szCs w:val="22"/>
          <w:lang w:eastAsia="en-US"/>
        </w:rPr>
        <w:t xml:space="preserve"> </w:t>
      </w:r>
    </w:p>
    <w:p w:rsidR="006C6719" w:rsidRDefault="00614864">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17.</w:t>
      </w:r>
      <w:r>
        <w:rPr>
          <w:rFonts w:eastAsia="Calibri"/>
          <w:noProof/>
          <w:color w:val="000000"/>
          <w:szCs w:val="22"/>
          <w:lang w:eastAsia="en-US"/>
        </w:rPr>
        <w:tab/>
        <w:t>Nasledujúce ustanovenia sa považujú za rôzne.</w:t>
      </w:r>
    </w:p>
    <w:p w:rsidR="006C6719" w:rsidRDefault="00614864">
      <w:pPr>
        <w:widowControl/>
        <w:rPr>
          <w:rFonts w:eastAsia="Calibri"/>
          <w:noProof/>
          <w:color w:val="000000"/>
          <w:szCs w:val="22"/>
          <w:lang w:eastAsia="en-US"/>
        </w:rPr>
      </w:pPr>
      <w:r>
        <w:rPr>
          <w:rFonts w:eastAsia="Calibri"/>
          <w:noProof/>
          <w:color w:val="000000"/>
          <w:szCs w:val="22"/>
          <w:lang w:eastAsia="en-US"/>
        </w:rPr>
        <w:br w:type="page"/>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lastRenderedPageBreak/>
        <w:t>Skupina 1:</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1.</w:t>
      </w:r>
      <w:r>
        <w:rPr>
          <w:rFonts w:eastAsia="Calibri"/>
          <w:noProof/>
          <w:szCs w:val="22"/>
          <w:lang w:eastAsia="en-US"/>
        </w:rPr>
        <w:tab/>
        <w:t>Vydanie alebo obnovenie vodičské</w:t>
      </w:r>
      <w:r>
        <w:rPr>
          <w:rFonts w:eastAsia="Calibri"/>
          <w:noProof/>
          <w:szCs w:val="22"/>
          <w:lang w:eastAsia="en-US"/>
        </w:rPr>
        <w:t>ho preukazu žiadateľom alebo vodičom, ktorí majú transplantovaný orgán alebo majú umelý implantát, ktorý ovplyvňuje ich schopnosť viesť vozidlo, podlieha posudku oprávneného lekárskeho orgánu a, ak je to potrebné, pravidelným lekárskym kontrolám. </w:t>
      </w:r>
    </w:p>
    <w:p w:rsidR="006C6719" w:rsidRDefault="00614864">
      <w:pPr>
        <w:widowControl/>
        <w:spacing w:before="120" w:after="120" w:line="360" w:lineRule="auto"/>
        <w:ind w:left="1418" w:hanging="567"/>
        <w:rPr>
          <w:rFonts w:eastAsia="Calibri"/>
          <w:bCs/>
          <w:noProof/>
          <w:color w:val="000000"/>
          <w:szCs w:val="22"/>
          <w:lang w:eastAsia="en-US"/>
        </w:rPr>
      </w:pPr>
      <w:r>
        <w:rPr>
          <w:rFonts w:eastAsia="Calibri"/>
          <w:noProof/>
          <w:color w:val="000000"/>
          <w:szCs w:val="22"/>
          <w:lang w:eastAsia="en-US"/>
        </w:rPr>
        <w:t>Skupina </w:t>
      </w:r>
      <w:r>
        <w:rPr>
          <w:rFonts w:eastAsia="Calibri"/>
          <w:noProof/>
          <w:color w:val="000000"/>
          <w:szCs w:val="22"/>
          <w:lang w:eastAsia="en-US"/>
        </w:rPr>
        <w:t>2:</w:t>
      </w:r>
      <w:r>
        <w:rPr>
          <w:rFonts w:eastAsia="Calibri"/>
          <w:noProof/>
          <w:szCs w:val="22"/>
          <w:lang w:eastAsia="en-US"/>
        </w:rPr>
        <w:t xml:space="preserve"> </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2.</w:t>
      </w:r>
      <w:r>
        <w:rPr>
          <w:rFonts w:eastAsia="Calibri"/>
          <w:noProof/>
          <w:szCs w:val="22"/>
          <w:lang w:eastAsia="en-US"/>
        </w:rPr>
        <w:tab/>
        <w:t>Príslušný lekársky orgán dôkladne zváži všetky dodatočné riziká a nebezpečenstvá týkajúce sa vedenia vozidiel vymedzených v tejto skupine. </w:t>
      </w:r>
    </w:p>
    <w:p w:rsidR="006C6719" w:rsidRDefault="00614864">
      <w:pPr>
        <w:widowControl/>
        <w:spacing w:before="120" w:after="120" w:line="360" w:lineRule="auto"/>
        <w:rPr>
          <w:rFonts w:eastAsia="Calibri"/>
          <w:noProof/>
          <w:szCs w:val="22"/>
          <w:lang w:eastAsia="en-US"/>
        </w:rPr>
      </w:pPr>
      <w:r>
        <w:rPr>
          <w:rFonts w:eastAsia="Calibri"/>
          <w:noProof/>
          <w:color w:val="000000"/>
          <w:szCs w:val="22"/>
          <w:lang w:eastAsia="en-US"/>
        </w:rPr>
        <w:t>Vo všeobecnosti, ak žiadatelia alebo vodiči majú akúkoľvek poruchu, ktorá nie je uvedená v bodoch tejto prílo</w:t>
      </w:r>
      <w:r>
        <w:rPr>
          <w:rFonts w:eastAsia="Calibri"/>
          <w:noProof/>
          <w:color w:val="000000"/>
          <w:szCs w:val="22"/>
          <w:lang w:eastAsia="en-US"/>
        </w:rPr>
        <w:t>hy, ale sú vzhľadom na ňu alebo jej následky funkčne nespôsobilí, a tým ohrozujú bezpečnosť cestnej premávky, vodičský preukaz sa nevydá ani neobnoví, pokiaľ sa žiadosť nedoplní posudkom oprávneného lekárskeho orgánu a ak sa v prípade potreby nepodrobia pr</w:t>
      </w:r>
      <w:r>
        <w:rPr>
          <w:rFonts w:eastAsia="Calibri"/>
          <w:noProof/>
          <w:color w:val="000000"/>
          <w:szCs w:val="22"/>
          <w:lang w:eastAsia="en-US"/>
        </w:rPr>
        <w:t>avidelným lekárskym kontrolám.</w:t>
      </w:r>
    </w:p>
    <w:p w:rsidR="006C6719" w:rsidRDefault="006C6719">
      <w:pPr>
        <w:widowControl/>
        <w:spacing w:before="120" w:after="120"/>
        <w:jc w:val="both"/>
        <w:rPr>
          <w:rFonts w:eastAsia="Calibri"/>
          <w:noProof/>
          <w:szCs w:val="22"/>
          <w:lang w:eastAsia="en-US"/>
        </w:rPr>
        <w:sectPr w:rsidR="006C6719">
          <w:pgSz w:w="11907" w:h="16839"/>
          <w:pgMar w:top="1134" w:right="1417" w:bottom="1134" w:left="1417" w:header="709" w:footer="709" w:gutter="0"/>
          <w:cols w:space="720"/>
          <w:docGrid w:linePitch="360"/>
        </w:sectPr>
      </w:pPr>
    </w:p>
    <w:p w:rsidR="006C6719" w:rsidRDefault="00614864">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PRÍLOHA IV</w:t>
      </w:r>
    </w:p>
    <w:p w:rsidR="006C6719" w:rsidRDefault="00614864">
      <w:pPr>
        <w:widowControl/>
        <w:spacing w:after="360" w:line="360" w:lineRule="auto"/>
        <w:rPr>
          <w:rFonts w:eastAsia="Calibri"/>
          <w:bCs/>
          <w:caps/>
          <w:noProof/>
          <w:szCs w:val="22"/>
          <w:lang w:eastAsia="en-US"/>
        </w:rPr>
      </w:pPr>
      <w:r>
        <w:rPr>
          <w:rFonts w:eastAsia="Calibri"/>
          <w:caps/>
          <w:noProof/>
          <w:szCs w:val="22"/>
          <w:lang w:eastAsia="en-US"/>
        </w:rPr>
        <w:t>MINIMÁLNE NORMY PRE OSOBY, KTORÉ VEDÚ PRAKTICKÉ VODIČSKÉ SKÚŠKY</w:t>
      </w:r>
    </w:p>
    <w:p w:rsidR="006C6719" w:rsidRDefault="00614864">
      <w:pPr>
        <w:widowControl/>
        <w:tabs>
          <w:tab w:val="left" w:pos="850"/>
        </w:tabs>
        <w:spacing w:before="120" w:after="120" w:line="360" w:lineRule="auto"/>
        <w:ind w:left="850" w:hanging="850"/>
        <w:rPr>
          <w:rFonts w:eastAsia="Calibri"/>
          <w:bCs/>
          <w:noProof/>
          <w:szCs w:val="22"/>
          <w:lang w:eastAsia="en-US"/>
        </w:rPr>
      </w:pPr>
      <w:r>
        <w:rPr>
          <w:rFonts w:eastAsia="Calibri"/>
          <w:bCs/>
          <w:noProof/>
          <w:szCs w:val="22"/>
          <w:lang w:eastAsia="en-US"/>
        </w:rPr>
        <w:t>1.</w:t>
      </w:r>
      <w:r>
        <w:rPr>
          <w:rFonts w:eastAsia="Calibri"/>
          <w:bCs/>
          <w:noProof/>
          <w:szCs w:val="22"/>
          <w:lang w:eastAsia="en-US"/>
        </w:rPr>
        <w:tab/>
      </w:r>
      <w:r>
        <w:rPr>
          <w:rFonts w:eastAsia="Calibri"/>
          <w:noProof/>
          <w:szCs w:val="22"/>
          <w:lang w:eastAsia="en-US"/>
        </w:rPr>
        <w:t>Spôsobilosti, ktoré vyžaduje skúšajúci</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 xml:space="preserve">Osoba, ktorá je oprávnená viesť praktické hodnotenie vodičského výkonu uchádzača </w:t>
      </w:r>
      <w:r>
        <w:rPr>
          <w:rFonts w:eastAsia="Calibri"/>
          <w:noProof/>
          <w:szCs w:val="22"/>
          <w:lang w:eastAsia="en-US"/>
        </w:rPr>
        <w:t>v poháňanom vozidle, má vedomosti a zručnosti o otázkach uvedených v bode 1 ods. 2 až 6 a rozumie im.</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Spôsobilosť skúšajúceho je relevantná pre hodnotenie výkonu žiadateľa a je na ňu potrebné oprávnenie pre tú skupinu vodičského preukazu, na ktorú sa vo</w:t>
      </w:r>
      <w:r>
        <w:rPr>
          <w:rFonts w:eastAsia="Calibri"/>
          <w:noProof/>
          <w:szCs w:val="22"/>
          <w:lang w:eastAsia="en-US"/>
        </w:rPr>
        <w:t>dičská skúška vykonáva.</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Vedomosti a porozumenie vedenia vozidla a hodnotenie:</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teória správania pri vedení vozidla;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vnímanie nebezpečenstva a predchádzanie nehodám;</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c)</w:t>
      </w:r>
      <w:r>
        <w:rPr>
          <w:rFonts w:eastAsia="Calibri"/>
          <w:noProof/>
          <w:szCs w:val="22"/>
          <w:lang w:eastAsia="en-US"/>
        </w:rPr>
        <w:tab/>
        <w:t>učebné osnovy podľa noriem pre vodičské skúšky;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 xml:space="preserve">požiadavky vodičskej </w:t>
      </w:r>
      <w:r>
        <w:rPr>
          <w:rFonts w:eastAsia="Calibri"/>
          <w:noProof/>
          <w:szCs w:val="22"/>
          <w:lang w:eastAsia="en-US"/>
        </w:rPr>
        <w:t>skúšky;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príslušné právne predpisy v oblasti cestnej dopravy vrátane príslušných právnych predpisov Únie a výkladových usmernení;</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hodnotenie teórie a techník;</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g)</w:t>
      </w:r>
      <w:r>
        <w:rPr>
          <w:rFonts w:eastAsia="Calibri"/>
          <w:noProof/>
          <w:szCs w:val="22"/>
          <w:lang w:eastAsia="en-US"/>
        </w:rPr>
        <w:tab/>
        <w:t>defenzívne vedenie vozidla;</w:t>
      </w:r>
    </w:p>
    <w:p w:rsidR="006C6719" w:rsidRDefault="00614864">
      <w:pPr>
        <w:widowControl/>
        <w:spacing w:before="120" w:after="120" w:line="360" w:lineRule="auto"/>
        <w:ind w:left="1417" w:hanging="567"/>
        <w:rPr>
          <w:rFonts w:eastAsia="Calibri"/>
          <w:b/>
          <w:noProof/>
          <w:szCs w:val="22"/>
          <w:lang w:eastAsia="en-US"/>
        </w:rPr>
      </w:pPr>
      <w:r>
        <w:rPr>
          <w:b/>
          <w:i/>
        </w:rPr>
        <w:t>ga)</w:t>
      </w:r>
      <w:r>
        <w:rPr>
          <w:b/>
          <w:i/>
        </w:rPr>
        <w:tab/>
        <w:t>pochopenie zraniteľnosti nemotorizovaných účastníkov cest</w:t>
      </w:r>
      <w:r>
        <w:rPr>
          <w:b/>
          <w:i/>
        </w:rPr>
        <w:t>nej premávky a venovanie pozornosti tejto zraniteľnosti.</w:t>
      </w:r>
      <w:r>
        <w:rPr>
          <w:rFonts w:eastAsia="Calibri"/>
          <w:b/>
          <w:noProof/>
          <w:szCs w:val="22"/>
          <w:lang w:eastAsia="en-US"/>
        </w:rPr>
        <w:t xml:space="preserve"> [PN 234]</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Hodnotenie zručností:</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schopnosť pozorne si všímať, sledovať a hodnotiť celkový výkon uchádzača, najmä:</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správne a komplexné rozpoznávanie nebezpečných situácií;</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presné určenie prí</w:t>
      </w:r>
      <w:r>
        <w:rPr>
          <w:rFonts w:eastAsia="Calibri"/>
          <w:noProof/>
          <w:szCs w:val="22"/>
          <w:lang w:eastAsia="en-US"/>
        </w:rPr>
        <w:t>činy a pravdepodobného účinku takýchto situácií;</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d)</w:t>
      </w:r>
      <w:r>
        <w:rPr>
          <w:rFonts w:eastAsia="Calibri"/>
          <w:noProof/>
          <w:szCs w:val="22"/>
          <w:lang w:eastAsia="en-US"/>
        </w:rPr>
        <w:tab/>
        <w:t>preukazovanie spôsobilosti a rozpoznávanie chýb;</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jednotnosť a súlad hodnotenia;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f)</w:t>
      </w:r>
      <w:r>
        <w:rPr>
          <w:rFonts w:eastAsia="Calibri"/>
          <w:noProof/>
          <w:szCs w:val="22"/>
          <w:lang w:eastAsia="en-US"/>
        </w:rPr>
        <w:tab/>
        <w:t>rýchle prijímanie informácií a schopnosť vyberať dôležité body;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g)</w:t>
      </w:r>
      <w:r>
        <w:rPr>
          <w:rFonts w:eastAsia="Calibri"/>
          <w:noProof/>
          <w:szCs w:val="22"/>
          <w:lang w:eastAsia="en-US"/>
        </w:rPr>
        <w:tab/>
        <w:t xml:space="preserve">dívať sa dopredu, určiť prípadné problémy </w:t>
      </w:r>
      <w:r>
        <w:rPr>
          <w:rFonts w:eastAsia="Calibri"/>
          <w:noProof/>
          <w:szCs w:val="22"/>
          <w:lang w:eastAsia="en-US"/>
        </w:rPr>
        <w:t>a vypracovať stratégie, ako ich riešiť;</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h)</w:t>
      </w:r>
      <w:r>
        <w:rPr>
          <w:rFonts w:eastAsia="Calibri"/>
          <w:noProof/>
          <w:szCs w:val="22"/>
          <w:lang w:eastAsia="en-US"/>
        </w:rPr>
        <w:tab/>
        <w:t>zabezpečiť včasnú a konštruktívnu spätnú väzbu.</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5.</w:t>
      </w:r>
      <w:r>
        <w:rPr>
          <w:rFonts w:eastAsia="Calibri"/>
          <w:noProof/>
          <w:szCs w:val="22"/>
          <w:lang w:eastAsia="en-US"/>
        </w:rPr>
        <w:tab/>
        <w:t>Osobné vodičské zručnosti:</w:t>
      </w:r>
    </w:p>
    <w:p w:rsidR="006C6719" w:rsidRDefault="00614864">
      <w:pPr>
        <w:widowControl/>
        <w:spacing w:before="120" w:after="120" w:line="360" w:lineRule="auto"/>
        <w:ind w:left="851"/>
        <w:rPr>
          <w:rFonts w:eastAsia="Calibri"/>
          <w:noProof/>
          <w:szCs w:val="22"/>
          <w:lang w:eastAsia="en-US"/>
        </w:rPr>
      </w:pPr>
      <w:r>
        <w:rPr>
          <w:rFonts w:eastAsia="Calibri"/>
          <w:noProof/>
          <w:szCs w:val="22"/>
          <w:lang w:eastAsia="en-US"/>
        </w:rPr>
        <w:t>Osoba oprávnená viesť praktickú skúšku pre skupinu vodičského preukazu musí byť schopná viesť tento typ poháňaného vozidla na zodpoveda</w:t>
      </w:r>
      <w:r>
        <w:rPr>
          <w:rFonts w:eastAsia="Calibri"/>
          <w:noProof/>
          <w:szCs w:val="22"/>
          <w:lang w:eastAsia="en-US"/>
        </w:rPr>
        <w:t>júcej vysokej úrovni.</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6.</w:t>
      </w:r>
      <w:r>
        <w:rPr>
          <w:rFonts w:eastAsia="Calibri"/>
          <w:noProof/>
          <w:szCs w:val="22"/>
          <w:lang w:eastAsia="en-US"/>
        </w:rPr>
        <w:tab/>
        <w:t>Kvalita služieb:</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stanoviť a oznámiť, čo môže uchádzač v priebehu skúšky očakávať;</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zreteľne komunikovať, zvoliť obsah, štýl a jazyk vhodný pre poslucháčov a okolnosti a zaoberať sa otázkami uchádzačov;</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poskytnúť jasnú spätn</w:t>
      </w:r>
      <w:r>
        <w:rPr>
          <w:rFonts w:eastAsia="Calibri"/>
          <w:noProof/>
          <w:szCs w:val="22"/>
          <w:lang w:eastAsia="en-US"/>
        </w:rPr>
        <w:t>ú väzbu o výsledku;</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d)</w:t>
      </w:r>
      <w:r>
        <w:rPr>
          <w:rFonts w:eastAsia="Calibri"/>
          <w:noProof/>
          <w:szCs w:val="22"/>
          <w:lang w:eastAsia="en-US"/>
        </w:rPr>
        <w:tab/>
        <w:t>správať sa k uchádzačom s úctou a nerobiť medzi nimi rozdiely.</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7.</w:t>
      </w:r>
      <w:r>
        <w:rPr>
          <w:rFonts w:eastAsia="Calibri"/>
          <w:noProof/>
          <w:szCs w:val="22"/>
          <w:lang w:eastAsia="en-US"/>
        </w:rPr>
        <w:tab/>
        <w:t>Vedomosti o technických a fyzikálnych charakteristikách vozidla: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vedomosti o technických charakteristikách vozidla, ako je riadenie, pneumatiky, brzdy, svetlá, os</w:t>
      </w:r>
      <w:r>
        <w:rPr>
          <w:rFonts w:eastAsia="Calibri"/>
          <w:noProof/>
          <w:szCs w:val="22"/>
          <w:lang w:eastAsia="en-US"/>
        </w:rPr>
        <w:t>obitne pre motocykle a pre ťažké vozidlá;</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bezpečnosť pri nakladaní;</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vedomosti o fyzikálnych charakteristikách vozidla, ako sú rýchlosť, trenie, dynamika, sila.</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8.</w:t>
      </w:r>
      <w:r>
        <w:rPr>
          <w:rFonts w:eastAsia="Calibri"/>
          <w:noProof/>
          <w:szCs w:val="22"/>
          <w:lang w:eastAsia="en-US"/>
        </w:rPr>
        <w:tab/>
        <w:t>Vedenie vozidla hospodárne z hľadiska spotreby paliva/energie a ohľaduplne voči životné</w:t>
      </w:r>
      <w:r>
        <w:rPr>
          <w:rFonts w:eastAsia="Calibri"/>
          <w:noProof/>
          <w:szCs w:val="22"/>
          <w:lang w:eastAsia="en-US"/>
        </w:rPr>
        <w:t>mu prostrediu.</w:t>
      </w:r>
    </w:p>
    <w:p w:rsidR="006C6719" w:rsidRDefault="00614864">
      <w:pPr>
        <w:widowControl/>
        <w:tabs>
          <w:tab w:val="left" w:pos="850"/>
        </w:tabs>
        <w:spacing w:before="120" w:after="120" w:line="360" w:lineRule="auto"/>
        <w:ind w:left="850" w:hanging="850"/>
        <w:rPr>
          <w:rFonts w:eastAsia="Calibri"/>
          <w:bCs/>
          <w:noProof/>
          <w:szCs w:val="22"/>
          <w:lang w:eastAsia="en-US"/>
        </w:rPr>
      </w:pPr>
      <w:r>
        <w:rPr>
          <w:rFonts w:eastAsia="Calibri"/>
          <w:bCs/>
          <w:noProof/>
          <w:szCs w:val="22"/>
          <w:lang w:eastAsia="en-US"/>
        </w:rPr>
        <w:t>2.</w:t>
      </w:r>
      <w:r>
        <w:rPr>
          <w:rFonts w:eastAsia="Calibri"/>
          <w:bCs/>
          <w:noProof/>
          <w:szCs w:val="22"/>
          <w:lang w:eastAsia="en-US"/>
        </w:rPr>
        <w:tab/>
      </w:r>
      <w:r>
        <w:rPr>
          <w:rFonts w:eastAsia="Calibri"/>
          <w:noProof/>
          <w:szCs w:val="22"/>
          <w:lang w:eastAsia="en-US"/>
        </w:rPr>
        <w:t>Všeobecné podmienky</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Skúšajúci pre vodičské preukazy skupiny B:</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je držiteľom vodičského preukazu skupiny B najmenej tri roky;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má najmenej 23 rokov;</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 xml:space="preserve">má úspešne ukončenú základnú kvalifikáciu stanovenú v bode 3 tejto prílohy </w:t>
      </w:r>
      <w:r>
        <w:rPr>
          <w:rFonts w:eastAsia="Calibri"/>
          <w:noProof/>
          <w:szCs w:val="22"/>
          <w:lang w:eastAsia="en-US"/>
        </w:rPr>
        <w:t>a následne dodržiava opatrenia na zabezpečenie kvality a pravidelného výcviku stanovené v bode 4 tejto prílohy;</w:t>
      </w:r>
    </w:p>
    <w:p w:rsidR="006C6719" w:rsidRDefault="00614864">
      <w:pPr>
        <w:widowControl/>
        <w:rPr>
          <w:rFonts w:eastAsia="Calibri"/>
          <w:noProof/>
          <w:szCs w:val="22"/>
          <w:shd w:val="clear" w:color="auto" w:fill="FFFFFF"/>
          <w:lang w:eastAsia="en-US"/>
        </w:rPr>
      </w:pPr>
      <w:r>
        <w:rPr>
          <w:rFonts w:eastAsia="Calibri"/>
          <w:noProof/>
          <w:szCs w:val="22"/>
          <w:shd w:val="clear" w:color="auto" w:fill="FFFFFF"/>
          <w:lang w:eastAsia="en-US"/>
        </w:rPr>
        <w:br w:type="page"/>
      </w:r>
    </w:p>
    <w:p w:rsidR="006C6719" w:rsidRDefault="00614864">
      <w:pPr>
        <w:widowControl/>
        <w:spacing w:before="120" w:after="120" w:line="360" w:lineRule="auto"/>
        <w:ind w:left="1417" w:hanging="567"/>
        <w:rPr>
          <w:rFonts w:eastAsia="Calibri"/>
          <w:noProof/>
          <w:szCs w:val="24"/>
          <w:lang w:eastAsia="en-US"/>
        </w:rPr>
      </w:pPr>
      <w:r>
        <w:rPr>
          <w:rFonts w:eastAsia="Calibri"/>
          <w:noProof/>
          <w:szCs w:val="22"/>
          <w:shd w:val="clear" w:color="auto" w:fill="FFFFFF"/>
          <w:lang w:eastAsia="en-US"/>
        </w:rPr>
        <w:lastRenderedPageBreak/>
        <w:t>d)</w:t>
      </w:r>
      <w:r>
        <w:rPr>
          <w:rFonts w:eastAsia="Calibri"/>
          <w:noProof/>
          <w:szCs w:val="22"/>
          <w:shd w:val="clear" w:color="auto" w:fill="FFFFFF"/>
          <w:lang w:eastAsia="en-US"/>
        </w:rPr>
        <w:tab/>
        <w:t>má ukončené odborné vzdelanie, ktoré vedie aspoň k ukončeniu 3. stupňa vymedzeného v Medzinárodnej štandardnej klasifikácii vzdelávania (IS</w:t>
      </w:r>
      <w:r>
        <w:rPr>
          <w:rFonts w:eastAsia="Calibri"/>
          <w:noProof/>
          <w:szCs w:val="22"/>
          <w:shd w:val="clear" w:color="auto" w:fill="FFFFFF"/>
          <w:lang w:eastAsia="en-US"/>
        </w:rPr>
        <w:t>CED)</w:t>
      </w:r>
      <w:r>
        <w:rPr>
          <w:rFonts w:eastAsia="Calibri"/>
          <w:noProof/>
          <w:szCs w:val="24"/>
          <w:vertAlign w:val="superscript"/>
          <w:lang w:eastAsia="en-US"/>
        </w:rPr>
        <w:footnoteReference w:id="30"/>
      </w:r>
      <w:r>
        <w:rPr>
          <w:rFonts w:eastAsia="Calibri"/>
          <w:noProof/>
          <w:szCs w:val="22"/>
          <w:lang w:eastAsia="en-US"/>
        </w:rPr>
        <w:t>;</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nevykonáva zároveň obchodnú činnosť ako súkromný učiteľ autoškoly.</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2.</w:t>
      </w:r>
      <w:r>
        <w:rPr>
          <w:rFonts w:eastAsia="Calibri"/>
          <w:noProof/>
          <w:szCs w:val="22"/>
          <w:lang w:eastAsia="en-US"/>
        </w:rPr>
        <w:tab/>
        <w:t>Skúšajúci pre vodičské preukazy ostatných skupín:</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je držiteľom vodičského preukazu príslušnej skupiny alebo má mať rovnocenné vedomosti získané prostredníctvom primeranej od</w:t>
      </w:r>
      <w:r>
        <w:rPr>
          <w:rFonts w:eastAsia="Calibri"/>
          <w:noProof/>
          <w:szCs w:val="22"/>
          <w:lang w:eastAsia="en-US"/>
        </w:rPr>
        <w:t>bornej kvalifikácie;</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má úspešne ukončenú základnú kvalifikáciu stanovenú v bode 3 tejto prílohy a následne dodržiava opatrenia na zabezpečenie kvality a pravidelného výcviku stanovené v bode 4 tejto prílohy;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 xml:space="preserve">je kvalifikovaným skúšajúcim pre vodičské </w:t>
      </w:r>
      <w:r>
        <w:rPr>
          <w:rFonts w:eastAsia="Calibri"/>
          <w:noProof/>
          <w:szCs w:val="22"/>
          <w:lang w:eastAsia="en-US"/>
        </w:rPr>
        <w:t>preukazy skupiny B najmenej tri roky; od tejto lehoty sa môže upustiť za predpokladu, že príslušný skúšajúci môže predložiť dôkaz o:</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985" w:hanging="567"/>
        <w:rPr>
          <w:rFonts w:eastAsia="Calibri"/>
          <w:noProof/>
          <w:szCs w:val="22"/>
          <w:lang w:eastAsia="en-US"/>
        </w:rPr>
      </w:pPr>
      <w:r>
        <w:rPr>
          <w:rFonts w:eastAsia="Calibri"/>
          <w:noProof/>
          <w:szCs w:val="22"/>
          <w:lang w:eastAsia="en-US"/>
        </w:rPr>
        <w:lastRenderedPageBreak/>
        <w:t xml:space="preserve">i) </w:t>
      </w:r>
      <w:r>
        <w:rPr>
          <w:rFonts w:eastAsia="Calibri"/>
          <w:noProof/>
          <w:szCs w:val="22"/>
          <w:lang w:eastAsia="en-US"/>
        </w:rPr>
        <w:tab/>
        <w:t>aspoň piatich rokoch vedenia vozidla v príslušnej skupine alebo</w:t>
      </w:r>
    </w:p>
    <w:p w:rsidR="006C6719" w:rsidRDefault="00614864">
      <w:pPr>
        <w:widowControl/>
        <w:spacing w:before="120" w:after="120" w:line="360" w:lineRule="auto"/>
        <w:ind w:left="1985" w:hanging="567"/>
        <w:rPr>
          <w:rFonts w:eastAsia="Calibri"/>
          <w:noProof/>
          <w:szCs w:val="22"/>
          <w:lang w:eastAsia="en-US"/>
        </w:rPr>
      </w:pPr>
      <w:r>
        <w:rPr>
          <w:rFonts w:eastAsia="Calibri"/>
          <w:noProof/>
          <w:szCs w:val="22"/>
          <w:lang w:eastAsia="en-US"/>
        </w:rPr>
        <w:t xml:space="preserve">ii) </w:t>
      </w:r>
      <w:r>
        <w:rPr>
          <w:rFonts w:eastAsia="Calibri"/>
          <w:noProof/>
          <w:szCs w:val="22"/>
          <w:lang w:eastAsia="en-US"/>
        </w:rPr>
        <w:tab/>
        <w:t>teoretickom a praktickom hodnotení vodičských sc</w:t>
      </w:r>
      <w:r>
        <w:rPr>
          <w:rFonts w:eastAsia="Calibri"/>
          <w:noProof/>
          <w:szCs w:val="22"/>
          <w:lang w:eastAsia="en-US"/>
        </w:rPr>
        <w:t>hopností vyššej triedy, než je tá, ktorá sa vyžaduje na získanie vodičského preukazu, čím sa uvedená požiadavka stáva zbytočnou;</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t xml:space="preserve">má ukončené odborné vzdelanie, ktoré vedie aspoň k ukončeniu 3. stupňa vymedzeného v Medzinárodnej štandardnej klasifikácii </w:t>
      </w:r>
      <w:r>
        <w:rPr>
          <w:rFonts w:eastAsia="Calibri"/>
          <w:noProof/>
          <w:szCs w:val="22"/>
          <w:lang w:eastAsia="en-US"/>
        </w:rPr>
        <w:t>vzdelávania (ISCED);</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nevykonáva zároveň obchodnú činnosť ako súkromný učiteľ autoškoly.</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3.</w:t>
      </w:r>
      <w:r>
        <w:rPr>
          <w:rFonts w:eastAsia="Calibri"/>
          <w:noProof/>
          <w:szCs w:val="22"/>
          <w:lang w:eastAsia="en-US"/>
        </w:rPr>
        <w:tab/>
        <w:t>Rovnocennosť</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 xml:space="preserve">Členské štáty môžu oprávniť skúšajúceho na to, aby viedol vodičské skúšky pre skupiny AM, A1, A2 a A po absolvovaní základnej kvalifikácie, ktorá </w:t>
      </w:r>
      <w:r>
        <w:rPr>
          <w:rFonts w:eastAsia="Calibri"/>
          <w:noProof/>
          <w:szCs w:val="22"/>
          <w:lang w:eastAsia="en-US"/>
        </w:rPr>
        <w:t>je pre jednu z týchto skupín predpísaná v bode 3.</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t>Členské štáty môžu oprávniť skúšajúceho, aby viedol vodičské skúšky pre skupiny C1, C, D1 a D po absolvovaní základnej kvalifikácie, ktorá je pre jednu z týchto skupín predpísaná v bode 3.</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Členské š</w:t>
      </w:r>
      <w:r>
        <w:rPr>
          <w:rFonts w:eastAsia="Calibri"/>
          <w:noProof/>
          <w:szCs w:val="22"/>
          <w:lang w:eastAsia="en-US"/>
        </w:rPr>
        <w:t>táty môžu oprávniť skúšajúceho, aby viedol vodičské skúšky na skupiny BE, C1E, CE, D1E a DE po absolvovaní základnej kvalifikácie, ktorá je pre jednu z týchto skupín predpísaná v bode 3.</w:t>
      </w:r>
    </w:p>
    <w:p w:rsidR="006C6719" w:rsidRDefault="00614864">
      <w:pPr>
        <w:widowControl/>
        <w:tabs>
          <w:tab w:val="left" w:pos="850"/>
        </w:tabs>
        <w:spacing w:before="120" w:after="120" w:line="360" w:lineRule="auto"/>
        <w:ind w:left="850" w:hanging="850"/>
        <w:rPr>
          <w:rFonts w:eastAsia="Calibri"/>
          <w:bCs/>
          <w:noProof/>
          <w:szCs w:val="22"/>
          <w:lang w:eastAsia="en-US"/>
        </w:rPr>
      </w:pPr>
      <w:r>
        <w:rPr>
          <w:rFonts w:eastAsia="Calibri"/>
          <w:bCs/>
          <w:noProof/>
          <w:szCs w:val="22"/>
          <w:lang w:eastAsia="en-US"/>
        </w:rPr>
        <w:t>3.</w:t>
      </w:r>
      <w:r>
        <w:rPr>
          <w:rFonts w:eastAsia="Calibri"/>
          <w:bCs/>
          <w:noProof/>
          <w:szCs w:val="22"/>
          <w:lang w:eastAsia="en-US"/>
        </w:rPr>
        <w:tab/>
      </w:r>
      <w:r>
        <w:rPr>
          <w:rFonts w:eastAsia="Calibri"/>
          <w:noProof/>
          <w:szCs w:val="22"/>
          <w:lang w:eastAsia="en-US"/>
        </w:rPr>
        <w:t>Základná kvalifikácia</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1.</w:t>
      </w:r>
      <w:r>
        <w:rPr>
          <w:rFonts w:eastAsia="Calibri"/>
          <w:noProof/>
          <w:szCs w:val="22"/>
          <w:lang w:eastAsia="en-US"/>
        </w:rPr>
        <w:tab/>
        <w:t>Základný odborný výcvik</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 xml:space="preserve">Skôr než môže </w:t>
      </w:r>
      <w:r>
        <w:rPr>
          <w:rFonts w:eastAsia="Calibri"/>
          <w:noProof/>
          <w:szCs w:val="22"/>
          <w:lang w:eastAsia="en-US"/>
        </w:rPr>
        <w:t>byť osoba oprávnená viesť vodičské skúšky, táto osoba uspokojivo dokončí taký výcvikový program, ktorý môžu členské štáty určiť s cieľom získať spôsobilosti uvedené v bode 1.</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Členské štáty určia, či sa obsah ktoréhokoľvek jednotlivého výcvikového progra</w:t>
      </w:r>
      <w:r>
        <w:rPr>
          <w:rFonts w:eastAsia="Calibri"/>
          <w:noProof/>
          <w:szCs w:val="22"/>
          <w:lang w:eastAsia="en-US"/>
        </w:rPr>
        <w:t>mu bude týkať oprávnenia na vedenie vodičských skúšok pre jednu skupinu vodičského preukazu alebo pre viac než jednu skupinu.</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lastRenderedPageBreak/>
        <w:t>2.</w:t>
      </w:r>
      <w:r>
        <w:rPr>
          <w:rFonts w:eastAsia="Calibri"/>
          <w:noProof/>
          <w:szCs w:val="22"/>
          <w:lang w:eastAsia="en-US"/>
        </w:rPr>
        <w:tab/>
        <w:t>Skúšky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Skôr než môže byť osoba oprávnená viesť vodičské skúšky, preukáže táto osoba uspokojivú úroveň vedomostí, chápania,</w:t>
      </w:r>
      <w:r>
        <w:rPr>
          <w:rFonts w:eastAsia="Calibri"/>
          <w:noProof/>
          <w:szCs w:val="22"/>
          <w:lang w:eastAsia="en-US"/>
        </w:rPr>
        <w:t xml:space="preserve"> zručností a schopnosti vo vzťahu k témam uvedeným v bode 1.</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Členské štáty uskutočňujú skúšobný proces, ktorý pedagogicky primeraným spôsobom hodnotí schopnosti osoby vymedzené v bode 1, najmä v bode 1 ods. 4. Skúšobný proces je prístupný</w:t>
      </w:r>
      <w:r>
        <w:rPr>
          <w:rFonts w:eastAsia="Calibri"/>
          <w:noProof/>
          <w:szCs w:val="22"/>
          <w:vertAlign w:val="superscript"/>
          <w:lang w:eastAsia="en-US"/>
        </w:rPr>
        <w:footnoteReference w:id="31"/>
      </w:r>
      <w:r>
        <w:rPr>
          <w:rFonts w:eastAsia="Calibri"/>
          <w:noProof/>
          <w:szCs w:val="22"/>
          <w:lang w:eastAsia="en-US"/>
        </w:rPr>
        <w:t xml:space="preserve"> a zahŕňa teoretické aj praktické prvky. Môže sa použiť počítačové hodnotenie, ak je primerané. Podrobnosti o charaktere a trvaní akejkoľvek skúšky a vyhodnotení v rámci skúšky sú ponechané na uváženie jednotlivých členských štátov.</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Členské štáty určia,</w:t>
      </w:r>
      <w:r>
        <w:rPr>
          <w:rFonts w:eastAsia="Calibri"/>
          <w:noProof/>
          <w:szCs w:val="22"/>
          <w:lang w:eastAsia="en-US"/>
        </w:rPr>
        <w:t xml:space="preserve"> či sa obsah ktorejkoľvek jednotlivej skúšky bude týkať oprávnenia na vedenie vodičských skúšok pre jednu skupinu vodičského preukazu alebo pre viac než jednu skupinu.</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tabs>
          <w:tab w:val="num" w:pos="850"/>
        </w:tabs>
        <w:spacing w:before="120" w:after="120" w:line="360" w:lineRule="auto"/>
        <w:ind w:left="850" w:hanging="850"/>
        <w:rPr>
          <w:rFonts w:eastAsia="Calibri"/>
          <w:bCs/>
          <w:noProof/>
          <w:szCs w:val="22"/>
          <w:lang w:eastAsia="en-US"/>
        </w:rPr>
      </w:pPr>
      <w:r>
        <w:rPr>
          <w:rFonts w:eastAsia="Calibri"/>
          <w:noProof/>
          <w:szCs w:val="22"/>
          <w:lang w:eastAsia="en-US"/>
        </w:rPr>
        <w:lastRenderedPageBreak/>
        <w:t>4.</w:t>
      </w:r>
      <w:r>
        <w:rPr>
          <w:rFonts w:eastAsia="Calibri"/>
          <w:noProof/>
          <w:szCs w:val="22"/>
          <w:lang w:eastAsia="en-US"/>
        </w:rPr>
        <w:tab/>
        <w:t>Zabezpečenie kvality a pravidelný výcvik</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1.</w:t>
      </w:r>
      <w:r>
        <w:rPr>
          <w:rFonts w:eastAsia="Calibri"/>
          <w:noProof/>
          <w:szCs w:val="22"/>
          <w:lang w:eastAsia="en-US"/>
        </w:rPr>
        <w:tab/>
        <w:t>Zabezpečenie kvality</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V členských štá</w:t>
      </w:r>
      <w:r>
        <w:rPr>
          <w:rFonts w:eastAsia="Calibri"/>
          <w:noProof/>
          <w:szCs w:val="22"/>
          <w:lang w:eastAsia="en-US"/>
        </w:rPr>
        <w:t>toch sú zavedené opatrenia na zabezpečenie kvality, aby sa udržala úroveň skúšajúcich z vedenia vozidla.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Opatrenia na zabezpečenie kvality zahŕňajú dohľad nad skúšajúcimi v práci, ich ďalším odborným vzdelávaním a obnovenou akreditáciou, ich kontinuálny</w:t>
      </w:r>
      <w:r>
        <w:rPr>
          <w:rFonts w:eastAsia="Calibri"/>
          <w:noProof/>
          <w:szCs w:val="22"/>
          <w:lang w:eastAsia="en-US"/>
        </w:rPr>
        <w:t>m profesijným rastom a pravidelným preskúmaním výsledkov vodičských skúšok, ktoré viedli.</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Členské štáty stanovia, že sa každý skúšajúci podrobí ročnému dohľadu s využitím opatrení na zabezpečenie kvality uvedených v bode 4 ods. 1 písm. b). Členské štáty</w:t>
      </w:r>
      <w:r>
        <w:rPr>
          <w:rFonts w:eastAsia="Calibri"/>
          <w:noProof/>
          <w:szCs w:val="22"/>
          <w:lang w:eastAsia="en-US"/>
        </w:rPr>
        <w:t xml:space="preserve"> okrem toho stanovia sledovanie skúšajúceho pri vedení skúšok raz za päť rokov, a to v trvaní súhrnne najmenej pol dňa, čo umožní jeho sledovanie pri niekoľkých skúškach. Ak sa zistia problémy, zavedie sa nápravné opatrenie. Osoba, ktorá vykonáva dohľad, j</w:t>
      </w:r>
      <w:r>
        <w:rPr>
          <w:rFonts w:eastAsia="Calibri"/>
          <w:noProof/>
          <w:szCs w:val="22"/>
          <w:lang w:eastAsia="en-US"/>
        </w:rPr>
        <w:t>e osoba, ktorú na tento účel oprávnil členský štát.</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d)</w:t>
      </w:r>
      <w:r>
        <w:rPr>
          <w:rFonts w:eastAsia="Calibri"/>
          <w:noProof/>
          <w:szCs w:val="22"/>
          <w:lang w:eastAsia="en-US"/>
        </w:rPr>
        <w:tab/>
        <w:t xml:space="preserve">Členské štáty môžu stanoviť, že v prípade, ak je skúšajúci oprávnený viesť vodičské skúšky pre viac než jednu skupinu a vyhovuje to požiadavke na dohľad vo vzťahu ku skúškam pre jednu skupinu, potom </w:t>
      </w:r>
      <w:r>
        <w:rPr>
          <w:rFonts w:eastAsia="Calibri"/>
          <w:noProof/>
          <w:szCs w:val="22"/>
          <w:lang w:eastAsia="en-US"/>
        </w:rPr>
        <w:t>to vyhovuje požiadavke pre viac než jednu skupinu.</w:t>
      </w:r>
    </w:p>
    <w:p w:rsidR="006C6719" w:rsidRDefault="00614864">
      <w:pPr>
        <w:widowControl/>
        <w:spacing w:before="120" w:after="120" w:line="360" w:lineRule="auto"/>
        <w:ind w:left="1417" w:hanging="567"/>
        <w:rPr>
          <w:rFonts w:eastAsia="Calibri"/>
          <w:b/>
          <w:noProof/>
          <w:szCs w:val="22"/>
          <w:lang w:eastAsia="en-US"/>
        </w:rPr>
      </w:pPr>
      <w:r>
        <w:rPr>
          <w:rFonts w:eastAsia="Calibri"/>
          <w:noProof/>
          <w:szCs w:val="22"/>
          <w:lang w:eastAsia="en-US"/>
        </w:rPr>
        <w:t>e)</w:t>
      </w:r>
      <w:r>
        <w:rPr>
          <w:rFonts w:eastAsia="Calibri"/>
          <w:noProof/>
          <w:szCs w:val="22"/>
          <w:lang w:eastAsia="en-US"/>
        </w:rPr>
        <w:tab/>
        <w:t xml:space="preserve">Práca skúšajúceho sa sleduje a je pod dohľadom </w:t>
      </w:r>
      <w:r>
        <w:rPr>
          <w:b/>
          <w:i/>
        </w:rPr>
        <w:t>nezávislého</w:t>
      </w:r>
      <w:r>
        <w:rPr>
          <w:rFonts w:eastAsia="Calibri"/>
          <w:noProof/>
          <w:szCs w:val="22"/>
          <w:lang w:eastAsia="en-US"/>
        </w:rPr>
        <w:t xml:space="preserve"> orgánu oprávneného členským štátom, aby sa zabezpečilo správne a dôsledné uplatňovanie vyhodnotenia.</w:t>
      </w:r>
      <w:r>
        <w:rPr>
          <w:rFonts w:eastAsia="Calibri"/>
          <w:b/>
          <w:noProof/>
          <w:szCs w:val="22"/>
          <w:lang w:eastAsia="en-US"/>
        </w:rPr>
        <w:t xml:space="preserve"> [PN 235]</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2.</w:t>
      </w:r>
      <w:r>
        <w:rPr>
          <w:rFonts w:eastAsia="Calibri"/>
          <w:noProof/>
          <w:szCs w:val="22"/>
          <w:lang w:eastAsia="en-US"/>
        </w:rPr>
        <w:tab/>
        <w:t>Pravidelný výcvik</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Členské š</w:t>
      </w:r>
      <w:r>
        <w:rPr>
          <w:rFonts w:eastAsia="Calibri"/>
          <w:noProof/>
          <w:szCs w:val="22"/>
          <w:lang w:eastAsia="en-US"/>
        </w:rPr>
        <w:t>táty stanovia, že skúšajúci vedenia vozidla na účely zachovania oprávnenia, bez ohľadu na počet skupín, na ktoré sú akreditovaní, vykonávajú:</w:t>
      </w:r>
    </w:p>
    <w:p w:rsidR="006C6719" w:rsidRDefault="00614864">
      <w:pPr>
        <w:widowControl/>
        <w:spacing w:before="120" w:after="120" w:line="360" w:lineRule="auto"/>
        <w:ind w:left="1985" w:hanging="567"/>
        <w:rPr>
          <w:rFonts w:eastAsia="Calibri"/>
          <w:noProof/>
          <w:szCs w:val="22"/>
          <w:lang w:eastAsia="en-US"/>
        </w:rPr>
      </w:pPr>
      <w:r>
        <w:rPr>
          <w:rFonts w:eastAsia="Calibri"/>
          <w:noProof/>
          <w:szCs w:val="22"/>
          <w:lang w:eastAsia="en-US"/>
        </w:rPr>
        <w:t xml:space="preserve">i) </w:t>
      </w:r>
      <w:r>
        <w:rPr>
          <w:rFonts w:eastAsia="Calibri"/>
          <w:noProof/>
          <w:szCs w:val="22"/>
          <w:lang w:eastAsia="en-US"/>
        </w:rPr>
        <w:tab/>
        <w:t>celkovo minimálne štvordňový pravidelný výcvik v rozmedzí dvoch rokov s cieľom:</w:t>
      </w:r>
    </w:p>
    <w:p w:rsidR="006C6719" w:rsidRDefault="00614864">
      <w:pPr>
        <w:widowControl/>
        <w:spacing w:before="120" w:after="120" w:line="360" w:lineRule="auto"/>
        <w:ind w:left="2552" w:hanging="567"/>
        <w:rPr>
          <w:rFonts w:eastAsia="Calibri"/>
          <w:b/>
          <w:noProof/>
          <w:szCs w:val="22"/>
          <w:lang w:eastAsia="en-US"/>
        </w:rPr>
      </w:pPr>
      <w:r>
        <w:rPr>
          <w:rFonts w:eastAsia="Calibri"/>
          <w:noProof/>
          <w:szCs w:val="22"/>
          <w:lang w:eastAsia="en-US"/>
        </w:rPr>
        <w:t>– </w:t>
      </w:r>
      <w:r>
        <w:rPr>
          <w:rFonts w:eastAsia="Calibri"/>
          <w:noProof/>
          <w:szCs w:val="22"/>
          <w:lang w:eastAsia="en-US"/>
        </w:rPr>
        <w:tab/>
      </w:r>
      <w:r>
        <w:rPr>
          <w:rFonts w:eastAsia="Calibri"/>
          <w:noProof/>
          <w:szCs w:val="22"/>
          <w:lang w:eastAsia="en-US"/>
        </w:rPr>
        <w:t xml:space="preserve">udržať a zopakovať si potrebné vedomosti a skúšobné </w:t>
      </w:r>
      <w:r>
        <w:rPr>
          <w:b/>
          <w:i/>
        </w:rPr>
        <w:t xml:space="preserve">a komunikačné </w:t>
      </w:r>
      <w:r>
        <w:rPr>
          <w:rFonts w:eastAsia="Calibri"/>
          <w:noProof/>
          <w:szCs w:val="22"/>
          <w:lang w:eastAsia="en-US"/>
        </w:rPr>
        <w:t>zručnosti,</w:t>
      </w:r>
      <w:r>
        <w:rPr>
          <w:rFonts w:eastAsia="Calibri"/>
          <w:b/>
          <w:noProof/>
          <w:szCs w:val="22"/>
          <w:lang w:eastAsia="en-US"/>
        </w:rPr>
        <w:t xml:space="preserve"> [PN 236]</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2552" w:hanging="567"/>
        <w:rPr>
          <w:rFonts w:eastAsia="Calibri"/>
          <w:noProof/>
          <w:szCs w:val="22"/>
          <w:lang w:eastAsia="en-US"/>
        </w:rPr>
      </w:pPr>
      <w:r>
        <w:rPr>
          <w:rFonts w:eastAsia="Calibri"/>
          <w:noProof/>
          <w:szCs w:val="22"/>
          <w:lang w:eastAsia="en-US"/>
        </w:rPr>
        <w:lastRenderedPageBreak/>
        <w:t>– </w:t>
      </w:r>
      <w:r>
        <w:rPr>
          <w:rFonts w:eastAsia="Calibri"/>
          <w:noProof/>
          <w:szCs w:val="22"/>
          <w:lang w:eastAsia="en-US"/>
        </w:rPr>
        <w:tab/>
        <w:t>rozvíjať nové spôsobilosti, ktoré sa stali dôležitými pre výkon ich profesie,</w:t>
      </w:r>
    </w:p>
    <w:p w:rsidR="006C6719" w:rsidRDefault="00614864">
      <w:pPr>
        <w:widowControl/>
        <w:spacing w:before="120" w:after="120" w:line="360" w:lineRule="auto"/>
        <w:ind w:left="2552" w:hanging="567"/>
        <w:rPr>
          <w:rFonts w:eastAsia="Calibri"/>
          <w:noProof/>
          <w:szCs w:val="22"/>
          <w:lang w:eastAsia="en-US"/>
        </w:rPr>
      </w:pPr>
      <w:r>
        <w:rPr>
          <w:rFonts w:eastAsia="Calibri"/>
          <w:noProof/>
          <w:szCs w:val="22"/>
          <w:lang w:eastAsia="en-US"/>
        </w:rPr>
        <w:t>– </w:t>
      </w:r>
      <w:r>
        <w:rPr>
          <w:rFonts w:eastAsia="Calibri"/>
          <w:noProof/>
          <w:szCs w:val="22"/>
          <w:lang w:eastAsia="en-US"/>
        </w:rPr>
        <w:tab/>
        <w:t>zabezpečiť, aby skúšajúci naďalej viedli skúšky spravodlivo a jednotne,</w:t>
      </w:r>
    </w:p>
    <w:p w:rsidR="006C6719" w:rsidRDefault="00614864">
      <w:pPr>
        <w:widowControl/>
        <w:spacing w:before="120" w:after="120" w:line="360" w:lineRule="auto"/>
        <w:ind w:left="1985" w:hanging="567"/>
        <w:rPr>
          <w:rFonts w:eastAsia="Calibri"/>
          <w:noProof/>
          <w:szCs w:val="22"/>
          <w:lang w:eastAsia="en-US"/>
        </w:rPr>
      </w:pPr>
      <w:r>
        <w:rPr>
          <w:rFonts w:eastAsia="Calibri"/>
          <w:noProof/>
          <w:szCs w:val="22"/>
          <w:lang w:eastAsia="en-US"/>
        </w:rPr>
        <w:t>ii) </w:t>
      </w:r>
      <w:r>
        <w:rPr>
          <w:rFonts w:eastAsia="Calibri"/>
          <w:noProof/>
          <w:szCs w:val="22"/>
          <w:lang w:eastAsia="en-US"/>
        </w:rPr>
        <w:tab/>
        <w:t>celkovo</w:t>
      </w:r>
      <w:r>
        <w:rPr>
          <w:rFonts w:eastAsia="Calibri"/>
          <w:noProof/>
          <w:szCs w:val="22"/>
          <w:lang w:eastAsia="en-US"/>
        </w:rPr>
        <w:t xml:space="preserve"> minimálne päťdňový pravidelný výcvik v rozmedzí piatich rokov s cieľom:</w:t>
      </w:r>
    </w:p>
    <w:p w:rsidR="006C6719" w:rsidRDefault="00614864">
      <w:pPr>
        <w:widowControl/>
        <w:spacing w:before="120" w:after="120" w:line="360" w:lineRule="auto"/>
        <w:ind w:left="2552" w:hanging="567"/>
        <w:rPr>
          <w:rFonts w:eastAsia="Calibri"/>
          <w:noProof/>
          <w:szCs w:val="22"/>
          <w:lang w:eastAsia="en-US"/>
        </w:rPr>
      </w:pPr>
      <w:r>
        <w:rPr>
          <w:rFonts w:eastAsia="Calibri"/>
          <w:noProof/>
          <w:szCs w:val="22"/>
          <w:lang w:eastAsia="en-US"/>
        </w:rPr>
        <w:t>– </w:t>
      </w:r>
      <w:r>
        <w:rPr>
          <w:rFonts w:eastAsia="Calibri"/>
          <w:noProof/>
          <w:szCs w:val="22"/>
          <w:lang w:eastAsia="en-US"/>
        </w:rPr>
        <w:tab/>
        <w:t>rozvíjať a udržiavať si potrebné praktické vodičské zručnosti.</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 xml:space="preserve">Členské štáty prijmú primerané opatrenia s cieľom zaistiť, aby sa osobitný výcvik rýchlo poskytol tým skúšajúcim, </w:t>
      </w:r>
      <w:r>
        <w:rPr>
          <w:rFonts w:eastAsia="Calibri"/>
          <w:noProof/>
          <w:szCs w:val="22"/>
          <w:lang w:eastAsia="en-US"/>
        </w:rPr>
        <w:t>u ktorých sa na základe zavedeného systému zabezpečenia kvality zistili vážne nedostatky v ich práci.</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t>Charakter pravidelného výcviku môže mať podobu informačného stretnutia, výcviku v triede, bežného alebo elektronického vyučovania a môže sa uskutočňova</w:t>
      </w:r>
      <w:r>
        <w:rPr>
          <w:rFonts w:eastAsia="Calibri"/>
          <w:noProof/>
          <w:szCs w:val="22"/>
          <w:lang w:eastAsia="en-US"/>
        </w:rPr>
        <w:t>ť pre jednotlivých skúšajúcich alebo pre celé skupiny skúšajúcich. Môže zahŕňať také nové akreditačné normy, aké členské štáty považujú za primerané.</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lastRenderedPageBreak/>
        <w:t>d)</w:t>
      </w:r>
      <w:r>
        <w:rPr>
          <w:rFonts w:eastAsia="Calibri"/>
          <w:noProof/>
          <w:szCs w:val="22"/>
          <w:lang w:eastAsia="en-US"/>
        </w:rPr>
        <w:tab/>
        <w:t>Členské štáty môžu stanoviť, že v prípade, ak je skúšajúci oprávnený viesť vodičské skúšky pre viac n</w:t>
      </w:r>
      <w:r>
        <w:rPr>
          <w:rFonts w:eastAsia="Calibri"/>
          <w:noProof/>
          <w:szCs w:val="22"/>
          <w:lang w:eastAsia="en-US"/>
        </w:rPr>
        <w:t>ež jednu skupinu a vyhovuje to požiadavke na pravidelný výcvik vo vzťahu ku skúškam pre jednu skupinu, potom to vyhovuje požiadavke pre viac než jednu skupinu za predpokladu, že je splnená požiadavka stanovená v bode 4 ods. 2 písm. e).</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t>Ak vyučujúci nevi</w:t>
      </w:r>
      <w:r>
        <w:rPr>
          <w:rFonts w:eastAsia="Calibri"/>
          <w:noProof/>
          <w:szCs w:val="22"/>
          <w:lang w:eastAsia="en-US"/>
        </w:rPr>
        <w:t>edol skúšky pre ktorúkoľvek skupinu v rámci 24-mesačného obdobia, tento skúšajúci sa podrobí vhodnému prehodnoteniu predtým, než môže viesť vodičské skúšky vzťahujúce sa na túto skupinu. Uvedenému prehodnoteniu sa môže podrobiť v rámci požiadavky stanovene</w:t>
      </w:r>
      <w:r>
        <w:rPr>
          <w:rFonts w:eastAsia="Calibri"/>
          <w:noProof/>
          <w:szCs w:val="22"/>
          <w:lang w:eastAsia="en-US"/>
        </w:rPr>
        <w:t>j v bode 4 ods. 2 písm. a).</w:t>
      </w:r>
    </w:p>
    <w:p w:rsidR="006C6719" w:rsidRDefault="00614864">
      <w:pPr>
        <w:widowControl/>
        <w:tabs>
          <w:tab w:val="num" w:pos="850"/>
        </w:tabs>
        <w:spacing w:before="120" w:after="120" w:line="360" w:lineRule="auto"/>
        <w:ind w:left="850" w:hanging="850"/>
        <w:rPr>
          <w:rFonts w:eastAsia="Calibri"/>
          <w:bCs/>
          <w:noProof/>
          <w:szCs w:val="22"/>
          <w:lang w:eastAsia="en-US"/>
        </w:rPr>
      </w:pPr>
      <w:r>
        <w:rPr>
          <w:rFonts w:eastAsia="Calibri"/>
          <w:noProof/>
          <w:szCs w:val="22"/>
          <w:lang w:eastAsia="en-US"/>
        </w:rPr>
        <w:t>5.</w:t>
      </w:r>
      <w:r>
        <w:rPr>
          <w:rFonts w:eastAsia="Calibri"/>
          <w:noProof/>
          <w:szCs w:val="22"/>
          <w:lang w:eastAsia="en-US"/>
        </w:rPr>
        <w:tab/>
        <w:t>Nadobudnuté práva</w:t>
      </w:r>
    </w:p>
    <w:p w:rsidR="006C6719" w:rsidRDefault="00614864">
      <w:pPr>
        <w:widowControl/>
        <w:spacing w:before="120" w:after="120" w:line="360" w:lineRule="auto"/>
        <w:ind w:left="850" w:hanging="850"/>
        <w:rPr>
          <w:rFonts w:eastAsia="Calibri"/>
          <w:b/>
          <w:bCs/>
          <w:noProof/>
          <w:szCs w:val="22"/>
          <w:lang w:eastAsia="en-US"/>
        </w:rPr>
      </w:pPr>
      <w:r>
        <w:rPr>
          <w:rFonts w:eastAsia="Calibri"/>
          <w:noProof/>
          <w:szCs w:val="22"/>
          <w:lang w:eastAsia="en-US"/>
        </w:rPr>
        <w:t>1.</w:t>
      </w:r>
      <w:r>
        <w:rPr>
          <w:rFonts w:eastAsia="Calibri"/>
          <w:noProof/>
          <w:szCs w:val="22"/>
          <w:lang w:eastAsia="en-US"/>
        </w:rPr>
        <w:tab/>
        <w:t xml:space="preserve">Členské štáty môžu povoliť osobám oprávneným viesť vodičské skúšky bezprostredne predtým, </w:t>
      </w:r>
      <w:r>
        <w:rPr>
          <w:rFonts w:eastAsia="Calibri"/>
          <w:strike/>
          <w:noProof/>
          <w:szCs w:val="22"/>
          <w:lang w:eastAsia="en-US"/>
        </w:rPr>
        <w:t>ako nadobudli</w:t>
      </w:r>
      <w:r>
        <w:rPr>
          <w:rFonts w:eastAsia="Calibri"/>
          <w:noProof/>
          <w:szCs w:val="22"/>
          <w:lang w:eastAsia="en-US"/>
        </w:rPr>
        <w:t xml:space="preserve"> </w:t>
      </w:r>
      <w:r>
        <w:rPr>
          <w:b/>
          <w:i/>
        </w:rPr>
        <w:t>než nadobudne</w:t>
      </w:r>
      <w:r>
        <w:t xml:space="preserve"> </w:t>
      </w:r>
      <w:r>
        <w:rPr>
          <w:rFonts w:eastAsia="Calibri"/>
          <w:noProof/>
          <w:szCs w:val="22"/>
          <w:lang w:eastAsia="en-US"/>
        </w:rPr>
        <w:t xml:space="preserve">účinnosť </w:t>
      </w:r>
      <w:r>
        <w:rPr>
          <w:rFonts w:eastAsia="Calibri"/>
          <w:strike/>
          <w:noProof/>
          <w:szCs w:val="22"/>
          <w:lang w:eastAsia="en-US"/>
        </w:rPr>
        <w:t>ustanovenia smernice 2006/126/ES</w:t>
      </w:r>
      <w:r>
        <w:rPr>
          <w:rFonts w:eastAsia="Calibri"/>
          <w:noProof/>
          <w:szCs w:val="22"/>
          <w:lang w:eastAsia="en-US"/>
        </w:rPr>
        <w:t xml:space="preserve"> </w:t>
      </w:r>
      <w:r>
        <w:rPr>
          <w:b/>
          <w:i/>
        </w:rPr>
        <w:t>táto smernica</w:t>
      </w:r>
      <w:r>
        <w:rPr>
          <w:rFonts w:eastAsia="Calibri"/>
          <w:noProof/>
          <w:szCs w:val="22"/>
          <w:lang w:eastAsia="en-US"/>
        </w:rPr>
        <w:t xml:space="preserve">, aby ďalej viedli vodičské </w:t>
      </w:r>
      <w:r>
        <w:rPr>
          <w:rFonts w:eastAsia="Calibri"/>
          <w:noProof/>
          <w:szCs w:val="22"/>
          <w:lang w:eastAsia="en-US"/>
        </w:rPr>
        <w:t>skúšky napriek tomu, že neboli oprávnení v súlade so všeobecnými podmienkami v bode 2 alebo so základným kvalifikačným postupom uvedeným v bode 3.</w:t>
      </w:r>
      <w:r>
        <w:rPr>
          <w:rFonts w:eastAsia="Calibri"/>
          <w:b/>
          <w:noProof/>
          <w:szCs w:val="22"/>
          <w:lang w:eastAsia="en-US"/>
        </w:rPr>
        <w:t xml:space="preserve"> [PN 237]</w:t>
      </w:r>
    </w:p>
    <w:p w:rsidR="006C6719" w:rsidRDefault="00614864">
      <w:pPr>
        <w:widowControl/>
        <w:spacing w:before="120" w:after="120" w:line="360" w:lineRule="auto"/>
        <w:ind w:left="850" w:hanging="850"/>
        <w:rPr>
          <w:rFonts w:eastAsia="Calibri"/>
          <w:bCs/>
          <w:noProof/>
          <w:szCs w:val="22"/>
          <w:lang w:eastAsia="en-US"/>
        </w:rPr>
      </w:pPr>
      <w:r>
        <w:rPr>
          <w:rFonts w:eastAsia="Calibri"/>
          <w:noProof/>
          <w:szCs w:val="22"/>
          <w:lang w:eastAsia="en-US"/>
        </w:rPr>
        <w:t>2.</w:t>
      </w:r>
      <w:r>
        <w:rPr>
          <w:rFonts w:eastAsia="Calibri"/>
          <w:noProof/>
          <w:szCs w:val="22"/>
          <w:lang w:eastAsia="en-US"/>
        </w:rPr>
        <w:tab/>
        <w:t>Títo skúšajúci však podliehajú opatreniam týkajúcim sa pravidelného dohľadu a zabezpečenia kvalit</w:t>
      </w:r>
      <w:r>
        <w:rPr>
          <w:rFonts w:eastAsia="Calibri"/>
          <w:noProof/>
          <w:szCs w:val="22"/>
          <w:lang w:eastAsia="en-US"/>
        </w:rPr>
        <w:t>y uvedeným v bode 4.</w:t>
      </w:r>
    </w:p>
    <w:p w:rsidR="006C6719" w:rsidRDefault="006C6719">
      <w:pPr>
        <w:widowControl/>
        <w:spacing w:before="120" w:after="120"/>
        <w:jc w:val="both"/>
        <w:rPr>
          <w:rFonts w:eastAsia="Calibri"/>
          <w:noProof/>
          <w:szCs w:val="22"/>
          <w:lang w:eastAsia="en-US"/>
        </w:rPr>
        <w:sectPr w:rsidR="006C6719">
          <w:footnotePr>
            <w:numRestart w:val="eachSect"/>
          </w:footnotePr>
          <w:pgSz w:w="11907" w:h="16839"/>
          <w:pgMar w:top="1134" w:right="1417" w:bottom="1134" w:left="1417" w:header="709" w:footer="709" w:gutter="0"/>
          <w:cols w:space="720"/>
          <w:docGrid w:linePitch="360"/>
        </w:sectPr>
      </w:pPr>
    </w:p>
    <w:p w:rsidR="006C6719" w:rsidRDefault="00614864">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Príloha V</w:t>
      </w:r>
    </w:p>
    <w:p w:rsidR="006C6719" w:rsidRDefault="00614864">
      <w:pPr>
        <w:widowControl/>
        <w:spacing w:after="360" w:line="360" w:lineRule="auto"/>
        <w:rPr>
          <w:rFonts w:eastAsia="Calibri"/>
          <w:noProof/>
          <w:szCs w:val="22"/>
          <w:lang w:eastAsia="en-US"/>
        </w:rPr>
      </w:pPr>
      <w:r>
        <w:rPr>
          <w:rFonts w:eastAsia="Calibri"/>
          <w:noProof/>
          <w:szCs w:val="22"/>
          <w:lang w:eastAsia="en-US"/>
        </w:rPr>
        <w:t>MINIMÁLNE POŽIADAVKY NA VÝCVIK VODIČA A SKÚŠKU PRE JAZDNÉ SÚPRAVY UVEDENÉ V ČLÁNKU 6 ODS. 1 PÍSM. C) DRUHEJ ZARÁŽKE DRUHOM PODODSEKU</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Členské štáty prijmú opatrenia potrebné na: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 xml:space="preserve">schválenie </w:t>
      </w:r>
      <w:r>
        <w:rPr>
          <w:rFonts w:eastAsia="Calibri"/>
          <w:noProof/>
          <w:szCs w:val="22"/>
          <w:lang w:eastAsia="en-US"/>
        </w:rPr>
        <w:t>a vykonávanie dohľadu nad výcvikom podľa článku 10 ods. 1 písm. d) alebo</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organizovanie skúšky zručností a správania podľa článku 10 ods. 1 písm. d).</w:t>
      </w:r>
    </w:p>
    <w:p w:rsidR="006C6719" w:rsidRDefault="00614864">
      <w:pPr>
        <w:widowControl/>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Výcvik vodiča trvá najmenej 7 hodín.</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Obsah výcviku vodiča</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Výcvik vodiča sa týka vedomostí, zručnos</w:t>
      </w:r>
      <w:r>
        <w:rPr>
          <w:rFonts w:eastAsia="Calibri"/>
          <w:noProof/>
          <w:szCs w:val="22"/>
          <w:lang w:eastAsia="en-US"/>
        </w:rPr>
        <w:t>tí a správania opísaných v bodoch 2 a 7 prílohy II. Osobitná pozornosť sa venuje dynamike pohybu vozidla, bezpečnostným kritériám, ťažnému vozidlu a prípojnému vozidlu (spojovací mechanizmus), správnemu nakladaniu a bezpečnostnému príslušenstvu.</w:t>
      </w:r>
    </w:p>
    <w:p w:rsidR="006C6719" w:rsidRDefault="00614864">
      <w:pPr>
        <w:widowControl/>
        <w:rPr>
          <w:rFonts w:eastAsia="Calibri"/>
          <w:noProof/>
          <w:szCs w:val="22"/>
          <w:lang w:eastAsia="en-US"/>
        </w:rPr>
      </w:pPr>
      <w:r>
        <w:rPr>
          <w:rFonts w:eastAsia="Calibri"/>
          <w:noProof/>
          <w:szCs w:val="22"/>
          <w:lang w:eastAsia="en-US"/>
        </w:rPr>
        <w:br w:type="page"/>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lastRenderedPageBreak/>
        <w:t>Praktick</w:t>
      </w:r>
      <w:r>
        <w:rPr>
          <w:rFonts w:eastAsia="Calibri"/>
          <w:noProof/>
          <w:szCs w:val="22"/>
          <w:lang w:eastAsia="en-US"/>
        </w:rPr>
        <w:t>á zložka zahŕňa tieto cvičenia: zrýchľovanie, spomaľovanie, cúvanie, brzdenie, brzdná dráha do zastavenia, zmeny jazdných pruhov, brzdenie/vyhýbanie, otočenie prívesu, odpojenie prípojného vozidla od motorového vozidla a opätovné pripojenie prípojného vozi</w:t>
      </w:r>
      <w:r>
        <w:rPr>
          <w:rFonts w:eastAsia="Calibri"/>
          <w:noProof/>
          <w:szCs w:val="22"/>
          <w:lang w:eastAsia="en-US"/>
        </w:rPr>
        <w:t>dla, parkovanie.</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Každý účastník výcviku vykoná praktickú zložku a preukáže svoje zručnosti a správanie na verejných komunikáciách.</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Jazdné súpravy vozidiel použitých na výcvik patria do tej skupiny vodičských preukazov, o ktorú účastníci požiadali.</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Trvan</w:t>
      </w:r>
      <w:r>
        <w:rPr>
          <w:rFonts w:eastAsia="Calibri"/>
          <w:noProof/>
          <w:szCs w:val="22"/>
          <w:lang w:eastAsia="en-US"/>
        </w:rPr>
        <w:t>ie a obsah skúšky zručností a správania</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Dĺžka skúšky a prejdená vzdialenosť musia byť dostatočné na vyhodnotenie zručností a správania stanovených v bode 3.</w:t>
      </w:r>
    </w:p>
    <w:p w:rsidR="006C6719" w:rsidRDefault="006C6719">
      <w:pPr>
        <w:widowControl/>
        <w:spacing w:before="120" w:after="120" w:line="360" w:lineRule="auto"/>
        <w:rPr>
          <w:rFonts w:eastAsia="Calibri"/>
          <w:noProof/>
          <w:szCs w:val="22"/>
          <w:lang w:eastAsia="en-US"/>
        </w:rPr>
        <w:sectPr w:rsidR="006C6719">
          <w:pgSz w:w="11907" w:h="16839"/>
          <w:pgMar w:top="1134" w:right="1417" w:bottom="1134" w:left="1417" w:header="709" w:footer="709" w:gutter="0"/>
          <w:cols w:space="720"/>
          <w:docGrid w:linePitch="360"/>
        </w:sectPr>
      </w:pPr>
    </w:p>
    <w:p w:rsidR="006C6719" w:rsidRDefault="00614864">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Príloha VI</w:t>
      </w:r>
    </w:p>
    <w:p w:rsidR="006C6719" w:rsidRDefault="00614864">
      <w:pPr>
        <w:widowControl/>
        <w:spacing w:after="360" w:line="360" w:lineRule="auto"/>
        <w:jc w:val="center"/>
        <w:rPr>
          <w:rFonts w:eastAsia="Calibri"/>
          <w:noProof/>
          <w:szCs w:val="22"/>
          <w:lang w:eastAsia="en-US"/>
        </w:rPr>
      </w:pPr>
      <w:r>
        <w:rPr>
          <w:rFonts w:eastAsia="Calibri"/>
          <w:noProof/>
          <w:szCs w:val="22"/>
          <w:lang w:eastAsia="en-US"/>
        </w:rPr>
        <w:t>MINIMÁLNE POŽIADAVKY NA VÝCVIK A SKÚŠKY VODIČA PRE MOTOCYKLE SKUPINY</w:t>
      </w:r>
      <w:r>
        <w:rPr>
          <w:rFonts w:eastAsia="Calibri"/>
          <w:noProof/>
          <w:szCs w:val="22"/>
          <w:lang w:eastAsia="en-US"/>
        </w:rPr>
        <w:t xml:space="preserve"> A (POSTUPNÉ SPRÍSTUPŇOVANIE)</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1.</w:t>
      </w:r>
      <w:r>
        <w:rPr>
          <w:rFonts w:eastAsia="Calibri"/>
          <w:noProof/>
          <w:szCs w:val="22"/>
          <w:lang w:eastAsia="en-US"/>
        </w:rPr>
        <w:tab/>
        <w:t>Členské štáty prijmú opatrenia potrebné na:</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t>schválenie a vykonávanie dohľadu nad výcvikom podľa článku 10 ods. 1 písm. c) alebo</w:t>
      </w:r>
    </w:p>
    <w:p w:rsidR="006C6719" w:rsidRDefault="00614864">
      <w:pPr>
        <w:widowControl/>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t>organizovanie skúšky zručností a správania podľa článku 10 ods. 1 písm. c).</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t>Výcvik vod</w:t>
      </w:r>
      <w:r>
        <w:rPr>
          <w:rFonts w:eastAsia="Calibri"/>
          <w:noProof/>
          <w:szCs w:val="22"/>
          <w:lang w:eastAsia="en-US"/>
        </w:rPr>
        <w:t>iča trvá najmenej 7 hodín.</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3.</w:t>
      </w:r>
      <w:r>
        <w:rPr>
          <w:rFonts w:eastAsia="Calibri"/>
          <w:noProof/>
          <w:szCs w:val="22"/>
          <w:lang w:eastAsia="en-US"/>
        </w:rPr>
        <w:tab/>
        <w:t>Obsah výcviku vodiča</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Výcvik vodiča zahŕňa všetky aspekty uvedené v bode 6 prílohy II.</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Každý účastník vykoná praktickú zložku výcviku a preukáže svoje zručnosti a správanie na verejných komunikáciách.</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Motocykle použité na výcvi</w:t>
      </w:r>
      <w:r>
        <w:rPr>
          <w:rFonts w:eastAsia="Calibri"/>
          <w:noProof/>
          <w:szCs w:val="22"/>
          <w:lang w:eastAsia="en-US"/>
        </w:rPr>
        <w:t>k patria do tej skupiny vodičských preukazov, o ktorú účastníci požiadali.</w:t>
      </w:r>
    </w:p>
    <w:p w:rsidR="006C6719" w:rsidRDefault="00614864">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t>Trvanie a obsah skúšky zručností a správania</w:t>
      </w:r>
    </w:p>
    <w:p w:rsidR="006C6719" w:rsidRDefault="00614864">
      <w:pPr>
        <w:widowControl/>
        <w:spacing w:before="120" w:after="120" w:line="360" w:lineRule="auto"/>
        <w:ind w:left="850"/>
        <w:rPr>
          <w:rFonts w:eastAsia="Calibri"/>
          <w:noProof/>
          <w:szCs w:val="22"/>
          <w:lang w:eastAsia="en-US"/>
        </w:rPr>
      </w:pPr>
      <w:r>
        <w:rPr>
          <w:rFonts w:eastAsia="Calibri"/>
          <w:noProof/>
          <w:szCs w:val="22"/>
          <w:lang w:eastAsia="en-US"/>
        </w:rPr>
        <w:t>Dĺžka skúšky a prejdená vzdialenosť musia byť dostatočné na vyhodnotenie zručností a správania stanovených v bode 3 tejto prílohy.</w:t>
      </w:r>
    </w:p>
    <w:p w:rsidR="006C6719" w:rsidRDefault="006C6719">
      <w:pPr>
        <w:widowControl/>
        <w:spacing w:before="120" w:after="120"/>
        <w:ind w:left="850"/>
        <w:jc w:val="both"/>
        <w:rPr>
          <w:rFonts w:eastAsia="Calibri"/>
          <w:noProof/>
          <w:szCs w:val="22"/>
          <w:lang w:eastAsia="en-US"/>
        </w:rPr>
        <w:sectPr w:rsidR="006C6719">
          <w:pgSz w:w="11907" w:h="16839"/>
          <w:pgMar w:top="1134" w:right="1417" w:bottom="1134" w:left="1417" w:header="709" w:footer="709" w:gutter="0"/>
          <w:cols w:space="720"/>
          <w:docGrid w:linePitch="360"/>
        </w:sectPr>
      </w:pPr>
    </w:p>
    <w:p w:rsidR="006C6719" w:rsidRDefault="00614864">
      <w:pPr>
        <w:widowControl/>
        <w:spacing w:before="120" w:after="120"/>
        <w:jc w:val="center"/>
        <w:rPr>
          <w:rFonts w:eastAsia="Calibri"/>
          <w:noProof/>
          <w:color w:val="0000FF"/>
          <w:szCs w:val="22"/>
          <w:lang w:eastAsia="en-US"/>
        </w:rPr>
      </w:pPr>
      <w:r>
        <w:rPr>
          <w:rFonts w:eastAsia="Calibri"/>
          <w:noProof/>
          <w:szCs w:val="22"/>
          <w:lang w:eastAsia="en-US"/>
        </w:rPr>
        <w:lastRenderedPageBreak/>
        <w:t>Príloha VII</w:t>
      </w:r>
    </w:p>
    <w:p w:rsidR="006C6719" w:rsidRDefault="00614864">
      <w:pPr>
        <w:widowControl/>
        <w:spacing w:before="120" w:after="120"/>
        <w:jc w:val="center"/>
        <w:rPr>
          <w:rFonts w:eastAsia="Calibri"/>
          <w:noProof/>
          <w:szCs w:val="22"/>
          <w:lang w:eastAsia="en-US"/>
        </w:rPr>
      </w:pPr>
      <w:r>
        <w:rPr>
          <w:rFonts w:eastAsia="Calibri"/>
          <w:noProof/>
          <w:szCs w:val="22"/>
          <w:lang w:eastAsia="en-US"/>
        </w:rPr>
        <w:t xml:space="preserve">TABUĽKA ZHODY </w:t>
      </w:r>
    </w:p>
    <w:tbl>
      <w:tblPr>
        <w:tblW w:w="9322" w:type="dxa"/>
        <w:tblLayout w:type="fixed"/>
        <w:tblLook w:val="04A0" w:firstRow="1" w:lastRow="0" w:firstColumn="1" w:lastColumn="0" w:noHBand="0" w:noVBand="1"/>
      </w:tblPr>
      <w:tblGrid>
        <w:gridCol w:w="3510"/>
        <w:gridCol w:w="2268"/>
        <w:gridCol w:w="3544"/>
      </w:tblGrid>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b/>
                <w:noProof/>
                <w:color w:val="000000"/>
                <w:szCs w:val="22"/>
                <w:lang w:eastAsia="en-US"/>
              </w:rPr>
              <w:t>Smernica 2006/126/ES</w:t>
            </w: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b/>
                <w:bCs/>
                <w:noProof/>
                <w:color w:val="000000"/>
                <w:szCs w:val="24"/>
                <w:lang w:eastAsia="en-US"/>
              </w:rPr>
            </w:pPr>
            <w:r>
              <w:rPr>
                <w:rFonts w:eastAsia="Calibri"/>
                <w:b/>
                <w:noProof/>
                <w:color w:val="333333"/>
                <w:szCs w:val="22"/>
                <w:shd w:val="clear" w:color="auto" w:fill="FFFFFF"/>
                <w:lang w:eastAsia="en-US"/>
              </w:rPr>
              <w:t>Nariadenie (EÚ) č. 383/2012 </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b/>
                <w:noProof/>
                <w:color w:val="000000"/>
                <w:szCs w:val="22"/>
                <w:lang w:eastAsia="en-US"/>
              </w:rPr>
              <w:t>Nová smernica</w:t>
            </w:r>
            <w:r>
              <w:rPr>
                <w:rFonts w:eastAsia="Calibri"/>
                <w:noProof/>
                <w:color w:val="000000"/>
                <w:szCs w:val="22"/>
                <w:lang w:eastAsia="en-US"/>
              </w:rPr>
              <w:t xml:space="preserve"> </w:t>
            </w:r>
          </w:p>
        </w:tc>
      </w:tr>
      <w:tr w:rsidR="006C6719">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Článok 2 ods. 1, 2, 3 a 12</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3 ods. 1, 2, 3, 4, 5 a 7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5 prvý pododsek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3 prvý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5 druhý pododsek prvá veta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3 druhý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5 druhý pododsek druhá veta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3 tretí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Článok 4 ods. 8</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1 ods. 4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2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3 ods. 6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2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3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3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2 prvý pododsek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3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2 druhý pododsek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3 ods. 3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4 ods. 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Článok 4 ods. 6 a článok 4 ods. 7 prvý a druhý pododsek</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 xml:space="preserve">Článok 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1 prvá veta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1 druhá veta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2, 3 a 5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2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2 prvý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a)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a) prvý pododsek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2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a) prvá a druhá zarážka</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2 ods. 5 a 6</w:t>
            </w:r>
          </w:p>
        </w:tc>
      </w:tr>
      <w:tr w:rsidR="006C671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2 druhá zarážka</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3 </w:t>
            </w:r>
            <w:r>
              <w:rPr>
                <w:rFonts w:eastAsia="Calibri"/>
                <w:noProof/>
                <w:color w:val="000000"/>
                <w:szCs w:val="22"/>
                <w:lang w:eastAsia="en-US"/>
              </w:rPr>
              <w:t>písm. a) tretia zarážka</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a)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7</w:t>
            </w:r>
            <w:r>
              <w:rPr>
                <w:rFonts w:eastAsia="Calibri"/>
                <w:noProof/>
                <w:szCs w:val="22"/>
                <w:lang w:eastAsia="en-US"/>
              </w:rPr>
              <w:t xml:space="preserve"> ods. 1 písm. a)</w:t>
            </w:r>
          </w:p>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úvodný text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 ods. 8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 ods. 9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3 písm. a) úvodný text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a) prvá a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b) bod i)</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6 ods. 1 písm. b) bod i) prvá a druhá zarážka</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b) úvodný text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b)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b) bod ii)</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6 ods. 1 písm. b) bod ii) prvá zarážka</w:t>
            </w:r>
          </w:p>
        </w:tc>
      </w:tr>
      <w:tr w:rsidR="006C6719">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4 ods. 3 písm. b) druhá zarážka</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4 písm. b) piaty pododsek </w:t>
            </w:r>
          </w:p>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4 písm. c) druhá zarážka</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e) tretia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písm. b) </w:t>
            </w:r>
          </w:p>
        </w:tc>
      </w:tr>
      <w:tr w:rsidR="006C671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lastRenderedPageBreak/>
              <w:t xml:space="preserve">Článok 4 ods. 3 písm. c) úvodný text </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3 písm. c) bod i) úvodný text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c) bod ii) úvodný text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b) bod iii)</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b) bod iii) prvá zarážka</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6 ods. 1 </w:t>
            </w:r>
            <w:r>
              <w:rPr>
                <w:rFonts w:eastAsia="Calibri"/>
                <w:noProof/>
                <w:color w:val="000000"/>
                <w:szCs w:val="22"/>
                <w:lang w:eastAsia="en-US"/>
              </w:rPr>
              <w:t>písm. b) bod iii) druhá zarážka</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c) bod i)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písm. c) bod i)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3 písm. c) bod ii)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písm. c) bod ii)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úvodný text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úvodný text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 ods. 10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a) úvodný text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bod i) úvodný text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a)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a) druhá zarážka</w:t>
            </w:r>
            <w:r>
              <w:rPr>
                <w:rFonts w:eastAsia="Calibri"/>
                <w:noProof/>
                <w:szCs w:val="22"/>
                <w:lang w:eastAsia="en-US"/>
              </w:rPr>
              <w:t xml:space="preserve"> </w:t>
            </w:r>
            <w:r>
              <w:rPr>
                <w:rFonts w:eastAsia="Calibri"/>
                <w:noProof/>
                <w:szCs w:val="22"/>
                <w:lang w:eastAsia="en-US"/>
              </w:rPr>
              <w:br/>
            </w:r>
            <w:r>
              <w:rPr>
                <w:rFonts w:eastAsia="Calibri"/>
                <w:noProof/>
                <w:color w:val="000000"/>
                <w:szCs w:val="22"/>
                <w:lang w:eastAsia="en-US"/>
              </w:rPr>
              <w:t xml:space="preserve">Článok 2 ods. 7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6 ods. 1 písm. c) bod i)</w:t>
            </w:r>
            <w:r>
              <w:rPr>
                <w:rFonts w:eastAsia="Calibri"/>
                <w:noProof/>
                <w:szCs w:val="22"/>
                <w:lang w:eastAsia="en-US"/>
              </w:rPr>
              <w:t xml:space="preserve"> </w:t>
            </w:r>
            <w:r>
              <w:rPr>
                <w:rFonts w:eastAsia="Calibri"/>
                <w:noProof/>
                <w:szCs w:val="22"/>
                <w:lang w:eastAsia="en-US"/>
              </w:rPr>
              <w:br/>
            </w:r>
            <w:r>
              <w:rPr>
                <w:rFonts w:eastAsia="Calibri"/>
                <w:noProof/>
                <w:color w:val="000000"/>
                <w:szCs w:val="22"/>
                <w:lang w:eastAsia="en-US"/>
              </w:rPr>
              <w:t>Článok 2 ods. 11</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a) tretia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bod i) druhá zarážka </w:t>
            </w:r>
          </w:p>
        </w:tc>
      </w:tr>
      <w:tr w:rsidR="006C6719">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c) bod i) tretia zarážka</w:t>
            </w:r>
          </w:p>
        </w:tc>
      </w:tr>
      <w:tr w:rsidR="006C6719">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4 písm. b)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b) prvý až štvrtý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6 ods. 1 písm. c) bod ii) </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c) bod ii) prvý až štvrtý pododsek</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4 písm. c) úvodný text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c)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c) bod iii)</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c) bod iii) prvá zarážka</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d)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bod iv)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4 ods. 4 písm. e)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Článok 4 ods. 4 písm. e) prvá a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6 ods. 1 písm. c) bod v) </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lastRenderedPageBreak/>
              <w:t>Článok 6 ods. 1 písm. c) bod v) prvá a druhá zarážka</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Článok 4 ods. 4 písm. f)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bod vi)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4 písm. g)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g)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w:t>
            </w:r>
            <w:r>
              <w:rPr>
                <w:rFonts w:eastAsia="Calibri"/>
                <w:noProof/>
                <w:color w:val="000000"/>
                <w:szCs w:val="22"/>
                <w:lang w:eastAsia="en-US"/>
              </w:rPr>
              <w:t>bod vii) prvá zarážka</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4 písm. g) druhá zarážka</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i)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7 ods. 1 písm. d)</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7 ods. 1 písm. d)</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h)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1 písm. c) bod viii)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4 ods. 4 písm. i)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i)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6 ods. 1 písm. c) bod ix)</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j)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6 ods. 1 písm. c) bod x)</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4 ods. 4 písm. k) úvodný text </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k) prvá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 ods. 1 písm. c) bod xi)</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w:t>
            </w:r>
            <w:r>
              <w:rPr>
                <w:rFonts w:eastAsia="Calibri"/>
                <w:noProof/>
                <w:color w:val="000000"/>
                <w:szCs w:val="22"/>
                <w:lang w:eastAsia="en-US"/>
              </w:rPr>
              <w:t>ods. 1 písm. c) bod xi) prvá zarážka</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4 písm. k) druhá zarážka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písm. e)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5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6 prvý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2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6 druhý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6 tretí a štvrtý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4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4 ods. 7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5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8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5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8 ods. 1 druhý pododsek</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Článok 6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úvodný text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úvodný text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a)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b)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b)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c)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c)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d)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d)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f)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2 písm. f)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g)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2 písm. h)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3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3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6 ods. 4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ods. 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2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10 ods. 2 tretí pododsek</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bCs/>
                <w:noProof/>
                <w:color w:val="000000"/>
                <w:szCs w:val="24"/>
                <w:lang w:eastAsia="en-US"/>
              </w:rPr>
            </w:pPr>
            <w:r>
              <w:rPr>
                <w:rFonts w:eastAsia="Calibri"/>
                <w:noProof/>
                <w:color w:val="000000"/>
                <w:szCs w:val="22"/>
                <w:lang w:eastAsia="en-US"/>
              </w:rPr>
              <w:t>Článok 7 ods. 3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písm. a) a b)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10 ods. 3 úvodný text</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3 písm. a) a b)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prvý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6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druhý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3 prvý pododsek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tretí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2 tretí pododsek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štvrtý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szCs w:val="24"/>
                <w:lang w:eastAsia="en-US"/>
              </w:rPr>
            </w:pP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3 piaty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2 piaty pododsek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2 siedmy pododsek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7 ods. 4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Článok 7 ods. 5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ods. 7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8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4 ods. 8 a článok 8 ods. 2 pre prílohu I</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10 ods. 8 </w:t>
            </w:r>
            <w:r>
              <w:rPr>
                <w:rFonts w:eastAsia="Calibri"/>
                <w:noProof/>
                <w:color w:val="000000"/>
                <w:szCs w:val="22"/>
                <w:lang w:eastAsia="en-US"/>
              </w:rPr>
              <w:t>pre prílohy II, III, V a VI</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16 ods. 2 pre prílohu IV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9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22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10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16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1, 2 a 3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1, 2 a 3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4 prvý a tretí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13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4 druhý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13 ods. 2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Článok 13 ods. 3, 4</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5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6 prvý pododsek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12 ods. 2 prvá veta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ods. 6 druhý pododsek prvá veta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12 ods. 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11 </w:t>
            </w:r>
            <w:r>
              <w:rPr>
                <w:rFonts w:eastAsia="Calibri"/>
                <w:noProof/>
                <w:color w:val="000000"/>
                <w:szCs w:val="22"/>
                <w:lang w:eastAsia="en-US"/>
              </w:rPr>
              <w:t>ods. 6 druhý pododsek druhá veta</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12 ods. 2 druhá veta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12 ods. 1, 3, 4, 6, 7, 8 a 9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Článok 12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17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17 ods. 2, 3 a 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13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18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14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20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ods. 1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1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ods. 2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2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ods. 3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ods. 4 prvá veta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3 prvý pododsek prvá veta </w:t>
            </w:r>
          </w:p>
        </w:tc>
      </w:tr>
      <w:tr w:rsidR="006C6719">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19 ods. 3 prvý pododsek druhá veta</w:t>
            </w:r>
          </w:p>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3 druhý pododsek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15 ods. 4 druhá veta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3 tretí pododsek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ods. 4 a 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22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24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16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25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17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26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18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27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19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Článok 28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A1 a A2</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D</w:t>
            </w:r>
          </w:p>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E</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right"/>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1</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2 ods. 1</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1</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2 ods. 2</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B1 bod 2 ods. 1</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 xml:space="preserve">Článok 2 ods. 3 </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3</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2</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4</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3</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5 ods. 1</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4</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5 ods. 2</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5</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5 ods. 3</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6</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5 ods. 4</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7</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5</w:t>
            </w:r>
            <w:r>
              <w:rPr>
                <w:rFonts w:eastAsia="Calibri"/>
                <w:noProof/>
                <w:color w:val="000000"/>
                <w:szCs w:val="22"/>
                <w:lang w:eastAsia="en-US"/>
              </w:rPr>
              <w:t xml:space="preserve"> ods. 5</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8</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6</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7 ods. 1</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9</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7 ods. 2</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 ods. 10</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Článok 8</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B1</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II</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B2</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III</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B3</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IV</w:t>
            </w: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B4</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rPr>
                <w:rFonts w:eastAsia="Calibri"/>
                <w:noProof/>
                <w:color w:val="000000"/>
                <w:szCs w:val="24"/>
                <w:lang w:eastAsia="en-US"/>
              </w:rPr>
            </w:pPr>
            <w:r>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color w:val="000000"/>
                <w:szCs w:val="24"/>
                <w:lang w:eastAsia="en-US"/>
              </w:rPr>
            </w:pPr>
            <w:r>
              <w:rPr>
                <w:rFonts w:eastAsia="Calibri"/>
                <w:noProof/>
                <w:color w:val="000000"/>
                <w:szCs w:val="22"/>
                <w:lang w:eastAsia="en-US"/>
              </w:rPr>
              <w:t>príloha I časť C</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C6719">
            <w:pPr>
              <w:widowControl/>
              <w:spacing w:before="120" w:after="120"/>
              <w:jc w:val="both"/>
              <w:rPr>
                <w:rFonts w:eastAsia="Calibri"/>
                <w:noProof/>
                <w:color w:val="000000"/>
                <w:szCs w:val="24"/>
                <w:lang w:eastAsia="en-US"/>
              </w:rPr>
            </w:pP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II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III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III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IV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IV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VI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VII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w:t>
            </w:r>
          </w:p>
        </w:tc>
      </w:tr>
      <w:tr w:rsidR="006C6719">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 </w:t>
            </w:r>
          </w:p>
        </w:tc>
      </w:tr>
      <w:tr w:rsidR="006C6719">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VIII </w:t>
            </w:r>
          </w:p>
        </w:tc>
        <w:tc>
          <w:tcPr>
            <w:tcW w:w="2268" w:type="dxa"/>
            <w:tcBorders>
              <w:top w:val="single" w:sz="8" w:space="0" w:color="auto"/>
              <w:left w:val="single" w:sz="8" w:space="0" w:color="auto"/>
              <w:bottom w:val="single" w:sz="8" w:space="0" w:color="auto"/>
              <w:right w:val="single" w:sz="8" w:space="0" w:color="auto"/>
            </w:tcBorders>
          </w:tcPr>
          <w:p w:rsidR="006C6719" w:rsidRDefault="006C6719">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6719" w:rsidRDefault="00614864">
            <w:pPr>
              <w:widowControl/>
              <w:spacing w:before="120" w:after="120"/>
              <w:jc w:val="both"/>
              <w:rPr>
                <w:rFonts w:eastAsia="Calibri"/>
                <w:noProof/>
                <w:szCs w:val="24"/>
                <w:lang w:eastAsia="en-US"/>
              </w:rPr>
            </w:pPr>
            <w:r>
              <w:rPr>
                <w:rFonts w:eastAsia="Calibri"/>
                <w:noProof/>
                <w:color w:val="000000"/>
                <w:szCs w:val="22"/>
                <w:lang w:eastAsia="en-US"/>
              </w:rPr>
              <w:t xml:space="preserve">Príloha VII </w:t>
            </w:r>
          </w:p>
        </w:tc>
      </w:tr>
    </w:tbl>
    <w:p w:rsidR="006C6719" w:rsidRDefault="006C6719">
      <w:pPr>
        <w:pStyle w:val="NormalHanging12a"/>
      </w:pPr>
    </w:p>
    <w:sectPr w:rsidR="006C67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719" w:rsidRDefault="00614864">
      <w:r>
        <w:separator/>
      </w:r>
    </w:p>
  </w:endnote>
  <w:endnote w:type="continuationSeparator" w:id="0">
    <w:p w:rsidR="006C6719" w:rsidRDefault="00614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719" w:rsidRDefault="006C6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719" w:rsidRDefault="006C6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719" w:rsidRDefault="00614864">
      <w:r>
        <w:separator/>
      </w:r>
    </w:p>
  </w:footnote>
  <w:footnote w:type="continuationSeparator" w:id="0">
    <w:p w:rsidR="006C6719" w:rsidRDefault="00614864">
      <w:r>
        <w:continuationSeparator/>
      </w:r>
    </w:p>
  </w:footnote>
  <w:footnote w:id="1">
    <w:p w:rsidR="006C6719" w:rsidRDefault="00614864">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293, 18.8.2023, s. 133.</w:t>
      </w:r>
    </w:p>
  </w:footnote>
  <w:footnote w:id="2">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Ú. v. EÚ , , s. .</w:t>
      </w:r>
    </w:p>
  </w:footnote>
  <w:footnote w:id="3">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Ú. v. EÚ , , s. .</w:t>
      </w:r>
    </w:p>
  </w:footnote>
  <w:footnote w:id="4">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Nariadenie Európskeho parlamentu a Rady (EÚ) 2016/679 z 27. apríla 2016 o ochrane fyzických osôb pri spracúvaní osobných údajov a o </w:t>
      </w:r>
      <w:r>
        <w:rPr>
          <w:szCs w:val="24"/>
          <w:lang w:val="sk-SK"/>
        </w:rPr>
        <w:t>voľnom pohybe takýchto údajov, ktorým sa zrušuje smernica 95/46/ES (Ú. v. EÚ L 119, 4.5.2016, s. 1).</w:t>
      </w:r>
    </w:p>
  </w:footnote>
  <w:footnote w:id="5">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Smernica Európskeho parlamentu a Rady 2002/58/ES z 12. júla 2002 týkajúca sa spracovávania osobných údajov a ochrany súkromia v sektore elektronických ko</w:t>
      </w:r>
      <w:r>
        <w:rPr>
          <w:b/>
          <w:i/>
          <w:szCs w:val="24"/>
          <w:lang w:val="sk-SK"/>
        </w:rPr>
        <w:t>munikácií (Ú. v. ES L 201, 31.7.2002, s. 37).</w:t>
      </w:r>
    </w:p>
  </w:footnote>
  <w:footnote w:id="6">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Smernica Európskeho parlamentu a Rady 2006/126/ES z 20. decembra 2006 o vodičských preukazoch (Ú. v. EÚ L 403, 30.12.2006, s. 18).</w:t>
      </w:r>
    </w:p>
  </w:footnote>
  <w:footnote w:id="7">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Nariadenie Európskeho parlamentu a Rady (EÚ) 2018/1724 z 2. októbra 2018 o </w:t>
      </w:r>
      <w:r>
        <w:rPr>
          <w:szCs w:val="24"/>
          <w:lang w:val="sk-SK"/>
        </w:rPr>
        <w:t>zriadení jednotnej digitálnej brány na poskytovanie prístupu k informáciám, postupom a asistenčným službám a službám riešenia problémov a o zmene nariadenia (EÚ) č. 1024/2012 (Ú. v. EÚ L 295, 21.11.2018, s. 1).</w:t>
      </w:r>
    </w:p>
  </w:footnote>
  <w:footnote w:id="8">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Ú. v. EÚ C 167, 11.5.2023, s. 36.</w:t>
      </w:r>
    </w:p>
  </w:footnote>
  <w:footnote w:id="9">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Ú. v. E</w:t>
      </w:r>
      <w:r>
        <w:rPr>
          <w:b/>
          <w:i/>
          <w:szCs w:val="24"/>
          <w:lang w:val="sk-SK"/>
        </w:rPr>
        <w:t>Ú L 68, 13.3.2015, s. 9, ELI: http://data.europa.eu/eli/dir/2015/413/oj.</w:t>
      </w:r>
    </w:p>
  </w:footnote>
  <w:footnote w:id="10">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Ú. v. EÚ L 123, 12.5.2016, s. 1.</w:t>
      </w:r>
    </w:p>
  </w:footnote>
  <w:footnote w:id="11">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Nariadenie Európskeho parlamentu a Rady (EÚ) č. 182/2011 zo 16. februára 2011, ktorým sa ustanovujú pravidlá a všeobecné zásady mechanizmu, na zák</w:t>
      </w:r>
      <w:r>
        <w:rPr>
          <w:szCs w:val="24"/>
          <w:lang w:val="sk-SK"/>
        </w:rPr>
        <w:t>lade ktorého členské štáty kontrolujú vykonávanie vykonávacích právomocí Komisie (Ú. v. EÚ L 55, 28.2.2011, s. 13).</w:t>
      </w:r>
    </w:p>
  </w:footnote>
  <w:footnote w:id="12">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Smernica Európskeho parlamentu a Rady (EÚ) 2022/2561 zo 14. decembra 2022 o základnej kvalifikácii a pravidelnom výcviku vodičov určitých </w:t>
      </w:r>
      <w:r>
        <w:rPr>
          <w:szCs w:val="24"/>
          <w:lang w:val="sk-SK"/>
        </w:rPr>
        <w:t>cestných vozidiel nákladnej a osobnej dopravy (Ú. v. EÚ L 330, 23.12.2022, s. 46).</w:t>
      </w:r>
    </w:p>
  </w:footnote>
  <w:footnote w:id="13">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Nariadenie Komisie (EÚ) č. 383/2012 zo 4. mája 2012, ktorým sa stanovujú technické požiadavky s ohľadom na vodičské preukazy, ktoré obsahujú pamäťové médium (mikročip) (Ú.</w:t>
      </w:r>
      <w:r>
        <w:rPr>
          <w:szCs w:val="24"/>
          <w:lang w:val="sk-SK"/>
        </w:rPr>
        <w:t xml:space="preserve"> v. EÚ L 120, 5.5.2012, s. 1).</w:t>
      </w:r>
    </w:p>
  </w:footnote>
  <w:footnote w:id="14">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Ú. v. EÚ C 369, 17.12.2011, s. 14.</w:t>
      </w:r>
    </w:p>
  </w:footnote>
  <w:footnote w:id="15">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Nariadenie Európskeho parlamentu a Rady (EÚ) č. 168/2013 z 15. januára 2013 o schvaľovaní a dohľade nad trhom dvoj- alebo trojkolesových vozidiel a </w:t>
      </w:r>
      <w:proofErr w:type="spellStart"/>
      <w:r>
        <w:rPr>
          <w:szCs w:val="24"/>
          <w:lang w:val="sk-SK"/>
        </w:rPr>
        <w:t>štvorkoliek</w:t>
      </w:r>
      <w:proofErr w:type="spellEnd"/>
      <w:r>
        <w:rPr>
          <w:szCs w:val="24"/>
          <w:lang w:val="sk-SK"/>
        </w:rPr>
        <w:t xml:space="preserve"> (Ú. v. EÚ L 60, 2.3.2013, </w:t>
      </w:r>
      <w:r>
        <w:rPr>
          <w:szCs w:val="24"/>
          <w:lang w:val="sk-SK"/>
        </w:rPr>
        <w:t>s. 52).</w:t>
      </w:r>
    </w:p>
  </w:footnote>
  <w:footnote w:id="16">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Nariadenie Európskeho parlamentu a Rady (EÚ) 2018/858 z 30. mája 2018 o schvaľovaní motorových vozidiel a ich prípojných vozidiel, ako aj systémov, komponentov a samostatných technických jednotiek určených pre takéto vozidlá a o dohľade nad trhom</w:t>
      </w:r>
      <w:r>
        <w:rPr>
          <w:b/>
          <w:i/>
          <w:szCs w:val="24"/>
          <w:lang w:val="sk-SK"/>
        </w:rPr>
        <w:t xml:space="preserve"> s nimi, ktorým sa menia nariadenia (ES) č. 715/2007 a (ES) č. 595/2009 a zrušuje smernica 2007/46/ES (Ú. v. EÚ L 151, 14.6.2018, s. 1).</w:t>
      </w:r>
    </w:p>
  </w:footnote>
  <w:footnote w:id="17">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Nariadenie Európskeho parlamentu a Rady (EÚ) č. 910/2014 z 23. júla 2014 o elektronickej identifikácii a </w:t>
      </w:r>
      <w:r>
        <w:rPr>
          <w:szCs w:val="24"/>
          <w:lang w:val="sk-SK"/>
        </w:rPr>
        <w:t>dôveryhodných službách pre elektronické transakcie na vnútornom trhu (Ú. v. EÚ L 257, 28.8.2014, s. 73).</w:t>
      </w:r>
    </w:p>
  </w:footnote>
  <w:footnote w:id="18">
    <w:p w:rsidR="006C6719" w:rsidRDefault="00614864">
      <w:pPr>
        <w:pStyle w:val="FootnoteText"/>
        <w:ind w:left="709" w:hanging="709"/>
        <w:rPr>
          <w:strike/>
          <w:sz w:val="24"/>
          <w:szCs w:val="24"/>
          <w:lang w:val="sk-SK"/>
        </w:rPr>
      </w:pPr>
      <w:r>
        <w:rPr>
          <w:rStyle w:val="FootnoteReference"/>
          <w:strike/>
          <w:sz w:val="24"/>
          <w:szCs w:val="24"/>
        </w:rPr>
        <w:footnoteRef/>
      </w:r>
      <w:r>
        <w:rPr>
          <w:strike/>
          <w:sz w:val="24"/>
          <w:szCs w:val="24"/>
          <w:lang w:val="sk-SK"/>
        </w:rPr>
        <w:t xml:space="preserve"> </w:t>
      </w:r>
      <w:r>
        <w:rPr>
          <w:strike/>
          <w:sz w:val="24"/>
          <w:szCs w:val="24"/>
          <w:lang w:val="sk-SK"/>
        </w:rPr>
        <w:tab/>
        <w:t xml:space="preserve"> Smernica Rady 96/53/ES z 25. júla 1996, ktorou sa v Spoločenstve stanovujú najväčšie prípustné rozmery niektorých vozidiel vo vnútroštátnej a medzi</w:t>
      </w:r>
      <w:r>
        <w:rPr>
          <w:strike/>
          <w:sz w:val="24"/>
          <w:szCs w:val="24"/>
          <w:lang w:val="sk-SK"/>
        </w:rPr>
        <w:t>národnej cestnej doprave a maximálna povolená hmotnosť v medzinárodnej cestnej doprave (Ú. v. ES L 235, 17.9.1996, s. 59).</w:t>
      </w:r>
    </w:p>
  </w:footnote>
  <w:footnote w:id="19">
    <w:p w:rsidR="006C6719" w:rsidRDefault="00614864">
      <w:pPr>
        <w:pStyle w:val="FootnoteText"/>
        <w:ind w:left="709" w:hanging="709"/>
        <w:rPr>
          <w:b/>
          <w:i/>
          <w:sz w:val="24"/>
          <w:szCs w:val="24"/>
          <w:lang w:val="sk-SK"/>
        </w:rPr>
      </w:pPr>
      <w:r>
        <w:rPr>
          <w:rStyle w:val="FootnoteReference"/>
          <w:b/>
          <w:i/>
          <w:sz w:val="24"/>
          <w:szCs w:val="24"/>
        </w:rPr>
        <w:footnoteRef/>
      </w:r>
      <w:r>
        <w:rPr>
          <w:b/>
          <w:i/>
          <w:sz w:val="24"/>
          <w:szCs w:val="24"/>
          <w:lang w:val="sk-SK"/>
        </w:rPr>
        <w:t xml:space="preserve"> </w:t>
      </w:r>
      <w:r>
        <w:rPr>
          <w:b/>
          <w:i/>
          <w:sz w:val="24"/>
          <w:szCs w:val="24"/>
          <w:lang w:val="sk-SK"/>
        </w:rPr>
        <w:tab/>
        <w:t>Nariadenie Európskeho parlamentu a Rady (EÚ) 2018/858 z 30. mája 2018 o schvaľovaní motorových vozidiel a ich prípojných vozidiel,</w:t>
      </w:r>
      <w:r>
        <w:rPr>
          <w:b/>
          <w:i/>
          <w:sz w:val="24"/>
          <w:szCs w:val="24"/>
          <w:lang w:val="sk-SK"/>
        </w:rPr>
        <w:t xml:space="preserve"> ako aj systémov, komponentov a samostatných technických jednotiek určených pre takéto vozidlá a o dohľade nad trhom s nimi, ktorým sa menia nariadenia (ES) č. 715/2007 a (ES) č. 595/2009 a zrušuje smernica 2007/46/ES (Ú. v. EÚ L 151, 14.6.2018, s. 1).</w:t>
      </w:r>
    </w:p>
  </w:footnote>
  <w:footnote w:id="20">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S</w:t>
      </w:r>
      <w:r>
        <w:rPr>
          <w:b/>
          <w:i/>
          <w:szCs w:val="24"/>
          <w:lang w:val="sk-SK"/>
        </w:rPr>
        <w:t>mernica Európskeho parlamentu a Rady (EÚ) 2022/2561 zo 14. decembra 2022 o základnej kvalifikácii a pravidelnom výcviku vodičov určitých cestných vozidiel nákladnej a osobnej dopravy (Ú. v. EÚ L 330, 23.12.2022, s. 46).</w:t>
      </w:r>
    </w:p>
  </w:footnote>
  <w:footnote w:id="21">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r>
      <w:r>
        <w:rPr>
          <w:b/>
          <w:i/>
          <w:szCs w:val="24"/>
          <w:lang w:val="sk-SK"/>
        </w:rPr>
        <w:t xml:space="preserve">Smernica Európskeho parlamentu a </w:t>
      </w:r>
      <w:r>
        <w:rPr>
          <w:b/>
          <w:i/>
          <w:szCs w:val="24"/>
          <w:lang w:val="sk-SK"/>
        </w:rPr>
        <w:t>Rady (EÚ) 2015/413 z 11. marca 2015, ktorou sa uľahčuje cezhraničná výmena informácií o dopravných deliktoch súvisiacich s bezpečnosťou cestnej premávky (Ú. v. EÚ L 68, 13.3.2015, s. 9).</w:t>
      </w:r>
    </w:p>
  </w:footnote>
  <w:footnote w:id="22">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Rozhodnutie Komisie (EÚ) 2016/1945 zo 14. októbra 2016 o rovnocenno</w:t>
      </w:r>
      <w:r>
        <w:rPr>
          <w:szCs w:val="24"/>
          <w:lang w:val="sk-SK"/>
        </w:rPr>
        <w:t>sti skupín vodičských preukazov (Ú. v. EÚ L 302, 9.11.2016, s. 62).</w:t>
      </w:r>
    </w:p>
  </w:footnote>
  <w:footnote w:id="23">
    <w:p w:rsidR="006C6719" w:rsidRDefault="00614864">
      <w:pPr>
        <w:pStyle w:val="FootnoteTextForceStyle"/>
        <w:ind w:left="709" w:hanging="709"/>
        <w:rPr>
          <w:szCs w:val="24"/>
          <w:lang w:val="sk-SK"/>
        </w:rPr>
      </w:pPr>
      <w:r>
        <w:rPr>
          <w:szCs w:val="24"/>
          <w:vertAlign w:val="superscript"/>
          <w:lang w:val="sk-SK"/>
        </w:rPr>
        <w:footnoteRef/>
      </w:r>
      <w:r>
        <w:rPr>
          <w:szCs w:val="24"/>
          <w:lang w:val="sk-SK"/>
        </w:rPr>
        <w:tab/>
        <w:t xml:space="preserve">Smernica Európskeho parlamentu a Rady (EÚ) 2015/413 z 11. marca 2015, ktorou sa uľahčuje cezhraničná výmena informácií o dopravných deliktoch súvisiacich s bezpečnosťou cestnej premávky </w:t>
      </w:r>
      <w:r>
        <w:rPr>
          <w:szCs w:val="24"/>
          <w:lang w:val="sk-SK"/>
        </w:rPr>
        <w:t>(Ú. v. EÚ L 68, 13.3.2015, s. 9).</w:t>
      </w:r>
    </w:p>
  </w:footnote>
  <w:footnote w:id="24">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Táto sila označuje schopnosť vodiča ovládať systém.</w:t>
      </w:r>
    </w:p>
  </w:footnote>
  <w:footnote w:id="25">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Táto sila označuje schopnosť vodiča ovládať systém.</w:t>
      </w:r>
    </w:p>
  </w:footnote>
  <w:footnote w:id="26">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Táto sila označuje schopnosť vodiča ovládať systém.</w:t>
      </w:r>
    </w:p>
  </w:footnote>
  <w:footnote w:id="27">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Táto sila označuje schopnosť vodiča ovládať systém.</w:t>
      </w:r>
    </w:p>
  </w:footnote>
  <w:footnote w:id="28">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r>
      <w:r>
        <w:rPr>
          <w:sz w:val="24"/>
          <w:szCs w:val="24"/>
          <w:shd w:val="clear" w:color="auto" w:fill="FFFFFF"/>
          <w:lang w:val="sk-SK"/>
        </w:rPr>
        <w:t>Nari</w:t>
      </w:r>
      <w:r>
        <w:rPr>
          <w:sz w:val="24"/>
          <w:szCs w:val="24"/>
          <w:shd w:val="clear" w:color="auto" w:fill="FFFFFF"/>
          <w:lang w:val="sk-SK"/>
        </w:rPr>
        <w:t>adenie Európskeho parlamentu a Rady (EÚ) č. 165/2014 zo 4. februára 2014 o tachografoch v cestnej doprave, ktorým sa ruší nariadenie Rady (EHS) č. 3821/85 o záznamovom zariadení v cestnej doprave a mení nariadenie Európskeho parlamentu a Rady (ES) č. 561/2</w:t>
      </w:r>
      <w:r>
        <w:rPr>
          <w:sz w:val="24"/>
          <w:szCs w:val="24"/>
          <w:shd w:val="clear" w:color="auto" w:fill="FFFFFF"/>
          <w:lang w:val="sk-SK"/>
        </w:rPr>
        <w:t>006 o harmonizácii niektorých právnych predpisov v sociálnej oblasti, ktoré sa týkajú cestnej dopravy (Ú. v. EÚ L 60, 28.2.2014, s. 1).</w:t>
      </w:r>
    </w:p>
  </w:footnote>
  <w:footnote w:id="29">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Nariadenie Európskeho parlamentu a Rady (ES) č. 561/2006 z 15. marca 2006 o harmonizácii niektorých právnych predpisov</w:t>
      </w:r>
      <w:r>
        <w:rPr>
          <w:sz w:val="24"/>
          <w:szCs w:val="24"/>
          <w:lang w:val="sk-SK"/>
        </w:rPr>
        <w:t xml:space="preserve"> v sociálnej oblasti, ktoré sa týkajú cestnej dopravy, ktorým sa menia a dopĺňajú nariadenia Rady (EHS) č. 3821/85 a (ES) č. 2135/98 a zrušuje nariadenie Rady (EHS) č. 3820/85 (Ú. v. EÚ L 102, 11.4.2006, s. 1).</w:t>
      </w:r>
    </w:p>
  </w:footnote>
  <w:footnote w:id="30">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https://ec.europa.eu/eurostat/statistics-ex</w:t>
      </w:r>
      <w:r>
        <w:rPr>
          <w:sz w:val="24"/>
          <w:szCs w:val="24"/>
          <w:lang w:val="sk-SK"/>
        </w:rPr>
        <w:t>plained/index.php?title=International_Standard_Classification_of_Education_(ISCED)#Implementation_of_ISCED_2011_.28levels_of_education.29.</w:t>
      </w:r>
    </w:p>
  </w:footnote>
  <w:footnote w:id="31">
    <w:p w:rsidR="006C6719" w:rsidRDefault="00614864">
      <w:pPr>
        <w:pStyle w:val="FootnoteText"/>
        <w:ind w:left="709" w:hanging="709"/>
        <w:rPr>
          <w:sz w:val="24"/>
          <w:szCs w:val="24"/>
          <w:lang w:val="sk-SK"/>
        </w:rPr>
      </w:pPr>
      <w:r>
        <w:rPr>
          <w:rStyle w:val="FootnoteReference"/>
          <w:sz w:val="24"/>
          <w:szCs w:val="24"/>
        </w:rPr>
        <w:footnoteRef/>
      </w:r>
      <w:r>
        <w:rPr>
          <w:sz w:val="24"/>
          <w:szCs w:val="24"/>
          <w:lang w:val="sk-SK"/>
        </w:rPr>
        <w:tab/>
        <w:t xml:space="preserve">V súlade s požiadavkami na prístupnosť stanovenými v Európskom akte o prístupnosti, smernica Európskeho parlamentu </w:t>
      </w:r>
      <w:r>
        <w:rPr>
          <w:sz w:val="24"/>
          <w:szCs w:val="24"/>
          <w:lang w:val="sk-SK"/>
        </w:rPr>
        <w:t xml:space="preserve">a Rady (EÚ) 2019/882 zo 17. apríla 2019 o požiadavkách na prístupnosť výrobkov a služieb.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num>
  <w:num w:numId="14">
    <w:abstractNumId w:val="14"/>
    <w:lvlOverride w:ilvl="0">
      <w:startOverride w:val="1"/>
    </w:lvlOverride>
  </w:num>
  <w:num w:numId="15">
    <w:abstractNumId w:val="5"/>
  </w:num>
  <w:num w:numId="16">
    <w:abstractNumId w:val="8"/>
  </w:num>
  <w:num w:numId="17">
    <w:abstractNumId w:val="9"/>
  </w:num>
  <w:num w:numId="18">
    <w:abstractNumId w:val="2"/>
  </w:num>
  <w:num w:numId="19">
    <w:abstractNumId w:val="10"/>
  </w:num>
  <w:num w:numId="20">
    <w:abstractNumId w:val="12"/>
  </w:num>
  <w:num w:numId="21">
    <w:abstractNumId w:val="13"/>
  </w:num>
  <w:num w:numId="22">
    <w:abstractNumId w:val="4"/>
  </w:num>
  <w:num w:numId="23">
    <w:abstractNumId w:val="11"/>
  </w:num>
  <w:num w:numId="24">
    <w:abstractNumId w:val="17"/>
  </w:num>
  <w:num w:numId="25">
    <w:abstractNumId w:val="5"/>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SK"/>
    <w:docVar w:name="dvnumam" w:val="237"/>
    <w:docVar w:name="dvpe" w:val="750.248"/>
    <w:docVar w:name="dvrapporteur" w:val="Spravodajkyňa: "/>
    <w:docVar w:name="dvstar" w:val="***I"/>
    <w:docVar w:name="dvtitre" w:val="Legislatívne uznesenie Európskeho parlamentu z xx. februára 2024 o návrhu smernice Európskeho parlamentu a Rady o vodičských preukazoch, ktorou sa mení smernica Európskeho parlamentu a Rady (EÚ) 2022/2561, nariadenie Európskeho parlamentu a Rady (EÚ) 2018/1724 a zrušuje smernica Európskeho parlamentu a Rady 2006/126/ES a nariadenie Komisie (EÚ) č. 383/2012(COM(2023)0127 – C9-0035/2023 – 2023/0053(COD))"/>
  </w:docVars>
  <w:rsids>
    <w:rsidRoot w:val="006C6719"/>
    <w:rsid w:val="00614864"/>
    <w:rsid w:val="006C671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0C1C9"/>
  <w15:chartTrackingRefBased/>
  <w15:docId w15:val="{CEB5996E-DC33-492E-A235-F97AA6AA0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uiPriority w:val="39"/>
    <w:semiHidden/>
    <w:pPr>
      <w:keepNext/>
      <w:keepLines/>
      <w:widowControl/>
    </w:pPr>
    <w:rPr>
      <w:b/>
      <w:noProof/>
      <w:lang w:val="fr-FR" w:eastAsia="fr-FR"/>
    </w:rPr>
  </w:style>
  <w:style w:type="paragraph" w:styleId="TOC3">
    <w:name w:val="toc 3"/>
    <w:basedOn w:val="Normal"/>
    <w:next w:val="Normal"/>
    <w:autoRedefine/>
    <w:uiPriority w:val="39"/>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Pr>
      <w:b/>
      <w:sz w:val="24"/>
      <w:lang w:val="sk-SK"/>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FooterChar">
    <w:name w:val="Footer Char"/>
    <w:basedOn w:val="DefaultParagraphFont"/>
    <w:link w:val="Footer"/>
    <w:uiPriority w:val="99"/>
    <w:rPr>
      <w:sz w:val="22"/>
    </w:rPr>
  </w:style>
  <w:style w:type="paragraph" w:styleId="Footer">
    <w:name w:val="footer"/>
    <w:link w:val="FooterChar"/>
    <w:uiPriority w:val="99"/>
    <w:unhideWhenUsed/>
    <w:pPr>
      <w:tabs>
        <w:tab w:val="center" w:pos="4536"/>
        <w:tab w:val="right" w:pos="9072"/>
      </w:tabs>
      <w:spacing w:before="240" w:after="240" w:line="220" w:lineRule="auto"/>
    </w:pPr>
    <w:rPr>
      <w:sz w:val="22"/>
    </w:rPr>
  </w:style>
  <w:style w:type="character" w:customStyle="1" w:styleId="FooterChar1">
    <w:name w:val="Footer Char1"/>
    <w:basedOn w:val="DefaultParagraphFont"/>
    <w:rPr>
      <w:sz w:val="24"/>
      <w:lang w:val="sk-SK"/>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paragraph" w:customStyle="1" w:styleId="Normal12Italic">
    <w:name w:val="Normal12Italic"/>
    <w:basedOn w:val="Normal12"/>
    <w:rPr>
      <w:i/>
    </w:rPr>
  </w:style>
  <w:style w:type="paragraph" w:customStyle="1" w:styleId="Footer2">
    <w:name w:val="Footer2"/>
    <w:basedOn w:val="Normal12"/>
    <w:pPr>
      <w:tabs>
        <w:tab w:val="center" w:pos="4535"/>
        <w:tab w:val="right" w:pos="9923"/>
      </w:tabs>
      <w:spacing w:line="480" w:lineRule="auto"/>
      <w:ind w:left="-851"/>
    </w:pPr>
    <w:rPr>
      <w:rFonts w:ascii="Arial" w:cs="Arial"/>
      <w:b/>
      <w:sz w:val="48"/>
    </w:rPr>
  </w:style>
  <w:style w:type="paragraph" w:customStyle="1" w:styleId="EntPE">
    <w:name w:val="EntPE"/>
    <w:basedOn w:val="Normal12"/>
    <w:pPr>
      <w:jc w:val="center"/>
    </w:pPr>
    <w:rPr>
      <w:noProof w:val="0"/>
      <w:sz w:val="56"/>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pPr>
      <w:spacing w:after="240"/>
      <w:jc w:val="center"/>
    </w:pPr>
    <w:rPr>
      <w:i/>
    </w:rPr>
  </w:style>
  <w:style w:type="paragraph" w:customStyle="1" w:styleId="Olang">
    <w:name w:val="Olang"/>
    <w:basedOn w:val="Normal"/>
    <w:pPr>
      <w:spacing w:before="240" w:after="240"/>
      <w:jc w:val="right"/>
    </w:pPr>
    <w:rPr>
      <w:noProof/>
      <w:szCs w:val="24"/>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paragraph">
    <w:name w:val="paragraph"/>
    <w:basedOn w:val="Normal"/>
    <w:pPr>
      <w:widowControl/>
      <w:spacing w:before="100" w:beforeAutospacing="1" w:after="100" w:afterAutospacing="1"/>
    </w:pPr>
    <w:rPr>
      <w:szCs w:val="24"/>
      <w:lang w:eastAsia="en-US"/>
    </w:rPr>
  </w:style>
  <w:style w:type="character" w:customStyle="1" w:styleId="normaltextrun">
    <w:name w:val="normaltextrun"/>
    <w:basedOn w:val="DefaultParagraphFont"/>
  </w:style>
  <w:style w:type="character" w:customStyle="1" w:styleId="eop">
    <w:name w:val="eop"/>
    <w:basedOn w:val="DefaultParagraphFont"/>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lang w:val="sk-SK"/>
    </w:rPr>
  </w:style>
  <w:style w:type="paragraph" w:styleId="Revision">
    <w:name w:val="Revision"/>
    <w:hidden/>
    <w:uiPriority w:val="99"/>
    <w:semiHidden/>
    <w:rPr>
      <w:sz w:val="24"/>
      <w:lang w:val="sk-SK"/>
    </w:rPr>
  </w:style>
  <w:style w:type="paragraph" w:customStyle="1" w:styleId="CrossRef">
    <w:name w:val="CrossRef"/>
    <w:basedOn w:val="Normal"/>
    <w:pPr>
      <w:spacing w:before="240"/>
      <w:jc w:val="center"/>
    </w:pPr>
    <w:rPr>
      <w:i/>
    </w:rPr>
  </w:style>
  <w:style w:type="character" w:customStyle="1" w:styleId="NormalBold12bChar">
    <w:name w:val="NormalBold12b Char"/>
    <w:basedOn w:val="DefaultParagraphFont"/>
    <w:link w:val="NormalBold12b"/>
    <w:rPr>
      <w:b/>
      <w:sz w:val="24"/>
      <w:lang w:val="sk-SK"/>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character" w:styleId="Hyperlink">
    <w:name w:val="Hyperlink"/>
    <w:basedOn w:val="DefaultParagraphFont"/>
    <w:uiPriority w:val="99"/>
    <w:rPr>
      <w:color w:val="0563C1" w:themeColor="hyperlink"/>
      <w:u w:val="single"/>
    </w:rPr>
  </w:style>
  <w:style w:type="character" w:styleId="Emphasis">
    <w:name w:val="Emphasis"/>
    <w:basedOn w:val="DefaultParagraphFont"/>
    <w:uiPriority w:val="20"/>
    <w:qFormat/>
    <w:rPr>
      <w:i/>
      <w:iCs/>
    </w:rPr>
  </w:style>
  <w:style w:type="paragraph" w:customStyle="1" w:styleId="AmDocTypeTab">
    <w:name w:val="AmDocTypeTab"/>
    <w:basedOn w:val="Normal"/>
    <w:pPr>
      <w:tabs>
        <w:tab w:val="right" w:pos="9070"/>
      </w:tabs>
    </w:pPr>
    <w:rPr>
      <w:b/>
      <w:szCs w:val="24"/>
      <w:lang w:eastAsia="en-US"/>
    </w:rPr>
  </w:style>
  <w:style w:type="paragraph" w:customStyle="1" w:styleId="FootnoteTextForceStyle">
    <w:name w:val="Footnote Text ForceStyle"/>
    <w:pPr>
      <w:keepLines/>
      <w:widowControl w:val="0"/>
      <w:ind w:left="850" w:hanging="850"/>
    </w:pPr>
    <w:rPr>
      <w:sz w:val="24"/>
      <w:lang w:eastAsia="en-US"/>
    </w:rPr>
  </w:style>
  <w:style w:type="paragraph" w:customStyle="1" w:styleId="Institutionquisigne">
    <w:name w:val="Institution qui signe"/>
    <w:basedOn w:val="Normal"/>
    <w:next w:val="Normal"/>
    <w:pPr>
      <w:keepNext/>
      <w:widowControl/>
      <w:tabs>
        <w:tab w:val="left" w:pos="4252"/>
      </w:tabs>
      <w:spacing w:before="720"/>
      <w:jc w:val="both"/>
    </w:pPr>
    <w:rPr>
      <w:rFonts w:eastAsiaTheme="minorHAnsi"/>
      <w:i/>
      <w:szCs w:val="22"/>
      <w:lang w:eastAsia="en-US"/>
    </w:rPr>
  </w:style>
  <w:style w:type="numbering" w:customStyle="1" w:styleId="NoList1">
    <w:name w:val="No List1"/>
    <w:next w:val="NoList"/>
    <w:uiPriority w:val="99"/>
    <w:semiHidden/>
    <w:unhideWhenUsed/>
  </w:style>
  <w:style w:type="table" w:customStyle="1" w:styleId="TableGrid1">
    <w:name w:val="Table Grid1"/>
    <w:basedOn w:val="TableNormal"/>
    <w:next w:val="TableGrid"/>
    <w:uiPriority w:val="59"/>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pPr>
      <w:widowControl/>
      <w:tabs>
        <w:tab w:val="num" w:pos="643"/>
      </w:tabs>
      <w:spacing w:before="120" w:after="120"/>
      <w:ind w:left="643" w:hanging="360"/>
      <w:contextualSpacing/>
      <w:jc w:val="both"/>
    </w:pPr>
    <w:rPr>
      <w:rFonts w:eastAsia="Calibri"/>
      <w:szCs w:val="22"/>
      <w:lang w:eastAsia="en-US"/>
    </w:rPr>
  </w:style>
  <w:style w:type="character" w:customStyle="1" w:styleId="tabchar">
    <w:name w:val="tabchar"/>
    <w:basedOn w:val="DefaultParagraphFont"/>
  </w:style>
  <w:style w:type="paragraph" w:customStyle="1" w:styleId="Caption1">
    <w:name w:val="Caption1"/>
    <w:basedOn w:val="Normal"/>
    <w:next w:val="Normal"/>
    <w:uiPriority w:val="35"/>
    <w:semiHidden/>
    <w:unhideWhenUsed/>
    <w:qFormat/>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pPr>
      <w:widowControl/>
      <w:numPr>
        <w:numId w:val="6"/>
      </w:numPr>
      <w:tabs>
        <w:tab w:val="num" w:pos="360"/>
      </w:tabs>
      <w:spacing w:before="120" w:after="120"/>
      <w:ind w:left="360"/>
      <w:contextualSpacing/>
      <w:jc w:val="both"/>
    </w:pPr>
    <w:rPr>
      <w:rFonts w:eastAsia="Calibri"/>
      <w:b/>
      <w:szCs w:val="22"/>
      <w:lang w:eastAsia="en-US"/>
    </w:rPr>
  </w:style>
  <w:style w:type="paragraph" w:styleId="TableofFigures">
    <w:name w:val="table of figures"/>
    <w:basedOn w:val="Normal"/>
    <w:next w:val="Normal"/>
    <w:uiPriority w:val="99"/>
    <w:unhideWhenUsed/>
    <w:pPr>
      <w:widowControl/>
      <w:spacing w:before="120"/>
      <w:jc w:val="both"/>
    </w:pPr>
    <w:rPr>
      <w:rFonts w:eastAsia="Calibri"/>
      <w:szCs w:val="22"/>
      <w:lang w:eastAsia="en-US"/>
    </w:rPr>
  </w:style>
  <w:style w:type="paragraph" w:styleId="ListBullet2">
    <w:name w:val="List Bullet 2"/>
    <w:basedOn w:val="Normal"/>
    <w:uiPriority w:val="99"/>
    <w:unhideWhenUsed/>
    <w:pPr>
      <w:widowControl/>
      <w:tabs>
        <w:tab w:val="num" w:pos="926"/>
      </w:tabs>
      <w:spacing w:before="120" w:after="120"/>
      <w:ind w:left="926" w:hanging="360"/>
      <w:contextualSpacing/>
      <w:jc w:val="both"/>
    </w:pPr>
    <w:rPr>
      <w:rFonts w:eastAsia="Calibri"/>
      <w:szCs w:val="22"/>
      <w:lang w:eastAsia="en-US"/>
    </w:rPr>
  </w:style>
  <w:style w:type="paragraph" w:styleId="ListBullet3">
    <w:name w:val="List Bullet 3"/>
    <w:basedOn w:val="Normal"/>
    <w:uiPriority w:val="99"/>
    <w:unhideWhenUsed/>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pPr>
      <w:widowControl/>
      <w:tabs>
        <w:tab w:val="num" w:pos="1209"/>
      </w:tabs>
      <w:spacing w:before="120" w:after="120"/>
      <w:ind w:left="1209" w:hanging="360"/>
      <w:contextualSpacing/>
      <w:jc w:val="both"/>
    </w:pPr>
    <w:rPr>
      <w:rFonts w:eastAsia="Calibri"/>
      <w:szCs w:val="22"/>
      <w:lang w:eastAsia="en-US"/>
    </w:rPr>
  </w:style>
  <w:style w:type="paragraph" w:styleId="ListNumber">
    <w:name w:val="List Number"/>
    <w:basedOn w:val="Normal"/>
    <w:uiPriority w:val="99"/>
    <w:unhideWhenUsed/>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pPr>
      <w:widowControl/>
      <w:tabs>
        <w:tab w:val="num" w:pos="1492"/>
      </w:tabs>
      <w:spacing w:before="120" w:after="120"/>
      <w:ind w:left="1492" w:hanging="360"/>
      <w:contextualSpacing/>
      <w:jc w:val="both"/>
    </w:pPr>
    <w:rPr>
      <w:rFonts w:eastAsia="Calibri"/>
      <w:szCs w:val="22"/>
      <w:lang w:eastAsia="en-US"/>
    </w:rPr>
  </w:style>
  <w:style w:type="paragraph" w:styleId="ListNumber3">
    <w:name w:val="List Number 3"/>
    <w:basedOn w:val="Normal"/>
    <w:uiPriority w:val="99"/>
    <w:unhideWhenUsed/>
    <w:pPr>
      <w:widowControl/>
      <w:tabs>
        <w:tab w:val="num" w:pos="1492"/>
      </w:tabs>
      <w:spacing w:before="120" w:after="120"/>
      <w:ind w:left="1492" w:hanging="360"/>
      <w:contextualSpacing/>
      <w:jc w:val="both"/>
    </w:pPr>
    <w:rPr>
      <w:rFonts w:eastAsia="Calibri"/>
      <w:szCs w:val="22"/>
      <w:lang w:eastAsia="en-US"/>
    </w:rPr>
  </w:style>
  <w:style w:type="paragraph" w:styleId="ListNumber4">
    <w:name w:val="List Number 4"/>
    <w:basedOn w:val="Normal"/>
    <w:uiPriority w:val="99"/>
    <w:unhideWhenUsed/>
    <w:pPr>
      <w:widowControl/>
      <w:tabs>
        <w:tab w:val="num" w:pos="360"/>
      </w:tabs>
      <w:spacing w:before="120" w:after="120"/>
      <w:ind w:left="360" w:hanging="360"/>
      <w:contextualSpacing/>
      <w:jc w:val="both"/>
    </w:pPr>
    <w:rPr>
      <w:rFonts w:eastAsia="Calibri"/>
      <w:szCs w:val="22"/>
      <w:lang w:eastAsia="en-US"/>
    </w:rPr>
  </w:style>
  <w:style w:type="paragraph" w:customStyle="1" w:styleId="CM1">
    <w:name w:val="CM1"/>
    <w:basedOn w:val="Normal"/>
    <w:next w:val="Normal"/>
    <w:uiPriority w:val="99"/>
    <w:pPr>
      <w:widowControl/>
      <w:autoSpaceDE w:val="0"/>
      <w:autoSpaceDN w:val="0"/>
      <w:adjustRightInd w:val="0"/>
    </w:pPr>
    <w:rPr>
      <w:rFonts w:eastAsia="Calibri"/>
      <w:szCs w:val="24"/>
      <w:lang w:eastAsia="en-US"/>
    </w:rPr>
  </w:style>
  <w:style w:type="paragraph" w:customStyle="1" w:styleId="CM3">
    <w:name w:val="CM3"/>
    <w:basedOn w:val="Normal"/>
    <w:next w:val="Normal"/>
    <w:uiPriority w:val="99"/>
    <w:pPr>
      <w:widowControl/>
      <w:autoSpaceDE w:val="0"/>
      <w:autoSpaceDN w:val="0"/>
      <w:adjustRightInd w:val="0"/>
    </w:pPr>
    <w:rPr>
      <w:rFonts w:eastAsia="Calibri"/>
      <w:szCs w:val="24"/>
      <w:lang w:eastAsia="en-US"/>
    </w:rPr>
  </w:style>
  <w:style w:type="character" w:styleId="Strong">
    <w:name w:val="Strong"/>
    <w:basedOn w:val="DefaultParagraphFont"/>
    <w:uiPriority w:val="22"/>
    <w:qFormat/>
    <w:rPr>
      <w:b/>
      <w:bCs/>
    </w:rPr>
  </w:style>
  <w:style w:type="character" w:styleId="BookTitle">
    <w:name w:val="Book Title"/>
    <w:basedOn w:val="DefaultParagraphFont"/>
    <w:uiPriority w:val="33"/>
    <w:qFormat/>
    <w:rPr>
      <w:b/>
      <w:bCs/>
      <w:i/>
      <w:iCs/>
      <w:spacing w:val="5"/>
    </w:rPr>
  </w:style>
  <w:style w:type="paragraph" w:customStyle="1" w:styleId="nortter">
    <w:name w:val="nortter)"/>
    <w:basedOn w:val="Point0letter"/>
    <w:pPr>
      <w:numPr>
        <w:ilvl w:val="0"/>
        <w:numId w:val="0"/>
      </w:numPr>
      <w:tabs>
        <w:tab w:val="num" w:pos="850"/>
      </w:tabs>
      <w:ind w:left="850" w:hanging="850"/>
    </w:pPr>
  </w:style>
  <w:style w:type="character" w:customStyle="1" w:styleId="ui-provider">
    <w:name w:val="ui-provider"/>
    <w:basedOn w:val="DefaultParagraphFont"/>
  </w:style>
  <w:style w:type="paragraph" w:styleId="NormalWeb">
    <w:name w:val="Normal (Web)"/>
    <w:basedOn w:val="Normal"/>
    <w:uiPriority w:val="99"/>
    <w:unhideWhenUsed/>
    <w:pPr>
      <w:widowControl/>
      <w:spacing w:before="100" w:beforeAutospacing="1" w:after="100" w:afterAutospacing="1"/>
    </w:pPr>
    <w:rPr>
      <w:szCs w:val="24"/>
      <w:lang w:eastAsia="en-US"/>
    </w:rPr>
  </w:style>
  <w:style w:type="paragraph" w:styleId="TOC4">
    <w:name w:val="toc 4"/>
    <w:basedOn w:val="Normal"/>
    <w:next w:val="Normal"/>
    <w:uiPriority w:val="39"/>
    <w:unhideWhenUse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pPr>
      <w:widowControl/>
      <w:spacing w:after="120"/>
      <w:jc w:val="right"/>
    </w:pPr>
    <w:rPr>
      <w:rFonts w:eastAsia="Calibr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pPr>
      <w:widowControl/>
      <w:spacing w:before="120" w:after="120"/>
      <w:ind w:left="850"/>
      <w:jc w:val="both"/>
    </w:pPr>
    <w:rPr>
      <w:rFonts w:eastAsia="Calibri"/>
      <w:szCs w:val="22"/>
      <w:lang w:eastAsia="en-US"/>
    </w:rPr>
  </w:style>
  <w:style w:type="paragraph" w:customStyle="1" w:styleId="Text2">
    <w:name w:val="Text 2"/>
    <w:basedOn w:val="Normal"/>
    <w:pPr>
      <w:widowControl/>
      <w:spacing w:before="120" w:after="120"/>
      <w:ind w:left="1417"/>
      <w:jc w:val="both"/>
    </w:pPr>
    <w:rPr>
      <w:rFonts w:eastAsia="Calibri"/>
      <w:szCs w:val="22"/>
      <w:lang w:eastAsia="en-US"/>
    </w:rPr>
  </w:style>
  <w:style w:type="paragraph" w:customStyle="1" w:styleId="Text3">
    <w:name w:val="Text 3"/>
    <w:basedOn w:val="Normal"/>
    <w:pPr>
      <w:widowControl/>
      <w:spacing w:before="120" w:after="120"/>
      <w:ind w:left="1984"/>
      <w:jc w:val="both"/>
    </w:pPr>
    <w:rPr>
      <w:rFonts w:eastAsia="Calibri"/>
      <w:szCs w:val="22"/>
      <w:lang w:eastAsia="en-US"/>
    </w:rPr>
  </w:style>
  <w:style w:type="paragraph" w:customStyle="1" w:styleId="Text4">
    <w:name w:val="Text 4"/>
    <w:basedOn w:val="Normal"/>
    <w:pPr>
      <w:widowControl/>
      <w:spacing w:before="120" w:after="120"/>
      <w:ind w:left="2551"/>
      <w:jc w:val="both"/>
    </w:pPr>
    <w:rPr>
      <w:rFonts w:eastAsia="Calibri"/>
      <w:szCs w:val="22"/>
      <w:lang w:eastAsia="en-US"/>
    </w:rPr>
  </w:style>
  <w:style w:type="paragraph" w:customStyle="1" w:styleId="Text5">
    <w:name w:val="Text 5"/>
    <w:basedOn w:val="Normal"/>
    <w:pPr>
      <w:widowControl/>
      <w:spacing w:before="120" w:after="120"/>
      <w:ind w:left="3118"/>
      <w:jc w:val="both"/>
    </w:pPr>
    <w:rPr>
      <w:rFonts w:eastAsia="Calibri"/>
      <w:szCs w:val="22"/>
      <w:lang w:eastAsia="en-US"/>
    </w:rPr>
  </w:style>
  <w:style w:type="paragraph" w:customStyle="1" w:styleId="Text6">
    <w:name w:val="Text 6"/>
    <w:basedOn w:val="Normal"/>
    <w:pPr>
      <w:widowControl/>
      <w:spacing w:before="120" w:after="120"/>
      <w:ind w:left="3685"/>
      <w:jc w:val="both"/>
    </w:pPr>
    <w:rPr>
      <w:rFonts w:eastAsia="Calibri"/>
      <w:szCs w:val="22"/>
      <w:lang w:eastAsia="en-US"/>
    </w:rPr>
  </w:style>
  <w:style w:type="paragraph" w:customStyle="1" w:styleId="NormalCentered">
    <w:name w:val="Normal Centered"/>
    <w:basedOn w:val="Normal"/>
    <w:pPr>
      <w:widowControl/>
      <w:spacing w:before="120" w:after="120"/>
      <w:jc w:val="center"/>
    </w:pPr>
    <w:rPr>
      <w:rFonts w:eastAsia="Calibri"/>
      <w:szCs w:val="22"/>
      <w:lang w:eastAsia="en-US"/>
    </w:rPr>
  </w:style>
  <w:style w:type="paragraph" w:customStyle="1" w:styleId="NormalLeft">
    <w:name w:val="Normal Left"/>
    <w:basedOn w:val="Normal"/>
    <w:pPr>
      <w:widowControl/>
      <w:spacing w:before="120" w:after="120"/>
    </w:pPr>
    <w:rPr>
      <w:rFonts w:eastAsia="Calibri"/>
      <w:szCs w:val="22"/>
      <w:lang w:eastAsia="en-US"/>
    </w:rPr>
  </w:style>
  <w:style w:type="paragraph" w:customStyle="1" w:styleId="NormalRight">
    <w:name w:val="Normal Right"/>
    <w:basedOn w:val="Normal"/>
    <w:pPr>
      <w:widowControl/>
      <w:spacing w:before="120" w:after="120"/>
      <w:jc w:val="right"/>
    </w:pPr>
    <w:rPr>
      <w:rFonts w:eastAsia="Calibri"/>
      <w:szCs w:val="22"/>
      <w:lang w:eastAsia="en-US"/>
    </w:rPr>
  </w:style>
  <w:style w:type="paragraph" w:customStyle="1" w:styleId="QuotedText">
    <w:name w:val="Quoted Text"/>
    <w:basedOn w:val="Normal"/>
    <w:pPr>
      <w:widowControl/>
      <w:spacing w:before="120" w:after="120"/>
      <w:ind w:left="1417"/>
      <w:jc w:val="both"/>
    </w:pPr>
    <w:rPr>
      <w:rFonts w:eastAsia="Calibri"/>
      <w:szCs w:val="22"/>
      <w:lang w:eastAsia="en-US"/>
    </w:rPr>
  </w:style>
  <w:style w:type="paragraph" w:customStyle="1" w:styleId="Point0">
    <w:name w:val="Point 0"/>
    <w:basedOn w:val="Normal"/>
    <w:pPr>
      <w:widowControl/>
      <w:spacing w:before="120" w:after="120"/>
      <w:ind w:left="850" w:hanging="850"/>
      <w:jc w:val="both"/>
    </w:pPr>
    <w:rPr>
      <w:rFonts w:eastAsia="Calibri"/>
      <w:szCs w:val="22"/>
      <w:lang w:eastAsia="en-US"/>
    </w:rPr>
  </w:style>
  <w:style w:type="paragraph" w:customStyle="1" w:styleId="Point1">
    <w:name w:val="Point 1"/>
    <w:basedOn w:val="Normal"/>
    <w:pPr>
      <w:widowControl/>
      <w:spacing w:before="120" w:after="120"/>
      <w:ind w:left="1417" w:hanging="567"/>
      <w:jc w:val="both"/>
    </w:pPr>
    <w:rPr>
      <w:rFonts w:eastAsia="Calibri"/>
      <w:szCs w:val="22"/>
      <w:lang w:eastAsia="en-US"/>
    </w:rPr>
  </w:style>
  <w:style w:type="paragraph" w:customStyle="1" w:styleId="Point2">
    <w:name w:val="Point 2"/>
    <w:basedOn w:val="Normal"/>
    <w:pPr>
      <w:widowControl/>
      <w:spacing w:before="120" w:after="120"/>
      <w:ind w:left="1984" w:hanging="567"/>
      <w:jc w:val="both"/>
    </w:pPr>
    <w:rPr>
      <w:rFonts w:eastAsia="Calibri"/>
      <w:szCs w:val="22"/>
      <w:lang w:eastAsia="en-US"/>
    </w:rPr>
  </w:style>
  <w:style w:type="paragraph" w:customStyle="1" w:styleId="Point3">
    <w:name w:val="Point 3"/>
    <w:basedOn w:val="Normal"/>
    <w:pPr>
      <w:widowControl/>
      <w:spacing w:before="120" w:after="120"/>
      <w:ind w:left="2551" w:hanging="567"/>
      <w:jc w:val="both"/>
    </w:pPr>
    <w:rPr>
      <w:rFonts w:eastAsia="Calibri"/>
      <w:szCs w:val="22"/>
      <w:lang w:eastAsia="en-US"/>
    </w:rPr>
  </w:style>
  <w:style w:type="paragraph" w:customStyle="1" w:styleId="Point4">
    <w:name w:val="Point 4"/>
    <w:basedOn w:val="Normal"/>
    <w:pPr>
      <w:widowControl/>
      <w:spacing w:before="120" w:after="120"/>
      <w:ind w:left="3118" w:hanging="567"/>
      <w:jc w:val="both"/>
    </w:pPr>
    <w:rPr>
      <w:rFonts w:eastAsia="Calibri"/>
      <w:szCs w:val="22"/>
      <w:lang w:eastAsia="en-US"/>
    </w:rPr>
  </w:style>
  <w:style w:type="paragraph" w:customStyle="1" w:styleId="Point5">
    <w:name w:val="Point 5"/>
    <w:basedOn w:val="Normal"/>
    <w:pPr>
      <w:widowControl/>
      <w:spacing w:before="120" w:after="120"/>
      <w:ind w:left="3685" w:hanging="567"/>
      <w:jc w:val="both"/>
    </w:pPr>
    <w:rPr>
      <w:rFonts w:eastAsia="Calibri"/>
      <w:szCs w:val="22"/>
      <w:lang w:eastAsia="en-US"/>
    </w:rPr>
  </w:style>
  <w:style w:type="paragraph" w:customStyle="1" w:styleId="Tiret0">
    <w:name w:val="Tiret 0"/>
    <w:basedOn w:val="Point0"/>
    <w:pPr>
      <w:numPr>
        <w:numId w:val="14"/>
      </w:numPr>
      <w:tabs>
        <w:tab w:val="clear" w:pos="850"/>
        <w:tab w:val="num" w:pos="360"/>
      </w:tabs>
      <w:ind w:left="360" w:hanging="360"/>
    </w:pPr>
  </w:style>
  <w:style w:type="paragraph" w:customStyle="1" w:styleId="Tiret1">
    <w:name w:val="Tiret 1"/>
    <w:basedOn w:val="Point1"/>
    <w:pPr>
      <w:numPr>
        <w:numId w:val="3"/>
      </w:numPr>
      <w:tabs>
        <w:tab w:val="clear" w:pos="1417"/>
        <w:tab w:val="num" w:pos="643"/>
      </w:tabs>
      <w:ind w:left="643" w:hanging="360"/>
    </w:pPr>
  </w:style>
  <w:style w:type="paragraph" w:customStyle="1" w:styleId="Tiret2">
    <w:name w:val="Tiret 2"/>
    <w:basedOn w:val="Point2"/>
    <w:pPr>
      <w:numPr>
        <w:numId w:val="13"/>
      </w:numPr>
      <w:tabs>
        <w:tab w:val="clear" w:pos="1984"/>
        <w:tab w:val="num" w:pos="926"/>
      </w:tabs>
      <w:ind w:left="926" w:hanging="360"/>
    </w:pPr>
  </w:style>
  <w:style w:type="paragraph" w:customStyle="1" w:styleId="Tiret3">
    <w:name w:val="Tiret 3"/>
    <w:basedOn w:val="Point3"/>
    <w:pPr>
      <w:numPr>
        <w:numId w:val="15"/>
      </w:numPr>
      <w:tabs>
        <w:tab w:val="clear" w:pos="2551"/>
        <w:tab w:val="num" w:pos="1209"/>
      </w:tabs>
      <w:ind w:left="1209" w:hanging="360"/>
    </w:pPr>
  </w:style>
  <w:style w:type="paragraph" w:customStyle="1" w:styleId="Tiret4">
    <w:name w:val="Tiret 4"/>
    <w:basedOn w:val="Point4"/>
    <w:pPr>
      <w:numPr>
        <w:numId w:val="16"/>
      </w:numPr>
      <w:tabs>
        <w:tab w:val="clear" w:pos="3118"/>
        <w:tab w:val="num" w:pos="1492"/>
      </w:tabs>
      <w:ind w:left="1492" w:hanging="360"/>
    </w:pPr>
  </w:style>
  <w:style w:type="paragraph" w:customStyle="1" w:styleId="Tiret5">
    <w:name w:val="Tiret 5"/>
    <w:basedOn w:val="Point5"/>
    <w:pPr>
      <w:numPr>
        <w:numId w:val="17"/>
      </w:numPr>
      <w:tabs>
        <w:tab w:val="clear" w:pos="3685"/>
        <w:tab w:val="num" w:pos="360"/>
      </w:tabs>
      <w:ind w:left="360" w:hanging="360"/>
    </w:pPr>
  </w:style>
  <w:style w:type="paragraph" w:customStyle="1" w:styleId="PointDouble0">
    <w:name w:val="PointDouble 0"/>
    <w:basedOn w:val="Normal"/>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pPr>
      <w:widowControl/>
      <w:numPr>
        <w:numId w:val="4"/>
      </w:numPr>
      <w:tabs>
        <w:tab w:val="clear" w:pos="850"/>
        <w:tab w:val="num" w:pos="643"/>
      </w:tabs>
      <w:spacing w:before="120" w:after="120"/>
      <w:ind w:left="643" w:hanging="360"/>
      <w:jc w:val="both"/>
    </w:pPr>
    <w:rPr>
      <w:rFonts w:eastAsia="Calibri"/>
      <w:szCs w:val="22"/>
      <w:lang w:eastAsia="en-US"/>
    </w:rPr>
  </w:style>
  <w:style w:type="paragraph" w:customStyle="1" w:styleId="NumPar2">
    <w:name w:val="NumPar 2"/>
    <w:basedOn w:val="Normal"/>
    <w:next w:val="Text1"/>
    <w:pPr>
      <w:widowControl/>
      <w:numPr>
        <w:ilvl w:val="1"/>
        <w:numId w:val="4"/>
      </w:numPr>
      <w:tabs>
        <w:tab w:val="clear" w:pos="850"/>
        <w:tab w:val="num" w:pos="643"/>
      </w:tabs>
      <w:spacing w:before="120" w:after="120"/>
      <w:ind w:left="643" w:hanging="360"/>
      <w:jc w:val="both"/>
    </w:pPr>
    <w:rPr>
      <w:rFonts w:eastAsia="Calibri"/>
      <w:szCs w:val="22"/>
      <w:lang w:eastAsia="en-US"/>
    </w:rPr>
  </w:style>
  <w:style w:type="paragraph" w:customStyle="1" w:styleId="NumPar3">
    <w:name w:val="NumPar 3"/>
    <w:basedOn w:val="Normal"/>
    <w:next w:val="Text1"/>
    <w:pPr>
      <w:widowControl/>
      <w:numPr>
        <w:ilvl w:val="2"/>
        <w:numId w:val="4"/>
      </w:numPr>
      <w:tabs>
        <w:tab w:val="clear" w:pos="850"/>
        <w:tab w:val="num" w:pos="643"/>
      </w:tabs>
      <w:spacing w:before="120" w:after="120"/>
      <w:ind w:left="643" w:hanging="360"/>
      <w:jc w:val="both"/>
    </w:pPr>
    <w:rPr>
      <w:rFonts w:eastAsia="Calibri"/>
      <w:szCs w:val="22"/>
      <w:lang w:eastAsia="en-US"/>
    </w:rPr>
  </w:style>
  <w:style w:type="paragraph" w:customStyle="1" w:styleId="NumPar4">
    <w:name w:val="NumPar 4"/>
    <w:basedOn w:val="Normal"/>
    <w:next w:val="Text1"/>
    <w:pPr>
      <w:widowControl/>
      <w:numPr>
        <w:ilvl w:val="3"/>
        <w:numId w:val="4"/>
      </w:numPr>
      <w:tabs>
        <w:tab w:val="clear" w:pos="850"/>
        <w:tab w:val="num" w:pos="643"/>
      </w:tabs>
      <w:spacing w:before="120" w:after="120"/>
      <w:ind w:left="643" w:hanging="360"/>
      <w:jc w:val="both"/>
    </w:pPr>
    <w:rPr>
      <w:rFonts w:eastAsia="Calibri"/>
      <w:szCs w:val="22"/>
      <w:lang w:eastAsia="en-US"/>
    </w:rPr>
  </w:style>
  <w:style w:type="paragraph" w:customStyle="1" w:styleId="NumPar5">
    <w:name w:val="NumPar 5"/>
    <w:basedOn w:val="Normal"/>
    <w:next w:val="Text2"/>
    <w:pPr>
      <w:widowControl/>
      <w:numPr>
        <w:ilvl w:val="4"/>
        <w:numId w:val="4"/>
      </w:numPr>
      <w:tabs>
        <w:tab w:val="clear" w:pos="1417"/>
        <w:tab w:val="num" w:pos="643"/>
      </w:tabs>
      <w:spacing w:before="120" w:after="120"/>
      <w:ind w:left="643" w:hanging="360"/>
      <w:jc w:val="both"/>
    </w:pPr>
    <w:rPr>
      <w:rFonts w:eastAsia="Calibri"/>
      <w:szCs w:val="22"/>
      <w:lang w:eastAsia="en-US"/>
    </w:rPr>
  </w:style>
  <w:style w:type="paragraph" w:customStyle="1" w:styleId="NumPar6">
    <w:name w:val="NumPar 6"/>
    <w:basedOn w:val="Normal"/>
    <w:next w:val="Text2"/>
    <w:pPr>
      <w:widowControl/>
      <w:numPr>
        <w:ilvl w:val="5"/>
        <w:numId w:val="4"/>
      </w:numPr>
      <w:tabs>
        <w:tab w:val="clear" w:pos="1417"/>
        <w:tab w:val="num" w:pos="643"/>
      </w:tabs>
      <w:spacing w:before="120" w:after="120"/>
      <w:ind w:left="643" w:hanging="360"/>
      <w:jc w:val="both"/>
    </w:pPr>
    <w:rPr>
      <w:rFonts w:eastAsia="Calibri"/>
      <w:szCs w:val="22"/>
      <w:lang w:eastAsia="en-US"/>
    </w:rPr>
  </w:style>
  <w:style w:type="paragraph" w:customStyle="1" w:styleId="NumPar7">
    <w:name w:val="NumPar 7"/>
    <w:basedOn w:val="Normal"/>
    <w:next w:val="Text2"/>
    <w:pPr>
      <w:widowControl/>
      <w:numPr>
        <w:ilvl w:val="6"/>
        <w:numId w:val="4"/>
      </w:numPr>
      <w:tabs>
        <w:tab w:val="clear" w:pos="1417"/>
        <w:tab w:val="num" w:pos="643"/>
      </w:tabs>
      <w:spacing w:before="120" w:after="120"/>
      <w:ind w:left="643" w:hanging="360"/>
      <w:jc w:val="both"/>
    </w:pPr>
    <w:rPr>
      <w:rFonts w:eastAsia="Calibri"/>
      <w:szCs w:val="22"/>
      <w:lang w:eastAsia="en-US"/>
    </w:rPr>
  </w:style>
  <w:style w:type="paragraph" w:customStyle="1" w:styleId="ManualNumPar1">
    <w:name w:val="Manual NumPar 1"/>
    <w:basedOn w:val="Normal"/>
    <w:next w:val="Text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pPr>
      <w:widowControl/>
      <w:spacing w:before="120" w:after="120"/>
      <w:ind w:left="1417" w:hanging="1417"/>
      <w:jc w:val="both"/>
    </w:pPr>
    <w:rPr>
      <w:rFonts w:eastAsia="Calibri"/>
      <w:szCs w:val="22"/>
      <w:lang w:eastAsia="en-US"/>
    </w:rPr>
  </w:style>
  <w:style w:type="paragraph" w:customStyle="1" w:styleId="QuotedNumPar">
    <w:name w:val="Quoted NumPar"/>
    <w:basedOn w:val="Normal"/>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pPr>
      <w:widowControl/>
      <w:spacing w:before="120" w:after="120"/>
      <w:jc w:val="center"/>
    </w:pPr>
    <w:rPr>
      <w:rFonts w:eastAsia="Calibri"/>
      <w:b/>
      <w:szCs w:val="22"/>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widowControl/>
      <w:numPr>
        <w:numId w:val="18"/>
      </w:numPr>
      <w:tabs>
        <w:tab w:val="clear" w:pos="850"/>
        <w:tab w:val="num" w:pos="1209"/>
      </w:tabs>
      <w:spacing w:before="120" w:after="120"/>
      <w:ind w:left="1209" w:hanging="360"/>
      <w:jc w:val="both"/>
    </w:pPr>
    <w:rPr>
      <w:rFonts w:eastAsia="Calibri"/>
      <w:szCs w:val="22"/>
      <w:lang w:eastAsia="en-US"/>
    </w:rPr>
  </w:style>
  <w:style w:type="paragraph" w:customStyle="1" w:styleId="Point1number">
    <w:name w:val="Point 1 (number)"/>
    <w:basedOn w:val="Normal"/>
    <w:pPr>
      <w:widowControl/>
      <w:numPr>
        <w:ilvl w:val="2"/>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number">
    <w:name w:val="Point 2 (number)"/>
    <w:basedOn w:val="Normal"/>
    <w:pPr>
      <w:widowControl/>
      <w:numPr>
        <w:ilvl w:val="4"/>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number">
    <w:name w:val="Point 3 (number)"/>
    <w:basedOn w:val="Normal"/>
    <w:pPr>
      <w:widowControl/>
      <w:numPr>
        <w:ilvl w:val="6"/>
        <w:numId w:val="18"/>
      </w:numPr>
      <w:tabs>
        <w:tab w:val="clear" w:pos="2551"/>
        <w:tab w:val="num" w:pos="1209"/>
      </w:tabs>
      <w:spacing w:before="120" w:after="120"/>
      <w:ind w:left="1209" w:hanging="360"/>
      <w:jc w:val="both"/>
    </w:pPr>
    <w:rPr>
      <w:rFonts w:eastAsia="Calibri"/>
      <w:szCs w:val="22"/>
      <w:lang w:eastAsia="en-US"/>
    </w:rPr>
  </w:style>
  <w:style w:type="paragraph" w:customStyle="1" w:styleId="Point0letter">
    <w:name w:val="Point 0 (letter)"/>
    <w:basedOn w:val="Normal"/>
    <w:pPr>
      <w:widowControl/>
      <w:numPr>
        <w:ilvl w:val="1"/>
        <w:numId w:val="18"/>
      </w:numPr>
      <w:tabs>
        <w:tab w:val="clear" w:pos="850"/>
        <w:tab w:val="num" w:pos="1209"/>
      </w:tabs>
      <w:spacing w:before="120" w:after="120"/>
      <w:ind w:left="1209" w:hanging="360"/>
      <w:jc w:val="both"/>
    </w:pPr>
    <w:rPr>
      <w:rFonts w:eastAsia="Calibri"/>
      <w:szCs w:val="22"/>
      <w:lang w:eastAsia="en-US"/>
    </w:rPr>
  </w:style>
  <w:style w:type="paragraph" w:customStyle="1" w:styleId="Point1letter">
    <w:name w:val="Point 1 (letter)"/>
    <w:basedOn w:val="Normal"/>
    <w:pPr>
      <w:widowControl/>
      <w:numPr>
        <w:ilvl w:val="3"/>
        <w:numId w:val="18"/>
      </w:numPr>
      <w:tabs>
        <w:tab w:val="clear" w:pos="1417"/>
        <w:tab w:val="num" w:pos="1209"/>
      </w:tabs>
      <w:spacing w:before="120" w:after="120"/>
      <w:ind w:left="1209" w:hanging="360"/>
      <w:jc w:val="both"/>
    </w:pPr>
    <w:rPr>
      <w:rFonts w:eastAsia="Calibri"/>
      <w:szCs w:val="22"/>
      <w:lang w:eastAsia="en-US"/>
    </w:rPr>
  </w:style>
  <w:style w:type="paragraph" w:customStyle="1" w:styleId="Point2letter">
    <w:name w:val="Point 2 (letter)"/>
    <w:basedOn w:val="Normal"/>
    <w:pPr>
      <w:widowControl/>
      <w:numPr>
        <w:ilvl w:val="5"/>
        <w:numId w:val="18"/>
      </w:numPr>
      <w:tabs>
        <w:tab w:val="clear" w:pos="1984"/>
        <w:tab w:val="num" w:pos="1209"/>
      </w:tabs>
      <w:spacing w:before="120" w:after="120"/>
      <w:ind w:left="1209" w:hanging="360"/>
      <w:jc w:val="both"/>
    </w:pPr>
    <w:rPr>
      <w:rFonts w:eastAsia="Calibri"/>
      <w:szCs w:val="22"/>
      <w:lang w:eastAsia="en-US"/>
    </w:rPr>
  </w:style>
  <w:style w:type="paragraph" w:customStyle="1" w:styleId="Point3letter">
    <w:name w:val="Point 3 (letter)"/>
    <w:basedOn w:val="Normal"/>
    <w:pPr>
      <w:widowControl/>
      <w:numPr>
        <w:ilvl w:val="7"/>
        <w:numId w:val="18"/>
      </w:numPr>
      <w:tabs>
        <w:tab w:val="clear" w:pos="2551"/>
        <w:tab w:val="num" w:pos="1209"/>
      </w:tabs>
      <w:spacing w:before="120" w:after="120"/>
      <w:ind w:left="1209" w:hanging="360"/>
      <w:jc w:val="both"/>
    </w:pPr>
    <w:rPr>
      <w:rFonts w:eastAsia="Calibri"/>
      <w:szCs w:val="22"/>
      <w:lang w:eastAsia="en-US"/>
    </w:rPr>
  </w:style>
  <w:style w:type="paragraph" w:customStyle="1" w:styleId="Point4letter">
    <w:name w:val="Point 4 (letter)"/>
    <w:basedOn w:val="Normal"/>
    <w:pPr>
      <w:widowControl/>
      <w:numPr>
        <w:ilvl w:val="8"/>
        <w:numId w:val="18"/>
      </w:numPr>
      <w:tabs>
        <w:tab w:val="clear" w:pos="3118"/>
        <w:tab w:val="num" w:pos="1209"/>
      </w:tabs>
      <w:spacing w:before="120" w:after="120"/>
      <w:ind w:left="1209" w:hanging="360"/>
      <w:jc w:val="both"/>
    </w:pPr>
    <w:rPr>
      <w:rFonts w:eastAsia="Calibri"/>
      <w:szCs w:val="22"/>
      <w:lang w:eastAsia="en-US"/>
    </w:rPr>
  </w:style>
  <w:style w:type="paragraph" w:customStyle="1" w:styleId="Bullet0">
    <w:name w:val="Bullet 0"/>
    <w:basedOn w:val="Normal"/>
    <w:pPr>
      <w:widowControl/>
      <w:numPr>
        <w:numId w:val="19"/>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pPr>
      <w:widowControl/>
      <w:numPr>
        <w:numId w:val="20"/>
      </w:numPr>
      <w:tabs>
        <w:tab w:val="clear" w:pos="1417"/>
        <w:tab w:val="num" w:pos="360"/>
      </w:tabs>
      <w:spacing w:before="120" w:after="120"/>
      <w:ind w:left="360" w:hanging="360"/>
      <w:jc w:val="both"/>
    </w:pPr>
    <w:rPr>
      <w:rFonts w:eastAsia="Calibri"/>
      <w:szCs w:val="22"/>
      <w:lang w:eastAsia="en-US"/>
    </w:rPr>
  </w:style>
  <w:style w:type="paragraph" w:customStyle="1" w:styleId="Bullet2">
    <w:name w:val="Bullet 2"/>
    <w:basedOn w:val="Normal"/>
    <w:pPr>
      <w:widowControl/>
      <w:numPr>
        <w:numId w:val="21"/>
      </w:numPr>
      <w:tabs>
        <w:tab w:val="clear" w:pos="1984"/>
        <w:tab w:val="num" w:pos="643"/>
      </w:tabs>
      <w:spacing w:before="120" w:after="120"/>
      <w:ind w:left="643" w:hanging="360"/>
      <w:jc w:val="both"/>
    </w:pPr>
    <w:rPr>
      <w:rFonts w:eastAsia="Calibri"/>
      <w:szCs w:val="22"/>
      <w:lang w:eastAsia="en-US"/>
    </w:rPr>
  </w:style>
  <w:style w:type="paragraph" w:customStyle="1" w:styleId="Bullet3">
    <w:name w:val="Bullet 3"/>
    <w:basedOn w:val="Normal"/>
    <w:pPr>
      <w:widowControl/>
      <w:numPr>
        <w:numId w:val="22"/>
      </w:numPr>
      <w:tabs>
        <w:tab w:val="clear" w:pos="2551"/>
        <w:tab w:val="num" w:pos="926"/>
      </w:tabs>
      <w:spacing w:before="120" w:after="120"/>
      <w:ind w:left="926" w:hanging="360"/>
      <w:jc w:val="both"/>
    </w:pPr>
    <w:rPr>
      <w:rFonts w:eastAsia="Calibri"/>
      <w:szCs w:val="22"/>
      <w:lang w:eastAsia="en-US"/>
    </w:rPr>
  </w:style>
  <w:style w:type="paragraph" w:customStyle="1" w:styleId="Bullet4">
    <w:name w:val="Bullet 4"/>
    <w:basedOn w:val="Normal"/>
    <w:pPr>
      <w:widowControl/>
      <w:numPr>
        <w:numId w:val="23"/>
      </w:numPr>
      <w:tabs>
        <w:tab w:val="clear" w:pos="3118"/>
        <w:tab w:val="num" w:pos="1209"/>
      </w:tabs>
      <w:spacing w:before="120" w:after="120"/>
      <w:ind w:left="1209" w:hanging="360"/>
      <w:jc w:val="both"/>
    </w:pPr>
    <w:rPr>
      <w:rFonts w:eastAsia="Calibri"/>
      <w:szCs w:val="22"/>
      <w:lang w:eastAsia="en-US"/>
    </w:rPr>
  </w:style>
  <w:style w:type="paragraph" w:customStyle="1" w:styleId="Langue">
    <w:name w:val="Langue"/>
    <w:basedOn w:val="Normal"/>
    <w:next w:val="Rfrenceinterne"/>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pPr>
      <w:widowControl/>
    </w:pPr>
    <w:rPr>
      <w:rFonts w:ascii="Arial" w:eastAsia="Calibri" w:hAnsi="Arial" w:cs="Arial"/>
      <w:szCs w:val="22"/>
      <w:lang w:eastAsia="en-US"/>
    </w:rPr>
  </w:style>
  <w:style w:type="paragraph" w:customStyle="1" w:styleId="Emission">
    <w:name w:val="Emission"/>
    <w:basedOn w:val="Normal"/>
    <w:next w:val="Rfrenceinstitutionnelle"/>
    <w:pPr>
      <w:widowControl/>
      <w:ind w:left="5103"/>
    </w:pPr>
    <w:rPr>
      <w:rFonts w:eastAsia="Calibri"/>
      <w:szCs w:val="22"/>
      <w:lang w:eastAsia="en-US"/>
    </w:rPr>
  </w:style>
  <w:style w:type="paragraph" w:customStyle="1" w:styleId="Rfrenceinstitutionnelle">
    <w:name w:val="Référence institutionnelle"/>
    <w:basedOn w:val="Normal"/>
    <w:next w:val="Confidentialit"/>
    <w:pPr>
      <w:widowControl/>
      <w:spacing w:after="240"/>
      <w:ind w:left="5103"/>
    </w:pPr>
    <w:rPr>
      <w:rFonts w:eastAsia="Calibri"/>
      <w:szCs w:val="22"/>
      <w:lang w:eastAsia="en-US"/>
    </w:rPr>
  </w:style>
  <w:style w:type="paragraph" w:customStyle="1" w:styleId="Pagedecouverture">
    <w:name w:val="Page de couverture"/>
    <w:basedOn w:val="Normal"/>
    <w:next w:val="Normal"/>
    <w:pPr>
      <w:widowControl/>
      <w:jc w:val="both"/>
    </w:pPr>
    <w:rPr>
      <w:rFonts w:eastAsia="Calibri"/>
      <w:szCs w:val="22"/>
      <w:lang w:eastAsia="en-US"/>
    </w:rPr>
  </w:style>
  <w:style w:type="paragraph" w:customStyle="1" w:styleId="Declassification">
    <w:name w:val="Declassification"/>
    <w:basedOn w:val="Normal"/>
    <w:next w:val="Normal"/>
    <w:pPr>
      <w:widowControl/>
      <w:jc w:val="both"/>
    </w:pPr>
    <w:rPr>
      <w:rFonts w:eastAsia="Calibr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pPr>
      <w:widowControl/>
      <w:spacing w:line="276" w:lineRule="auto"/>
      <w:ind w:left="5103"/>
    </w:pPr>
    <w:rPr>
      <w:rFonts w:eastAsia="Calibri"/>
      <w:sz w:val="28"/>
      <w:szCs w:val="22"/>
      <w:lang w:eastAsia="en-US"/>
    </w:rPr>
  </w:style>
  <w:style w:type="paragraph" w:customStyle="1" w:styleId="DateMarking">
    <w:name w:val="DateMarking"/>
    <w:basedOn w:val="Normal"/>
    <w:pPr>
      <w:widowControl/>
      <w:spacing w:line="276" w:lineRule="auto"/>
      <w:ind w:left="5103"/>
    </w:pPr>
    <w:rPr>
      <w:rFonts w:eastAsia="Calibri"/>
      <w:i/>
      <w:sz w:val="28"/>
      <w:szCs w:val="22"/>
      <w:lang w:eastAsia="en-US"/>
    </w:rPr>
  </w:style>
  <w:style w:type="paragraph" w:customStyle="1" w:styleId="ReleasableTo">
    <w:name w:val="ReleasableTo"/>
    <w:basedOn w:val="Normal"/>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pPr>
      <w:widowControl/>
      <w:spacing w:before="120" w:after="120"/>
      <w:jc w:val="center"/>
    </w:pPr>
    <w:rPr>
      <w:rFonts w:eastAsia="Calibri"/>
      <w:b/>
      <w:szCs w:val="22"/>
      <w:u w:val="single"/>
      <w:lang w:eastAsia="en-US"/>
    </w:rPr>
  </w:style>
  <w:style w:type="paragraph" w:customStyle="1" w:styleId="Annexetitre">
    <w:name w:val="Annexe titre"/>
    <w:basedOn w:val="Normal"/>
    <w:next w:val="Normal"/>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pPr>
      <w:widowControl/>
      <w:spacing w:before="480" w:after="120"/>
      <w:jc w:val="both"/>
    </w:pPr>
    <w:rPr>
      <w:rFonts w:eastAsia="Calibri"/>
      <w:szCs w:val="22"/>
      <w:lang w:eastAsia="en-US"/>
    </w:rPr>
  </w:style>
  <w:style w:type="paragraph" w:customStyle="1" w:styleId="Avertissementtitre">
    <w:name w:val="Avertissement titre"/>
    <w:basedOn w:val="Normal"/>
    <w:next w:val="Normal"/>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pPr>
      <w:widowControl/>
      <w:spacing w:before="240" w:after="240"/>
      <w:ind w:left="5103"/>
    </w:pPr>
    <w:rPr>
      <w:rFonts w:eastAsia="Calibri"/>
      <w:i/>
      <w:sz w:val="32"/>
      <w:szCs w:val="22"/>
      <w:lang w:eastAsia="en-US"/>
    </w:rPr>
  </w:style>
  <w:style w:type="paragraph" w:customStyle="1" w:styleId="Considrant">
    <w:name w:val="Considérant"/>
    <w:basedOn w:val="Normal"/>
    <w:pPr>
      <w:widowControl/>
      <w:numPr>
        <w:numId w:val="24"/>
      </w:numPr>
      <w:tabs>
        <w:tab w:val="clear" w:pos="709"/>
        <w:tab w:val="num" w:pos="1492"/>
      </w:tabs>
      <w:spacing w:before="120" w:after="120"/>
      <w:ind w:left="1492" w:hanging="360"/>
      <w:jc w:val="both"/>
    </w:pPr>
    <w:rPr>
      <w:rFonts w:eastAsia="Calibri"/>
      <w:szCs w:val="22"/>
      <w:lang w:eastAsia="en-US"/>
    </w:rPr>
  </w:style>
  <w:style w:type="paragraph" w:customStyle="1" w:styleId="Corrigendum">
    <w:name w:val="Corrigendum"/>
    <w:basedOn w:val="Normal"/>
    <w:next w:val="Normal"/>
    <w:pPr>
      <w:widowControl/>
      <w:spacing w:after="240"/>
    </w:pPr>
    <w:rPr>
      <w:rFonts w:eastAsia="Calibri"/>
      <w:szCs w:val="22"/>
      <w:lang w:eastAsia="en-US"/>
    </w:rPr>
  </w:style>
  <w:style w:type="paragraph" w:customStyle="1" w:styleId="Datedadoption">
    <w:name w:val="Date d'adoption"/>
    <w:basedOn w:val="Normal"/>
    <w:next w:val="IntrtEEE"/>
    <w:pPr>
      <w:widowControl/>
      <w:spacing w:before="360"/>
      <w:jc w:val="center"/>
    </w:pPr>
    <w:rPr>
      <w:rFonts w:eastAsia="Calibri"/>
      <w:b/>
      <w:szCs w:val="22"/>
      <w:lang w:eastAsia="en-US"/>
    </w:rPr>
  </w:style>
  <w:style w:type="paragraph" w:customStyle="1" w:styleId="Exposdesmotifstitre">
    <w:name w:val="Exposé des motifs titre"/>
    <w:basedOn w:val="Normal"/>
    <w:next w:val="Normal"/>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pPr>
      <w:keepNext/>
      <w:widowControl/>
      <w:spacing w:before="120"/>
      <w:jc w:val="both"/>
    </w:pPr>
    <w:rPr>
      <w:rFonts w:eastAsia="Calibri"/>
      <w:szCs w:val="22"/>
      <w:lang w:eastAsia="en-US"/>
    </w:rPr>
  </w:style>
  <w:style w:type="paragraph" w:customStyle="1" w:styleId="Formuledadoption">
    <w:name w:val="Formule d'adoption"/>
    <w:basedOn w:val="Normal"/>
    <w:next w:val="Titrearticle"/>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paragraph" w:customStyle="1" w:styleId="ManualConsidrant">
    <w:name w:val="Manual Considérant"/>
    <w:basedOn w:val="Normal"/>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pPr>
      <w:widowControl/>
      <w:ind w:left="5103"/>
    </w:pPr>
    <w:rPr>
      <w:rFonts w:eastAsia="Calibri"/>
      <w:szCs w:val="22"/>
      <w:lang w:eastAsia="en-US"/>
    </w:rPr>
  </w:style>
  <w:style w:type="paragraph" w:customStyle="1" w:styleId="Rfrenceinterne">
    <w:name w:val="Référence interne"/>
    <w:basedOn w:val="Normal"/>
    <w:next w:val="Rfrenceinterinstitutionnelle"/>
    <w:pPr>
      <w:widowControl/>
      <w:ind w:left="5103"/>
    </w:pPr>
    <w:rPr>
      <w:rFonts w:eastAsia="Calibri"/>
      <w:szCs w:val="22"/>
      <w:lang w:eastAsia="en-US"/>
    </w:rPr>
  </w:style>
  <w:style w:type="paragraph" w:customStyle="1" w:styleId="Statut">
    <w:name w:val="Statut"/>
    <w:basedOn w:val="Normal"/>
    <w:next w:val="Typedudocument"/>
    <w:pPr>
      <w:widowControl/>
      <w:spacing w:after="240"/>
      <w:jc w:val="center"/>
    </w:pPr>
    <w:rPr>
      <w:rFonts w:eastAsia="Calibri"/>
      <w:szCs w:val="22"/>
      <w:lang w:eastAsia="en-US"/>
    </w:rPr>
  </w:style>
  <w:style w:type="paragraph" w:customStyle="1" w:styleId="Titrearticle">
    <w:name w:val="Titre article"/>
    <w:basedOn w:val="Normal"/>
    <w:next w:val="Normal"/>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pPr>
      <w:widowControl/>
      <w:spacing w:before="360" w:after="180"/>
      <w:jc w:val="center"/>
    </w:pPr>
    <w:rPr>
      <w:rFonts w:eastAsia="Calibri"/>
      <w:b/>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pPr>
      <w:widowControl/>
      <w:spacing w:before="120" w:after="120"/>
      <w:jc w:val="both"/>
    </w:pPr>
    <w:rPr>
      <w:rFonts w:eastAsia="Calibri"/>
      <w:i/>
      <w:caps/>
      <w:szCs w:val="22"/>
      <w:lang w:eastAsia="en-US"/>
    </w:rPr>
  </w:style>
  <w:style w:type="paragraph" w:customStyle="1" w:styleId="Supertitre">
    <w:name w:val="Supertitre"/>
    <w:basedOn w:val="Normal"/>
    <w:next w:val="Normal"/>
    <w:pPr>
      <w:widowControl/>
      <w:spacing w:after="600"/>
      <w:jc w:val="center"/>
    </w:pPr>
    <w:rPr>
      <w:rFonts w:eastAsia="Calibri"/>
      <w:b/>
      <w:szCs w:val="22"/>
      <w:lang w:eastAsia="en-US"/>
    </w:rPr>
  </w:style>
  <w:style w:type="paragraph" w:customStyle="1" w:styleId="Languesfaisantfoi">
    <w:name w:val="Langues faisant foi"/>
    <w:basedOn w:val="Normal"/>
    <w:next w:val="Normal"/>
    <w:pPr>
      <w:widowControl/>
      <w:spacing w:before="360"/>
      <w:jc w:val="center"/>
    </w:pPr>
    <w:rPr>
      <w:rFonts w:eastAsia="Calibri"/>
      <w:szCs w:val="22"/>
      <w:lang w:eastAsia="en-US"/>
    </w:rPr>
  </w:style>
  <w:style w:type="paragraph" w:customStyle="1" w:styleId="Rfrencecroise">
    <w:name w:val="Référence croisée"/>
    <w:basedOn w:val="Normal"/>
    <w:pPr>
      <w:widowControl/>
      <w:jc w:val="center"/>
    </w:pPr>
    <w:rPr>
      <w:rFonts w:eastAsia="Calibri"/>
      <w:szCs w:val="22"/>
      <w:lang w:eastAsia="en-US"/>
    </w:rPr>
  </w:style>
  <w:style w:type="paragraph" w:customStyle="1" w:styleId="Fichefinanciretitre">
    <w:name w:val="Fiche financière titre"/>
    <w:basedOn w:val="Normal"/>
    <w:next w:val="Normal"/>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widowControl/>
      <w:spacing w:after="240"/>
      <w:ind w:left="5103"/>
    </w:pPr>
    <w:rPr>
      <w:rFonts w:eastAsia="Calibri"/>
      <w:szCs w:val="22"/>
      <w:lang w:eastAsia="en-US"/>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pPr>
      <w:widowControl/>
      <w:spacing w:after="240"/>
      <w:jc w:val="center"/>
    </w:pPr>
    <w:rPr>
      <w:rFonts w:eastAsia="Calibri"/>
      <w:b/>
      <w:szCs w:val="22"/>
      <w:lang w:eastAsia="en-US"/>
    </w:rPr>
  </w:style>
  <w:style w:type="paragraph" w:customStyle="1" w:styleId="Objetacteprincipal">
    <w:name w:val="Objet acte principal"/>
    <w:basedOn w:val="Normal"/>
    <w:next w:val="Titrearticle"/>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SK/TXT/HTML/?uri=CELEX:02012R0383-20140617&amp;from=S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C6E66-879F-4DB7-A313-CD98D0961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36430</Words>
  <Characters>217572</Characters>
  <Application>Microsoft Office Word</Application>
  <DocSecurity>0</DocSecurity>
  <Lines>1813</Lines>
  <Paragraphs>506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LUKSITE Marija</cp:lastModifiedBy>
  <cp:revision>2</cp:revision>
  <cp:lastPrinted>2004-11-19T15:42:00Z</cp:lastPrinted>
  <dcterms:created xsi:type="dcterms:W3CDTF">2024-10-16T10:29:00Z</dcterms:created>
  <dcterms:modified xsi:type="dcterms:W3CDTF">2024-10-16T10:29:00Z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P9_TA(2024)0095_</vt:lpwstr>
  </property>
  <property fmtid="{D5CDD505-2E9C-101B-9397-08002B2CF9AE}" pid="4" name="&lt;Type&gt;">
    <vt:lpwstr>RR</vt:lpwstr>
  </property>
</Properties>
</file>