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trPr>
          <w:trHeight w:hRule="exact" w:val="1418"/>
        </w:trPr>
        <w:tc>
          <w:tcPr>
            <w:tcW w:w="6804" w:type="dxa"/>
            <w:shd w:val="clear" w:color="auto" w:fill="auto"/>
            <w:vAlign w:val="center"/>
          </w:tcPr>
          <w:p>
            <w:pPr>
              <w:pStyle w:val="EPName"/>
            </w:pPr>
            <w:r>
              <w:t>Európsky parlament</w:t>
            </w:r>
          </w:p>
          <w:p>
            <w:pPr>
              <w:pStyle w:val="EPTerm"/>
              <w:rPr>
                <w:rStyle w:val="HideTWBExt"/>
                <w:noProof w:val="0"/>
                <w:vanish w:val="0"/>
                <w:color w:val="auto"/>
              </w:rPr>
            </w:pPr>
            <w:r>
              <w:t>2019-2024</w:t>
            </w:r>
          </w:p>
        </w:tc>
        <w:tc>
          <w:tcPr>
            <w:tcW w:w="2268" w:type="dxa"/>
            <w:shd w:val="clear" w:color="auto" w:fill="auto"/>
          </w:tcPr>
          <w:p>
            <w:pPr>
              <w:pStyle w:val="EPLogo"/>
            </w:pPr>
            <w:r>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pPr>
        <w:pStyle w:val="LineTop"/>
      </w:pPr>
    </w:p>
    <w:p>
      <w:pPr>
        <w:pStyle w:val="EPBodyTA1"/>
      </w:pPr>
      <w:r>
        <w:t>PRIJATÉ TEXTY</w:t>
      </w:r>
    </w:p>
    <w:p>
      <w:pPr>
        <w:pStyle w:val="LineBottom"/>
      </w:pPr>
    </w:p>
    <w:p>
      <w:pPr>
        <w:pStyle w:val="ATHeading1"/>
      </w:pPr>
      <w:bookmarkStart w:id="0" w:name="TANumber"/>
      <w:r>
        <w:t>P9_TA(2024)0096</w:t>
      </w:r>
      <w:bookmarkEnd w:id="0"/>
    </w:p>
    <w:p>
      <w:pPr>
        <w:pStyle w:val="ATHeading2"/>
      </w:pPr>
      <w:bookmarkStart w:id="1" w:name="title"/>
      <w:r>
        <w:t>Jednotné dodatkové ochranné osvedčenie pre prípravky na ochranu rastlín</w:t>
      </w:r>
      <w:bookmarkEnd w:id="1"/>
    </w:p>
    <w:p>
      <w:pPr>
        <w:rPr>
          <w:i/>
          <w:vanish/>
        </w:rPr>
      </w:pPr>
      <w:r>
        <w:rPr>
          <w:i/>
        </w:rPr>
        <w:fldChar w:fldCharType="begin"/>
      </w:r>
      <w:r>
        <w:rPr>
          <w:i/>
        </w:rPr>
        <w:instrText xml:space="preserve"> TC"(</w:instrText>
      </w:r>
      <w:bookmarkStart w:id="2" w:name="DocNumber"/>
      <w:r>
        <w:rPr>
          <w:i/>
        </w:rPr>
        <w:instrText>A9-0020/2024</w:instrText>
      </w:r>
      <w:bookmarkEnd w:id="2"/>
      <w:r>
        <w:rPr>
          <w:i/>
        </w:rPr>
        <w:instrText xml:space="preserve"> - Spravodajca: Tiemo Wölken)"\l3 \n&gt; \* MERGEFORMAT </w:instrText>
      </w:r>
      <w:r>
        <w:rPr>
          <w:i/>
        </w:rPr>
        <w:fldChar w:fldCharType="end"/>
      </w:r>
    </w:p>
    <w:p>
      <w:pPr>
        <w:rPr>
          <w:vanish/>
        </w:rPr>
      </w:pPr>
      <w:bookmarkStart w:id="3" w:name="Commission"/>
      <w:r>
        <w:rPr>
          <w:vanish/>
        </w:rPr>
        <w:t>Výbor pre právne veci</w:t>
      </w:r>
      <w:bookmarkEnd w:id="3"/>
    </w:p>
    <w:p>
      <w:pPr>
        <w:rPr>
          <w:vanish/>
        </w:rPr>
      </w:pPr>
      <w:bookmarkStart w:id="4" w:name="PE"/>
      <w:r>
        <w:rPr>
          <w:vanish/>
        </w:rPr>
        <w:t>PE753.702</w:t>
      </w:r>
      <w:bookmarkEnd w:id="4"/>
    </w:p>
    <w:p>
      <w:pPr>
        <w:pStyle w:val="ATHeading3"/>
      </w:pPr>
      <w:bookmarkStart w:id="5" w:name="Sujet"/>
      <w:r>
        <w:t>Legislatívne uznesenie Európskeho parlamentu z 28. februára 2024 o návrhu nariadenia Európskeho parlamentu a Rady o jednotnom dodatkovom ochrannom osvedčení pre prípravky na ochranu rastlín</w:t>
      </w:r>
      <w:bookmarkEnd w:id="5"/>
      <w:r>
        <w:t xml:space="preserve"> </w:t>
      </w:r>
      <w:bookmarkStart w:id="6" w:name="References"/>
      <w:r>
        <w:t>(COM(2023)0221 – C9-0152/2023 – 2023/0126(COD))</w:t>
      </w:r>
      <w:bookmarkEnd w:id="6"/>
    </w:p>
    <w:p/>
    <w:p>
      <w:pPr>
        <w:pStyle w:val="NormalBold"/>
      </w:pPr>
      <w:bookmarkStart w:id="7" w:name="TextBodyBegin"/>
      <w:bookmarkEnd w:id="7"/>
      <w:r>
        <w:t>(Riadny legislatívny postup: prvé čítanie)</w:t>
      </w:r>
    </w:p>
    <w:p>
      <w:pPr>
        <w:pStyle w:val="EPComma"/>
      </w:pPr>
      <w:r>
        <w:rPr>
          <w:i/>
        </w:rPr>
        <w:t>Európsky parlament</w:t>
      </w:r>
      <w:r>
        <w:t>,</w:t>
      </w:r>
    </w:p>
    <w:p>
      <w:pPr>
        <w:pStyle w:val="NormalHanging12a"/>
      </w:pPr>
      <w:r>
        <w:t>–</w:t>
      </w:r>
      <w:r>
        <w:tab/>
        <w:t>so zreteľom na návrh Komisie pre Európsky parlament a Radu (COM(2023)0221),</w:t>
      </w:r>
    </w:p>
    <w:p>
      <w:pPr>
        <w:pStyle w:val="NormalHanging12a"/>
      </w:pPr>
      <w:r>
        <w:t>–</w:t>
      </w:r>
      <w:r>
        <w:tab/>
        <w:t>so zreteľom na článok 294 ods. 2 a článok 118 prvý odsek Zmluvy o fungovaní Európskej únie, v súlade s ktorými Komisia predložila návrh Európskemu parlamentu (C9</w:t>
      </w:r>
      <w:r>
        <w:noBreakHyphen/>
        <w:t>0152/2023),</w:t>
      </w:r>
    </w:p>
    <w:p>
      <w:pPr>
        <w:pStyle w:val="NormalHanging12a"/>
      </w:pPr>
      <w:r>
        <w:t>–</w:t>
      </w:r>
      <w:r>
        <w:tab/>
        <w:t>so zreteľom na článok 294 ods. 3 Zmluvy o fungovaní Európskej únie,</w:t>
      </w:r>
    </w:p>
    <w:p>
      <w:pPr>
        <w:pStyle w:val="NormalHanging12a"/>
      </w:pPr>
      <w:r>
        <w:t>–</w:t>
      </w:r>
      <w:r>
        <w:tab/>
        <w:t>so zreteľom na článok 59 rokovacieho poriadku,</w:t>
      </w:r>
    </w:p>
    <w:p>
      <w:pPr>
        <w:pStyle w:val="NormalHanging12a"/>
        <w:rPr>
          <w:szCs w:val="24"/>
        </w:rPr>
      </w:pPr>
      <w:r>
        <w:t>–</w:t>
      </w:r>
      <w:r>
        <w:tab/>
        <w:t xml:space="preserve">so zreteľom na list </w:t>
      </w:r>
      <w:r>
        <w:rPr>
          <w:color w:val="000000"/>
        </w:rPr>
        <w:t>Výboru pre poľnohospodárstvo a rozvoj vidieka</w:t>
      </w:r>
      <w:r>
        <w:t>,</w:t>
      </w:r>
    </w:p>
    <w:p>
      <w:pPr>
        <w:pStyle w:val="NormalHanging12a"/>
      </w:pPr>
      <w:r>
        <w:t>–</w:t>
      </w:r>
      <w:r>
        <w:tab/>
        <w:t>so zreteľom na správu Výboru pre právne veci (A9-0020/2024),</w:t>
      </w:r>
    </w:p>
    <w:p>
      <w:pPr>
        <w:pStyle w:val="NormalHanging12a"/>
      </w:pPr>
      <w:r>
        <w:t>1.</w:t>
      </w:r>
      <w:r>
        <w:tab/>
        <w:t>prijíma nasledujúcu pozíciu v prvom čítaní;</w:t>
      </w:r>
    </w:p>
    <w:p>
      <w:pPr>
        <w:pStyle w:val="NormalHanging12a"/>
      </w:pPr>
      <w:r>
        <w:t>2.</w:t>
      </w:r>
      <w:r>
        <w:tab/>
        <w:t>žiada Komisiu, aby mu vec znovu predložila, ak nahrádza, podstatne mení alebo má v úmysle podstatne zmeniť svoj návrh;</w:t>
      </w:r>
    </w:p>
    <w:p>
      <w:pPr>
        <w:pStyle w:val="NormalHanging12a"/>
      </w:pPr>
      <w:r>
        <w:t>3.</w:t>
      </w:r>
      <w:r>
        <w:tab/>
        <w:t>poveruje svoju predsedníčku, aby postúpila túto pozíciu Rade, Komisii a národným parlamentom.</w:t>
      </w:r>
    </w:p>
    <w:p>
      <w:pPr>
        <w:pStyle w:val="Institutionquiagit"/>
        <w:keepNext w:val="0"/>
        <w:spacing w:before="0" w:after="240"/>
        <w:jc w:val="left"/>
        <w:outlineLvl w:val="0"/>
        <w:rPr>
          <w:b/>
          <w:lang w:val="sk-SK"/>
        </w:rPr>
        <w:sectPr>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pPr>
        <w:pStyle w:val="Institutionquiagit"/>
        <w:keepNext w:val="0"/>
        <w:spacing w:before="0" w:after="240"/>
        <w:jc w:val="left"/>
        <w:outlineLvl w:val="0"/>
        <w:rPr>
          <w:b/>
          <w:lang w:val="sk-SK"/>
        </w:rPr>
      </w:pPr>
      <w:r>
        <w:rPr>
          <w:b/>
          <w:lang w:val="sk-SK"/>
        </w:rPr>
        <w:lastRenderedPageBreak/>
        <w:t>P9_TC1-COD(2023)0126</w:t>
      </w:r>
    </w:p>
    <w:p>
      <w:pPr>
        <w:widowControl/>
        <w:rPr>
          <w:b/>
        </w:rPr>
      </w:pPr>
      <w:r>
        <w:rPr>
          <w:b/>
        </w:rPr>
        <w:t>Pozícia Európskeho parlamentu prijatá v prvom čítaní 28. februára 2024 na účely prijatia nariadenia Európskeho parlamentu a Rady (EÚ) 2024/... o jednotnom dodatkovom ochrannom osvedčení pre prípravky na ochranu rastlín</w:t>
      </w:r>
    </w:p>
    <w:p>
      <w:pPr>
        <w:widowControl/>
        <w:spacing w:before="360" w:after="240" w:line="360" w:lineRule="auto"/>
        <w:jc w:val="center"/>
        <w:rPr>
          <w:szCs w:val="24"/>
          <w:lang w:eastAsia="en-US"/>
        </w:rPr>
      </w:pPr>
      <w:r>
        <w:rPr>
          <w:szCs w:val="24"/>
          <w:lang w:eastAsia="en-US"/>
        </w:rPr>
        <w:t>(Text s významom pre EHP)</w:t>
      </w:r>
    </w:p>
    <w:p>
      <w:pPr>
        <w:keepNext/>
        <w:spacing w:before="600" w:after="120" w:line="360" w:lineRule="auto"/>
        <w:rPr>
          <w:szCs w:val="24"/>
          <w:lang w:eastAsia="en-US"/>
        </w:rPr>
      </w:pPr>
      <w:r>
        <w:rPr>
          <w:szCs w:val="24"/>
          <w:lang w:eastAsia="en-US"/>
        </w:rPr>
        <w:t>EURÓPSKY PARLAMENT A RADA EURÓPSKEJ ÚNIE,</w:t>
      </w:r>
    </w:p>
    <w:p>
      <w:pPr>
        <w:spacing w:before="120" w:after="120" w:line="360" w:lineRule="auto"/>
        <w:rPr>
          <w:lang w:eastAsia="en-US"/>
        </w:rPr>
      </w:pPr>
      <w:r>
        <w:rPr>
          <w:lang w:eastAsia="en-US"/>
        </w:rPr>
        <w:t>so zreteľom na Zmluvu o fungovaní Európskej únie, a najmä na jej článok 118 prvý odsek,</w:t>
      </w:r>
    </w:p>
    <w:p>
      <w:pPr>
        <w:spacing w:before="120" w:after="120" w:line="360" w:lineRule="auto"/>
        <w:rPr>
          <w:lang w:eastAsia="en-US"/>
        </w:rPr>
      </w:pPr>
      <w:r>
        <w:rPr>
          <w:lang w:eastAsia="en-US"/>
        </w:rPr>
        <w:t>so zreteľom na návrh Európskej komisie,</w:t>
      </w:r>
    </w:p>
    <w:p>
      <w:pPr>
        <w:spacing w:before="120" w:after="120" w:line="360" w:lineRule="auto"/>
        <w:rPr>
          <w:lang w:eastAsia="en-US"/>
        </w:rPr>
      </w:pPr>
      <w:r>
        <w:rPr>
          <w:lang w:eastAsia="en-US"/>
        </w:rPr>
        <w:t>po postúpení návrhu legislatívneho aktu národným parlamentom,</w:t>
      </w:r>
    </w:p>
    <w:p>
      <w:pPr>
        <w:spacing w:before="120" w:after="120" w:line="360" w:lineRule="auto"/>
        <w:rPr>
          <w:lang w:eastAsia="en-US"/>
        </w:rPr>
      </w:pPr>
      <w:r>
        <w:rPr>
          <w:lang w:eastAsia="en-US"/>
        </w:rPr>
        <w:t>so zreteľom na stanovisko Európskeho hospodárskeho a sociálneho výboru</w:t>
      </w:r>
      <w:r>
        <w:rPr>
          <w:vertAlign w:val="superscript"/>
          <w:lang w:eastAsia="en-US"/>
        </w:rPr>
        <w:footnoteReference w:id="1"/>
      </w:r>
      <w:r>
        <w:rPr>
          <w:lang w:eastAsia="en-US"/>
        </w:rPr>
        <w:t>,</w:t>
      </w:r>
    </w:p>
    <w:p>
      <w:pPr>
        <w:spacing w:before="120" w:after="120" w:line="360" w:lineRule="auto"/>
        <w:rPr>
          <w:lang w:eastAsia="en-US"/>
        </w:rPr>
      </w:pPr>
      <w:r>
        <w:rPr>
          <w:lang w:eastAsia="en-US"/>
        </w:rPr>
        <w:t>so zreteľom na stanovisko Výboru regiónov</w:t>
      </w:r>
      <w:r>
        <w:rPr>
          <w:vertAlign w:val="superscript"/>
          <w:lang w:eastAsia="en-US"/>
        </w:rPr>
        <w:footnoteReference w:id="2"/>
      </w:r>
      <w:r>
        <w:rPr>
          <w:lang w:eastAsia="en-US"/>
        </w:rPr>
        <w:t>,</w:t>
      </w:r>
    </w:p>
    <w:p>
      <w:pPr>
        <w:spacing w:before="120" w:after="120" w:line="360" w:lineRule="auto"/>
        <w:rPr>
          <w:lang w:eastAsia="en-US"/>
        </w:rPr>
      </w:pPr>
      <w:r>
        <w:rPr>
          <w:lang w:eastAsia="en-US"/>
        </w:rPr>
        <w:t>konajúc v súlade s riadnym legislatívnym postupom,</w:t>
      </w:r>
    </w:p>
    <w:p>
      <w:pPr>
        <w:widowControl/>
        <w:rPr>
          <w:lang w:eastAsia="en-US"/>
        </w:rPr>
      </w:pPr>
      <w:r>
        <w:rPr>
          <w:lang w:eastAsia="en-US"/>
        </w:rPr>
        <w:br w:type="page"/>
      </w:r>
    </w:p>
    <w:p>
      <w:pPr>
        <w:spacing w:before="120" w:after="120" w:line="360" w:lineRule="auto"/>
        <w:rPr>
          <w:lang w:eastAsia="en-US"/>
        </w:rPr>
      </w:pPr>
      <w:r>
        <w:rPr>
          <w:lang w:eastAsia="en-US"/>
        </w:rPr>
        <w:lastRenderedPageBreak/>
        <w:t>keďže:</w:t>
      </w:r>
    </w:p>
    <w:p>
      <w:pPr>
        <w:spacing w:before="120" w:after="120" w:line="360" w:lineRule="auto"/>
        <w:ind w:left="850" w:hanging="850"/>
        <w:rPr>
          <w:szCs w:val="24"/>
          <w:lang w:eastAsia="en-US"/>
        </w:rPr>
      </w:pPr>
      <w:r>
        <w:rPr>
          <w:szCs w:val="24"/>
          <w:lang w:eastAsia="en-US"/>
        </w:rPr>
        <w:t>(1)</w:t>
      </w:r>
      <w:r>
        <w:rPr>
          <w:szCs w:val="24"/>
          <w:lang w:eastAsia="en-US"/>
        </w:rPr>
        <w:tab/>
        <w:t>Rastlinolekársky výskum podstatne prispieva k neustálemu zlepšovaniu v oblasti poľnohospodárstva. Vývoj prípravkov na ochranu rastlín, a to najmä tých, ktoré sú výsledkom dlhodobého a finančne náročného výskumu, bude v Únii pokračovať len za predpokladu, že sa na ne budú vzťahovať priaznivé pravidlá poskytujúce dostatočnú ochranu, ktorou sa zabezpečí podpora takéhoto výskumu.</w:t>
      </w:r>
    </w:p>
    <w:p>
      <w:pPr>
        <w:spacing w:before="120" w:after="120" w:line="360" w:lineRule="auto"/>
        <w:ind w:left="850" w:hanging="850"/>
        <w:rPr>
          <w:szCs w:val="24"/>
          <w:lang w:eastAsia="en-US"/>
        </w:rPr>
      </w:pPr>
      <w:r>
        <w:rPr>
          <w:szCs w:val="24"/>
          <w:lang w:eastAsia="en-US"/>
        </w:rPr>
        <w:t>(2)</w:t>
      </w:r>
      <w:r>
        <w:rPr>
          <w:szCs w:val="24"/>
          <w:lang w:eastAsia="en-US"/>
        </w:rPr>
        <w:tab/>
        <w:t>Dĺžka obdobia, ktoré uplynie medzi podaním patentovej prihlášky na nový prípravok na ochranu rastlín a povolením na uvedenie tohto prípravku na trh, spôsobuje, že obdobie účinnej ochrany v rámci tohto patentu je nedostatočné pre návratnosť investícií, ktoré boli vložené do výskumu.</w:t>
      </w:r>
    </w:p>
    <w:p>
      <w:pPr>
        <w:spacing w:before="120" w:after="120" w:line="360" w:lineRule="auto"/>
        <w:ind w:left="850" w:hanging="850"/>
        <w:rPr>
          <w:b/>
          <w:szCs w:val="24"/>
          <w:lang w:eastAsia="en-US"/>
        </w:rPr>
      </w:pPr>
      <w:r>
        <w:rPr>
          <w:b/>
          <w:i/>
          <w:szCs w:val="24"/>
          <w:lang w:eastAsia="en-US"/>
        </w:rPr>
        <w:t>(2a)</w:t>
      </w:r>
      <w:r>
        <w:rPr>
          <w:szCs w:val="24"/>
          <w:lang w:eastAsia="en-US"/>
        </w:rPr>
        <w:tab/>
      </w:r>
      <w:r>
        <w:rPr>
          <w:b/>
          <w:i/>
          <w:szCs w:val="24"/>
          <w:lang w:eastAsia="en-US"/>
        </w:rPr>
        <w:t xml:space="preserve">Uvedená situácia vedie k nedostatku ochrany, ktorá sa odráža na výskume ochrany rastlín a konkurencieschopnosti tohto odvetvia. </w:t>
      </w:r>
      <w:r>
        <w:rPr>
          <w:b/>
          <w:szCs w:val="24"/>
          <w:lang w:eastAsia="en-US"/>
        </w:rPr>
        <w:t>[PN 1]</w:t>
      </w:r>
    </w:p>
    <w:p>
      <w:pPr>
        <w:spacing w:before="120" w:after="120" w:line="360" w:lineRule="auto"/>
        <w:ind w:left="850" w:hanging="850"/>
        <w:rPr>
          <w:szCs w:val="24"/>
          <w:lang w:eastAsia="en-US"/>
        </w:rPr>
      </w:pPr>
      <w:r>
        <w:rPr>
          <w:szCs w:val="24"/>
          <w:lang w:eastAsia="en-US"/>
        </w:rPr>
        <w:t>(3)</w:t>
      </w:r>
      <w:r>
        <w:rPr>
          <w:szCs w:val="24"/>
          <w:lang w:eastAsia="en-US"/>
        </w:rPr>
        <w:tab/>
        <w:t>Jednotná patentová a dodatková ochrana na vnútornom trhu alebo aspoň na jeho významnej časti má byť medzi tými právnymi nástrojmi, ktoré majú agrochemické podniky k dispozícii na posilnenie svojej konkurencieschopnosti.</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(4)</w:t>
      </w:r>
      <w:r>
        <w:rPr>
          <w:szCs w:val="24"/>
          <w:lang w:eastAsia="en-US"/>
        </w:rPr>
        <w:tab/>
        <w:t>Komisia vo svojom oznámení z 25. novembra 2020 s názvom Maximálne využitie inovačného potenciálu EÚ – Akčný plán pre oblasť duševného vlastníctva na podporu obnovy a odolnosti EÚ</w:t>
      </w:r>
      <w:r>
        <w:rPr>
          <w:szCs w:val="24"/>
          <w:vertAlign w:val="superscript"/>
          <w:lang w:eastAsia="en-US"/>
        </w:rPr>
        <w:footnoteReference w:id="3"/>
      </w:r>
      <w:r>
        <w:rPr>
          <w:szCs w:val="24"/>
          <w:lang w:eastAsia="en-US"/>
        </w:rPr>
        <w:t xml:space="preserve"> zdôraznila potrebu riešiť pretrvávajúcu rozdrobenosť systému duševného vlastníctva v Únii. V uvedenom oznámení Komisia konštatuje, že v prípade liekov a prípravkov na ochranu rastlín je dodatková ochrana k dispozícii iba na vnútroštátnej úrovni. Zároveň existuje centralizovaný postup udeľovania európskych patentov. Okrem toho v prípade všetkých členských štátov, ktoré ratifikovali Dohodu o jednotnom patentovom súde, nadobudne 1. júna 2023 účinnosť „jednotný patent“ stanovený v nariadení (EÚ) č. 1257/2012</w:t>
      </w:r>
      <w:r>
        <w:rPr>
          <w:szCs w:val="24"/>
          <w:vertAlign w:val="superscript"/>
          <w:lang w:eastAsia="en-US"/>
        </w:rPr>
        <w:footnoteReference w:id="4"/>
      </w:r>
      <w:r>
        <w:rPr>
          <w:szCs w:val="24"/>
          <w:lang w:eastAsia="en-US"/>
        </w:rPr>
        <w:t>.</w:t>
      </w:r>
    </w:p>
    <w:p>
      <w:pPr>
        <w:spacing w:before="120" w:after="120" w:line="360" w:lineRule="auto"/>
        <w:ind w:left="850" w:hanging="850"/>
        <w:rPr>
          <w:szCs w:val="24"/>
          <w:lang w:eastAsia="en-US"/>
        </w:rPr>
      </w:pPr>
      <w:r>
        <w:rPr>
          <w:szCs w:val="24"/>
          <w:lang w:eastAsia="en-US"/>
        </w:rPr>
        <w:t>(5)</w:t>
      </w:r>
      <w:r>
        <w:rPr>
          <w:szCs w:val="24"/>
          <w:lang w:eastAsia="en-US"/>
        </w:rPr>
        <w:tab/>
        <w:t>V nariadení (EÚ) č. 1257/2012 sa vytvorila možnosť udeľovať jednotné patenty. V nariadení (EÚ) č. 1257/2012 sa však nestanovuje jednotné dodatkové ochranné osvedčenie („jednotné osvedčenie“).</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(6)</w:t>
      </w:r>
      <w:r>
        <w:rPr>
          <w:szCs w:val="24"/>
          <w:lang w:eastAsia="en-US"/>
        </w:rPr>
        <w:tab/>
        <w:t>V prípade neexistencie jednotného osvedčenia by sa jednotný patent mohol rozšíriť iba požiadaním o viaceré národné osvedčenia v každom členskom štáte, v ktorom sa žiada o ochranu, čím by sa zabránilo tomu, aby majiteľ jednotného patentu získal počas celého obdobia kombinovanej ochrany jednotnú ochranu, ktorú poskytuje daný jednotný patent a následne uvedené osvedčenia. Preto by sa malo vytvoriť jednotné osvedčenie pre prípravky na ochranu rastlín, ktoré by umožňovalo, aby sa jednotný patent rozšíril jednotným spôsobom. O takéto jednotné osvedčenie by sa žiadalo na základe jednotného základného patentu, pričom by dané osvedčenie malo také isté právne účinky ako národné osvedčenia vo všetkých členských štátoch, v ktorých má daný základný patent jednotný účinok. Kľúčovým prvkom takéhoto jednotného osvedčenia by mal byť jeho jednotný charakter.</w:t>
      </w:r>
    </w:p>
    <w:p>
      <w:pPr>
        <w:spacing w:before="120" w:after="120" w:line="360" w:lineRule="auto"/>
        <w:ind w:left="850" w:hanging="850"/>
        <w:rPr>
          <w:szCs w:val="24"/>
          <w:lang w:eastAsia="en-US"/>
        </w:rPr>
      </w:pPr>
      <w:r>
        <w:rPr>
          <w:szCs w:val="24"/>
          <w:lang w:eastAsia="en-US"/>
        </w:rPr>
        <w:t>(7)</w:t>
      </w:r>
      <w:r>
        <w:rPr>
          <w:szCs w:val="24"/>
          <w:lang w:eastAsia="en-US"/>
        </w:rPr>
        <w:tab/>
        <w:t>Jednotné osvedčenie by malo zabezpečovať jednotnú ochranu a malo by mať rovnaký účinok vo všetkých členských štátoch, v ktorých má základný patent, z ktorého toto osvedčenie vychádza, jednotný účinok, okrem prípadu dočasného pozastavenia účinku s cieľom zohľadniť povolenia na uvedenie na trh, ktoré boli udelené v rôznych časoch. K prevodu či zrušeniu alebo k uplynutiu platnosti jednotného osvedčenia by preto malo dôjsť len vo vzťahu k všetkým týmto členským štátom.</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(8)</w:t>
      </w:r>
      <w:r>
        <w:rPr>
          <w:szCs w:val="24"/>
          <w:lang w:eastAsia="en-US"/>
        </w:rPr>
        <w:tab/>
        <w:t>Nariadenie [COM(2023) 223] nahrádza nariadenie Európskeho parlamentu a Rady (ES) č. 1610/96</w:t>
      </w:r>
      <w:r>
        <w:rPr>
          <w:szCs w:val="24"/>
          <w:vertAlign w:val="superscript"/>
          <w:lang w:eastAsia="en-US"/>
        </w:rPr>
        <w:footnoteReference w:id="5"/>
      </w:r>
      <w:r>
        <w:rPr>
          <w:szCs w:val="24"/>
          <w:lang w:eastAsia="en-US"/>
        </w:rPr>
        <w:t xml:space="preserve"> a obsahuje nové ustanovenia, ktorými sa zavádza centralizovaný postup prieskumu dodatkových ochranných osvedčení pre prípravky na ochranu rastlín.</w:t>
      </w:r>
    </w:p>
    <w:p>
      <w:pPr>
        <w:spacing w:before="120" w:after="120" w:line="360" w:lineRule="auto"/>
        <w:ind w:left="850" w:hanging="850"/>
        <w:rPr>
          <w:szCs w:val="24"/>
          <w:lang w:eastAsia="en-US"/>
        </w:rPr>
      </w:pPr>
      <w:r>
        <w:rPr>
          <w:szCs w:val="24"/>
          <w:lang w:eastAsia="en-US"/>
        </w:rPr>
        <w:t>(9)</w:t>
      </w:r>
      <w:r>
        <w:rPr>
          <w:szCs w:val="24"/>
          <w:lang w:eastAsia="en-US"/>
        </w:rPr>
        <w:tab/>
        <w:t>Keďže niektoré členské štáty sa k systému jednotného patentu ešte nepripojili, osvedčenia udelené národnými patentovými úradmi by mali naďalej zostať k dispozícii.</w:t>
      </w:r>
    </w:p>
    <w:p>
      <w:pPr>
        <w:spacing w:before="120" w:after="120" w:line="360" w:lineRule="auto"/>
        <w:ind w:left="850" w:hanging="850"/>
        <w:rPr>
          <w:szCs w:val="24"/>
          <w:lang w:eastAsia="en-US"/>
        </w:rPr>
      </w:pPr>
      <w:r>
        <w:rPr>
          <w:szCs w:val="24"/>
          <w:lang w:eastAsia="en-US"/>
        </w:rPr>
        <w:t>(10)</w:t>
      </w:r>
      <w:r>
        <w:rPr>
          <w:szCs w:val="24"/>
          <w:lang w:eastAsia="en-US"/>
        </w:rPr>
        <w:tab/>
        <w:t>S cieľom zabrániť diskriminácii medzi žiadateľmi o osvedčenia podľa nariadenia [COM(2023) 223] a o jednotné osvedčenia podľa tohto nariadenia, ako aj deformáciám vnútorného trhu, by sa mali uplatňovať tie isté príslušne upravené hmotnoprávne pravidlá na osvedčenia podľa nariadenia [COM(2023) 223] a na jednotné osvedčenia, najmä pokiaľ ide o podmienky na udelenie osvedčenia, ako aj trvanie platnosti a účinky osvedčenia.</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(11)</w:t>
      </w:r>
      <w:r>
        <w:rPr>
          <w:szCs w:val="24"/>
          <w:lang w:eastAsia="en-US"/>
        </w:rPr>
        <w:tab/>
        <w:t>Predovšetkým by malo byť trvanie ochrany poskytnutej jednotným osvedčením také isté ako trvanie, ktoré je v prípade národných osvedčení stanovené v nariadení [COM(2023) 223]; konkrétne by mal mať majiteľ jednotného patentu, ktorý je zároveň aj držiteľom jednotného osvedčenia, možnosť využívať celkové maximálne pätnásťročné obdobie výlučných práv od okamihu, keď príslušný prípravok na ochranu rastlín prvýkrát získal povolenie na uvedenie na trh v Únii. Keďže jednotné osvedčenie by nadobudlo účinok v momente uplynutia platnosti patentu, ako aj v záujme zohľadnenia rozdielov vo vnútroštátnych postupoch súvisiacich s dátumom uplynutia platnosti patentu, ktoré môžu mať za následok jednodňové rozdiely, by sa v tomto nariadení malo objasniť, kedy presne nadobudne účinok ochrana poskytovaná jednotným osvedčením.</w:t>
      </w:r>
    </w:p>
    <w:p>
      <w:pPr>
        <w:spacing w:before="120" w:after="120" w:line="360" w:lineRule="auto"/>
        <w:ind w:left="850" w:hanging="850"/>
        <w:rPr>
          <w:szCs w:val="24"/>
          <w:lang w:eastAsia="en-US"/>
        </w:rPr>
      </w:pPr>
      <w:r>
        <w:rPr>
          <w:szCs w:val="24"/>
          <w:lang w:eastAsia="en-US"/>
        </w:rPr>
        <w:t>(12)</w:t>
      </w:r>
      <w:r>
        <w:rPr>
          <w:szCs w:val="24"/>
          <w:lang w:eastAsia="en-US"/>
        </w:rPr>
        <w:tab/>
        <w:t>V článku 2 nariadenia Európskeho parlamentu a Rady (EÚ) 2017/1001</w:t>
      </w:r>
      <w:r>
        <w:rPr>
          <w:szCs w:val="24"/>
          <w:vertAlign w:val="superscript"/>
          <w:lang w:eastAsia="en-US"/>
        </w:rPr>
        <w:footnoteReference w:id="6"/>
      </w:r>
      <w:r>
        <w:rPr>
          <w:szCs w:val="24"/>
          <w:lang w:eastAsia="en-US"/>
        </w:rPr>
        <w:t xml:space="preserve"> sa zriaďuje Úrad Európskej únie pre duševné vlastníctvo (ďalej len „úrad“). V záujme vnútorného trhu a vzhľadom na autonómny charakter jednotného osvedčenia by mal jeho prieskum a udeľovanie zabezpečovať jednotný orgán prieskumu. Možno to dosiahnuť poverením úradu úlohou preskúmať žiadosti o jednotné osvedčenia v súlade s týmto nariadením a nariadením [COM(2023) 222] a centralizované žiadosti o osvedčenia podľa nariadení [COM(2023) 231] a [COM(2023) 223].</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(13)</w:t>
      </w:r>
      <w:r>
        <w:rPr>
          <w:szCs w:val="24"/>
          <w:lang w:eastAsia="en-US"/>
        </w:rPr>
        <w:tab/>
        <w:t>V prípade neexistencie centralizovaného povolenia na uvedenie na trh sa povolenia na uvedenie na trh udeľujú na vnútroštátnej úrovni. Povolenia pre daný prípravok na ochranu rastlín sa teda svojím rozsahom môžu v jednotlivých členských štátoch mierne líšiť. Jednotné osvedčenie by však malo poskytovať ochranu danému prípravku na ochranu rastlín iba v rozsahu, v akom sa naň náležite vzťahujú povolenia na uvedenie trh udelené v každom z členských štátov, v ktorých má základný patent jednotný účinok.</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(14)</w:t>
      </w:r>
      <w:r>
        <w:rPr>
          <w:szCs w:val="24"/>
          <w:lang w:eastAsia="en-US"/>
        </w:rPr>
        <w:tab/>
        <w:t>Keďže je možné, že k udeleniu povolení na uvedenie daného prípravku na ochranu rastlín na trh sa v jednotlivých členských štátoch dôjde k rôznym dátumom, v mnohých prípadoch by preto nebolo možné udeliť jednotné osvedčenie pre daný prípravok na ochranu rastlín, ak by sa vyžadovalo, že povolenia sa vo všetkých príslušných členských štátoch, t. j. v tých, v ktorých má základný patent jednotný účinok, musia udeliť k termínu podania žiadosti. Žiadateľovi by sa preto malo umožniť podanie žiadosti o jednotné osvedčenie, ak vo všetkých príslušných členských štátoch došlo k podaniu žiadostí o povolenie na uvedenie na trh, a to za podmienky, že sa takéto povolenia udelia pred skončením procesu prieskumu, ktorý by sa z tohto dôvodu nemal skončiť skôr ako 18 mesiacov od podania žiadosti. Ak sa v príslušnom členskom štáte povolenie neudelí pred dokončením prieskumu, jednotné osvedčenie by v prípade daného členského štátu nemalo mať žiadny účinok, kým sa v tomto členskom štáte neudelí platné povolenie. Tento pozastavujúci účinok by sa však mal zrušiť, ak sa chýbajúce povolenie udelí po udelení jednotného osvedčenia, no – v záujme zabezpečenia právnej istoty – ešte pred uplynutím platnosti základného patentu, a to na základe požiadavky, ktorú v tomto zmysle predloží držiteľ jednotného osvedčenia, a pod podmienkou, že úrad danú požiadavku overí.</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(15)</w:t>
      </w:r>
      <w:r>
        <w:rPr>
          <w:szCs w:val="24"/>
          <w:lang w:eastAsia="en-US"/>
        </w:rPr>
        <w:tab/>
        <w:t>Žiadateľovi by malo byť takisto umožnené podať „kombinovanú žiadosť“, ktorá by obsahovala aj určenie členských štátov, iných ako členské štáty, v ktorých má základný patent jednotný účinok, v ktorých by sa žiadalo o udelenie národných osvedčení, ako sa stanovuje v nariadení [COM(2023) 223]. Na takúto kombinovanú žiadosť by sa vzťahoval jednotný postup prieskumu.</w:t>
      </w:r>
    </w:p>
    <w:p>
      <w:pPr>
        <w:spacing w:before="120" w:after="120" w:line="360" w:lineRule="auto"/>
        <w:ind w:left="850" w:hanging="850"/>
        <w:rPr>
          <w:szCs w:val="24"/>
          <w:lang w:eastAsia="en-US"/>
        </w:rPr>
      </w:pPr>
      <w:r>
        <w:rPr>
          <w:szCs w:val="24"/>
          <w:lang w:eastAsia="en-US"/>
        </w:rPr>
        <w:t>(16)</w:t>
      </w:r>
      <w:r>
        <w:rPr>
          <w:szCs w:val="24"/>
          <w:lang w:eastAsia="en-US"/>
        </w:rPr>
        <w:tab/>
        <w:t>V takom prípade by sa mala v každom členskom štáte vylúčiť dvojitá ochrana jednotným osvedčením, ako aj národným osvedčením, bez ohľadu na to, či boli získané na základe vnútroštátnej alebo centralizovanej žiadosti.</w:t>
      </w:r>
    </w:p>
    <w:p>
      <w:pPr>
        <w:spacing w:before="120" w:after="120" w:line="360" w:lineRule="auto"/>
        <w:ind w:left="850" w:hanging="850"/>
        <w:rPr>
          <w:b/>
          <w:szCs w:val="24"/>
          <w:lang w:eastAsia="en-US"/>
        </w:rPr>
      </w:pPr>
      <w:r>
        <w:rPr>
          <w:szCs w:val="24"/>
          <w:lang w:eastAsia="en-US"/>
        </w:rPr>
        <w:t>(17)</w:t>
      </w:r>
      <w:r>
        <w:rPr>
          <w:szCs w:val="24"/>
          <w:lang w:eastAsia="en-US"/>
        </w:rPr>
        <w:tab/>
        <w:t xml:space="preserve">Jednou z podmienok udelenia osvedčenia by malo byť, aby bol výrobok chránený základným patentom v tom zmysle, že výrobok by mal patriť do rozsahu pôsobnosti jedného alebo viacerých patentových nárokov uvedeného patentu, ako ich interpretoval odborník v danej oblasti </w:t>
      </w:r>
      <w:r>
        <w:rPr>
          <w:strike/>
          <w:szCs w:val="24"/>
          <w:lang w:eastAsia="en-US"/>
        </w:rPr>
        <w:t>opisom</w:t>
      </w:r>
      <w:r>
        <w:rPr>
          <w:b/>
          <w:i/>
          <w:szCs w:val="24"/>
          <w:lang w:eastAsia="en-US"/>
        </w:rPr>
        <w:t>vzhľadom na opis a výkresy</w:t>
      </w:r>
      <w:r>
        <w:rPr>
          <w:szCs w:val="24"/>
          <w:lang w:eastAsia="en-US"/>
        </w:rPr>
        <w:t xml:space="preserve"> patentu </w:t>
      </w:r>
      <w:r>
        <w:rPr>
          <w:b/>
          <w:i/>
          <w:szCs w:val="24"/>
          <w:lang w:eastAsia="en-US"/>
        </w:rPr>
        <w:t xml:space="preserve">na základe všeobecných znalostí uvedeného odborníka v príslušnej oblasti a predchádzajúceho stavu </w:t>
      </w:r>
      <w:r>
        <w:rPr>
          <w:szCs w:val="24"/>
          <w:lang w:eastAsia="en-US"/>
        </w:rPr>
        <w:t>v deň</w:t>
      </w:r>
      <w:r>
        <w:rPr>
          <w:strike/>
          <w:szCs w:val="24"/>
          <w:lang w:eastAsia="en-US"/>
        </w:rPr>
        <w:t xml:space="preserve"> jeho</w:t>
      </w:r>
      <w:r>
        <w:rPr>
          <w:szCs w:val="24"/>
          <w:lang w:eastAsia="en-US"/>
        </w:rPr>
        <w:t xml:space="preserve"> podania</w:t>
      </w:r>
      <w:r>
        <w:rPr>
          <w:b/>
          <w:i/>
          <w:szCs w:val="24"/>
          <w:lang w:eastAsia="en-US"/>
        </w:rPr>
        <w:t xml:space="preserve"> alebo v deň vzniku práva prednosti základného patentu</w:t>
      </w:r>
      <w:r>
        <w:rPr>
          <w:szCs w:val="24"/>
          <w:lang w:eastAsia="en-US"/>
        </w:rPr>
        <w:t>. To by nemalo nevyhnutne znamenať požiadavku, aby sa v patentových nárokoch výslovne uvádzala účinná látka výrobku</w:t>
      </w:r>
      <w:r>
        <w:rPr>
          <w:strike/>
          <w:szCs w:val="24"/>
          <w:lang w:eastAsia="en-US"/>
        </w:rPr>
        <w:t>.</w:t>
      </w:r>
      <w:r>
        <w:rPr>
          <w:b/>
          <w:i/>
          <w:szCs w:val="24"/>
          <w:lang w:eastAsia="en-US"/>
        </w:rPr>
        <w:t>,</w:t>
      </w:r>
      <w:r>
        <w:rPr>
          <w:szCs w:val="24"/>
          <w:lang w:eastAsia="en-US"/>
        </w:rPr>
        <w:t xml:space="preserve"> alebo v prípade prípravku by to nemalo nevyhnutne znamenať požiadavku, aby sa v patentových nárokoch výslovne uvádzala každá </w:t>
      </w:r>
      <w:r>
        <w:rPr>
          <w:strike/>
          <w:szCs w:val="24"/>
          <w:lang w:eastAsia="en-US"/>
        </w:rPr>
        <w:t>z jeho účinných látok</w:t>
      </w:r>
      <w:r>
        <w:rPr>
          <w:b/>
          <w:i/>
          <w:szCs w:val="24"/>
          <w:lang w:eastAsia="en-US"/>
        </w:rPr>
        <w:t>jeho</w:t>
      </w:r>
      <w:r>
        <w:rPr>
          <w:szCs w:val="24"/>
          <w:lang w:eastAsia="en-US"/>
        </w:rPr>
        <w:t xml:space="preserve"> </w:t>
      </w:r>
      <w:r>
        <w:rPr>
          <w:b/>
          <w:i/>
          <w:szCs w:val="24"/>
          <w:lang w:eastAsia="en-US"/>
        </w:rPr>
        <w:t>účinná látka</w:t>
      </w:r>
      <w:r>
        <w:rPr>
          <w:szCs w:val="24"/>
          <w:lang w:eastAsia="en-US"/>
        </w:rPr>
        <w:t xml:space="preserve"> za predpokladu, že každá </w:t>
      </w:r>
      <w:r>
        <w:rPr>
          <w:strike/>
          <w:szCs w:val="24"/>
          <w:lang w:eastAsia="en-US"/>
        </w:rPr>
        <w:t>z nich</w:t>
      </w:r>
      <w:r>
        <w:rPr>
          <w:b/>
          <w:i/>
          <w:szCs w:val="24"/>
          <w:lang w:eastAsia="en-US"/>
        </w:rPr>
        <w:t>účinná látka</w:t>
      </w:r>
      <w:r>
        <w:rPr>
          <w:szCs w:val="24"/>
          <w:lang w:eastAsia="en-US"/>
        </w:rPr>
        <w:t xml:space="preserve"> je konkrétne identifikovateľná na základe všetkých informácií zverejnených v tomto patente</w:t>
      </w:r>
      <w:r>
        <w:rPr>
          <w:b/>
          <w:i/>
          <w:szCs w:val="24"/>
          <w:lang w:eastAsia="en-US"/>
        </w:rPr>
        <w:t xml:space="preserve"> a na základe stavu techniky ku dňu podania patentovej prihlášky alebo ku dňu vzniku práva prednosti základného patentu</w:t>
      </w:r>
      <w:r>
        <w:rPr>
          <w:szCs w:val="24"/>
          <w:lang w:eastAsia="en-US"/>
        </w:rPr>
        <w:t>.</w:t>
      </w:r>
      <w:r>
        <w:rPr>
          <w:b/>
          <w:i/>
          <w:szCs w:val="24"/>
          <w:lang w:eastAsia="en-US"/>
        </w:rPr>
        <w:t xml:space="preserve"> </w:t>
      </w:r>
      <w:r>
        <w:rPr>
          <w:b/>
          <w:szCs w:val="24"/>
          <w:lang w:eastAsia="en-US"/>
        </w:rPr>
        <w:t>[PN 2]</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(18)</w:t>
      </w:r>
      <w:r>
        <w:rPr>
          <w:szCs w:val="24"/>
          <w:lang w:eastAsia="en-US"/>
        </w:rPr>
        <w:tab/>
        <w:t xml:space="preserve">S cieľom zabrániť nadmernej ochrane by sa malo stanoviť, že ten istý výrobok môže byť v danom členskom štáte chránený iba jedným osvedčením, či už vnútroštátnym alebo jednotným. Malo by sa preto vyžadovať, aby výrobok alebo akýkoľvek derivát, ako sú soli, estery, étery, izoméry, zmesi izomérov alebo komplexy, ktoré sú z rastlinolekárskeho hľadiska rovnocenné danému výrobku, </w:t>
      </w:r>
      <w:r>
        <w:rPr>
          <w:strike/>
          <w:szCs w:val="24"/>
          <w:lang w:eastAsia="en-US"/>
        </w:rPr>
        <w:t xml:space="preserve">už </w:t>
      </w:r>
      <w:r>
        <w:rPr>
          <w:szCs w:val="24"/>
          <w:lang w:eastAsia="en-US"/>
        </w:rPr>
        <w:t xml:space="preserve">nebol predmetom </w:t>
      </w:r>
      <w:r>
        <w:rPr>
          <w:strike/>
          <w:szCs w:val="24"/>
          <w:lang w:eastAsia="en-US"/>
        </w:rPr>
        <w:t>predchádzajúceho</w:t>
      </w:r>
      <w:r>
        <w:rPr>
          <w:b/>
          <w:i/>
          <w:szCs w:val="24"/>
          <w:lang w:eastAsia="en-US"/>
        </w:rPr>
        <w:t>už predtým udeleného</w:t>
      </w:r>
      <w:r>
        <w:rPr>
          <w:szCs w:val="24"/>
          <w:lang w:eastAsia="en-US"/>
        </w:rPr>
        <w:t xml:space="preserve"> osvedčenia</w:t>
      </w:r>
      <w:r>
        <w:rPr>
          <w:strike/>
          <w:szCs w:val="24"/>
          <w:lang w:eastAsia="en-US"/>
        </w:rPr>
        <w:t>, či už samostatne alebo v kombinácii s jednou alebo viacerými ďalšími účinnými látkami</w:t>
      </w:r>
      <w:r>
        <w:rPr>
          <w:szCs w:val="24"/>
          <w:lang w:eastAsia="en-US"/>
        </w:rPr>
        <w:t xml:space="preserve">, či už pre tú istú alebo odlišnú aplikáciu. </w:t>
      </w:r>
      <w:r>
        <w:rPr>
          <w:b/>
          <w:szCs w:val="24"/>
          <w:lang w:eastAsia="en-US"/>
        </w:rPr>
        <w:t>[PN 3]</w:t>
      </w:r>
    </w:p>
    <w:p>
      <w:pPr>
        <w:spacing w:before="120" w:after="120" w:line="360" w:lineRule="auto"/>
        <w:ind w:left="850" w:hanging="850"/>
        <w:rPr>
          <w:szCs w:val="24"/>
          <w:lang w:eastAsia="en-US"/>
        </w:rPr>
      </w:pPr>
      <w:r>
        <w:rPr>
          <w:szCs w:val="24"/>
          <w:lang w:eastAsia="en-US"/>
        </w:rPr>
        <w:t>(19)</w:t>
      </w:r>
      <w:r>
        <w:rPr>
          <w:szCs w:val="24"/>
          <w:lang w:eastAsia="en-US"/>
        </w:rPr>
        <w:tab/>
        <w:t>V medziach ochrany poskytovanej základným patentom by sa ochrana poskytovaná jednotným osvedčením mala rozšíriť len na daný výrobok, konkrétne na účinnú látku alebo jej kombinácie, na ktorý sa vzťahuje povolenie jeho uvedenia na trh, a na každé použitie daného výrobku ako prípravku na ochranu rastlín, ktoré je povolené pred uplynutím platnosti daného jednotného osvedčenia.</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(20)</w:t>
      </w:r>
      <w:r>
        <w:rPr>
          <w:szCs w:val="24"/>
          <w:lang w:eastAsia="en-US"/>
        </w:rPr>
        <w:tab/>
        <w:t>V záujme zabezpečenia vyváženej ochrany by však jednotné osvedčenie malo jeho držiteľa oprávňovať, aby zabránil tretej strane vyrábať nielen výrobok uvedený v jednotnom osvedčení, ale aj deriváty tohto výrobku, ako sú soli, estery, étery, izoméry, zmesi izomérov alebo komplexy, ktoré sú z rastlinolekárskeho hľadiska rovnocenné danému výrobku, a to aj vtedy, keď takéto deriváty nie sú výslovne uvedené v opise výrobku v danom jednotnom osvedčení. Preto treba zohľadniť skutočnosť, že ochrana priznaná jednotným osvedčením sa vzťahuje aj na takéto rovnocenné deriváty v medziach ochrany poskytovanej základným patentom.</w:t>
      </w:r>
    </w:p>
    <w:p>
      <w:pPr>
        <w:spacing w:before="120" w:after="120" w:line="360" w:lineRule="auto"/>
        <w:ind w:left="850" w:hanging="850"/>
        <w:rPr>
          <w:szCs w:val="24"/>
          <w:lang w:eastAsia="en-US"/>
        </w:rPr>
      </w:pPr>
      <w:r>
        <w:rPr>
          <w:szCs w:val="24"/>
          <w:lang w:eastAsia="en-US"/>
        </w:rPr>
        <w:t>(21)</w:t>
      </w:r>
      <w:r>
        <w:rPr>
          <w:szCs w:val="24"/>
          <w:lang w:eastAsia="en-US"/>
        </w:rPr>
        <w:tab/>
        <w:t>Ďalším opatrením na zabezpečenie toho, aby mohol byť jeden výrobok v akomkoľvek členskom štáte chránený len jedným osvedčením, by bolo to, že majiteľovi viacerých patentov na ten istý výrobok by sa nemalo na daný výrobok udeliť viac ako jedno osvedčenie. Ak však majú vlastnícky vzťah k dvom patentom na ochranu výrobku dvaja majitelia, každému z nich by sa malo udeliť jedno osvedčenie pre daný výrobok, ak preukážu, že nie sú ekonomicky prepojení. Okrem toho by sa majiteľovi základného patentu v súvislosti s výrobkom, na ktorý sa vzťahuje povolenie udelené tretej strane, nemalo bez súhlasu danej strany udeliť žiadne osvedčenie.</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(22)</w:t>
      </w:r>
      <w:r>
        <w:rPr>
          <w:szCs w:val="24"/>
          <w:lang w:eastAsia="en-US"/>
        </w:rPr>
        <w:tab/>
        <w:t>Pokiaľ ide o žiadosti o jednotné osvedčenia pre prípravky na ochranu rastlín, podmienka udelenia v súvislosti povolením, ktoré je prvým povolením, by sa mala splniť individuálne podľa jednotlivých krajín.</w:t>
      </w:r>
    </w:p>
    <w:p>
      <w:pPr>
        <w:spacing w:before="120" w:after="120" w:line="360" w:lineRule="auto"/>
        <w:ind w:left="850" w:hanging="850"/>
        <w:rPr>
          <w:szCs w:val="24"/>
          <w:lang w:eastAsia="en-US"/>
        </w:rPr>
      </w:pPr>
      <w:r>
        <w:rPr>
          <w:szCs w:val="24"/>
          <w:lang w:eastAsia="en-US"/>
        </w:rPr>
        <w:t>(23)</w:t>
      </w:r>
      <w:r>
        <w:rPr>
          <w:szCs w:val="24"/>
          <w:lang w:eastAsia="en-US"/>
        </w:rPr>
        <w:tab/>
        <w:t>V záujme súladu s pravidlami uplatniteľnými na jednotné patenty by sa malo jednotné osvedčenie považovať za predmet vlastníctva v plnom rozsahu, a to vo všetkých členských štátoch, v ktorých má účinok ako národné osvedčenie členského štátu, ktorý je určený v súlade právom, ktoré sa vzťahuje na základný patent.</w:t>
      </w:r>
    </w:p>
    <w:p>
      <w:pPr>
        <w:spacing w:before="120" w:after="120" w:line="360" w:lineRule="auto"/>
        <w:ind w:left="850" w:hanging="850"/>
        <w:rPr>
          <w:szCs w:val="24"/>
          <w:lang w:eastAsia="en-US"/>
        </w:rPr>
      </w:pPr>
      <w:r>
        <w:rPr>
          <w:szCs w:val="24"/>
          <w:lang w:eastAsia="en-US"/>
        </w:rPr>
        <w:t>(24)</w:t>
      </w:r>
      <w:r>
        <w:rPr>
          <w:szCs w:val="24"/>
          <w:lang w:eastAsia="en-US"/>
        </w:rPr>
        <w:tab/>
        <w:t>S cieľom zaručiť spravodlivý a transparentný proces, zabezpečiť právnu istotu a znížiť riziko následných námietok spochybňujúcich platnosť by tretie strany mali mať možnosť predložiť úradu svoje pripomienky do troch mesiacov od uverejnenia žiadosti o jednotné osvedčenie, kým prebieha centralizovaný prieskum. Medzi tieto tretie strany, ktoré môžu predkladať pripomienky, by mali patriť aj členské štáty. Nemalo by to však mať vplyv na práva tretích strán začať pred úradomnásledné konanie o vyhlásení neplatnosti. Tieto ustanovenia sú potrebné na zabezpečenie zapojenia tretích strán pred udelením osvedčení aj po ňom.</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(25)</w:t>
      </w:r>
      <w:r>
        <w:rPr>
          <w:szCs w:val="24"/>
          <w:lang w:eastAsia="en-US"/>
        </w:rPr>
        <w:tab/>
        <w:t>Prieskum žiadosti o jednotné osvedčenie by mala pod dohľadom úradu vykonávať prieskumová komisia vrátane jedného člena úradu, ako aj dvoch prieskumových pracovníkov zamestnaných v daných národných patentových úradoch. Tým by sa zabezpečilo optimálne využívanie odborných poznatkov v oblasti dodatkových ochranných osvedčení</w:t>
      </w:r>
      <w:r>
        <w:rPr>
          <w:b/>
          <w:i/>
          <w:szCs w:val="24"/>
          <w:lang w:eastAsia="en-US"/>
        </w:rPr>
        <w:t xml:space="preserve"> a súvisiacich patentov</w:t>
      </w:r>
      <w:r>
        <w:rPr>
          <w:szCs w:val="24"/>
          <w:lang w:eastAsia="en-US"/>
        </w:rPr>
        <w:t xml:space="preserve">, ktorými v súčasnosti disponujú len národné úrady. </w:t>
      </w:r>
      <w:r>
        <w:rPr>
          <w:strike/>
          <w:szCs w:val="24"/>
          <w:lang w:eastAsia="en-US"/>
        </w:rPr>
        <w:t>V záujme zabezpečenia</w:t>
      </w:r>
      <w:r>
        <w:rPr>
          <w:b/>
          <w:i/>
          <w:szCs w:val="24"/>
          <w:lang w:eastAsia="en-US"/>
        </w:rPr>
        <w:t>Na zabezpečenie</w:t>
      </w:r>
      <w:r>
        <w:rPr>
          <w:szCs w:val="24"/>
          <w:lang w:eastAsia="en-US"/>
        </w:rPr>
        <w:t xml:space="preserve"> optimálnej kvality prieskumu by </w:t>
      </w:r>
      <w:r>
        <w:rPr>
          <w:strike/>
          <w:szCs w:val="24"/>
          <w:lang w:eastAsia="en-US"/>
        </w:rPr>
        <w:t xml:space="preserve">sa mali </w:t>
      </w:r>
      <w:r>
        <w:rPr>
          <w:b/>
          <w:i/>
          <w:szCs w:val="24"/>
          <w:lang w:eastAsia="en-US"/>
        </w:rPr>
        <w:t>úrad a príslušné vnútroštátne orgány mali zaručiť, aby určení prieskumoví pracovníci mali príslušné odborné znalosti a dostatočné skúsenosti s posudzovaním dodatkových ochranných osvedčení. Mali by sa</w:t>
      </w:r>
      <w:r>
        <w:rPr>
          <w:szCs w:val="24"/>
          <w:lang w:eastAsia="en-US"/>
        </w:rPr>
        <w:t xml:space="preserve"> stanoviť</w:t>
      </w:r>
      <w:r>
        <w:rPr>
          <w:b/>
          <w:i/>
          <w:szCs w:val="24"/>
          <w:lang w:eastAsia="en-US"/>
        </w:rPr>
        <w:t xml:space="preserve"> dodatočné</w:t>
      </w:r>
      <w:r>
        <w:rPr>
          <w:szCs w:val="24"/>
          <w:lang w:eastAsia="en-US"/>
        </w:rPr>
        <w:t xml:space="preserve"> vhodné kritériá týkajúce sa účasti konkrétnych prieskumových pracovníkov na danom postupe, najmä pokiaľ ide o kvalifikáciu a konflikty záujmov. </w:t>
      </w:r>
      <w:r>
        <w:rPr>
          <w:b/>
          <w:szCs w:val="24"/>
          <w:lang w:eastAsia="en-US"/>
        </w:rPr>
        <w:t>[PN 4]</w:t>
      </w:r>
    </w:p>
    <w:p>
      <w:pPr>
        <w:spacing w:before="120" w:after="120" w:line="360" w:lineRule="auto"/>
        <w:ind w:left="850" w:hanging="850"/>
        <w:rPr>
          <w:szCs w:val="24"/>
          <w:lang w:eastAsia="en-US"/>
        </w:rPr>
      </w:pPr>
      <w:r>
        <w:rPr>
          <w:szCs w:val="24"/>
          <w:lang w:eastAsia="en-US"/>
        </w:rPr>
        <w:t>(26)</w:t>
      </w:r>
      <w:r>
        <w:rPr>
          <w:szCs w:val="24"/>
          <w:lang w:eastAsia="en-US"/>
        </w:rPr>
        <w:tab/>
        <w:t>Úrad by mal žiadosť o jednotné osvedčenie preskúmať a vydať stanovisko na základe prieskumu. V danom stanovisku by sa mali uvádzať dôvody, prečo je kladné alebo záporné.</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(27)</w:t>
      </w:r>
      <w:r>
        <w:rPr>
          <w:szCs w:val="24"/>
          <w:lang w:eastAsia="en-US"/>
        </w:rPr>
        <w:tab/>
        <w:t>V záujme ochrany procesných práv tretích strán a zabezpečenia úplného systému prostriedkov nápravy by mali mať tretie strany možnosť spochybniť stanovisko na základe prieskumu začatím námietkového konania v krátkom čase po uverejnení tohto stanoviska, pričom táto námietka môže viesť k zmene daného stanoviska.</w:t>
      </w:r>
    </w:p>
    <w:p>
      <w:pPr>
        <w:spacing w:before="120" w:after="120" w:line="360" w:lineRule="auto"/>
        <w:ind w:left="850" w:hanging="850"/>
        <w:rPr>
          <w:szCs w:val="24"/>
          <w:lang w:eastAsia="en-US"/>
        </w:rPr>
      </w:pPr>
      <w:r>
        <w:rPr>
          <w:szCs w:val="24"/>
          <w:lang w:eastAsia="en-US"/>
        </w:rPr>
        <w:t>(28)</w:t>
      </w:r>
      <w:r>
        <w:rPr>
          <w:szCs w:val="24"/>
          <w:lang w:eastAsia="en-US"/>
        </w:rPr>
        <w:tab/>
        <w:t xml:space="preserve">Po ukončení prieskumu žiadosti o jednotné osvedčenie a po uplynutí lehôt na podanie odvolania a námietok, prípadne po vydaní právoplatného rozhodnutia vo veci samej, by mal úrad </w:t>
      </w:r>
      <w:r>
        <w:rPr>
          <w:b/>
          <w:i/>
          <w:szCs w:val="24"/>
          <w:lang w:eastAsia="en-US"/>
        </w:rPr>
        <w:t xml:space="preserve">bez zbytočného odkladu </w:t>
      </w:r>
      <w:r>
        <w:rPr>
          <w:szCs w:val="24"/>
          <w:lang w:eastAsia="en-US"/>
        </w:rPr>
        <w:t xml:space="preserve">oznámiť stanovisko na základe prieskumu formou udelenia jednotného osvedčenia, prípadne zamietnutím žiadosti o jeho udelenie. </w:t>
      </w:r>
      <w:r>
        <w:rPr>
          <w:b/>
          <w:szCs w:val="24"/>
          <w:lang w:eastAsia="en-US"/>
        </w:rPr>
        <w:t>[PN 5]</w:t>
      </w:r>
    </w:p>
    <w:p>
      <w:pPr>
        <w:spacing w:before="120" w:after="120" w:line="360" w:lineRule="auto"/>
        <w:ind w:left="850" w:hanging="850"/>
        <w:rPr>
          <w:szCs w:val="24"/>
          <w:lang w:eastAsia="en-US"/>
        </w:rPr>
      </w:pPr>
      <w:r>
        <w:rPr>
          <w:szCs w:val="24"/>
          <w:lang w:eastAsia="en-US"/>
        </w:rPr>
        <w:t>(29)</w:t>
      </w:r>
      <w:r>
        <w:rPr>
          <w:szCs w:val="24"/>
          <w:lang w:eastAsia="en-US"/>
        </w:rPr>
        <w:tab/>
      </w:r>
      <w:r>
        <w:rPr>
          <w:b/>
          <w:i/>
          <w:szCs w:val="24"/>
          <w:lang w:eastAsia="en-US"/>
        </w:rPr>
        <w:t xml:space="preserve">V záujme ochrany procesných práv a zabezpečenia úplného systému prostriedkov nápravy, </w:t>
      </w:r>
      <w:r>
        <w:rPr>
          <w:szCs w:val="24"/>
          <w:lang w:eastAsia="en-US"/>
        </w:rPr>
        <w:t xml:space="preserve">ak sú žiadateľ alebo iná strana rozhodnutím úradu nepriaznivo dotknutí, žiadateľ alebo daná strana by mali mať právo podať do dvoch mesiacov a za poplatok odvolanie proti rozhodnutiu na odvolacom senáte úradu. Platí to aj pre stanovisko na základe prieskumu, proti ktorému môže žiadateľ podať odvolanie. Rozhodnutia daného odvolacieho senátu by zase mali podliehať preskúmaniu Všeobecným súdom, ktorý má právomoc napadnuté rozhodnutie zrušiť alebo zmeniť. V prípade kombinovanej žiadosti obsahujúcej určenie ďalších členských štátov s cieľom udeliť národné osvedčenia možno podať spoločné odvolanie. </w:t>
      </w:r>
      <w:r>
        <w:rPr>
          <w:b/>
          <w:szCs w:val="24"/>
          <w:lang w:eastAsia="en-US"/>
        </w:rPr>
        <w:t>[PN 6]</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(30)</w:t>
      </w:r>
      <w:r>
        <w:rPr>
          <w:szCs w:val="24"/>
          <w:lang w:eastAsia="en-US"/>
        </w:rPr>
        <w:tab/>
        <w:t xml:space="preserve">Pri menovaní členov odvolacích senátov pre veci týkajúce sa žiadostí o jednotné osvedčenia by sa mali zohľadniť ich </w:t>
      </w:r>
      <w:r>
        <w:rPr>
          <w:b/>
          <w:i/>
          <w:szCs w:val="24"/>
          <w:lang w:eastAsia="en-US"/>
        </w:rPr>
        <w:t xml:space="preserve">príslušné odborné znalosti, nezávislosť a dostatočné </w:t>
      </w:r>
      <w:r>
        <w:rPr>
          <w:szCs w:val="24"/>
          <w:lang w:eastAsia="en-US"/>
        </w:rPr>
        <w:t>predchádzajúce skúsenosti</w:t>
      </w:r>
      <w:r>
        <w:rPr>
          <w:strike/>
          <w:szCs w:val="24"/>
          <w:lang w:eastAsia="en-US"/>
        </w:rPr>
        <w:t xml:space="preserve"> súvisiace</w:t>
      </w:r>
      <w:r>
        <w:rPr>
          <w:szCs w:val="24"/>
          <w:lang w:eastAsia="en-US"/>
        </w:rPr>
        <w:t xml:space="preserve"> s dodatkovými ochrannými osvedčeniami alebo patentmi. </w:t>
      </w:r>
      <w:r>
        <w:rPr>
          <w:b/>
          <w:szCs w:val="24"/>
          <w:lang w:eastAsia="en-US"/>
        </w:rPr>
        <w:t>[PN 7]</w:t>
      </w:r>
    </w:p>
    <w:p>
      <w:pPr>
        <w:spacing w:before="120" w:after="120" w:line="360" w:lineRule="auto"/>
        <w:ind w:left="850" w:hanging="850"/>
        <w:rPr>
          <w:szCs w:val="24"/>
          <w:lang w:eastAsia="en-US"/>
        </w:rPr>
      </w:pPr>
      <w:r>
        <w:rPr>
          <w:szCs w:val="24"/>
          <w:lang w:eastAsia="en-US"/>
        </w:rPr>
        <w:t>(31)</w:t>
      </w:r>
      <w:r>
        <w:rPr>
          <w:szCs w:val="24"/>
          <w:lang w:eastAsia="en-US"/>
        </w:rPr>
        <w:tab/>
        <w:t>Platnosť jednotného osvedčenia môže spochybniť akákoľvek osoba, a to tak, že úradu predloží žiadosť o vyhlásenie neplatnosti.</w:t>
      </w:r>
    </w:p>
    <w:p>
      <w:pPr>
        <w:spacing w:before="120" w:after="120" w:line="360" w:lineRule="auto"/>
        <w:ind w:left="850" w:hanging="850"/>
        <w:rPr>
          <w:szCs w:val="24"/>
          <w:lang w:eastAsia="en-US"/>
        </w:rPr>
      </w:pPr>
      <w:r>
        <w:rPr>
          <w:szCs w:val="24"/>
          <w:lang w:eastAsia="en-US"/>
        </w:rPr>
        <w:t>(32)</w:t>
      </w:r>
      <w:r>
        <w:rPr>
          <w:szCs w:val="24"/>
          <w:lang w:eastAsia="en-US"/>
        </w:rPr>
        <w:tab/>
        <w:t>Úrad by mal mať možnosť účtovať si poplatok za podanie žiadosti o jednotné osvedčenie, ako aj ďalšie procesné poplatky, ako sú poplatky za podanie námietky, odvolania a návrhu na vyhlásenie neplatnosti. Poplatky účtované úradom by sa mali stanoviť vo vykonávacom akte.</w:t>
      </w:r>
    </w:p>
    <w:p>
      <w:pPr>
        <w:spacing w:before="120" w:after="120" w:line="360" w:lineRule="auto"/>
        <w:ind w:left="850" w:hanging="850"/>
        <w:rPr>
          <w:szCs w:val="24"/>
          <w:lang w:eastAsia="en-US"/>
        </w:rPr>
      </w:pPr>
      <w:r>
        <w:rPr>
          <w:szCs w:val="24"/>
          <w:lang w:eastAsia="en-US"/>
        </w:rPr>
        <w:t>(33)</w:t>
      </w:r>
      <w:r>
        <w:rPr>
          <w:szCs w:val="24"/>
          <w:lang w:eastAsia="en-US"/>
        </w:rPr>
        <w:tab/>
        <w:t>Ročné udržiavacie poplatky za jednotné osvedčenia (známe aj ako udržiavacie poplatky) by sa mali platiť úradu, ktorý by si časť z nich mal ponechať na úhradu výdavkov, ktoré vznikli pri vykonávaní úloh v súvislosti s udeľovaním jednotných osvedčení, zatiaľ čo zostávajúca časť by sa mala zdieľať s tými členskými štátmi, v ktorých majú jednotné osvedčenia účinok.</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(34)</w:t>
      </w:r>
      <w:r>
        <w:rPr>
          <w:szCs w:val="24"/>
          <w:lang w:eastAsia="en-US"/>
        </w:rPr>
        <w:tab/>
        <w:t>V záujme transparentnosti by sa mal zaviesť register, ktorý môže slúžiť ako jednotné prístupové miesto poskytujúce informácie o žiadostiach o jednotné osvedčenia, ako aj o udelených jednotných osvedčeniach a ich stave. Register by mal byť k dispozícii vo všetkých úradných jazykoch Únie.</w:t>
      </w:r>
    </w:p>
    <w:p>
      <w:pPr>
        <w:spacing w:before="120" w:after="120" w:line="360" w:lineRule="auto"/>
        <w:ind w:left="850" w:hanging="850"/>
        <w:rPr>
          <w:szCs w:val="24"/>
          <w:lang w:eastAsia="en-US"/>
        </w:rPr>
      </w:pPr>
      <w:r>
        <w:rPr>
          <w:szCs w:val="24"/>
          <w:lang w:eastAsia="en-US"/>
        </w:rPr>
        <w:t>(35)</w:t>
      </w:r>
      <w:r>
        <w:rPr>
          <w:szCs w:val="24"/>
          <w:lang w:eastAsia="en-US"/>
        </w:rPr>
        <w:tab/>
        <w:t>Na účely plnenia úloh zverených úradu na základe tohto nariadenia by mali byť pracovnými jazykmi úradu všetky úradné jazyky Únie s cieľom umožniť aktérom v celej Únii jednoducho žiadať o jednotné osvedčenia či predkladať pripomienky tretích strán, čím by sa zabezpečila optimálna transparentnosť pre všetky zainteresované strany v celej Únii. Úrad by mal akceptovať overené preklady dokumentov a informácií do jedného z úradných jazykov Únie. V náležitom prípade môže úrad použiť overené strojové preklady.</w:t>
      </w:r>
    </w:p>
    <w:p>
      <w:pPr>
        <w:spacing w:before="120" w:after="120" w:line="360" w:lineRule="auto"/>
        <w:ind w:left="850" w:hanging="850"/>
        <w:rPr>
          <w:szCs w:val="24"/>
          <w:lang w:eastAsia="en-US"/>
        </w:rPr>
      </w:pPr>
      <w:r>
        <w:rPr>
          <w:szCs w:val="24"/>
          <w:lang w:eastAsia="en-US"/>
        </w:rPr>
        <w:t>(36)</w:t>
      </w:r>
      <w:r>
        <w:rPr>
          <w:szCs w:val="24"/>
          <w:lang w:eastAsia="en-US"/>
        </w:rPr>
        <w:tab/>
        <w:t>Malo by sa prijať finančné ustanovenie s cieľom zabezpečiť, aby boli príslušné vnútroštátne orgány, ktoré sa podieľajú na centralizovanom postupe, za svoju účasť primerane odmenené.</w:t>
      </w:r>
    </w:p>
    <w:p>
      <w:pPr>
        <w:spacing w:before="120" w:after="120" w:line="360" w:lineRule="auto"/>
        <w:ind w:left="850" w:hanging="850"/>
        <w:rPr>
          <w:szCs w:val="24"/>
          <w:lang w:eastAsia="en-US"/>
        </w:rPr>
      </w:pPr>
      <w:r>
        <w:rPr>
          <w:szCs w:val="24"/>
          <w:lang w:eastAsia="en-US"/>
        </w:rPr>
        <w:t>(37)</w:t>
      </w:r>
      <w:r>
        <w:rPr>
          <w:szCs w:val="24"/>
          <w:lang w:eastAsia="en-US"/>
        </w:rPr>
        <w:tab/>
        <w:t>Nevyhnutné úvodné náklady spojené s úlohami zverenými úradu vrátane nákladov na nové digitálne systémy by sa mali financovať z akumulovaného rozpočtového prebytku úradu.</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(38)</w:t>
      </w:r>
      <w:r>
        <w:rPr>
          <w:szCs w:val="24"/>
          <w:lang w:eastAsia="en-US"/>
        </w:rPr>
        <w:tab/>
        <w:t>S cieľom doplniť určité nepodstatné prvky tohto nariadenia by sa na Komisiu mala delegovať právomoc prijímať akty v súlade s článkom 290 Zmluvy o fungovaní Európskej únie v prípade: i) špecifikovania obsahu a formy odvolania a obsahu a formy rozhodnutia odvolacích senátov; ii) špecifikovania podrobností súvisiacich s organizáciou odvolacích senátov v konaniach týkajúcich sa osvedčení; iii) špecifikovania pravidiel komunikačných prostriedkov vrátane elektronických prostriedkov komunikácie, ktoré majú používať účastníci konania pred úradom, a formulárov, ktoré má sprístupniť úrad; iv) stanovovania podrobných podmienok ústnych konaní; v) stanovovania podrobných podmienok vykonávania dôkazov; vi) stanovovania podrobných podmienok oznamovania; vii) špecifikovania podrobností týkajúcich sa výpočtu a trvania lehôt a viii) stanovovania podrobných podmienok pokračovania v konaní. Je osobitne dôležité, aby Komisia počas prípravných prác uskutočnila príslušné konzultácie, a to aj na úrovni expertov, a aby tieto konzultácie vykonávala v súlade so zásadami stanovenými v Medziinštitucionálnej dohode z 13. apríla 2016 o lepšej tvorbe práva</w:t>
      </w:r>
      <w:r>
        <w:rPr>
          <w:szCs w:val="24"/>
          <w:vertAlign w:val="superscript"/>
          <w:lang w:eastAsia="en-US"/>
        </w:rPr>
        <w:footnoteReference w:id="7"/>
      </w:r>
      <w:r>
        <w:rPr>
          <w:szCs w:val="24"/>
          <w:lang w:eastAsia="en-US"/>
        </w:rPr>
        <w:t>. Predovšetkým, v záujme rovnakého zastúpenia pri príprave delegovaných aktov, sa všetky dokumenty doručujú Európskemu parlamentu a Rade v rovnakom čase ako expertom z členských štátov, pričom experti Európskeho parlamentu a Rady majú systematicky prístup na zasadnutia expertných skupín Komisie, ktoré sa zaoberajú prípravou delegovaných aktov.</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(39)</w:t>
      </w:r>
      <w:r>
        <w:rPr>
          <w:szCs w:val="24"/>
          <w:lang w:eastAsia="en-US"/>
        </w:rPr>
        <w:tab/>
        <w:t>S cieľom zabezpečiť jednotné podmienky na vykonávanie tohto nariadenia by sa mali na Komisiu preniesť vykonávacie právomoci v súvislosti s: i) formulármi žiadostí, ktoré sa majú používať; ii) pravidlami postupov týkajúcich sa podávania a postupov týkajúcich sa spôsobu, ako prieskumové komisie skúmajú centralizované žiadosti a vypracúvajú stanoviská na základe prieskumu, ako aj vydávania stanovísk na základe prieskumu úradom; iii) kritériami zriaďovania prieskumových komisií a kritériami výberu prieskumových pracovníkov; iv) výškou uplatniteľných poplatkov, ktoré sa majú uhrádzať úradu; v) špecifikovaním maximálnych sadzieb trov nevyhnutne súvisiacich s konaním, ktoré skutočne vznikli úspešnému účastníkovi konania, a vi) pravidlami finančných prevodov medzi úradom a členskými štátmi, výškou týchto prevodov a odmenou vyplácanou úradom v súvislosti s účasťou príslušných vnútroštátnych orgánov. Uvedené právomoci by sa mali vykonávať v súlade s nariadením Európskeho parlamentu a Rady (EÚ) č. 182/2011</w:t>
      </w:r>
      <w:r>
        <w:rPr>
          <w:szCs w:val="24"/>
          <w:vertAlign w:val="superscript"/>
          <w:lang w:eastAsia="en-US"/>
        </w:rPr>
        <w:footnoteReference w:id="8"/>
      </w:r>
      <w:r>
        <w:rPr>
          <w:szCs w:val="24"/>
          <w:lang w:eastAsia="en-US"/>
        </w:rPr>
        <w:t>.</w:t>
      </w:r>
    </w:p>
    <w:p>
      <w:pPr>
        <w:spacing w:before="120" w:after="120" w:line="360" w:lineRule="auto"/>
        <w:ind w:left="850" w:hanging="850"/>
        <w:rPr>
          <w:szCs w:val="24"/>
          <w:lang w:eastAsia="en-US"/>
        </w:rPr>
      </w:pPr>
      <w:r>
        <w:rPr>
          <w:szCs w:val="24"/>
          <w:lang w:eastAsia="en-US"/>
        </w:rPr>
        <w:t>(40)</w:t>
      </w:r>
      <w:r>
        <w:rPr>
          <w:szCs w:val="24"/>
          <w:lang w:eastAsia="en-US"/>
        </w:rPr>
        <w:tab/>
        <w:t>Komisia by mala pravidelne podávať správy o fungovaní tohto nariadenia v koordinácii so správami vyžadovanými podľa nariadenia [COM(2023) 223].</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(41)</w:t>
      </w:r>
      <w:r>
        <w:rPr>
          <w:szCs w:val="24"/>
          <w:lang w:eastAsia="en-US"/>
        </w:rPr>
        <w:tab/>
        <w:t>V tomto nariadení sa rešpektujú základné práva a dodržiavajú zásady uznané najmä Chartou základných práv Európskej únie (ďalej len „charta“). Pravidlá uvedené v tomto nariadení by sa preto mali vykladať a uplatňovať v súlade s týmito právami a zásadami. Cieľom tohto nariadenia je najmä zabezpečiť plné rešpektovanie vlastníckeho práva a práva na zdravotnú starostlivosť a práva na účinný prostriedok nápravy, stanovené v článkoch 17 a 47 charty.</w:t>
      </w:r>
    </w:p>
    <w:p>
      <w:pPr>
        <w:spacing w:before="120" w:after="120" w:line="360" w:lineRule="auto"/>
        <w:ind w:left="850" w:hanging="850"/>
        <w:rPr>
          <w:szCs w:val="24"/>
          <w:lang w:eastAsia="en-US"/>
        </w:rPr>
      </w:pPr>
      <w:r>
        <w:rPr>
          <w:szCs w:val="24"/>
          <w:lang w:eastAsia="en-US"/>
        </w:rPr>
        <w:t>(42)</w:t>
      </w:r>
      <w:r>
        <w:rPr>
          <w:szCs w:val="24"/>
          <w:lang w:eastAsia="en-US"/>
        </w:rPr>
        <w:tab/>
        <w:t>Keďže ciele tohto nariadenia nemožno uspokojivo dosiahnuť na úrovni členských štátov, ale z dôvodu autonómnej povahy jednotného dodatkového ochranného osvedčenia, ktoré je nezávislé od vnútroštátnych systémov, ich možno lepšie dosiahnuť na úrovni Únie, môže Únia prijať opatrenia v súlade so zásadou subsidiarity podľa článku 5 Zmluvy o Európskej únii. V súlade so zásadou proporcionality podľa uvedeného článku toto nariadenie neprekračuje rámec nevyhnutný na dosiahnutie týchto cieľov.</w:t>
      </w:r>
    </w:p>
    <w:p>
      <w:pPr>
        <w:spacing w:before="120" w:after="120" w:line="360" w:lineRule="auto"/>
        <w:ind w:left="850" w:hanging="850"/>
        <w:rPr>
          <w:szCs w:val="24"/>
          <w:lang w:eastAsia="en-US"/>
        </w:rPr>
      </w:pPr>
      <w:r>
        <w:rPr>
          <w:szCs w:val="24"/>
          <w:lang w:eastAsia="en-US"/>
        </w:rPr>
        <w:t>(43)</w:t>
      </w:r>
      <w:r>
        <w:rPr>
          <w:szCs w:val="24"/>
          <w:lang w:eastAsia="en-US"/>
        </w:rPr>
        <w:tab/>
        <w:t>V súlade s článkom 42 ods. 1 nariadenia (EÚ) 2018/1725</w:t>
      </w:r>
      <w:r>
        <w:rPr>
          <w:szCs w:val="24"/>
          <w:vertAlign w:val="superscript"/>
          <w:lang w:eastAsia="en-US"/>
        </w:rPr>
        <w:footnoteReference w:id="9"/>
      </w:r>
      <w:r>
        <w:rPr>
          <w:szCs w:val="24"/>
          <w:lang w:eastAsia="en-US"/>
        </w:rPr>
        <w:t xml:space="preserve"> sa uskutočnili konzultácie s európskym dozorným úradníkom pre ochranu údajov, ktorý vydal svoje stanovisko XXX [Úrad pre publikácie: doplňte odkaz, keď bude k dispozícii].</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(44)</w:t>
      </w:r>
      <w:r>
        <w:rPr>
          <w:szCs w:val="24"/>
          <w:lang w:eastAsia="en-US"/>
        </w:rPr>
        <w:tab/>
        <w:t>Mali by sa stanoviť príslušné opatrenia na uľahčenie bezproblémového vykonávania pravidiel stanovených v tomto nariadení. S cieľom poskytnúť úradu dostatočný čas na prípravu prevádzkového nastavenia a zavedenie postupu, ktorý sa má využívať na účely udeľovania jednotných osvedčení, ako sa stanovuje v tomto nariadení, by sa malo uplatňovanie tohto nariadenia odložiť,</w:t>
      </w:r>
    </w:p>
    <w:p>
      <w:pPr>
        <w:keepNext/>
        <w:widowControl/>
        <w:spacing w:before="120" w:after="120" w:line="360" w:lineRule="auto"/>
        <w:rPr>
          <w:szCs w:val="24"/>
          <w:lang w:eastAsia="en-US"/>
        </w:rPr>
      </w:pPr>
      <w:r>
        <w:rPr>
          <w:szCs w:val="24"/>
          <w:lang w:eastAsia="en-US"/>
        </w:rPr>
        <w:t>PRIJALI TOTO NARIADENIE:</w:t>
      </w:r>
    </w:p>
    <w:p>
      <w:pPr>
        <w:spacing w:before="120" w:after="120" w:line="360" w:lineRule="auto"/>
        <w:jc w:val="center"/>
        <w:rPr>
          <w:szCs w:val="24"/>
          <w:lang w:eastAsia="en-US"/>
        </w:rPr>
      </w:pPr>
      <w:r>
        <w:rPr>
          <w:szCs w:val="24"/>
          <w:lang w:eastAsia="en-US"/>
        </w:rPr>
        <w:t>Článok 1</w:t>
      </w:r>
      <w:r>
        <w:rPr>
          <w:szCs w:val="24"/>
          <w:lang w:eastAsia="en-US"/>
        </w:rPr>
        <w:br/>
        <w:t>Predmet úpravy</w:t>
      </w:r>
    </w:p>
    <w:p>
      <w:pPr>
        <w:spacing w:before="120" w:after="120" w:line="360" w:lineRule="auto"/>
        <w:rPr>
          <w:szCs w:val="24"/>
          <w:lang w:eastAsia="en-US"/>
        </w:rPr>
      </w:pPr>
      <w:r>
        <w:rPr>
          <w:szCs w:val="24"/>
          <w:lang w:eastAsia="en-US"/>
        </w:rPr>
        <w:t>V tomto nariadení sa stanovujú pravidlá týkajúce sa jednotného dodatkového ochranného osvedčenia (ďalej len „jednotné osvedčenie“) pre prípravky na ochranu rastlín chránené európskym patentom s jednotným účinkom, pričom sa na ne pred ich uvedením na trh ako prípravku na ochranu rastlín vzťahuje správne povoľovacie konanie stanovené v nariadení Európskeho parlamentu a Rady (ES) č. 1107/2009</w:t>
      </w:r>
      <w:r>
        <w:rPr>
          <w:szCs w:val="24"/>
          <w:vertAlign w:val="superscript"/>
          <w:lang w:eastAsia="en-US"/>
        </w:rPr>
        <w:footnoteReference w:id="10"/>
      </w:r>
      <w:r>
        <w:rPr>
          <w:szCs w:val="24"/>
          <w:lang w:eastAsia="en-US"/>
        </w:rPr>
        <w:t>.</w:t>
      </w:r>
    </w:p>
    <w:p>
      <w:pPr>
        <w:widowControl/>
        <w:rPr>
          <w:szCs w:val="24"/>
          <w:lang w:eastAsia="en-US"/>
        </w:rPr>
      </w:pPr>
      <w:r>
        <w:rPr>
          <w:szCs w:val="24"/>
          <w:lang w:eastAsia="en-US"/>
        </w:rPr>
        <w:br w:type="page"/>
      </w:r>
    </w:p>
    <w:p>
      <w:pPr>
        <w:spacing w:before="120" w:after="120" w:line="360" w:lineRule="auto"/>
        <w:jc w:val="center"/>
        <w:rPr>
          <w:szCs w:val="24"/>
          <w:lang w:eastAsia="en-US"/>
        </w:rPr>
      </w:pPr>
      <w:r>
        <w:rPr>
          <w:szCs w:val="24"/>
          <w:lang w:eastAsia="en-US"/>
        </w:rPr>
        <w:lastRenderedPageBreak/>
        <w:t>Článok 2</w:t>
      </w:r>
      <w:r>
        <w:rPr>
          <w:szCs w:val="24"/>
          <w:lang w:eastAsia="en-US"/>
        </w:rPr>
        <w:br/>
        <w:t>Vymedzenie pojmov</w:t>
      </w:r>
    </w:p>
    <w:p>
      <w:pPr>
        <w:spacing w:before="120" w:after="120" w:line="360" w:lineRule="auto"/>
        <w:rPr>
          <w:szCs w:val="24"/>
          <w:lang w:eastAsia="en-US"/>
        </w:rPr>
      </w:pPr>
      <w:r>
        <w:rPr>
          <w:szCs w:val="24"/>
          <w:lang w:eastAsia="en-US"/>
        </w:rPr>
        <w:t>Na účely tohto nariadenia sa uplatňuje toto vymedzenie pojmov:</w:t>
      </w:r>
    </w:p>
    <w:p>
      <w:pPr>
        <w:spacing w:before="120" w:after="120" w:line="360" w:lineRule="auto"/>
        <w:ind w:left="850" w:hanging="850"/>
        <w:rPr>
          <w:szCs w:val="24"/>
          <w:lang w:eastAsia="en-US"/>
        </w:rPr>
      </w:pPr>
      <w:r>
        <w:rPr>
          <w:szCs w:val="24"/>
          <w:lang w:eastAsia="en-US"/>
        </w:rPr>
        <w:t>1.</w:t>
      </w:r>
      <w:r>
        <w:rPr>
          <w:szCs w:val="24"/>
          <w:lang w:eastAsia="en-US"/>
        </w:rPr>
        <w:tab/>
        <w:t>„prípravky na ochranu rastlín“ sú účinné látky a prípravky obsahujúce jednu alebo viaceré účinné látky, a to vo forme, v ktorej sa dodávajú užívateľovi, určené na:</w:t>
      </w:r>
    </w:p>
    <w:p>
      <w:pPr>
        <w:spacing w:before="120" w:after="120" w:line="360" w:lineRule="auto"/>
        <w:ind w:left="1416" w:hanging="566"/>
        <w:rPr>
          <w:szCs w:val="24"/>
          <w:lang w:eastAsia="en-US"/>
        </w:rPr>
      </w:pPr>
      <w:r>
        <w:rPr>
          <w:szCs w:val="24"/>
          <w:lang w:eastAsia="en-US"/>
        </w:rPr>
        <w:t>a)</w:t>
      </w:r>
      <w:r>
        <w:rPr>
          <w:szCs w:val="24"/>
          <w:lang w:eastAsia="en-US"/>
        </w:rPr>
        <w:tab/>
        <w:t>ochranu rastlín alebo rastlinných produktov proti všetkým škodlivým organizmom alebo na zabránenie pôsobeniu takýchto organizmov, pokiaľ takéto látky alebo prípravky nie sú ďalej definované inak;</w:t>
      </w:r>
    </w:p>
    <w:p>
      <w:pPr>
        <w:spacing w:before="120" w:after="120" w:line="360" w:lineRule="auto"/>
        <w:ind w:left="1416" w:hanging="566"/>
        <w:rPr>
          <w:szCs w:val="24"/>
          <w:lang w:eastAsia="en-US"/>
        </w:rPr>
      </w:pPr>
      <w:r>
        <w:rPr>
          <w:szCs w:val="24"/>
          <w:lang w:eastAsia="en-US"/>
        </w:rPr>
        <w:t>b)</w:t>
      </w:r>
      <w:r>
        <w:rPr>
          <w:szCs w:val="24"/>
          <w:lang w:eastAsia="en-US"/>
        </w:rPr>
        <w:tab/>
        <w:t>ovplyvňovanie životných procesov rastlín iných, ako je výživa rastlín (napr. regulátory rastu rastlín);</w:t>
      </w:r>
    </w:p>
    <w:p>
      <w:pPr>
        <w:spacing w:before="120" w:after="120" w:line="360" w:lineRule="auto"/>
        <w:ind w:left="1416" w:hanging="566"/>
        <w:rPr>
          <w:szCs w:val="24"/>
          <w:lang w:eastAsia="en-US"/>
        </w:rPr>
      </w:pPr>
      <w:r>
        <w:rPr>
          <w:szCs w:val="24"/>
          <w:lang w:eastAsia="en-US"/>
        </w:rPr>
        <w:t>c)</w:t>
      </w:r>
      <w:r>
        <w:rPr>
          <w:szCs w:val="24"/>
          <w:lang w:eastAsia="en-US"/>
        </w:rPr>
        <w:tab/>
        <w:t>konzerváciu rastlinných produktov, pokiaľ takéto látky alebo produkty nepodliehajú osobitným ustanoveniam Rady alebo Komisie o konzervačných látkach;</w:t>
      </w:r>
    </w:p>
    <w:p>
      <w:pPr>
        <w:spacing w:before="120" w:after="120" w:line="360" w:lineRule="auto"/>
        <w:ind w:left="1416" w:hanging="566"/>
        <w:rPr>
          <w:szCs w:val="24"/>
          <w:lang w:eastAsia="en-US"/>
        </w:rPr>
      </w:pPr>
      <w:r>
        <w:rPr>
          <w:szCs w:val="24"/>
          <w:lang w:eastAsia="en-US"/>
        </w:rPr>
        <w:t>d)</w:t>
      </w:r>
      <w:r>
        <w:rPr>
          <w:szCs w:val="24"/>
          <w:lang w:eastAsia="en-US"/>
        </w:rPr>
        <w:tab/>
        <w:t>ničenie nežiaducich rastlín;</w:t>
      </w:r>
    </w:p>
    <w:p>
      <w:pPr>
        <w:spacing w:before="120" w:after="120" w:line="360" w:lineRule="auto"/>
        <w:ind w:left="1416" w:hanging="566"/>
        <w:rPr>
          <w:szCs w:val="24"/>
          <w:lang w:eastAsia="en-US"/>
        </w:rPr>
      </w:pPr>
      <w:r>
        <w:rPr>
          <w:szCs w:val="24"/>
          <w:lang w:eastAsia="en-US"/>
        </w:rPr>
        <w:t>e)</w:t>
      </w:r>
      <w:r>
        <w:rPr>
          <w:szCs w:val="24"/>
          <w:lang w:eastAsia="en-US"/>
        </w:rPr>
        <w:tab/>
        <w:t>ničenie častí rastlín, kontrolu alebo zabránenie nežiaduceho rastu rastlín;</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2.</w:t>
      </w:r>
      <w:r>
        <w:rPr>
          <w:szCs w:val="24"/>
          <w:lang w:eastAsia="en-US"/>
        </w:rPr>
        <w:tab/>
        <w:t>„látky“ sú chemické prvky a ich zlúčeniny vo svojej prirodzene sa vyskytujúcej podobe alebo v podobe získanej výrobou, vrátane akýchkoľvek nečistôt nevyhnutne vyplývajúcich z výrobného procesu;</w:t>
      </w:r>
    </w:p>
    <w:p>
      <w:pPr>
        <w:spacing w:before="120" w:after="120" w:line="360" w:lineRule="auto"/>
        <w:ind w:left="850" w:hanging="850"/>
        <w:rPr>
          <w:szCs w:val="24"/>
          <w:lang w:eastAsia="en-US"/>
        </w:rPr>
      </w:pPr>
      <w:r>
        <w:rPr>
          <w:szCs w:val="24"/>
          <w:lang w:eastAsia="en-US"/>
        </w:rPr>
        <w:t>3.</w:t>
      </w:r>
      <w:r>
        <w:rPr>
          <w:szCs w:val="24"/>
          <w:lang w:eastAsia="en-US"/>
        </w:rPr>
        <w:tab/>
        <w:t>„účinné látky“ sú látky alebo mikroorganizmy vrátane vírusov, ktoré pôsobia všeobecne alebo špecificky:</w:t>
      </w:r>
    </w:p>
    <w:p>
      <w:pPr>
        <w:spacing w:before="120" w:after="120" w:line="360" w:lineRule="auto"/>
        <w:ind w:left="1416" w:hanging="566"/>
        <w:rPr>
          <w:szCs w:val="24"/>
          <w:lang w:eastAsia="en-US"/>
        </w:rPr>
      </w:pPr>
      <w:r>
        <w:rPr>
          <w:szCs w:val="24"/>
          <w:lang w:eastAsia="en-US"/>
        </w:rPr>
        <w:t>a)</w:t>
      </w:r>
      <w:r>
        <w:rPr>
          <w:szCs w:val="24"/>
          <w:lang w:eastAsia="en-US"/>
        </w:rPr>
        <w:tab/>
        <w:t>proti škodlivým organizmom;</w:t>
      </w:r>
    </w:p>
    <w:p>
      <w:pPr>
        <w:spacing w:before="120" w:after="120" w:line="360" w:lineRule="auto"/>
        <w:ind w:left="1416" w:hanging="566"/>
        <w:rPr>
          <w:szCs w:val="24"/>
          <w:lang w:eastAsia="en-US"/>
        </w:rPr>
      </w:pPr>
      <w:r>
        <w:rPr>
          <w:szCs w:val="24"/>
          <w:lang w:eastAsia="en-US"/>
        </w:rPr>
        <w:t>b)</w:t>
      </w:r>
      <w:r>
        <w:rPr>
          <w:szCs w:val="24"/>
          <w:lang w:eastAsia="en-US"/>
        </w:rPr>
        <w:tab/>
        <w:t>alebo na rastliny, časti rastlín alebo rastlinné produkty;</w:t>
      </w:r>
    </w:p>
    <w:p>
      <w:pPr>
        <w:spacing w:before="120" w:after="120" w:line="360" w:lineRule="auto"/>
        <w:ind w:left="850" w:hanging="850"/>
        <w:rPr>
          <w:szCs w:val="24"/>
          <w:lang w:eastAsia="en-US"/>
        </w:rPr>
      </w:pPr>
      <w:r>
        <w:rPr>
          <w:szCs w:val="24"/>
          <w:lang w:eastAsia="en-US"/>
        </w:rPr>
        <w:t>4.</w:t>
      </w:r>
      <w:r>
        <w:rPr>
          <w:szCs w:val="24"/>
          <w:lang w:eastAsia="en-US"/>
        </w:rPr>
        <w:tab/>
        <w:t>„prípravky“ sú zmesi alebo roztoky zložené z dvoch alebo viacerých látok, z ktorých aspoň jedna je látkou účinnou, ktoré sú určené na používanie ako prípravky na ochranu rastlín;</w:t>
      </w:r>
    </w:p>
    <w:p>
      <w:pPr>
        <w:spacing w:before="120" w:after="120" w:line="360" w:lineRule="auto"/>
        <w:ind w:left="850" w:hanging="850"/>
        <w:rPr>
          <w:szCs w:val="24"/>
          <w:lang w:eastAsia="en-US"/>
        </w:rPr>
      </w:pPr>
      <w:r>
        <w:rPr>
          <w:szCs w:val="24"/>
          <w:lang w:eastAsia="en-US"/>
        </w:rPr>
        <w:t>5.</w:t>
      </w:r>
      <w:r>
        <w:rPr>
          <w:szCs w:val="24"/>
          <w:lang w:eastAsia="en-US"/>
        </w:rPr>
        <w:tab/>
        <w:t>„rastliny“ sú živé rastliny a živé časti rastlín vrátane čerstvých plodov a semien;</w:t>
      </w:r>
    </w:p>
    <w:p>
      <w:pPr>
        <w:spacing w:before="120" w:after="120" w:line="360" w:lineRule="auto"/>
        <w:ind w:left="850" w:hanging="850"/>
        <w:rPr>
          <w:szCs w:val="24"/>
          <w:lang w:eastAsia="en-US"/>
        </w:rPr>
      </w:pPr>
      <w:r>
        <w:rPr>
          <w:szCs w:val="24"/>
          <w:lang w:eastAsia="en-US"/>
        </w:rPr>
        <w:t>6.</w:t>
      </w:r>
      <w:r>
        <w:rPr>
          <w:szCs w:val="24"/>
          <w:lang w:eastAsia="en-US"/>
        </w:rPr>
        <w:tab/>
        <w:t>„rastlinné produkty“ sú produkty v nespracovanom stave alebo len po jednoduchej úprave, ako je mletie, sušenie alebo lisovanie, získané z rastlín, pričom však nejde o samotné rastliny;</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7.</w:t>
      </w:r>
      <w:r>
        <w:rPr>
          <w:szCs w:val="24"/>
          <w:lang w:eastAsia="en-US"/>
        </w:rPr>
        <w:tab/>
        <w:t>„škodlivé organizmy“ sú škodcovia rastlín alebo rastlinných produktov patriaci do živočíšnej alebo rastlinnej ríše a taktiež vírusy, baktérie a mykoplazmy a ostatné patogény;</w:t>
      </w:r>
    </w:p>
    <w:p>
      <w:pPr>
        <w:spacing w:before="120" w:after="120" w:line="360" w:lineRule="auto"/>
        <w:ind w:left="850" w:hanging="850"/>
        <w:rPr>
          <w:szCs w:val="24"/>
          <w:lang w:eastAsia="en-US"/>
        </w:rPr>
      </w:pPr>
      <w:r>
        <w:rPr>
          <w:szCs w:val="24"/>
          <w:lang w:eastAsia="en-US"/>
        </w:rPr>
        <w:t>8.</w:t>
      </w:r>
      <w:r>
        <w:rPr>
          <w:szCs w:val="24"/>
          <w:lang w:eastAsia="en-US"/>
        </w:rPr>
        <w:tab/>
        <w:t>„výrobok“ je účinná látka alebo kombinácia účinných látok prípravku na ochranu rastlín;</w:t>
      </w:r>
    </w:p>
    <w:p>
      <w:pPr>
        <w:spacing w:before="120" w:after="120" w:line="360" w:lineRule="auto"/>
        <w:ind w:left="850" w:hanging="850"/>
        <w:rPr>
          <w:szCs w:val="24"/>
          <w:lang w:eastAsia="en-US"/>
        </w:rPr>
      </w:pPr>
      <w:r>
        <w:rPr>
          <w:szCs w:val="24"/>
          <w:lang w:eastAsia="en-US"/>
        </w:rPr>
        <w:t>9.</w:t>
      </w:r>
      <w:r>
        <w:rPr>
          <w:szCs w:val="24"/>
          <w:lang w:eastAsia="en-US"/>
        </w:rPr>
        <w:tab/>
        <w:t>„európsky patent“ je patent udelený Európskym patentovým úradom podľa pravidiel a postupov stanovených v Európskom patentovom dohovore</w:t>
      </w:r>
      <w:r>
        <w:rPr>
          <w:szCs w:val="24"/>
          <w:vertAlign w:val="superscript"/>
          <w:lang w:eastAsia="en-US"/>
        </w:rPr>
        <w:footnoteReference w:id="11"/>
      </w:r>
      <w:r>
        <w:rPr>
          <w:szCs w:val="24"/>
          <w:lang w:eastAsia="en-US"/>
        </w:rPr>
        <w:t>;</w:t>
      </w:r>
    </w:p>
    <w:p>
      <w:pPr>
        <w:spacing w:before="120" w:after="120" w:line="360" w:lineRule="auto"/>
        <w:ind w:left="850" w:hanging="850"/>
        <w:rPr>
          <w:szCs w:val="24"/>
          <w:lang w:eastAsia="en-US"/>
        </w:rPr>
      </w:pPr>
      <w:r>
        <w:rPr>
          <w:szCs w:val="24"/>
          <w:lang w:eastAsia="en-US"/>
        </w:rPr>
        <w:t>10.</w:t>
      </w:r>
      <w:r>
        <w:rPr>
          <w:szCs w:val="24"/>
          <w:lang w:eastAsia="en-US"/>
        </w:rPr>
        <w:tab/>
        <w:t>„jednotný patent“ je európsky patent, ktorý má výhody jednotného účinku v členských štátoch zúčastňujúcich sa na posilnenej spolupráci stanovenej v nariadení (EÚ) č. 1257/2012;</w:t>
      </w:r>
    </w:p>
    <w:p>
      <w:pPr>
        <w:spacing w:before="120" w:after="120" w:line="360" w:lineRule="auto"/>
        <w:ind w:left="850" w:hanging="850"/>
        <w:rPr>
          <w:szCs w:val="24"/>
          <w:lang w:eastAsia="en-US"/>
        </w:rPr>
      </w:pPr>
      <w:r>
        <w:rPr>
          <w:szCs w:val="24"/>
          <w:lang w:eastAsia="en-US"/>
        </w:rPr>
        <w:t>11.</w:t>
      </w:r>
      <w:r>
        <w:rPr>
          <w:szCs w:val="24"/>
          <w:lang w:eastAsia="en-US"/>
        </w:rPr>
        <w:tab/>
        <w:t>„základný patent“ je jednotný patent, ktorý chráni výrobok ako taký, prípravok, proces na získavanie výrobku alebo aplikáciu výrobku a ktorý jeho majiteľ predložil na účely postupu udelenia jednotného osvedčenia;</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12.</w:t>
      </w:r>
      <w:r>
        <w:rPr>
          <w:szCs w:val="24"/>
          <w:lang w:eastAsia="en-US"/>
        </w:rPr>
        <w:tab/>
        <w:t>„centralizovaná žiadosť“ je žiadosť podaná Úradu Európskej únie pre duševné vlastníctvo (ďalej len „úrad“) podľa kapitoly III nariadenia [COM(2023) 223] na účely udelenia osvedčení pre výrobok uvedený v žiadosti v určených členských štátoch;</w:t>
      </w:r>
    </w:p>
    <w:p>
      <w:pPr>
        <w:spacing w:before="120" w:after="120" w:line="360" w:lineRule="auto"/>
        <w:ind w:left="850" w:hanging="850"/>
        <w:rPr>
          <w:szCs w:val="24"/>
          <w:lang w:eastAsia="en-US"/>
        </w:rPr>
      </w:pPr>
      <w:r>
        <w:rPr>
          <w:szCs w:val="24"/>
          <w:lang w:eastAsia="en-US"/>
        </w:rPr>
        <w:t>13.</w:t>
      </w:r>
      <w:r>
        <w:rPr>
          <w:szCs w:val="24"/>
          <w:lang w:eastAsia="en-US"/>
        </w:rPr>
        <w:tab/>
        <w:t>„príslušný vnútroštátny orgán“ je vnútroštátny orgán, ktorý je v danom členskom štáte príslušný udeľovať osvedčenia a zamietať žiadosti o osvedčenia</w:t>
      </w:r>
      <w:r>
        <w:rPr>
          <w:strike/>
          <w:szCs w:val="24"/>
          <w:lang w:eastAsia="en-US"/>
        </w:rPr>
        <w:t>.</w:t>
      </w:r>
      <w:r>
        <w:rPr>
          <w:b/>
          <w:i/>
          <w:szCs w:val="24"/>
          <w:lang w:eastAsia="en-US"/>
        </w:rPr>
        <w:t>;</w:t>
      </w:r>
    </w:p>
    <w:p>
      <w:pPr>
        <w:spacing w:before="120" w:after="120" w:line="360" w:lineRule="auto"/>
        <w:ind w:left="850" w:hanging="850"/>
        <w:rPr>
          <w:szCs w:val="24"/>
          <w:lang w:eastAsia="en-US"/>
        </w:rPr>
      </w:pPr>
      <w:r>
        <w:rPr>
          <w:b/>
          <w:i/>
          <w:szCs w:val="24"/>
          <w:lang w:eastAsia="en-US"/>
        </w:rPr>
        <w:t>13a.</w:t>
      </w:r>
      <w:r>
        <w:rPr>
          <w:szCs w:val="24"/>
          <w:lang w:eastAsia="en-US"/>
        </w:rPr>
        <w:tab/>
      </w:r>
      <w:r>
        <w:rPr>
          <w:b/>
          <w:i/>
          <w:szCs w:val="24"/>
          <w:lang w:eastAsia="en-US"/>
        </w:rPr>
        <w:t xml:space="preserve">„ekonomicky prepojený“ znamená vo vzťahu k rôznym majiteľom dvoch alebo viacerých základných patentov chrániacich ten istý výrobok, že jeden majiteľ priamo alebo nepriamo prostredníctvom jedného alebo viacerých sprostredkovateľov kontroluje iného majiteľa, je ním kontrolovaný alebo je spolu s iným majiteľom pod spoločnou kontrolou. </w:t>
      </w:r>
      <w:r>
        <w:rPr>
          <w:b/>
          <w:szCs w:val="24"/>
          <w:lang w:eastAsia="en-US"/>
        </w:rPr>
        <w:t>[PN 8]</w:t>
      </w:r>
    </w:p>
    <w:p>
      <w:pPr>
        <w:widowControl/>
        <w:rPr>
          <w:szCs w:val="24"/>
          <w:lang w:eastAsia="en-US"/>
        </w:rPr>
      </w:pPr>
      <w:r>
        <w:rPr>
          <w:szCs w:val="24"/>
          <w:lang w:eastAsia="en-US"/>
        </w:rPr>
        <w:br w:type="page"/>
      </w:r>
    </w:p>
    <w:p>
      <w:pPr>
        <w:spacing w:before="120" w:after="120" w:line="360" w:lineRule="auto"/>
        <w:jc w:val="center"/>
        <w:rPr>
          <w:szCs w:val="24"/>
          <w:lang w:eastAsia="en-US"/>
        </w:rPr>
      </w:pPr>
      <w:r>
        <w:rPr>
          <w:szCs w:val="24"/>
          <w:lang w:eastAsia="en-US"/>
        </w:rPr>
        <w:lastRenderedPageBreak/>
        <w:t>Článok 3</w:t>
      </w:r>
      <w:r>
        <w:rPr>
          <w:szCs w:val="24"/>
          <w:lang w:eastAsia="en-US"/>
        </w:rPr>
        <w:br/>
        <w:t>Podmienky na získanie jednotného osvedčenia</w:t>
      </w:r>
    </w:p>
    <w:p>
      <w:pPr>
        <w:spacing w:before="120" w:after="120" w:line="360" w:lineRule="auto"/>
        <w:ind w:left="850" w:hanging="850"/>
        <w:rPr>
          <w:szCs w:val="24"/>
          <w:lang w:eastAsia="en-US"/>
        </w:rPr>
      </w:pPr>
      <w:r>
        <w:rPr>
          <w:szCs w:val="24"/>
          <w:lang w:eastAsia="en-US"/>
        </w:rPr>
        <w:t>1.</w:t>
      </w:r>
      <w:r>
        <w:rPr>
          <w:szCs w:val="24"/>
          <w:lang w:eastAsia="en-US"/>
        </w:rPr>
        <w:tab/>
        <w:t>Jednotné osvedčenie udelí úrad na základe základného patentu, ak sú v každom z členských štátov, v ktorých má daný základný patent jednotný účinok, k dátumu podania žiadosti splnené všetky tieto podmienky:</w:t>
      </w:r>
    </w:p>
    <w:p>
      <w:pPr>
        <w:spacing w:before="120" w:after="120" w:line="360" w:lineRule="auto"/>
        <w:ind w:left="1416" w:hanging="566"/>
        <w:rPr>
          <w:szCs w:val="24"/>
          <w:lang w:eastAsia="en-US"/>
        </w:rPr>
      </w:pPr>
      <w:r>
        <w:rPr>
          <w:szCs w:val="24"/>
          <w:lang w:eastAsia="en-US"/>
        </w:rPr>
        <w:t>a)</w:t>
      </w:r>
      <w:r>
        <w:rPr>
          <w:szCs w:val="24"/>
          <w:lang w:eastAsia="en-US"/>
        </w:rPr>
        <w:tab/>
        <w:t>výrobok je chránený daným platným základným patentom;</w:t>
      </w:r>
    </w:p>
    <w:p>
      <w:pPr>
        <w:spacing w:before="120" w:after="120" w:line="360" w:lineRule="auto"/>
        <w:ind w:left="1416" w:hanging="566"/>
        <w:rPr>
          <w:szCs w:val="24"/>
          <w:lang w:eastAsia="en-US"/>
        </w:rPr>
      </w:pPr>
      <w:r>
        <w:rPr>
          <w:szCs w:val="24"/>
          <w:lang w:eastAsia="en-US"/>
        </w:rPr>
        <w:t>b)</w:t>
      </w:r>
      <w:r>
        <w:rPr>
          <w:szCs w:val="24"/>
          <w:lang w:eastAsia="en-US"/>
        </w:rPr>
        <w:tab/>
        <w:t>udelilo sa platné povolenie na uvedenie výrobku na trh ako prípravku na ochranu rastlín v súlade s nariadením (ES) č. 1107/2009</w:t>
      </w:r>
      <w:r>
        <w:rPr>
          <w:b/>
          <w:i/>
          <w:szCs w:val="24"/>
          <w:lang w:eastAsia="en-US"/>
        </w:rPr>
        <w:t xml:space="preserve"> aspoň v jednom z členských štátov, v ktorých má tento základný patent jednotný účinok</w:t>
      </w:r>
      <w:r>
        <w:rPr>
          <w:szCs w:val="24"/>
          <w:lang w:eastAsia="en-US"/>
        </w:rPr>
        <w:t xml:space="preserve">; </w:t>
      </w:r>
      <w:r>
        <w:rPr>
          <w:b/>
          <w:szCs w:val="24"/>
          <w:lang w:eastAsia="en-US"/>
        </w:rPr>
        <w:t>[PN 9]</w:t>
      </w:r>
    </w:p>
    <w:p>
      <w:pPr>
        <w:spacing w:before="120" w:after="120" w:line="360" w:lineRule="auto"/>
        <w:ind w:left="1416" w:hanging="566"/>
        <w:rPr>
          <w:szCs w:val="24"/>
          <w:lang w:eastAsia="en-US"/>
        </w:rPr>
      </w:pPr>
      <w:r>
        <w:rPr>
          <w:szCs w:val="24"/>
          <w:lang w:eastAsia="en-US"/>
        </w:rPr>
        <w:t>c)</w:t>
      </w:r>
      <w:r>
        <w:rPr>
          <w:szCs w:val="24"/>
          <w:lang w:eastAsia="en-US"/>
        </w:rPr>
        <w:tab/>
        <w:t>na výrobok ešte nebolo vydané osvedčenie ani jednotné osvedčenie;</w:t>
      </w:r>
    </w:p>
    <w:p>
      <w:pPr>
        <w:spacing w:before="120" w:after="120" w:line="360" w:lineRule="auto"/>
        <w:ind w:left="1416" w:hanging="566"/>
        <w:rPr>
          <w:szCs w:val="24"/>
          <w:lang w:eastAsia="en-US"/>
        </w:rPr>
      </w:pPr>
      <w:r>
        <w:rPr>
          <w:szCs w:val="24"/>
          <w:lang w:eastAsia="en-US"/>
        </w:rPr>
        <w:t>d)</w:t>
      </w:r>
      <w:r>
        <w:rPr>
          <w:szCs w:val="24"/>
          <w:lang w:eastAsia="en-US"/>
        </w:rPr>
        <w:tab/>
        <w:t>povolenie uvedené v písmene b) je prvým povolením na uvedenie výrobku na trh ako prípravku na ochranu rastlín.</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2.</w:t>
      </w:r>
      <w:r>
        <w:rPr>
          <w:szCs w:val="24"/>
          <w:lang w:eastAsia="en-US"/>
        </w:rPr>
        <w:tab/>
        <w:t>Majiteľovi viac ako jedného patentu na ten istý výrobok sa neudelí viac ako jedno osvedčenie alebo jednotné osvedčenie na predmetný výrobok pre akýkoľvek daný členský štát.</w:t>
      </w:r>
    </w:p>
    <w:p>
      <w:pPr>
        <w:spacing w:before="120" w:after="120" w:line="360" w:lineRule="auto"/>
        <w:ind w:left="850"/>
        <w:rPr>
          <w:szCs w:val="24"/>
          <w:lang w:eastAsia="en-US"/>
        </w:rPr>
      </w:pPr>
      <w:r>
        <w:rPr>
          <w:szCs w:val="24"/>
          <w:lang w:eastAsia="en-US"/>
        </w:rPr>
        <w:t>Ak sú však v prípade daného členského štátu v procese vybavovania dve alebo viaceré, či už vnútroštátne alebo centralizované žiadosti o osvedčenia alebo žiadosti o jednotné osvedčenia, ktoré sa týkajú toho istého výrobku a podali ich dvaja alebo viacerí majitelia rôznych patentov, každému z týchto majiteľov, ak nie sú ekonomicky prepojení, môže príslušný vnútroštátny orgán alebo úrad udeliť jedno osvedčenie, prípadne jednotné osvedčenie pre daný výrobok.</w:t>
      </w:r>
      <w:r>
        <w:rPr>
          <w:b/>
          <w:i/>
          <w:szCs w:val="24"/>
          <w:lang w:eastAsia="en-US"/>
        </w:rPr>
        <w:t xml:space="preserve"> Rovnaká zásada sa uplatňuje mutatis mutandis na žiadosti, ktoré podal majiteľ v súvislosti s tým istým výrobkom, na ktorý bolo predtým udelené iným rôznym majiteľom rôznych patentov jedno alebo viac osvedčení alebo jednotných osvedčení. </w:t>
      </w:r>
      <w:r>
        <w:rPr>
          <w:b/>
          <w:szCs w:val="24"/>
          <w:lang w:eastAsia="en-US"/>
        </w:rPr>
        <w:t>[PN 10]</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3.</w:t>
      </w:r>
      <w:r>
        <w:rPr>
          <w:szCs w:val="24"/>
          <w:lang w:eastAsia="en-US"/>
        </w:rPr>
        <w:tab/>
        <w:t>Jednotné osvedčenie sa pre daný prípravok na ochranu rastlín udelí aj vtedy, ak sú splnené tieto podmienky:</w:t>
      </w:r>
    </w:p>
    <w:p>
      <w:pPr>
        <w:spacing w:before="120" w:after="120" w:line="360" w:lineRule="auto"/>
        <w:ind w:left="1416" w:hanging="566"/>
        <w:rPr>
          <w:szCs w:val="24"/>
          <w:lang w:eastAsia="en-US"/>
        </w:rPr>
      </w:pPr>
      <w:r>
        <w:rPr>
          <w:szCs w:val="24"/>
          <w:lang w:eastAsia="en-US"/>
        </w:rPr>
        <w:t>a)</w:t>
      </w:r>
      <w:r>
        <w:rPr>
          <w:szCs w:val="24"/>
          <w:lang w:eastAsia="en-US"/>
        </w:rPr>
        <w:tab/>
        <w:t>k dátumu podania žiadosti bola v každom z členských štátov, v ktorých má základný patent jednotný účinok, podaná žiadosť o povolenie na uvedenie prípravku na ochranu rastlín na trh v súlade s nariadením (ES) č. 1107/2009, ale povolenie doposiaľ nebolo udelené aspoň v jednom z týchto členských štátov;</w:t>
      </w:r>
    </w:p>
    <w:p>
      <w:pPr>
        <w:spacing w:before="120" w:after="120" w:line="360" w:lineRule="auto"/>
        <w:ind w:left="1416" w:hanging="566"/>
        <w:rPr>
          <w:szCs w:val="24"/>
          <w:lang w:eastAsia="en-US"/>
        </w:rPr>
      </w:pPr>
      <w:r>
        <w:rPr>
          <w:szCs w:val="24"/>
          <w:lang w:eastAsia="en-US"/>
        </w:rPr>
        <w:t>b)</w:t>
      </w:r>
      <w:r>
        <w:rPr>
          <w:szCs w:val="24"/>
          <w:lang w:eastAsia="en-US"/>
        </w:rPr>
        <w:tab/>
        <w:t>pred prijatím stanoviska na základe prieskumu boli v každom z členských štátov, v ktorých má základný patent jednotný účinok, udelené platné povolenia.</w:t>
      </w:r>
    </w:p>
    <w:p>
      <w:pPr>
        <w:spacing w:before="120" w:after="120" w:line="360" w:lineRule="auto"/>
        <w:ind w:left="850" w:hanging="850"/>
        <w:rPr>
          <w:szCs w:val="24"/>
          <w:lang w:eastAsia="en-US"/>
        </w:rPr>
      </w:pPr>
      <w:r>
        <w:rPr>
          <w:szCs w:val="24"/>
          <w:lang w:eastAsia="en-US"/>
        </w:rPr>
        <w:t>4.</w:t>
      </w:r>
      <w:r>
        <w:rPr>
          <w:szCs w:val="24"/>
          <w:lang w:eastAsia="en-US"/>
        </w:rPr>
        <w:tab/>
        <w:t>Ak je splnená podmienka stanovená v odseku 3 písm. a), stanovisko na základe prieskumu sa neprijme skôr ako 18 mesiacov po podaní žiadosti.</w:t>
      </w:r>
    </w:p>
    <w:p>
      <w:pPr>
        <w:spacing w:before="120" w:after="120" w:line="360" w:lineRule="auto"/>
        <w:ind w:left="850" w:hanging="850"/>
        <w:rPr>
          <w:szCs w:val="24"/>
          <w:lang w:eastAsia="en-US"/>
        </w:rPr>
      </w:pPr>
      <w:r>
        <w:rPr>
          <w:szCs w:val="24"/>
          <w:lang w:eastAsia="en-US"/>
        </w:rPr>
        <w:t>5.</w:t>
      </w:r>
      <w:r>
        <w:rPr>
          <w:szCs w:val="24"/>
          <w:lang w:eastAsia="en-US"/>
        </w:rPr>
        <w:tab/>
        <w:t>Odchylne od odseku 3 platí, že ak je v prípade členského štátu, v ktorom má základný patent jednotný účinok, splnená len podmienka stanovená v odseku 3 písm. a), jednotné osvedčenie sa udelí, no v danom členskom štáte nemá účinok.</w:t>
      </w:r>
    </w:p>
    <w:p>
      <w:pPr>
        <w:widowControl/>
        <w:rPr>
          <w:szCs w:val="24"/>
          <w:lang w:eastAsia="en-US"/>
        </w:rPr>
      </w:pPr>
      <w:r>
        <w:rPr>
          <w:szCs w:val="24"/>
          <w:lang w:eastAsia="en-US"/>
        </w:rPr>
        <w:br w:type="page"/>
      </w:r>
    </w:p>
    <w:p>
      <w:pPr>
        <w:spacing w:before="120" w:after="120" w:line="360" w:lineRule="auto"/>
        <w:ind w:left="850"/>
        <w:rPr>
          <w:szCs w:val="24"/>
          <w:lang w:eastAsia="en-US"/>
        </w:rPr>
      </w:pPr>
      <w:r>
        <w:rPr>
          <w:szCs w:val="24"/>
          <w:lang w:eastAsia="en-US"/>
        </w:rPr>
        <w:lastRenderedPageBreak/>
        <w:t>Ak sa jednotné osvedčenie udelí v súlade s prvým pododsekom, žiadateľ môže úradu predložiť povolenie na uvedenie na trh, ktoré bolo následne udelené v danom členskom štáte pred uplynutím platnosti základného patentu, spolu s požiadavkou na obnovenie účinku jednotného osvedčenia v uvedenom členskom štáte. Úrad posúdi, či sú splnené podmienky stanovené v odseku 1, pokiaľ ide o daný členský štát, a vydá rozhodnutie o tom, či sa účinok obnoví.</w:t>
      </w:r>
    </w:p>
    <w:p>
      <w:pPr>
        <w:spacing w:before="120" w:after="120" w:line="360" w:lineRule="auto"/>
        <w:jc w:val="center"/>
        <w:rPr>
          <w:szCs w:val="24"/>
          <w:lang w:eastAsia="en-US"/>
        </w:rPr>
      </w:pPr>
      <w:r>
        <w:rPr>
          <w:szCs w:val="24"/>
          <w:lang w:eastAsia="en-US"/>
        </w:rPr>
        <w:t>Článok 4</w:t>
      </w:r>
      <w:r>
        <w:rPr>
          <w:szCs w:val="24"/>
          <w:lang w:eastAsia="en-US"/>
        </w:rPr>
        <w:br/>
        <w:t>Rozsah ochrany</w:t>
      </w:r>
    </w:p>
    <w:p>
      <w:pPr>
        <w:spacing w:before="120" w:after="120" w:line="360" w:lineRule="auto"/>
        <w:rPr>
          <w:szCs w:val="24"/>
          <w:lang w:eastAsia="en-US"/>
        </w:rPr>
      </w:pPr>
      <w:r>
        <w:rPr>
          <w:szCs w:val="24"/>
          <w:lang w:eastAsia="en-US"/>
        </w:rPr>
        <w:t>V medziach ochrany poskytovanej základným patentom sa ochrana poskytovaná jednotným osvedčením rozšíri len na výrobok, na ktorý sa v každom z členských štátov, v ktorých má daný základný patent jednotný účinok, vzťahuje povolenie na uvedenie príslušného prípravku na ochranu rastlín na trh, a na každé použitie daného výrobku ako prípravku na ochranu rastlín, ktoré bolo povolené pred uplynutím platnosti jednotného osvedčenia.</w:t>
      </w:r>
    </w:p>
    <w:p>
      <w:pPr>
        <w:widowControl/>
        <w:rPr>
          <w:szCs w:val="24"/>
          <w:lang w:eastAsia="en-US"/>
        </w:rPr>
      </w:pPr>
      <w:r>
        <w:rPr>
          <w:szCs w:val="24"/>
          <w:lang w:eastAsia="en-US"/>
        </w:rPr>
        <w:br w:type="page"/>
      </w:r>
    </w:p>
    <w:p>
      <w:pPr>
        <w:spacing w:before="120" w:after="120" w:line="360" w:lineRule="auto"/>
        <w:jc w:val="center"/>
        <w:rPr>
          <w:szCs w:val="24"/>
          <w:lang w:eastAsia="en-US"/>
        </w:rPr>
      </w:pPr>
      <w:r>
        <w:rPr>
          <w:szCs w:val="24"/>
          <w:lang w:eastAsia="en-US"/>
        </w:rPr>
        <w:lastRenderedPageBreak/>
        <w:t>Článok 5</w:t>
      </w:r>
      <w:r>
        <w:rPr>
          <w:szCs w:val="24"/>
          <w:lang w:eastAsia="en-US"/>
        </w:rPr>
        <w:br/>
        <w:t>Účinky jednotného osvedčenia</w:t>
      </w:r>
    </w:p>
    <w:p>
      <w:pPr>
        <w:spacing w:before="120" w:after="120" w:line="360" w:lineRule="auto"/>
        <w:ind w:left="850" w:hanging="850"/>
        <w:rPr>
          <w:szCs w:val="24"/>
          <w:lang w:eastAsia="en-US"/>
        </w:rPr>
      </w:pPr>
      <w:r>
        <w:rPr>
          <w:szCs w:val="24"/>
          <w:lang w:eastAsia="en-US"/>
        </w:rPr>
        <w:t>1.</w:t>
      </w:r>
      <w:r>
        <w:rPr>
          <w:szCs w:val="24"/>
          <w:lang w:eastAsia="en-US"/>
        </w:rPr>
        <w:tab/>
        <w:t>Jednotné osvedčenie poskytuje tie isté práva ako základný patent a vzťahujú sa naň tie isté obmedzenia a rovnaké povinnosti, a to vo všetkých členských štátoch, v ktorých má základný patent jednotný účinok.</w:t>
      </w:r>
    </w:p>
    <w:p>
      <w:pPr>
        <w:spacing w:before="120" w:after="120" w:line="360" w:lineRule="auto"/>
        <w:ind w:left="850" w:hanging="850"/>
        <w:rPr>
          <w:szCs w:val="24"/>
          <w:lang w:eastAsia="en-US"/>
        </w:rPr>
      </w:pPr>
      <w:r>
        <w:rPr>
          <w:szCs w:val="24"/>
          <w:lang w:eastAsia="en-US"/>
        </w:rPr>
        <w:t>2.</w:t>
      </w:r>
      <w:r>
        <w:rPr>
          <w:szCs w:val="24"/>
          <w:lang w:eastAsia="en-US"/>
        </w:rPr>
        <w:tab/>
        <w:t>Jednotné osvedčenie má jednotný charakter. Zabezpečuje sa ním jednotná ochrana a má rovnaký účinok vo všetkých členských štátoch, v ktorých má základný patent jednotný účinok. K obmedzeniu, prevodu či zrušeniu alebo zániku jednotného osvedčenia môže dôjsť len vo vzťahu k všetkým týmto členským štátom.</w:t>
      </w:r>
    </w:p>
    <w:p>
      <w:pPr>
        <w:spacing w:before="120" w:after="120" w:line="360" w:lineRule="auto"/>
        <w:jc w:val="center"/>
        <w:rPr>
          <w:szCs w:val="24"/>
          <w:lang w:eastAsia="en-US"/>
        </w:rPr>
      </w:pPr>
      <w:r>
        <w:rPr>
          <w:szCs w:val="24"/>
          <w:lang w:eastAsia="en-US"/>
        </w:rPr>
        <w:t>Článok 6</w:t>
      </w:r>
      <w:r>
        <w:rPr>
          <w:szCs w:val="24"/>
          <w:lang w:eastAsia="en-US"/>
        </w:rPr>
        <w:br/>
        <w:t>Nárok na jednotné osvedčenie</w:t>
      </w:r>
    </w:p>
    <w:p>
      <w:pPr>
        <w:spacing w:before="120" w:after="120" w:line="360" w:lineRule="auto"/>
        <w:ind w:left="850" w:hanging="850"/>
        <w:rPr>
          <w:szCs w:val="24"/>
          <w:lang w:eastAsia="en-US"/>
        </w:rPr>
      </w:pPr>
      <w:r>
        <w:rPr>
          <w:szCs w:val="24"/>
          <w:lang w:eastAsia="en-US"/>
        </w:rPr>
        <w:t>1.</w:t>
      </w:r>
      <w:r>
        <w:rPr>
          <w:szCs w:val="24"/>
          <w:lang w:eastAsia="en-US"/>
        </w:rPr>
        <w:tab/>
        <w:t>Jednotné osvedčenie sa udelí majiteľovi základného patentu alebo právnemu nástupcovi daného majiteľa.</w:t>
      </w:r>
    </w:p>
    <w:p>
      <w:pPr>
        <w:spacing w:before="120" w:after="120" w:line="360" w:lineRule="auto"/>
        <w:ind w:left="850" w:hanging="850"/>
        <w:rPr>
          <w:szCs w:val="24"/>
          <w:lang w:eastAsia="en-US"/>
        </w:rPr>
      </w:pPr>
      <w:r>
        <w:rPr>
          <w:szCs w:val="24"/>
          <w:lang w:eastAsia="en-US"/>
        </w:rPr>
        <w:t>2.</w:t>
      </w:r>
      <w:r>
        <w:rPr>
          <w:szCs w:val="24"/>
          <w:lang w:eastAsia="en-US"/>
        </w:rPr>
        <w:tab/>
        <w:t>Bez ohľadu na odsek 1, ak bol základný patent udelený na výrobok, na ktorý sa vzťahuje povolenie v držbe tretej strany, jednotné osvedčenie na tento výrobok sa neudelí majiteľovi základného patentu bez súhlasu tejto tretej strany.</w:t>
      </w:r>
    </w:p>
    <w:p>
      <w:pPr>
        <w:widowControl/>
        <w:rPr>
          <w:szCs w:val="24"/>
          <w:lang w:eastAsia="en-US"/>
        </w:rPr>
      </w:pPr>
      <w:r>
        <w:rPr>
          <w:szCs w:val="24"/>
          <w:lang w:eastAsia="en-US"/>
        </w:rPr>
        <w:br w:type="page"/>
      </w:r>
    </w:p>
    <w:p>
      <w:pPr>
        <w:spacing w:before="120" w:after="120" w:line="360" w:lineRule="auto"/>
        <w:jc w:val="center"/>
        <w:rPr>
          <w:szCs w:val="24"/>
          <w:lang w:eastAsia="en-US"/>
        </w:rPr>
      </w:pPr>
      <w:r>
        <w:rPr>
          <w:szCs w:val="24"/>
          <w:lang w:eastAsia="en-US"/>
        </w:rPr>
        <w:lastRenderedPageBreak/>
        <w:t>Článok 7</w:t>
      </w:r>
      <w:r>
        <w:rPr>
          <w:szCs w:val="24"/>
          <w:lang w:eastAsia="en-US"/>
        </w:rPr>
        <w:br/>
        <w:t>Jednotné osvedčenie ako predmet vlastníctva</w:t>
      </w:r>
    </w:p>
    <w:p>
      <w:pPr>
        <w:spacing w:before="120" w:after="120" w:line="360" w:lineRule="auto"/>
        <w:rPr>
          <w:szCs w:val="24"/>
          <w:lang w:eastAsia="en-US"/>
        </w:rPr>
      </w:pPr>
      <w:r>
        <w:rPr>
          <w:szCs w:val="24"/>
          <w:lang w:eastAsia="en-US"/>
        </w:rPr>
        <w:t>Jednotné osvedčenie alebo žiadosť o jednotné osvedčenie sa v každom členskom štáte, v ktorom má základný patent jednotný účinok, musí považuje za predmet vlastníctva v plnom rozsahu, v súlade s vnútroštátnym právom uplatniteľným na základný patent ako predmet vlastníctva.</w:t>
      </w:r>
    </w:p>
    <w:p>
      <w:pPr>
        <w:spacing w:before="120" w:after="120" w:line="360" w:lineRule="auto"/>
        <w:jc w:val="center"/>
        <w:rPr>
          <w:szCs w:val="24"/>
          <w:lang w:eastAsia="en-US"/>
        </w:rPr>
      </w:pPr>
      <w:r>
        <w:rPr>
          <w:szCs w:val="24"/>
          <w:lang w:eastAsia="en-US"/>
        </w:rPr>
        <w:t>Článok 8</w:t>
      </w:r>
      <w:r>
        <w:rPr>
          <w:szCs w:val="24"/>
          <w:lang w:eastAsia="en-US"/>
        </w:rPr>
        <w:br/>
        <w:t>Žiadosť o jednotné osvedčenie</w:t>
      </w:r>
    </w:p>
    <w:p>
      <w:pPr>
        <w:spacing w:before="120" w:after="120" w:line="360" w:lineRule="auto"/>
        <w:ind w:left="850" w:hanging="850"/>
        <w:rPr>
          <w:szCs w:val="24"/>
          <w:lang w:eastAsia="en-US"/>
        </w:rPr>
      </w:pPr>
      <w:r>
        <w:rPr>
          <w:szCs w:val="24"/>
          <w:lang w:eastAsia="en-US"/>
        </w:rPr>
        <w:t>1.</w:t>
      </w:r>
      <w:r>
        <w:rPr>
          <w:szCs w:val="24"/>
          <w:lang w:eastAsia="en-US"/>
        </w:rPr>
        <w:tab/>
        <w:t>Žiadosť o jednotné osvedčenie sa podáva v lehote šiestich mesiacov odo dňa, kedy bolo v jednom z členských štátov, v ktorých má základný patent jednotný účinok, udelené prvé povolenie v zmysle článku 3 ods. 1 písm. b) na uvedenie výrobku na trh ako prípravku na ochranu rastlín.</w:t>
      </w:r>
    </w:p>
    <w:p>
      <w:pPr>
        <w:spacing w:before="120" w:after="120" w:line="360" w:lineRule="auto"/>
        <w:ind w:left="850" w:hanging="850"/>
        <w:rPr>
          <w:szCs w:val="24"/>
          <w:lang w:eastAsia="en-US"/>
        </w:rPr>
      </w:pPr>
      <w:r>
        <w:rPr>
          <w:szCs w:val="24"/>
          <w:lang w:eastAsia="en-US"/>
        </w:rPr>
        <w:t>2.</w:t>
      </w:r>
      <w:r>
        <w:rPr>
          <w:szCs w:val="24"/>
          <w:lang w:eastAsia="en-US"/>
        </w:rPr>
        <w:tab/>
        <w:t>Bez toho, aby bol dotknutý odsek 1, platí, že keď sa udelí povolenie na uvedenie výrobku na trh v členskom štáte, v ktorom má základný patent jednotný účinok, ešte pred pripísaním jednotného účinku základnému patentu, žiadosť o jednotné osvedčenie sa musí podať do šiestich mesiacov odo dňa, keď sa základnému patentu pripísal jednotný účinok.</w:t>
      </w:r>
    </w:p>
    <w:p>
      <w:pPr>
        <w:widowControl/>
        <w:rPr>
          <w:szCs w:val="24"/>
          <w:lang w:eastAsia="en-US"/>
        </w:rPr>
      </w:pPr>
      <w:r>
        <w:rPr>
          <w:szCs w:val="24"/>
          <w:lang w:eastAsia="en-US"/>
        </w:rPr>
        <w:br w:type="page"/>
      </w:r>
    </w:p>
    <w:p>
      <w:pPr>
        <w:spacing w:before="120" w:after="120" w:line="360" w:lineRule="auto"/>
        <w:jc w:val="center"/>
        <w:rPr>
          <w:szCs w:val="24"/>
          <w:lang w:eastAsia="en-US"/>
        </w:rPr>
      </w:pPr>
      <w:r>
        <w:rPr>
          <w:szCs w:val="24"/>
          <w:lang w:eastAsia="en-US"/>
        </w:rPr>
        <w:lastRenderedPageBreak/>
        <w:t>Článok 9</w:t>
      </w:r>
      <w:r>
        <w:rPr>
          <w:szCs w:val="24"/>
          <w:lang w:eastAsia="en-US"/>
        </w:rPr>
        <w:br/>
        <w:t>Obsah žiadosti o jednotné osvedčenie</w:t>
      </w:r>
    </w:p>
    <w:p>
      <w:pPr>
        <w:spacing w:before="120" w:after="120" w:line="360" w:lineRule="auto"/>
        <w:ind w:left="850" w:hanging="850"/>
        <w:rPr>
          <w:szCs w:val="24"/>
          <w:lang w:eastAsia="en-US"/>
        </w:rPr>
      </w:pPr>
      <w:r>
        <w:rPr>
          <w:szCs w:val="24"/>
          <w:lang w:eastAsia="en-US"/>
        </w:rPr>
        <w:t>1.</w:t>
      </w:r>
      <w:r>
        <w:rPr>
          <w:szCs w:val="24"/>
          <w:lang w:eastAsia="en-US"/>
        </w:rPr>
        <w:tab/>
        <w:t>Žiadosť o jednotné osvedčenie obsahuje tieto náležitosti:</w:t>
      </w:r>
    </w:p>
    <w:p>
      <w:pPr>
        <w:spacing w:before="120" w:after="120" w:line="360" w:lineRule="auto"/>
        <w:ind w:left="1416" w:hanging="566"/>
        <w:rPr>
          <w:szCs w:val="24"/>
          <w:lang w:eastAsia="en-US"/>
        </w:rPr>
      </w:pPr>
      <w:r>
        <w:rPr>
          <w:szCs w:val="24"/>
          <w:lang w:eastAsia="en-US"/>
        </w:rPr>
        <w:t>a)</w:t>
      </w:r>
      <w:r>
        <w:rPr>
          <w:szCs w:val="24"/>
          <w:lang w:eastAsia="en-US"/>
        </w:rPr>
        <w:tab/>
        <w:t>požiadavku na udelenie jednotného osvedčenia, v ktorej sú uvedené tieto informácie:</w:t>
      </w:r>
    </w:p>
    <w:p>
      <w:pPr>
        <w:spacing w:before="120" w:after="120" w:line="360" w:lineRule="auto"/>
        <w:ind w:left="1982" w:hanging="566"/>
        <w:rPr>
          <w:szCs w:val="24"/>
          <w:lang w:eastAsia="en-US"/>
        </w:rPr>
      </w:pPr>
      <w:r>
        <w:rPr>
          <w:szCs w:val="24"/>
          <w:lang w:eastAsia="en-US"/>
        </w:rPr>
        <w:t>i)</w:t>
      </w:r>
      <w:r>
        <w:rPr>
          <w:szCs w:val="24"/>
          <w:lang w:eastAsia="en-US"/>
        </w:rPr>
        <w:tab/>
        <w:t>meno a adresu žiadateľa;</w:t>
      </w:r>
    </w:p>
    <w:p>
      <w:pPr>
        <w:spacing w:before="120" w:after="120" w:line="360" w:lineRule="auto"/>
        <w:ind w:left="1982" w:hanging="566"/>
        <w:rPr>
          <w:szCs w:val="24"/>
          <w:lang w:eastAsia="en-US"/>
        </w:rPr>
      </w:pPr>
      <w:r>
        <w:rPr>
          <w:szCs w:val="24"/>
          <w:lang w:eastAsia="en-US"/>
        </w:rPr>
        <w:t>ii)</w:t>
      </w:r>
      <w:r>
        <w:rPr>
          <w:szCs w:val="24"/>
          <w:lang w:eastAsia="en-US"/>
        </w:rPr>
        <w:tab/>
        <w:t>ak žiadateľ vymenoval zástupcu, meno a adresu tohto zástupcu;</w:t>
      </w:r>
    </w:p>
    <w:p>
      <w:pPr>
        <w:spacing w:before="120" w:after="120" w:line="360" w:lineRule="auto"/>
        <w:ind w:left="1982" w:hanging="566"/>
        <w:rPr>
          <w:szCs w:val="24"/>
          <w:lang w:eastAsia="en-US"/>
        </w:rPr>
      </w:pPr>
      <w:r>
        <w:rPr>
          <w:szCs w:val="24"/>
          <w:lang w:eastAsia="en-US"/>
        </w:rPr>
        <w:t>iii)</w:t>
      </w:r>
      <w:r>
        <w:rPr>
          <w:szCs w:val="24"/>
          <w:lang w:eastAsia="en-US"/>
        </w:rPr>
        <w:tab/>
        <w:t>číslo základného patentu a názov vynálezu;</w:t>
      </w:r>
    </w:p>
    <w:p>
      <w:pPr>
        <w:spacing w:before="120" w:after="120" w:line="360" w:lineRule="auto"/>
        <w:ind w:left="1982" w:hanging="566"/>
        <w:rPr>
          <w:szCs w:val="24"/>
          <w:lang w:eastAsia="en-US"/>
        </w:rPr>
      </w:pPr>
      <w:r>
        <w:rPr>
          <w:szCs w:val="24"/>
          <w:lang w:eastAsia="en-US"/>
        </w:rPr>
        <w:t>iv)</w:t>
      </w:r>
      <w:r>
        <w:rPr>
          <w:szCs w:val="24"/>
          <w:lang w:eastAsia="en-US"/>
        </w:rPr>
        <w:tab/>
        <w:t>číslo a dátum prvého povolenia na uvedenie výrobku na trh v zmysle článku 3 ods. 1 písm. b) a, ak toto povolenie nie je prvým povolením na uvedenie na trh v Únii, číslo a dátum daného povolenia;</w:t>
      </w:r>
    </w:p>
    <w:p>
      <w:pPr>
        <w:widowControl/>
        <w:rPr>
          <w:szCs w:val="24"/>
          <w:lang w:eastAsia="en-US"/>
        </w:rPr>
      </w:pPr>
      <w:r>
        <w:rPr>
          <w:szCs w:val="24"/>
          <w:lang w:eastAsia="en-US"/>
        </w:rPr>
        <w:br w:type="page"/>
      </w:r>
    </w:p>
    <w:p>
      <w:pPr>
        <w:spacing w:before="120" w:after="120" w:line="360" w:lineRule="auto"/>
        <w:ind w:left="1416" w:hanging="566"/>
        <w:rPr>
          <w:szCs w:val="24"/>
          <w:lang w:eastAsia="en-US"/>
        </w:rPr>
      </w:pPr>
      <w:r>
        <w:rPr>
          <w:szCs w:val="24"/>
          <w:lang w:eastAsia="en-US"/>
        </w:rPr>
        <w:lastRenderedPageBreak/>
        <w:t>b)</w:t>
      </w:r>
      <w:r>
        <w:rPr>
          <w:szCs w:val="24"/>
          <w:lang w:eastAsia="en-US"/>
        </w:rPr>
        <w:tab/>
        <w:t>kópiu prvého povolenia na uvedenie výrobku na trh v zmysle článku 3 ods. 1 písm. b), v ktorom je výrobok identifikovaný a ktoré obsahuje najmä číslo a dátum povolenia a prehľad charakteristických vlastností výrobku uvedených v časti A oddiele 1 bodoch 1.1 až 1.7 nariadenia Komisie č. 283/2013</w:t>
      </w:r>
      <w:r>
        <w:rPr>
          <w:szCs w:val="24"/>
          <w:vertAlign w:val="superscript"/>
          <w:lang w:eastAsia="en-US"/>
        </w:rPr>
        <w:footnoteReference w:id="12"/>
      </w:r>
      <w:r>
        <w:rPr>
          <w:szCs w:val="24"/>
          <w:lang w:eastAsia="en-US"/>
        </w:rPr>
        <w:t xml:space="preserve"> alebo v časti B oddiele 1 bodoch 1.1 až 1.4.3 uvedeného nariadenia, prípadne v príslušných vnútroštátnych právnych predpisoch členského štátu, v ktorom bola žiadosť podaná;</w:t>
      </w:r>
    </w:p>
    <w:p>
      <w:pPr>
        <w:spacing w:before="120" w:after="120" w:line="360" w:lineRule="auto"/>
        <w:ind w:left="1416" w:hanging="566"/>
        <w:rPr>
          <w:szCs w:val="24"/>
          <w:lang w:eastAsia="en-US"/>
        </w:rPr>
      </w:pPr>
      <w:r>
        <w:rPr>
          <w:szCs w:val="24"/>
          <w:lang w:eastAsia="en-US"/>
        </w:rPr>
        <w:t>c)</w:t>
      </w:r>
      <w:r>
        <w:rPr>
          <w:szCs w:val="24"/>
          <w:lang w:eastAsia="en-US"/>
        </w:rPr>
        <w:tab/>
        <w:t>ak povolenie uvedené v písmene b) nie je prvým povolením na uvedenie výrobku na trhu v Únii ako lieku, informácie týkajúce sa identity takto povoleného výrobku a právneho ustanovenia, podľa ktorého prebehlo povoľovacie konanie spolu s kópiou oznámenia o uverejnení povolenia v príslušnej oficiálnej publikácii, alebo ak takéto oznámenie chýba, akýkoľvek iný dokument, ktorý preukáže, že povolenie bolo vydané, dátum jeho vydania a identitu povoleného výrobku</w:t>
      </w:r>
      <w:r>
        <w:rPr>
          <w:strike/>
          <w:szCs w:val="24"/>
          <w:lang w:eastAsia="en-US"/>
        </w:rPr>
        <w:t>.</w:t>
      </w:r>
      <w:r>
        <w:rPr>
          <w:b/>
          <w:i/>
          <w:szCs w:val="24"/>
          <w:lang w:eastAsia="en-US"/>
        </w:rPr>
        <w:t>;</w:t>
      </w:r>
    </w:p>
    <w:p>
      <w:pPr>
        <w:spacing w:before="120" w:after="120" w:line="360" w:lineRule="auto"/>
        <w:ind w:left="1416" w:hanging="566"/>
        <w:rPr>
          <w:szCs w:val="24"/>
          <w:lang w:eastAsia="en-US"/>
        </w:rPr>
      </w:pPr>
      <w:r>
        <w:rPr>
          <w:b/>
          <w:i/>
          <w:szCs w:val="24"/>
          <w:lang w:eastAsia="en-US"/>
        </w:rPr>
        <w:t>ca)</w:t>
      </w:r>
      <w:r>
        <w:rPr>
          <w:szCs w:val="24"/>
          <w:lang w:eastAsia="en-US"/>
        </w:rPr>
        <w:tab/>
      </w:r>
      <w:r>
        <w:rPr>
          <w:b/>
          <w:i/>
          <w:szCs w:val="24"/>
          <w:lang w:eastAsia="en-US"/>
        </w:rPr>
        <w:t xml:space="preserve">prípadne súhlas tretej strany podľa článku 6 ods. 2 tohto nariadenia. </w:t>
      </w:r>
      <w:r>
        <w:rPr>
          <w:b/>
          <w:szCs w:val="24"/>
          <w:lang w:eastAsia="en-US"/>
        </w:rPr>
        <w:t>[PN 11]</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2.</w:t>
      </w:r>
      <w:r>
        <w:rPr>
          <w:szCs w:val="24"/>
          <w:lang w:eastAsia="en-US"/>
        </w:rPr>
        <w:tab/>
        <w:t>Žiadosť uvedená v tomto článku sa podáva prostredníctvom osobitného formulára žiadosti.</w:t>
      </w:r>
    </w:p>
    <w:p>
      <w:pPr>
        <w:spacing w:before="120" w:after="120" w:line="360" w:lineRule="auto"/>
        <w:ind w:left="850"/>
        <w:rPr>
          <w:szCs w:val="24"/>
          <w:lang w:eastAsia="en-US"/>
        </w:rPr>
      </w:pPr>
      <w:r>
        <w:rPr>
          <w:szCs w:val="24"/>
          <w:lang w:eastAsia="en-US"/>
        </w:rPr>
        <w:t>Komisia je splnomocnená prijímať vykonávacie akty, ktorými sa stanovia pravidlá týkajúce sa formulára žiadosti, ktorý sa má používať. Tieto vykonávacie akty sa prijmú v súlade s postupom prieskumu uvedeným v článku 50.</w:t>
      </w:r>
    </w:p>
    <w:p>
      <w:pPr>
        <w:spacing w:before="120" w:after="120" w:line="360" w:lineRule="auto"/>
        <w:jc w:val="center"/>
        <w:rPr>
          <w:szCs w:val="24"/>
          <w:lang w:eastAsia="en-US"/>
        </w:rPr>
      </w:pPr>
      <w:r>
        <w:rPr>
          <w:szCs w:val="24"/>
          <w:lang w:eastAsia="en-US"/>
        </w:rPr>
        <w:t>Článok 10</w:t>
      </w:r>
      <w:r>
        <w:rPr>
          <w:szCs w:val="24"/>
          <w:lang w:eastAsia="en-US"/>
        </w:rPr>
        <w:br/>
        <w:t>Podanie žiadosti o jednotné osvedčenie</w:t>
      </w:r>
    </w:p>
    <w:p>
      <w:pPr>
        <w:spacing w:before="120" w:after="120" w:line="360" w:lineRule="auto"/>
        <w:rPr>
          <w:szCs w:val="24"/>
          <w:lang w:eastAsia="en-US"/>
        </w:rPr>
      </w:pPr>
      <w:r>
        <w:rPr>
          <w:szCs w:val="24"/>
          <w:lang w:eastAsia="en-US"/>
        </w:rPr>
        <w:t>Žiadosť o jednotné osvedčenie sa podáva úradu.</w:t>
      </w:r>
    </w:p>
    <w:p>
      <w:pPr>
        <w:spacing w:before="120" w:after="120" w:line="360" w:lineRule="auto"/>
        <w:jc w:val="center"/>
        <w:rPr>
          <w:szCs w:val="24"/>
          <w:lang w:eastAsia="en-US"/>
        </w:rPr>
      </w:pPr>
      <w:r>
        <w:rPr>
          <w:szCs w:val="24"/>
          <w:lang w:eastAsia="en-US"/>
        </w:rPr>
        <w:t>Článok 11</w:t>
      </w:r>
      <w:r>
        <w:rPr>
          <w:szCs w:val="24"/>
          <w:lang w:eastAsia="en-US"/>
        </w:rPr>
        <w:br/>
        <w:t>Prieskum prípustnosti centralizovanej žiadosti o jednotné osvedčenie</w:t>
      </w:r>
    </w:p>
    <w:p>
      <w:pPr>
        <w:spacing w:before="120" w:after="120" w:line="360" w:lineRule="auto"/>
        <w:ind w:left="850" w:hanging="850"/>
        <w:rPr>
          <w:szCs w:val="24"/>
          <w:lang w:eastAsia="en-US"/>
        </w:rPr>
      </w:pPr>
      <w:r>
        <w:rPr>
          <w:szCs w:val="24"/>
          <w:lang w:eastAsia="en-US"/>
        </w:rPr>
        <w:t>1.</w:t>
      </w:r>
      <w:r>
        <w:rPr>
          <w:szCs w:val="24"/>
          <w:lang w:eastAsia="en-US"/>
        </w:rPr>
        <w:tab/>
        <w:t>Úrad preskúma:</w:t>
      </w:r>
    </w:p>
    <w:p>
      <w:pPr>
        <w:spacing w:before="120" w:after="120" w:line="360" w:lineRule="auto"/>
        <w:ind w:left="1416" w:hanging="566"/>
        <w:rPr>
          <w:szCs w:val="24"/>
          <w:lang w:eastAsia="en-US"/>
        </w:rPr>
      </w:pPr>
      <w:r>
        <w:rPr>
          <w:szCs w:val="24"/>
          <w:lang w:eastAsia="en-US"/>
        </w:rPr>
        <w:t>a)</w:t>
      </w:r>
      <w:r>
        <w:rPr>
          <w:szCs w:val="24"/>
          <w:lang w:eastAsia="en-US"/>
        </w:rPr>
        <w:tab/>
        <w:t>či je žiadosť o jednotné osvedčenie v súlade s článkom 9;</w:t>
      </w:r>
    </w:p>
    <w:p>
      <w:pPr>
        <w:spacing w:before="120" w:after="120" w:line="360" w:lineRule="auto"/>
        <w:ind w:left="1416" w:hanging="566"/>
        <w:rPr>
          <w:szCs w:val="24"/>
          <w:lang w:eastAsia="en-US"/>
        </w:rPr>
      </w:pPr>
      <w:r>
        <w:rPr>
          <w:szCs w:val="24"/>
          <w:lang w:eastAsia="en-US"/>
        </w:rPr>
        <w:t>b)</w:t>
      </w:r>
      <w:r>
        <w:rPr>
          <w:szCs w:val="24"/>
          <w:lang w:eastAsia="en-US"/>
        </w:rPr>
        <w:tab/>
        <w:t>či je žiadosť v súlade s článkom 8;</w:t>
      </w:r>
    </w:p>
    <w:p>
      <w:pPr>
        <w:spacing w:before="120" w:after="120" w:line="360" w:lineRule="auto"/>
        <w:ind w:left="1416" w:hanging="566"/>
        <w:rPr>
          <w:szCs w:val="24"/>
          <w:lang w:eastAsia="en-US"/>
        </w:rPr>
      </w:pPr>
      <w:r>
        <w:rPr>
          <w:szCs w:val="24"/>
          <w:lang w:eastAsia="en-US"/>
        </w:rPr>
        <w:t>c)</w:t>
      </w:r>
      <w:r>
        <w:rPr>
          <w:szCs w:val="24"/>
          <w:lang w:eastAsia="en-US"/>
        </w:rPr>
        <w:tab/>
        <w:t>či bol v stanovenej lehote uhradený poplatok za podanie žiadosti uvedený v článku 29 ods. 1.</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2.</w:t>
      </w:r>
      <w:r>
        <w:rPr>
          <w:szCs w:val="24"/>
          <w:lang w:eastAsia="en-US"/>
        </w:rPr>
        <w:tab/>
        <w:t>Ak centralizovaná žiadosť nespĺňa požiadavky uvedené v odseku 1, úrad požiada žiadateľa o prijatie opatrení potrebných na splnenie týchto požiadaviek a stanoví lehotu na zabezpečenie tohto súladu.</w:t>
      </w:r>
    </w:p>
    <w:p>
      <w:pPr>
        <w:spacing w:before="120" w:after="120" w:line="360" w:lineRule="auto"/>
        <w:ind w:left="850" w:hanging="850"/>
        <w:rPr>
          <w:szCs w:val="24"/>
          <w:lang w:eastAsia="en-US"/>
        </w:rPr>
      </w:pPr>
      <w:r>
        <w:rPr>
          <w:szCs w:val="24"/>
          <w:lang w:eastAsia="en-US"/>
        </w:rPr>
        <w:t>3.</w:t>
      </w:r>
      <w:r>
        <w:rPr>
          <w:szCs w:val="24"/>
          <w:lang w:eastAsia="en-US"/>
        </w:rPr>
        <w:tab/>
        <w:t>Ak poplatok uvedený v odseku 1 písm. c) nebol zaplatený alebo nebol zaplatený v plnej výške, úrad o tejto skutočnosti informuje žiadateľa.</w:t>
      </w:r>
    </w:p>
    <w:p>
      <w:pPr>
        <w:spacing w:before="120" w:after="120" w:line="360" w:lineRule="auto"/>
        <w:ind w:left="850" w:hanging="850"/>
        <w:rPr>
          <w:szCs w:val="24"/>
          <w:lang w:eastAsia="en-US"/>
        </w:rPr>
      </w:pPr>
      <w:r>
        <w:rPr>
          <w:szCs w:val="24"/>
          <w:lang w:eastAsia="en-US"/>
        </w:rPr>
        <w:t>4.</w:t>
      </w:r>
      <w:r>
        <w:rPr>
          <w:szCs w:val="24"/>
          <w:lang w:eastAsia="en-US"/>
        </w:rPr>
        <w:tab/>
        <w:t>Ak žiadateľ nesplní požiadavky uvedené v odseku 1 v lehote uvedenej v odseku 2, úrad žiadosť o jednotné osvedčenie zamietne.</w:t>
      </w:r>
    </w:p>
    <w:p>
      <w:pPr>
        <w:spacing w:before="120" w:after="120" w:line="360" w:lineRule="auto"/>
        <w:jc w:val="center"/>
        <w:rPr>
          <w:szCs w:val="24"/>
          <w:lang w:eastAsia="en-US"/>
        </w:rPr>
      </w:pPr>
      <w:r>
        <w:rPr>
          <w:szCs w:val="24"/>
          <w:lang w:eastAsia="en-US"/>
        </w:rPr>
        <w:t>Článok 12</w:t>
      </w:r>
      <w:r>
        <w:rPr>
          <w:szCs w:val="24"/>
          <w:lang w:eastAsia="en-US"/>
        </w:rPr>
        <w:br/>
        <w:t>Uverejnenie žiadosti</w:t>
      </w:r>
    </w:p>
    <w:p>
      <w:pPr>
        <w:spacing w:before="120" w:after="120" w:line="360" w:lineRule="auto"/>
        <w:rPr>
          <w:szCs w:val="24"/>
          <w:lang w:eastAsia="en-US"/>
        </w:rPr>
      </w:pPr>
      <w:r>
        <w:rPr>
          <w:szCs w:val="24"/>
          <w:lang w:eastAsia="en-US"/>
        </w:rPr>
        <w:t>Ak je žiadosť o jednotné osvedčenie v súlade s článkom 11 ods. 1, úrad žiadosť uverejní v registri</w:t>
      </w:r>
      <w:r>
        <w:rPr>
          <w:b/>
          <w:i/>
          <w:szCs w:val="24"/>
          <w:lang w:eastAsia="en-US"/>
        </w:rPr>
        <w:t xml:space="preserve"> bez zbytočného odkladu</w:t>
      </w:r>
      <w:r>
        <w:rPr>
          <w:szCs w:val="24"/>
          <w:lang w:eastAsia="en-US"/>
        </w:rPr>
        <w:t xml:space="preserve">. </w:t>
      </w:r>
      <w:r>
        <w:rPr>
          <w:b/>
          <w:szCs w:val="24"/>
          <w:lang w:eastAsia="en-US"/>
        </w:rPr>
        <w:t>[PN 12]</w:t>
      </w:r>
    </w:p>
    <w:p>
      <w:pPr>
        <w:widowControl/>
        <w:rPr>
          <w:szCs w:val="24"/>
          <w:lang w:eastAsia="en-US"/>
        </w:rPr>
      </w:pPr>
      <w:r>
        <w:rPr>
          <w:szCs w:val="24"/>
          <w:lang w:eastAsia="en-US"/>
        </w:rPr>
        <w:br w:type="page"/>
      </w:r>
    </w:p>
    <w:p>
      <w:pPr>
        <w:spacing w:before="120" w:after="120" w:line="360" w:lineRule="auto"/>
        <w:jc w:val="center"/>
        <w:rPr>
          <w:szCs w:val="24"/>
          <w:lang w:eastAsia="en-US"/>
        </w:rPr>
      </w:pPr>
      <w:r>
        <w:rPr>
          <w:szCs w:val="24"/>
          <w:lang w:eastAsia="en-US"/>
        </w:rPr>
        <w:lastRenderedPageBreak/>
        <w:t>Článok 13</w:t>
      </w:r>
      <w:r>
        <w:rPr>
          <w:szCs w:val="24"/>
          <w:lang w:eastAsia="en-US"/>
        </w:rPr>
        <w:br/>
        <w:t>Prieskum žiadosti o jednotné osvedčenie</w:t>
      </w:r>
    </w:p>
    <w:p>
      <w:pPr>
        <w:spacing w:before="120" w:after="120" w:line="360" w:lineRule="auto"/>
        <w:ind w:left="850" w:hanging="850"/>
        <w:rPr>
          <w:szCs w:val="24"/>
          <w:lang w:eastAsia="en-US"/>
        </w:rPr>
      </w:pPr>
      <w:r>
        <w:rPr>
          <w:szCs w:val="24"/>
          <w:lang w:eastAsia="en-US"/>
        </w:rPr>
        <w:t>1.</w:t>
      </w:r>
      <w:r>
        <w:rPr>
          <w:szCs w:val="24"/>
          <w:lang w:eastAsia="en-US"/>
        </w:rPr>
        <w:tab/>
        <w:t>Úrad posúdi žiadosť na základe všetkých podmienok v článku 3</w:t>
      </w:r>
      <w:r>
        <w:rPr>
          <w:strike/>
          <w:szCs w:val="24"/>
          <w:lang w:eastAsia="en-US"/>
        </w:rPr>
        <w:t xml:space="preserve"> ods. 1</w:t>
      </w:r>
      <w:r>
        <w:rPr>
          <w:szCs w:val="24"/>
          <w:lang w:eastAsia="en-US"/>
        </w:rPr>
        <w:t xml:space="preserve"> v prípade všetkých členských štátov, v ktorých má základný patent jednotný účinok.</w:t>
      </w:r>
      <w:r>
        <w:rPr>
          <w:b/>
          <w:i/>
          <w:szCs w:val="24"/>
          <w:lang w:eastAsia="en-US"/>
        </w:rPr>
        <w:t xml:space="preserve"> </w:t>
      </w:r>
      <w:r>
        <w:rPr>
          <w:b/>
          <w:szCs w:val="24"/>
          <w:lang w:eastAsia="en-US"/>
        </w:rPr>
        <w:t>[PN 13]</w:t>
      </w:r>
    </w:p>
    <w:p>
      <w:pPr>
        <w:spacing w:before="120" w:after="120" w:line="360" w:lineRule="auto"/>
        <w:ind w:left="850" w:hanging="850"/>
        <w:rPr>
          <w:szCs w:val="24"/>
          <w:lang w:eastAsia="en-US"/>
        </w:rPr>
      </w:pPr>
      <w:r>
        <w:rPr>
          <w:szCs w:val="24"/>
          <w:lang w:eastAsia="en-US"/>
        </w:rPr>
        <w:t>2.</w:t>
      </w:r>
      <w:r>
        <w:rPr>
          <w:szCs w:val="24"/>
          <w:lang w:eastAsia="en-US"/>
        </w:rPr>
        <w:tab/>
        <w:t xml:space="preserve">Ak žiadosť o jednotné osvedčenie a výrobok, </w:t>
      </w:r>
      <w:r>
        <w:rPr>
          <w:strike/>
          <w:szCs w:val="24"/>
          <w:lang w:eastAsia="en-US"/>
        </w:rPr>
        <w:t>ktoré</w:t>
      </w:r>
      <w:r>
        <w:rPr>
          <w:b/>
          <w:i/>
          <w:szCs w:val="24"/>
          <w:lang w:eastAsia="en-US"/>
        </w:rPr>
        <w:t>ktorého</w:t>
      </w:r>
      <w:r>
        <w:rPr>
          <w:szCs w:val="24"/>
          <w:lang w:eastAsia="en-US"/>
        </w:rPr>
        <w:t xml:space="preserve"> sa týka, sú v súlade s článkom 3 </w:t>
      </w:r>
      <w:r>
        <w:rPr>
          <w:strike/>
          <w:szCs w:val="24"/>
          <w:lang w:eastAsia="en-US"/>
        </w:rPr>
        <w:t xml:space="preserve">ods. 1 </w:t>
      </w:r>
      <w:r>
        <w:rPr>
          <w:b/>
          <w:i/>
          <w:szCs w:val="24"/>
          <w:lang w:eastAsia="en-US"/>
        </w:rPr>
        <w:t xml:space="preserve">a článkom 6 ods. 2 </w:t>
      </w:r>
      <w:r>
        <w:rPr>
          <w:strike/>
          <w:szCs w:val="24"/>
          <w:lang w:eastAsia="en-US"/>
        </w:rPr>
        <w:t>v prípade každého z členských štátov uvedených</w:t>
      </w:r>
      <w:r>
        <w:rPr>
          <w:szCs w:val="24"/>
          <w:lang w:eastAsia="en-US"/>
        </w:rPr>
        <w:t xml:space="preserve"> </w:t>
      </w:r>
      <w:r>
        <w:rPr>
          <w:b/>
          <w:i/>
          <w:szCs w:val="24"/>
          <w:lang w:eastAsia="en-US"/>
        </w:rPr>
        <w:t xml:space="preserve">vo vzťahu k členským štátom uvedeným </w:t>
      </w:r>
      <w:r>
        <w:rPr>
          <w:szCs w:val="24"/>
          <w:lang w:eastAsia="en-US"/>
        </w:rPr>
        <w:t>v odseku 1, úrad vydá odôvodnené kladné stanovisko na základe prieskumu týkajúce sa udelenia jednotného osvedčenia. Úrad toto stanovisko oznámi žiadateľovi</w:t>
      </w:r>
      <w:r>
        <w:rPr>
          <w:b/>
          <w:i/>
          <w:szCs w:val="24"/>
          <w:lang w:eastAsia="en-US"/>
        </w:rPr>
        <w:t xml:space="preserve"> a bez zbytočného odkladu ho uverejní v registri</w:t>
      </w:r>
      <w:r>
        <w:rPr>
          <w:szCs w:val="24"/>
          <w:lang w:eastAsia="en-US"/>
        </w:rPr>
        <w:t xml:space="preserve">. </w:t>
      </w:r>
      <w:r>
        <w:rPr>
          <w:b/>
          <w:szCs w:val="24"/>
          <w:lang w:eastAsia="en-US"/>
        </w:rPr>
        <w:t>[PN 14]</w:t>
      </w:r>
    </w:p>
    <w:p>
      <w:pPr>
        <w:spacing w:before="120" w:after="120" w:line="360" w:lineRule="auto"/>
        <w:ind w:left="850" w:hanging="850"/>
        <w:rPr>
          <w:szCs w:val="24"/>
          <w:lang w:eastAsia="en-US"/>
        </w:rPr>
      </w:pPr>
      <w:r>
        <w:rPr>
          <w:szCs w:val="24"/>
          <w:lang w:eastAsia="en-US"/>
        </w:rPr>
        <w:t>3.</w:t>
      </w:r>
      <w:r>
        <w:rPr>
          <w:szCs w:val="24"/>
          <w:lang w:eastAsia="en-US"/>
        </w:rPr>
        <w:tab/>
        <w:t xml:space="preserve">Ak žiadosť o jednotné osvedčenie a výrobok, ktorého sa týka, nie sú v súlade s článkom 3 </w:t>
      </w:r>
      <w:r>
        <w:rPr>
          <w:strike/>
          <w:szCs w:val="24"/>
          <w:lang w:eastAsia="en-US"/>
        </w:rPr>
        <w:t xml:space="preserve">ods. 1 </w:t>
      </w:r>
      <w:r>
        <w:rPr>
          <w:b/>
          <w:i/>
          <w:szCs w:val="24"/>
          <w:lang w:eastAsia="en-US"/>
        </w:rPr>
        <w:t xml:space="preserve">a článkom 6 ods. 2 </w:t>
      </w:r>
      <w:r>
        <w:rPr>
          <w:strike/>
          <w:szCs w:val="24"/>
          <w:lang w:eastAsia="en-US"/>
        </w:rPr>
        <w:t>v prípade jedného</w:t>
      </w:r>
      <w:r>
        <w:rPr>
          <w:szCs w:val="24"/>
          <w:lang w:eastAsia="en-US"/>
        </w:rPr>
        <w:t xml:space="preserve"> </w:t>
      </w:r>
      <w:r>
        <w:rPr>
          <w:b/>
          <w:i/>
          <w:szCs w:val="24"/>
          <w:lang w:eastAsia="en-US"/>
        </w:rPr>
        <w:t xml:space="preserve">vo vzťahu k jednému </w:t>
      </w:r>
      <w:r>
        <w:rPr>
          <w:szCs w:val="24"/>
          <w:lang w:eastAsia="en-US"/>
        </w:rPr>
        <w:t xml:space="preserve">alebo </w:t>
      </w:r>
      <w:r>
        <w:rPr>
          <w:strike/>
          <w:szCs w:val="24"/>
          <w:lang w:eastAsia="en-US"/>
        </w:rPr>
        <w:t xml:space="preserve">viacerých </w:t>
      </w:r>
      <w:r>
        <w:rPr>
          <w:b/>
          <w:i/>
          <w:szCs w:val="24"/>
          <w:lang w:eastAsia="en-US"/>
        </w:rPr>
        <w:t>viacerým</w:t>
      </w:r>
      <w:r>
        <w:rPr>
          <w:szCs w:val="24"/>
          <w:lang w:eastAsia="en-US"/>
        </w:rPr>
        <w:t xml:space="preserve"> z uvedených členských štátov, úrad vydá odôvodnené záporné stanovisko na základe prieskumu týkajúce sa udelenia jednotného osvedčenia. Úrad toto stanovisko oznámi žiadateľovi</w:t>
      </w:r>
      <w:r>
        <w:rPr>
          <w:b/>
          <w:i/>
          <w:szCs w:val="24"/>
          <w:lang w:eastAsia="en-US"/>
        </w:rPr>
        <w:t xml:space="preserve"> a bez zbytočného odkladu ho uverejní v registri</w:t>
      </w:r>
      <w:r>
        <w:rPr>
          <w:szCs w:val="24"/>
          <w:lang w:eastAsia="en-US"/>
        </w:rPr>
        <w:t xml:space="preserve">. </w:t>
      </w:r>
      <w:r>
        <w:rPr>
          <w:b/>
          <w:szCs w:val="24"/>
          <w:lang w:eastAsia="en-US"/>
        </w:rPr>
        <w:t>[PN 15]</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4.</w:t>
      </w:r>
      <w:r>
        <w:rPr>
          <w:szCs w:val="24"/>
          <w:lang w:eastAsia="en-US"/>
        </w:rPr>
        <w:tab/>
        <w:t>Stanovisko na základe prieskumu sa preloží do úradných jazykov všetkých členských štátov, v ktorý má základný patent jednotný účinok. Úrad môže na tento účel použiť overený strojový preklad.</w:t>
      </w:r>
    </w:p>
    <w:p>
      <w:pPr>
        <w:spacing w:before="120" w:after="120" w:line="360" w:lineRule="auto"/>
        <w:ind w:left="850" w:hanging="850"/>
        <w:rPr>
          <w:szCs w:val="24"/>
          <w:lang w:eastAsia="en-US"/>
        </w:rPr>
      </w:pPr>
      <w:r>
        <w:rPr>
          <w:szCs w:val="24"/>
          <w:lang w:eastAsia="en-US"/>
        </w:rPr>
        <w:t>5.</w:t>
      </w:r>
      <w:r>
        <w:rPr>
          <w:szCs w:val="24"/>
          <w:lang w:eastAsia="en-US"/>
        </w:rPr>
        <w:tab/>
        <w:t>Komisia je splnomocnená prijímať vykonávacie akty, v ktorých sa stanovujú pravidlá postupov podávania žiadostí a postupov týkajúcich sa spôsobu, akým prieskumové komisie skúmajú žiadosti o jednotné osvedčenia a vypracúvajú stanoviská na základe prieskumu, ako aj postupov úradu pri vydávaní stanovísk na základe prieskumu. Tieto vykonávacie akty sa prijmú v súlade s postupom prieskumu uvedeným v článku 50.</w:t>
      </w:r>
    </w:p>
    <w:p>
      <w:pPr>
        <w:spacing w:before="120" w:after="120" w:line="360" w:lineRule="auto"/>
        <w:jc w:val="center"/>
        <w:rPr>
          <w:szCs w:val="24"/>
          <w:lang w:eastAsia="en-US"/>
        </w:rPr>
      </w:pPr>
      <w:r>
        <w:rPr>
          <w:szCs w:val="24"/>
          <w:lang w:eastAsia="en-US"/>
        </w:rPr>
        <w:t>Článok 14</w:t>
      </w:r>
      <w:r>
        <w:rPr>
          <w:szCs w:val="24"/>
          <w:lang w:eastAsia="en-US"/>
        </w:rPr>
        <w:br/>
        <w:t>Pripomienky tretích strán</w:t>
      </w:r>
    </w:p>
    <w:p>
      <w:pPr>
        <w:spacing w:before="120" w:after="120" w:line="360" w:lineRule="auto"/>
        <w:ind w:left="850" w:hanging="850"/>
        <w:rPr>
          <w:szCs w:val="24"/>
          <w:lang w:eastAsia="en-US"/>
        </w:rPr>
      </w:pPr>
      <w:r>
        <w:rPr>
          <w:szCs w:val="24"/>
          <w:lang w:eastAsia="en-US"/>
        </w:rPr>
        <w:t>1.</w:t>
      </w:r>
      <w:r>
        <w:rPr>
          <w:szCs w:val="24"/>
          <w:lang w:eastAsia="en-US"/>
        </w:rPr>
        <w:tab/>
        <w:t>Každá fyzická alebo právnická osoba môže úradu predložiť písomné pripomienky týkajúce sa oprávnenosti výrobku, ktorého sa žiadosť týka, na dodatkovú ochranu v jednom alebo vo viacerých členských štátoch, v ktorých má základný patent jednotný účinok.</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2.</w:t>
      </w:r>
      <w:r>
        <w:rPr>
          <w:szCs w:val="24"/>
          <w:lang w:eastAsia="en-US"/>
        </w:rPr>
        <w:tab/>
        <w:t>Fyzická alebo právnická osoba, ktorá predložila písomné pripomienky v súlade s odsekom 1, nesmie byť účastníkom konania.</w:t>
      </w:r>
    </w:p>
    <w:p>
      <w:pPr>
        <w:spacing w:before="120" w:after="120" w:line="360" w:lineRule="auto"/>
        <w:ind w:left="850" w:hanging="850"/>
        <w:rPr>
          <w:szCs w:val="24"/>
          <w:lang w:eastAsia="en-US"/>
        </w:rPr>
      </w:pPr>
      <w:r>
        <w:rPr>
          <w:szCs w:val="24"/>
          <w:lang w:eastAsia="en-US"/>
        </w:rPr>
        <w:t>3.</w:t>
      </w:r>
      <w:r>
        <w:rPr>
          <w:szCs w:val="24"/>
          <w:lang w:eastAsia="en-US"/>
        </w:rPr>
        <w:tab/>
        <w:t>Pripomienky tretích strán sa musia predložiť do troch mesiacov od uverejnenia žiadosti v registri.</w:t>
      </w:r>
    </w:p>
    <w:p>
      <w:pPr>
        <w:spacing w:before="120" w:after="120" w:line="360" w:lineRule="auto"/>
        <w:ind w:left="850" w:hanging="850"/>
        <w:rPr>
          <w:szCs w:val="24"/>
          <w:lang w:eastAsia="en-US"/>
        </w:rPr>
      </w:pPr>
      <w:r>
        <w:rPr>
          <w:szCs w:val="24"/>
          <w:lang w:eastAsia="en-US"/>
        </w:rPr>
        <w:t>4.</w:t>
      </w:r>
      <w:r>
        <w:rPr>
          <w:szCs w:val="24"/>
          <w:lang w:eastAsia="en-US"/>
        </w:rPr>
        <w:tab/>
        <w:t>Všetky pripomienky tretích strán sa prekladajú písomne v jednom z úradných jazykov Únie a uvádzajú sa v nich dôvody, na ktorých sa zakladajú.</w:t>
      </w:r>
    </w:p>
    <w:p>
      <w:pPr>
        <w:spacing w:before="120" w:after="120" w:line="360" w:lineRule="auto"/>
        <w:ind w:left="850" w:hanging="850"/>
        <w:rPr>
          <w:szCs w:val="24"/>
          <w:lang w:eastAsia="en-US"/>
        </w:rPr>
      </w:pPr>
      <w:r>
        <w:rPr>
          <w:szCs w:val="24"/>
          <w:lang w:eastAsia="en-US"/>
        </w:rPr>
        <w:t>5.</w:t>
      </w:r>
      <w:r>
        <w:rPr>
          <w:szCs w:val="24"/>
          <w:lang w:eastAsia="en-US"/>
        </w:rPr>
        <w:tab/>
        <w:t>Všetky pripomienky tretích strán sa oznámia žiadateľovi. Žiadateľ sa môže k pripomienkam vyjadriť v lehote stanovenej úradom.</w:t>
      </w:r>
    </w:p>
    <w:p>
      <w:pPr>
        <w:spacing w:before="120" w:after="120" w:line="360" w:lineRule="auto"/>
        <w:jc w:val="center"/>
        <w:rPr>
          <w:szCs w:val="24"/>
          <w:lang w:eastAsia="en-US"/>
        </w:rPr>
      </w:pPr>
      <w:r>
        <w:rPr>
          <w:szCs w:val="24"/>
          <w:lang w:eastAsia="en-US"/>
        </w:rPr>
        <w:t>Článok 15</w:t>
      </w:r>
      <w:r>
        <w:rPr>
          <w:szCs w:val="24"/>
          <w:lang w:eastAsia="en-US"/>
        </w:rPr>
        <w:br/>
        <w:t>Námietka</w:t>
      </w:r>
    </w:p>
    <w:p>
      <w:pPr>
        <w:spacing w:before="120" w:after="120" w:line="360" w:lineRule="auto"/>
        <w:ind w:left="850" w:hanging="850"/>
        <w:rPr>
          <w:szCs w:val="24"/>
          <w:lang w:eastAsia="en-US"/>
        </w:rPr>
      </w:pPr>
      <w:r>
        <w:rPr>
          <w:szCs w:val="24"/>
          <w:lang w:eastAsia="en-US"/>
        </w:rPr>
        <w:t>1.</w:t>
      </w:r>
      <w:r>
        <w:rPr>
          <w:szCs w:val="24"/>
          <w:lang w:eastAsia="en-US"/>
        </w:rPr>
        <w:tab/>
        <w:t>V lehote dvoch mesiacov od uverejnenia stanoviska na základe prieskumu týkajúceho sa žiadosti o jednotné osvedčenie môže akákoľvek osoba (ďalej len „namietateľ“) podať úradu oznámenie o námietke proti danému stanovisku.</w:t>
      </w:r>
    </w:p>
    <w:p>
      <w:pPr>
        <w:spacing w:before="120" w:after="120" w:line="360" w:lineRule="auto"/>
        <w:ind w:left="850" w:hanging="850"/>
        <w:rPr>
          <w:szCs w:val="24"/>
          <w:lang w:eastAsia="en-US"/>
        </w:rPr>
      </w:pPr>
      <w:r>
        <w:rPr>
          <w:szCs w:val="24"/>
          <w:lang w:eastAsia="en-US"/>
        </w:rPr>
        <w:t>2.</w:t>
      </w:r>
      <w:r>
        <w:rPr>
          <w:szCs w:val="24"/>
          <w:lang w:eastAsia="en-US"/>
        </w:rPr>
        <w:tab/>
        <w:t>Námietku možno podať len z dôvodu nesplnenia jednej alebo viacerých podmienok stanovených v článku 3 v prípade jedného alebo viacerých členských štátov, v ktorých má základný patent jednotný účinok.</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3.</w:t>
      </w:r>
      <w:r>
        <w:rPr>
          <w:szCs w:val="24"/>
          <w:lang w:eastAsia="en-US"/>
        </w:rPr>
        <w:tab/>
        <w:t>Námietka sa podáva písomne a musia sa v nej uvádzať dôvody, na ktorých sa zakladá. Námietka sa považuje za riadne podanú až po zaplatení poplatku za podanie námietky.</w:t>
      </w:r>
    </w:p>
    <w:p>
      <w:pPr>
        <w:spacing w:before="120" w:after="120" w:line="360" w:lineRule="auto"/>
        <w:ind w:left="850" w:hanging="850"/>
        <w:rPr>
          <w:szCs w:val="24"/>
          <w:lang w:eastAsia="en-US"/>
        </w:rPr>
      </w:pPr>
      <w:r>
        <w:rPr>
          <w:szCs w:val="24"/>
          <w:lang w:eastAsia="en-US"/>
        </w:rPr>
        <w:t>4.</w:t>
      </w:r>
      <w:r>
        <w:rPr>
          <w:szCs w:val="24"/>
          <w:lang w:eastAsia="en-US"/>
        </w:rPr>
        <w:tab/>
        <w:t>Oznámenie o námietke obsahuje:</w:t>
      </w:r>
    </w:p>
    <w:p>
      <w:pPr>
        <w:spacing w:before="120" w:after="120" w:line="360" w:lineRule="auto"/>
        <w:ind w:left="1416" w:hanging="566"/>
        <w:rPr>
          <w:szCs w:val="24"/>
          <w:lang w:eastAsia="en-US"/>
        </w:rPr>
      </w:pPr>
      <w:r>
        <w:rPr>
          <w:szCs w:val="24"/>
          <w:lang w:eastAsia="en-US"/>
        </w:rPr>
        <w:t>a)</w:t>
      </w:r>
      <w:r>
        <w:rPr>
          <w:szCs w:val="24"/>
          <w:lang w:eastAsia="en-US"/>
        </w:rPr>
        <w:tab/>
        <w:t>odkazy na žiadosť o jednotné osvedčenie, proti ktorej sa podáva námietka, meno držiteľa žiadosti a identifikáciu výrobku;</w:t>
      </w:r>
    </w:p>
    <w:p>
      <w:pPr>
        <w:spacing w:before="120" w:after="120" w:line="360" w:lineRule="auto"/>
        <w:ind w:left="1416" w:hanging="566"/>
        <w:rPr>
          <w:szCs w:val="24"/>
          <w:lang w:eastAsia="en-US"/>
        </w:rPr>
      </w:pPr>
      <w:r>
        <w:rPr>
          <w:szCs w:val="24"/>
          <w:lang w:eastAsia="en-US"/>
        </w:rPr>
        <w:t>b)</w:t>
      </w:r>
      <w:r>
        <w:rPr>
          <w:szCs w:val="24"/>
          <w:lang w:eastAsia="en-US"/>
        </w:rPr>
        <w:tab/>
        <w:t>údaje o namietateľovi a prípadne aj o jeho zástupcovi;</w:t>
      </w:r>
    </w:p>
    <w:p>
      <w:pPr>
        <w:spacing w:before="120" w:after="120" w:line="360" w:lineRule="auto"/>
        <w:ind w:left="1416" w:hanging="566"/>
        <w:rPr>
          <w:szCs w:val="24"/>
          <w:lang w:eastAsia="en-US"/>
        </w:rPr>
      </w:pPr>
      <w:r>
        <w:rPr>
          <w:szCs w:val="24"/>
          <w:lang w:eastAsia="en-US"/>
        </w:rPr>
        <w:t>c)</w:t>
      </w:r>
      <w:r>
        <w:rPr>
          <w:szCs w:val="24"/>
          <w:lang w:eastAsia="en-US"/>
        </w:rPr>
        <w:tab/>
        <w:t>vyhlásenie o rozsahu, v akom sa namieta proti stanovisku na základe prieskumu, a o dôvodoch, na ktorých je námietka založená</w:t>
      </w:r>
      <w:r>
        <w:rPr>
          <w:strike/>
          <w:szCs w:val="24"/>
          <w:lang w:eastAsia="en-US"/>
        </w:rPr>
        <w:t>.</w:t>
      </w:r>
      <w:r>
        <w:rPr>
          <w:b/>
          <w:i/>
          <w:szCs w:val="24"/>
          <w:lang w:eastAsia="en-US"/>
        </w:rPr>
        <w:t>;</w:t>
      </w:r>
    </w:p>
    <w:p>
      <w:pPr>
        <w:spacing w:before="120" w:after="120" w:line="360" w:lineRule="auto"/>
        <w:ind w:left="1416" w:hanging="566"/>
        <w:rPr>
          <w:szCs w:val="24"/>
          <w:lang w:eastAsia="en-US"/>
        </w:rPr>
      </w:pPr>
      <w:r>
        <w:rPr>
          <w:b/>
          <w:i/>
          <w:szCs w:val="24"/>
          <w:lang w:eastAsia="en-US"/>
        </w:rPr>
        <w:t>ca)</w:t>
      </w:r>
      <w:r>
        <w:rPr>
          <w:szCs w:val="24"/>
          <w:lang w:eastAsia="en-US"/>
        </w:rPr>
        <w:tab/>
      </w:r>
      <w:r>
        <w:rPr>
          <w:b/>
          <w:i/>
          <w:szCs w:val="24"/>
          <w:lang w:eastAsia="en-US"/>
        </w:rPr>
        <w:t xml:space="preserve">akýkoľvek dôkaz, ktorý uvádza namietateľ na podporu námietky. </w:t>
      </w:r>
      <w:r>
        <w:rPr>
          <w:b/>
          <w:szCs w:val="24"/>
          <w:lang w:eastAsia="en-US"/>
        </w:rPr>
        <w:t>[PN 16]</w:t>
      </w:r>
    </w:p>
    <w:p>
      <w:pPr>
        <w:spacing w:before="120" w:after="120" w:line="360" w:lineRule="auto"/>
        <w:ind w:left="850" w:hanging="850"/>
        <w:rPr>
          <w:szCs w:val="24"/>
          <w:lang w:eastAsia="en-US"/>
        </w:rPr>
      </w:pPr>
      <w:r>
        <w:rPr>
          <w:szCs w:val="24"/>
          <w:lang w:eastAsia="en-US"/>
        </w:rPr>
        <w:t>5.</w:t>
      </w:r>
      <w:r>
        <w:rPr>
          <w:szCs w:val="24"/>
          <w:lang w:eastAsia="en-US"/>
        </w:rPr>
        <w:tab/>
        <w:t>Námietku preskúma komisia pre námietky zriadená úradom v súlade s pravidlami uplatniteľnými pre prieskumové komisie, ako sa uvádza v článku 17. Komisia pre námietky však nesmie zahŕňať žiadneho prieskumového pracovníka, ktorý bol predtým zapojený do prieskumovej komisie, ktorá skúmala danú žiadosť o jednotné osvedčenie.</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6.</w:t>
      </w:r>
      <w:r>
        <w:rPr>
          <w:szCs w:val="24"/>
          <w:lang w:eastAsia="en-US"/>
        </w:rPr>
        <w:tab/>
        <w:t xml:space="preserve">Ak komisia pre námietky skonštatuje, že oznámenie o námietke nie je v súlade s odsekmi 2, 3 alebo 4, zamietne námietku ako neprípustnú a oznámi </w:t>
      </w:r>
      <w:r>
        <w:rPr>
          <w:strike/>
          <w:szCs w:val="24"/>
          <w:lang w:eastAsia="en-US"/>
        </w:rPr>
        <w:t xml:space="preserve">to </w:t>
      </w:r>
      <w:r>
        <w:rPr>
          <w:szCs w:val="24"/>
          <w:lang w:eastAsia="en-US"/>
        </w:rPr>
        <w:t>namietateľovi</w:t>
      </w:r>
      <w:r>
        <w:rPr>
          <w:b/>
          <w:i/>
          <w:szCs w:val="24"/>
          <w:lang w:eastAsia="en-US"/>
        </w:rPr>
        <w:t xml:space="preserve"> svoje rozhodnutie a jeho odôvodnenie</w:t>
      </w:r>
      <w:r>
        <w:rPr>
          <w:szCs w:val="24"/>
          <w:lang w:eastAsia="en-US"/>
        </w:rPr>
        <w:t xml:space="preserve">, pokiaľ sa dané nedostatky neodstránia pred uplynutím lehoty na podanie námietok uvedenej v odseku 1. </w:t>
      </w:r>
      <w:r>
        <w:rPr>
          <w:b/>
          <w:szCs w:val="24"/>
          <w:lang w:eastAsia="en-US"/>
        </w:rPr>
        <w:t>[PN 17]</w:t>
      </w:r>
    </w:p>
    <w:p>
      <w:pPr>
        <w:spacing w:before="120" w:after="120" w:line="360" w:lineRule="auto"/>
        <w:ind w:left="850" w:hanging="850"/>
        <w:rPr>
          <w:szCs w:val="24"/>
          <w:lang w:eastAsia="en-US"/>
        </w:rPr>
      </w:pPr>
      <w:r>
        <w:rPr>
          <w:szCs w:val="24"/>
          <w:lang w:eastAsia="en-US"/>
        </w:rPr>
        <w:t>7.</w:t>
      </w:r>
      <w:r>
        <w:rPr>
          <w:szCs w:val="24"/>
          <w:lang w:eastAsia="en-US"/>
        </w:rPr>
        <w:tab/>
        <w:t>Rozhodnutie zamietnuť námietku ako neprípustnú sa oznámi držiteľovi žiadosti o jednotné osvedčenie spolu s kópiou oznámenia o námietke.</w:t>
      </w:r>
    </w:p>
    <w:p>
      <w:pPr>
        <w:spacing w:before="120" w:after="120" w:line="360" w:lineRule="auto"/>
        <w:ind w:left="850" w:hanging="850"/>
        <w:rPr>
          <w:szCs w:val="24"/>
          <w:lang w:eastAsia="en-US"/>
        </w:rPr>
      </w:pPr>
      <w:r>
        <w:rPr>
          <w:szCs w:val="24"/>
          <w:lang w:eastAsia="en-US"/>
        </w:rPr>
        <w:t>8.</w:t>
      </w:r>
      <w:r>
        <w:rPr>
          <w:szCs w:val="24"/>
          <w:lang w:eastAsia="en-US"/>
        </w:rPr>
        <w:tab/>
        <w:t>Oznámenie o námietke je neprípustné, ak o predchádzajúcom odvolaní týkajúcom sa rovnakého predmetu a právnej veci rozhodol úrad vo veci samej a rozhodnutie úradu o tomto odvolaní nadobudlo právoplatnosť.</w:t>
      </w:r>
    </w:p>
    <w:p>
      <w:pPr>
        <w:spacing w:before="120" w:after="120" w:line="360" w:lineRule="auto"/>
        <w:ind w:left="850" w:hanging="850"/>
        <w:rPr>
          <w:szCs w:val="24"/>
          <w:lang w:eastAsia="en-US"/>
        </w:rPr>
      </w:pPr>
      <w:r>
        <w:rPr>
          <w:szCs w:val="24"/>
          <w:lang w:eastAsia="en-US"/>
        </w:rPr>
        <w:t>9.</w:t>
      </w:r>
      <w:r>
        <w:rPr>
          <w:szCs w:val="24"/>
          <w:lang w:eastAsia="en-US"/>
        </w:rPr>
        <w:tab/>
        <w:t>Ak sa námietka nezamietne ako neprípustná, úrad bezodkladne zašle žiadateľovi oznámenie o námietke a uverejní ho v registri. Ak bolo podaných viacero oznámení o námietke, úrad ich bezodkladne oznámi ostatným namietateľom.</w:t>
      </w:r>
    </w:p>
    <w:p>
      <w:pPr>
        <w:widowControl/>
        <w:rPr>
          <w:b/>
          <w:i/>
          <w:szCs w:val="24"/>
          <w:lang w:eastAsia="en-US"/>
        </w:rPr>
      </w:pPr>
      <w:r>
        <w:rPr>
          <w:b/>
          <w:i/>
          <w:szCs w:val="24"/>
          <w:lang w:eastAsia="en-US"/>
        </w:rPr>
        <w:br w:type="page"/>
      </w:r>
    </w:p>
    <w:p>
      <w:pPr>
        <w:spacing w:before="120" w:after="120" w:line="360" w:lineRule="auto"/>
        <w:ind w:left="850" w:hanging="850"/>
        <w:rPr>
          <w:szCs w:val="24"/>
          <w:lang w:eastAsia="en-US"/>
        </w:rPr>
      </w:pPr>
      <w:r>
        <w:rPr>
          <w:b/>
          <w:i/>
          <w:szCs w:val="24"/>
          <w:lang w:eastAsia="en-US"/>
        </w:rPr>
        <w:lastRenderedPageBreak/>
        <w:t>9a.</w:t>
      </w:r>
      <w:r>
        <w:rPr>
          <w:szCs w:val="24"/>
          <w:lang w:eastAsia="en-US"/>
        </w:rPr>
        <w:tab/>
      </w:r>
      <w:r>
        <w:rPr>
          <w:b/>
          <w:i/>
          <w:szCs w:val="24"/>
          <w:lang w:eastAsia="en-US"/>
        </w:rPr>
        <w:t xml:space="preserve">V prípadoch, keď bolo proti stanovisku na základe prieskumu podaných niekoľko námietok, sa úrad týmito námietkami zaoberá spoločne a vydá jedno rozhodnutie týkajúce sa všetkých podaných námietok. </w:t>
      </w:r>
      <w:r>
        <w:rPr>
          <w:b/>
          <w:szCs w:val="24"/>
          <w:lang w:eastAsia="en-US"/>
        </w:rPr>
        <w:t>[PN 18]</w:t>
      </w:r>
    </w:p>
    <w:p>
      <w:pPr>
        <w:spacing w:before="120" w:after="120" w:line="360" w:lineRule="auto"/>
        <w:ind w:left="850" w:hanging="850"/>
        <w:rPr>
          <w:szCs w:val="24"/>
          <w:lang w:eastAsia="en-US"/>
        </w:rPr>
      </w:pPr>
      <w:r>
        <w:rPr>
          <w:szCs w:val="24"/>
          <w:lang w:eastAsia="en-US"/>
        </w:rPr>
        <w:t>10.</w:t>
      </w:r>
      <w:r>
        <w:rPr>
          <w:szCs w:val="24"/>
          <w:lang w:eastAsia="en-US"/>
        </w:rPr>
        <w:tab/>
        <w:t>Úrad vydá rozhodnutie o námietke</w:t>
      </w:r>
      <w:r>
        <w:rPr>
          <w:b/>
          <w:i/>
          <w:szCs w:val="24"/>
          <w:lang w:eastAsia="en-US"/>
        </w:rPr>
        <w:t xml:space="preserve"> vrátane podrobného odôvodnenia tohto rozhodnutia</w:t>
      </w:r>
      <w:r>
        <w:rPr>
          <w:szCs w:val="24"/>
          <w:lang w:eastAsia="en-US"/>
        </w:rPr>
        <w:t xml:space="preserve"> do šiestich mesiacov, pokiaľ si zložitosť prípadu nevyžaduje dlhšiu lehotu. </w:t>
      </w:r>
      <w:r>
        <w:rPr>
          <w:b/>
          <w:szCs w:val="24"/>
          <w:lang w:eastAsia="en-US"/>
        </w:rPr>
        <w:t>[PN 19]</w:t>
      </w:r>
    </w:p>
    <w:p>
      <w:pPr>
        <w:spacing w:before="120" w:after="120" w:line="360" w:lineRule="auto"/>
        <w:ind w:left="850" w:hanging="850"/>
        <w:rPr>
          <w:szCs w:val="24"/>
          <w:lang w:eastAsia="en-US"/>
        </w:rPr>
      </w:pPr>
      <w:r>
        <w:rPr>
          <w:szCs w:val="24"/>
          <w:lang w:eastAsia="en-US"/>
        </w:rPr>
        <w:t>11.</w:t>
      </w:r>
      <w:r>
        <w:rPr>
          <w:szCs w:val="24"/>
          <w:lang w:eastAsia="en-US"/>
        </w:rPr>
        <w:tab/>
        <w:t>Ak sa komisia pre námietky domnieva, že žiadny dôvod námietky nedokáže ovplyvniť zmenu stanoviska na základe prieskumu, námietku zamietne</w:t>
      </w:r>
      <w:r>
        <w:rPr>
          <w:b/>
          <w:i/>
          <w:szCs w:val="24"/>
          <w:lang w:eastAsia="en-US"/>
        </w:rPr>
        <w:t>, oznámi namietateľovi svoje rozhodnutie</w:t>
      </w:r>
      <w:r>
        <w:rPr>
          <w:szCs w:val="24"/>
          <w:lang w:eastAsia="en-US"/>
        </w:rPr>
        <w:t xml:space="preserve"> a úrad to uvedie v registri. </w:t>
      </w:r>
      <w:r>
        <w:rPr>
          <w:b/>
          <w:szCs w:val="24"/>
          <w:lang w:eastAsia="en-US"/>
        </w:rPr>
        <w:t>[PN 20]</w:t>
      </w:r>
    </w:p>
    <w:p>
      <w:pPr>
        <w:spacing w:before="120" w:after="120" w:line="360" w:lineRule="auto"/>
        <w:ind w:left="850" w:hanging="850"/>
        <w:rPr>
          <w:szCs w:val="24"/>
          <w:lang w:eastAsia="en-US"/>
        </w:rPr>
      </w:pPr>
      <w:r>
        <w:rPr>
          <w:szCs w:val="24"/>
          <w:lang w:eastAsia="en-US"/>
        </w:rPr>
        <w:t>12.</w:t>
      </w:r>
      <w:r>
        <w:rPr>
          <w:szCs w:val="24"/>
          <w:lang w:eastAsia="en-US"/>
        </w:rPr>
        <w:tab/>
        <w:t>Ak sa komisia pre námietky domnieva, že aspoň jeden dôvod námietky dokáže ovplyvniť zmenu stanoviska na základe prieskumu, prijme zmenené stanovisko a úrad to uvedie v registri.</w:t>
      </w:r>
    </w:p>
    <w:p>
      <w:pPr>
        <w:spacing w:before="120" w:after="120" w:line="360" w:lineRule="auto"/>
        <w:ind w:left="850" w:hanging="850"/>
        <w:rPr>
          <w:szCs w:val="24"/>
          <w:lang w:eastAsia="en-US"/>
        </w:rPr>
      </w:pPr>
      <w:r>
        <w:rPr>
          <w:b/>
          <w:i/>
          <w:szCs w:val="24"/>
          <w:lang w:eastAsia="en-US"/>
        </w:rPr>
        <w:t>12a.</w:t>
      </w:r>
      <w:r>
        <w:rPr>
          <w:szCs w:val="24"/>
          <w:lang w:eastAsia="en-US"/>
        </w:rPr>
        <w:tab/>
      </w:r>
      <w:r>
        <w:rPr>
          <w:b/>
          <w:i/>
          <w:szCs w:val="24"/>
          <w:lang w:eastAsia="en-US"/>
        </w:rPr>
        <w:t xml:space="preserve">Zabezpečí sa úplná transparentnosť počas celého námietkového konania, ktoré je podľa možnosti otvorené účasti verejnosti. </w:t>
      </w:r>
      <w:r>
        <w:rPr>
          <w:b/>
          <w:szCs w:val="24"/>
          <w:lang w:eastAsia="en-US"/>
        </w:rPr>
        <w:t>[PN 21]</w:t>
      </w:r>
    </w:p>
    <w:p>
      <w:pPr>
        <w:spacing w:before="120" w:after="120" w:line="360" w:lineRule="auto"/>
        <w:ind w:left="850" w:hanging="850"/>
        <w:rPr>
          <w:szCs w:val="24"/>
          <w:lang w:eastAsia="en-US"/>
        </w:rPr>
      </w:pPr>
      <w:r>
        <w:rPr>
          <w:szCs w:val="24"/>
          <w:lang w:eastAsia="en-US"/>
        </w:rPr>
        <w:t>13.</w:t>
      </w:r>
      <w:r>
        <w:rPr>
          <w:szCs w:val="24"/>
          <w:lang w:eastAsia="en-US"/>
        </w:rPr>
        <w:tab/>
        <w:t>Komisia je splnomocnená prijímať delegované akty v súlade s článkom 49 s cieľom doplniť toto nariadenie špecifikovaním podrobností postupu podávania a prieskumu námietok.</w:t>
      </w:r>
    </w:p>
    <w:p>
      <w:pPr>
        <w:widowControl/>
        <w:rPr>
          <w:szCs w:val="24"/>
          <w:lang w:eastAsia="en-US"/>
        </w:rPr>
      </w:pPr>
      <w:r>
        <w:rPr>
          <w:szCs w:val="24"/>
          <w:lang w:eastAsia="en-US"/>
        </w:rPr>
        <w:br w:type="page"/>
      </w:r>
    </w:p>
    <w:p>
      <w:pPr>
        <w:spacing w:before="120" w:after="120" w:line="360" w:lineRule="auto"/>
        <w:jc w:val="center"/>
        <w:rPr>
          <w:szCs w:val="24"/>
          <w:lang w:eastAsia="en-US"/>
        </w:rPr>
      </w:pPr>
      <w:r>
        <w:rPr>
          <w:szCs w:val="24"/>
          <w:lang w:eastAsia="en-US"/>
        </w:rPr>
        <w:lastRenderedPageBreak/>
        <w:t>Článok 16</w:t>
      </w:r>
      <w:r>
        <w:rPr>
          <w:szCs w:val="24"/>
          <w:lang w:eastAsia="en-US"/>
        </w:rPr>
        <w:br/>
        <w:t>Úloha príslušných vnútroštátnych orgánov</w:t>
      </w:r>
    </w:p>
    <w:p>
      <w:pPr>
        <w:spacing w:before="120" w:after="120" w:line="360" w:lineRule="auto"/>
        <w:ind w:left="850" w:hanging="850"/>
        <w:rPr>
          <w:szCs w:val="24"/>
          <w:lang w:eastAsia="en-US"/>
        </w:rPr>
      </w:pPr>
      <w:r>
        <w:rPr>
          <w:szCs w:val="24"/>
          <w:lang w:eastAsia="en-US"/>
        </w:rPr>
        <w:t>1.</w:t>
      </w:r>
      <w:r>
        <w:rPr>
          <w:szCs w:val="24"/>
          <w:lang w:eastAsia="en-US"/>
        </w:rPr>
        <w:tab/>
        <w:t>Na žiadosť predloženú úradu môže úrad vymenovať akýkoľvek príslušný vnútroštátny orgán za úrad zúčastnený na postupe prieskumu. Po vymenovaní príslušného vnútroštátneho orgánu v súlade s týmto článkom určí tento orgán jedného alebo viacerých prieskumových pracovníkov, ktorí budú zapojení do prieskumu jednej alebo viacerých žiadostí o jednotné osvedčenia</w:t>
      </w:r>
      <w:r>
        <w:rPr>
          <w:b/>
          <w:i/>
          <w:szCs w:val="24"/>
          <w:lang w:eastAsia="en-US"/>
        </w:rPr>
        <w:t xml:space="preserve"> na základe príslušných odborných znalostí a dostatočných skúseností, ktoré sa vyžadujú v súvislosti s centralizovaným postupom prieskumu</w:t>
      </w:r>
      <w:r>
        <w:rPr>
          <w:szCs w:val="24"/>
          <w:lang w:eastAsia="en-US"/>
        </w:rPr>
        <w:t xml:space="preserve">. </w:t>
      </w:r>
      <w:r>
        <w:rPr>
          <w:b/>
          <w:szCs w:val="24"/>
          <w:lang w:eastAsia="en-US"/>
        </w:rPr>
        <w:t>[PN 22]</w:t>
      </w:r>
    </w:p>
    <w:p>
      <w:pPr>
        <w:spacing w:before="120" w:after="120" w:line="360" w:lineRule="auto"/>
        <w:ind w:left="850" w:hanging="850"/>
        <w:rPr>
          <w:szCs w:val="24"/>
          <w:lang w:eastAsia="en-US"/>
        </w:rPr>
      </w:pPr>
      <w:r>
        <w:rPr>
          <w:szCs w:val="24"/>
          <w:lang w:eastAsia="en-US"/>
        </w:rPr>
        <w:t>2.</w:t>
      </w:r>
      <w:r>
        <w:rPr>
          <w:szCs w:val="24"/>
          <w:lang w:eastAsia="en-US"/>
        </w:rPr>
        <w:tab/>
        <w:t>Pred vymenovaním tohto príslušného vnútroštátneho orgánu za zúčastnený úrad, ako sa uvádza v odseku 1, úrad a príslušný vnútroštátny orgán uzavrú administratívnu dohodu</w:t>
      </w:r>
    </w:p>
    <w:p>
      <w:pPr>
        <w:spacing w:before="120" w:after="120" w:line="360" w:lineRule="auto"/>
        <w:ind w:left="850"/>
        <w:rPr>
          <w:szCs w:val="24"/>
          <w:lang w:eastAsia="en-US"/>
        </w:rPr>
      </w:pPr>
      <w:r>
        <w:rPr>
          <w:szCs w:val="24"/>
          <w:lang w:eastAsia="en-US"/>
        </w:rPr>
        <w:t>V dohode sa stanovia práva a povinnosti zmluvných strán, najmä formálny záväzok dotknutého príslušného vnútroštátneho orgánu dodržiavať toto nariadenie, pokiaľ ide o prieskum žiadostí o jednotné osvedčenia.</w:t>
      </w:r>
    </w:p>
    <w:p>
      <w:pPr>
        <w:spacing w:before="120" w:after="120" w:line="360" w:lineRule="auto"/>
        <w:ind w:left="850" w:hanging="850"/>
        <w:rPr>
          <w:szCs w:val="24"/>
          <w:lang w:eastAsia="en-US"/>
        </w:rPr>
      </w:pPr>
      <w:r>
        <w:rPr>
          <w:szCs w:val="24"/>
          <w:lang w:eastAsia="en-US"/>
        </w:rPr>
        <w:t>3.</w:t>
      </w:r>
      <w:r>
        <w:rPr>
          <w:szCs w:val="24"/>
          <w:lang w:eastAsia="en-US"/>
        </w:rPr>
        <w:tab/>
        <w:t>Úrad môže vymenovať príslušný vnútroštátny orgán za zúčastnený úrad, ako sa uvádza v odseku 1, a to na päť rokov. Toto vymenovanie sa môže predlžovať o ďalšie päťročné obdobia.</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4.</w:t>
      </w:r>
      <w:r>
        <w:rPr>
          <w:szCs w:val="24"/>
          <w:lang w:eastAsia="en-US"/>
        </w:rPr>
        <w:tab/>
        <w:t>Úrad pred vymenovaním príslušného vnútroštátneho orgánu alebo predĺžením jeho vymenovania alebo pred uplynutím platnosti takéhoto vymenovania vypočuje dotknutý príslušný vnútroštátny orgán.</w:t>
      </w:r>
    </w:p>
    <w:p>
      <w:pPr>
        <w:spacing w:before="120" w:after="120" w:line="360" w:lineRule="auto"/>
        <w:ind w:left="850" w:hanging="850"/>
        <w:rPr>
          <w:szCs w:val="24"/>
          <w:lang w:eastAsia="en-US"/>
        </w:rPr>
      </w:pPr>
      <w:r>
        <w:rPr>
          <w:szCs w:val="24"/>
          <w:lang w:eastAsia="en-US"/>
        </w:rPr>
        <w:t>5.</w:t>
      </w:r>
      <w:r>
        <w:rPr>
          <w:szCs w:val="24"/>
          <w:lang w:eastAsia="en-US"/>
        </w:rPr>
        <w:tab/>
        <w:t>Každý príslušný vnútroštátny orgán vymenovaný podľa tohto článku poskytne úradu zoznam, v ktorom uvedie jednotlivých prieskumových pracovníkov, ktorí sú k dispozícii na účasť na prieskumovom a námietkovom konaní a na konaní o vyhlásením neplatnosti. Každý takýto príslušný vnútroštátny orgán tento zoznam v prípade zmien aktualizuje.</w:t>
      </w:r>
    </w:p>
    <w:p>
      <w:pPr>
        <w:spacing w:before="120" w:after="120" w:line="360" w:lineRule="auto"/>
        <w:jc w:val="center"/>
        <w:rPr>
          <w:szCs w:val="24"/>
          <w:lang w:eastAsia="en-US"/>
        </w:rPr>
      </w:pPr>
      <w:r>
        <w:rPr>
          <w:szCs w:val="24"/>
          <w:lang w:eastAsia="en-US"/>
        </w:rPr>
        <w:t>Článok 17</w:t>
      </w:r>
      <w:r>
        <w:rPr>
          <w:szCs w:val="24"/>
          <w:lang w:eastAsia="en-US"/>
        </w:rPr>
        <w:br/>
        <w:t>Prieskumové komisie</w:t>
      </w:r>
    </w:p>
    <w:p>
      <w:pPr>
        <w:spacing w:before="120" w:after="120" w:line="360" w:lineRule="auto"/>
        <w:ind w:left="850" w:hanging="850"/>
        <w:rPr>
          <w:szCs w:val="24"/>
          <w:lang w:eastAsia="en-US"/>
        </w:rPr>
      </w:pPr>
      <w:r>
        <w:rPr>
          <w:szCs w:val="24"/>
          <w:lang w:eastAsia="en-US"/>
        </w:rPr>
        <w:t>1.</w:t>
      </w:r>
      <w:r>
        <w:rPr>
          <w:szCs w:val="24"/>
          <w:lang w:eastAsia="en-US"/>
        </w:rPr>
        <w:tab/>
        <w:t>Posúdenia podľa článkov 13, 15 a 22 vedie pod dohľadom úradu prieskumová komisia vrátane jedného člena úradu, ako aj dvoch prieskumových pracovníkov uvedených v článku 16 ods. 1 z dvoch rôznych zúčastnených príslušných vnútroštátnych orgánov.</w:t>
      </w:r>
    </w:p>
    <w:p>
      <w:pPr>
        <w:spacing w:before="120" w:after="120" w:line="360" w:lineRule="auto"/>
        <w:ind w:left="850" w:hanging="850"/>
        <w:rPr>
          <w:szCs w:val="24"/>
          <w:lang w:eastAsia="en-US"/>
        </w:rPr>
      </w:pPr>
      <w:r>
        <w:rPr>
          <w:szCs w:val="24"/>
          <w:lang w:eastAsia="en-US"/>
        </w:rPr>
        <w:t>2.</w:t>
      </w:r>
      <w:r>
        <w:rPr>
          <w:szCs w:val="24"/>
          <w:lang w:eastAsia="en-US"/>
        </w:rPr>
        <w:tab/>
        <w:t>Prieskumoví pracovníci musia byť pri výkone svojich povinností nestranní a pri svojom vymenovaní oznámiť úradu akýkoľvek skutočný alebo vnímaný konflikt záujmov.</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3.</w:t>
      </w:r>
      <w:r>
        <w:rPr>
          <w:szCs w:val="24"/>
          <w:lang w:eastAsia="en-US"/>
        </w:rPr>
        <w:tab/>
        <w:t>Pri zriaďovaní prieskumovej komisie úrad zabezpečí:</w:t>
      </w:r>
    </w:p>
    <w:p>
      <w:pPr>
        <w:spacing w:before="120" w:after="120" w:line="360" w:lineRule="auto"/>
        <w:ind w:left="1416" w:hanging="566"/>
        <w:rPr>
          <w:szCs w:val="24"/>
          <w:lang w:eastAsia="en-US"/>
        </w:rPr>
      </w:pPr>
      <w:r>
        <w:rPr>
          <w:szCs w:val="24"/>
          <w:lang w:eastAsia="en-US"/>
        </w:rPr>
        <w:t>a)</w:t>
      </w:r>
      <w:r>
        <w:rPr>
          <w:szCs w:val="24"/>
          <w:lang w:eastAsia="en-US"/>
        </w:rPr>
        <w:tab/>
      </w:r>
      <w:r>
        <w:rPr>
          <w:strike/>
          <w:szCs w:val="24"/>
          <w:lang w:eastAsia="en-US"/>
        </w:rPr>
        <w:t>geografickú vyváženosť medzi zúčastnenými úradmi</w:t>
      </w:r>
      <w:r>
        <w:rPr>
          <w:b/>
          <w:i/>
          <w:szCs w:val="24"/>
          <w:lang w:eastAsia="en-US"/>
        </w:rPr>
        <w:t>príslušné odborné znalosti a dostatočné skúsenosti s prieskumom patentov a dodatkových ochranných osvedčení, pričom sa najmä zabezpečí, aby aspoň jeden prieskumový pracovník mal minimálne päťročné skúsenosti s prieskumom patentov a dodatkových ochranných osvedčení</w:t>
      </w:r>
      <w:r>
        <w:rPr>
          <w:szCs w:val="24"/>
          <w:lang w:eastAsia="en-US"/>
        </w:rPr>
        <w:t>;</w:t>
      </w:r>
      <w:r>
        <w:rPr>
          <w:b/>
          <w:i/>
          <w:szCs w:val="24"/>
          <w:lang w:eastAsia="en-US"/>
        </w:rPr>
        <w:t xml:space="preserve"> </w:t>
      </w:r>
      <w:r>
        <w:rPr>
          <w:b/>
          <w:szCs w:val="24"/>
          <w:lang w:eastAsia="en-US"/>
        </w:rPr>
        <w:t>[PN 23]</w:t>
      </w:r>
    </w:p>
    <w:p>
      <w:pPr>
        <w:spacing w:before="120" w:after="120" w:line="360" w:lineRule="auto"/>
        <w:ind w:left="1416" w:hanging="566"/>
        <w:rPr>
          <w:szCs w:val="24"/>
          <w:lang w:eastAsia="en-US"/>
        </w:rPr>
      </w:pPr>
      <w:r>
        <w:rPr>
          <w:b/>
          <w:i/>
          <w:szCs w:val="24"/>
          <w:lang w:eastAsia="en-US"/>
        </w:rPr>
        <w:t>aa)</w:t>
      </w:r>
      <w:r>
        <w:rPr>
          <w:szCs w:val="24"/>
          <w:lang w:eastAsia="en-US"/>
        </w:rPr>
        <w:tab/>
      </w:r>
      <w:r>
        <w:rPr>
          <w:b/>
          <w:i/>
          <w:szCs w:val="24"/>
          <w:lang w:eastAsia="en-US"/>
        </w:rPr>
        <w:t xml:space="preserve">podľa možnosti geografickú vyváženosť medzi zúčastnenými úradmi; </w:t>
      </w:r>
      <w:r>
        <w:rPr>
          <w:b/>
          <w:szCs w:val="24"/>
          <w:lang w:eastAsia="en-US"/>
        </w:rPr>
        <w:t>[PN 24]</w:t>
      </w:r>
    </w:p>
    <w:p>
      <w:pPr>
        <w:spacing w:before="120" w:after="120" w:line="360" w:lineRule="auto"/>
        <w:ind w:left="1416" w:hanging="566"/>
        <w:rPr>
          <w:szCs w:val="24"/>
          <w:lang w:eastAsia="en-US"/>
        </w:rPr>
      </w:pPr>
      <w:r>
        <w:rPr>
          <w:szCs w:val="24"/>
          <w:lang w:eastAsia="en-US"/>
        </w:rPr>
        <w:t>b)</w:t>
      </w:r>
      <w:r>
        <w:rPr>
          <w:szCs w:val="24"/>
          <w:lang w:eastAsia="en-US"/>
        </w:rPr>
        <w:tab/>
        <w:t>zohľadnenie príslušnej pracovnej záťaže prieskumových pracovníkov;</w:t>
      </w:r>
    </w:p>
    <w:p>
      <w:pPr>
        <w:spacing w:before="120" w:after="120" w:line="360" w:lineRule="auto"/>
        <w:ind w:left="1416" w:hanging="566"/>
        <w:rPr>
          <w:szCs w:val="24"/>
          <w:lang w:eastAsia="en-US"/>
        </w:rPr>
      </w:pPr>
      <w:r>
        <w:rPr>
          <w:szCs w:val="24"/>
          <w:lang w:eastAsia="en-US"/>
        </w:rPr>
        <w:t>c)</w:t>
      </w:r>
      <w:r>
        <w:rPr>
          <w:szCs w:val="24"/>
          <w:lang w:eastAsia="en-US"/>
        </w:rPr>
        <w:tab/>
        <w:t xml:space="preserve">aby výnimku stanovenú v článku 10 ods. 5 nariadenia [COM(2023) </w:t>
      </w:r>
      <w:r>
        <w:rPr>
          <w:strike/>
          <w:szCs w:val="24"/>
          <w:lang w:eastAsia="en-US"/>
        </w:rPr>
        <w:t>223</w:t>
      </w:r>
      <w:r>
        <w:rPr>
          <w:b/>
          <w:i/>
          <w:szCs w:val="24"/>
          <w:lang w:eastAsia="en-US"/>
        </w:rPr>
        <w:t>231</w:t>
      </w:r>
      <w:r>
        <w:rPr>
          <w:szCs w:val="24"/>
          <w:lang w:eastAsia="en-US"/>
        </w:rPr>
        <w:t xml:space="preserve">] nevyužíval </w:t>
      </w:r>
      <w:r>
        <w:rPr>
          <w:strike/>
          <w:szCs w:val="24"/>
          <w:lang w:eastAsia="en-US"/>
        </w:rPr>
        <w:t>viac ako jeden</w:t>
      </w:r>
      <w:r>
        <w:rPr>
          <w:b/>
          <w:i/>
          <w:szCs w:val="24"/>
          <w:lang w:eastAsia="en-US"/>
        </w:rPr>
        <w:t>žiadny</w:t>
      </w:r>
      <w:r>
        <w:rPr>
          <w:szCs w:val="24"/>
          <w:lang w:eastAsia="en-US"/>
        </w:rPr>
        <w:t xml:space="preserve"> prieskumový pracovník, ktorý je zamestnancom príslušného vnútroštátneho orgánu. </w:t>
      </w:r>
      <w:r>
        <w:rPr>
          <w:b/>
          <w:szCs w:val="24"/>
          <w:lang w:eastAsia="en-US"/>
        </w:rPr>
        <w:t>[PN 25]</w:t>
      </w:r>
    </w:p>
    <w:p>
      <w:pPr>
        <w:spacing w:before="120" w:after="120" w:line="360" w:lineRule="auto"/>
        <w:ind w:left="850" w:hanging="850"/>
        <w:rPr>
          <w:szCs w:val="24"/>
          <w:lang w:eastAsia="en-US"/>
        </w:rPr>
      </w:pPr>
      <w:r>
        <w:rPr>
          <w:szCs w:val="24"/>
          <w:lang w:eastAsia="en-US"/>
        </w:rPr>
        <w:t>4.</w:t>
      </w:r>
      <w:r>
        <w:rPr>
          <w:szCs w:val="24"/>
          <w:lang w:eastAsia="en-US"/>
        </w:rPr>
        <w:tab/>
        <w:t>Úrad uverejňuje ročný prehľad počtu postupov vrátane prieskumových, námietkových a odvolacích postupov a postupov týkajúcich sa návrhu na vyhlásenie neplatnosti, na ktorých sa zúčastnili jednotlivé príslušné vnútroštátne orgány.</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5.</w:t>
      </w:r>
      <w:r>
        <w:rPr>
          <w:szCs w:val="24"/>
          <w:lang w:eastAsia="en-US"/>
        </w:rPr>
        <w:tab/>
        <w:t>Komisia je splnomocnená prijímať vykonávacie akty s cieľom určiť kritériá upravujúce spôsob zriaďovania komisií a kritériá výberu prieskumových pracovníkov. Tieto vykonávacie akty sa prijmú v súlade s postupom prieskumu uvedeným v článku 50.</w:t>
      </w:r>
    </w:p>
    <w:p>
      <w:pPr>
        <w:spacing w:before="120" w:after="120" w:line="360" w:lineRule="auto"/>
        <w:jc w:val="center"/>
        <w:rPr>
          <w:szCs w:val="24"/>
          <w:lang w:eastAsia="en-US"/>
        </w:rPr>
      </w:pPr>
      <w:r>
        <w:rPr>
          <w:szCs w:val="24"/>
          <w:lang w:eastAsia="en-US"/>
        </w:rPr>
        <w:t>Článok 18</w:t>
      </w:r>
      <w:r>
        <w:rPr>
          <w:szCs w:val="24"/>
          <w:lang w:eastAsia="en-US"/>
        </w:rPr>
        <w:br/>
        <w:t>Udelenie jednotného osvedčenia alebo zamietnutie žiadosti o jednotné osvedčenie</w:t>
      </w:r>
    </w:p>
    <w:p>
      <w:pPr>
        <w:spacing w:before="120" w:after="120" w:line="360" w:lineRule="auto"/>
        <w:rPr>
          <w:szCs w:val="24"/>
          <w:lang w:eastAsia="en-US"/>
        </w:rPr>
      </w:pPr>
      <w:r>
        <w:rPr>
          <w:szCs w:val="24"/>
          <w:lang w:eastAsia="en-US"/>
        </w:rPr>
        <w:t xml:space="preserve">Ak lehota, počas ktorej možno podať odvolanie alebo námietku, uplynie bez podania odvolania či námietky, alebo ak došlo k vydaniu právoplatného rozhodnutia vo veci samej, úrad </w:t>
      </w:r>
      <w:r>
        <w:rPr>
          <w:b/>
          <w:i/>
          <w:szCs w:val="24"/>
          <w:lang w:eastAsia="en-US"/>
        </w:rPr>
        <w:t xml:space="preserve">bez zbytočného odkladu </w:t>
      </w:r>
      <w:r>
        <w:rPr>
          <w:szCs w:val="24"/>
          <w:lang w:eastAsia="en-US"/>
        </w:rPr>
        <w:t xml:space="preserve">prijme jedno z týchto rozhodnutí: </w:t>
      </w:r>
      <w:r>
        <w:rPr>
          <w:b/>
          <w:szCs w:val="24"/>
          <w:lang w:eastAsia="en-US"/>
        </w:rPr>
        <w:t>[PN 26]</w:t>
      </w:r>
    </w:p>
    <w:p>
      <w:pPr>
        <w:spacing w:before="120" w:after="120" w:line="360" w:lineRule="auto"/>
        <w:ind w:left="850" w:hanging="850"/>
        <w:rPr>
          <w:szCs w:val="24"/>
          <w:lang w:eastAsia="en-US"/>
        </w:rPr>
      </w:pPr>
      <w:r>
        <w:rPr>
          <w:szCs w:val="24"/>
          <w:lang w:eastAsia="en-US"/>
        </w:rPr>
        <w:t>a)</w:t>
      </w:r>
      <w:r>
        <w:rPr>
          <w:szCs w:val="24"/>
          <w:lang w:eastAsia="en-US"/>
        </w:rPr>
        <w:tab/>
        <w:t>ak je stanovisko na základe prieskumu kladné, úrad jednotné osvedčenie udelí;</w:t>
      </w:r>
    </w:p>
    <w:p>
      <w:pPr>
        <w:spacing w:before="120" w:after="120" w:line="360" w:lineRule="auto"/>
        <w:ind w:left="850" w:hanging="850"/>
        <w:rPr>
          <w:szCs w:val="24"/>
          <w:lang w:eastAsia="en-US"/>
        </w:rPr>
      </w:pPr>
      <w:r>
        <w:rPr>
          <w:szCs w:val="24"/>
          <w:lang w:eastAsia="en-US"/>
        </w:rPr>
        <w:t>b)</w:t>
      </w:r>
      <w:r>
        <w:rPr>
          <w:szCs w:val="24"/>
          <w:lang w:eastAsia="en-US"/>
        </w:rPr>
        <w:tab/>
        <w:t>ak je stanovisko na základe prieskumu záporné, úrad žiadosť o jednotné osvedčenie zamietne.</w:t>
      </w:r>
    </w:p>
    <w:p>
      <w:pPr>
        <w:spacing w:before="120" w:after="120" w:line="360" w:lineRule="auto"/>
        <w:rPr>
          <w:szCs w:val="24"/>
          <w:lang w:eastAsia="en-US"/>
        </w:rPr>
      </w:pPr>
      <w:r>
        <w:rPr>
          <w:b/>
          <w:i/>
          <w:szCs w:val="24"/>
          <w:lang w:eastAsia="en-US"/>
        </w:rPr>
        <w:t xml:space="preserve">Úrad bez zbytočného odkladu informuje žiadateľa o svojom rozhodnutí. </w:t>
      </w:r>
      <w:r>
        <w:rPr>
          <w:b/>
          <w:szCs w:val="24"/>
          <w:lang w:eastAsia="en-US"/>
        </w:rPr>
        <w:t>[PN 27]</w:t>
      </w:r>
    </w:p>
    <w:p>
      <w:pPr>
        <w:widowControl/>
        <w:rPr>
          <w:szCs w:val="24"/>
          <w:lang w:eastAsia="en-US"/>
        </w:rPr>
      </w:pPr>
      <w:r>
        <w:rPr>
          <w:szCs w:val="24"/>
          <w:lang w:eastAsia="en-US"/>
        </w:rPr>
        <w:br w:type="page"/>
      </w:r>
    </w:p>
    <w:p>
      <w:pPr>
        <w:spacing w:before="120" w:after="120" w:line="360" w:lineRule="auto"/>
        <w:jc w:val="center"/>
        <w:rPr>
          <w:szCs w:val="24"/>
          <w:lang w:eastAsia="en-US"/>
        </w:rPr>
      </w:pPr>
      <w:r>
        <w:rPr>
          <w:szCs w:val="24"/>
          <w:lang w:eastAsia="en-US"/>
        </w:rPr>
        <w:lastRenderedPageBreak/>
        <w:t>Článok 19</w:t>
      </w:r>
      <w:r>
        <w:rPr>
          <w:szCs w:val="24"/>
          <w:lang w:eastAsia="en-US"/>
        </w:rPr>
        <w:br/>
        <w:t>Trvanie jednotného osvedčenia</w:t>
      </w:r>
    </w:p>
    <w:p>
      <w:pPr>
        <w:spacing w:before="120" w:after="120" w:line="360" w:lineRule="auto"/>
        <w:ind w:left="850" w:hanging="850"/>
        <w:rPr>
          <w:szCs w:val="24"/>
          <w:lang w:eastAsia="en-US"/>
        </w:rPr>
      </w:pPr>
      <w:r>
        <w:rPr>
          <w:szCs w:val="24"/>
          <w:lang w:eastAsia="en-US"/>
        </w:rPr>
        <w:t>1.</w:t>
      </w:r>
      <w:r>
        <w:rPr>
          <w:szCs w:val="24"/>
          <w:lang w:eastAsia="en-US"/>
        </w:rPr>
        <w:tab/>
        <w:t>Jednotné osvedčenie nadobúda účinok na konci zákonného obdobia platnosti základného patentu, konkrétne v deň dvadsiateho výročia podania prihlášky predmetného patentu, a to na obdobie rovnajúce sa obdobiu, ktoré uplynulo medzi dňom podania prihlášky základného patentu a dňom prvého povolenia na uvedenie výrobku na trh v Únii, skrátenému o päť rokov.</w:t>
      </w:r>
    </w:p>
    <w:p>
      <w:pPr>
        <w:spacing w:before="120" w:after="120" w:line="360" w:lineRule="auto"/>
        <w:ind w:left="850" w:hanging="850"/>
        <w:rPr>
          <w:szCs w:val="24"/>
          <w:lang w:eastAsia="en-US"/>
        </w:rPr>
      </w:pPr>
      <w:r>
        <w:rPr>
          <w:szCs w:val="24"/>
          <w:lang w:eastAsia="en-US"/>
        </w:rPr>
        <w:t>2.</w:t>
      </w:r>
      <w:r>
        <w:rPr>
          <w:szCs w:val="24"/>
          <w:lang w:eastAsia="en-US"/>
        </w:rPr>
        <w:tab/>
        <w:t>Trvanie platnosti jednotného osvedčenia nesmie presiahnuť päť rokov odo dňa nadobudnutia jeho účinku.</w:t>
      </w:r>
    </w:p>
    <w:p>
      <w:pPr>
        <w:spacing w:before="120" w:after="120" w:line="360" w:lineRule="auto"/>
        <w:jc w:val="center"/>
        <w:rPr>
          <w:szCs w:val="24"/>
          <w:lang w:eastAsia="en-US"/>
        </w:rPr>
      </w:pPr>
      <w:r>
        <w:rPr>
          <w:szCs w:val="24"/>
          <w:lang w:eastAsia="en-US"/>
        </w:rPr>
        <w:t>Článok 20</w:t>
      </w:r>
      <w:r>
        <w:rPr>
          <w:szCs w:val="24"/>
          <w:lang w:eastAsia="en-US"/>
        </w:rPr>
        <w:br/>
        <w:t>Uplynutie platnosti jednotného osvedčenia</w:t>
      </w:r>
    </w:p>
    <w:p>
      <w:pPr>
        <w:spacing w:before="120" w:after="120" w:line="360" w:lineRule="auto"/>
        <w:ind w:left="850" w:hanging="850"/>
        <w:rPr>
          <w:szCs w:val="24"/>
          <w:lang w:eastAsia="en-US"/>
        </w:rPr>
      </w:pPr>
      <w:r>
        <w:rPr>
          <w:szCs w:val="24"/>
          <w:lang w:eastAsia="en-US"/>
        </w:rPr>
        <w:t>1.</w:t>
      </w:r>
      <w:r>
        <w:rPr>
          <w:szCs w:val="24"/>
          <w:lang w:eastAsia="en-US"/>
        </w:rPr>
        <w:tab/>
        <w:t>Jednotné osvedčenie zaniká v ktoromkoľvek z týchto prípadov:</w:t>
      </w:r>
    </w:p>
    <w:p>
      <w:pPr>
        <w:spacing w:before="120" w:after="120" w:line="360" w:lineRule="auto"/>
        <w:ind w:left="1416" w:hanging="566"/>
        <w:rPr>
          <w:szCs w:val="24"/>
          <w:lang w:eastAsia="en-US"/>
        </w:rPr>
      </w:pPr>
      <w:r>
        <w:rPr>
          <w:szCs w:val="24"/>
          <w:lang w:eastAsia="en-US"/>
        </w:rPr>
        <w:t>a)</w:t>
      </w:r>
      <w:r>
        <w:rPr>
          <w:szCs w:val="24"/>
          <w:lang w:eastAsia="en-US"/>
        </w:rPr>
        <w:tab/>
        <w:t>na konci obdobia stanoveného v článku 19;</w:t>
      </w:r>
    </w:p>
    <w:p>
      <w:pPr>
        <w:spacing w:before="120" w:after="120" w:line="360" w:lineRule="auto"/>
        <w:ind w:left="1416" w:hanging="566"/>
        <w:rPr>
          <w:szCs w:val="24"/>
          <w:lang w:eastAsia="en-US"/>
        </w:rPr>
      </w:pPr>
      <w:r>
        <w:rPr>
          <w:szCs w:val="24"/>
          <w:lang w:eastAsia="en-US"/>
        </w:rPr>
        <w:t>b)</w:t>
      </w:r>
      <w:r>
        <w:rPr>
          <w:szCs w:val="24"/>
          <w:lang w:eastAsia="en-US"/>
        </w:rPr>
        <w:tab/>
        <w:t>ak sa ho držiteľ jednotného osvedčenia vzdá;</w:t>
      </w:r>
    </w:p>
    <w:p>
      <w:pPr>
        <w:spacing w:before="120" w:after="120" w:line="360" w:lineRule="auto"/>
        <w:ind w:left="1416" w:hanging="566"/>
        <w:rPr>
          <w:szCs w:val="24"/>
          <w:lang w:eastAsia="en-US"/>
        </w:rPr>
      </w:pPr>
      <w:r>
        <w:rPr>
          <w:szCs w:val="24"/>
          <w:lang w:eastAsia="en-US"/>
        </w:rPr>
        <w:t>c)</w:t>
      </w:r>
      <w:r>
        <w:rPr>
          <w:szCs w:val="24"/>
          <w:lang w:eastAsia="en-US"/>
        </w:rPr>
        <w:tab/>
        <w:t>ak ročný udržiavací poplatok stanovený v súlade s článkom 29 ods. 3 nie je zaplatený včas.</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2.</w:t>
      </w:r>
      <w:r>
        <w:rPr>
          <w:szCs w:val="24"/>
          <w:lang w:eastAsia="en-US"/>
        </w:rPr>
        <w:tab/>
        <w:t>Ak sa v členskom štáte, v ktorom má základný patent jednotný účinok, povolenie na uvedenie výrobku na trh v súlade s nariadením (ES) č. 1107/2009 zruší, osvedčenie prestane mať v danom členskom štáte účinok. Úrad o tom môže rozhodnúť z vlastnej iniciatívy alebo na žiadosť tretej strany.</w:t>
      </w:r>
    </w:p>
    <w:p>
      <w:pPr>
        <w:spacing w:before="120" w:after="120" w:line="360" w:lineRule="auto"/>
        <w:jc w:val="center"/>
        <w:rPr>
          <w:szCs w:val="24"/>
          <w:lang w:eastAsia="en-US"/>
        </w:rPr>
      </w:pPr>
      <w:r>
        <w:rPr>
          <w:szCs w:val="24"/>
          <w:lang w:eastAsia="en-US"/>
        </w:rPr>
        <w:t>Článok 21</w:t>
      </w:r>
      <w:r>
        <w:rPr>
          <w:szCs w:val="24"/>
          <w:lang w:eastAsia="en-US"/>
        </w:rPr>
        <w:br/>
        <w:t>Neplatnosť jednotného osvedčenia</w:t>
      </w:r>
    </w:p>
    <w:p>
      <w:pPr>
        <w:spacing w:before="120" w:after="120" w:line="360" w:lineRule="auto"/>
        <w:rPr>
          <w:szCs w:val="24"/>
          <w:lang w:eastAsia="en-US"/>
        </w:rPr>
      </w:pPr>
      <w:r>
        <w:rPr>
          <w:szCs w:val="24"/>
          <w:lang w:eastAsia="en-US"/>
        </w:rPr>
        <w:t>Jednotné osvedčenie je neplatné v ktoromkoľvek z týchto prípadov:</w:t>
      </w:r>
    </w:p>
    <w:p>
      <w:pPr>
        <w:spacing w:before="120" w:after="120" w:line="360" w:lineRule="auto"/>
        <w:ind w:left="850" w:hanging="850"/>
        <w:rPr>
          <w:szCs w:val="24"/>
          <w:lang w:eastAsia="en-US"/>
        </w:rPr>
      </w:pPr>
      <w:r>
        <w:rPr>
          <w:szCs w:val="24"/>
          <w:lang w:eastAsia="en-US"/>
        </w:rPr>
        <w:t>a)</w:t>
      </w:r>
      <w:r>
        <w:rPr>
          <w:szCs w:val="24"/>
          <w:lang w:eastAsia="en-US"/>
        </w:rPr>
        <w:tab/>
        <w:t xml:space="preserve">osvedčenie bolo udelené v rozpore s </w:t>
      </w:r>
      <w:r>
        <w:rPr>
          <w:strike/>
          <w:szCs w:val="24"/>
          <w:lang w:eastAsia="en-US"/>
        </w:rPr>
        <w:t>ustanoveniami článku</w:t>
      </w:r>
      <w:r>
        <w:rPr>
          <w:szCs w:val="24"/>
          <w:lang w:eastAsia="en-US"/>
        </w:rPr>
        <w:t xml:space="preserve"> </w:t>
      </w:r>
      <w:r>
        <w:rPr>
          <w:b/>
          <w:i/>
          <w:szCs w:val="24"/>
          <w:lang w:eastAsia="en-US"/>
        </w:rPr>
        <w:t>článkom</w:t>
      </w:r>
      <w:r>
        <w:rPr>
          <w:szCs w:val="24"/>
          <w:lang w:eastAsia="en-US"/>
        </w:rPr>
        <w:t xml:space="preserve"> 3</w:t>
      </w:r>
      <w:r>
        <w:rPr>
          <w:b/>
          <w:i/>
          <w:szCs w:val="24"/>
          <w:lang w:eastAsia="en-US"/>
        </w:rPr>
        <w:t xml:space="preserve"> a článkom 6 ods. 2</w:t>
      </w:r>
      <w:r>
        <w:rPr>
          <w:szCs w:val="24"/>
          <w:lang w:eastAsia="en-US"/>
        </w:rPr>
        <w:t xml:space="preserve">; </w:t>
      </w:r>
      <w:r>
        <w:rPr>
          <w:b/>
          <w:szCs w:val="24"/>
          <w:lang w:eastAsia="en-US"/>
        </w:rPr>
        <w:t>[PN 28]</w:t>
      </w:r>
    </w:p>
    <w:p>
      <w:pPr>
        <w:spacing w:before="120" w:after="120" w:line="360" w:lineRule="auto"/>
        <w:ind w:left="850" w:hanging="850"/>
        <w:rPr>
          <w:szCs w:val="24"/>
          <w:lang w:eastAsia="en-US"/>
        </w:rPr>
      </w:pPr>
      <w:r>
        <w:rPr>
          <w:szCs w:val="24"/>
          <w:lang w:eastAsia="en-US"/>
        </w:rPr>
        <w:t>b)</w:t>
      </w:r>
      <w:r>
        <w:rPr>
          <w:szCs w:val="24"/>
          <w:lang w:eastAsia="en-US"/>
        </w:rPr>
        <w:tab/>
        <w:t>základný patent zanikol pred uplynutím zákonného obdobia jeho platnosti;</w:t>
      </w:r>
    </w:p>
    <w:p>
      <w:pPr>
        <w:spacing w:before="120" w:after="120" w:line="360" w:lineRule="auto"/>
        <w:ind w:left="850" w:hanging="850"/>
        <w:rPr>
          <w:szCs w:val="24"/>
          <w:lang w:eastAsia="en-US"/>
        </w:rPr>
      </w:pPr>
      <w:r>
        <w:rPr>
          <w:szCs w:val="24"/>
          <w:lang w:eastAsia="en-US"/>
        </w:rPr>
        <w:t>c)</w:t>
      </w:r>
      <w:r>
        <w:rPr>
          <w:szCs w:val="24"/>
          <w:lang w:eastAsia="en-US"/>
        </w:rPr>
        <w:tab/>
        <w:t>základný patent je zrušený alebo obmedzený v takom rozsahu, že výrobok, pre ktorý bolo udelené jednotné osvedčenie, by už naďalej nebol chránený nárokmi základného patentu, alebo po uplynutí obdobia platnosti základného patentu existujú dôvody na zrušenie, ktoré by opodstatňovali takéto zrušenie alebo obmedzenie.</w:t>
      </w:r>
    </w:p>
    <w:p>
      <w:pPr>
        <w:widowControl/>
        <w:rPr>
          <w:szCs w:val="24"/>
          <w:lang w:eastAsia="en-US"/>
        </w:rPr>
      </w:pPr>
      <w:r>
        <w:rPr>
          <w:szCs w:val="24"/>
          <w:lang w:eastAsia="en-US"/>
        </w:rPr>
        <w:br w:type="page"/>
      </w:r>
    </w:p>
    <w:p>
      <w:pPr>
        <w:spacing w:before="120" w:after="120" w:line="360" w:lineRule="auto"/>
        <w:jc w:val="center"/>
        <w:rPr>
          <w:szCs w:val="24"/>
          <w:lang w:eastAsia="en-US"/>
        </w:rPr>
      </w:pPr>
      <w:r>
        <w:rPr>
          <w:szCs w:val="24"/>
          <w:lang w:eastAsia="en-US"/>
        </w:rPr>
        <w:lastRenderedPageBreak/>
        <w:t>Článok 22</w:t>
      </w:r>
      <w:r>
        <w:rPr>
          <w:szCs w:val="24"/>
          <w:lang w:eastAsia="en-US"/>
        </w:rPr>
        <w:br/>
        <w:t>Žaloba o vyhlásenie neplatnosti</w:t>
      </w:r>
    </w:p>
    <w:p>
      <w:pPr>
        <w:spacing w:before="120" w:after="120" w:line="360" w:lineRule="auto"/>
        <w:ind w:left="850" w:hanging="850"/>
        <w:rPr>
          <w:szCs w:val="24"/>
          <w:lang w:eastAsia="en-US"/>
        </w:rPr>
      </w:pPr>
      <w:r>
        <w:rPr>
          <w:szCs w:val="24"/>
          <w:lang w:eastAsia="en-US"/>
        </w:rPr>
        <w:t>1.</w:t>
      </w:r>
      <w:r>
        <w:rPr>
          <w:szCs w:val="24"/>
          <w:lang w:eastAsia="en-US"/>
        </w:rPr>
        <w:tab/>
        <w:t>Žiadosť o vyhlásenie neplatnosti jednotného osvedčenia môže úradu predložiť ktorákoľvek osoba.</w:t>
      </w:r>
    </w:p>
    <w:p>
      <w:pPr>
        <w:spacing w:before="120" w:after="120" w:line="360" w:lineRule="auto"/>
        <w:ind w:left="850" w:hanging="850"/>
        <w:rPr>
          <w:szCs w:val="24"/>
          <w:lang w:eastAsia="en-US"/>
        </w:rPr>
      </w:pPr>
      <w:r>
        <w:rPr>
          <w:szCs w:val="24"/>
          <w:lang w:eastAsia="en-US"/>
        </w:rPr>
        <w:t>2.</w:t>
      </w:r>
      <w:r>
        <w:rPr>
          <w:szCs w:val="24"/>
          <w:lang w:eastAsia="en-US"/>
        </w:rPr>
        <w:tab/>
        <w:t>Žiadosť o vyhlásenie neplatnosti možno podať len z dôvodu nesplnenia jednej alebo viacerých podmienok stanovených v článku 21 v prípade jedného alebo viacerých členských štátov, v ktorých má základný patent jednotný účinok.</w:t>
      </w:r>
    </w:p>
    <w:p>
      <w:pPr>
        <w:spacing w:before="120" w:after="120" w:line="360" w:lineRule="auto"/>
        <w:ind w:left="850" w:hanging="850"/>
        <w:rPr>
          <w:szCs w:val="24"/>
          <w:lang w:eastAsia="en-US"/>
        </w:rPr>
      </w:pPr>
      <w:r>
        <w:rPr>
          <w:szCs w:val="24"/>
          <w:lang w:eastAsia="en-US"/>
        </w:rPr>
        <w:t>3.</w:t>
      </w:r>
      <w:r>
        <w:rPr>
          <w:szCs w:val="24"/>
          <w:lang w:eastAsia="en-US"/>
        </w:rPr>
        <w:tab/>
        <w:t>Žiadosť o vyhlásenie neplatnosti sa podáva písomne a musia sa v nej uvádzať dôvody, na ktorých sa zakladá. Považuje sa za riadne podanú až po zaplatení súvisiaceho poplatku.</w:t>
      </w:r>
    </w:p>
    <w:p>
      <w:pPr>
        <w:spacing w:before="120" w:after="120" w:line="360" w:lineRule="auto"/>
        <w:ind w:left="850" w:hanging="850"/>
        <w:rPr>
          <w:szCs w:val="24"/>
          <w:lang w:eastAsia="en-US"/>
        </w:rPr>
      </w:pPr>
      <w:r>
        <w:rPr>
          <w:szCs w:val="24"/>
          <w:lang w:eastAsia="en-US"/>
        </w:rPr>
        <w:t>4.</w:t>
      </w:r>
      <w:r>
        <w:rPr>
          <w:szCs w:val="24"/>
          <w:lang w:eastAsia="en-US"/>
        </w:rPr>
        <w:tab/>
        <w:t>Žiadosť o vyhlásenie neplatnosti obsahuje:</w:t>
      </w:r>
    </w:p>
    <w:p>
      <w:pPr>
        <w:spacing w:before="120" w:after="120" w:line="360" w:lineRule="auto"/>
        <w:ind w:left="1416" w:hanging="566"/>
        <w:rPr>
          <w:szCs w:val="24"/>
          <w:lang w:eastAsia="en-US"/>
        </w:rPr>
      </w:pPr>
      <w:r>
        <w:rPr>
          <w:szCs w:val="24"/>
          <w:lang w:eastAsia="en-US"/>
        </w:rPr>
        <w:t>a)</w:t>
      </w:r>
      <w:r>
        <w:rPr>
          <w:szCs w:val="24"/>
          <w:lang w:eastAsia="en-US"/>
        </w:rPr>
        <w:tab/>
        <w:t>odkazy na jednotné osvedčenie, proti ktorému sa podáva daná žiadosť, meno držiteľa žiadosti a identifikáciu výrobku;</w:t>
      </w:r>
    </w:p>
    <w:p>
      <w:pPr>
        <w:spacing w:before="120" w:after="120" w:line="360" w:lineRule="auto"/>
        <w:ind w:left="1416" w:hanging="566"/>
        <w:rPr>
          <w:szCs w:val="24"/>
          <w:lang w:eastAsia="en-US"/>
        </w:rPr>
      </w:pPr>
      <w:r>
        <w:rPr>
          <w:szCs w:val="24"/>
          <w:lang w:eastAsia="en-US"/>
        </w:rPr>
        <w:t>b)</w:t>
      </w:r>
      <w:r>
        <w:rPr>
          <w:szCs w:val="24"/>
          <w:lang w:eastAsia="en-US"/>
        </w:rPr>
        <w:tab/>
        <w:t>údaje o osobe uvedenej v odseku 1 (ďalej len „žiadateľ“) a prípadne aj o jej zástupcovi;</w:t>
      </w:r>
    </w:p>
    <w:p>
      <w:pPr>
        <w:widowControl/>
        <w:rPr>
          <w:szCs w:val="24"/>
          <w:lang w:eastAsia="en-US"/>
        </w:rPr>
      </w:pPr>
      <w:r>
        <w:rPr>
          <w:szCs w:val="24"/>
          <w:lang w:eastAsia="en-US"/>
        </w:rPr>
        <w:br w:type="page"/>
      </w:r>
    </w:p>
    <w:p>
      <w:pPr>
        <w:spacing w:before="120" w:after="120" w:line="360" w:lineRule="auto"/>
        <w:ind w:left="1416" w:hanging="566"/>
        <w:rPr>
          <w:szCs w:val="24"/>
          <w:lang w:eastAsia="en-US"/>
        </w:rPr>
      </w:pPr>
      <w:r>
        <w:rPr>
          <w:szCs w:val="24"/>
          <w:lang w:eastAsia="en-US"/>
        </w:rPr>
        <w:lastRenderedPageBreak/>
        <w:t>c)</w:t>
      </w:r>
      <w:r>
        <w:rPr>
          <w:szCs w:val="24"/>
          <w:lang w:eastAsia="en-US"/>
        </w:rPr>
        <w:tab/>
        <w:t>vyhlásenie o dôvodoch, na ktorých sa žiadosť o vyhlásenie neplatnosti zakladá.</w:t>
      </w:r>
    </w:p>
    <w:p>
      <w:pPr>
        <w:spacing w:before="120" w:after="120" w:line="360" w:lineRule="auto"/>
        <w:ind w:left="850" w:hanging="850"/>
        <w:rPr>
          <w:szCs w:val="24"/>
          <w:lang w:eastAsia="en-US"/>
        </w:rPr>
      </w:pPr>
      <w:r>
        <w:rPr>
          <w:szCs w:val="24"/>
          <w:lang w:eastAsia="en-US"/>
        </w:rPr>
        <w:t>5.</w:t>
      </w:r>
      <w:r>
        <w:rPr>
          <w:szCs w:val="24"/>
          <w:lang w:eastAsia="en-US"/>
        </w:rPr>
        <w:tab/>
        <w:t>Žiadosť o vyhlásenie neplatnosti preskúma komisia pre vyhlásenie neplatnosti zriadená úradom v súlade s pravidlami uplatniteľnými pre prieskumové komisie. V komisii pre vyhlásenie neplatnosti by však nemal pôsobiť žiadny prieskumový pracovník, ktorý bol predtým zapojený do prieskumovej komisie, ktorá skúmala žiadosť o jednotné osvedčenie, a eventuálne ani žiadny prieskumový pracovník zapojený do potenciálneho súvisiaceho námietkového ani do súvisiaceho odvolacieho konania.</w:t>
      </w:r>
    </w:p>
    <w:p>
      <w:pPr>
        <w:spacing w:before="120" w:after="120" w:line="360" w:lineRule="auto"/>
        <w:ind w:left="850" w:hanging="850"/>
        <w:rPr>
          <w:szCs w:val="24"/>
          <w:lang w:eastAsia="en-US"/>
        </w:rPr>
      </w:pPr>
      <w:r>
        <w:rPr>
          <w:szCs w:val="24"/>
          <w:lang w:eastAsia="en-US"/>
        </w:rPr>
        <w:t>6.</w:t>
      </w:r>
      <w:r>
        <w:rPr>
          <w:szCs w:val="24"/>
          <w:lang w:eastAsia="en-US"/>
        </w:rPr>
        <w:tab/>
        <w:t>Žiadosť o vyhlásenie neplatnosti je neprípustná, ak o žiadosti súvisiacej s rovnakým predmetom a právnou vecou týkajúcej sa tých istých účastníkov konania rozhodol úrad alebo príslušný súd v zmysle článku 24 vo veci samej, pričom rozhodnutie tohto úradu alebo súdu týkajúce sa predmetného odvolania nadobudlo právoplatnosť.</w:t>
      </w:r>
    </w:p>
    <w:p>
      <w:pPr>
        <w:spacing w:before="120" w:after="120" w:line="360" w:lineRule="auto"/>
        <w:ind w:left="850" w:hanging="850"/>
        <w:rPr>
          <w:szCs w:val="24"/>
          <w:lang w:eastAsia="en-US"/>
        </w:rPr>
      </w:pPr>
      <w:r>
        <w:rPr>
          <w:szCs w:val="24"/>
          <w:lang w:eastAsia="en-US"/>
        </w:rPr>
        <w:t>7.</w:t>
      </w:r>
      <w:r>
        <w:rPr>
          <w:szCs w:val="24"/>
          <w:lang w:eastAsia="en-US"/>
        </w:rPr>
        <w:tab/>
        <w:t>Ak komisia pre vyhlásenie neplatnosti skonštatuje, že žiadosť o vyhlásenie neplatnosti nespĺňa požiadavky odsekov 2, 3 alebo 4, zamietne danú žiadosť ako neprípustnú a oznámi to žiadateľovi.</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8.</w:t>
      </w:r>
      <w:r>
        <w:rPr>
          <w:szCs w:val="24"/>
          <w:lang w:eastAsia="en-US"/>
        </w:rPr>
        <w:tab/>
        <w:t>Rozhodnutie zamietnuť žiadosť o vyhlásenie neplatnosti ako neprípustnú sa oznámi držiteľovi jednotného osvedčenia spolu s kópiou danej žiadosti.</w:t>
      </w:r>
    </w:p>
    <w:p>
      <w:pPr>
        <w:spacing w:before="120" w:after="120" w:line="360" w:lineRule="auto"/>
        <w:ind w:left="850" w:hanging="850"/>
        <w:rPr>
          <w:szCs w:val="24"/>
          <w:lang w:eastAsia="en-US"/>
        </w:rPr>
      </w:pPr>
      <w:r>
        <w:rPr>
          <w:szCs w:val="24"/>
          <w:lang w:eastAsia="en-US"/>
        </w:rPr>
        <w:t>9.</w:t>
      </w:r>
      <w:r>
        <w:rPr>
          <w:szCs w:val="24"/>
          <w:lang w:eastAsia="en-US"/>
        </w:rPr>
        <w:tab/>
        <w:t>Ak sa žiadosť o vyhlásenie neplatnosti nezamietne ako neprípustná, úrad danú žiadosť bezodkladne zašle držiteľovi jednotného osvedčenia a uverejní ju v registri. Ak bolo podaných viacero žiadostí o vyhlásenie neplatnosti, úrad ich bezodkladne oznámi ostatným žiadateľom.</w:t>
      </w:r>
    </w:p>
    <w:p>
      <w:pPr>
        <w:spacing w:before="120" w:after="120" w:line="360" w:lineRule="auto"/>
        <w:ind w:left="850" w:hanging="850"/>
        <w:rPr>
          <w:szCs w:val="24"/>
          <w:lang w:eastAsia="en-US"/>
        </w:rPr>
      </w:pPr>
      <w:r>
        <w:rPr>
          <w:szCs w:val="24"/>
          <w:lang w:eastAsia="en-US"/>
        </w:rPr>
        <w:t>10.</w:t>
      </w:r>
      <w:r>
        <w:rPr>
          <w:szCs w:val="24"/>
          <w:lang w:eastAsia="en-US"/>
        </w:rPr>
        <w:tab/>
        <w:t>Úrad vydá rozhodnutie o žiadosti o vyhlásenie neplatnosti do šiestich mesiacov, pokiaľ si zložitosť prípadu vyžaduje dlhšiu lehotu.</w:t>
      </w:r>
    </w:p>
    <w:p>
      <w:pPr>
        <w:spacing w:before="120" w:after="120" w:line="360" w:lineRule="auto"/>
        <w:ind w:left="850" w:hanging="850"/>
        <w:rPr>
          <w:szCs w:val="24"/>
          <w:lang w:eastAsia="en-US"/>
        </w:rPr>
      </w:pPr>
      <w:r>
        <w:rPr>
          <w:szCs w:val="24"/>
          <w:lang w:eastAsia="en-US"/>
        </w:rPr>
        <w:t>11.</w:t>
      </w:r>
      <w:r>
        <w:rPr>
          <w:szCs w:val="24"/>
          <w:lang w:eastAsia="en-US"/>
        </w:rPr>
        <w:tab/>
        <w:t>Ak z prieskumu žiadosti o vyhlásenie neplatnosti vyplynie, že je splnená aspoň jedna alebo viacero podmienok stanovených v článku 21, jednotné osvedčenie sa vyhlási za neplatné. V opačnom prípade sa žiadosť o vyhlásenie neplatnosti zamietne. Výsledok sa zaznamená v registri.</w:t>
      </w:r>
    </w:p>
    <w:p>
      <w:pPr>
        <w:spacing w:before="120" w:after="120" w:line="360" w:lineRule="auto"/>
        <w:ind w:left="850" w:hanging="850"/>
        <w:rPr>
          <w:szCs w:val="24"/>
          <w:lang w:eastAsia="en-US"/>
        </w:rPr>
      </w:pPr>
      <w:r>
        <w:rPr>
          <w:szCs w:val="24"/>
          <w:lang w:eastAsia="en-US"/>
        </w:rPr>
        <w:t>12.</w:t>
      </w:r>
      <w:r>
        <w:rPr>
          <w:szCs w:val="24"/>
          <w:lang w:eastAsia="en-US"/>
        </w:rPr>
        <w:tab/>
      </w:r>
      <w:r>
        <w:rPr>
          <w:b/>
          <w:i/>
          <w:szCs w:val="24"/>
          <w:lang w:eastAsia="en-US"/>
        </w:rPr>
        <w:t xml:space="preserve">V rozsahu, v akom </w:t>
      </w:r>
      <w:bookmarkStart w:id="8" w:name="_GoBack"/>
      <w:bookmarkEnd w:id="8"/>
      <w:r>
        <w:rPr>
          <w:b/>
          <w:i/>
          <w:szCs w:val="24"/>
          <w:lang w:eastAsia="en-US"/>
        </w:rPr>
        <w:t xml:space="preserve">bolo </w:t>
      </w:r>
      <w:r>
        <w:rPr>
          <w:szCs w:val="24"/>
          <w:lang w:eastAsia="en-US"/>
        </w:rPr>
        <w:t xml:space="preserve">jednotné osvedčenie </w:t>
      </w:r>
      <w:r>
        <w:rPr>
          <w:b/>
          <w:i/>
          <w:szCs w:val="24"/>
          <w:lang w:eastAsia="en-US"/>
        </w:rPr>
        <w:t xml:space="preserve">vyhlásené za neplatné, </w:t>
      </w:r>
      <w:r>
        <w:rPr>
          <w:szCs w:val="24"/>
          <w:lang w:eastAsia="en-US"/>
        </w:rPr>
        <w:t>sa považuje za osvedčenie, ktoré už od samého začiatku nemá účinky uvedené v tomto nariadení</w:t>
      </w:r>
      <w:r>
        <w:rPr>
          <w:strike/>
          <w:szCs w:val="24"/>
          <w:lang w:eastAsia="en-US"/>
        </w:rPr>
        <w:t>, a to v rozsahu, v akom bolo vyhlásené za neplatné</w:t>
      </w:r>
      <w:r>
        <w:rPr>
          <w:szCs w:val="24"/>
          <w:lang w:eastAsia="en-US"/>
        </w:rPr>
        <w:t>.</w:t>
      </w:r>
      <w:r>
        <w:rPr>
          <w:b/>
          <w:i/>
          <w:szCs w:val="24"/>
          <w:lang w:eastAsia="en-US"/>
        </w:rPr>
        <w:t xml:space="preserve"> </w:t>
      </w:r>
      <w:r>
        <w:rPr>
          <w:b/>
          <w:szCs w:val="24"/>
          <w:lang w:eastAsia="en-US"/>
        </w:rPr>
        <w:t>[PN 29]</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13.</w:t>
      </w:r>
      <w:r>
        <w:rPr>
          <w:szCs w:val="24"/>
          <w:lang w:eastAsia="en-US"/>
        </w:rPr>
        <w:tab/>
        <w:t>Komisia je splnomocnená prijímať delegované akty v súlade s článkom 49 s cieľom doplniť toto nariadenie špecifikovaním podrobností postupu pri vyhlásení neplatnosti.</w:t>
      </w:r>
    </w:p>
    <w:p>
      <w:pPr>
        <w:spacing w:before="120" w:after="120" w:line="360" w:lineRule="auto"/>
        <w:jc w:val="center"/>
        <w:rPr>
          <w:szCs w:val="24"/>
          <w:lang w:eastAsia="en-US"/>
        </w:rPr>
      </w:pPr>
      <w:r>
        <w:rPr>
          <w:szCs w:val="24"/>
          <w:lang w:eastAsia="en-US"/>
        </w:rPr>
        <w:t>Článok 23</w:t>
      </w:r>
      <w:r>
        <w:rPr>
          <w:szCs w:val="24"/>
          <w:lang w:eastAsia="en-US"/>
        </w:rPr>
        <w:br/>
        <w:t>Protinávrh na vyhlásenie neplatnosti osvedčenia</w:t>
      </w:r>
    </w:p>
    <w:p>
      <w:pPr>
        <w:spacing w:before="120" w:after="120" w:line="360" w:lineRule="auto"/>
        <w:ind w:left="850" w:hanging="850"/>
        <w:rPr>
          <w:szCs w:val="24"/>
          <w:lang w:eastAsia="en-US"/>
        </w:rPr>
      </w:pPr>
      <w:r>
        <w:rPr>
          <w:szCs w:val="24"/>
          <w:lang w:eastAsia="en-US"/>
        </w:rPr>
        <w:t>1.</w:t>
      </w:r>
      <w:r>
        <w:rPr>
          <w:szCs w:val="24"/>
          <w:lang w:eastAsia="en-US"/>
        </w:rPr>
        <w:tab/>
        <w:t>Protinávrh na vyhlásenie neplatnosti sa môže zakladať iba na dôvodoch neplatnosti uvedených v článku 21.</w:t>
      </w:r>
    </w:p>
    <w:p>
      <w:pPr>
        <w:spacing w:before="120" w:after="120" w:line="360" w:lineRule="auto"/>
        <w:ind w:left="850" w:hanging="850"/>
        <w:rPr>
          <w:szCs w:val="24"/>
          <w:lang w:eastAsia="en-US"/>
        </w:rPr>
      </w:pPr>
      <w:r>
        <w:rPr>
          <w:szCs w:val="24"/>
          <w:lang w:eastAsia="en-US"/>
        </w:rPr>
        <w:t>2.</w:t>
      </w:r>
      <w:r>
        <w:rPr>
          <w:szCs w:val="24"/>
          <w:lang w:eastAsia="en-US"/>
        </w:rPr>
        <w:tab/>
        <w:t>Príslušný súd členského štátu zamietne protinávrh na vyhlásenie neplatnosti, ak sa už rozhodnutie prijaté úradom, ktoré súvisí s tým istým predmetom a právnou vecou a týka sa tých istých účastníkov konania, stalo právoplatným.</w:t>
      </w:r>
    </w:p>
    <w:p>
      <w:pPr>
        <w:spacing w:before="120" w:after="120" w:line="360" w:lineRule="auto"/>
        <w:ind w:left="850" w:hanging="850"/>
        <w:rPr>
          <w:szCs w:val="24"/>
          <w:lang w:eastAsia="en-US"/>
        </w:rPr>
      </w:pPr>
      <w:r>
        <w:rPr>
          <w:szCs w:val="24"/>
          <w:lang w:eastAsia="en-US"/>
        </w:rPr>
        <w:t>3.</w:t>
      </w:r>
      <w:r>
        <w:rPr>
          <w:szCs w:val="24"/>
          <w:lang w:eastAsia="en-US"/>
        </w:rPr>
        <w:tab/>
        <w:t>Ak k podaniu uvedeného protinávrhu došlo v rámci právneho konania, ktorého účastníkom ešte daný držiteľ jednotného osvedčenia nie je, tento držiteľ bude o danej skutočnosti informovaný a môže byť do konania pred príslušným súdom prizvaný ako účastník konania v súlade s uplatniteľnými podmienkami.</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4.</w:t>
      </w:r>
      <w:r>
        <w:rPr>
          <w:szCs w:val="24"/>
          <w:lang w:eastAsia="en-US"/>
        </w:rPr>
        <w:tab/>
        <w:t>Príslušný súd členského štátu, na ktorý bol podaný protinávrh na vyhlásenie neplatnosti jednotného osvedčenia, nesmie začať s prieskumom protinávrhu skôr, ako zainteresovaný účastník alebo súd informujú úrad o dni podania daného protinávrhu. Úrad túto informáciu zaznamená do registra. Ak bola na úrad podaná žiadosť o vyhlásenie neplatnosti jednotného osvedčenia ešte pred podaním protinávrhu, úrad o tom predloží informácie súdu, ktorý konanie preruší, až kým sa neprijme právoplatné rozhodnutie o žiadosti alebo kým sa žiadosť nestiahne.</w:t>
      </w:r>
    </w:p>
    <w:p>
      <w:pPr>
        <w:spacing w:before="120" w:after="120" w:line="360" w:lineRule="auto"/>
        <w:ind w:left="850" w:hanging="850"/>
        <w:rPr>
          <w:szCs w:val="24"/>
          <w:lang w:eastAsia="en-US"/>
        </w:rPr>
      </w:pPr>
      <w:r>
        <w:rPr>
          <w:szCs w:val="24"/>
          <w:lang w:eastAsia="en-US"/>
        </w:rPr>
        <w:t>5.</w:t>
      </w:r>
      <w:r>
        <w:rPr>
          <w:szCs w:val="24"/>
          <w:lang w:eastAsia="en-US"/>
        </w:rPr>
        <w:tab/>
        <w:t>Ak príslušný súd členského štátu vynesie rozsudok týkajúci sa protinávrhu na vyhlásenie neplatnosti jednotného osvedčenia a tento rozsudok nadobudne právoplatnosť, buď súd alebo ktorýkoľvek z účastníkov vnútroštátneho konania bezodkladne zašlú úradu kópiu rozsudku. Úrad alebo ktorýkoľvek zo zainteresovaných účastníkov konania môže požadovať informácie o takomto zaslaní. Úrad zaznamená rozsudok v registri a prijme opatrenia nevyhnutné na dosiahnutie súladu s jeho výrokovou časťou.</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6.</w:t>
      </w:r>
      <w:r>
        <w:rPr>
          <w:szCs w:val="24"/>
          <w:lang w:eastAsia="en-US"/>
        </w:rPr>
        <w:tab/>
        <w:t>Príslušný súd prerokúvajúci protinávrh na vyhlásenie neplatnosti môže dané konanie na žiadosť držiteľa jednotného osvedčenia a po vypočutí ostatných účastníkov konania prerušiť a môže odporcu vyzvať, aby v lehote, ktorú stanoví, predložil úradu žiadosť o vyhlásenie neplatnosti. Ak k podaniu žiadosti v rámci tejto lehoty nedôjde, konanie pokračuje; protinávrh sa považuje za stiahnutý. Ak príslušný súd členského štátu konanie preruší, môže nariadiť predbežné a ochranné opatrenia počas trvania prerušenia konania.</w:t>
      </w:r>
    </w:p>
    <w:p>
      <w:pPr>
        <w:spacing w:before="120" w:after="120" w:line="360" w:lineRule="auto"/>
        <w:jc w:val="center"/>
        <w:rPr>
          <w:szCs w:val="24"/>
          <w:lang w:eastAsia="en-US"/>
        </w:rPr>
      </w:pPr>
      <w:r>
        <w:rPr>
          <w:szCs w:val="24"/>
          <w:lang w:eastAsia="en-US"/>
        </w:rPr>
        <w:t>Článok 24</w:t>
      </w:r>
      <w:r>
        <w:rPr>
          <w:szCs w:val="24"/>
          <w:lang w:eastAsia="en-US"/>
        </w:rPr>
        <w:br/>
        <w:t>Oznámenie o zániku alebo o neplatnosti</w:t>
      </w:r>
    </w:p>
    <w:p>
      <w:pPr>
        <w:spacing w:before="120" w:after="120" w:line="360" w:lineRule="auto"/>
        <w:rPr>
          <w:szCs w:val="24"/>
          <w:lang w:eastAsia="en-US"/>
        </w:rPr>
      </w:pPr>
      <w:r>
        <w:rPr>
          <w:szCs w:val="24"/>
          <w:lang w:eastAsia="en-US"/>
        </w:rPr>
        <w:t>Ak jednotné osvedčenie zanikne v súlade s článkom 20 ods. 1 písm. b) alebo c) alebo v súlade s článkom 20 ods. 2, alebo je neplatné v súlade s článkami 21 a 22, úrad bezodkladne uverejnení oznámenie tejto skutočnosti.</w:t>
      </w:r>
    </w:p>
    <w:p>
      <w:pPr>
        <w:widowControl/>
        <w:rPr>
          <w:szCs w:val="24"/>
          <w:lang w:eastAsia="en-US"/>
        </w:rPr>
      </w:pPr>
      <w:r>
        <w:rPr>
          <w:szCs w:val="24"/>
          <w:lang w:eastAsia="en-US"/>
        </w:rPr>
        <w:br w:type="page"/>
      </w:r>
    </w:p>
    <w:p>
      <w:pPr>
        <w:spacing w:before="120" w:after="120" w:line="360" w:lineRule="auto"/>
        <w:jc w:val="center"/>
        <w:rPr>
          <w:szCs w:val="24"/>
          <w:lang w:eastAsia="en-US"/>
        </w:rPr>
      </w:pPr>
      <w:r>
        <w:rPr>
          <w:szCs w:val="24"/>
          <w:lang w:eastAsia="en-US"/>
        </w:rPr>
        <w:lastRenderedPageBreak/>
        <w:t>Článok 25</w:t>
      </w:r>
      <w:r>
        <w:rPr>
          <w:szCs w:val="24"/>
          <w:lang w:eastAsia="en-US"/>
        </w:rPr>
        <w:br/>
        <w:t>Zmena</w:t>
      </w:r>
    </w:p>
    <w:p>
      <w:pPr>
        <w:spacing w:before="120" w:after="120" w:line="360" w:lineRule="auto"/>
        <w:ind w:left="850" w:hanging="850"/>
        <w:rPr>
          <w:szCs w:val="24"/>
          <w:lang w:eastAsia="en-US"/>
        </w:rPr>
      </w:pPr>
      <w:r>
        <w:rPr>
          <w:szCs w:val="24"/>
          <w:lang w:eastAsia="en-US"/>
        </w:rPr>
        <w:t>1.</w:t>
      </w:r>
      <w:r>
        <w:rPr>
          <w:szCs w:val="24"/>
          <w:lang w:eastAsia="en-US"/>
        </w:rPr>
        <w:tab/>
        <w:t>Ak sa jednotný účinok základného patentu zruší v čase, keď ešte nie je vybavená žiadosť o jednotné osvedčenie, držiteľ danej žiadosti môže po zaplatení poplatku požiadať o zmenu danej žiadosti na centralizovanú žiadosť o osvedčenia.</w:t>
      </w:r>
    </w:p>
    <w:p>
      <w:pPr>
        <w:spacing w:before="120" w:after="120" w:line="360" w:lineRule="auto"/>
        <w:ind w:left="850" w:hanging="850"/>
        <w:rPr>
          <w:szCs w:val="24"/>
          <w:lang w:eastAsia="en-US"/>
        </w:rPr>
      </w:pPr>
      <w:r>
        <w:rPr>
          <w:szCs w:val="24"/>
          <w:lang w:eastAsia="en-US"/>
        </w:rPr>
        <w:t>2.</w:t>
      </w:r>
      <w:r>
        <w:rPr>
          <w:szCs w:val="24"/>
          <w:lang w:eastAsia="en-US"/>
        </w:rPr>
        <w:tab/>
        <w:t>Ak sa jednotný účinok základného patentu zruší po udelení jednotného osvedčenia, držiteľ daného osvedčenia môže po zaplatení poplatku požiadať o zmenu daného jednotného osvedčenia na národné osvedčenia.</w:t>
      </w:r>
    </w:p>
    <w:p>
      <w:pPr>
        <w:spacing w:before="120" w:after="120" w:line="360" w:lineRule="auto"/>
        <w:ind w:left="850" w:hanging="850"/>
        <w:rPr>
          <w:szCs w:val="24"/>
          <w:lang w:eastAsia="en-US"/>
        </w:rPr>
      </w:pPr>
      <w:r>
        <w:rPr>
          <w:szCs w:val="24"/>
          <w:lang w:eastAsia="en-US"/>
        </w:rPr>
        <w:t>3.</w:t>
      </w:r>
      <w:r>
        <w:rPr>
          <w:szCs w:val="24"/>
          <w:lang w:eastAsia="en-US"/>
        </w:rPr>
        <w:tab/>
        <w:t>Požiadavku na zmenu možno predložiť úradu do troch mesiacov od oznámenia zrušenia jednotného účinku základného patentu.</w:t>
      </w:r>
    </w:p>
    <w:p>
      <w:pPr>
        <w:spacing w:before="120" w:after="120" w:line="360" w:lineRule="auto"/>
        <w:ind w:left="850" w:hanging="850"/>
        <w:rPr>
          <w:szCs w:val="24"/>
          <w:lang w:eastAsia="en-US"/>
        </w:rPr>
      </w:pPr>
      <w:r>
        <w:rPr>
          <w:szCs w:val="24"/>
          <w:lang w:eastAsia="en-US"/>
        </w:rPr>
        <w:t>4.</w:t>
      </w:r>
      <w:r>
        <w:rPr>
          <w:szCs w:val="24"/>
          <w:lang w:eastAsia="en-US"/>
        </w:rPr>
        <w:tab/>
        <w:t>Požiadavka na zmenu, ako aj jej výsledok sa uverejnia v registri.</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5.</w:t>
      </w:r>
      <w:r>
        <w:rPr>
          <w:szCs w:val="24"/>
          <w:lang w:eastAsia="en-US"/>
        </w:rPr>
        <w:tab/>
        <w:t>Úrad overí, či požadovaná zmena spĺňa podmienky stanovené v tomto článku, ako aj formálne podmienky uvedené vo vykonávacom akte prijatom podľa odseku 8. Ak podmienky, ktoré sa vzťahujú na danú požiadavku, nie sú splnené, úrad nedostatky oznámi žiadateľovi. Ak v lehote, ktorú určí úrad, nedôjde k odstráneniu týchto nedostatkov, úrad požiadavku na zmenu zamietne. Ak v príslušnej lehote troch mesiacov nebol zaplatený poplatok za zmenu, úrad žiadateľovi oznámi, že požiadavku na zmenu sa považuje za nepodanú.</w:t>
      </w:r>
    </w:p>
    <w:p>
      <w:pPr>
        <w:spacing w:before="120" w:after="120" w:line="360" w:lineRule="auto"/>
        <w:ind w:left="850" w:hanging="850"/>
        <w:rPr>
          <w:szCs w:val="24"/>
          <w:lang w:eastAsia="en-US"/>
        </w:rPr>
      </w:pPr>
      <w:r>
        <w:rPr>
          <w:szCs w:val="24"/>
          <w:lang w:eastAsia="en-US"/>
        </w:rPr>
        <w:t>6.</w:t>
      </w:r>
      <w:r>
        <w:rPr>
          <w:szCs w:val="24"/>
          <w:lang w:eastAsia="en-US"/>
        </w:rPr>
        <w:tab/>
        <w:t>Ak je požiadavka podľa odseku 1 v súlade s odsekom 5, úrad zmení žiadosť o jednotné osvedčenie na centralizovanú žiadosť o osvedčenia s určením členských štátov, v ktorých mal základný patent jednotný účinok. V prípade kombinovanej žiadosti sa k určeniu členských štátov, ktoré sa už uvádzajú v kombinovanej žiadosti, pridá aj určenie členských štátov, v ktorých mal základný patent jednotný účinok.</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7.</w:t>
      </w:r>
      <w:r>
        <w:rPr>
          <w:szCs w:val="24"/>
          <w:lang w:eastAsia="en-US"/>
        </w:rPr>
        <w:tab/>
        <w:t>Ak je požiadavka podľa odseku 2 v súlade s odsekom 5, úrad požiadavku na zmenu postúpi príslušným vnútroštátnym orgánom jednotlivých členských štátov, v ktorých mal základný patent jednotný účinok a v prípade ktorých bola daná požiadavka posúdená ako prípustná. Príslušné vnútroštátne orgány prijmú zodpovedajúce rozhodnutia.</w:t>
      </w:r>
    </w:p>
    <w:p>
      <w:pPr>
        <w:spacing w:before="120" w:after="120" w:line="360" w:lineRule="auto"/>
        <w:ind w:left="850" w:hanging="850"/>
        <w:rPr>
          <w:szCs w:val="24"/>
          <w:lang w:eastAsia="en-US"/>
        </w:rPr>
      </w:pPr>
      <w:r>
        <w:rPr>
          <w:szCs w:val="24"/>
          <w:lang w:eastAsia="en-US"/>
        </w:rPr>
        <w:t>8.</w:t>
      </w:r>
      <w:r>
        <w:rPr>
          <w:szCs w:val="24"/>
          <w:lang w:eastAsia="en-US"/>
        </w:rPr>
        <w:tab/>
        <w:t>Komisia prijíma vykonávacie akty, v ktorých sa špecifikujú podrobnosti, ktoré má obsahovať požiadavka na zmenu jednotného osvedčenia alebo na zmenu jednotného osvedčenia na centralizovanú žiadosť v prípade osvedčení alebo národných osvedčení. Tieto vykonávacie akty sa prijmú v súlade s postupom prieskumu uvedeným v článku 50.</w:t>
      </w:r>
    </w:p>
    <w:p>
      <w:pPr>
        <w:spacing w:before="120" w:after="120" w:line="360" w:lineRule="auto"/>
        <w:jc w:val="center"/>
        <w:rPr>
          <w:szCs w:val="24"/>
          <w:lang w:eastAsia="en-US"/>
        </w:rPr>
      </w:pPr>
      <w:r>
        <w:rPr>
          <w:szCs w:val="24"/>
          <w:lang w:eastAsia="en-US"/>
        </w:rPr>
        <w:t>Článok 26</w:t>
      </w:r>
      <w:r>
        <w:rPr>
          <w:szCs w:val="24"/>
          <w:lang w:eastAsia="en-US"/>
        </w:rPr>
        <w:br/>
        <w:t>Odvolania</w:t>
      </w:r>
    </w:p>
    <w:p>
      <w:pPr>
        <w:spacing w:before="120" w:after="120" w:line="360" w:lineRule="auto"/>
        <w:ind w:left="850" w:hanging="850"/>
        <w:rPr>
          <w:szCs w:val="24"/>
          <w:lang w:eastAsia="en-US"/>
        </w:rPr>
      </w:pPr>
      <w:r>
        <w:rPr>
          <w:szCs w:val="24"/>
          <w:lang w:eastAsia="en-US"/>
        </w:rPr>
        <w:t>1.</w:t>
      </w:r>
      <w:r>
        <w:rPr>
          <w:szCs w:val="24"/>
          <w:lang w:eastAsia="en-US"/>
        </w:rPr>
        <w:tab/>
        <w:t>Každý účastník konania podľa tohto nariadenia, ktorý je nepriaznivo dotknutý rozhodnutím úradu, vrátane prijatia stanoviska na základe prieskumu, sa môže proti rozhodnutiu odvolať na odvolacie senáty.</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2.</w:t>
      </w:r>
      <w:r>
        <w:rPr>
          <w:szCs w:val="24"/>
          <w:lang w:eastAsia="en-US"/>
        </w:rPr>
        <w:tab/>
        <w:t>Podanie odvolania má pozastavujúci účinok. Rozhodnutie úradu, ktoré nebolo napadnuté, nadobúda účinnosť v deň nasledujúci po dni uplynutia lehoty na podanie odvolania uvedenej v odseku 3.</w:t>
      </w:r>
    </w:p>
    <w:p>
      <w:pPr>
        <w:spacing w:before="120" w:after="120" w:line="360" w:lineRule="auto"/>
        <w:ind w:left="850" w:hanging="850"/>
        <w:rPr>
          <w:szCs w:val="24"/>
          <w:lang w:eastAsia="en-US"/>
        </w:rPr>
      </w:pPr>
      <w:r>
        <w:rPr>
          <w:szCs w:val="24"/>
          <w:lang w:eastAsia="en-US"/>
        </w:rPr>
        <w:t>3.</w:t>
      </w:r>
      <w:r>
        <w:rPr>
          <w:szCs w:val="24"/>
          <w:lang w:eastAsia="en-US"/>
        </w:rPr>
        <w:tab/>
        <w:t xml:space="preserve">Odvolanie sa podáva písomne na úrade do dvoch mesiacov odo dňa oznámenia rozhodnutia. Odvolanie sa považuje za podané iba vtedy, ak bol uhradený poplatok za podanie odvolania. V prípade odvolania sa písomné vyhlásenie obsahujúce dôvody odvolania </w:t>
      </w:r>
      <w:r>
        <w:rPr>
          <w:b/>
          <w:i/>
          <w:szCs w:val="24"/>
          <w:lang w:eastAsia="en-US"/>
        </w:rPr>
        <w:t xml:space="preserve">vrátane podkladov na podporu uvedených dôvodov </w:t>
      </w:r>
      <w:r>
        <w:rPr>
          <w:szCs w:val="24"/>
          <w:lang w:eastAsia="en-US"/>
        </w:rPr>
        <w:t xml:space="preserve">podáva do </w:t>
      </w:r>
      <w:r>
        <w:rPr>
          <w:strike/>
          <w:szCs w:val="24"/>
          <w:lang w:eastAsia="en-US"/>
        </w:rPr>
        <w:t>štyroch</w:t>
      </w:r>
      <w:r>
        <w:rPr>
          <w:b/>
          <w:i/>
          <w:szCs w:val="24"/>
          <w:lang w:eastAsia="en-US"/>
        </w:rPr>
        <w:t>troch</w:t>
      </w:r>
      <w:r>
        <w:rPr>
          <w:szCs w:val="24"/>
          <w:lang w:eastAsia="en-US"/>
        </w:rPr>
        <w:t xml:space="preserve"> mesiacov odo dňa oznámenia rozhodnutia. </w:t>
      </w:r>
    </w:p>
    <w:p>
      <w:pPr>
        <w:spacing w:before="120" w:after="120" w:line="360" w:lineRule="auto"/>
        <w:ind w:left="850"/>
        <w:rPr>
          <w:szCs w:val="24"/>
          <w:lang w:eastAsia="en-US"/>
        </w:rPr>
      </w:pPr>
      <w:r>
        <w:rPr>
          <w:b/>
          <w:i/>
          <w:szCs w:val="24"/>
          <w:lang w:eastAsia="en-US"/>
        </w:rPr>
        <w:t xml:space="preserve">Odpoveď na vyhlásenie obsahujúce dôvody odvolania sa predkladá písomne najneskôr do troch mesiacov odo dňa podania vyhlásenia obsahujúceho dôvody odvolania. Úrad v prípade potreby určí dátum ústneho konania do troch mesiacov odo dňa predloženia odpovede alebo do šiestich mesiacov odo dňa podania vyhlásenia obsahujúceho dôvody odvolania podľa toho, čo nastane skôr. Úrad vydá písomné rozhodnutie do troch mesiacov odo dňa konania ústneho vypočutia alebo prípadne dňa predloženia odpovede na vyhlásenie obsahujúce dôvody odvolania. </w:t>
      </w:r>
      <w:r>
        <w:rPr>
          <w:b/>
          <w:szCs w:val="24"/>
          <w:lang w:eastAsia="en-US"/>
        </w:rPr>
        <w:t>[PN 30]</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4.</w:t>
      </w:r>
      <w:r>
        <w:rPr>
          <w:szCs w:val="24"/>
          <w:lang w:eastAsia="en-US"/>
        </w:rPr>
        <w:tab/>
        <w:t>Po prieskume prípustnosti odvolania rozhodnú odvolacie senáty o opodstatnenosti odvolania.</w:t>
      </w:r>
    </w:p>
    <w:p>
      <w:pPr>
        <w:spacing w:before="120" w:after="120" w:line="360" w:lineRule="auto"/>
        <w:ind w:left="850" w:hanging="850"/>
        <w:rPr>
          <w:szCs w:val="24"/>
          <w:lang w:eastAsia="en-US"/>
        </w:rPr>
      </w:pPr>
      <w:r>
        <w:rPr>
          <w:szCs w:val="24"/>
          <w:lang w:eastAsia="en-US"/>
        </w:rPr>
        <w:t>5.</w:t>
      </w:r>
      <w:r>
        <w:rPr>
          <w:szCs w:val="24"/>
          <w:lang w:eastAsia="en-US"/>
        </w:rPr>
        <w:tab/>
        <w:t xml:space="preserve">Ak odvolanie vyústi do rozhodnutia, ktoré nie je v súlade so stanoviskom na základe prieskumu, rozhodnutím senátov sa toto stanovisko </w:t>
      </w:r>
      <w:r>
        <w:rPr>
          <w:strike/>
          <w:szCs w:val="24"/>
          <w:lang w:eastAsia="en-US"/>
        </w:rPr>
        <w:t>môže zrušiť</w:t>
      </w:r>
      <w:r>
        <w:rPr>
          <w:b/>
          <w:i/>
          <w:szCs w:val="24"/>
          <w:lang w:eastAsia="en-US"/>
        </w:rPr>
        <w:t>zruší</w:t>
      </w:r>
      <w:r>
        <w:rPr>
          <w:szCs w:val="24"/>
          <w:lang w:eastAsia="en-US"/>
        </w:rPr>
        <w:t xml:space="preserve"> alebo </w:t>
      </w:r>
      <w:r>
        <w:rPr>
          <w:strike/>
          <w:szCs w:val="24"/>
          <w:lang w:eastAsia="en-US"/>
        </w:rPr>
        <w:t>zmeniť</w:t>
      </w:r>
      <w:r>
        <w:rPr>
          <w:b/>
          <w:i/>
          <w:szCs w:val="24"/>
          <w:lang w:eastAsia="en-US"/>
        </w:rPr>
        <w:t>zmení</w:t>
      </w:r>
      <w:r>
        <w:rPr>
          <w:szCs w:val="24"/>
          <w:lang w:eastAsia="en-US"/>
        </w:rPr>
        <w:t xml:space="preserve">. </w:t>
      </w:r>
      <w:r>
        <w:rPr>
          <w:b/>
          <w:szCs w:val="24"/>
          <w:lang w:eastAsia="en-US"/>
        </w:rPr>
        <w:t>[PN 31]</w:t>
      </w:r>
    </w:p>
    <w:p>
      <w:pPr>
        <w:spacing w:before="120" w:after="120" w:line="360" w:lineRule="auto"/>
        <w:ind w:left="850" w:hanging="850"/>
        <w:rPr>
          <w:szCs w:val="24"/>
          <w:lang w:eastAsia="en-US"/>
        </w:rPr>
      </w:pPr>
      <w:r>
        <w:rPr>
          <w:szCs w:val="24"/>
          <w:lang w:eastAsia="en-US"/>
        </w:rPr>
        <w:t>6.</w:t>
      </w:r>
      <w:r>
        <w:rPr>
          <w:szCs w:val="24"/>
          <w:lang w:eastAsia="en-US"/>
        </w:rPr>
        <w:tab/>
        <w:t>Proti rozhodnutiu odvolacích senátov týkajúcemu sa odvolaní možno podať žalobu na Všeobecnom súde Európskej únie do dvoch mesiacov odo dňa oznámenia daného rozhodnutia, a to z dôvodu porušenia základnej procesnej požiadavky, porušenia Zmluvy o fungovaní Európskej únie, porušenia tohto nariadenia alebo akejkoľvek právnej normy týkajúcej sa uplatňovania alebo zneužitia právomoci. Žalobu môže podať každý účastník konania pred odvolacím senátom, ktorý je nepriaznivo dotknutý jeho rozhodnutím. Všeobecný súd má právomoc napadnuté rozhodnutie zrušiť alebo zmeniť.</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7.</w:t>
      </w:r>
      <w:r>
        <w:rPr>
          <w:szCs w:val="24"/>
          <w:lang w:eastAsia="en-US"/>
        </w:rPr>
        <w:tab/>
        <w:t>Rozhodnutia odvolacích senátov nadobúdajú účinnosť dňom nasledujúcim po dni uplynutia lehoty uvedenej v odseku 6, alebo ak bola v tejto lehote podaná žaloba na Všeobecný súd, dňom nasledujúcim po dni zamietnutia takejto žaloby alebo zamietnutia odvolania podaného na Súdny dvor Európskej únie proti rozhodnutiu Všeobecného súdu. Úrad prijme opatrenia nevyhnutné na dosiahnutie súladu s rozsudkom Všeobecného súdu alebo v prípade odvolania proti uvedenému rozsudku, s rozsudkom Súdneho dvora.</w:t>
      </w:r>
    </w:p>
    <w:p>
      <w:pPr>
        <w:spacing w:before="120" w:after="120" w:line="360" w:lineRule="auto"/>
        <w:ind w:left="850" w:hanging="850"/>
        <w:rPr>
          <w:szCs w:val="24"/>
          <w:lang w:eastAsia="en-US"/>
        </w:rPr>
      </w:pPr>
      <w:r>
        <w:rPr>
          <w:szCs w:val="24"/>
          <w:lang w:eastAsia="en-US"/>
        </w:rPr>
        <w:t>8.</w:t>
      </w:r>
      <w:r>
        <w:rPr>
          <w:szCs w:val="24"/>
          <w:lang w:eastAsia="en-US"/>
        </w:rPr>
        <w:tab/>
        <w:t>Komisia je splnomocnená prijímať delegované akty v súlade s článkom 49 s cieľom doplniť toto nariadenie špecifikovaním obsahu a formy odvolania uvedeného v odseku 3, postupu podania a prieskumu odvolania a obsahu a formy rozhodnutia odvolacieho senátu uvedeného v odseku 4.</w:t>
      </w:r>
    </w:p>
    <w:p>
      <w:pPr>
        <w:widowControl/>
        <w:rPr>
          <w:szCs w:val="24"/>
          <w:lang w:eastAsia="en-US"/>
        </w:rPr>
      </w:pPr>
      <w:r>
        <w:rPr>
          <w:szCs w:val="24"/>
          <w:lang w:eastAsia="en-US"/>
        </w:rPr>
        <w:br w:type="page"/>
      </w:r>
    </w:p>
    <w:p>
      <w:pPr>
        <w:spacing w:before="120" w:after="120" w:line="360" w:lineRule="auto"/>
        <w:jc w:val="center"/>
        <w:rPr>
          <w:szCs w:val="24"/>
          <w:lang w:eastAsia="en-US"/>
        </w:rPr>
      </w:pPr>
      <w:r>
        <w:rPr>
          <w:szCs w:val="24"/>
          <w:lang w:eastAsia="en-US"/>
        </w:rPr>
        <w:lastRenderedPageBreak/>
        <w:t>Článok 27</w:t>
      </w:r>
      <w:r>
        <w:rPr>
          <w:szCs w:val="24"/>
          <w:lang w:eastAsia="en-US"/>
        </w:rPr>
        <w:br/>
        <w:t>Odvolacie senáty</w:t>
      </w:r>
    </w:p>
    <w:p>
      <w:pPr>
        <w:spacing w:before="120" w:after="120" w:line="360" w:lineRule="auto"/>
        <w:ind w:left="850" w:hanging="850"/>
        <w:rPr>
          <w:szCs w:val="24"/>
          <w:lang w:eastAsia="en-US"/>
        </w:rPr>
      </w:pPr>
      <w:r>
        <w:rPr>
          <w:szCs w:val="24"/>
          <w:lang w:eastAsia="en-US"/>
        </w:rPr>
        <w:t>1.</w:t>
      </w:r>
      <w:r>
        <w:rPr>
          <w:szCs w:val="24"/>
          <w:lang w:eastAsia="en-US"/>
        </w:rPr>
        <w:tab/>
        <w:t>Okrem právomocí, ktoré sú im zverené článkom 165 nariadenia (EÚ) 2017/1001, sú odvolacie senáty zriadené uvedeným nariadením zodpovedné za rozhodovanie o odvolaniach proti rozhodnutiam úradu prijatým na základe článku 26 ods. 1.</w:t>
      </w:r>
    </w:p>
    <w:p>
      <w:pPr>
        <w:spacing w:before="120" w:after="120" w:line="360" w:lineRule="auto"/>
        <w:ind w:left="850" w:hanging="850"/>
        <w:rPr>
          <w:szCs w:val="24"/>
          <w:lang w:eastAsia="en-US"/>
        </w:rPr>
      </w:pPr>
      <w:r>
        <w:rPr>
          <w:szCs w:val="24"/>
          <w:lang w:eastAsia="en-US"/>
        </w:rPr>
        <w:t>2.</w:t>
      </w:r>
      <w:r>
        <w:rPr>
          <w:szCs w:val="24"/>
          <w:lang w:eastAsia="en-US"/>
        </w:rPr>
        <w:tab/>
        <w:t>Odvolací senát vo veciach týkajúcich sa jednotného osvedčenia sa skladá z troch členov, z ktorých najmenej dvaja majú právnické vzdelanie. Ak sa odvolací senát domnieva, že si to vyžaduje povaha odvolania, môže k danej veci prizvať ďalších dvoch členov.</w:t>
      </w:r>
    </w:p>
    <w:p>
      <w:pPr>
        <w:spacing w:before="120" w:after="120" w:line="360" w:lineRule="auto"/>
        <w:ind w:left="850" w:hanging="850"/>
        <w:rPr>
          <w:szCs w:val="24"/>
          <w:lang w:eastAsia="en-US"/>
        </w:rPr>
      </w:pPr>
      <w:r>
        <w:rPr>
          <w:szCs w:val="24"/>
          <w:lang w:eastAsia="en-US"/>
        </w:rPr>
        <w:t>3.</w:t>
      </w:r>
      <w:r>
        <w:rPr>
          <w:szCs w:val="24"/>
          <w:lang w:eastAsia="en-US"/>
        </w:rPr>
        <w:tab/>
        <w:t>Vo veciach týkajúcich sa jednotného osvedčenia nerozhoduje veľký senát uvedený v článku 165 ods. 2, 3 a 4 a v článku 167 ods. 2 nariadenia (EÚ) 2017/1001. Rozhodnutia prijaté jedným členom podľa článku 165 ods. 2 nariadenia (EÚ) 2017/1001 nie sú možné.</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4.</w:t>
      </w:r>
      <w:r>
        <w:rPr>
          <w:szCs w:val="24"/>
          <w:lang w:eastAsia="en-US"/>
        </w:rPr>
        <w:tab/>
        <w:t>Členovia odvolacích senátov vo veciach týkajúcich sa jednotných osvedčení sa vymenúvajú v súlade s článkom 166 ods. 5 nariadenia (EÚ) 2017/1001.</w:t>
      </w:r>
      <w:r>
        <w:rPr>
          <w:b/>
          <w:i/>
          <w:szCs w:val="24"/>
          <w:lang w:eastAsia="en-US"/>
        </w:rPr>
        <w:t xml:space="preserve"> Pri vymenúvaní členov odvolacích senátov vo veciach týkajúcich sa žiadostí o jednotné osvedčenia sa náležite zohľadnia ich predchádzajúce skúsenosti vo veciach týkajúcich sa dodatkových ochranných osvedčení alebo patentového práva. </w:t>
      </w:r>
      <w:r>
        <w:rPr>
          <w:b/>
          <w:szCs w:val="24"/>
          <w:lang w:eastAsia="en-US"/>
        </w:rPr>
        <w:t>[PN 32]</w:t>
      </w:r>
    </w:p>
    <w:p>
      <w:pPr>
        <w:spacing w:before="120" w:after="120" w:line="360" w:lineRule="auto"/>
        <w:ind w:left="850" w:hanging="850"/>
        <w:rPr>
          <w:szCs w:val="24"/>
          <w:lang w:eastAsia="en-US"/>
        </w:rPr>
      </w:pPr>
      <w:r>
        <w:rPr>
          <w:b/>
          <w:i/>
          <w:szCs w:val="24"/>
          <w:lang w:eastAsia="en-US"/>
        </w:rPr>
        <w:t>4a.</w:t>
      </w:r>
      <w:r>
        <w:rPr>
          <w:szCs w:val="24"/>
          <w:lang w:eastAsia="en-US"/>
        </w:rPr>
        <w:tab/>
      </w:r>
      <w:r>
        <w:rPr>
          <w:b/>
          <w:i/>
          <w:szCs w:val="24"/>
          <w:lang w:eastAsia="en-US"/>
        </w:rPr>
        <w:t xml:space="preserve">Na odvolacie senáty sa vo veciach týkajúcich sa jednotných osvedčení vzťahuje článok 166 ods. 9 nariadenia (EÚ) 2017/1001. </w:t>
      </w:r>
      <w:r>
        <w:rPr>
          <w:b/>
          <w:szCs w:val="24"/>
          <w:lang w:eastAsia="en-US"/>
        </w:rPr>
        <w:t>[PN 33]</w:t>
      </w:r>
    </w:p>
    <w:p>
      <w:pPr>
        <w:spacing w:before="120" w:after="120" w:line="360" w:lineRule="auto"/>
        <w:jc w:val="center"/>
        <w:rPr>
          <w:szCs w:val="24"/>
          <w:lang w:eastAsia="en-US"/>
        </w:rPr>
      </w:pPr>
      <w:r>
        <w:rPr>
          <w:szCs w:val="24"/>
          <w:lang w:eastAsia="en-US"/>
        </w:rPr>
        <w:t>Článok 28</w:t>
      </w:r>
      <w:r>
        <w:rPr>
          <w:szCs w:val="24"/>
          <w:lang w:eastAsia="en-US"/>
        </w:rPr>
        <w:br/>
        <w:t>Delegovanie právomoci týkajúce sa odvolacích senátov</w:t>
      </w:r>
    </w:p>
    <w:p>
      <w:pPr>
        <w:spacing w:before="120" w:after="120" w:line="360" w:lineRule="auto"/>
        <w:rPr>
          <w:szCs w:val="24"/>
          <w:lang w:eastAsia="en-US"/>
        </w:rPr>
      </w:pPr>
      <w:r>
        <w:rPr>
          <w:szCs w:val="24"/>
          <w:lang w:eastAsia="en-US"/>
        </w:rPr>
        <w:t>Komisia je splnomocnená prijímať delegované akty v súlade s článkom 49 s cieľom doplniť toto nariadenie špecifikovaním podrobností organizácie odvolacích senátov v konaniach týkajúcich sa jednotných osvedčení podľa tohto nariadenia.</w:t>
      </w:r>
    </w:p>
    <w:p>
      <w:pPr>
        <w:widowControl/>
        <w:rPr>
          <w:szCs w:val="24"/>
          <w:lang w:eastAsia="en-US"/>
        </w:rPr>
      </w:pPr>
      <w:r>
        <w:rPr>
          <w:szCs w:val="24"/>
          <w:lang w:eastAsia="en-US"/>
        </w:rPr>
        <w:br w:type="page"/>
      </w:r>
    </w:p>
    <w:p>
      <w:pPr>
        <w:spacing w:before="120" w:after="120" w:line="360" w:lineRule="auto"/>
        <w:jc w:val="center"/>
        <w:rPr>
          <w:szCs w:val="24"/>
          <w:lang w:eastAsia="en-US"/>
        </w:rPr>
      </w:pPr>
      <w:r>
        <w:rPr>
          <w:szCs w:val="24"/>
          <w:lang w:eastAsia="en-US"/>
        </w:rPr>
        <w:lastRenderedPageBreak/>
        <w:t>Článok 29</w:t>
      </w:r>
      <w:r>
        <w:rPr>
          <w:szCs w:val="24"/>
          <w:lang w:eastAsia="en-US"/>
        </w:rPr>
        <w:br/>
        <w:t>Poplatky</w:t>
      </w:r>
    </w:p>
    <w:p>
      <w:pPr>
        <w:spacing w:before="120" w:after="120" w:line="360" w:lineRule="auto"/>
        <w:ind w:left="850" w:hanging="850"/>
        <w:rPr>
          <w:szCs w:val="24"/>
          <w:lang w:eastAsia="en-US"/>
        </w:rPr>
      </w:pPr>
      <w:r>
        <w:rPr>
          <w:szCs w:val="24"/>
          <w:lang w:eastAsia="en-US"/>
        </w:rPr>
        <w:t>1.</w:t>
      </w:r>
      <w:r>
        <w:rPr>
          <w:szCs w:val="24"/>
          <w:lang w:eastAsia="en-US"/>
        </w:rPr>
        <w:tab/>
        <w:t>Úrad účtuje poplatok za podanie žiadosti o jednotné osvedčenie.</w:t>
      </w:r>
    </w:p>
    <w:p>
      <w:pPr>
        <w:spacing w:before="120" w:after="120" w:line="360" w:lineRule="auto"/>
        <w:ind w:left="850" w:hanging="850"/>
        <w:rPr>
          <w:szCs w:val="24"/>
          <w:lang w:eastAsia="en-US"/>
        </w:rPr>
      </w:pPr>
      <w:r>
        <w:rPr>
          <w:szCs w:val="24"/>
          <w:lang w:eastAsia="en-US"/>
        </w:rPr>
        <w:t>2.</w:t>
      </w:r>
      <w:r>
        <w:rPr>
          <w:szCs w:val="24"/>
          <w:lang w:eastAsia="en-US"/>
        </w:rPr>
        <w:tab/>
        <w:t>Úrad účtuje poplatok za podanie odvolania a námietok a žiadostí o vyhlásenie neplatnosti a o zmenu.</w:t>
      </w:r>
    </w:p>
    <w:p>
      <w:pPr>
        <w:spacing w:before="120" w:after="120" w:line="360" w:lineRule="auto"/>
        <w:ind w:left="850" w:hanging="850"/>
        <w:rPr>
          <w:szCs w:val="24"/>
          <w:lang w:eastAsia="en-US"/>
        </w:rPr>
      </w:pPr>
      <w:r>
        <w:rPr>
          <w:szCs w:val="24"/>
          <w:lang w:eastAsia="en-US"/>
        </w:rPr>
        <w:t>3.</w:t>
      </w:r>
      <w:r>
        <w:rPr>
          <w:szCs w:val="24"/>
          <w:lang w:eastAsia="en-US"/>
        </w:rPr>
        <w:tab/>
        <w:t>Na jednotné osvedčenie sa vzťahuje povinnosť hradiť úradu ročné udržiavacie poplatky.</w:t>
      </w:r>
    </w:p>
    <w:p>
      <w:pPr>
        <w:spacing w:before="120" w:after="120" w:line="360" w:lineRule="auto"/>
        <w:ind w:left="850" w:hanging="850"/>
        <w:rPr>
          <w:szCs w:val="24"/>
          <w:lang w:eastAsia="en-US"/>
        </w:rPr>
      </w:pPr>
      <w:r>
        <w:rPr>
          <w:szCs w:val="24"/>
          <w:lang w:eastAsia="en-US"/>
        </w:rPr>
        <w:t>4.</w:t>
      </w:r>
      <w:r>
        <w:rPr>
          <w:szCs w:val="24"/>
          <w:lang w:eastAsia="en-US"/>
        </w:rPr>
        <w:tab/>
        <w:t>Komisia je splnomocnená prijímať vykonávacie akty, v ktorých sa určuje výška poplatkov, ktoré účtuje úrad, lehoty, v ktorých sa tieto poplatky musia zaplatiť, a spôsoby ich úhrady. Tieto vykonávacie akty sa prijmú v súlade s postupom prieskumu uvedeným v článku 50.</w:t>
      </w:r>
    </w:p>
    <w:p>
      <w:pPr>
        <w:spacing w:before="120" w:after="120" w:line="360" w:lineRule="auto"/>
        <w:jc w:val="center"/>
        <w:rPr>
          <w:szCs w:val="24"/>
          <w:lang w:eastAsia="en-US"/>
        </w:rPr>
      </w:pPr>
      <w:r>
        <w:rPr>
          <w:szCs w:val="24"/>
          <w:lang w:eastAsia="en-US"/>
        </w:rPr>
        <w:t>Článok 30</w:t>
      </w:r>
      <w:r>
        <w:rPr>
          <w:szCs w:val="24"/>
          <w:lang w:eastAsia="en-US"/>
        </w:rPr>
        <w:br/>
        <w:t>Kombinované žiadosti</w:t>
      </w:r>
    </w:p>
    <w:p>
      <w:pPr>
        <w:spacing w:before="120" w:after="120" w:line="360" w:lineRule="auto"/>
        <w:rPr>
          <w:szCs w:val="24"/>
          <w:lang w:eastAsia="en-US"/>
        </w:rPr>
      </w:pPr>
      <w:r>
        <w:rPr>
          <w:szCs w:val="24"/>
          <w:lang w:eastAsia="en-US"/>
        </w:rPr>
        <w:t>Žiadosť o jednotné osvedčenie môže byť zahrnutá v kombinovanej centralizovanej žiadosti, v ktorej žiadateľ žiada aj o udelenie národných osvedčení v určených členských štátoch v súlade s centralizovaným postupom podľa nariadenia [COM(2023) 223]. V takom prípade sa uplatňuje článok 38 uvedeného nariadenia.</w:t>
      </w:r>
    </w:p>
    <w:p>
      <w:pPr>
        <w:widowControl/>
        <w:rPr>
          <w:szCs w:val="24"/>
          <w:lang w:eastAsia="en-US"/>
        </w:rPr>
      </w:pPr>
      <w:r>
        <w:rPr>
          <w:szCs w:val="24"/>
          <w:lang w:eastAsia="en-US"/>
        </w:rPr>
        <w:br w:type="page"/>
      </w:r>
    </w:p>
    <w:p>
      <w:pPr>
        <w:spacing w:before="120" w:after="120" w:line="360" w:lineRule="auto"/>
        <w:jc w:val="center"/>
        <w:rPr>
          <w:szCs w:val="24"/>
          <w:lang w:eastAsia="en-US"/>
        </w:rPr>
      </w:pPr>
      <w:r>
        <w:rPr>
          <w:szCs w:val="24"/>
          <w:lang w:eastAsia="en-US"/>
        </w:rPr>
        <w:lastRenderedPageBreak/>
        <w:t>Článok 31</w:t>
      </w:r>
      <w:r>
        <w:rPr>
          <w:szCs w:val="24"/>
          <w:lang w:eastAsia="en-US"/>
        </w:rPr>
        <w:br/>
        <w:t>Jazyk</w:t>
      </w:r>
    </w:p>
    <w:p>
      <w:pPr>
        <w:spacing w:before="120" w:after="120" w:line="360" w:lineRule="auto"/>
        <w:ind w:left="850" w:hanging="850"/>
        <w:rPr>
          <w:szCs w:val="24"/>
          <w:lang w:eastAsia="en-US"/>
        </w:rPr>
      </w:pPr>
      <w:r>
        <w:rPr>
          <w:szCs w:val="24"/>
          <w:lang w:eastAsia="en-US"/>
        </w:rPr>
        <w:t>1.</w:t>
      </w:r>
      <w:r>
        <w:rPr>
          <w:szCs w:val="24"/>
          <w:lang w:eastAsia="en-US"/>
        </w:rPr>
        <w:tab/>
        <w:t>Všetky dokumenty a informácie zasielané úradu v súvislosti s postupmi podľa tohto nariadenia musia byť v jednom z úradných jazykov Únie.</w:t>
      </w:r>
    </w:p>
    <w:p>
      <w:pPr>
        <w:spacing w:before="120" w:after="120" w:line="360" w:lineRule="auto"/>
        <w:ind w:left="850" w:hanging="850"/>
        <w:rPr>
          <w:szCs w:val="24"/>
          <w:lang w:eastAsia="en-US"/>
        </w:rPr>
      </w:pPr>
      <w:r>
        <w:rPr>
          <w:szCs w:val="24"/>
          <w:lang w:eastAsia="en-US"/>
        </w:rPr>
        <w:t>2.</w:t>
      </w:r>
      <w:r>
        <w:rPr>
          <w:szCs w:val="24"/>
          <w:lang w:eastAsia="en-US"/>
        </w:rPr>
        <w:tab/>
        <w:t>Pokiaľ ide o úlohy, ktorými je úrad poverený podľa tohto nariadenia, sú jazykmi úradu všetky úradné jazyky Únie podľa nariadenia Rady č. 1</w:t>
      </w:r>
      <w:r>
        <w:rPr>
          <w:szCs w:val="24"/>
          <w:vertAlign w:val="superscript"/>
          <w:lang w:eastAsia="en-US"/>
        </w:rPr>
        <w:footnoteReference w:id="13"/>
      </w:r>
      <w:r>
        <w:rPr>
          <w:szCs w:val="24"/>
          <w:lang w:eastAsia="en-US"/>
        </w:rPr>
        <w:t>.</w:t>
      </w:r>
    </w:p>
    <w:p>
      <w:pPr>
        <w:spacing w:before="120" w:after="120" w:line="360" w:lineRule="auto"/>
        <w:jc w:val="center"/>
        <w:rPr>
          <w:szCs w:val="24"/>
          <w:lang w:eastAsia="en-US"/>
        </w:rPr>
      </w:pPr>
      <w:r>
        <w:rPr>
          <w:szCs w:val="24"/>
          <w:lang w:eastAsia="en-US"/>
        </w:rPr>
        <w:t>Článok 32</w:t>
      </w:r>
      <w:r>
        <w:rPr>
          <w:szCs w:val="24"/>
          <w:lang w:eastAsia="en-US"/>
        </w:rPr>
        <w:br/>
        <w:t>Oznámenia určené úradu</w:t>
      </w:r>
    </w:p>
    <w:p>
      <w:pPr>
        <w:spacing w:before="120" w:after="120" w:line="360" w:lineRule="auto"/>
        <w:ind w:left="850" w:hanging="850"/>
        <w:rPr>
          <w:szCs w:val="24"/>
          <w:lang w:eastAsia="en-US"/>
        </w:rPr>
      </w:pPr>
      <w:r>
        <w:rPr>
          <w:szCs w:val="24"/>
          <w:lang w:eastAsia="en-US"/>
        </w:rPr>
        <w:t>1.</w:t>
      </w:r>
      <w:r>
        <w:rPr>
          <w:szCs w:val="24"/>
          <w:lang w:eastAsia="en-US"/>
        </w:rPr>
        <w:tab/>
        <w:t xml:space="preserve">Oznámenia určené úradu </w:t>
      </w:r>
      <w:r>
        <w:rPr>
          <w:strike/>
          <w:szCs w:val="24"/>
          <w:lang w:eastAsia="en-US"/>
        </w:rPr>
        <w:t>možno podávať</w:t>
      </w:r>
      <w:r>
        <w:rPr>
          <w:b/>
          <w:i/>
          <w:szCs w:val="24"/>
          <w:lang w:eastAsia="en-US"/>
        </w:rPr>
        <w:t xml:space="preserve">sa podávajú </w:t>
      </w:r>
      <w:r>
        <w:rPr>
          <w:szCs w:val="24"/>
          <w:lang w:eastAsia="en-US"/>
        </w:rPr>
        <w:t xml:space="preserve">elektronickými prostriedkami. Výkonný riaditeľ určí rozsah a technické podmienky, za akých </w:t>
      </w:r>
      <w:r>
        <w:rPr>
          <w:strike/>
          <w:szCs w:val="24"/>
          <w:lang w:eastAsia="en-US"/>
        </w:rPr>
        <w:t>možno</w:t>
      </w:r>
      <w:r>
        <w:rPr>
          <w:szCs w:val="24"/>
          <w:lang w:eastAsia="en-US"/>
        </w:rPr>
        <w:t xml:space="preserve"> </w:t>
      </w:r>
      <w:r>
        <w:rPr>
          <w:b/>
          <w:i/>
          <w:szCs w:val="24"/>
          <w:lang w:eastAsia="en-US"/>
        </w:rPr>
        <w:t>sa</w:t>
      </w:r>
      <w:r>
        <w:rPr>
          <w:szCs w:val="24"/>
          <w:lang w:eastAsia="en-US"/>
        </w:rPr>
        <w:t xml:space="preserve"> uvedené oznámenia </w:t>
      </w:r>
      <w:r>
        <w:rPr>
          <w:strike/>
          <w:szCs w:val="24"/>
          <w:lang w:eastAsia="en-US"/>
        </w:rPr>
        <w:t>podávať</w:t>
      </w:r>
      <w:r>
        <w:rPr>
          <w:b/>
          <w:i/>
          <w:szCs w:val="24"/>
          <w:lang w:eastAsia="en-US"/>
        </w:rPr>
        <w:t>podávajú</w:t>
      </w:r>
      <w:r>
        <w:rPr>
          <w:szCs w:val="24"/>
          <w:lang w:eastAsia="en-US"/>
        </w:rPr>
        <w:t xml:space="preserve"> elektronicky. </w:t>
      </w:r>
      <w:r>
        <w:rPr>
          <w:b/>
          <w:szCs w:val="24"/>
          <w:lang w:eastAsia="en-US"/>
        </w:rPr>
        <w:t>[PN 34]</w:t>
      </w:r>
    </w:p>
    <w:p>
      <w:pPr>
        <w:spacing w:before="120" w:after="120" w:line="360" w:lineRule="auto"/>
        <w:ind w:left="850" w:hanging="850"/>
        <w:rPr>
          <w:szCs w:val="24"/>
          <w:lang w:eastAsia="en-US"/>
        </w:rPr>
      </w:pPr>
      <w:r>
        <w:rPr>
          <w:szCs w:val="24"/>
          <w:lang w:eastAsia="en-US"/>
        </w:rPr>
        <w:t>2.</w:t>
      </w:r>
      <w:r>
        <w:rPr>
          <w:szCs w:val="24"/>
          <w:lang w:eastAsia="en-US"/>
        </w:rPr>
        <w:tab/>
        <w:t>Komisia je splnomocnená prijímať delegované akty v súlade s článkom 49 s cieľom doplniť toto nariadenie špecifikovaním pravidiel komunikačných prostriedkov vrátane elektronických prostriedkov komunikácie, ktoré majú používať účastníci konania pred úradom, a formulárov, ktoré má sprístupniť úrad.</w:t>
      </w:r>
    </w:p>
    <w:p>
      <w:pPr>
        <w:widowControl/>
        <w:rPr>
          <w:szCs w:val="24"/>
          <w:lang w:eastAsia="en-US"/>
        </w:rPr>
      </w:pPr>
      <w:r>
        <w:rPr>
          <w:szCs w:val="24"/>
          <w:lang w:eastAsia="en-US"/>
        </w:rPr>
        <w:br w:type="page"/>
      </w:r>
    </w:p>
    <w:p>
      <w:pPr>
        <w:spacing w:before="120" w:after="120" w:line="360" w:lineRule="auto"/>
        <w:jc w:val="center"/>
        <w:rPr>
          <w:szCs w:val="24"/>
          <w:lang w:eastAsia="en-US"/>
        </w:rPr>
      </w:pPr>
      <w:r>
        <w:rPr>
          <w:szCs w:val="24"/>
          <w:lang w:eastAsia="en-US"/>
        </w:rPr>
        <w:lastRenderedPageBreak/>
        <w:t>Článok 33</w:t>
      </w:r>
      <w:r>
        <w:rPr>
          <w:szCs w:val="24"/>
          <w:lang w:eastAsia="en-US"/>
        </w:rPr>
        <w:br/>
        <w:t>Register</w:t>
      </w:r>
    </w:p>
    <w:p>
      <w:pPr>
        <w:spacing w:before="120" w:after="120" w:line="360" w:lineRule="auto"/>
        <w:ind w:left="850" w:hanging="850"/>
        <w:rPr>
          <w:szCs w:val="24"/>
          <w:lang w:eastAsia="en-US"/>
        </w:rPr>
      </w:pPr>
      <w:r>
        <w:rPr>
          <w:szCs w:val="24"/>
          <w:lang w:eastAsia="en-US"/>
        </w:rPr>
        <w:t>1.</w:t>
      </w:r>
      <w:r>
        <w:rPr>
          <w:szCs w:val="24"/>
          <w:lang w:eastAsia="en-US"/>
        </w:rPr>
        <w:tab/>
        <w:t>Pokiaľ ide o žiadosti o jednotné osvedčenia pre prípravky na ochranu rastlín, register zriadený podľa článku 35 nariadenia [COM(2023) 231]</w:t>
      </w:r>
      <w:r>
        <w:rPr>
          <w:szCs w:val="24"/>
          <w:vertAlign w:val="superscript"/>
          <w:lang w:eastAsia="en-US"/>
        </w:rPr>
        <w:footnoteReference w:id="14"/>
      </w:r>
      <w:r>
        <w:rPr>
          <w:szCs w:val="24"/>
          <w:lang w:eastAsia="en-US"/>
        </w:rPr>
        <w:t xml:space="preserve"> obsahuje podľa potreby v prípade každého jednotného osvedčenia tieto informácie:</w:t>
      </w:r>
    </w:p>
    <w:p>
      <w:pPr>
        <w:spacing w:before="120" w:after="120" w:line="360" w:lineRule="auto"/>
        <w:ind w:left="1416" w:hanging="566"/>
        <w:rPr>
          <w:szCs w:val="24"/>
          <w:lang w:eastAsia="en-US"/>
        </w:rPr>
      </w:pPr>
      <w:r>
        <w:rPr>
          <w:szCs w:val="24"/>
          <w:lang w:eastAsia="en-US"/>
        </w:rPr>
        <w:t>a)</w:t>
      </w:r>
      <w:r>
        <w:rPr>
          <w:szCs w:val="24"/>
          <w:lang w:eastAsia="en-US"/>
        </w:rPr>
        <w:tab/>
        <w:t>meno a adresu žiadateľa alebo držiteľa osvedčenia;</w:t>
      </w:r>
    </w:p>
    <w:p>
      <w:pPr>
        <w:spacing w:before="120" w:after="120" w:line="360" w:lineRule="auto"/>
        <w:ind w:left="1416" w:hanging="566"/>
        <w:rPr>
          <w:szCs w:val="24"/>
          <w:lang w:eastAsia="en-US"/>
        </w:rPr>
      </w:pPr>
      <w:r>
        <w:rPr>
          <w:szCs w:val="24"/>
          <w:lang w:eastAsia="en-US"/>
        </w:rPr>
        <w:t>b)</w:t>
      </w:r>
      <w:r>
        <w:rPr>
          <w:szCs w:val="24"/>
          <w:lang w:eastAsia="en-US"/>
        </w:rPr>
        <w:tab/>
        <w:t>meno a obchodnú adresu zástupcu, ktorý sa líši od zástupcu uvedeného v článku 36 ods. 3;</w:t>
      </w:r>
    </w:p>
    <w:p>
      <w:pPr>
        <w:spacing w:before="120" w:after="120" w:line="360" w:lineRule="auto"/>
        <w:ind w:left="1416" w:hanging="566"/>
        <w:rPr>
          <w:szCs w:val="24"/>
          <w:lang w:eastAsia="en-US"/>
        </w:rPr>
      </w:pPr>
      <w:r>
        <w:rPr>
          <w:szCs w:val="24"/>
          <w:lang w:eastAsia="en-US"/>
        </w:rPr>
        <w:t>c)</w:t>
      </w:r>
      <w:r>
        <w:rPr>
          <w:szCs w:val="24"/>
          <w:lang w:eastAsia="en-US"/>
        </w:rPr>
        <w:tab/>
        <w:t>žiadosť, ako aj dátum jej podania a dátum uverejnenia;</w:t>
      </w:r>
    </w:p>
    <w:p>
      <w:pPr>
        <w:spacing w:before="120" w:after="120" w:line="360" w:lineRule="auto"/>
        <w:ind w:left="1416" w:hanging="566"/>
        <w:rPr>
          <w:szCs w:val="24"/>
          <w:lang w:eastAsia="en-US"/>
        </w:rPr>
      </w:pPr>
      <w:r>
        <w:rPr>
          <w:szCs w:val="24"/>
          <w:lang w:eastAsia="en-US"/>
        </w:rPr>
        <w:t>d)</w:t>
      </w:r>
      <w:r>
        <w:rPr>
          <w:szCs w:val="24"/>
          <w:lang w:eastAsia="en-US"/>
        </w:rPr>
        <w:tab/>
        <w:t>či sa žiadosť týka lieku alebo prípravku na ochranu rastlín;</w:t>
      </w:r>
    </w:p>
    <w:p>
      <w:pPr>
        <w:spacing w:before="120" w:after="120" w:line="360" w:lineRule="auto"/>
        <w:ind w:left="1416" w:hanging="566"/>
        <w:rPr>
          <w:szCs w:val="24"/>
          <w:lang w:eastAsia="en-US"/>
        </w:rPr>
      </w:pPr>
      <w:r>
        <w:rPr>
          <w:szCs w:val="24"/>
          <w:lang w:eastAsia="en-US"/>
        </w:rPr>
        <w:t>e)</w:t>
      </w:r>
      <w:r>
        <w:rPr>
          <w:szCs w:val="24"/>
          <w:lang w:eastAsia="en-US"/>
        </w:rPr>
        <w:tab/>
        <w:t>číslo základného patentu;</w:t>
      </w:r>
    </w:p>
    <w:p>
      <w:pPr>
        <w:spacing w:before="120" w:after="120" w:line="360" w:lineRule="auto"/>
        <w:ind w:left="1416" w:hanging="566"/>
        <w:rPr>
          <w:szCs w:val="24"/>
          <w:lang w:eastAsia="en-US"/>
        </w:rPr>
      </w:pPr>
      <w:r>
        <w:rPr>
          <w:szCs w:val="24"/>
          <w:lang w:eastAsia="en-US"/>
        </w:rPr>
        <w:t>f)</w:t>
      </w:r>
      <w:r>
        <w:rPr>
          <w:szCs w:val="24"/>
          <w:lang w:eastAsia="en-US"/>
        </w:rPr>
        <w:tab/>
        <w:t>identifikáciu výrobku, pre ktorý sa žiada o jednotné osvedčenie;</w:t>
      </w:r>
    </w:p>
    <w:p>
      <w:pPr>
        <w:widowControl/>
        <w:rPr>
          <w:szCs w:val="24"/>
          <w:lang w:eastAsia="en-US"/>
        </w:rPr>
      </w:pPr>
      <w:r>
        <w:rPr>
          <w:szCs w:val="24"/>
          <w:lang w:eastAsia="en-US"/>
        </w:rPr>
        <w:br w:type="page"/>
      </w:r>
    </w:p>
    <w:p>
      <w:pPr>
        <w:spacing w:before="120" w:after="120" w:line="360" w:lineRule="auto"/>
        <w:ind w:left="1416" w:hanging="566"/>
        <w:rPr>
          <w:szCs w:val="24"/>
          <w:lang w:eastAsia="en-US"/>
        </w:rPr>
      </w:pPr>
      <w:r>
        <w:rPr>
          <w:szCs w:val="24"/>
          <w:lang w:eastAsia="en-US"/>
        </w:rPr>
        <w:lastRenderedPageBreak/>
        <w:t>g)</w:t>
      </w:r>
      <w:r>
        <w:rPr>
          <w:szCs w:val="24"/>
          <w:lang w:eastAsia="en-US"/>
        </w:rPr>
        <w:tab/>
        <w:t>čísla a dátumy povolení na uvedenie výrobku na trh v zmysle článku 3 ods. 1 písm. b) a identifikáciu výrobku, ktorý bol identifikovaný v jednotlivých povoleniach;</w:t>
      </w:r>
    </w:p>
    <w:p>
      <w:pPr>
        <w:spacing w:before="120" w:after="120" w:line="360" w:lineRule="auto"/>
        <w:ind w:left="1416" w:hanging="566"/>
        <w:rPr>
          <w:szCs w:val="24"/>
          <w:lang w:eastAsia="en-US"/>
        </w:rPr>
      </w:pPr>
      <w:r>
        <w:rPr>
          <w:szCs w:val="24"/>
          <w:lang w:eastAsia="en-US"/>
        </w:rPr>
        <w:t>h)</w:t>
      </w:r>
      <w:r>
        <w:rPr>
          <w:szCs w:val="24"/>
          <w:lang w:eastAsia="en-US"/>
        </w:rPr>
        <w:tab/>
        <w:t>číslo a dátum prvého povolenia na uvedenie výrobku na trh v Únii;</w:t>
      </w:r>
    </w:p>
    <w:p>
      <w:pPr>
        <w:spacing w:before="120" w:after="120" w:line="360" w:lineRule="auto"/>
        <w:ind w:left="1416" w:hanging="566"/>
        <w:rPr>
          <w:szCs w:val="24"/>
          <w:lang w:eastAsia="en-US"/>
        </w:rPr>
      </w:pPr>
      <w:r>
        <w:rPr>
          <w:szCs w:val="24"/>
          <w:lang w:eastAsia="en-US"/>
        </w:rPr>
        <w:t>i)</w:t>
      </w:r>
      <w:r>
        <w:rPr>
          <w:szCs w:val="24"/>
          <w:lang w:eastAsia="en-US"/>
        </w:rPr>
        <w:tab/>
        <w:t xml:space="preserve">dátum a </w:t>
      </w:r>
      <w:r>
        <w:rPr>
          <w:strike/>
          <w:szCs w:val="24"/>
          <w:lang w:eastAsia="en-US"/>
        </w:rPr>
        <w:t>zhrnutie stanoviska</w:t>
      </w:r>
      <w:r>
        <w:rPr>
          <w:b/>
          <w:i/>
          <w:szCs w:val="24"/>
          <w:lang w:eastAsia="en-US"/>
        </w:rPr>
        <w:t>stanovisko</w:t>
      </w:r>
      <w:r>
        <w:rPr>
          <w:szCs w:val="24"/>
          <w:lang w:eastAsia="en-US"/>
        </w:rPr>
        <w:t xml:space="preserve"> na základe prieskumu </w:t>
      </w:r>
      <w:r>
        <w:rPr>
          <w:strike/>
          <w:szCs w:val="24"/>
          <w:lang w:eastAsia="en-US"/>
        </w:rPr>
        <w:t>vydaného</w:t>
      </w:r>
      <w:r>
        <w:rPr>
          <w:b/>
          <w:i/>
          <w:szCs w:val="24"/>
          <w:lang w:eastAsia="en-US"/>
        </w:rPr>
        <w:t>vydané</w:t>
      </w:r>
      <w:r>
        <w:rPr>
          <w:szCs w:val="24"/>
          <w:lang w:eastAsia="en-US"/>
        </w:rPr>
        <w:t xml:space="preserve"> úradom v súvislosti s každým z členských štátov, v ktorých má základný patent jednotný účinok; </w:t>
      </w:r>
      <w:r>
        <w:rPr>
          <w:b/>
          <w:szCs w:val="24"/>
          <w:lang w:eastAsia="en-US"/>
        </w:rPr>
        <w:t>[PN 35]</w:t>
      </w:r>
    </w:p>
    <w:p>
      <w:pPr>
        <w:spacing w:before="120" w:after="120" w:line="360" w:lineRule="auto"/>
        <w:ind w:left="1416" w:hanging="566"/>
        <w:rPr>
          <w:szCs w:val="24"/>
          <w:lang w:eastAsia="en-US"/>
        </w:rPr>
      </w:pPr>
      <w:r>
        <w:rPr>
          <w:szCs w:val="24"/>
          <w:lang w:eastAsia="en-US"/>
        </w:rPr>
        <w:t>j)</w:t>
      </w:r>
      <w:r>
        <w:rPr>
          <w:szCs w:val="24"/>
          <w:lang w:eastAsia="en-US"/>
        </w:rPr>
        <w:tab/>
        <w:t>prípadne aj číslo a trvanie platnosti jednotného osvedčenia;</w:t>
      </w:r>
    </w:p>
    <w:p>
      <w:pPr>
        <w:spacing w:before="120" w:after="120" w:line="360" w:lineRule="auto"/>
        <w:ind w:left="1416" w:hanging="566"/>
        <w:rPr>
          <w:szCs w:val="24"/>
          <w:lang w:eastAsia="en-US"/>
        </w:rPr>
      </w:pPr>
      <w:r>
        <w:rPr>
          <w:szCs w:val="24"/>
          <w:lang w:eastAsia="en-US"/>
        </w:rPr>
        <w:t>k)</w:t>
      </w:r>
      <w:r>
        <w:rPr>
          <w:szCs w:val="24"/>
          <w:lang w:eastAsia="en-US"/>
        </w:rPr>
        <w:tab/>
        <w:t>prípadne podanie námietky</w:t>
      </w:r>
      <w:r>
        <w:rPr>
          <w:b/>
          <w:i/>
          <w:szCs w:val="24"/>
          <w:lang w:eastAsia="en-US"/>
        </w:rPr>
        <w:t>, jej stav</w:t>
      </w:r>
      <w:r>
        <w:rPr>
          <w:szCs w:val="24"/>
          <w:lang w:eastAsia="en-US"/>
        </w:rPr>
        <w:t xml:space="preserve"> a výsledok námietkového konania vrátane prípadného zhrnutia revidovaného stanoviska na základe prieskumu; </w:t>
      </w:r>
      <w:r>
        <w:rPr>
          <w:b/>
          <w:szCs w:val="24"/>
          <w:lang w:eastAsia="en-US"/>
        </w:rPr>
        <w:t>[PN 36]</w:t>
      </w:r>
    </w:p>
    <w:p>
      <w:pPr>
        <w:spacing w:before="120" w:after="120" w:line="360" w:lineRule="auto"/>
        <w:ind w:left="1416" w:hanging="566"/>
        <w:rPr>
          <w:szCs w:val="24"/>
          <w:lang w:eastAsia="en-US"/>
        </w:rPr>
      </w:pPr>
      <w:r>
        <w:rPr>
          <w:szCs w:val="24"/>
          <w:lang w:eastAsia="en-US"/>
        </w:rPr>
        <w:t>l)</w:t>
      </w:r>
      <w:r>
        <w:rPr>
          <w:szCs w:val="24"/>
          <w:lang w:eastAsia="en-US"/>
        </w:rPr>
        <w:tab/>
        <w:t>prípadne podanie odvolania</w:t>
      </w:r>
      <w:r>
        <w:rPr>
          <w:b/>
          <w:i/>
          <w:szCs w:val="24"/>
          <w:lang w:eastAsia="en-US"/>
        </w:rPr>
        <w:t>, jeho stav</w:t>
      </w:r>
      <w:r>
        <w:rPr>
          <w:szCs w:val="24"/>
          <w:lang w:eastAsia="en-US"/>
        </w:rPr>
        <w:t xml:space="preserve"> a výsledok odvolacieho konania vrátane prípadného zhrnutia revidovaného stanoviska na základe prieskumu; </w:t>
      </w:r>
      <w:r>
        <w:rPr>
          <w:b/>
          <w:szCs w:val="24"/>
          <w:lang w:eastAsia="en-US"/>
        </w:rPr>
        <w:t>[PN 37]</w:t>
      </w:r>
    </w:p>
    <w:p>
      <w:pPr>
        <w:widowControl/>
        <w:rPr>
          <w:szCs w:val="24"/>
          <w:lang w:eastAsia="en-US"/>
        </w:rPr>
      </w:pPr>
      <w:r>
        <w:rPr>
          <w:szCs w:val="24"/>
          <w:lang w:eastAsia="en-US"/>
        </w:rPr>
        <w:br w:type="page"/>
      </w:r>
    </w:p>
    <w:p>
      <w:pPr>
        <w:spacing w:before="120" w:after="120" w:line="360" w:lineRule="auto"/>
        <w:ind w:left="1416" w:hanging="566"/>
        <w:rPr>
          <w:szCs w:val="24"/>
          <w:lang w:eastAsia="en-US"/>
        </w:rPr>
      </w:pPr>
      <w:r>
        <w:rPr>
          <w:szCs w:val="24"/>
          <w:lang w:eastAsia="en-US"/>
        </w:rPr>
        <w:lastRenderedPageBreak/>
        <w:t>m)</w:t>
      </w:r>
      <w:r>
        <w:rPr>
          <w:szCs w:val="24"/>
          <w:lang w:eastAsia="en-US"/>
        </w:rPr>
        <w:tab/>
        <w:t>prípadne zmienku o tom, že osvedčenie zaniklo alebo bolo vyhlásené za neplatné;</w:t>
      </w:r>
    </w:p>
    <w:p>
      <w:pPr>
        <w:spacing w:before="120" w:after="120" w:line="360" w:lineRule="auto"/>
        <w:ind w:left="1416" w:hanging="566"/>
        <w:rPr>
          <w:szCs w:val="24"/>
          <w:lang w:eastAsia="en-US"/>
        </w:rPr>
      </w:pPr>
      <w:r>
        <w:rPr>
          <w:szCs w:val="24"/>
          <w:lang w:eastAsia="en-US"/>
        </w:rPr>
        <w:t>n)</w:t>
      </w:r>
      <w:r>
        <w:rPr>
          <w:szCs w:val="24"/>
          <w:lang w:eastAsia="en-US"/>
        </w:rPr>
        <w:tab/>
        <w:t>prípadne akékoľvek rozhodnutie týkajúce sa geografického rozsahu jednotného osvedčenia, pokiaľ ide o odchýlku podľa článku 3 ods. 5 alebo článku 20 ods. 2;</w:t>
      </w:r>
    </w:p>
    <w:p>
      <w:pPr>
        <w:spacing w:before="120" w:after="120" w:line="360" w:lineRule="auto"/>
        <w:ind w:left="1416" w:hanging="566"/>
        <w:rPr>
          <w:szCs w:val="24"/>
          <w:lang w:eastAsia="en-US"/>
        </w:rPr>
      </w:pPr>
      <w:r>
        <w:rPr>
          <w:szCs w:val="24"/>
          <w:lang w:eastAsia="en-US"/>
        </w:rPr>
        <w:t>o)</w:t>
      </w:r>
      <w:r>
        <w:rPr>
          <w:szCs w:val="24"/>
          <w:lang w:eastAsia="en-US"/>
        </w:rPr>
        <w:tab/>
        <w:t>prípadne podanie žiadosti o vyhlásenie neplatnosti a výsledok súvisiaceho konania, keď bude k dispozícii;</w:t>
      </w:r>
    </w:p>
    <w:p>
      <w:pPr>
        <w:spacing w:before="120" w:after="120" w:line="360" w:lineRule="auto"/>
        <w:ind w:left="1416" w:hanging="566"/>
        <w:rPr>
          <w:szCs w:val="24"/>
          <w:lang w:eastAsia="en-US"/>
        </w:rPr>
      </w:pPr>
      <w:r>
        <w:rPr>
          <w:szCs w:val="24"/>
          <w:lang w:eastAsia="en-US"/>
        </w:rPr>
        <w:t>p)</w:t>
      </w:r>
      <w:r>
        <w:rPr>
          <w:szCs w:val="24"/>
          <w:lang w:eastAsia="en-US"/>
        </w:rPr>
        <w:tab/>
        <w:t>prípadne informácie týkajúce sa požiadavky na zmenu a jej výsledkov;</w:t>
      </w:r>
    </w:p>
    <w:p>
      <w:pPr>
        <w:spacing w:before="120" w:after="120" w:line="360" w:lineRule="auto"/>
        <w:ind w:left="1416" w:hanging="566"/>
        <w:rPr>
          <w:szCs w:val="24"/>
          <w:lang w:eastAsia="en-US"/>
        </w:rPr>
      </w:pPr>
      <w:r>
        <w:rPr>
          <w:szCs w:val="24"/>
          <w:lang w:eastAsia="en-US"/>
        </w:rPr>
        <w:t>q)</w:t>
      </w:r>
      <w:r>
        <w:rPr>
          <w:szCs w:val="24"/>
          <w:lang w:eastAsia="en-US"/>
        </w:rPr>
        <w:tab/>
        <w:t>informácie o zaplatení ročných udržiavacích poplatkov.</w:t>
      </w:r>
    </w:p>
    <w:p>
      <w:pPr>
        <w:spacing w:before="120" w:after="120" w:line="360" w:lineRule="auto"/>
        <w:ind w:left="850" w:hanging="850"/>
        <w:rPr>
          <w:szCs w:val="24"/>
          <w:lang w:eastAsia="en-US"/>
        </w:rPr>
      </w:pPr>
      <w:r>
        <w:rPr>
          <w:szCs w:val="24"/>
          <w:lang w:eastAsia="en-US"/>
        </w:rPr>
        <w:t>2.</w:t>
      </w:r>
      <w:r>
        <w:rPr>
          <w:szCs w:val="24"/>
          <w:lang w:eastAsia="en-US"/>
        </w:rPr>
        <w:tab/>
        <w:t>Register obsahuje zmeny informácií uvedených v odseku 1 vrátane prevodov, pričom každú takúto zmenu musí sprevádzať dátum jej zaznamenania.</w:t>
      </w:r>
    </w:p>
    <w:p>
      <w:pPr>
        <w:spacing w:before="120" w:after="120" w:line="360" w:lineRule="auto"/>
        <w:ind w:left="850" w:hanging="850"/>
        <w:rPr>
          <w:szCs w:val="24"/>
          <w:lang w:eastAsia="en-US"/>
        </w:rPr>
      </w:pPr>
      <w:r>
        <w:rPr>
          <w:szCs w:val="24"/>
          <w:lang w:eastAsia="en-US"/>
        </w:rPr>
        <w:t>3.</w:t>
      </w:r>
      <w:r>
        <w:rPr>
          <w:szCs w:val="24"/>
          <w:lang w:eastAsia="en-US"/>
        </w:rPr>
        <w:tab/>
        <w:t>Register a informácie uvedené v odsekoch 1 a 2 sú k dispozícii vo všetkých úradných jazykoch Únie. Úrad môže na uverejňovanie informácií v registri použiť overený strojový preklad.</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4.</w:t>
      </w:r>
      <w:r>
        <w:rPr>
          <w:szCs w:val="24"/>
          <w:lang w:eastAsia="en-US"/>
        </w:rPr>
        <w:tab/>
        <w:t>Výkonný riaditeľ úradu môže určiť, že do registra sa zapíšu aj iné informácie ako tie, ktoré sú uvedené v odsekoch 1 a 2.</w:t>
      </w:r>
    </w:p>
    <w:p>
      <w:pPr>
        <w:spacing w:before="120" w:after="120" w:line="360" w:lineRule="auto"/>
        <w:ind w:left="850" w:hanging="850"/>
        <w:rPr>
          <w:szCs w:val="24"/>
          <w:lang w:eastAsia="en-US"/>
        </w:rPr>
      </w:pPr>
      <w:r>
        <w:rPr>
          <w:szCs w:val="24"/>
          <w:lang w:eastAsia="en-US"/>
        </w:rPr>
        <w:t>5.</w:t>
      </w:r>
      <w:r>
        <w:rPr>
          <w:szCs w:val="24"/>
          <w:lang w:eastAsia="en-US"/>
        </w:rPr>
        <w:tab/>
        <w:t>Úrad zhromažďuje, triedi, zverejňuje a uchováva informácie uvedené v odsekoch 1 a 2 vrátane akýchkoľvek osobných údajov na účely stanovené v odseku 7. Úrad zabezpečuje ľahký prístup verejnosti k registru na účely nahliadanie.</w:t>
      </w:r>
    </w:p>
    <w:p>
      <w:pPr>
        <w:spacing w:before="120" w:after="120" w:line="360" w:lineRule="auto"/>
        <w:ind w:left="850" w:hanging="850"/>
        <w:rPr>
          <w:szCs w:val="24"/>
          <w:lang w:eastAsia="en-US"/>
        </w:rPr>
      </w:pPr>
      <w:r>
        <w:rPr>
          <w:szCs w:val="24"/>
          <w:lang w:eastAsia="en-US"/>
        </w:rPr>
        <w:t>6.</w:t>
      </w:r>
      <w:r>
        <w:rPr>
          <w:szCs w:val="24"/>
          <w:lang w:eastAsia="en-US"/>
        </w:rPr>
        <w:tab/>
        <w:t>Na základe žiadosti a po uhradení poplatku úrad poskytuje overené alebo neoverené výpisy z registra.</w:t>
      </w:r>
    </w:p>
    <w:p>
      <w:pPr>
        <w:spacing w:before="120" w:after="120" w:line="360" w:lineRule="auto"/>
        <w:ind w:left="850" w:hanging="850"/>
        <w:rPr>
          <w:szCs w:val="24"/>
          <w:lang w:eastAsia="en-US"/>
        </w:rPr>
      </w:pPr>
      <w:r>
        <w:rPr>
          <w:szCs w:val="24"/>
          <w:lang w:eastAsia="en-US"/>
        </w:rPr>
        <w:t>7.</w:t>
      </w:r>
      <w:r>
        <w:rPr>
          <w:szCs w:val="24"/>
          <w:lang w:eastAsia="en-US"/>
        </w:rPr>
        <w:tab/>
        <w:t>Spracúvanie údajov týkajúcich sa záznamov stanovených v odsekoch 1 a 2 vrátane osobných údajov sa uskutočňuje na tieto účely:</w:t>
      </w:r>
    </w:p>
    <w:p>
      <w:pPr>
        <w:spacing w:before="120" w:after="120" w:line="360" w:lineRule="auto"/>
        <w:ind w:left="1416" w:hanging="566"/>
        <w:rPr>
          <w:szCs w:val="24"/>
          <w:lang w:eastAsia="en-US"/>
        </w:rPr>
      </w:pPr>
      <w:r>
        <w:rPr>
          <w:szCs w:val="24"/>
          <w:lang w:eastAsia="en-US"/>
        </w:rPr>
        <w:t>a)</w:t>
      </w:r>
      <w:r>
        <w:rPr>
          <w:szCs w:val="24"/>
          <w:lang w:eastAsia="en-US"/>
        </w:rPr>
        <w:tab/>
        <w:t>správa žiadostí a jednotných osvedčení v súlade s týmto nariadením a aktmi prijatými podľa neho;</w:t>
      </w:r>
    </w:p>
    <w:p>
      <w:pPr>
        <w:spacing w:before="120" w:after="120" w:line="360" w:lineRule="auto"/>
        <w:ind w:left="1416" w:hanging="566"/>
        <w:rPr>
          <w:szCs w:val="24"/>
          <w:lang w:eastAsia="en-US"/>
        </w:rPr>
      </w:pPr>
      <w:r>
        <w:rPr>
          <w:szCs w:val="24"/>
          <w:lang w:eastAsia="en-US"/>
        </w:rPr>
        <w:t>b)</w:t>
      </w:r>
      <w:r>
        <w:rPr>
          <w:szCs w:val="24"/>
          <w:lang w:eastAsia="en-US"/>
        </w:rPr>
        <w:tab/>
        <w:t>vedenie registra a jeho sprístupňovanie verejným orgánom a hospodárskym subjektom na nahliadanie;</w:t>
      </w:r>
    </w:p>
    <w:p>
      <w:pPr>
        <w:spacing w:before="120" w:after="120" w:line="360" w:lineRule="auto"/>
        <w:ind w:left="1416" w:hanging="566"/>
        <w:rPr>
          <w:szCs w:val="24"/>
          <w:lang w:eastAsia="en-US"/>
        </w:rPr>
      </w:pPr>
      <w:r>
        <w:rPr>
          <w:szCs w:val="24"/>
          <w:lang w:eastAsia="en-US"/>
        </w:rPr>
        <w:t>c)</w:t>
      </w:r>
      <w:r>
        <w:rPr>
          <w:szCs w:val="24"/>
          <w:lang w:eastAsia="en-US"/>
        </w:rPr>
        <w:tab/>
        <w:t>vypracúvanie správ a štatistík, ktoré úradu umožňujú optimalizovať jeho činnosti a zlepšovať fungovanie systému.</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8.</w:t>
      </w:r>
      <w:r>
        <w:rPr>
          <w:szCs w:val="24"/>
          <w:lang w:eastAsia="en-US"/>
        </w:rPr>
        <w:tab/>
        <w:t>Všetky údaje vrátane osobných údajov, ktoré sa týkajú záznamov uvedených v odsekoch 1 a 2, sa považujú za údaje vo verejnom záujme a akákoľvek tretia strana k nim môže mať bezplatný prístup. Z dôvodu právnej istoty je uchovávanie záznamov v registri časovo neobmedzené.</w:t>
      </w:r>
    </w:p>
    <w:p>
      <w:pPr>
        <w:spacing w:before="120" w:after="120" w:line="360" w:lineRule="auto"/>
        <w:jc w:val="center"/>
        <w:rPr>
          <w:szCs w:val="24"/>
          <w:lang w:eastAsia="en-US"/>
        </w:rPr>
      </w:pPr>
      <w:r>
        <w:rPr>
          <w:szCs w:val="24"/>
          <w:lang w:eastAsia="en-US"/>
        </w:rPr>
        <w:t>Článok 34</w:t>
      </w:r>
      <w:r>
        <w:rPr>
          <w:szCs w:val="24"/>
          <w:lang w:eastAsia="en-US"/>
        </w:rPr>
        <w:br/>
        <w:t>Databáza</w:t>
      </w:r>
    </w:p>
    <w:p>
      <w:pPr>
        <w:spacing w:before="120" w:after="120" w:line="360" w:lineRule="auto"/>
        <w:ind w:left="850" w:hanging="850"/>
        <w:rPr>
          <w:szCs w:val="24"/>
          <w:lang w:eastAsia="en-US"/>
        </w:rPr>
      </w:pPr>
      <w:r>
        <w:rPr>
          <w:szCs w:val="24"/>
          <w:lang w:eastAsia="en-US"/>
        </w:rPr>
        <w:t>1.</w:t>
      </w:r>
      <w:r>
        <w:rPr>
          <w:szCs w:val="24"/>
          <w:lang w:eastAsia="en-US"/>
        </w:rPr>
        <w:tab/>
        <w:t>Úrad okrem povinnosti viesť register zhromažďuje a uchováva v elektronickej databáze všetky údaje poskytnuté žiadateľmi alebo akékoľvek ďalšie pripomienky tretích strán podľa tohto nariadenia alebo aktov prijatých podľa neho.</w:t>
      </w:r>
    </w:p>
    <w:p>
      <w:pPr>
        <w:spacing w:before="120" w:after="120" w:line="360" w:lineRule="auto"/>
        <w:ind w:left="850" w:hanging="850"/>
        <w:rPr>
          <w:szCs w:val="24"/>
          <w:lang w:eastAsia="en-US"/>
        </w:rPr>
      </w:pPr>
      <w:r>
        <w:rPr>
          <w:szCs w:val="24"/>
          <w:lang w:eastAsia="en-US"/>
        </w:rPr>
        <w:t>2.</w:t>
      </w:r>
      <w:r>
        <w:rPr>
          <w:szCs w:val="24"/>
          <w:lang w:eastAsia="en-US"/>
        </w:rPr>
        <w:tab/>
        <w:t>Elektronická databáza môže obsahovať osobné údaje nad rámec údajov uvedených v registri v rozsahu, v akom sa takéto údaje vyžadujú v tomto nariadení alebo v aktoch prijatých podľa neho. Zhromažďovanie, uchovávanie a spracúvanie takýchto údajov slúži na účely:</w:t>
      </w:r>
    </w:p>
    <w:p>
      <w:pPr>
        <w:spacing w:before="120" w:after="120" w:line="360" w:lineRule="auto"/>
        <w:ind w:left="1416" w:hanging="566"/>
        <w:rPr>
          <w:szCs w:val="24"/>
          <w:lang w:eastAsia="en-US"/>
        </w:rPr>
      </w:pPr>
      <w:r>
        <w:rPr>
          <w:szCs w:val="24"/>
          <w:lang w:eastAsia="en-US"/>
        </w:rPr>
        <w:t>a)</w:t>
      </w:r>
      <w:r>
        <w:rPr>
          <w:szCs w:val="24"/>
          <w:lang w:eastAsia="en-US"/>
        </w:rPr>
        <w:tab/>
        <w:t>správy žiadostí a/alebo registrácií osvedčení podľa tohto nariadenia a aktov prijatých podľa neho;</w:t>
      </w:r>
    </w:p>
    <w:p>
      <w:pPr>
        <w:widowControl/>
        <w:rPr>
          <w:szCs w:val="24"/>
          <w:lang w:eastAsia="en-US"/>
        </w:rPr>
      </w:pPr>
      <w:r>
        <w:rPr>
          <w:szCs w:val="24"/>
          <w:lang w:eastAsia="en-US"/>
        </w:rPr>
        <w:br w:type="page"/>
      </w:r>
    </w:p>
    <w:p>
      <w:pPr>
        <w:spacing w:before="120" w:after="120" w:line="360" w:lineRule="auto"/>
        <w:ind w:left="1416" w:hanging="566"/>
        <w:rPr>
          <w:szCs w:val="24"/>
          <w:lang w:eastAsia="en-US"/>
        </w:rPr>
      </w:pPr>
      <w:r>
        <w:rPr>
          <w:szCs w:val="24"/>
          <w:lang w:eastAsia="en-US"/>
        </w:rPr>
        <w:lastRenderedPageBreak/>
        <w:t>b)</w:t>
      </w:r>
      <w:r>
        <w:rPr>
          <w:szCs w:val="24"/>
          <w:lang w:eastAsia="en-US"/>
        </w:rPr>
        <w:tab/>
        <w:t>prístupu k informáciám potrebným na ľahšie a efektívnejšie vedenie príslušných konaní;</w:t>
      </w:r>
    </w:p>
    <w:p>
      <w:pPr>
        <w:spacing w:before="120" w:after="120" w:line="360" w:lineRule="auto"/>
        <w:ind w:left="1416" w:hanging="566"/>
        <w:rPr>
          <w:szCs w:val="24"/>
          <w:lang w:eastAsia="en-US"/>
        </w:rPr>
      </w:pPr>
      <w:r>
        <w:rPr>
          <w:szCs w:val="24"/>
          <w:lang w:eastAsia="en-US"/>
        </w:rPr>
        <w:t>c)</w:t>
      </w:r>
      <w:r>
        <w:rPr>
          <w:szCs w:val="24"/>
          <w:lang w:eastAsia="en-US"/>
        </w:rPr>
        <w:tab/>
        <w:t>komunikácie so žiadateľmi a inými tretími stranami;</w:t>
      </w:r>
    </w:p>
    <w:p>
      <w:pPr>
        <w:spacing w:before="120" w:after="120" w:line="360" w:lineRule="auto"/>
        <w:ind w:left="1416" w:hanging="566"/>
        <w:rPr>
          <w:szCs w:val="24"/>
          <w:lang w:eastAsia="en-US"/>
        </w:rPr>
      </w:pPr>
      <w:r>
        <w:rPr>
          <w:szCs w:val="24"/>
          <w:lang w:eastAsia="en-US"/>
        </w:rPr>
        <w:t>d)</w:t>
      </w:r>
      <w:r>
        <w:rPr>
          <w:szCs w:val="24"/>
          <w:lang w:eastAsia="en-US"/>
        </w:rPr>
        <w:tab/>
        <w:t>vypracúvania správ a štatistík, ktoré úradu umožňujú optimalizovať jeho činnosti a zlepšovať fungovanie systému.</w:t>
      </w:r>
    </w:p>
    <w:p>
      <w:pPr>
        <w:spacing w:before="120" w:after="120" w:line="360" w:lineRule="auto"/>
        <w:ind w:left="850" w:hanging="850"/>
        <w:rPr>
          <w:szCs w:val="24"/>
          <w:lang w:eastAsia="en-US"/>
        </w:rPr>
      </w:pPr>
      <w:r>
        <w:rPr>
          <w:szCs w:val="24"/>
          <w:lang w:eastAsia="en-US"/>
        </w:rPr>
        <w:t>3.</w:t>
      </w:r>
      <w:r>
        <w:rPr>
          <w:szCs w:val="24"/>
          <w:lang w:eastAsia="en-US"/>
        </w:rPr>
        <w:tab/>
        <w:t>Výkonný riaditeľ určí podmienky prístupu k elektronickej databáze a spôsob, akým možno jej obsah s výnimkou osobných údajov uvedených v odseku 2 tohto článku, avšak vrátane údajov uvedených v článku 33 ods. 3 sprístupniť v strojovo čitateľnej podobe, ako aj poplatok za tento prístup.</w:t>
      </w:r>
    </w:p>
    <w:p>
      <w:pPr>
        <w:spacing w:before="120" w:after="120" w:line="360" w:lineRule="auto"/>
        <w:ind w:left="850" w:hanging="850"/>
        <w:rPr>
          <w:szCs w:val="24"/>
          <w:lang w:eastAsia="en-US"/>
        </w:rPr>
      </w:pPr>
      <w:r>
        <w:rPr>
          <w:szCs w:val="24"/>
          <w:lang w:eastAsia="en-US"/>
        </w:rPr>
        <w:t>4.</w:t>
      </w:r>
      <w:r>
        <w:rPr>
          <w:szCs w:val="24"/>
          <w:lang w:eastAsia="en-US"/>
        </w:rPr>
        <w:tab/>
        <w:t>Prístup k osobným údajom uvedeným v odseku 2 je obmedzený a takéto údaje sa nesmú zverejniť, pokiaľ na to dotknutá strana nedá svoj výslovný súhlas.</w:t>
      </w:r>
    </w:p>
    <w:p>
      <w:pPr>
        <w:spacing w:before="120" w:after="120" w:line="360" w:lineRule="auto"/>
        <w:ind w:left="850" w:hanging="850"/>
        <w:rPr>
          <w:szCs w:val="24"/>
          <w:lang w:eastAsia="en-US"/>
        </w:rPr>
      </w:pPr>
      <w:r>
        <w:rPr>
          <w:szCs w:val="24"/>
          <w:lang w:eastAsia="en-US"/>
        </w:rPr>
        <w:t>5.</w:t>
      </w:r>
      <w:r>
        <w:rPr>
          <w:szCs w:val="24"/>
          <w:lang w:eastAsia="en-US"/>
        </w:rPr>
        <w:tab/>
        <w:t>Uchovávanie všetkých údajov je časovo neobmedzené. Dotknutá strana však môže požiadať o odstránenie akýchkoľvek osobných údajov z databázy po 18 mesiacoch od uplynutia platnosti jednotného osvedčenia, prípadne od ukončenia príslušného postupu inter partes. Dotknutá strana má kedykoľvek právo na opravu nepresných alebo chybných údajov.</w:t>
      </w:r>
    </w:p>
    <w:p>
      <w:pPr>
        <w:widowControl/>
        <w:rPr>
          <w:szCs w:val="24"/>
          <w:lang w:eastAsia="en-US"/>
        </w:rPr>
      </w:pPr>
      <w:r>
        <w:rPr>
          <w:szCs w:val="24"/>
          <w:lang w:eastAsia="en-US"/>
        </w:rPr>
        <w:br w:type="page"/>
      </w:r>
    </w:p>
    <w:p>
      <w:pPr>
        <w:spacing w:before="120" w:after="120" w:line="360" w:lineRule="auto"/>
        <w:jc w:val="center"/>
        <w:rPr>
          <w:szCs w:val="24"/>
          <w:lang w:eastAsia="en-US"/>
        </w:rPr>
      </w:pPr>
      <w:r>
        <w:rPr>
          <w:szCs w:val="24"/>
          <w:lang w:eastAsia="en-US"/>
        </w:rPr>
        <w:lastRenderedPageBreak/>
        <w:t>Článok 35</w:t>
      </w:r>
      <w:r>
        <w:rPr>
          <w:szCs w:val="24"/>
          <w:lang w:eastAsia="en-US"/>
        </w:rPr>
        <w:br/>
        <w:t>Transparentnosť</w:t>
      </w:r>
    </w:p>
    <w:p>
      <w:pPr>
        <w:spacing w:before="120" w:after="120" w:line="360" w:lineRule="auto"/>
        <w:ind w:left="850" w:hanging="850"/>
        <w:rPr>
          <w:szCs w:val="24"/>
          <w:lang w:eastAsia="en-US"/>
        </w:rPr>
      </w:pPr>
      <w:r>
        <w:rPr>
          <w:szCs w:val="24"/>
          <w:lang w:eastAsia="en-US"/>
        </w:rPr>
        <w:t>1.</w:t>
      </w:r>
      <w:r>
        <w:rPr>
          <w:szCs w:val="24"/>
          <w:lang w:eastAsia="en-US"/>
        </w:rPr>
        <w:tab/>
        <w:t>Na dokumenty uchovávané úradom sa vzťahuje nariadenie Európskeho parlamentu a Rady</w:t>
      </w:r>
      <w:r>
        <w:rPr>
          <w:szCs w:val="24"/>
          <w:vertAlign w:val="superscript"/>
          <w:lang w:eastAsia="en-US"/>
        </w:rPr>
        <w:footnoteReference w:id="15"/>
      </w:r>
      <w:r>
        <w:rPr>
          <w:szCs w:val="24"/>
          <w:lang w:eastAsia="en-US"/>
        </w:rPr>
        <w:t xml:space="preserve"> (ES) č. 1049/2001.</w:t>
      </w:r>
    </w:p>
    <w:p>
      <w:pPr>
        <w:spacing w:before="120" w:after="120" w:line="360" w:lineRule="auto"/>
        <w:ind w:left="850" w:hanging="850"/>
        <w:rPr>
          <w:szCs w:val="24"/>
          <w:lang w:eastAsia="en-US"/>
        </w:rPr>
      </w:pPr>
      <w:r>
        <w:rPr>
          <w:szCs w:val="24"/>
          <w:lang w:eastAsia="en-US"/>
        </w:rPr>
        <w:t>2.</w:t>
      </w:r>
      <w:r>
        <w:rPr>
          <w:szCs w:val="24"/>
          <w:lang w:eastAsia="en-US"/>
        </w:rPr>
        <w:tab/>
        <w:t>Správna rada úradu prijme podrobné pravidlá uplatňovania nariadenia (ES) č. 1049/2001 v súvislosti s týmto nariadením.</w:t>
      </w:r>
    </w:p>
    <w:p>
      <w:pPr>
        <w:spacing w:before="120" w:after="120" w:line="360" w:lineRule="auto"/>
        <w:ind w:left="850" w:hanging="850"/>
        <w:rPr>
          <w:szCs w:val="24"/>
          <w:lang w:eastAsia="en-US"/>
        </w:rPr>
      </w:pPr>
      <w:r>
        <w:rPr>
          <w:szCs w:val="24"/>
          <w:lang w:eastAsia="en-US"/>
        </w:rPr>
        <w:t>3.</w:t>
      </w:r>
      <w:r>
        <w:rPr>
          <w:szCs w:val="24"/>
          <w:lang w:eastAsia="en-US"/>
        </w:rPr>
        <w:tab/>
        <w:t>Rozhodnutia prijaté úradom podľa článku 8 nariadenia (ES) č. 1049/2001 možno za podmienok stanovených v článkoch 228 a 263 ZFEÚ spochybniť prostredníctvom európskeho ombudsmana alebo môžu byť predmetom žaloby na Súdnom dvore Európskej únie.</w:t>
      </w:r>
    </w:p>
    <w:p>
      <w:pPr>
        <w:spacing w:before="120" w:after="120" w:line="360" w:lineRule="auto"/>
        <w:ind w:left="850" w:hanging="850"/>
        <w:rPr>
          <w:szCs w:val="24"/>
          <w:lang w:eastAsia="en-US"/>
        </w:rPr>
      </w:pPr>
      <w:r>
        <w:rPr>
          <w:szCs w:val="24"/>
          <w:lang w:eastAsia="en-US"/>
        </w:rPr>
        <w:t>4.</w:t>
      </w:r>
      <w:r>
        <w:rPr>
          <w:szCs w:val="24"/>
          <w:lang w:eastAsia="en-US"/>
        </w:rPr>
        <w:tab/>
        <w:t>Na spracúvanie osobných údajov úradom sa vzťahuje nariadenie Európskeho parlamentu a Rady (ES) č. 45/2001</w:t>
      </w:r>
      <w:r>
        <w:rPr>
          <w:szCs w:val="24"/>
          <w:vertAlign w:val="superscript"/>
          <w:lang w:eastAsia="en-US"/>
        </w:rPr>
        <w:footnoteReference w:id="16"/>
      </w:r>
      <w:r>
        <w:rPr>
          <w:szCs w:val="24"/>
          <w:lang w:eastAsia="en-US"/>
        </w:rPr>
        <w:t>.</w:t>
      </w:r>
    </w:p>
    <w:p>
      <w:pPr>
        <w:widowControl/>
        <w:rPr>
          <w:szCs w:val="24"/>
          <w:lang w:eastAsia="en-US"/>
        </w:rPr>
      </w:pPr>
      <w:r>
        <w:rPr>
          <w:szCs w:val="24"/>
          <w:lang w:eastAsia="en-US"/>
        </w:rPr>
        <w:br w:type="page"/>
      </w:r>
    </w:p>
    <w:p>
      <w:pPr>
        <w:spacing w:before="120" w:after="120" w:line="360" w:lineRule="auto"/>
        <w:jc w:val="center"/>
        <w:rPr>
          <w:szCs w:val="24"/>
          <w:lang w:eastAsia="en-US"/>
        </w:rPr>
      </w:pPr>
      <w:r>
        <w:rPr>
          <w:szCs w:val="24"/>
          <w:lang w:eastAsia="en-US"/>
        </w:rPr>
        <w:lastRenderedPageBreak/>
        <w:t>Článok 36</w:t>
      </w:r>
      <w:r>
        <w:rPr>
          <w:szCs w:val="24"/>
          <w:lang w:eastAsia="en-US"/>
        </w:rPr>
        <w:br/>
        <w:t>Zastupovanie</w:t>
      </w:r>
    </w:p>
    <w:p>
      <w:pPr>
        <w:spacing w:before="120" w:after="120" w:line="360" w:lineRule="auto"/>
        <w:ind w:left="850" w:hanging="850"/>
        <w:rPr>
          <w:szCs w:val="24"/>
          <w:lang w:eastAsia="en-US"/>
        </w:rPr>
      </w:pPr>
      <w:r>
        <w:rPr>
          <w:szCs w:val="24"/>
          <w:lang w:eastAsia="en-US"/>
        </w:rPr>
        <w:t>1.</w:t>
      </w:r>
      <w:r>
        <w:rPr>
          <w:szCs w:val="24"/>
          <w:lang w:eastAsia="en-US"/>
        </w:rPr>
        <w:tab/>
        <w:t>Fyzické alebo právnické osoby, ktoré nemajú bydlisko, sídlo, hlavné miesto podnikania ani skutočnú a fungujúcu priemyselnú alebo obchodnú prevádzkareň v Európskom hospodárskom priestore, musia byť pred úradom zastúpené v súlade s týmto článkom vo všetkých konaniach stanovených týmto nariadením, okrem prípadu podávania žiadosti o jednotné osvedčenie.</w:t>
      </w:r>
    </w:p>
    <w:p>
      <w:pPr>
        <w:spacing w:before="120" w:after="120" w:line="360" w:lineRule="auto"/>
        <w:ind w:left="850" w:hanging="850"/>
        <w:rPr>
          <w:szCs w:val="24"/>
          <w:lang w:eastAsia="en-US"/>
        </w:rPr>
      </w:pPr>
      <w:r>
        <w:rPr>
          <w:szCs w:val="24"/>
          <w:lang w:eastAsia="en-US"/>
        </w:rPr>
        <w:t>2.</w:t>
      </w:r>
      <w:r>
        <w:rPr>
          <w:szCs w:val="24"/>
          <w:lang w:eastAsia="en-US"/>
        </w:rPr>
        <w:tab/>
        <w:t>Fyzické alebo právnické osoby, ktoré majú bydlisko, sídlo, hlavné miesto podnikania alebo skutočnú a fungujúcu priemyselnú alebo obchodnú prevádzkareň v Únii, môže pred úradom zastupovať zamestnanec.</w:t>
      </w:r>
    </w:p>
    <w:p>
      <w:pPr>
        <w:spacing w:before="120" w:after="120" w:line="360" w:lineRule="auto"/>
        <w:ind w:left="850"/>
        <w:rPr>
          <w:szCs w:val="24"/>
          <w:lang w:eastAsia="en-US"/>
        </w:rPr>
      </w:pPr>
      <w:r>
        <w:rPr>
          <w:szCs w:val="24"/>
          <w:lang w:eastAsia="en-US"/>
        </w:rPr>
        <w:t>Zamestnanec právnickej osoby môže zastupovať aj iné právnické osoby, ktoré sú ekonomicky prepojené s právnickou osobou, ktorú daný zamestnanec zastupuje.</w:t>
      </w:r>
    </w:p>
    <w:p>
      <w:pPr>
        <w:spacing w:before="120" w:after="120" w:line="360" w:lineRule="auto"/>
        <w:ind w:left="850"/>
        <w:rPr>
          <w:szCs w:val="24"/>
          <w:lang w:eastAsia="en-US"/>
        </w:rPr>
      </w:pPr>
      <w:r>
        <w:rPr>
          <w:szCs w:val="24"/>
          <w:lang w:eastAsia="en-US"/>
        </w:rPr>
        <w:t>Druhý pododsek sa uplatňuje aj vtedy, ak tieto iné právnické osoby nemajú v Únii svoje bydlisko, sídlo, hlavné miesto podnikania ani skutočnú a fungujúcu priemyselnú alebo obchodnú prevádzkareň.</w:t>
      </w:r>
    </w:p>
    <w:p>
      <w:pPr>
        <w:widowControl/>
        <w:rPr>
          <w:szCs w:val="24"/>
          <w:lang w:eastAsia="en-US"/>
        </w:rPr>
      </w:pPr>
      <w:r>
        <w:rPr>
          <w:szCs w:val="24"/>
          <w:lang w:eastAsia="en-US"/>
        </w:rPr>
        <w:br w:type="page"/>
      </w:r>
    </w:p>
    <w:p>
      <w:pPr>
        <w:spacing w:before="120" w:after="120" w:line="360" w:lineRule="auto"/>
        <w:ind w:left="850"/>
        <w:rPr>
          <w:szCs w:val="24"/>
          <w:lang w:eastAsia="en-US"/>
        </w:rPr>
      </w:pPr>
      <w:r>
        <w:rPr>
          <w:szCs w:val="24"/>
          <w:lang w:eastAsia="en-US"/>
        </w:rPr>
        <w:lastRenderedPageBreak/>
        <w:t>Na požiadanie úradu alebo prípadne účastníka konania musia zamestnanci, ktorí zastupujú fyzické alebo právnické osoby, predložiť úradu podpísané splnomocnenie, ktoré sa vloží do spisu.</w:t>
      </w:r>
    </w:p>
    <w:p>
      <w:pPr>
        <w:spacing w:before="120" w:after="120" w:line="360" w:lineRule="auto"/>
        <w:ind w:left="850" w:hanging="850"/>
        <w:rPr>
          <w:szCs w:val="24"/>
          <w:lang w:eastAsia="en-US"/>
        </w:rPr>
      </w:pPr>
      <w:r>
        <w:rPr>
          <w:szCs w:val="24"/>
          <w:lang w:eastAsia="en-US"/>
        </w:rPr>
        <w:t>3.</w:t>
      </w:r>
      <w:r>
        <w:rPr>
          <w:szCs w:val="24"/>
          <w:lang w:eastAsia="en-US"/>
        </w:rPr>
        <w:tab/>
        <w:t>Spoločný zástupca sa vymenuje v prípade, keď existuje viac ako jeden žiadateľ alebo viac ako jedna tretia strana, ktorí konajú spoločne.</w:t>
      </w:r>
    </w:p>
    <w:p>
      <w:pPr>
        <w:spacing w:before="120" w:after="120" w:line="360" w:lineRule="auto"/>
        <w:ind w:left="850" w:hanging="850"/>
        <w:rPr>
          <w:szCs w:val="24"/>
          <w:lang w:eastAsia="en-US"/>
        </w:rPr>
      </w:pPr>
      <w:r>
        <w:rPr>
          <w:szCs w:val="24"/>
          <w:lang w:eastAsia="en-US"/>
        </w:rPr>
        <w:t>4.</w:t>
      </w:r>
      <w:r>
        <w:rPr>
          <w:szCs w:val="24"/>
          <w:lang w:eastAsia="en-US"/>
        </w:rPr>
        <w:tab/>
        <w:t>Fyzické alebo právnické osoby môže pred úradom zastupovať len príslušník právnického povolania usadený v Únii, ktorý je oprávnený konať ako patentový zástupca v patentových veciach pred národným patentovým úradom alebo Európskym patentovým úradom, alebo právnik oprávnený vykonávať činnosť na súdoch alebo tribunáloch členského štátu.</w:t>
      </w:r>
    </w:p>
    <w:p>
      <w:pPr>
        <w:spacing w:before="120" w:after="120" w:line="360" w:lineRule="auto"/>
        <w:jc w:val="center"/>
        <w:rPr>
          <w:szCs w:val="24"/>
          <w:lang w:eastAsia="en-US"/>
        </w:rPr>
      </w:pPr>
      <w:r>
        <w:rPr>
          <w:szCs w:val="24"/>
          <w:lang w:eastAsia="en-US"/>
        </w:rPr>
        <w:t>Článok 37</w:t>
      </w:r>
      <w:r>
        <w:rPr>
          <w:szCs w:val="24"/>
          <w:lang w:eastAsia="en-US"/>
        </w:rPr>
        <w:br/>
        <w:t>Oddelenie dodatkových ochranných osvedčení</w:t>
      </w:r>
    </w:p>
    <w:p>
      <w:pPr>
        <w:spacing w:before="120" w:after="120" w:line="360" w:lineRule="auto"/>
        <w:rPr>
          <w:szCs w:val="24"/>
          <w:lang w:eastAsia="en-US"/>
        </w:rPr>
      </w:pPr>
      <w:r>
        <w:rPr>
          <w:szCs w:val="24"/>
          <w:lang w:eastAsia="en-US"/>
        </w:rPr>
        <w:t>V rámci úradu sa zriadi oddelenie dodatkových ochranných osvedčení (ďalej len „oddelenie DOO“), ktoré bude okrem povinností vyplývajúcich z nariadení [COM(2023) 231] a [COM(2023) 223] zodpovedné aj za vykonávanie úloh stanovených v tomto nariadení a v nariadení [COM(2023) 222], a to najmä týchto úloh:</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a)</w:t>
      </w:r>
      <w:r>
        <w:rPr>
          <w:szCs w:val="24"/>
          <w:lang w:eastAsia="en-US"/>
        </w:rPr>
        <w:tab/>
        <w:t>prijímanie žiadostí o jednotné osvedčenia, odvolaní a pripomienok tretích strán a dohľad nad ich prieskumom;</w:t>
      </w:r>
    </w:p>
    <w:p>
      <w:pPr>
        <w:spacing w:before="120" w:after="120" w:line="360" w:lineRule="auto"/>
        <w:ind w:left="850" w:hanging="850"/>
        <w:rPr>
          <w:szCs w:val="24"/>
          <w:lang w:eastAsia="en-US"/>
        </w:rPr>
      </w:pPr>
      <w:r>
        <w:rPr>
          <w:szCs w:val="24"/>
          <w:lang w:eastAsia="en-US"/>
        </w:rPr>
        <w:t>b)</w:t>
      </w:r>
      <w:r>
        <w:rPr>
          <w:szCs w:val="24"/>
          <w:lang w:eastAsia="en-US"/>
        </w:rPr>
        <w:tab/>
        <w:t>prijímanie stanovísk na základe prieskumu v mene úradu v súvislosti so žiadosťami o jednotné osvedčenia;</w:t>
      </w:r>
    </w:p>
    <w:p>
      <w:pPr>
        <w:spacing w:before="120" w:after="120" w:line="360" w:lineRule="auto"/>
        <w:ind w:left="850" w:hanging="850"/>
        <w:rPr>
          <w:szCs w:val="24"/>
          <w:lang w:eastAsia="en-US"/>
        </w:rPr>
      </w:pPr>
      <w:r>
        <w:rPr>
          <w:szCs w:val="24"/>
          <w:lang w:eastAsia="en-US"/>
        </w:rPr>
        <w:t>c)</w:t>
      </w:r>
      <w:r>
        <w:rPr>
          <w:szCs w:val="24"/>
          <w:lang w:eastAsia="en-US"/>
        </w:rPr>
        <w:tab/>
        <w:t>rozhodovanie o námietkach proti stanoviskám na základe prieskumu;</w:t>
      </w:r>
    </w:p>
    <w:p>
      <w:pPr>
        <w:spacing w:before="120" w:after="120" w:line="360" w:lineRule="auto"/>
        <w:ind w:left="850" w:hanging="850"/>
        <w:rPr>
          <w:szCs w:val="24"/>
          <w:lang w:eastAsia="en-US"/>
        </w:rPr>
      </w:pPr>
      <w:r>
        <w:rPr>
          <w:szCs w:val="24"/>
          <w:lang w:eastAsia="en-US"/>
        </w:rPr>
        <w:t>d)</w:t>
      </w:r>
      <w:r>
        <w:rPr>
          <w:szCs w:val="24"/>
          <w:lang w:eastAsia="en-US"/>
        </w:rPr>
        <w:tab/>
        <w:t>rozhodovanie o žiadostiach o vyhlásenie neplatnosti;</w:t>
      </w:r>
    </w:p>
    <w:p>
      <w:pPr>
        <w:spacing w:before="120" w:after="120" w:line="360" w:lineRule="auto"/>
        <w:ind w:left="850" w:hanging="850"/>
        <w:rPr>
          <w:szCs w:val="24"/>
          <w:lang w:eastAsia="en-US"/>
        </w:rPr>
      </w:pPr>
      <w:r>
        <w:rPr>
          <w:szCs w:val="24"/>
          <w:lang w:eastAsia="en-US"/>
        </w:rPr>
        <w:t>e)</w:t>
      </w:r>
      <w:r>
        <w:rPr>
          <w:szCs w:val="24"/>
          <w:lang w:eastAsia="en-US"/>
        </w:rPr>
        <w:tab/>
        <w:t>spracovanie požiadaviek na zmenu;</w:t>
      </w:r>
    </w:p>
    <w:p>
      <w:pPr>
        <w:spacing w:before="120" w:after="120" w:line="360" w:lineRule="auto"/>
        <w:ind w:left="850" w:hanging="850"/>
        <w:rPr>
          <w:szCs w:val="24"/>
          <w:lang w:eastAsia="en-US"/>
        </w:rPr>
      </w:pPr>
      <w:r>
        <w:rPr>
          <w:szCs w:val="24"/>
          <w:lang w:eastAsia="en-US"/>
        </w:rPr>
        <w:t>f)</w:t>
      </w:r>
      <w:r>
        <w:rPr>
          <w:szCs w:val="24"/>
          <w:lang w:eastAsia="en-US"/>
        </w:rPr>
        <w:tab/>
        <w:t>vedenie registra a databázy.</w:t>
      </w:r>
    </w:p>
    <w:p>
      <w:pPr>
        <w:spacing w:before="120" w:after="120" w:line="360" w:lineRule="auto"/>
        <w:jc w:val="center"/>
        <w:rPr>
          <w:szCs w:val="24"/>
          <w:lang w:eastAsia="en-US"/>
        </w:rPr>
      </w:pPr>
      <w:r>
        <w:rPr>
          <w:szCs w:val="24"/>
          <w:lang w:eastAsia="en-US"/>
        </w:rPr>
        <w:t>Článok 38</w:t>
      </w:r>
      <w:r>
        <w:rPr>
          <w:szCs w:val="24"/>
          <w:lang w:eastAsia="en-US"/>
        </w:rPr>
        <w:br/>
        <w:t>Rozhodnutia a oznámenia úradu</w:t>
      </w:r>
    </w:p>
    <w:p>
      <w:pPr>
        <w:spacing w:before="120" w:after="120" w:line="360" w:lineRule="auto"/>
        <w:ind w:left="850" w:hanging="850"/>
        <w:rPr>
          <w:szCs w:val="24"/>
          <w:lang w:eastAsia="en-US"/>
        </w:rPr>
      </w:pPr>
      <w:r>
        <w:rPr>
          <w:szCs w:val="24"/>
          <w:lang w:eastAsia="en-US"/>
        </w:rPr>
        <w:t>1.</w:t>
      </w:r>
      <w:r>
        <w:rPr>
          <w:szCs w:val="24"/>
          <w:lang w:eastAsia="en-US"/>
        </w:rPr>
        <w:tab/>
        <w:t>Rozhodnutia úradu podľa tohto nariadenia zahŕňajú stanoviská na základe prieskumu a uvádzajú sa v nich dôvody, na ktorých sa zakladajú. Musia vychádzať iba z dôvodov alebo dôkazov, ku ktorým mali predmetní účastníci konania možnosť vyjadriť pripomienky. Pokiaľ sa pred úradom konajú ústne konania, rozhodnutia možno vydávať ústne. Účastníkom sa následne doručí písomné rozhodnutie alebo stanovisko.</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2.</w:t>
      </w:r>
      <w:r>
        <w:rPr>
          <w:szCs w:val="24"/>
          <w:lang w:eastAsia="en-US"/>
        </w:rPr>
        <w:tab/>
        <w:t>V každom rozhodnutí, stanovisku, oznámení alebo ozname úradu podľa tohto nariadenia sa uvádza oddelenie DOO a príslušná komisia, ako aj meno, prípadne mená zodpovedných prieskumových pracovníkov. Musia byť týmito prieskumovými pracovníkmi podpísané alebo namiesto podpisu opatrené vytlačenou alebo odtlačenou pečiatkou úradu. Výkonný riaditeľ môže určiť, že ak sa rozhodnutia alebo iné oznámenia zasielajú akýmikoľvek technickými komunikačnými prostriedkami, môžu sa použiť iné prostriedky identifikácie oddelenia DOO a mien zodpovedných prieskumových pracovníkov alebo iná identifikácia ako pečiatka.</w:t>
      </w:r>
    </w:p>
    <w:p>
      <w:pPr>
        <w:spacing w:before="120" w:after="120" w:line="360" w:lineRule="auto"/>
        <w:ind w:left="850" w:hanging="850"/>
        <w:rPr>
          <w:szCs w:val="24"/>
          <w:lang w:eastAsia="en-US"/>
        </w:rPr>
      </w:pPr>
      <w:r>
        <w:rPr>
          <w:szCs w:val="24"/>
          <w:lang w:eastAsia="en-US"/>
        </w:rPr>
        <w:t>3.</w:t>
      </w:r>
      <w:r>
        <w:rPr>
          <w:szCs w:val="24"/>
          <w:lang w:eastAsia="en-US"/>
        </w:rPr>
        <w:tab/>
        <w:t>K rozhodnutiam úradu podľa tohto nariadenia, proti ktorým možno podať odvolanie, sa pripojí písomné poučenie o tom, že odvolanie sa má podať úradu písomne do dvoch mesiacov odo dňa doručenia predmetného rozhodnutia. V tomto poučení sa účastníci konania musia upozorniť aj na ustanovenia článku 26. Účastníci sa nemôžu dovolávať opomenutia poučenia zo strany úradu o možnosti odvolacieho konania.</w:t>
      </w:r>
    </w:p>
    <w:p>
      <w:pPr>
        <w:widowControl/>
        <w:rPr>
          <w:szCs w:val="24"/>
          <w:lang w:eastAsia="en-US"/>
        </w:rPr>
      </w:pPr>
      <w:r>
        <w:rPr>
          <w:szCs w:val="24"/>
          <w:lang w:eastAsia="en-US"/>
        </w:rPr>
        <w:br w:type="page"/>
      </w:r>
    </w:p>
    <w:p>
      <w:pPr>
        <w:spacing w:before="120" w:after="120" w:line="360" w:lineRule="auto"/>
        <w:jc w:val="center"/>
        <w:rPr>
          <w:szCs w:val="24"/>
          <w:lang w:eastAsia="en-US"/>
        </w:rPr>
      </w:pPr>
      <w:r>
        <w:rPr>
          <w:szCs w:val="24"/>
          <w:lang w:eastAsia="en-US"/>
        </w:rPr>
        <w:lastRenderedPageBreak/>
        <w:t>Článok 39</w:t>
      </w:r>
      <w:r>
        <w:rPr>
          <w:szCs w:val="24"/>
          <w:lang w:eastAsia="en-US"/>
        </w:rPr>
        <w:br/>
        <w:t>Ústne konanie</w:t>
      </w:r>
    </w:p>
    <w:p>
      <w:pPr>
        <w:spacing w:before="120" w:after="120" w:line="360" w:lineRule="auto"/>
        <w:ind w:left="850" w:hanging="850"/>
        <w:rPr>
          <w:szCs w:val="24"/>
          <w:lang w:eastAsia="en-US"/>
        </w:rPr>
      </w:pPr>
      <w:r>
        <w:rPr>
          <w:szCs w:val="24"/>
          <w:lang w:eastAsia="en-US"/>
        </w:rPr>
        <w:t>1.</w:t>
      </w:r>
      <w:r>
        <w:rPr>
          <w:szCs w:val="24"/>
          <w:lang w:eastAsia="en-US"/>
        </w:rPr>
        <w:tab/>
        <w:t>Ak úrad usúdi, že ústne konania by mohli byť účelné, môžu sa konať buď z podnetu úradu alebo na požiadanie ktoréhokoľvek účastníka konania.</w:t>
      </w:r>
    </w:p>
    <w:p>
      <w:pPr>
        <w:spacing w:before="120" w:after="120" w:line="360" w:lineRule="auto"/>
        <w:ind w:left="850" w:hanging="850"/>
        <w:rPr>
          <w:szCs w:val="24"/>
          <w:lang w:eastAsia="en-US"/>
        </w:rPr>
      </w:pPr>
      <w:r>
        <w:rPr>
          <w:szCs w:val="24"/>
          <w:lang w:eastAsia="en-US"/>
        </w:rPr>
        <w:t>2.</w:t>
      </w:r>
      <w:r>
        <w:rPr>
          <w:szCs w:val="24"/>
          <w:lang w:eastAsia="en-US"/>
        </w:rPr>
        <w:tab/>
        <w:t>Ústne konania pred prieskumovou či námietkovou komisiou alebo pred komisiou pre vyhlásenie neplatnosti nie sú verejné.</w:t>
      </w:r>
    </w:p>
    <w:p>
      <w:pPr>
        <w:spacing w:before="120" w:after="120" w:line="360" w:lineRule="auto"/>
        <w:ind w:left="850" w:hanging="850"/>
        <w:rPr>
          <w:szCs w:val="24"/>
          <w:lang w:eastAsia="en-US"/>
        </w:rPr>
      </w:pPr>
      <w:r>
        <w:rPr>
          <w:szCs w:val="24"/>
          <w:lang w:eastAsia="en-US"/>
        </w:rPr>
        <w:t>3.</w:t>
      </w:r>
      <w:r>
        <w:rPr>
          <w:szCs w:val="24"/>
          <w:lang w:eastAsia="en-US"/>
        </w:rPr>
        <w:tab/>
        <w:t>Ústne konania pred odvolacími senátmi vrátane doručenia rozhodnutia či prípadne revidovaného stanoviska sú verejné, pokiaľ odvolacie senáty nerozhodnú inak v prípadoch, keď by účasť verejnosti mohla predstavovať závažné a neoprávnené nevýhody, a to najmä pre niektorého účastníka konania.</w:t>
      </w:r>
    </w:p>
    <w:p>
      <w:pPr>
        <w:spacing w:before="120" w:after="120" w:line="360" w:lineRule="auto"/>
        <w:ind w:left="850" w:hanging="850"/>
        <w:rPr>
          <w:szCs w:val="24"/>
          <w:lang w:eastAsia="en-US"/>
        </w:rPr>
      </w:pPr>
      <w:r>
        <w:rPr>
          <w:szCs w:val="24"/>
          <w:lang w:eastAsia="en-US"/>
        </w:rPr>
        <w:t>4.</w:t>
      </w:r>
      <w:r>
        <w:rPr>
          <w:szCs w:val="24"/>
          <w:lang w:eastAsia="en-US"/>
        </w:rPr>
        <w:tab/>
        <w:t>Komisia je splnomocnená prijímať delegované akty v súlade s článkom 49 s cieľom doplniť toto nariadenie stanovením podrobných podmienok ústnych konaní.</w:t>
      </w:r>
    </w:p>
    <w:p>
      <w:pPr>
        <w:widowControl/>
        <w:rPr>
          <w:szCs w:val="24"/>
          <w:lang w:eastAsia="en-US"/>
        </w:rPr>
      </w:pPr>
      <w:r>
        <w:rPr>
          <w:szCs w:val="24"/>
          <w:lang w:eastAsia="en-US"/>
        </w:rPr>
        <w:br w:type="page"/>
      </w:r>
    </w:p>
    <w:p>
      <w:pPr>
        <w:spacing w:before="120" w:after="120" w:line="360" w:lineRule="auto"/>
        <w:jc w:val="center"/>
        <w:rPr>
          <w:szCs w:val="24"/>
          <w:lang w:eastAsia="en-US"/>
        </w:rPr>
      </w:pPr>
      <w:r>
        <w:rPr>
          <w:szCs w:val="24"/>
          <w:lang w:eastAsia="en-US"/>
        </w:rPr>
        <w:lastRenderedPageBreak/>
        <w:t>Článok 40</w:t>
      </w:r>
      <w:r>
        <w:rPr>
          <w:szCs w:val="24"/>
          <w:lang w:eastAsia="en-US"/>
        </w:rPr>
        <w:br/>
        <w:t>Vykonávanie dôkazov</w:t>
      </w:r>
    </w:p>
    <w:p>
      <w:pPr>
        <w:spacing w:before="120" w:after="120" w:line="360" w:lineRule="auto"/>
        <w:ind w:left="850" w:hanging="850"/>
        <w:rPr>
          <w:szCs w:val="24"/>
          <w:lang w:eastAsia="en-US"/>
        </w:rPr>
      </w:pPr>
      <w:r>
        <w:rPr>
          <w:szCs w:val="24"/>
          <w:lang w:eastAsia="en-US"/>
        </w:rPr>
        <w:t>1.</w:t>
      </w:r>
      <w:r>
        <w:rPr>
          <w:szCs w:val="24"/>
          <w:lang w:eastAsia="en-US"/>
        </w:rPr>
        <w:tab/>
        <w:t>Medzi prostriedky poskytovania alebo získavania dôkazov v rámci každého konania pred úradom patrí:</w:t>
      </w:r>
    </w:p>
    <w:p>
      <w:pPr>
        <w:spacing w:before="120" w:after="120" w:line="360" w:lineRule="auto"/>
        <w:ind w:left="1416" w:hanging="566"/>
        <w:rPr>
          <w:szCs w:val="24"/>
          <w:lang w:eastAsia="en-US"/>
        </w:rPr>
      </w:pPr>
      <w:r>
        <w:rPr>
          <w:szCs w:val="24"/>
          <w:lang w:eastAsia="en-US"/>
        </w:rPr>
        <w:t>a)</w:t>
      </w:r>
      <w:r>
        <w:rPr>
          <w:szCs w:val="24"/>
          <w:lang w:eastAsia="en-US"/>
        </w:rPr>
        <w:tab/>
        <w:t>vypočutie účastníkov;</w:t>
      </w:r>
    </w:p>
    <w:p>
      <w:pPr>
        <w:spacing w:before="120" w:after="120" w:line="360" w:lineRule="auto"/>
        <w:ind w:left="1416" w:hanging="566"/>
        <w:rPr>
          <w:szCs w:val="24"/>
          <w:lang w:eastAsia="en-US"/>
        </w:rPr>
      </w:pPr>
      <w:r>
        <w:rPr>
          <w:szCs w:val="24"/>
          <w:lang w:eastAsia="en-US"/>
        </w:rPr>
        <w:t>b)</w:t>
      </w:r>
      <w:r>
        <w:rPr>
          <w:szCs w:val="24"/>
          <w:lang w:eastAsia="en-US"/>
        </w:rPr>
        <w:tab/>
        <w:t>vyžiadanie informácií;</w:t>
      </w:r>
    </w:p>
    <w:p>
      <w:pPr>
        <w:spacing w:before="120" w:after="120" w:line="360" w:lineRule="auto"/>
        <w:ind w:left="1416" w:hanging="566"/>
        <w:rPr>
          <w:szCs w:val="24"/>
          <w:lang w:eastAsia="en-US"/>
        </w:rPr>
      </w:pPr>
      <w:r>
        <w:rPr>
          <w:szCs w:val="24"/>
          <w:lang w:eastAsia="en-US"/>
        </w:rPr>
        <w:t>c)</w:t>
      </w:r>
      <w:r>
        <w:rPr>
          <w:szCs w:val="24"/>
          <w:lang w:eastAsia="en-US"/>
        </w:rPr>
        <w:tab/>
        <w:t>predloženie dokladov a dôkazov;</w:t>
      </w:r>
    </w:p>
    <w:p>
      <w:pPr>
        <w:spacing w:before="120" w:after="120" w:line="360" w:lineRule="auto"/>
        <w:ind w:left="1416" w:hanging="566"/>
        <w:rPr>
          <w:szCs w:val="24"/>
          <w:lang w:eastAsia="en-US"/>
        </w:rPr>
      </w:pPr>
      <w:r>
        <w:rPr>
          <w:szCs w:val="24"/>
          <w:lang w:eastAsia="en-US"/>
        </w:rPr>
        <w:t>d)</w:t>
      </w:r>
      <w:r>
        <w:rPr>
          <w:szCs w:val="24"/>
          <w:lang w:eastAsia="en-US"/>
        </w:rPr>
        <w:tab/>
        <w:t>vypočutie svedkov;</w:t>
      </w:r>
    </w:p>
    <w:p>
      <w:pPr>
        <w:spacing w:before="120" w:after="120" w:line="360" w:lineRule="auto"/>
        <w:ind w:left="1416" w:hanging="566"/>
        <w:rPr>
          <w:szCs w:val="24"/>
          <w:lang w:eastAsia="en-US"/>
        </w:rPr>
      </w:pPr>
      <w:r>
        <w:rPr>
          <w:szCs w:val="24"/>
          <w:lang w:eastAsia="en-US"/>
        </w:rPr>
        <w:t>e)</w:t>
      </w:r>
      <w:r>
        <w:rPr>
          <w:szCs w:val="24"/>
          <w:lang w:eastAsia="en-US"/>
        </w:rPr>
        <w:tab/>
        <w:t>stanoviská znalcov;</w:t>
      </w:r>
    </w:p>
    <w:p>
      <w:pPr>
        <w:spacing w:before="120" w:after="120" w:line="360" w:lineRule="auto"/>
        <w:ind w:left="1416" w:hanging="566"/>
        <w:rPr>
          <w:szCs w:val="24"/>
          <w:lang w:eastAsia="en-US"/>
        </w:rPr>
      </w:pPr>
      <w:r>
        <w:rPr>
          <w:szCs w:val="24"/>
          <w:lang w:eastAsia="en-US"/>
        </w:rPr>
        <w:t>f)</w:t>
      </w:r>
      <w:r>
        <w:rPr>
          <w:szCs w:val="24"/>
          <w:lang w:eastAsia="en-US"/>
        </w:rPr>
        <w:tab/>
        <w:t>písomné prísažné alebo čestné vyhlásenia alebo písomné vyhlásenia s podobným účinkom podľa práva štátu, v ktorom bolo vyhlásenie zostavené.</w:t>
      </w:r>
    </w:p>
    <w:p>
      <w:pPr>
        <w:spacing w:before="120" w:after="120" w:line="360" w:lineRule="auto"/>
        <w:ind w:left="850" w:hanging="850"/>
        <w:rPr>
          <w:szCs w:val="24"/>
          <w:lang w:eastAsia="en-US"/>
        </w:rPr>
      </w:pPr>
      <w:r>
        <w:rPr>
          <w:szCs w:val="24"/>
          <w:lang w:eastAsia="en-US"/>
        </w:rPr>
        <w:t>2.</w:t>
      </w:r>
      <w:r>
        <w:rPr>
          <w:szCs w:val="24"/>
          <w:lang w:eastAsia="en-US"/>
        </w:rPr>
        <w:tab/>
        <w:t>Príslušná komisia môže poveriť jedného zo svojich členov, aby uvedené dôkazy preskúmal.</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3.</w:t>
      </w:r>
      <w:r>
        <w:rPr>
          <w:szCs w:val="24"/>
          <w:lang w:eastAsia="en-US"/>
        </w:rPr>
        <w:tab/>
        <w:t xml:space="preserve">Ak úrad alebo príslušná komisia považujú za potrebné, aby účastník, svedok alebo znalec ústne vypovedal, dotknutú osobu predvolajú, aby sa dostavila pred úrad alebo komisiu. </w:t>
      </w:r>
      <w:r>
        <w:rPr>
          <w:b/>
          <w:i/>
          <w:szCs w:val="24"/>
          <w:lang w:eastAsia="en-US"/>
        </w:rPr>
        <w:t xml:space="preserve">Ak sa predvolá znalec, úrad alebo prípadne príslušná komisia overí, že tento znalec je bez akéhokoľvek konfliktu záujmov. </w:t>
      </w:r>
      <w:r>
        <w:rPr>
          <w:szCs w:val="24"/>
          <w:lang w:eastAsia="en-US"/>
        </w:rPr>
        <w:t xml:space="preserve">Lehota stanovená v takom predvolaní je najmenej jeden mesiac, pokiaľ dotknuté osoby nesúhlasia s kratšou lehotou. </w:t>
      </w:r>
      <w:r>
        <w:rPr>
          <w:b/>
          <w:szCs w:val="24"/>
          <w:lang w:eastAsia="en-US"/>
        </w:rPr>
        <w:t>[PN 38]</w:t>
      </w:r>
    </w:p>
    <w:p>
      <w:pPr>
        <w:spacing w:before="120" w:after="120" w:line="360" w:lineRule="auto"/>
        <w:ind w:left="850" w:hanging="850"/>
        <w:rPr>
          <w:szCs w:val="24"/>
          <w:lang w:eastAsia="en-US"/>
        </w:rPr>
      </w:pPr>
      <w:r>
        <w:rPr>
          <w:szCs w:val="24"/>
          <w:lang w:eastAsia="en-US"/>
        </w:rPr>
        <w:t>4.</w:t>
      </w:r>
      <w:r>
        <w:rPr>
          <w:szCs w:val="24"/>
          <w:lang w:eastAsia="en-US"/>
        </w:rPr>
        <w:tab/>
        <w:t>Účastníci sú informovaní o vypočutí svedka alebo znalca pred úradom. Majú právo byť prítomní na vypočutí a svedkovi alebo znalcovi klásť otázky.</w:t>
      </w:r>
    </w:p>
    <w:p>
      <w:pPr>
        <w:spacing w:before="120" w:after="120" w:line="360" w:lineRule="auto"/>
        <w:ind w:left="850" w:hanging="850"/>
        <w:rPr>
          <w:szCs w:val="24"/>
          <w:lang w:eastAsia="en-US"/>
        </w:rPr>
      </w:pPr>
      <w:r>
        <w:rPr>
          <w:szCs w:val="24"/>
          <w:lang w:eastAsia="en-US"/>
        </w:rPr>
        <w:t>5.</w:t>
      </w:r>
      <w:r>
        <w:rPr>
          <w:szCs w:val="24"/>
          <w:lang w:eastAsia="en-US"/>
        </w:rPr>
        <w:tab/>
        <w:t>Výkonný riaditeľ stanoví výšku výdavkov vrátane preddavkov, ktoré sa majú uhradiť, pokiaľ ide o náklady na vykonávanie dôkazov v zmysle toho článku.</w:t>
      </w:r>
    </w:p>
    <w:p>
      <w:pPr>
        <w:spacing w:before="120" w:after="120" w:line="360" w:lineRule="auto"/>
        <w:ind w:left="850" w:hanging="850"/>
        <w:rPr>
          <w:szCs w:val="24"/>
          <w:lang w:eastAsia="en-US"/>
        </w:rPr>
      </w:pPr>
      <w:r>
        <w:rPr>
          <w:szCs w:val="24"/>
          <w:lang w:eastAsia="en-US"/>
        </w:rPr>
        <w:t>6.</w:t>
      </w:r>
      <w:r>
        <w:rPr>
          <w:szCs w:val="24"/>
          <w:lang w:eastAsia="en-US"/>
        </w:rPr>
        <w:tab/>
        <w:t>Komisia je splnomocnená prijímať delegované akty v súlade s článkom 49 s cieľom doplniť toto nariadenie stanovením podrobných podmienok vykonávania dôkazov.</w:t>
      </w:r>
    </w:p>
    <w:p>
      <w:pPr>
        <w:widowControl/>
        <w:rPr>
          <w:szCs w:val="24"/>
          <w:lang w:eastAsia="en-US"/>
        </w:rPr>
      </w:pPr>
      <w:r>
        <w:rPr>
          <w:szCs w:val="24"/>
          <w:lang w:eastAsia="en-US"/>
        </w:rPr>
        <w:br w:type="page"/>
      </w:r>
    </w:p>
    <w:p>
      <w:pPr>
        <w:spacing w:before="120" w:after="120" w:line="360" w:lineRule="auto"/>
        <w:jc w:val="center"/>
        <w:rPr>
          <w:szCs w:val="24"/>
          <w:lang w:eastAsia="en-US"/>
        </w:rPr>
      </w:pPr>
      <w:r>
        <w:rPr>
          <w:szCs w:val="24"/>
          <w:lang w:eastAsia="en-US"/>
        </w:rPr>
        <w:lastRenderedPageBreak/>
        <w:t>Článok 41</w:t>
      </w:r>
      <w:r>
        <w:rPr>
          <w:szCs w:val="24"/>
          <w:lang w:eastAsia="en-US"/>
        </w:rPr>
        <w:br/>
        <w:t>Oznamovanie</w:t>
      </w:r>
    </w:p>
    <w:p>
      <w:pPr>
        <w:spacing w:before="120" w:after="120" w:line="360" w:lineRule="auto"/>
        <w:ind w:left="850" w:hanging="850"/>
        <w:rPr>
          <w:szCs w:val="24"/>
          <w:lang w:eastAsia="en-US"/>
        </w:rPr>
      </w:pPr>
      <w:r>
        <w:rPr>
          <w:szCs w:val="24"/>
          <w:lang w:eastAsia="en-US"/>
        </w:rPr>
        <w:t>1.</w:t>
      </w:r>
      <w:r>
        <w:rPr>
          <w:szCs w:val="24"/>
          <w:lang w:eastAsia="en-US"/>
        </w:rPr>
        <w:tab/>
        <w:t>Úrad dotknutým osobám oznámi rozhodnutia vrátane stanovísk, ako aj predvolania a akékoľvek oznamy alebo iné oznámenia, od ktorých sa počíta lehota alebo ktoré majú byť dotknutým osobám oznámené na základe iných ustanovení tohto nariadenia alebo aktov prijatých podľa tohto nariadenia, alebo ktorých oznámenie nariadil výkonný riaditeľ.</w:t>
      </w:r>
    </w:p>
    <w:p>
      <w:pPr>
        <w:spacing w:before="120" w:after="120" w:line="360" w:lineRule="auto"/>
        <w:ind w:left="850" w:hanging="850"/>
        <w:rPr>
          <w:szCs w:val="24"/>
          <w:lang w:eastAsia="en-US"/>
        </w:rPr>
      </w:pPr>
      <w:r>
        <w:rPr>
          <w:szCs w:val="24"/>
          <w:lang w:eastAsia="en-US"/>
        </w:rPr>
        <w:t>2.</w:t>
      </w:r>
      <w:r>
        <w:rPr>
          <w:szCs w:val="24"/>
          <w:lang w:eastAsia="en-US"/>
        </w:rPr>
        <w:tab/>
        <w:t>Oznamovanie sa môže uskutočniť rôznymi prostriedkami vrátane elektronických prostriedkov. Podrobnosti týkajúce sa elektronických prostriedkov určí výkonný riaditeľ.</w:t>
      </w:r>
    </w:p>
    <w:p>
      <w:pPr>
        <w:spacing w:before="120" w:after="120" w:line="360" w:lineRule="auto"/>
        <w:ind w:left="850" w:hanging="850"/>
        <w:rPr>
          <w:szCs w:val="24"/>
          <w:lang w:eastAsia="en-US"/>
        </w:rPr>
      </w:pPr>
      <w:r>
        <w:rPr>
          <w:szCs w:val="24"/>
          <w:lang w:eastAsia="en-US"/>
        </w:rPr>
        <w:t>3.</w:t>
      </w:r>
      <w:r>
        <w:rPr>
          <w:szCs w:val="24"/>
          <w:lang w:eastAsia="en-US"/>
        </w:rPr>
        <w:tab/>
        <w:t>Ak sa má oznámenie uskutočniť prostredníctvom verejného oznámenia, výkonný riaditeľ stanoví spôsob, akým sa má verejné oznámenie zverejniť, a určí začiatok jednomesačnej lehoty, po ktorej uplynutí sa dokument považuje za oznámený.</w:t>
      </w:r>
    </w:p>
    <w:p>
      <w:pPr>
        <w:spacing w:before="120" w:after="120" w:line="360" w:lineRule="auto"/>
        <w:ind w:left="850" w:hanging="850"/>
        <w:rPr>
          <w:szCs w:val="24"/>
          <w:lang w:eastAsia="en-US"/>
        </w:rPr>
      </w:pPr>
      <w:r>
        <w:rPr>
          <w:szCs w:val="24"/>
          <w:lang w:eastAsia="en-US"/>
        </w:rPr>
        <w:t>4.</w:t>
      </w:r>
      <w:r>
        <w:rPr>
          <w:szCs w:val="24"/>
          <w:lang w:eastAsia="en-US"/>
        </w:rPr>
        <w:tab/>
        <w:t>Komisia je splnomocnená prijímať delegované akty v súlade s článkom 49 s cieľom doplniť toto nariadenie stanovením podrobných podmienok oznamovania.</w:t>
      </w:r>
    </w:p>
    <w:p>
      <w:pPr>
        <w:widowControl/>
        <w:rPr>
          <w:szCs w:val="24"/>
          <w:lang w:eastAsia="en-US"/>
        </w:rPr>
      </w:pPr>
      <w:r>
        <w:rPr>
          <w:szCs w:val="24"/>
          <w:lang w:eastAsia="en-US"/>
        </w:rPr>
        <w:br w:type="page"/>
      </w:r>
    </w:p>
    <w:p>
      <w:pPr>
        <w:spacing w:before="120" w:after="120" w:line="360" w:lineRule="auto"/>
        <w:jc w:val="center"/>
        <w:rPr>
          <w:szCs w:val="24"/>
          <w:lang w:eastAsia="en-US"/>
        </w:rPr>
      </w:pPr>
      <w:r>
        <w:rPr>
          <w:szCs w:val="24"/>
          <w:lang w:eastAsia="en-US"/>
        </w:rPr>
        <w:lastRenderedPageBreak/>
        <w:t>Článok 42</w:t>
      </w:r>
      <w:r>
        <w:rPr>
          <w:szCs w:val="24"/>
          <w:lang w:eastAsia="en-US"/>
        </w:rPr>
        <w:br/>
        <w:t>Lehoty</w:t>
      </w:r>
    </w:p>
    <w:p>
      <w:pPr>
        <w:spacing w:before="120" w:after="120" w:line="360" w:lineRule="auto"/>
        <w:ind w:left="850" w:hanging="850"/>
        <w:rPr>
          <w:szCs w:val="24"/>
          <w:lang w:eastAsia="en-US"/>
        </w:rPr>
      </w:pPr>
      <w:r>
        <w:rPr>
          <w:szCs w:val="24"/>
          <w:lang w:eastAsia="en-US"/>
        </w:rPr>
        <w:t>1.</w:t>
      </w:r>
      <w:r>
        <w:rPr>
          <w:szCs w:val="24"/>
          <w:lang w:eastAsia="en-US"/>
        </w:rPr>
        <w:tab/>
        <w:t>Lehoty sa stanovujú v celých rokoch, mesiacoch, týždňoch alebo dňoch. Pri výpočte sa začína dňom nasledujúcim po dni, keď došlo k príslušnej udalosti. Trvanie lehôt nesmie byť kratšie ako jeden mesiac a dlhšie ako šesť mesiacov.</w:t>
      </w:r>
    </w:p>
    <w:p>
      <w:pPr>
        <w:spacing w:before="120" w:after="120" w:line="360" w:lineRule="auto"/>
        <w:ind w:left="850" w:hanging="850"/>
        <w:rPr>
          <w:szCs w:val="24"/>
          <w:lang w:eastAsia="en-US"/>
        </w:rPr>
      </w:pPr>
      <w:r>
        <w:rPr>
          <w:szCs w:val="24"/>
          <w:lang w:eastAsia="en-US"/>
        </w:rPr>
        <w:t>2.</w:t>
      </w:r>
      <w:r>
        <w:rPr>
          <w:szCs w:val="24"/>
          <w:lang w:eastAsia="en-US"/>
        </w:rPr>
        <w:tab/>
        <w:t>Výkonný riaditeľ pred začiatkom každého kalendárneho roka určí dni, keď úrad nebude prijímať dokumenty alebo keď sa bežná pošta nebude doručovať v mieste sídla úradu.</w:t>
      </w:r>
    </w:p>
    <w:p>
      <w:pPr>
        <w:spacing w:before="120" w:after="120" w:line="360" w:lineRule="auto"/>
        <w:ind w:left="850" w:hanging="850"/>
        <w:rPr>
          <w:szCs w:val="24"/>
          <w:lang w:eastAsia="en-US"/>
        </w:rPr>
      </w:pPr>
      <w:r>
        <w:rPr>
          <w:szCs w:val="24"/>
          <w:lang w:eastAsia="en-US"/>
        </w:rPr>
        <w:t>3.</w:t>
      </w:r>
      <w:r>
        <w:rPr>
          <w:szCs w:val="24"/>
          <w:lang w:eastAsia="en-US"/>
        </w:rPr>
        <w:tab/>
        <w:t>V prípade všeobecného prerušenia doručovania pošty v členskom štáte, v ktorom sídli úrad, alebo v prípade skutočného prerušenia spojenia úradu s prípustnými elektronickými prostriedkami komunikácie určí výkonný riaditeľ trvanie obdobia tohto prerušenia.</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4.</w:t>
      </w:r>
      <w:r>
        <w:rPr>
          <w:szCs w:val="24"/>
          <w:lang w:eastAsia="en-US"/>
        </w:rPr>
        <w:tab/>
        <w:t>Ak v dôsledku mimoriadnej udalosti, ako je napríklad prírodná katastrofa alebo štrajk, dôjde k prerušeniu alebo narušeniu riadnej komunikácie medzi účastníkmi konania a úradom alebo naopak, môže výkonný riaditeľ určiť, že pre účastníkov konania, ktorí majú bydlisko alebo registrované sídlo v dotknutom členskom štáte alebo ktorí vymenovali svojho zástupcu s miestom výkonu činnosti v dotknutom členskom štáte, sa všetky lehoty, ktoré by inak uplynuli v deň začiatku takejto udalosti alebo po ňom a ktoré určil výkonný riaditeľ, predĺžia až do dňa, ktorý určí výkonný riaditeľ. Pri určovaní tohto dátumu výkonný riaditeľ posúdi, kedy sa daná mimoriadna udalosť skončí. Ak má udalosť vplyv na sídlo úradu, výkonný riaditeľ v takomto určení uvedie, že sa vzťahuje na všetkých účastníkov konania.</w:t>
      </w:r>
    </w:p>
    <w:p>
      <w:pPr>
        <w:spacing w:before="120" w:after="120" w:line="360" w:lineRule="auto"/>
        <w:ind w:left="850" w:hanging="850"/>
        <w:rPr>
          <w:szCs w:val="24"/>
          <w:lang w:eastAsia="en-US"/>
        </w:rPr>
      </w:pPr>
      <w:r>
        <w:rPr>
          <w:szCs w:val="24"/>
          <w:lang w:eastAsia="en-US"/>
        </w:rPr>
        <w:t>5.</w:t>
      </w:r>
      <w:r>
        <w:rPr>
          <w:szCs w:val="24"/>
          <w:lang w:eastAsia="en-US"/>
        </w:rPr>
        <w:tab/>
        <w:t>Komisia je splnomocnená prijímať delegované akty v súlade s článkom 49 s cieľom doplniť toto nariadenie špecifikovaním podrobností týkajúcich sa výpočtu a trvania lehôt.</w:t>
      </w:r>
    </w:p>
    <w:p>
      <w:pPr>
        <w:widowControl/>
        <w:rPr>
          <w:szCs w:val="24"/>
          <w:lang w:eastAsia="en-US"/>
        </w:rPr>
      </w:pPr>
      <w:r>
        <w:rPr>
          <w:szCs w:val="24"/>
          <w:lang w:eastAsia="en-US"/>
        </w:rPr>
        <w:br w:type="page"/>
      </w:r>
    </w:p>
    <w:p>
      <w:pPr>
        <w:spacing w:before="120" w:after="120" w:line="360" w:lineRule="auto"/>
        <w:jc w:val="center"/>
        <w:rPr>
          <w:szCs w:val="24"/>
          <w:lang w:eastAsia="en-US"/>
        </w:rPr>
      </w:pPr>
      <w:r>
        <w:rPr>
          <w:szCs w:val="24"/>
          <w:lang w:eastAsia="en-US"/>
        </w:rPr>
        <w:lastRenderedPageBreak/>
        <w:t>Článok 43</w:t>
      </w:r>
      <w:r>
        <w:rPr>
          <w:szCs w:val="24"/>
          <w:lang w:eastAsia="en-US"/>
        </w:rPr>
        <w:br/>
        <w:t>Oprava chýb a zrejmých nesprávností</w:t>
      </w:r>
    </w:p>
    <w:p>
      <w:pPr>
        <w:spacing w:before="120" w:after="120" w:line="360" w:lineRule="auto"/>
        <w:ind w:left="850" w:hanging="850"/>
        <w:rPr>
          <w:szCs w:val="24"/>
          <w:lang w:eastAsia="en-US"/>
        </w:rPr>
      </w:pPr>
      <w:r>
        <w:rPr>
          <w:szCs w:val="24"/>
          <w:lang w:eastAsia="en-US"/>
        </w:rPr>
        <w:t>1.</w:t>
      </w:r>
      <w:r>
        <w:rPr>
          <w:szCs w:val="24"/>
          <w:lang w:eastAsia="en-US"/>
        </w:rPr>
        <w:tab/>
        <w:t>Úrad z vlastného podnetu alebo na žiadosť účastníka konania opraví akékoľvek jazykové chyby alebo chyby pri prepise a zrejmé nesprávnosti vo svojich rozhodnutiach vrátane stanovísk alebo technické chyby pri uverejnení informácií v registri.</w:t>
      </w:r>
    </w:p>
    <w:p>
      <w:pPr>
        <w:spacing w:before="120" w:after="120" w:line="360" w:lineRule="auto"/>
        <w:ind w:left="850" w:hanging="850"/>
        <w:rPr>
          <w:szCs w:val="24"/>
          <w:lang w:eastAsia="en-US"/>
        </w:rPr>
      </w:pPr>
      <w:r>
        <w:rPr>
          <w:szCs w:val="24"/>
          <w:lang w:eastAsia="en-US"/>
        </w:rPr>
        <w:t>2.</w:t>
      </w:r>
      <w:r>
        <w:rPr>
          <w:szCs w:val="24"/>
          <w:lang w:eastAsia="en-US"/>
        </w:rPr>
        <w:tab/>
        <w:t>Ak úrad urobil záznam do registra alebo prijal rozhodnutie, ktoré obsahuje zrejmú chybu pripísateľnú úradu, zabezpečí výmaz daného záznamu alebo zrušenie rozhodnutia. Výmaz záznamu z registra alebo zrušenie rozhodnutia sa musia uskutočniť do jedného roka odo dňa záznamu do registra alebo odo dňa prijatia daného rozhodnutia, a to po vypočutí účastníkov konania.</w:t>
      </w:r>
    </w:p>
    <w:p>
      <w:pPr>
        <w:spacing w:before="120" w:after="120" w:line="360" w:lineRule="auto"/>
        <w:ind w:left="850" w:hanging="850"/>
        <w:rPr>
          <w:szCs w:val="24"/>
          <w:lang w:eastAsia="en-US"/>
        </w:rPr>
      </w:pPr>
      <w:r>
        <w:rPr>
          <w:szCs w:val="24"/>
          <w:lang w:eastAsia="en-US"/>
        </w:rPr>
        <w:t>3.</w:t>
      </w:r>
      <w:r>
        <w:rPr>
          <w:szCs w:val="24"/>
          <w:lang w:eastAsia="en-US"/>
        </w:rPr>
        <w:tab/>
        <w:t>Úrad uchováva záznamy o každej takejto oprave alebo výmaze.</w:t>
      </w:r>
    </w:p>
    <w:p>
      <w:pPr>
        <w:spacing w:before="120" w:after="120" w:line="360" w:lineRule="auto"/>
        <w:ind w:left="850" w:hanging="850"/>
        <w:rPr>
          <w:szCs w:val="24"/>
          <w:lang w:eastAsia="en-US"/>
        </w:rPr>
      </w:pPr>
      <w:r>
        <w:rPr>
          <w:szCs w:val="24"/>
          <w:lang w:eastAsia="en-US"/>
        </w:rPr>
        <w:t>4.</w:t>
      </w:r>
      <w:r>
        <w:rPr>
          <w:szCs w:val="24"/>
          <w:lang w:eastAsia="en-US"/>
        </w:rPr>
        <w:tab/>
        <w:t>Opravy a výmazy musí úrad uverejniť.</w:t>
      </w:r>
    </w:p>
    <w:p>
      <w:pPr>
        <w:widowControl/>
        <w:rPr>
          <w:szCs w:val="24"/>
          <w:lang w:eastAsia="en-US"/>
        </w:rPr>
      </w:pPr>
      <w:r>
        <w:rPr>
          <w:szCs w:val="24"/>
          <w:lang w:eastAsia="en-US"/>
        </w:rPr>
        <w:br w:type="page"/>
      </w:r>
    </w:p>
    <w:p>
      <w:pPr>
        <w:spacing w:before="120" w:after="120" w:line="360" w:lineRule="auto"/>
        <w:jc w:val="center"/>
        <w:rPr>
          <w:szCs w:val="24"/>
          <w:lang w:eastAsia="en-US"/>
        </w:rPr>
      </w:pPr>
      <w:r>
        <w:rPr>
          <w:szCs w:val="24"/>
          <w:lang w:eastAsia="en-US"/>
        </w:rPr>
        <w:lastRenderedPageBreak/>
        <w:t>Článok 44</w:t>
      </w:r>
      <w:r>
        <w:rPr>
          <w:szCs w:val="24"/>
          <w:lang w:eastAsia="en-US"/>
        </w:rPr>
        <w:br/>
        <w:t>Restitutio in integrum</w:t>
      </w:r>
    </w:p>
    <w:p>
      <w:pPr>
        <w:spacing w:before="120" w:after="120" w:line="360" w:lineRule="auto"/>
        <w:ind w:left="850" w:hanging="850"/>
        <w:rPr>
          <w:szCs w:val="24"/>
          <w:lang w:eastAsia="en-US"/>
        </w:rPr>
      </w:pPr>
      <w:r>
        <w:rPr>
          <w:szCs w:val="24"/>
          <w:lang w:eastAsia="en-US"/>
        </w:rPr>
        <w:t>1.</w:t>
      </w:r>
      <w:r>
        <w:rPr>
          <w:szCs w:val="24"/>
          <w:lang w:eastAsia="en-US"/>
        </w:rPr>
        <w:tab/>
        <w:t>Práva žiadateľa o jednotné osvedčenie či držiteľa tohto osvedčenia alebo ktoréhokoľvek iného účastníka konania pred úradom podľa tohto nariadenia, ktorý napriek vynaloženiu úplnej náležitej starostlivosti vyžadovanej okolnosťami nebol schopný dodržať lehotu voči úradu, sa na základe jeho žiadosti obnovia, ak priamym dôsledkom tohto zmeškania je podľa ustanovení tohto nariadenia strata práva alebo prostriedku nápravy.</w:t>
      </w:r>
    </w:p>
    <w:p>
      <w:pPr>
        <w:spacing w:before="120" w:after="120" w:line="360" w:lineRule="auto"/>
        <w:ind w:left="850" w:hanging="850"/>
        <w:rPr>
          <w:szCs w:val="24"/>
          <w:lang w:eastAsia="en-US"/>
        </w:rPr>
      </w:pPr>
      <w:r>
        <w:rPr>
          <w:szCs w:val="24"/>
          <w:lang w:eastAsia="en-US"/>
        </w:rPr>
        <w:t>2.</w:t>
      </w:r>
      <w:r>
        <w:rPr>
          <w:szCs w:val="24"/>
          <w:lang w:eastAsia="en-US"/>
        </w:rPr>
        <w:tab/>
        <w:t>Žiadosť o obnovenie práv sa podáva v písomnej podobe do dvoch mesiacov od pominutia dôvodu zmeškania lehoty. V tejto lehote sa musí uskutočniť zmeškaný úkon. Žiadosť je prípustná iba počas jedného roka, ktorý nasleduje bezprostredne po uplynutí zmeškanej lehoty.</w:t>
      </w:r>
    </w:p>
    <w:p>
      <w:pPr>
        <w:spacing w:before="120" w:after="120" w:line="360" w:lineRule="auto"/>
        <w:ind w:left="850" w:hanging="850"/>
        <w:rPr>
          <w:szCs w:val="24"/>
          <w:lang w:eastAsia="en-US"/>
        </w:rPr>
      </w:pPr>
      <w:r>
        <w:rPr>
          <w:szCs w:val="24"/>
          <w:lang w:eastAsia="en-US"/>
        </w:rPr>
        <w:t>3.</w:t>
      </w:r>
      <w:r>
        <w:rPr>
          <w:szCs w:val="24"/>
          <w:lang w:eastAsia="en-US"/>
        </w:rPr>
        <w:tab/>
        <w:t>V žiadosti o obnovenie práv sa musia uvádzať dôvody, na ktorých sa zakladá, ako aj skutočnosti, z ktorých vychádza. Nepovažuje sa za podanú, kým sa neuhradí poplatok za obnovenie práv.</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4.</w:t>
      </w:r>
      <w:r>
        <w:rPr>
          <w:szCs w:val="24"/>
          <w:lang w:eastAsia="en-US"/>
        </w:rPr>
        <w:tab/>
        <w:t>O žiadosti rozhoduje oddelenie DOO, prípadne aj odvolacie senáty.</w:t>
      </w:r>
    </w:p>
    <w:p>
      <w:pPr>
        <w:spacing w:before="120" w:after="120" w:line="360" w:lineRule="auto"/>
        <w:ind w:left="850" w:hanging="850"/>
        <w:rPr>
          <w:szCs w:val="24"/>
          <w:lang w:eastAsia="en-US"/>
        </w:rPr>
      </w:pPr>
      <w:r>
        <w:rPr>
          <w:szCs w:val="24"/>
          <w:lang w:eastAsia="en-US"/>
        </w:rPr>
        <w:t>5.</w:t>
      </w:r>
      <w:r>
        <w:rPr>
          <w:szCs w:val="24"/>
          <w:lang w:eastAsia="en-US"/>
        </w:rPr>
        <w:tab/>
        <w:t>Tento článok sa nevzťahuje na lehoty uvedené v odseku 2 tohto článku alebo článku 15 ods. 1 a 3.</w:t>
      </w:r>
    </w:p>
    <w:p>
      <w:pPr>
        <w:spacing w:before="120" w:after="120" w:line="360" w:lineRule="auto"/>
        <w:jc w:val="center"/>
        <w:rPr>
          <w:szCs w:val="24"/>
          <w:lang w:eastAsia="en-US"/>
        </w:rPr>
      </w:pPr>
      <w:r>
        <w:rPr>
          <w:szCs w:val="24"/>
          <w:lang w:eastAsia="en-US"/>
        </w:rPr>
        <w:t>Článok 45</w:t>
      </w:r>
      <w:r>
        <w:rPr>
          <w:szCs w:val="24"/>
          <w:lang w:eastAsia="en-US"/>
        </w:rPr>
        <w:br/>
        <w:t>Prerušenie konania</w:t>
      </w:r>
    </w:p>
    <w:p>
      <w:pPr>
        <w:spacing w:before="120" w:after="120" w:line="360" w:lineRule="auto"/>
        <w:ind w:left="850" w:hanging="850"/>
        <w:rPr>
          <w:szCs w:val="24"/>
          <w:lang w:eastAsia="en-US"/>
        </w:rPr>
      </w:pPr>
      <w:r>
        <w:rPr>
          <w:szCs w:val="24"/>
          <w:lang w:eastAsia="en-US"/>
        </w:rPr>
        <w:t>1.</w:t>
      </w:r>
      <w:r>
        <w:rPr>
          <w:szCs w:val="24"/>
          <w:lang w:eastAsia="en-US"/>
        </w:rPr>
        <w:tab/>
        <w:t>Konanie pre úradom podľa tohto nariadenia sa prerušuje:</w:t>
      </w:r>
    </w:p>
    <w:p>
      <w:pPr>
        <w:spacing w:before="120" w:after="120" w:line="360" w:lineRule="auto"/>
        <w:ind w:left="1416" w:hanging="566"/>
        <w:rPr>
          <w:szCs w:val="24"/>
          <w:lang w:eastAsia="en-US"/>
        </w:rPr>
      </w:pPr>
      <w:r>
        <w:rPr>
          <w:szCs w:val="24"/>
          <w:lang w:eastAsia="en-US"/>
        </w:rPr>
        <w:t>a)</w:t>
      </w:r>
      <w:r>
        <w:rPr>
          <w:szCs w:val="24"/>
          <w:lang w:eastAsia="en-US"/>
        </w:rPr>
        <w:tab/>
        <w:t>v prípade úmrtia alebo právnej nespôsobilosti žiadateľa alebo osoby splnomocnenej podľa vnútroštátneho práva konať v mene žiadateľa. Pokiaľ uvedené úmrtie alebo právna nespôsobilosť nemajú vplyv na splnomocnenie zástupcu vymenovaného podľa článku 36, konanie sa preruší iba na žiadosť daného zástupcu;</w:t>
      </w:r>
    </w:p>
    <w:p>
      <w:pPr>
        <w:spacing w:before="120" w:after="120" w:line="360" w:lineRule="auto"/>
        <w:ind w:left="1416" w:hanging="566"/>
        <w:rPr>
          <w:szCs w:val="24"/>
          <w:lang w:eastAsia="en-US"/>
        </w:rPr>
      </w:pPr>
      <w:r>
        <w:rPr>
          <w:szCs w:val="24"/>
          <w:lang w:eastAsia="en-US"/>
        </w:rPr>
        <w:t>b)</w:t>
      </w:r>
      <w:r>
        <w:rPr>
          <w:szCs w:val="24"/>
          <w:lang w:eastAsia="en-US"/>
        </w:rPr>
        <w:tab/>
        <w:t>v prípade, že žiadateľ nemôže z právnych dôvodov vyplývajúcich zo žaloby o opatrenie proti jeho majetku pokračovať v konaní pred úradom;</w:t>
      </w:r>
    </w:p>
    <w:p>
      <w:pPr>
        <w:spacing w:before="120" w:after="120" w:line="360" w:lineRule="auto"/>
        <w:ind w:left="1416" w:hanging="566"/>
        <w:rPr>
          <w:szCs w:val="24"/>
          <w:lang w:eastAsia="en-US"/>
        </w:rPr>
      </w:pPr>
      <w:r>
        <w:rPr>
          <w:szCs w:val="24"/>
          <w:lang w:eastAsia="en-US"/>
        </w:rPr>
        <w:t>c)</w:t>
      </w:r>
      <w:r>
        <w:rPr>
          <w:szCs w:val="24"/>
          <w:lang w:eastAsia="en-US"/>
        </w:rPr>
        <w:tab/>
        <w:t>v prípade úmrtia alebo právnej nespôsobilosti zástupcu žiadateľa alebo ak danému zástupcovi bránia právne dôvody vyplývajúce zo žaloby o opatrenie proti jeho majetku pokračovať v konaní pred úradom.</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2.</w:t>
      </w:r>
      <w:r>
        <w:rPr>
          <w:szCs w:val="24"/>
          <w:lang w:eastAsia="en-US"/>
        </w:rPr>
        <w:tab/>
        <w:t>V konaní pred úradom sa pokračuje, hneď ako sa určí totožnosť osoby, ktorá je oprávnená v ňom pokračovať.</w:t>
      </w:r>
    </w:p>
    <w:p>
      <w:pPr>
        <w:spacing w:before="120" w:after="120" w:line="360" w:lineRule="auto"/>
        <w:ind w:left="850" w:hanging="850"/>
        <w:rPr>
          <w:szCs w:val="24"/>
          <w:lang w:eastAsia="en-US"/>
        </w:rPr>
      </w:pPr>
      <w:r>
        <w:rPr>
          <w:szCs w:val="24"/>
          <w:lang w:eastAsia="en-US"/>
        </w:rPr>
        <w:t>3.</w:t>
      </w:r>
      <w:r>
        <w:rPr>
          <w:szCs w:val="24"/>
          <w:lang w:eastAsia="en-US"/>
        </w:rPr>
        <w:tab/>
        <w:t>Komisia je splnomocnená prijímať delegované akty v súlade s článkom 49 s cieľom doplniť toto nariadenie stanovením podrobných podmienok pokračovania v konaní pred úradom.</w:t>
      </w:r>
    </w:p>
    <w:p>
      <w:pPr>
        <w:spacing w:before="120" w:after="120" w:line="360" w:lineRule="auto"/>
        <w:jc w:val="center"/>
        <w:rPr>
          <w:szCs w:val="24"/>
          <w:lang w:eastAsia="en-US"/>
        </w:rPr>
      </w:pPr>
      <w:r>
        <w:rPr>
          <w:szCs w:val="24"/>
          <w:lang w:eastAsia="en-US"/>
        </w:rPr>
        <w:t>Článok 46</w:t>
      </w:r>
      <w:r>
        <w:rPr>
          <w:szCs w:val="24"/>
          <w:lang w:eastAsia="en-US"/>
        </w:rPr>
        <w:br/>
        <w:t>Trovy konania</w:t>
      </w:r>
    </w:p>
    <w:p>
      <w:pPr>
        <w:spacing w:before="120" w:after="120" w:line="360" w:lineRule="auto"/>
        <w:ind w:left="850" w:hanging="850"/>
        <w:rPr>
          <w:szCs w:val="24"/>
          <w:lang w:eastAsia="en-US"/>
        </w:rPr>
      </w:pPr>
      <w:r>
        <w:rPr>
          <w:szCs w:val="24"/>
          <w:lang w:eastAsia="en-US"/>
        </w:rPr>
        <w:t>1.</w:t>
      </w:r>
      <w:r>
        <w:rPr>
          <w:szCs w:val="24"/>
          <w:lang w:eastAsia="en-US"/>
        </w:rPr>
        <w:tab/>
        <w:t>Neúspešný účastník námietkového konania a konania o vyhlásení neplatnosti, a to vrátane súvisiaceho odvolacieho konania, znáša poplatky, ktoré zaplatil druhý účastník konania. Neúspešný účastník konania znáša aj všetky trovy nevyhnutne súvisiace s konaním, ktoré vznikli druhému účastníkovi konania, vrátane cestovných nákladov a nákladov na pobyt, ako aj odmeny zástupcu, a to v rámci maximálnych sadzieb stanovených pre každú kategóriu trov konania vo vykonávacom akte, ktorý sa má prijať podľa odseku 7. Poplatky, ktoré má znášať neúspešný účastník konania, sú obmedzené na poplatky, ktoré uhradil druhý účastník konania.</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2.</w:t>
      </w:r>
      <w:r>
        <w:rPr>
          <w:szCs w:val="24"/>
          <w:lang w:eastAsia="en-US"/>
        </w:rPr>
        <w:tab/>
        <w:t>Ak každý účastník konania uspeje v niektorých bodoch, no v iných neuspeje, alebo ak to predpisujú dôvody ekvity, o rozdielnom rozdelení trov konania rozhodne oddelenie DOO alebo odvolací senát.</w:t>
      </w:r>
    </w:p>
    <w:p>
      <w:pPr>
        <w:spacing w:before="120" w:after="120" w:line="360" w:lineRule="auto"/>
        <w:ind w:left="850" w:hanging="850"/>
        <w:rPr>
          <w:szCs w:val="24"/>
          <w:lang w:eastAsia="en-US"/>
        </w:rPr>
      </w:pPr>
      <w:r>
        <w:rPr>
          <w:szCs w:val="24"/>
          <w:lang w:eastAsia="en-US"/>
        </w:rPr>
        <w:t>3.</w:t>
      </w:r>
      <w:r>
        <w:rPr>
          <w:szCs w:val="24"/>
          <w:lang w:eastAsia="en-US"/>
        </w:rPr>
        <w:tab/>
        <w:t>Ak sa konanie ukončí, o trovách konania rozhodne oddelenie DOO alebo odvolací senát.</w:t>
      </w:r>
    </w:p>
    <w:p>
      <w:pPr>
        <w:spacing w:before="120" w:after="120" w:line="360" w:lineRule="auto"/>
        <w:ind w:left="850" w:hanging="850"/>
        <w:rPr>
          <w:szCs w:val="24"/>
          <w:lang w:eastAsia="en-US"/>
        </w:rPr>
      </w:pPr>
      <w:r>
        <w:rPr>
          <w:szCs w:val="24"/>
          <w:lang w:eastAsia="en-US"/>
        </w:rPr>
        <w:t>4.</w:t>
      </w:r>
      <w:r>
        <w:rPr>
          <w:szCs w:val="24"/>
          <w:lang w:eastAsia="en-US"/>
        </w:rPr>
        <w:tab/>
        <w:t>Ak účastníci konania dospejú pred oddelením DOO alebo odvolacím senátom k rozdeleniu trov konania, ktoré sa líši od rozdelenia uvedeného v odsekoch 1 až 3, príslušný orgán vezme predmetnú dohodu na vedomie.</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5.</w:t>
      </w:r>
      <w:r>
        <w:rPr>
          <w:szCs w:val="24"/>
          <w:lang w:eastAsia="en-US"/>
        </w:rPr>
        <w:tab/>
        <w:t>Oddelenie DOO a alebo odvolací senát stanoví výšku trov konania, ktoré sa majú zaplatiť podľa odsekov 1 až 3 tohto článku, ak sú trovy konania, ktoré sa majú zaplatiť, obmedzené na poplatky zaplatené úradu a na trovy zastupovania. Vo všetkých ostatných prípadoch register odvolacieho senátu alebo oddelenie DOO stanovia na požiadanie výšku trov konania, ktoré sa majú uhradiť. Daná požiadavka je prípustná len v lehote dvoch mesiacov po dátume nadobudnutia právoplatnosti rozhodnutia, v súvislosti s ktorým bola podaná žiadosť o stanovenie trov konania, pričom k nej musí byť priložený účet a iné podporné dôkazy. Pokiaľ ide o trovy zastúpenia, postačí ubezpečenie zástupcu, že dané trovy vznikli. Pokiaľ ide o iné trovy, postačí, ak sa preukáže ich dôveryhodnosť. Ak sa výška trov určí podľa prvej vety tohto odseku, trovy zastúpenia sa priznajú vo výške stanovenej vo vykonávacom akte prijatom podľa odseku 7 tohto článku a bez ohľadu na to, či skutočne vznikli.</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6.</w:t>
      </w:r>
      <w:r>
        <w:rPr>
          <w:szCs w:val="24"/>
          <w:lang w:eastAsia="en-US"/>
        </w:rPr>
        <w:tab/>
        <w:t>V rozhodnutiach o určení trov konania prijatých v súlade s odsekom 5 sa musia uvádzať dôvody, na ktorých sa zakladajú, a na základe požiadavky podanej do jedného mesiaca odo dňa oznámenia určenia trov konania ich možno preskúmať rozhodnutím oddelenia DOO alebo odvolacieho senátu. Žiadosť sa nepovažuje sa za podanú, kým sa neuhradí poplatok za preskúmanie výšky trov konania. Oddelenie DOO alebo odvolací senát prijmú rozhodnutie týkajúce sa danej požiadavky na preskúmanie rozhodnutia o určení trov konania bez ústneho pojednávania.</w:t>
      </w:r>
    </w:p>
    <w:p>
      <w:pPr>
        <w:spacing w:before="120" w:after="120" w:line="360" w:lineRule="auto"/>
        <w:ind w:left="850" w:hanging="850"/>
        <w:rPr>
          <w:szCs w:val="24"/>
          <w:lang w:eastAsia="en-US"/>
        </w:rPr>
      </w:pPr>
      <w:r>
        <w:rPr>
          <w:szCs w:val="24"/>
          <w:lang w:eastAsia="en-US"/>
        </w:rPr>
        <w:t>7.</w:t>
      </w:r>
      <w:r>
        <w:rPr>
          <w:szCs w:val="24"/>
          <w:lang w:eastAsia="en-US"/>
        </w:rPr>
        <w:tab/>
        <w:t>Komisia prijme vykonávacie akty, v ktorých určí maximálne sadzby trov nevyhnutne súvisiacich s konaním, ktoré skutočne vznikli úspešnému účastníkovi. Tieto vykonávacie akty sa prijmú v súlade s postupom prieskumu uvedeným v článku 50.</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8.</w:t>
      </w:r>
      <w:r>
        <w:rPr>
          <w:szCs w:val="24"/>
          <w:lang w:eastAsia="en-US"/>
        </w:rPr>
        <w:tab/>
        <w:t>Pri určovaní maximálnych sadzieb v súvislosti s cestovnými nákladmi a nákladmi na pobyt Komisia zohľadní vzdialenosť medzi miestom bydliska alebo podnikania účastníka konania, zástupcu, svedka alebo znalca a miestom ústneho pojednávania a procesné štádium, v ktorom trovy konania vznikli, a, pokiaľ ide o trovy zastupovania, potrebu zabezpečiť, aby druhý účastník konania nezneužíval povinnosť znášať trovy konania na taktické účely. Výdavky na pobyt sa navyše vypočítajú v súlade so Služobným poriadkom úradníkov Európskej únie a s Podmienkami zamestnávania ostatných zamestnancov Európskej únie stanovenými v nariadení Rady (EHS, Euratom, ESUO) č. 259/68</w:t>
      </w:r>
      <w:r>
        <w:rPr>
          <w:szCs w:val="24"/>
          <w:vertAlign w:val="superscript"/>
          <w:lang w:eastAsia="en-US"/>
        </w:rPr>
        <w:footnoteReference w:id="17"/>
      </w:r>
      <w:r>
        <w:rPr>
          <w:szCs w:val="24"/>
          <w:lang w:eastAsia="en-US"/>
        </w:rPr>
        <w:t>. Neúspešný účastník znáša trovy konania len za jedného účastníka konania, prípadne len za jedného zástupcu.</w:t>
      </w:r>
    </w:p>
    <w:p>
      <w:pPr>
        <w:widowControl/>
        <w:rPr>
          <w:szCs w:val="24"/>
          <w:lang w:eastAsia="en-US"/>
        </w:rPr>
      </w:pPr>
      <w:r>
        <w:rPr>
          <w:szCs w:val="24"/>
          <w:lang w:eastAsia="en-US"/>
        </w:rPr>
        <w:br w:type="page"/>
      </w:r>
    </w:p>
    <w:p>
      <w:pPr>
        <w:spacing w:before="120" w:after="120" w:line="360" w:lineRule="auto"/>
        <w:jc w:val="center"/>
        <w:rPr>
          <w:szCs w:val="24"/>
          <w:lang w:eastAsia="en-US"/>
        </w:rPr>
      </w:pPr>
      <w:r>
        <w:rPr>
          <w:szCs w:val="24"/>
          <w:lang w:eastAsia="en-US"/>
        </w:rPr>
        <w:lastRenderedPageBreak/>
        <w:t>Článok 47</w:t>
      </w:r>
      <w:r>
        <w:rPr>
          <w:szCs w:val="24"/>
          <w:lang w:eastAsia="en-US"/>
        </w:rPr>
        <w:br/>
        <w:t>Výkon rozhodnutí, ktorými sa stanovuje výška trov konania</w:t>
      </w:r>
    </w:p>
    <w:p>
      <w:pPr>
        <w:spacing w:before="120" w:after="120" w:line="360" w:lineRule="auto"/>
        <w:ind w:left="850" w:hanging="850"/>
        <w:rPr>
          <w:szCs w:val="24"/>
          <w:lang w:eastAsia="en-US"/>
        </w:rPr>
      </w:pPr>
      <w:r>
        <w:rPr>
          <w:szCs w:val="24"/>
          <w:lang w:eastAsia="en-US"/>
        </w:rPr>
        <w:t>1.</w:t>
      </w:r>
      <w:r>
        <w:rPr>
          <w:szCs w:val="24"/>
          <w:lang w:eastAsia="en-US"/>
        </w:rPr>
        <w:tab/>
        <w:t>Každé právoplatné rozhodnutie úradu, ktorým bola stanovená výška trov konania, je vykonateľné.</w:t>
      </w:r>
    </w:p>
    <w:p>
      <w:pPr>
        <w:spacing w:before="120" w:after="120" w:line="360" w:lineRule="auto"/>
        <w:ind w:left="850" w:hanging="850"/>
        <w:rPr>
          <w:szCs w:val="24"/>
          <w:lang w:eastAsia="en-US"/>
        </w:rPr>
      </w:pPr>
      <w:r>
        <w:rPr>
          <w:szCs w:val="24"/>
          <w:lang w:eastAsia="en-US"/>
        </w:rPr>
        <w:t>2.</w:t>
      </w:r>
      <w:r>
        <w:rPr>
          <w:szCs w:val="24"/>
          <w:lang w:eastAsia="en-US"/>
        </w:rPr>
        <w:tab/>
        <w:t>Výkon rozhodnutia sa riadi predpismi občianskeho práva procesného, účinnými v tom štáte, na ktorého území sa uskutočňuje. Každý členský štát určí jeden orgán zodpovedný za overovanie pravosti rozhodnutia uvedeného v odseku 1 a oznámi jeho kontaktné údaje úradu, Súdnemu dvoru a Komisii. Tento orgán priloží k rozhodnutiu doložku o vykonateľnosti, pričom jedinou formálnou náležitosťou je overenie pravosti rozhodnutia.</w:t>
      </w:r>
    </w:p>
    <w:p>
      <w:pPr>
        <w:spacing w:before="120" w:after="120" w:line="360" w:lineRule="auto"/>
        <w:ind w:left="850" w:hanging="850"/>
        <w:rPr>
          <w:szCs w:val="24"/>
          <w:lang w:eastAsia="en-US"/>
        </w:rPr>
      </w:pPr>
      <w:r>
        <w:rPr>
          <w:szCs w:val="24"/>
          <w:lang w:eastAsia="en-US"/>
        </w:rPr>
        <w:t>3.</w:t>
      </w:r>
      <w:r>
        <w:rPr>
          <w:szCs w:val="24"/>
          <w:lang w:eastAsia="en-US"/>
        </w:rPr>
        <w:tab/>
        <w:t>Ak tieto formálne náležitosti boli na žiadosť príslušného účastníka konania splnené, môže tento účastník pristúpiť k výkonu rozhodnutia v súlade s vnútroštátnym právom tým, že vec predloží priamo príslušnému orgánu.</w:t>
      </w:r>
    </w:p>
    <w:p>
      <w:pPr>
        <w:spacing w:before="120" w:after="120" w:line="360" w:lineRule="auto"/>
        <w:ind w:left="850" w:hanging="850"/>
        <w:rPr>
          <w:szCs w:val="24"/>
          <w:lang w:eastAsia="en-US"/>
        </w:rPr>
      </w:pPr>
      <w:r>
        <w:rPr>
          <w:szCs w:val="24"/>
          <w:lang w:eastAsia="en-US"/>
        </w:rPr>
        <w:t>4.</w:t>
      </w:r>
      <w:r>
        <w:rPr>
          <w:szCs w:val="24"/>
          <w:lang w:eastAsia="en-US"/>
        </w:rPr>
        <w:tab/>
        <w:t>Výkon rozhodnutia môže byť pozastavený len rozhodnutím Súdneho dvora. Právomoc prerokúvať sťažnosti týkajúce sa nezákonného výkonu rozhodnutia však patrí súdom predmetného členského štátu</w:t>
      </w:r>
    </w:p>
    <w:p>
      <w:pPr>
        <w:widowControl/>
        <w:rPr>
          <w:szCs w:val="24"/>
          <w:lang w:eastAsia="en-US"/>
        </w:rPr>
      </w:pPr>
      <w:r>
        <w:rPr>
          <w:szCs w:val="24"/>
          <w:lang w:eastAsia="en-US"/>
        </w:rPr>
        <w:br w:type="page"/>
      </w:r>
    </w:p>
    <w:p>
      <w:pPr>
        <w:spacing w:before="120" w:after="120" w:line="360" w:lineRule="auto"/>
        <w:jc w:val="center"/>
        <w:rPr>
          <w:szCs w:val="24"/>
          <w:lang w:eastAsia="en-US"/>
        </w:rPr>
      </w:pPr>
      <w:r>
        <w:rPr>
          <w:szCs w:val="24"/>
          <w:lang w:eastAsia="en-US"/>
        </w:rPr>
        <w:lastRenderedPageBreak/>
        <w:t>Článok 48</w:t>
      </w:r>
      <w:r>
        <w:rPr>
          <w:szCs w:val="24"/>
          <w:lang w:eastAsia="en-US"/>
        </w:rPr>
        <w:br/>
        <w:t>Finančné ustanovenia</w:t>
      </w:r>
    </w:p>
    <w:p>
      <w:pPr>
        <w:spacing w:before="120" w:after="120" w:line="360" w:lineRule="auto"/>
        <w:ind w:left="850" w:hanging="850"/>
        <w:rPr>
          <w:szCs w:val="24"/>
          <w:lang w:eastAsia="en-US"/>
        </w:rPr>
      </w:pPr>
      <w:r>
        <w:rPr>
          <w:szCs w:val="24"/>
          <w:lang w:eastAsia="en-US"/>
        </w:rPr>
        <w:t>1.</w:t>
      </w:r>
      <w:r>
        <w:rPr>
          <w:szCs w:val="24"/>
          <w:lang w:eastAsia="en-US"/>
        </w:rPr>
        <w:tab/>
        <w:t>Výdavky vzniknuté úradu pri vykonávaní dodatočných úloh, ktoré mu boli zverené v súlade s týmto nariadením, sa uhrádzajú prostredníctvom procesných poplatkov, ktoré mu uhrádzajú žiadatelia, a prostredníctvom časti ročných udržiavacích poplatkov uhrádzaných držiteľmi jednotných osvedčení, kým zostávajúca časť ročných udržiavacích poplatkov sa zdieľa s členskými štátmi v súlade s počtom jednotných osvedčení, ktoré majú v každom z nich právny účinok. Časť ročných udržiavacích poplatkov, ktoré sa majú zdieľať s členskými štátmi, sa spočiatku stanoví na určitú hodnotu, ale každých päť rokov sa preskúma tak, aby sa dosiahla finančná udržateľnosť činností vykonávaných úradom podľa tohto nariadenia, ako aj podľa nariadení [COM(2023) 231], [COM(2023) 223] a [COM(2023) 222].</w:t>
      </w:r>
    </w:p>
    <w:p>
      <w:pPr>
        <w:spacing w:before="120" w:after="120" w:line="360" w:lineRule="auto"/>
        <w:ind w:left="850" w:hanging="850"/>
        <w:rPr>
          <w:szCs w:val="24"/>
          <w:lang w:eastAsia="en-US"/>
        </w:rPr>
      </w:pPr>
      <w:r>
        <w:rPr>
          <w:szCs w:val="24"/>
          <w:lang w:eastAsia="en-US"/>
        </w:rPr>
        <w:t>2.</w:t>
      </w:r>
      <w:r>
        <w:rPr>
          <w:szCs w:val="24"/>
          <w:lang w:eastAsia="en-US"/>
        </w:rPr>
        <w:tab/>
        <w:t>Na účely odseku 1 úrad vedie záznamy o ročných udržiavacích poplatkoch, ktoré mu uhradili držitelia jednotných osvedčení platných v príslušných členských štátoch.</w:t>
      </w:r>
    </w:p>
    <w:p>
      <w:pPr>
        <w:spacing w:before="120" w:after="120" w:line="360" w:lineRule="auto"/>
        <w:ind w:left="850" w:hanging="850"/>
        <w:rPr>
          <w:szCs w:val="24"/>
          <w:lang w:eastAsia="en-US"/>
        </w:rPr>
      </w:pPr>
      <w:r>
        <w:rPr>
          <w:szCs w:val="24"/>
          <w:lang w:eastAsia="en-US"/>
        </w:rPr>
        <w:t>3.</w:t>
      </w:r>
      <w:r>
        <w:rPr>
          <w:szCs w:val="24"/>
          <w:lang w:eastAsia="en-US"/>
        </w:rPr>
        <w:tab/>
        <w:t>Výdavky, ktoré vznikli príslušnému vnútroštátnemu orgánu zúčastňujúcemu sa na konaniach podľa tejto kapitoly, hradí úrad a platia sa ročne na základe počtu konaní, na ktorých sa daný príslušný vnútroštátny orgán počas predchádzajúceho roka zúčastnil.</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4.</w:t>
      </w:r>
      <w:r>
        <w:rPr>
          <w:szCs w:val="24"/>
          <w:lang w:eastAsia="en-US"/>
        </w:rPr>
        <w:tab/>
        <w:t>Komisia je splnomocnená prijímať vykonávacie akty, v ktorých sa stanovujú pravidlá finančných prevodov medzi úradom a členskými štátmi, výška týchto prevodov a odmena, ktorú má úrad uhradiť v súvislosti s účasťou príslušných vnútroštátnych orgánov v zmysle odseku 3. Tieto vykonávacie akty sa prijmú v súlade s postupom prieskumu uvedeným v článku 50.</w:t>
      </w:r>
    </w:p>
    <w:p>
      <w:pPr>
        <w:spacing w:before="120" w:after="120" w:line="360" w:lineRule="auto"/>
        <w:ind w:left="850" w:hanging="850"/>
        <w:rPr>
          <w:szCs w:val="24"/>
          <w:lang w:eastAsia="en-US"/>
        </w:rPr>
      </w:pPr>
      <w:r>
        <w:rPr>
          <w:szCs w:val="24"/>
          <w:lang w:eastAsia="en-US"/>
        </w:rPr>
        <w:t>5.</w:t>
      </w:r>
      <w:r>
        <w:rPr>
          <w:szCs w:val="24"/>
          <w:lang w:eastAsia="en-US"/>
        </w:rPr>
        <w:tab/>
        <w:t>Na ročné udržiavacie poplatky splatné v prípade jednotných osvedčení sa uplatňuje článok 12 nariadenia (EÚ) č. 1257/2012.</w:t>
      </w:r>
    </w:p>
    <w:p>
      <w:pPr>
        <w:spacing w:before="120" w:after="120" w:line="360" w:lineRule="auto"/>
        <w:jc w:val="center"/>
        <w:rPr>
          <w:szCs w:val="24"/>
          <w:lang w:eastAsia="en-US"/>
        </w:rPr>
      </w:pPr>
      <w:r>
        <w:rPr>
          <w:szCs w:val="24"/>
          <w:lang w:eastAsia="en-US"/>
        </w:rPr>
        <w:t>Článok 49</w:t>
      </w:r>
      <w:r>
        <w:rPr>
          <w:szCs w:val="24"/>
          <w:lang w:eastAsia="en-US"/>
        </w:rPr>
        <w:br/>
        <w:t>Vykonávanie delegovania právomoci</w:t>
      </w:r>
    </w:p>
    <w:p>
      <w:pPr>
        <w:spacing w:before="120" w:after="120" w:line="360" w:lineRule="auto"/>
        <w:ind w:left="850" w:hanging="850"/>
        <w:rPr>
          <w:szCs w:val="24"/>
          <w:lang w:eastAsia="en-US"/>
        </w:rPr>
      </w:pPr>
      <w:r>
        <w:rPr>
          <w:szCs w:val="24"/>
          <w:lang w:eastAsia="en-US"/>
        </w:rPr>
        <w:t>1.</w:t>
      </w:r>
      <w:r>
        <w:rPr>
          <w:szCs w:val="24"/>
          <w:lang w:eastAsia="en-US"/>
        </w:rPr>
        <w:tab/>
        <w:t>Komisii sa udeľuje právomoc prijímať delegované akty za podmienok stanovených v tomto článku.</w:t>
      </w:r>
    </w:p>
    <w:p>
      <w:pPr>
        <w:spacing w:before="120" w:after="120" w:line="360" w:lineRule="auto"/>
        <w:ind w:left="850" w:hanging="850"/>
        <w:rPr>
          <w:szCs w:val="24"/>
          <w:lang w:eastAsia="en-US"/>
        </w:rPr>
      </w:pPr>
      <w:r>
        <w:rPr>
          <w:szCs w:val="24"/>
          <w:lang w:eastAsia="en-US"/>
        </w:rPr>
        <w:t>2.</w:t>
      </w:r>
      <w:r>
        <w:rPr>
          <w:szCs w:val="24"/>
          <w:lang w:eastAsia="en-US"/>
        </w:rPr>
        <w:tab/>
        <w:t>Právomoc prijímať delegované akty uvedené v článku 15 ods. 13, článku 22 ods. 13, článku 26 ods. 8, článku 28, článku 32 ods. 2, článku 39 ods. 4, článku 40 ods. 6, článku 41 ods. 4, článku 42 ods. 5 a článku 45 ods. 3 sa Komisii udeľuje na dobu neurčitú od XXX [Úrad pre publikácie: vložiť dátum = dátum nadobudnutia účinnosti].</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3.</w:t>
      </w:r>
      <w:r>
        <w:rPr>
          <w:szCs w:val="24"/>
          <w:lang w:eastAsia="en-US"/>
        </w:rPr>
        <w:tab/>
        <w:t>Delegovanie právomoci uvedené v článku 15 ods. 13, článku 22 ods. 13, článku 26 ods. 8, článku 28, článku 32 ods. 2, článku 39 ods. 4, článku 40 ods. 6, článku 41 ods. 4, článku 42 ods. 5 a článku 45 ods. 3 môže Európsky parlament alebo Rada kedykoľvek odvolať. Rozhodnutím o odvolaní sa ukončuje delegovanie právomoci, ktoré sa v ňom uvádza. Rozhodnutie nadobúda účinnosť dňom nasledujúcim po jeho uverejnení v Úradnom vestníku Európskej únie alebo k neskoršiemu dátumu, ktorý je v ňom určený. Nie je ním dotknutá platnosť delegovaných aktov, ktoré už nadobudli účinnosť.</w:t>
      </w:r>
    </w:p>
    <w:p>
      <w:pPr>
        <w:spacing w:before="120" w:after="120" w:line="360" w:lineRule="auto"/>
        <w:ind w:left="850" w:hanging="850"/>
        <w:rPr>
          <w:szCs w:val="24"/>
          <w:lang w:eastAsia="en-US"/>
        </w:rPr>
      </w:pPr>
      <w:r>
        <w:rPr>
          <w:szCs w:val="24"/>
          <w:lang w:eastAsia="en-US"/>
        </w:rPr>
        <w:t>4.</w:t>
      </w:r>
      <w:r>
        <w:rPr>
          <w:szCs w:val="24"/>
          <w:lang w:eastAsia="en-US"/>
        </w:rPr>
        <w:tab/>
        <w:t>Komisia pred prijatím delegovaného aktu konzultuje s expertmi určenými jednotlivými členskými štátmi v súlade so zásadami stanovenými v Medziinštitucionálnej dohode z 13. apríla 2016 o lepšej tvorbe práva.</w:t>
      </w:r>
    </w:p>
    <w:p>
      <w:pPr>
        <w:spacing w:before="120" w:after="120" w:line="360" w:lineRule="auto"/>
        <w:ind w:left="850" w:hanging="850"/>
        <w:rPr>
          <w:szCs w:val="24"/>
          <w:lang w:eastAsia="en-US"/>
        </w:rPr>
      </w:pPr>
      <w:r>
        <w:rPr>
          <w:szCs w:val="24"/>
          <w:lang w:eastAsia="en-US"/>
        </w:rPr>
        <w:t>5.</w:t>
      </w:r>
      <w:r>
        <w:rPr>
          <w:szCs w:val="24"/>
          <w:lang w:eastAsia="en-US"/>
        </w:rPr>
        <w:tab/>
        <w:t>Komisia oznamuje delegovaný akt hneď po jeho prijatí súčasne Európskemu parlamentu a Rade.</w:t>
      </w:r>
    </w:p>
    <w:p>
      <w:pPr>
        <w:widowControl/>
        <w:rPr>
          <w:szCs w:val="24"/>
          <w:lang w:eastAsia="en-US"/>
        </w:rPr>
      </w:pPr>
      <w:r>
        <w:rPr>
          <w:szCs w:val="24"/>
          <w:lang w:eastAsia="en-US"/>
        </w:rPr>
        <w:br w:type="page"/>
      </w:r>
    </w:p>
    <w:p>
      <w:pPr>
        <w:spacing w:before="120" w:after="120" w:line="360" w:lineRule="auto"/>
        <w:ind w:left="850" w:hanging="850"/>
        <w:rPr>
          <w:szCs w:val="24"/>
          <w:lang w:eastAsia="en-US"/>
        </w:rPr>
      </w:pPr>
      <w:r>
        <w:rPr>
          <w:szCs w:val="24"/>
          <w:lang w:eastAsia="en-US"/>
        </w:rPr>
        <w:lastRenderedPageBreak/>
        <w:t>6.</w:t>
      </w:r>
      <w:r>
        <w:rPr>
          <w:szCs w:val="24"/>
          <w:lang w:eastAsia="en-US"/>
        </w:rPr>
        <w:tab/>
        <w:t>Delegovaný akt prijatý podľa článku 15 ods. 13, článku 22 ods. 13, článku 26 ods. 8, článku 28, článku 32 ods. 2, článku 39 ods. 4, článku 40 ods. 6, článku 41 ods. 4, článku 42 ods. 5 a článku 45 ods. 3 nadobudne účinnosť, len ak Európsky parlament alebo Rada voči nemu nevzniesli námietku v lehote dvoch mesiacov odo dňa oznámenia uvedeného aktu Európskemu parlamentu a Rade alebo ak pred uplynutím uvedenej lehoty Európsky parlament a Rada informovali Komisiu o svojom rozhodnutí nevzniesť námietku. Na podnet Európskeho parlamentu alebo Rady sa táto lehota predĺži o dva mesiace.</w:t>
      </w:r>
    </w:p>
    <w:p>
      <w:pPr>
        <w:spacing w:before="120" w:after="120" w:line="360" w:lineRule="auto"/>
        <w:jc w:val="center"/>
        <w:rPr>
          <w:szCs w:val="24"/>
          <w:lang w:eastAsia="en-US"/>
        </w:rPr>
      </w:pPr>
      <w:r>
        <w:rPr>
          <w:szCs w:val="24"/>
          <w:lang w:eastAsia="en-US"/>
        </w:rPr>
        <w:t>Článok 50</w:t>
      </w:r>
      <w:r>
        <w:rPr>
          <w:szCs w:val="24"/>
          <w:lang w:eastAsia="en-US"/>
        </w:rPr>
        <w:br/>
        <w:t>Postup výboru</w:t>
      </w:r>
    </w:p>
    <w:p>
      <w:pPr>
        <w:spacing w:before="120" w:after="120" w:line="360" w:lineRule="auto"/>
        <w:ind w:left="850" w:hanging="850"/>
        <w:rPr>
          <w:szCs w:val="24"/>
          <w:lang w:eastAsia="en-US"/>
        </w:rPr>
      </w:pPr>
      <w:r>
        <w:rPr>
          <w:szCs w:val="24"/>
          <w:lang w:eastAsia="en-US"/>
        </w:rPr>
        <w:t>1.</w:t>
      </w:r>
      <w:r>
        <w:rPr>
          <w:szCs w:val="24"/>
          <w:lang w:eastAsia="en-US"/>
        </w:rPr>
        <w:tab/>
        <w:t>Komisii pomáha výbor pre dodatkové ochranné osvedčenia zriadený nariadením [COM(2023) 231]. Uvedený výbor je výborom v zmysle nariadenia (EÚ) č. 182/2011.</w:t>
      </w:r>
    </w:p>
    <w:p>
      <w:pPr>
        <w:spacing w:before="120" w:after="120" w:line="360" w:lineRule="auto"/>
        <w:ind w:left="850" w:hanging="850"/>
        <w:rPr>
          <w:szCs w:val="24"/>
          <w:lang w:eastAsia="en-US"/>
        </w:rPr>
      </w:pPr>
      <w:r>
        <w:rPr>
          <w:szCs w:val="24"/>
          <w:lang w:eastAsia="en-US"/>
        </w:rPr>
        <w:t>2.</w:t>
      </w:r>
      <w:r>
        <w:rPr>
          <w:szCs w:val="24"/>
          <w:lang w:eastAsia="en-US"/>
        </w:rPr>
        <w:tab/>
        <w:t>Ak sa odkazuje na tento odsek, uplatňuje sa článok 5 nariadenia (EÚ) č. 182/2011.</w:t>
      </w:r>
    </w:p>
    <w:p>
      <w:pPr>
        <w:widowControl/>
        <w:rPr>
          <w:szCs w:val="24"/>
          <w:lang w:eastAsia="en-US"/>
        </w:rPr>
      </w:pPr>
      <w:r>
        <w:rPr>
          <w:szCs w:val="24"/>
          <w:lang w:eastAsia="en-US"/>
        </w:rPr>
        <w:br w:type="page"/>
      </w:r>
    </w:p>
    <w:p>
      <w:pPr>
        <w:spacing w:before="120" w:after="120" w:line="360" w:lineRule="auto"/>
        <w:jc w:val="center"/>
        <w:rPr>
          <w:szCs w:val="24"/>
          <w:lang w:eastAsia="en-US"/>
        </w:rPr>
      </w:pPr>
      <w:r>
        <w:rPr>
          <w:szCs w:val="24"/>
          <w:lang w:eastAsia="en-US"/>
        </w:rPr>
        <w:lastRenderedPageBreak/>
        <w:t>Článok 51</w:t>
      </w:r>
      <w:r>
        <w:rPr>
          <w:szCs w:val="24"/>
          <w:lang w:eastAsia="en-US"/>
        </w:rPr>
        <w:br/>
        <w:t>Hodnotenie</w:t>
      </w:r>
    </w:p>
    <w:p>
      <w:pPr>
        <w:spacing w:before="120" w:after="120" w:line="360" w:lineRule="auto"/>
        <w:rPr>
          <w:szCs w:val="24"/>
          <w:lang w:eastAsia="en-US"/>
        </w:rPr>
      </w:pPr>
      <w:r>
        <w:rPr>
          <w:strike/>
          <w:szCs w:val="24"/>
          <w:lang w:eastAsia="en-US"/>
        </w:rPr>
        <w:t>[Úrad pre publikácie</w:t>
      </w:r>
      <w:r>
        <w:rPr>
          <w:b/>
          <w:i/>
          <w:szCs w:val="24"/>
          <w:lang w:eastAsia="en-US"/>
        </w:rPr>
        <w:t>Do ... [Ú. v.</w:t>
      </w:r>
      <w:r>
        <w:rPr>
          <w:szCs w:val="24"/>
          <w:lang w:eastAsia="en-US"/>
        </w:rPr>
        <w:t>: vložiť</w:t>
      </w:r>
      <w:r>
        <w:rPr>
          <w:b/>
          <w:i/>
          <w:szCs w:val="24"/>
          <w:lang w:eastAsia="en-US"/>
        </w:rPr>
        <w:t>:</w:t>
      </w:r>
      <w:r>
        <w:rPr>
          <w:szCs w:val="24"/>
          <w:lang w:eastAsia="en-US"/>
        </w:rPr>
        <w:t xml:space="preserve"> </w:t>
      </w:r>
      <w:r>
        <w:rPr>
          <w:strike/>
          <w:szCs w:val="24"/>
          <w:lang w:eastAsia="en-US"/>
        </w:rPr>
        <w:t xml:space="preserve">= </w:t>
      </w:r>
      <w:r>
        <w:rPr>
          <w:szCs w:val="24"/>
          <w:lang w:eastAsia="en-US"/>
        </w:rPr>
        <w:t>päť rokov po dátume začatia uplatňovania] a potom každých päť rokov Komisia vykoná hodnotenie vykonávania tohto nariadenia</w:t>
      </w:r>
      <w:r>
        <w:rPr>
          <w:b/>
          <w:i/>
          <w:szCs w:val="24"/>
          <w:lang w:eastAsia="en-US"/>
        </w:rPr>
        <w:t xml:space="preserve"> a predloží správu o hlavných zisteniach Európskemu parlamentu a Rade</w:t>
      </w:r>
      <w:r>
        <w:rPr>
          <w:szCs w:val="24"/>
          <w:lang w:eastAsia="en-US"/>
        </w:rPr>
        <w:t>.</w:t>
      </w:r>
      <w:r>
        <w:rPr>
          <w:b/>
          <w:i/>
          <w:szCs w:val="24"/>
          <w:lang w:eastAsia="en-US"/>
        </w:rPr>
        <w:t xml:space="preserve"> V rámci tohto hodnotenia Komisia posúdi uskutočniteľnosť a prínosy zavedenia centralizovaného postupu povoľovania prípravkov na ochranu rastlín v rámci Európskeho úradu pre bezpečnosť potravín. </w:t>
      </w:r>
      <w:r>
        <w:rPr>
          <w:b/>
          <w:szCs w:val="24"/>
          <w:lang w:eastAsia="en-US"/>
        </w:rPr>
        <w:t>[PN 39]</w:t>
      </w:r>
    </w:p>
    <w:p>
      <w:pPr>
        <w:spacing w:before="120" w:after="120" w:line="360" w:lineRule="auto"/>
        <w:jc w:val="center"/>
        <w:rPr>
          <w:szCs w:val="24"/>
          <w:lang w:eastAsia="en-US"/>
        </w:rPr>
      </w:pPr>
      <w:r>
        <w:rPr>
          <w:szCs w:val="24"/>
          <w:lang w:eastAsia="en-US"/>
        </w:rPr>
        <w:t>Článok 52</w:t>
      </w:r>
      <w:r>
        <w:rPr>
          <w:szCs w:val="24"/>
          <w:lang w:eastAsia="en-US"/>
        </w:rPr>
        <w:br/>
        <w:t>Nadobudnutie účinnosti a uplatňovanie</w:t>
      </w:r>
    </w:p>
    <w:p>
      <w:pPr>
        <w:spacing w:before="120" w:after="120" w:line="360" w:lineRule="auto"/>
        <w:rPr>
          <w:szCs w:val="24"/>
          <w:lang w:eastAsia="en-US"/>
        </w:rPr>
      </w:pPr>
      <w:r>
        <w:rPr>
          <w:szCs w:val="24"/>
          <w:lang w:eastAsia="en-US"/>
        </w:rPr>
        <w:t>Toto nariadenie nadobúda účinnosť XXX [Úrad pre publikácie: vložiť dátum = 20. deň nasledujúci po jeho uverejnení v Úradnom vestníku Európskej únie].</w:t>
      </w:r>
    </w:p>
    <w:p>
      <w:pPr>
        <w:spacing w:before="120" w:after="120" w:line="360" w:lineRule="auto"/>
        <w:rPr>
          <w:szCs w:val="24"/>
          <w:lang w:eastAsia="en-US"/>
        </w:rPr>
      </w:pPr>
      <w:r>
        <w:rPr>
          <w:szCs w:val="24"/>
          <w:lang w:eastAsia="en-US"/>
        </w:rPr>
        <w:t>Uplatňuje sa od xxxxx [Úrad pre publikácie: vložiť prvý deň 12. mesiaca nasledujúceho po dátume nadobudnutia účinnosti].</w:t>
      </w:r>
    </w:p>
    <w:p>
      <w:pPr>
        <w:spacing w:before="120" w:after="120" w:line="360" w:lineRule="auto"/>
        <w:rPr>
          <w:szCs w:val="24"/>
          <w:lang w:eastAsia="en-US"/>
        </w:rPr>
      </w:pPr>
      <w:r>
        <w:rPr>
          <w:szCs w:val="24"/>
          <w:lang w:eastAsia="en-US"/>
        </w:rPr>
        <w:t>Toto nariadenie je záväzné v celom rozsahu a priamo uplatniteľné vo všetkých členských štátoch.</w:t>
      </w:r>
    </w:p>
    <w:p>
      <w:pPr>
        <w:keepNext/>
        <w:widowControl/>
        <w:spacing w:before="120" w:line="360" w:lineRule="auto"/>
        <w:rPr>
          <w:szCs w:val="24"/>
          <w:lang w:eastAsia="en-US"/>
        </w:rPr>
      </w:pPr>
      <w:r>
        <w:rPr>
          <w:szCs w:val="24"/>
          <w:lang w:eastAsia="en-US"/>
        </w:rPr>
        <w:t>V Bruseli</w:t>
      </w:r>
    </w:p>
    <w:p>
      <w:pPr>
        <w:keepNext/>
        <w:widowControl/>
        <w:tabs>
          <w:tab w:val="left" w:pos="4252"/>
        </w:tabs>
        <w:spacing w:before="720" w:line="360" w:lineRule="auto"/>
        <w:jc w:val="both"/>
        <w:rPr>
          <w:i/>
          <w:szCs w:val="24"/>
          <w:lang w:eastAsia="en-US"/>
        </w:rPr>
      </w:pPr>
      <w:r>
        <w:rPr>
          <w:i/>
          <w:szCs w:val="24"/>
          <w:lang w:eastAsia="en-US"/>
        </w:rPr>
        <w:t>Za Európsky parlament</w:t>
      </w:r>
      <w:r>
        <w:rPr>
          <w:i/>
          <w:szCs w:val="24"/>
          <w:lang w:eastAsia="en-US"/>
        </w:rPr>
        <w:tab/>
        <w:t>Za Radu</w:t>
      </w:r>
    </w:p>
    <w:p>
      <w:pPr>
        <w:widowControl/>
        <w:tabs>
          <w:tab w:val="left" w:pos="4252"/>
        </w:tabs>
        <w:spacing w:line="360" w:lineRule="auto"/>
        <w:rPr>
          <w:i/>
          <w:szCs w:val="24"/>
          <w:lang w:eastAsia="en-US"/>
        </w:rPr>
      </w:pPr>
      <w:r>
        <w:rPr>
          <w:i/>
          <w:szCs w:val="24"/>
          <w:lang w:eastAsia="en-US"/>
        </w:rPr>
        <w:t>predseda/predsedníčka</w:t>
      </w:r>
      <w:r>
        <w:rPr>
          <w:i/>
          <w:szCs w:val="24"/>
          <w:lang w:eastAsia="en-US"/>
        </w:rPr>
        <w:tab/>
        <w:t>predseda/predsedníčka</w:t>
      </w:r>
    </w:p>
    <w:p>
      <w:pPr>
        <w:widowControl/>
      </w:pPr>
    </w:p>
    <w:sectPr>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ForceStyle"/>
        <w:rPr>
          <w:lang w:val="sk-SK"/>
        </w:rPr>
      </w:pPr>
      <w:r>
        <w:rPr>
          <w:vertAlign w:val="superscript"/>
          <w:lang w:val="sk-SK"/>
        </w:rPr>
        <w:footnoteRef/>
      </w:r>
      <w:r>
        <w:rPr>
          <w:lang w:val="sk-SK"/>
        </w:rPr>
        <w:tab/>
        <w:t>Ú. v. EÚ C […], […], s. […].</w:t>
      </w:r>
    </w:p>
  </w:footnote>
  <w:footnote w:id="2">
    <w:p>
      <w:pPr>
        <w:pStyle w:val="FootnoteTextForceStyle"/>
        <w:rPr>
          <w:lang w:val="sk-SK"/>
        </w:rPr>
      </w:pPr>
      <w:r>
        <w:rPr>
          <w:vertAlign w:val="superscript"/>
          <w:lang w:val="sk-SK"/>
        </w:rPr>
        <w:footnoteRef/>
      </w:r>
      <w:r>
        <w:rPr>
          <w:lang w:val="sk-SK"/>
        </w:rPr>
        <w:tab/>
        <w:t>Ú. v. EÚ C […], […], s. […].</w:t>
      </w:r>
    </w:p>
  </w:footnote>
  <w:footnote w:id="3">
    <w:p>
      <w:pPr>
        <w:pStyle w:val="FootnoteTextForceStyle"/>
        <w:rPr>
          <w:lang w:val="sk-SK"/>
        </w:rPr>
      </w:pPr>
      <w:r>
        <w:rPr>
          <w:vertAlign w:val="superscript"/>
          <w:lang w:val="sk-SK"/>
        </w:rPr>
        <w:footnoteRef/>
      </w:r>
      <w:r>
        <w:rPr>
          <w:lang w:val="sk-SK"/>
        </w:rPr>
        <w:tab/>
        <w:t>COM(2020)760 final.</w:t>
      </w:r>
    </w:p>
  </w:footnote>
  <w:footnote w:id="4">
    <w:p>
      <w:pPr>
        <w:pStyle w:val="FootnoteTextForceStyle"/>
        <w:rPr>
          <w:lang w:val="sk-SK"/>
        </w:rPr>
      </w:pPr>
      <w:r>
        <w:rPr>
          <w:vertAlign w:val="superscript"/>
          <w:lang w:val="sk-SK"/>
        </w:rPr>
        <w:footnoteRef/>
      </w:r>
      <w:r>
        <w:rPr>
          <w:lang w:val="sk-SK"/>
        </w:rPr>
        <w:tab/>
        <w:t>Nariadenie Európskeho parlamentu a Rady (EÚ) č. 1257/2012 zo 17. decembra 2012, ktorým sa vykonáva posilnená spolupráca na účely vytvorenia jednotnej patentovej ochrany (Ú. v. EÚ L 361, 31.12.2012, s. 1).</w:t>
      </w:r>
    </w:p>
  </w:footnote>
  <w:footnote w:id="5">
    <w:p>
      <w:pPr>
        <w:pStyle w:val="FootnoteTextForceStyle"/>
        <w:rPr>
          <w:lang w:val="sk-SK"/>
        </w:rPr>
      </w:pPr>
      <w:r>
        <w:rPr>
          <w:vertAlign w:val="superscript"/>
          <w:lang w:val="sk-SK"/>
        </w:rPr>
        <w:footnoteRef/>
      </w:r>
      <w:r>
        <w:rPr>
          <w:lang w:val="sk-SK"/>
        </w:rPr>
        <w:tab/>
        <w:t>Nariadenie Európskeho parlamentu a Rady (ES) č. 1610/96 z 23. júla 1996 o vytvorení doplnkového ochranného certifikátu pre výrobky na ochranu rastlín (Ú. v. ES L 198, 8.8.1996, s. 30).</w:t>
      </w:r>
    </w:p>
  </w:footnote>
  <w:footnote w:id="6">
    <w:p>
      <w:pPr>
        <w:pStyle w:val="FootnoteTextForceStyle"/>
        <w:rPr>
          <w:lang w:val="sk-SK"/>
        </w:rPr>
      </w:pPr>
      <w:r>
        <w:rPr>
          <w:vertAlign w:val="superscript"/>
          <w:lang w:val="sk-SK"/>
        </w:rPr>
        <w:footnoteRef/>
      </w:r>
      <w:r>
        <w:rPr>
          <w:lang w:val="sk-SK"/>
        </w:rPr>
        <w:tab/>
        <w:t>Nariadenie Európskeho parlamentu a Rady (EÚ) 2017/1001 zo 14. júna 2017 o ochrannej známke Európskej únie (Ú. v. EÚ L 154, 16.6.2017, s. 1).</w:t>
      </w:r>
    </w:p>
  </w:footnote>
  <w:footnote w:id="7">
    <w:p>
      <w:pPr>
        <w:pStyle w:val="FootnoteTextForceStyle"/>
        <w:rPr>
          <w:lang w:val="sk-SK"/>
        </w:rPr>
      </w:pPr>
      <w:r>
        <w:rPr>
          <w:vertAlign w:val="superscript"/>
          <w:lang w:val="sk-SK"/>
        </w:rPr>
        <w:footnoteRef/>
      </w:r>
      <w:r>
        <w:rPr>
          <w:lang w:val="sk-SK"/>
        </w:rPr>
        <w:tab/>
        <w:t>Medziinštitucionálna dohoda medzi Európskym parlamentom, Radou Európskej únie a Európskou komisiou o lepšej tvorbe práva (Ú. v. EÚ L 123, 12.5.2016, s. 1).</w:t>
      </w:r>
    </w:p>
  </w:footnote>
  <w:footnote w:id="8">
    <w:p>
      <w:pPr>
        <w:pStyle w:val="FootnoteTextForceStyle"/>
        <w:rPr>
          <w:lang w:val="sk-SK"/>
        </w:rPr>
      </w:pPr>
      <w:r>
        <w:rPr>
          <w:vertAlign w:val="superscript"/>
          <w:lang w:val="sk-SK"/>
        </w:rPr>
        <w:footnoteRef/>
      </w:r>
      <w:r>
        <w:rPr>
          <w:lang w:val="sk-SK"/>
        </w:rPr>
        <w:tab/>
        <w:t>Nariadenie Európskeho parlamentu a Rady (EÚ) č. 182/2011 zo 16. februára 2011, ktorým sa ustanovujú pravidlá a všeobecné zásady mechanizmu, na základe ktorého členské štáty kontrolujú vykonávanie vykonávacích právomocí Komisie (Ú. v. EÚ L 55, 28.2.2011, s. 13).</w:t>
      </w:r>
    </w:p>
  </w:footnote>
  <w:footnote w:id="9">
    <w:p>
      <w:pPr>
        <w:pStyle w:val="FootnoteTextForceStyle"/>
        <w:rPr>
          <w:lang w:val="sk-SK"/>
        </w:rPr>
      </w:pPr>
      <w:r>
        <w:rPr>
          <w:vertAlign w:val="superscript"/>
          <w:lang w:val="sk-SK"/>
        </w:rPr>
        <w:footnoteRef/>
      </w:r>
      <w:r>
        <w:rPr>
          <w:lang w:val="sk-SK"/>
        </w:rPr>
        <w:tab/>
        <w:t>Nariadenie Európskeho parlamentu a Rady (EÚ) 2018/1725 z 23. októbra 2018 o ochrane fyzických osôb pri spracúvaní osobných údajov inštitúciami, orgánmi, úradmi a agentúrami Únie a o voľnom pohybe takýchto údajov, ktorým sa zrušuje nariadenie (ES) č. 45/2001 a rozhodnutie č. 1247/2002/ES (Ú. v. EÚ L 295, 21.11.2018, s. 39).</w:t>
      </w:r>
    </w:p>
  </w:footnote>
  <w:footnote w:id="10">
    <w:p>
      <w:pPr>
        <w:pStyle w:val="FootnoteTextForceStyle"/>
        <w:rPr>
          <w:lang w:val="sk-SK"/>
        </w:rPr>
      </w:pPr>
      <w:r>
        <w:rPr>
          <w:vertAlign w:val="superscript"/>
          <w:lang w:val="sk-SK"/>
        </w:rPr>
        <w:footnoteRef/>
      </w:r>
      <w:r>
        <w:rPr>
          <w:lang w:val="sk-SK"/>
        </w:rPr>
        <w:tab/>
        <w:t>Nariadenie Európskeho parlamentu a Rady (ES) č. 1107/2009 z 21. októbra 2009 o uvádzaní prípravkov na ochranu rastlín na trh a o zrušení smerníc Rady 79/117/EHS a 91/414/EHS (Ú. v. EÚ L 309, 24.11.2009, s. 1).</w:t>
      </w:r>
    </w:p>
  </w:footnote>
  <w:footnote w:id="11">
    <w:p>
      <w:pPr>
        <w:pStyle w:val="FootnoteTextForceStyle"/>
        <w:rPr>
          <w:lang w:val="sk-SK"/>
        </w:rPr>
      </w:pPr>
      <w:r>
        <w:rPr>
          <w:vertAlign w:val="superscript"/>
          <w:lang w:val="sk-SK"/>
        </w:rPr>
        <w:footnoteRef/>
      </w:r>
      <w:r>
        <w:rPr>
          <w:lang w:val="sk-SK"/>
        </w:rPr>
        <w:tab/>
        <w:t>Dohovor o udeľovaní európskych patentov z 5. októbra 1973, revidovaný 17. decembra 1991 a 29. novembra 2000.</w:t>
      </w:r>
    </w:p>
  </w:footnote>
  <w:footnote w:id="12">
    <w:p>
      <w:pPr>
        <w:pStyle w:val="FootnoteTextForceStyle"/>
        <w:rPr>
          <w:lang w:val="sk-SK"/>
        </w:rPr>
      </w:pPr>
      <w:r>
        <w:rPr>
          <w:vertAlign w:val="superscript"/>
          <w:lang w:val="sk-SK"/>
        </w:rPr>
        <w:footnoteRef/>
      </w:r>
      <w:r>
        <w:rPr>
          <w:lang w:val="sk-SK"/>
        </w:rPr>
        <w:tab/>
        <w:t>Nariadenie Komisie (EÚ) č. 283/2013 z 1. marca 2013, ktorým sa v súlade s nariadením Európskeho parlamentu a Rady (ES) č. 1107/2009 o uvádzaní prípravkov na ochranu rastlín na trh stanovujú požiadavky na údaje o účinných látkach (Ú. v. EÚ L 93, 3.4.2013, s. 1).</w:t>
      </w:r>
    </w:p>
  </w:footnote>
  <w:footnote w:id="13">
    <w:p>
      <w:pPr>
        <w:pStyle w:val="FootnoteTextForceStyle"/>
        <w:rPr>
          <w:lang w:val="sk-SK"/>
        </w:rPr>
      </w:pPr>
      <w:r>
        <w:rPr>
          <w:vertAlign w:val="superscript"/>
          <w:lang w:val="sk-SK"/>
        </w:rPr>
        <w:footnoteRef/>
      </w:r>
      <w:r>
        <w:rPr>
          <w:lang w:val="sk-SK"/>
        </w:rPr>
        <w:tab/>
        <w:t>Nariadenie Rady č. 1 o používaní jazykov v Európskom hospodárskom spoločenstve (Ú. v. ES 17, 6.10.1958, s. 385).</w:t>
      </w:r>
    </w:p>
  </w:footnote>
  <w:footnote w:id="14">
    <w:p>
      <w:pPr>
        <w:pStyle w:val="FootnoteTextForceStyle"/>
        <w:rPr>
          <w:lang w:val="sk-SK"/>
        </w:rPr>
      </w:pPr>
      <w:r>
        <w:rPr>
          <w:vertAlign w:val="superscript"/>
          <w:lang w:val="sk-SK"/>
        </w:rPr>
        <w:footnoteRef/>
      </w:r>
      <w:r>
        <w:rPr>
          <w:lang w:val="sk-SK"/>
        </w:rPr>
        <w:tab/>
        <w:t>Nariadenie Európskeho parlamentu a Rady o dodatkovom ochrannom osvedčení pre lieky [COM(2023) 231].</w:t>
      </w:r>
    </w:p>
  </w:footnote>
  <w:footnote w:id="15">
    <w:p>
      <w:pPr>
        <w:pStyle w:val="FootnoteTextForceStyle"/>
        <w:rPr>
          <w:lang w:val="sk-SK"/>
        </w:rPr>
      </w:pPr>
      <w:r>
        <w:rPr>
          <w:vertAlign w:val="superscript"/>
          <w:lang w:val="sk-SK"/>
        </w:rPr>
        <w:footnoteRef/>
      </w:r>
      <w:r>
        <w:rPr>
          <w:lang w:val="sk-SK"/>
        </w:rPr>
        <w:tab/>
        <w:t>Nariadenie Európskeho parlamentu a Rady (ES) č. 1049/2001 z 30. mája 2001 o prístupe verejnosti k dokumentom Európskeho parlamentu, Rady a Komisie (Ú. v. ES L 145, 31.5.2001, s. 43).</w:t>
      </w:r>
    </w:p>
  </w:footnote>
  <w:footnote w:id="16">
    <w:p>
      <w:pPr>
        <w:pStyle w:val="FootnoteTextForceStyle"/>
        <w:rPr>
          <w:lang w:val="sk-SK"/>
        </w:rPr>
      </w:pPr>
      <w:r>
        <w:rPr>
          <w:vertAlign w:val="superscript"/>
          <w:lang w:val="sk-SK"/>
        </w:rPr>
        <w:footnoteRef/>
      </w:r>
      <w:r>
        <w:rPr>
          <w:lang w:val="sk-SK"/>
        </w:rPr>
        <w:tab/>
        <w:t>Nariadenie Európskeho parlamentu a Rady (ES) č. 45/2001 z 18. decembra 2000 o ochrane jednotlivcov so zreteľom na spracovanie osobných údajov inštitúciami a orgánmi Spoločenstva a o voľnom pohybe takýchto údajov (Ú. v. ES L 8, 12.1.2001, s. 1).</w:t>
      </w:r>
    </w:p>
  </w:footnote>
  <w:footnote w:id="17">
    <w:p>
      <w:pPr>
        <w:pStyle w:val="FootnoteTextForceStyle"/>
        <w:rPr>
          <w:lang w:val="sk-SK"/>
        </w:rPr>
      </w:pPr>
      <w:r>
        <w:rPr>
          <w:vertAlign w:val="superscript"/>
          <w:lang w:val="sk-SK"/>
        </w:rPr>
        <w:footnoteRef/>
      </w:r>
      <w:r>
        <w:rPr>
          <w:lang w:val="sk-SK"/>
        </w:rPr>
        <w:tab/>
        <w:t>Nariadenie Rady (EHS, Euratom, ESUO) č. 259/68 z 29. februára 1968, ktorým sa ustanovuje Služobný poriadok úradníkov Európskych spoločenstiev a Podmienky zamestnávania ostatných zamestnancov Európskych spoločenstiev a prijímajú osobitné opatrenia dočasne uplatniteľné na úradníkov Komisie (Ú. v. ES L 56, 4.3.1968, s.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20/2024"/>
    <w:docVar w:name="dvlangue" w:val="SK"/>
    <w:docVar w:name="dvnumam" w:val="39"/>
    <w:docVar w:name="dvpe" w:val="753.702"/>
    <w:docVar w:name="dvrapporteur" w:val="Spravodajca: "/>
    <w:docVar w:name="dvstar" w:val="***I"/>
    <w:docVar w:name="dvtitre" w:val="Legislatívne uznesenie Európskeho parlamentu z xx. februára 2024 o návrhu nariadenia Európskeho parlamentu a Rady o jednotnom dodatkovom ochrannom osvedčení pre prípravky na ochranu rastlín(COM(2023)0221 – C9-0152/2023 – 2023/0126(COD))"/>
  </w:docVar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B5573C9-529C-4E6F-8135-965B080D9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4"/>
      <w:lang w:val="sk-SK"/>
    </w:rPr>
  </w:style>
  <w:style w:type="paragraph" w:styleId="Heading1">
    <w:name w:val="heading 1"/>
    <w:basedOn w:val="Normal"/>
    <w:next w:val="Normal"/>
    <w:semiHidden/>
    <w:qFormat/>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pPr>
      <w:jc w:val="center"/>
    </w:pPr>
    <w:rPr>
      <w:rFonts w:ascii="Arial" w:hAnsi="Arial"/>
      <w:bCs/>
      <w:i/>
      <w:sz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pPr>
      <w:jc w:val="center"/>
    </w:pPr>
    <w:rPr>
      <w:rFonts w:ascii="Arial" w:hAnsi="Arial" w:cs="Arial"/>
      <w:b/>
      <w:sz w:val="22"/>
      <w:szCs w:val="22"/>
    </w:rPr>
  </w:style>
  <w:style w:type="paragraph" w:customStyle="1" w:styleId="LineTop">
    <w:name w:val="LineTop"/>
    <w:basedOn w:val="Normal"/>
    <w:next w:val="Normal"/>
    <w:pPr>
      <w:pBdr>
        <w:top w:val="single" w:sz="4" w:space="1" w:color="auto"/>
      </w:pBdr>
      <w:jc w:val="center"/>
    </w:pPr>
    <w:rPr>
      <w:rFonts w:ascii="Arial" w:hAnsi="Arial" w:cs="Arial"/>
      <w:sz w:val="16"/>
      <w:szCs w:val="16"/>
    </w:rPr>
  </w:style>
  <w:style w:type="paragraph" w:customStyle="1" w:styleId="LineBottom">
    <w:name w:val="LineBottom"/>
    <w:basedOn w:val="Normal"/>
    <w:next w:val="Normal"/>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pPr>
      <w:keepNext/>
      <w:keepLines/>
      <w:widowControl/>
      <w:spacing w:before="480" w:after="120"/>
      <w:outlineLvl w:val="0"/>
    </w:pPr>
    <w:rPr>
      <w:b/>
      <w:sz w:val="28"/>
      <w:lang w:eastAsia="fr-FR"/>
    </w:rPr>
  </w:style>
  <w:style w:type="paragraph" w:customStyle="1" w:styleId="ATHeading2">
    <w:name w:val="AT Heading 2"/>
    <w:basedOn w:val="Normal"/>
    <w:next w:val="Normal"/>
    <w:pPr>
      <w:widowControl/>
      <w:spacing w:before="120" w:after="120"/>
      <w:outlineLvl w:val="1"/>
    </w:pPr>
    <w:rPr>
      <w:b/>
      <w:sz w:val="28"/>
      <w:lang w:eastAsia="fr-FR"/>
    </w:rPr>
  </w:style>
  <w:style w:type="paragraph" w:customStyle="1" w:styleId="ATHeading3">
    <w:name w:val="AT Heading 3"/>
    <w:basedOn w:val="Normal"/>
    <w:next w:val="Normal"/>
    <w:pPr>
      <w:keepNext/>
      <w:keepLines/>
      <w:widowControl/>
      <w:spacing w:before="120" w:after="120"/>
      <w:outlineLvl w:val="2"/>
    </w:pPr>
    <w:rPr>
      <w:b/>
      <w:lang w:eastAsia="fr-FR"/>
    </w:rPr>
  </w:style>
  <w:style w:type="paragraph" w:customStyle="1" w:styleId="ATHeadingMotiv">
    <w:name w:val="AT Heading Motiv"/>
    <w:basedOn w:val="Normal"/>
    <w:next w:val="Normal"/>
    <w:pPr>
      <w:keepNext/>
      <w:widowControl/>
      <w:spacing w:before="60" w:after="60"/>
      <w:jc w:val="center"/>
    </w:pPr>
    <w:rPr>
      <w:i/>
      <w:lang w:eastAsia="fr-FR"/>
    </w:rPr>
  </w:style>
  <w:style w:type="character" w:styleId="FootnoteReference">
    <w:name w:val="footnote reference"/>
    <w:semiHidden/>
    <w:rPr>
      <w:b w:val="0"/>
      <w:vertAlign w:val="superscript"/>
    </w:rPr>
  </w:style>
  <w:style w:type="paragraph" w:styleId="FootnoteText">
    <w:name w:val="footnote text"/>
    <w:basedOn w:val="Normal"/>
    <w:link w:val="FootnoteTextChar"/>
    <w:semiHidden/>
    <w:pPr>
      <w:keepLines/>
      <w:widowControl/>
      <w:spacing w:line="260" w:lineRule="exact"/>
      <w:ind w:left="425" w:hanging="425"/>
    </w:pPr>
    <w:rPr>
      <w:sz w:val="22"/>
      <w:lang w:val="fr-FR" w:eastAsia="fr-FR"/>
    </w:rPr>
  </w:style>
  <w:style w:type="character" w:customStyle="1" w:styleId="FootnoteTextChar">
    <w:name w:val="Footnote Text Char"/>
    <w:link w:val="FootnoteText"/>
    <w:semiHidden/>
    <w:rPr>
      <w:sz w:val="22"/>
      <w:lang w:val="fr-FR" w:eastAsia="fr-FR"/>
    </w:rPr>
  </w:style>
  <w:style w:type="character" w:styleId="PageNumber">
    <w:name w:val="page number"/>
    <w:semiHidden/>
  </w:style>
  <w:style w:type="paragraph" w:styleId="TOC2">
    <w:name w:val="toc 2"/>
    <w:basedOn w:val="Normal"/>
    <w:next w:val="Normal"/>
    <w:autoRedefine/>
    <w:semiHidden/>
    <w:pPr>
      <w:keepNext/>
      <w:keepLines/>
      <w:widowControl/>
    </w:pPr>
    <w:rPr>
      <w:b/>
      <w:noProof/>
      <w:lang w:val="fr-FR" w:eastAsia="fr-FR"/>
    </w:rPr>
  </w:style>
  <w:style w:type="paragraph" w:styleId="TOC3">
    <w:name w:val="toc 3"/>
    <w:basedOn w:val="Normal"/>
    <w:next w:val="Normal"/>
    <w:autoRedefine/>
    <w:semiHidden/>
    <w:pPr>
      <w:keepLines/>
      <w:widowControl/>
      <w:ind w:right="510"/>
    </w:pPr>
    <w:rPr>
      <w:noProof/>
      <w:lang w:val="fr-FR" w:eastAsia="fr-FR"/>
    </w:rPr>
  </w:style>
  <w:style w:type="paragraph" w:customStyle="1" w:styleId="EPName">
    <w:name w:val="EPName"/>
    <w:basedOn w:val="Normal"/>
    <w:pPr>
      <w:spacing w:before="80" w:after="80"/>
    </w:pPr>
    <w:rPr>
      <w:rFonts w:ascii="Arial Narrow" w:hAnsi="Arial Narrow" w:cs="Arial"/>
      <w:b/>
      <w:sz w:val="32"/>
      <w:szCs w:val="22"/>
    </w:rPr>
  </w:style>
  <w:style w:type="paragraph" w:customStyle="1" w:styleId="EPTerm">
    <w:name w:val="EPTerm"/>
    <w:basedOn w:val="Normal"/>
    <w:next w:val="Normal"/>
    <w:pPr>
      <w:spacing w:after="80"/>
    </w:pPr>
    <w:rPr>
      <w:rFonts w:ascii="Arial" w:hAnsi="Arial" w:cs="Arial"/>
      <w:sz w:val="20"/>
      <w:szCs w:val="22"/>
    </w:rPr>
  </w:style>
  <w:style w:type="paragraph" w:customStyle="1" w:styleId="EPLogo">
    <w:name w:val="EPLogo"/>
    <w:basedOn w:val="Normal"/>
    <w:qFormat/>
    <w:pPr>
      <w:jc w:val="right"/>
    </w:pPr>
  </w:style>
  <w:style w:type="paragraph" w:customStyle="1" w:styleId="NormalBold">
    <w:name w:val="NormalBold"/>
    <w:basedOn w:val="Normal"/>
    <w:link w:val="NormalBoldChar"/>
    <w:rPr>
      <w:b/>
    </w:rPr>
  </w:style>
  <w:style w:type="paragraph" w:customStyle="1" w:styleId="NormalHanging12a">
    <w:name w:val="NormalHanging12a"/>
    <w:basedOn w:val="Normal"/>
    <w:pPr>
      <w:spacing w:after="240"/>
      <w:ind w:left="567" w:hanging="567"/>
    </w:pPr>
  </w:style>
  <w:style w:type="paragraph" w:customStyle="1" w:styleId="AmNumberTabs">
    <w:name w:val="AmNumberTabs"/>
    <w:basedOn w:val="Normal"/>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pPr>
      <w:spacing w:before="480" w:after="240"/>
    </w:pPr>
  </w:style>
  <w:style w:type="character" w:customStyle="1" w:styleId="Normal6Char">
    <w:name w:val="Normal6 Char"/>
    <w:basedOn w:val="DefaultParagraphFont"/>
    <w:link w:val="Normal6"/>
    <w:locked/>
    <w:rPr>
      <w:sz w:val="24"/>
      <w:lang w:val="sk-SK"/>
    </w:rPr>
  </w:style>
  <w:style w:type="paragraph" w:customStyle="1" w:styleId="Normal6">
    <w:name w:val="Normal6"/>
    <w:basedOn w:val="Normal"/>
    <w:link w:val="Normal6Char"/>
    <w:pPr>
      <w:spacing w:after="120"/>
    </w:pPr>
  </w:style>
  <w:style w:type="character" w:customStyle="1" w:styleId="NormalBoldChar">
    <w:name w:val="NormalBold Char"/>
    <w:basedOn w:val="DefaultParagraphFont"/>
    <w:link w:val="NormalBold"/>
    <w:locked/>
    <w:rPr>
      <w:b/>
      <w:sz w:val="24"/>
      <w:lang w:val="sk-SK"/>
    </w:rPr>
  </w:style>
  <w:style w:type="paragraph" w:customStyle="1" w:styleId="ColumnHeading">
    <w:name w:val="ColumnHeading"/>
    <w:basedOn w:val="Normal"/>
    <w:pPr>
      <w:spacing w:after="240"/>
      <w:jc w:val="center"/>
    </w:pPr>
    <w:rPr>
      <w:i/>
    </w:rPr>
  </w:style>
  <w:style w:type="paragraph" w:customStyle="1" w:styleId="Institutionquiagit">
    <w:name w:val="Institution qui agit"/>
    <w:basedOn w:val="Normal"/>
    <w:next w:val="Normal"/>
    <w:pPr>
      <w:keepNext/>
      <w:widowControl/>
      <w:spacing w:before="600" w:after="120"/>
      <w:jc w:val="both"/>
    </w:pPr>
    <w:rPr>
      <w:szCs w:val="24"/>
      <w:lang w:val="en-GB"/>
    </w:rPr>
  </w:style>
  <w:style w:type="paragraph" w:customStyle="1" w:styleId="FootnoteTextForceStyle">
    <w:name w:val="Footnote Text ForceStyle"/>
    <w:pPr>
      <w:keepLines/>
      <w:widowControl w:val="0"/>
      <w:ind w:left="850" w:hanging="850"/>
    </w:pPr>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4E489-2C18-4C8F-84B6-ECFA3CFEB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94</Pages>
  <Words>12569</Words>
  <Characters>74613</Characters>
  <Application>Microsoft Office Word</Application>
  <DocSecurity>0</DocSecurity>
  <Lines>621</Lines>
  <Paragraphs>174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SUCHANOVA Monika</dc:creator>
  <cp:keywords/>
  <cp:lastModifiedBy>SUCHANOVA Monika</cp:lastModifiedBy>
  <cp:revision>2</cp:revision>
  <cp:lastPrinted>2004-11-19T15:42:00Z</cp:lastPrinted>
  <dcterms:created xsi:type="dcterms:W3CDTF">2024-07-15T10:48:00Z</dcterms:created>
  <dcterms:modified xsi:type="dcterms:W3CDTF">2024-07-15T10:48:00Z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SK</vt:lpwstr>
  </property>
  <property fmtid="{D5CDD505-2E9C-101B-9397-08002B2CF9AE}" pid="3" name="&lt;FdR&gt;">
    <vt:lpwstr>P9_TA(2024)0096_</vt:lpwstr>
  </property>
  <property fmtid="{D5CDD505-2E9C-101B-9397-08002B2CF9AE}" pid="4" name="&lt;Type&gt;">
    <vt:lpwstr>RR</vt:lpwstr>
  </property>
</Properties>
</file>