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5663" w:rsidTr="0010095E">
        <w:trPr>
          <w:trHeight w:hRule="exact" w:val="1418"/>
        </w:trPr>
        <w:tc>
          <w:tcPr>
            <w:tcW w:w="6804" w:type="dxa"/>
            <w:shd w:val="clear" w:color="auto" w:fill="auto"/>
            <w:vAlign w:val="center"/>
          </w:tcPr>
          <w:p w:rsidR="00751A4A" w:rsidRPr="00485663" w:rsidRDefault="00F91C82" w:rsidP="0010095E">
            <w:pPr>
              <w:pStyle w:val="EPName"/>
            </w:pPr>
            <w:r w:rsidRPr="00485663">
              <w:t>Eiropas Parlaments</w:t>
            </w:r>
          </w:p>
          <w:p w:rsidR="00751A4A" w:rsidRPr="00485663" w:rsidRDefault="00817416" w:rsidP="00756632">
            <w:pPr>
              <w:pStyle w:val="EPTerm"/>
              <w:rPr>
                <w:rStyle w:val="HideTWBExt"/>
                <w:noProof w:val="0"/>
                <w:vanish w:val="0"/>
                <w:color w:val="auto"/>
              </w:rPr>
            </w:pPr>
            <w:r w:rsidRPr="00485663">
              <w:t>2019-2024</w:t>
            </w:r>
          </w:p>
        </w:tc>
        <w:tc>
          <w:tcPr>
            <w:tcW w:w="2268" w:type="dxa"/>
            <w:shd w:val="clear" w:color="auto" w:fill="auto"/>
          </w:tcPr>
          <w:p w:rsidR="00751A4A" w:rsidRPr="00485663" w:rsidRDefault="00187494" w:rsidP="0010095E">
            <w:pPr>
              <w:pStyle w:val="EPLogo"/>
            </w:pPr>
            <w:r w:rsidRPr="0048566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85663" w:rsidRDefault="00D058B8" w:rsidP="004C5D52">
      <w:pPr>
        <w:pStyle w:val="LineTop"/>
      </w:pPr>
    </w:p>
    <w:p w:rsidR="00680577" w:rsidRPr="00485663" w:rsidRDefault="00F91C82" w:rsidP="00680577">
      <w:pPr>
        <w:pStyle w:val="EPBodyTA1"/>
      </w:pPr>
      <w:r w:rsidRPr="00485663">
        <w:t>PIEŅEMTIE TEKSTI</w:t>
      </w:r>
    </w:p>
    <w:p w:rsidR="00D058B8" w:rsidRPr="00485663" w:rsidRDefault="00D058B8" w:rsidP="00D058B8">
      <w:pPr>
        <w:pStyle w:val="LineBottom"/>
      </w:pPr>
    </w:p>
    <w:p w:rsidR="00F91C82" w:rsidRPr="00485663" w:rsidRDefault="00F91C82" w:rsidP="00F91C82">
      <w:pPr>
        <w:pStyle w:val="ATHeading1"/>
      </w:pPr>
      <w:bookmarkStart w:id="0" w:name="TANumber"/>
      <w:r w:rsidRPr="00485663">
        <w:t>P9_TA(2024)00</w:t>
      </w:r>
      <w:r w:rsidR="00485663" w:rsidRPr="00485663">
        <w:t>97</w:t>
      </w:r>
      <w:bookmarkEnd w:id="0"/>
    </w:p>
    <w:p w:rsidR="00F91C82" w:rsidRPr="00485663" w:rsidRDefault="00F91C82" w:rsidP="00F91C82">
      <w:pPr>
        <w:pStyle w:val="ATHeading2"/>
      </w:pPr>
      <w:bookmarkStart w:id="1" w:name="title"/>
      <w:r w:rsidRPr="00485663">
        <w:t>Vienotais papildu aizsardzības sertifikāts zālēm</w:t>
      </w:r>
      <w:bookmarkEnd w:id="1"/>
    </w:p>
    <w:p w:rsidR="00F91C82" w:rsidRPr="00485663" w:rsidRDefault="00F91C82" w:rsidP="00F91C82">
      <w:pPr>
        <w:rPr>
          <w:i/>
          <w:vanish/>
        </w:rPr>
      </w:pPr>
      <w:r w:rsidRPr="00485663">
        <w:rPr>
          <w:i/>
        </w:rPr>
        <w:fldChar w:fldCharType="begin"/>
      </w:r>
      <w:r w:rsidRPr="00485663">
        <w:rPr>
          <w:i/>
        </w:rPr>
        <w:instrText xml:space="preserve"> TC"(</w:instrText>
      </w:r>
      <w:bookmarkStart w:id="2" w:name="DocNumber"/>
      <w:r w:rsidRPr="00485663">
        <w:rPr>
          <w:i/>
        </w:rPr>
        <w:instrText>A9-0019/2024</w:instrText>
      </w:r>
      <w:bookmarkEnd w:id="2"/>
      <w:r w:rsidRPr="00485663">
        <w:rPr>
          <w:i/>
        </w:rPr>
        <w:instrText xml:space="preserve"> - Referents: Tiemo Wölken)"\l3 \n&gt; \* MERGEFORMAT </w:instrText>
      </w:r>
      <w:r w:rsidRPr="00485663">
        <w:rPr>
          <w:i/>
        </w:rPr>
        <w:fldChar w:fldCharType="end"/>
      </w:r>
    </w:p>
    <w:p w:rsidR="00F91C82" w:rsidRPr="00485663" w:rsidRDefault="00F91C82" w:rsidP="00F91C82">
      <w:pPr>
        <w:rPr>
          <w:vanish/>
        </w:rPr>
      </w:pPr>
      <w:bookmarkStart w:id="3" w:name="Commission"/>
      <w:r w:rsidRPr="00485663">
        <w:rPr>
          <w:vanish/>
        </w:rPr>
        <w:t>Juridiskā komiteja</w:t>
      </w:r>
      <w:bookmarkEnd w:id="3"/>
    </w:p>
    <w:p w:rsidR="00F91C82" w:rsidRPr="00485663" w:rsidRDefault="00F91C82" w:rsidP="00F91C82">
      <w:pPr>
        <w:rPr>
          <w:vanish/>
        </w:rPr>
      </w:pPr>
      <w:bookmarkStart w:id="4" w:name="PE"/>
      <w:r w:rsidRPr="00485663">
        <w:rPr>
          <w:vanish/>
        </w:rPr>
        <w:t>PE753.703</w:t>
      </w:r>
      <w:bookmarkEnd w:id="4"/>
    </w:p>
    <w:p w:rsidR="00A81F67" w:rsidRPr="00485663" w:rsidRDefault="00F91C82" w:rsidP="001D1717">
      <w:pPr>
        <w:pStyle w:val="ATHeading3"/>
      </w:pPr>
      <w:bookmarkStart w:id="5" w:name="Sujet"/>
      <w:r w:rsidRPr="00485663">
        <w:t xml:space="preserve">Eiropas Parlamenta 2024. gada </w:t>
      </w:r>
      <w:r w:rsidR="00812F0B" w:rsidRPr="00485663">
        <w:t>28</w:t>
      </w:r>
      <w:r w:rsidRPr="00485663">
        <w:t xml:space="preserve">. </w:t>
      </w:r>
      <w:r w:rsidR="005F20B2" w:rsidRPr="00485663">
        <w:t>februāra</w:t>
      </w:r>
      <w:r w:rsidRPr="00485663">
        <w:t xml:space="preserve"> normatīvā rezolūcija par priekšlikumu Eiropas Parlamenta un Padomes regulai par zāļu vienoto papildu aizsardzības sertifikātu un ar ko groza Regulu (ES) 2017/1001, Regulu (EK) Nr. 1901/2006, kā arī Regulu (ES) Nr. 608/2013</w:t>
      </w:r>
      <w:bookmarkEnd w:id="5"/>
      <w:r w:rsidRPr="00485663">
        <w:t xml:space="preserve"> </w:t>
      </w:r>
      <w:bookmarkStart w:id="6" w:name="References"/>
      <w:r w:rsidRPr="00485663">
        <w:t>(COM(2023)0222 – C9-0148/2023 – 2023/0127(COD))</w:t>
      </w:r>
      <w:bookmarkStart w:id="7" w:name="TextBodyBegin"/>
      <w:bookmarkEnd w:id="6"/>
      <w:bookmarkEnd w:id="7"/>
    </w:p>
    <w:p w:rsidR="00A81F67" w:rsidRPr="00485663" w:rsidRDefault="00A81F67" w:rsidP="00A81F67">
      <w:pPr>
        <w:pStyle w:val="NormalBold"/>
      </w:pPr>
      <w:r w:rsidRPr="00485663">
        <w:t>(Parastā likumdošanas procedūra: pirmais lasījums)</w:t>
      </w:r>
    </w:p>
    <w:p w:rsidR="00A81F67" w:rsidRPr="00485663" w:rsidRDefault="00A81F67" w:rsidP="00A81F67">
      <w:pPr>
        <w:pStyle w:val="EPComma"/>
      </w:pPr>
      <w:r w:rsidRPr="00485663">
        <w:rPr>
          <w:i/>
        </w:rPr>
        <w:t>Eiropas Parlaments</w:t>
      </w:r>
      <w:r w:rsidRPr="00485663">
        <w:t>,</w:t>
      </w:r>
    </w:p>
    <w:p w:rsidR="00A81F67" w:rsidRPr="00485663" w:rsidRDefault="00A81F67" w:rsidP="00A81F67">
      <w:pPr>
        <w:pStyle w:val="NormalHanging12a"/>
      </w:pPr>
      <w:r w:rsidRPr="00485663">
        <w:t>–</w:t>
      </w:r>
      <w:r w:rsidRPr="00485663">
        <w:tab/>
        <w:t>ņemot vērā Komisijas priekšlikumu Eiropas Parlamentam un Padomei (COM(2023)0222),</w:t>
      </w:r>
    </w:p>
    <w:p w:rsidR="00A81F67" w:rsidRPr="00485663" w:rsidRDefault="00A81F67" w:rsidP="00A81F67">
      <w:pPr>
        <w:pStyle w:val="NormalHanging12a"/>
      </w:pPr>
      <w:r w:rsidRPr="00485663">
        <w:t>–</w:t>
      </w:r>
      <w:r w:rsidRPr="00485663">
        <w:tab/>
        <w:t>ņemot vērā Līguma par Eiropas Savienības darbību 294. panta 2. punktu un 118. panta 1. punktu, saskaņā ar kuriem Komisija tam ir iesniegusi priekšlikumu (C9</w:t>
      </w:r>
      <w:r w:rsidRPr="00485663">
        <w:noBreakHyphen/>
        <w:t>0148/2023),</w:t>
      </w:r>
    </w:p>
    <w:p w:rsidR="00A81F67" w:rsidRPr="00485663" w:rsidRDefault="00A81F67" w:rsidP="00A81F67">
      <w:pPr>
        <w:pStyle w:val="NormalHanging12a"/>
      </w:pPr>
      <w:r w:rsidRPr="00485663">
        <w:t>–</w:t>
      </w:r>
      <w:r w:rsidRPr="00485663">
        <w:tab/>
        <w:t>ņemot vērā Līguma par Eiropas Savienības darbību 294. panta 3. punktu,</w:t>
      </w:r>
    </w:p>
    <w:p w:rsidR="00A81F67" w:rsidRPr="00485663" w:rsidRDefault="00A81F67" w:rsidP="00A81F67">
      <w:pPr>
        <w:pStyle w:val="NormalHanging12a"/>
      </w:pPr>
      <w:r w:rsidRPr="00485663">
        <w:t>–</w:t>
      </w:r>
      <w:r w:rsidRPr="00485663">
        <w:tab/>
        <w:t>ņemot vērā Reglamenta 59. pantu,</w:t>
      </w:r>
    </w:p>
    <w:p w:rsidR="00A81F67" w:rsidRPr="00485663" w:rsidRDefault="00A81F67" w:rsidP="00A81F67">
      <w:pPr>
        <w:pStyle w:val="NormalHanging12a"/>
      </w:pPr>
      <w:r w:rsidRPr="00485663">
        <w:t>–</w:t>
      </w:r>
      <w:r w:rsidRPr="00485663">
        <w:tab/>
        <w:t>ņemot vērā Juridiskās komitejas ziņojumu (A9</w:t>
      </w:r>
      <w:r w:rsidRPr="00485663">
        <w:noBreakHyphen/>
        <w:t>0019/2024),</w:t>
      </w:r>
    </w:p>
    <w:p w:rsidR="00A81F67" w:rsidRPr="00485663" w:rsidRDefault="00A81F67" w:rsidP="00A81F67">
      <w:pPr>
        <w:pStyle w:val="NormalHanging12a"/>
      </w:pPr>
      <w:r w:rsidRPr="00485663">
        <w:t>1.</w:t>
      </w:r>
      <w:r w:rsidRPr="00485663">
        <w:tab/>
        <w:t>pieņem pirmajā lasījumā turpmāk izklāstīto nostāju;</w:t>
      </w:r>
    </w:p>
    <w:p w:rsidR="00A81F67" w:rsidRPr="00485663" w:rsidRDefault="00A81F67" w:rsidP="00A81F67">
      <w:pPr>
        <w:pStyle w:val="NormalHanging12a"/>
      </w:pPr>
      <w:r w:rsidRPr="00485663">
        <w:t>2.</w:t>
      </w:r>
      <w:r w:rsidRPr="00485663">
        <w:tab/>
        <w:t>prasa Komisijai priekšlikumu Parlamentam iesniegt vēlreiz, ja tā savu priekšlikumu aizstāj, būtiski groza vai ir paredzējusi to būtiski grozīt;</w:t>
      </w:r>
    </w:p>
    <w:p w:rsidR="00A44A6B" w:rsidRDefault="00A81F67" w:rsidP="00A81F67">
      <w:pPr>
        <w:pStyle w:val="NormalHanging12a"/>
      </w:pPr>
      <w:r w:rsidRPr="00485663">
        <w:t>3.</w:t>
      </w:r>
      <w:r w:rsidRPr="00485663">
        <w:tab/>
        <w:t>uzdod priekšsēdētājai Parlamenta nostāju nosūtīt Padomei un Komisijai, kā arī dalībvalstu parlamentiem.</w:t>
      </w:r>
    </w:p>
    <w:p w:rsidR="00535CD6" w:rsidRDefault="00535CD6" w:rsidP="00A81F67">
      <w:pPr>
        <w:pStyle w:val="NormalHanging12a"/>
        <w:sectPr w:rsidR="00535CD6" w:rsidSect="00F400EE">
          <w:footnotePr>
            <w:numRestart w:val="eachSect"/>
          </w:footnotePr>
          <w:endnotePr>
            <w:numFmt w:val="decimal"/>
          </w:endnotePr>
          <w:pgSz w:w="11906" w:h="16838" w:code="9"/>
          <w:pgMar w:top="1134" w:right="1418" w:bottom="1418" w:left="1418" w:header="1134" w:footer="567" w:gutter="0"/>
          <w:cols w:space="720"/>
          <w:noEndnote/>
          <w:docGrid w:linePitch="326"/>
        </w:sectPr>
      </w:pPr>
    </w:p>
    <w:p w:rsidR="00A44A6B" w:rsidRPr="00C95A7D" w:rsidRDefault="00A44A6B" w:rsidP="00A44A6B">
      <w:pPr>
        <w:pStyle w:val="Normal12Hanging"/>
        <w:tabs>
          <w:tab w:val="left" w:pos="357"/>
        </w:tabs>
        <w:rPr>
          <w:b/>
        </w:rPr>
      </w:pPr>
      <w:r w:rsidRPr="00C95A7D">
        <w:rPr>
          <w:b/>
        </w:rPr>
        <w:lastRenderedPageBreak/>
        <w:t>P9_TC1-COD(20</w:t>
      </w:r>
      <w:r>
        <w:rPr>
          <w:b/>
        </w:rPr>
        <w:t>23</w:t>
      </w:r>
      <w:r w:rsidRPr="00C95A7D">
        <w:rPr>
          <w:b/>
        </w:rPr>
        <w:t>)0</w:t>
      </w:r>
      <w:r>
        <w:rPr>
          <w:b/>
        </w:rPr>
        <w:t>127</w:t>
      </w:r>
    </w:p>
    <w:p w:rsidR="00A44A6B" w:rsidRPr="00A44A6B" w:rsidRDefault="00A44A6B" w:rsidP="00A44A6B">
      <w:pPr>
        <w:pStyle w:val="NormalHanging12a"/>
        <w:ind w:left="0" w:firstLine="0"/>
        <w:rPr>
          <w:b/>
          <w:szCs w:val="24"/>
          <w:lang w:eastAsia="en-US"/>
        </w:rPr>
      </w:pPr>
      <w:r w:rsidRPr="00A44A6B">
        <w:rPr>
          <w:b/>
        </w:rPr>
        <w:t xml:space="preserve">Eiropas Parlamenta nostāja, pieņemta pirmajā lasījumā 2024. gada </w:t>
      </w:r>
      <w:r>
        <w:rPr>
          <w:b/>
        </w:rPr>
        <w:t>28. februārī</w:t>
      </w:r>
      <w:r w:rsidRPr="00A44A6B">
        <w:rPr>
          <w:b/>
        </w:rPr>
        <w:t xml:space="preserve">, lai pieņemtu Eiropas Parlamenta un Padomes Regulu (ES) 2024/... </w:t>
      </w:r>
      <w:r w:rsidRPr="00A44A6B">
        <w:rPr>
          <w:b/>
          <w:szCs w:val="24"/>
          <w:lang w:eastAsia="en-US"/>
        </w:rPr>
        <w:t>par zāļu vienoto papildu aizsardzības sertifikātu un ar ko groza Regulu (ES) 2017/1001, Regulu (EK) Nr. 1901/2006, kā arī Regulu (ES) Nr. 608/2013</w:t>
      </w:r>
    </w:p>
    <w:p w:rsidR="00A44A6B" w:rsidRPr="00A44A6B" w:rsidRDefault="00A44A6B" w:rsidP="00A44A6B">
      <w:pPr>
        <w:widowControl/>
        <w:spacing w:before="360" w:after="240" w:line="360" w:lineRule="auto"/>
        <w:jc w:val="center"/>
        <w:rPr>
          <w:szCs w:val="24"/>
          <w:lang w:eastAsia="en-US"/>
        </w:rPr>
      </w:pPr>
      <w:r w:rsidRPr="00A44A6B">
        <w:rPr>
          <w:szCs w:val="24"/>
          <w:lang w:eastAsia="en-US"/>
        </w:rPr>
        <w:t>(Dokuments attiecas uz EEZ)</w:t>
      </w:r>
    </w:p>
    <w:p w:rsidR="00A44A6B" w:rsidRPr="00A44A6B" w:rsidRDefault="00A44A6B" w:rsidP="00A44A6B">
      <w:pPr>
        <w:keepNext/>
        <w:spacing w:before="600" w:after="120" w:line="360" w:lineRule="auto"/>
        <w:rPr>
          <w:szCs w:val="24"/>
          <w:lang w:eastAsia="en-US"/>
        </w:rPr>
      </w:pPr>
      <w:r w:rsidRPr="00A44A6B">
        <w:rPr>
          <w:szCs w:val="24"/>
          <w:lang w:eastAsia="en-US"/>
        </w:rPr>
        <w:t>EIROPAS PARLAMENTS UN EIROPAS SAVIENĪBAS PADOME,</w:t>
      </w:r>
    </w:p>
    <w:p w:rsidR="00A44A6B" w:rsidRPr="00A44A6B" w:rsidRDefault="00A44A6B" w:rsidP="00A44A6B">
      <w:pPr>
        <w:spacing w:before="120" w:after="120" w:line="360" w:lineRule="auto"/>
        <w:rPr>
          <w:lang w:eastAsia="en-US"/>
        </w:rPr>
      </w:pPr>
      <w:r w:rsidRPr="00A44A6B">
        <w:rPr>
          <w:lang w:eastAsia="en-US"/>
        </w:rPr>
        <w:t>ņemot vērā Līgumu par Eiropas Savienības darbību un jo īpaši tā 118. panta pirmo daļu,</w:t>
      </w:r>
    </w:p>
    <w:p w:rsidR="00A44A6B" w:rsidRPr="00A44A6B" w:rsidRDefault="00A44A6B" w:rsidP="00A44A6B">
      <w:pPr>
        <w:spacing w:before="120" w:after="120" w:line="360" w:lineRule="auto"/>
        <w:rPr>
          <w:lang w:eastAsia="en-US"/>
        </w:rPr>
      </w:pPr>
      <w:r w:rsidRPr="00A44A6B">
        <w:rPr>
          <w:lang w:eastAsia="en-US"/>
        </w:rPr>
        <w:t>ņemot vērā Eiropas Komisijas priekšlikumu,</w:t>
      </w:r>
    </w:p>
    <w:p w:rsidR="00A44A6B" w:rsidRPr="00A44A6B" w:rsidRDefault="00A44A6B" w:rsidP="00A44A6B">
      <w:pPr>
        <w:spacing w:before="120" w:after="120" w:line="360" w:lineRule="auto"/>
        <w:rPr>
          <w:lang w:eastAsia="en-US"/>
        </w:rPr>
      </w:pPr>
      <w:r w:rsidRPr="00A44A6B">
        <w:rPr>
          <w:lang w:eastAsia="en-US"/>
        </w:rPr>
        <w:t>pēc leģislatīvā akta projekta nosūtīšanas valstu parlamentiem,</w:t>
      </w:r>
    </w:p>
    <w:p w:rsidR="00A44A6B" w:rsidRPr="00A44A6B" w:rsidRDefault="00A44A6B" w:rsidP="00A44A6B">
      <w:pPr>
        <w:spacing w:before="120" w:after="120" w:line="360" w:lineRule="auto"/>
        <w:rPr>
          <w:lang w:eastAsia="en-US"/>
        </w:rPr>
      </w:pPr>
      <w:r w:rsidRPr="00A44A6B">
        <w:rPr>
          <w:lang w:eastAsia="en-US"/>
        </w:rPr>
        <w:t>ņemot vērā Eiropas Ekonomikas un sociālo lietu komitejas atzinumu</w:t>
      </w:r>
      <w:r w:rsidRPr="00A44A6B">
        <w:rPr>
          <w:vertAlign w:val="superscript"/>
          <w:lang w:val="en-GB" w:eastAsia="en-US"/>
        </w:rPr>
        <w:footnoteReference w:id="1"/>
      </w:r>
      <w:r w:rsidRPr="00A44A6B">
        <w:rPr>
          <w:lang w:eastAsia="en-US"/>
        </w:rPr>
        <w:t>,</w:t>
      </w:r>
    </w:p>
    <w:p w:rsidR="00A44A6B" w:rsidRPr="00A44A6B" w:rsidRDefault="00A44A6B" w:rsidP="00A44A6B">
      <w:pPr>
        <w:spacing w:before="120" w:after="120" w:line="360" w:lineRule="auto"/>
        <w:rPr>
          <w:lang w:eastAsia="en-US"/>
        </w:rPr>
      </w:pPr>
      <w:r w:rsidRPr="00A44A6B">
        <w:rPr>
          <w:lang w:eastAsia="en-US"/>
        </w:rPr>
        <w:t>ņemot vērā Reģionu komitejas atzinumu</w:t>
      </w:r>
      <w:r w:rsidRPr="00A44A6B">
        <w:rPr>
          <w:vertAlign w:val="superscript"/>
          <w:lang w:val="en-GB" w:eastAsia="en-US"/>
        </w:rPr>
        <w:footnoteReference w:id="2"/>
      </w:r>
      <w:r w:rsidRPr="00A44A6B">
        <w:rPr>
          <w:lang w:eastAsia="en-US"/>
        </w:rPr>
        <w:t>,</w:t>
      </w:r>
    </w:p>
    <w:p w:rsidR="00A44A6B" w:rsidRPr="00A44A6B" w:rsidRDefault="00A44A6B" w:rsidP="00A44A6B">
      <w:pPr>
        <w:spacing w:before="120" w:after="120" w:line="360" w:lineRule="auto"/>
        <w:rPr>
          <w:lang w:val="pt-PT" w:eastAsia="en-US"/>
        </w:rPr>
      </w:pPr>
      <w:r w:rsidRPr="00A44A6B">
        <w:rPr>
          <w:lang w:val="pt-PT" w:eastAsia="en-US"/>
        </w:rPr>
        <w:t>saskaņā ar parasto likumdošanas procedūru,</w:t>
      </w:r>
    </w:p>
    <w:p w:rsidR="00A44A6B" w:rsidRDefault="00A44A6B">
      <w:pPr>
        <w:widowControl/>
        <w:rPr>
          <w:lang w:val="pt-PT" w:eastAsia="en-US"/>
        </w:rPr>
      </w:pPr>
      <w:r>
        <w:rPr>
          <w:lang w:val="pt-PT" w:eastAsia="en-US"/>
        </w:rPr>
        <w:br w:type="page"/>
      </w:r>
    </w:p>
    <w:p w:rsidR="00A44A6B" w:rsidRPr="00A44A6B" w:rsidRDefault="00A44A6B" w:rsidP="00A44A6B">
      <w:pPr>
        <w:spacing w:before="120" w:after="120" w:line="360" w:lineRule="auto"/>
        <w:rPr>
          <w:lang w:val="pt-PT" w:eastAsia="en-US"/>
        </w:rPr>
      </w:pPr>
      <w:r w:rsidRPr="00A44A6B">
        <w:rPr>
          <w:lang w:val="pt-PT" w:eastAsia="en-US"/>
        </w:rPr>
        <w:lastRenderedPageBreak/>
        <w:t>tā kā:</w:t>
      </w:r>
    </w:p>
    <w:p w:rsidR="00A44A6B" w:rsidRPr="00A44A6B" w:rsidRDefault="00A44A6B" w:rsidP="00A44A6B">
      <w:pPr>
        <w:spacing w:before="120" w:after="120" w:line="360" w:lineRule="auto"/>
        <w:ind w:left="850" w:hanging="850"/>
        <w:rPr>
          <w:b/>
          <w:szCs w:val="24"/>
          <w:lang w:val="pt-PT" w:eastAsia="en-US"/>
        </w:rPr>
      </w:pPr>
      <w:r w:rsidRPr="00A44A6B">
        <w:rPr>
          <w:szCs w:val="24"/>
          <w:lang w:val="pt-PT" w:eastAsia="en-US"/>
        </w:rPr>
        <w:t>(1)</w:t>
      </w:r>
      <w:r w:rsidRPr="00A44A6B">
        <w:rPr>
          <w:szCs w:val="24"/>
          <w:lang w:val="pt-PT" w:eastAsia="en-US"/>
        </w:rPr>
        <w:tab/>
        <w:t>Pētniecībai farmācijas jomā ir izšķirīga nozīme sabiedrības veselības aizsardzības pastāvīgā uzlabošanā</w:t>
      </w:r>
      <w:r w:rsidRPr="00A44A6B">
        <w:rPr>
          <w:b/>
          <w:i/>
          <w:szCs w:val="24"/>
          <w:lang w:val="pt-PT" w:eastAsia="en-US"/>
        </w:rPr>
        <w:t xml:space="preserve"> un Savienības konkurētspējas nodrošināšanā</w:t>
      </w:r>
      <w:r w:rsidRPr="00A44A6B">
        <w:rPr>
          <w:szCs w:val="24"/>
          <w:lang w:val="pt-PT" w:eastAsia="en-US"/>
        </w:rPr>
        <w:t>. Zāļu, jo īpaši tādu, kuras prasa ilgstošus, dārgus pētījumus, izstrāde Savienībā vairs neturpināsies, ja vien uz tām neattiecinās labvēlīgus noteikumus, kas nodrošina pietiekamu aizsardzību šādu pētījumu sekmēšanai</w:t>
      </w:r>
      <w:r w:rsidRPr="00A44A6B">
        <w:rPr>
          <w:b/>
          <w:i/>
          <w:szCs w:val="24"/>
          <w:lang w:val="pt-PT" w:eastAsia="en-US"/>
        </w:rPr>
        <w:t>. Tomēr ir sarežģīti noteikt tiešu saistību starp šādiem labvēlīgiem noteikumiem un Savienības konkurētspēju, jo, lai gan šādi noteikumi padara Savienības tirgus pievilcīgākus, arī attiecībā uz zālēm, kuru ģeogrāfiskā izcelsme ir trešās valstīs, kā arī apstiprinātām zālēm no trešām valstīm var izmantot visus Savienības stimulus, tāpat kā Savienībā bāzēti inovatīvi uzņēmumi var izmantot stimulus trešās valstīs</w:t>
      </w:r>
      <w:r w:rsidRPr="00A44A6B">
        <w:rPr>
          <w:szCs w:val="24"/>
          <w:lang w:val="pt-PT" w:eastAsia="en-US"/>
        </w:rPr>
        <w:t>;</w:t>
      </w:r>
      <w:r>
        <w:rPr>
          <w:b/>
          <w:szCs w:val="24"/>
          <w:lang w:val="pt-PT" w:eastAsia="en-US"/>
        </w:rPr>
        <w:t xml:space="preserve"> [Gr. 1]</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(2)</w:t>
      </w:r>
      <w:r w:rsidRPr="00A44A6B">
        <w:rPr>
          <w:szCs w:val="24"/>
          <w:lang w:val="pt-PT" w:eastAsia="en-US"/>
        </w:rPr>
        <w:tab/>
        <w:t>Laikposms no brīža, kad iesniedz patenta pieteikumu attiecībā uz jaunām zālēm, līdz brīdim, kad saņem atļauju laist šīs zāles tirgū, samazina faktiskās patentaizsardzības laikposmu, kas nav pietiekams, lai atgūtu pētniecībā ieguldītos līdzekļus.</w:t>
      </w:r>
    </w:p>
    <w:p w:rsidR="00A44A6B" w:rsidRPr="00A44A6B" w:rsidRDefault="00A44A6B" w:rsidP="00A44A6B">
      <w:pPr>
        <w:spacing w:before="120" w:after="120" w:line="360" w:lineRule="auto"/>
        <w:ind w:left="850" w:hanging="850"/>
        <w:rPr>
          <w:b/>
          <w:szCs w:val="24"/>
          <w:lang w:val="pt-PT" w:eastAsia="en-US"/>
        </w:rPr>
      </w:pPr>
      <w:r>
        <w:rPr>
          <w:b/>
          <w:i/>
          <w:szCs w:val="24"/>
          <w:lang w:val="pt-PT" w:eastAsia="en-US"/>
        </w:rPr>
        <w:t>(</w:t>
      </w:r>
      <w:r w:rsidRPr="00A44A6B">
        <w:rPr>
          <w:b/>
          <w:i/>
          <w:szCs w:val="24"/>
          <w:lang w:val="pt-PT" w:eastAsia="en-US"/>
        </w:rPr>
        <w:t>2a</w:t>
      </w:r>
      <w:r>
        <w:rPr>
          <w:b/>
          <w:i/>
          <w:szCs w:val="24"/>
          <w:lang w:val="pt-PT" w:eastAsia="en-US"/>
        </w:rPr>
        <w:t>)</w:t>
      </w:r>
      <w:r w:rsidRPr="00A44A6B">
        <w:rPr>
          <w:szCs w:val="24"/>
          <w:lang w:val="pt-PT" w:eastAsia="en-US"/>
        </w:rPr>
        <w:tab/>
      </w:r>
      <w:r w:rsidRPr="00A44A6B">
        <w:rPr>
          <w:b/>
          <w:i/>
          <w:szCs w:val="24"/>
          <w:lang w:val="pt-PT" w:eastAsia="en-US"/>
        </w:rPr>
        <w:t>Šādi apstākļi noved pie tā, ka aizsardzība nav nodrošināta, un tas apgrūtina pētniecību farmācijas jomā, turklāt pastāv risks, ka pētniecības centrus, kas atrodas dalībvalstīs, varētu pārvietot uz tādām valstīm, kuras piedāvā lielāku aizsardzību.</w:t>
      </w:r>
      <w:r>
        <w:rPr>
          <w:b/>
          <w:szCs w:val="24"/>
          <w:lang w:val="pt-PT" w:eastAsia="en-US"/>
        </w:rPr>
        <w:t xml:space="preserve"> [Gr. 2]</w:t>
      </w:r>
    </w:p>
    <w:p w:rsidR="00A44A6B" w:rsidRDefault="00A44A6B">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lastRenderedPageBreak/>
        <w:t>(3)</w:t>
      </w:r>
      <w:r w:rsidRPr="00A44A6B">
        <w:rPr>
          <w:szCs w:val="24"/>
          <w:lang w:val="pt-PT" w:eastAsia="en-US"/>
        </w:rPr>
        <w:tab/>
        <w:t>Starp juridiskajiem līdzekļiem, kas ir pieejami farmācijas uzņēmumiem, vajadzētu būt vienotai aizsardzībai, ko iekšējā tirgū vai vismaz tā nozīmīgā daļā nodrošina patents un papildu aizsardzības sertifikāts.</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(4)</w:t>
      </w:r>
      <w:r w:rsidRPr="00A44A6B">
        <w:rPr>
          <w:szCs w:val="24"/>
          <w:lang w:val="pt-PT" w:eastAsia="en-US"/>
        </w:rPr>
        <w:tab/>
        <w:t>Komisija 2020. gada 25. novembra paziņojumā “ES inovāciju potenciāla maksimāla izmantošana. Rīcības plāns intelektuālā īpašuma jomā ES atveseļošanās un noturības atbalstam”</w:t>
      </w:r>
      <w:r w:rsidRPr="00A44A6B">
        <w:rPr>
          <w:szCs w:val="24"/>
          <w:vertAlign w:val="superscript"/>
          <w:lang w:val="en-GB" w:eastAsia="en-US"/>
        </w:rPr>
        <w:footnoteReference w:id="3"/>
      </w:r>
      <w:r w:rsidRPr="00A44A6B">
        <w:rPr>
          <w:szCs w:val="24"/>
          <w:lang w:val="pt-PT" w:eastAsia="en-US"/>
        </w:rPr>
        <w:t>, uzsvēra, ka ir jārīkojas, jo Savienības intelektuālā īpašuma sistēmas sadrumstalotība vēl nav pilnībā novērsta. Minētajā paziņojumā Komisija norādīja, ka zāļu un augu aizsardzības līdzekļu papildu aizsardzība ir pieejama tikai valstu līmenī. Tajā pašā laikā pastāv centralizēta Eiropas patentu piešķiršanas procedūra, gan  centralizēta zāļu tirdzniecības atļauju saņemšanas procedūra. Turklāt saskaņā ar Eiropas Parlamenta un Padomes Regulu (ES) Nr. 1257/2012</w:t>
      </w:r>
      <w:r w:rsidRPr="00A44A6B">
        <w:rPr>
          <w:szCs w:val="24"/>
          <w:vertAlign w:val="superscript"/>
          <w:lang w:val="en-GB" w:eastAsia="en-US"/>
        </w:rPr>
        <w:footnoteReference w:id="4"/>
      </w:r>
      <w:r w:rsidRPr="00A44A6B">
        <w:rPr>
          <w:szCs w:val="24"/>
          <w:lang w:val="pt-PT" w:eastAsia="en-US"/>
        </w:rPr>
        <w:t xml:space="preserve"> no 2023. gada jūnija tajās dalībvalstīs, kas ratificējušas Vienotās patentu tiesas izveides nolīgumu, jāstājas spēkā “vienotajam patentam”.</w:t>
      </w:r>
    </w:p>
    <w:p w:rsidR="00A44A6B" w:rsidRPr="00535CD6" w:rsidRDefault="00A44A6B">
      <w:pPr>
        <w:widowControl/>
        <w:rPr>
          <w:szCs w:val="24"/>
          <w:lang w:val="pt-PT" w:eastAsia="en-US"/>
        </w:rPr>
      </w:pPr>
      <w:r w:rsidRPr="00535CD6">
        <w:rPr>
          <w:szCs w:val="24"/>
          <w:lang w:val="pt-PT"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(5)</w:t>
      </w:r>
      <w:r w:rsidRPr="00A44A6B">
        <w:rPr>
          <w:szCs w:val="24"/>
          <w:lang w:val="es-ES" w:eastAsia="en-US"/>
        </w:rPr>
        <w:tab/>
        <w:t>Regula (ES) Nr. 1257/2012 paredz iespēju piešķirt vienotos patentus. Tomēr Regula (ES) Nr. 1257/2012 neparedz vienotu papildu aizsardzības sertifikātu (“vienotais sertifikāts”).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(6)</w:t>
      </w:r>
      <w:r w:rsidRPr="00A44A6B">
        <w:rPr>
          <w:szCs w:val="24"/>
          <w:lang w:val="es-ES" w:eastAsia="en-US"/>
        </w:rPr>
        <w:tab/>
        <w:t>Iztrūkstot vienotajam sertifikātam, vienīgais veids, kā vienoto patentu var pagarināt, ir iesniegt vairākus pieteikumus, lai saņemtu nacionālo sertifikātu katrā dalībvalstī, kurā vēlas iegūt aizsardzību, un šāda kārtība liedz vienotā patenta īpašniekam iegūt vienotu aizsardzību visā laikposmā, kurā tam pienākas apvienotā aizsardzība, ko sniedz vienotais patents un pēc tam minētie sertifikāti. Tāpēc būtu jāievieš vienotais sertifikāts zālēm, kas ļautu vienoti pagarināt vienoto patentu. Vienotā sertifikāta pieteikuma pamatā vajadzētu būt vienotajam pamatpatentam, un centralizētajai atļaujai; vienotajam sertifikātam būtu tāds pats juridiskais spēks kā nacionālajiem sertifikātiem visās dalībvalstīs, kurās pamatpatentam ir vienots spēks. Šāda vienotā sertifikāta galvenā iezīme būtu tā vienotais raksturs.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(7)</w:t>
      </w:r>
      <w:r w:rsidRPr="00A44A6B">
        <w:rPr>
          <w:szCs w:val="24"/>
          <w:lang w:val="es-ES" w:eastAsia="en-US"/>
        </w:rPr>
        <w:tab/>
        <w:t>Vienotajam sertifikātam vajadzētu nodrošināt vienādu aizsardzību un būt vienādā spēkā visās dalībvalstīs, kurās sertifikāta pamatā esošajam pamatpatentam ir vienots spēks. Attiecīgi vienotā sertifikāta nodošanai, anulēšanai vai spēkā esamības izbeigšanai vajadzētu attiekties vienīgi uz visām minētajām dalībvalstīm.</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(8)</w:t>
      </w:r>
      <w:r w:rsidRPr="00A44A6B">
        <w:rPr>
          <w:szCs w:val="24"/>
          <w:lang w:val="es-ES" w:eastAsia="en-US"/>
        </w:rPr>
        <w:tab/>
        <w:t>Regula [COM(2023) 231] aizstāj Eiropas Parlamenta un Padomes Regulu (EK) Nr. 469/2009</w:t>
      </w:r>
      <w:r w:rsidRPr="00A44A6B">
        <w:rPr>
          <w:szCs w:val="24"/>
          <w:vertAlign w:val="superscript"/>
          <w:lang w:val="en-GB" w:eastAsia="en-US"/>
        </w:rPr>
        <w:footnoteReference w:id="5"/>
      </w:r>
      <w:r w:rsidRPr="00A44A6B">
        <w:rPr>
          <w:szCs w:val="24"/>
          <w:lang w:val="es-ES" w:eastAsia="en-US"/>
        </w:rPr>
        <w:t xml:space="preserve"> un ietver jaunus noteikumus, ar ko izveido zāļu papildu aizsardzības sertifikātu centralizētu pārbaudes procedūru.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(9)</w:t>
      </w:r>
      <w:r w:rsidRPr="00A44A6B">
        <w:rPr>
          <w:szCs w:val="24"/>
          <w:lang w:val="es-ES" w:eastAsia="en-US"/>
        </w:rPr>
        <w:tab/>
        <w:t>Tā kā papildu aizsardzība būtu jāsaņem arī tiem produktiem, kuri reģistrēti, izmantojot nevis centralizēto procedūru, bet gan citas procedūras, un tā kā atsevišķas dalībvalstis vēl nav pievienojušās vienotā patenta sistēmai, arī turpmāk tomēr vajadzētu būt pieejamiem sertifikātiem, ko izsniedz valstu patentu iestādes.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(10)</w:t>
      </w:r>
      <w:r w:rsidRPr="00A44A6B">
        <w:rPr>
          <w:szCs w:val="24"/>
          <w:lang w:val="es-ES" w:eastAsia="en-US"/>
        </w:rPr>
        <w:tab/>
        <w:t>Lai novērstu diskrimināciju starp tiem, kuri piesakās sertifikātiem saskaņā ar Regulu [COM(2023) 231], un tiem, kuri piesakās vienotajiem sertifikātiem saskaņā ar šo regulu, kā arī iekšējā tirgus kropļojumus, gan Regulā [COM(2023) 231] paredzētajiem sertifikātiem, gan vienotajiem sertifikātiem būtu jāpiemēro tie paši pamatnoteikumi (ar atbilstošiem pielāgojumiem), jo īpaši attiecībā uz sertifikāta piešķiršanas nosacījumiem, kā arī sertifikāta termiņu un spēku.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(11)</w:t>
      </w:r>
      <w:r w:rsidRPr="00A44A6B">
        <w:rPr>
          <w:szCs w:val="24"/>
          <w:lang w:val="es-ES" w:eastAsia="en-US"/>
        </w:rPr>
        <w:tab/>
        <w:t>Jo īpaši vienotā sertifikāta sniegtās aizsardzības ilgumam vajadzētu būt vienādam ar to, kas nacionālajiem sertifikātiem ir paredzēts saskaņā ar Regulu [COM(2023) 231]; proti, vienotā patenta un vienotā sertifikāta īpašniekam vajadzētu būt iespējai izmantot ekskluzīvas tiesības ne ilgāk kā 15 gadus kopš brīža, kad tas pirmo reizi saņēmis atļauju laist Savienības tirgū konkrētās zāles. Tā kā vienotais sertifikāts stātos spēkā, beidzoties pamatpatenta termiņam, un nolūkā ņemt vērā atšķirības valstu praksē attiecībā uz patenta termiņa beigu datumu, kuru dēļ var rasties 1 dienas starpība, šajā regulā būtu jāprecizē, kad tieši būtu jāstājas spēkā vienotajam sertifikātam.</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(12)</w:t>
      </w:r>
      <w:r w:rsidRPr="00A44A6B">
        <w:rPr>
          <w:szCs w:val="24"/>
          <w:lang w:val="es-ES" w:eastAsia="en-US"/>
        </w:rPr>
        <w:tab/>
        <w:t>Ar Eiropas Parlamenta un Padomes Regulas (ES) Nr. 2017/1001</w:t>
      </w:r>
      <w:r w:rsidRPr="00A44A6B">
        <w:rPr>
          <w:szCs w:val="24"/>
          <w:vertAlign w:val="superscript"/>
          <w:lang w:val="en-GB" w:eastAsia="en-US"/>
        </w:rPr>
        <w:footnoteReference w:id="6"/>
      </w:r>
      <w:r w:rsidRPr="00A44A6B">
        <w:rPr>
          <w:szCs w:val="24"/>
          <w:lang w:val="es-ES" w:eastAsia="en-US"/>
        </w:rPr>
        <w:t xml:space="preserve"> 2. pantu ir izveidots  Eiropas Savienības Intelektuālā īpašuma birojs (“Birojs”). Ņemot vērā iekšējā tirgus intereses un vienotā sertifikāta autonomo būtību, tā pārbaudes un piešķiršanas procedūru būtu jāīsteno vienai pārbaudītājiestādei. To var panākt, uzticot Birojam uzdevumu pārbaudīt pieteikumus gan šajā regulā un Regulā [COM(2023) 221] paredzētajiem vienotajiem sertifikātiem, gan arī centralizētos pieteikumus regulās [COM(2023) 231] un [COM(2023) 223] paredzētajiem sertifikātiem. Lai nodrošinātu saskaņotību ar šo regulu, Regula (ES) Nr. 2017/1001 būtu jāgroza.</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(13)</w:t>
      </w:r>
      <w:r w:rsidRPr="00A44A6B">
        <w:rPr>
          <w:szCs w:val="24"/>
          <w:lang w:val="es-ES" w:eastAsia="en-US"/>
        </w:rPr>
        <w:tab/>
        <w:t>Vienotais sertifikāts zālēm būtu jāpiešķir, pamatojoties vienīgi uz centralizēto tirdzniecības atļauju, kas ir izsniegta saskaņā ar Eiropas Parlamenta un Padomes Regulu (EK) Nr. 726/2004</w:t>
      </w:r>
      <w:r w:rsidRPr="00A44A6B">
        <w:rPr>
          <w:szCs w:val="24"/>
          <w:vertAlign w:val="superscript"/>
          <w:lang w:val="en-GB" w:eastAsia="en-US"/>
        </w:rPr>
        <w:footnoteReference w:id="7"/>
      </w:r>
      <w:r w:rsidRPr="00A44A6B">
        <w:rPr>
          <w:szCs w:val="24"/>
          <w:lang w:val="es-ES" w:eastAsia="en-US"/>
        </w:rPr>
        <w:t xml:space="preserve"> vai Eiropas Parlamenta un Padomes Regulu (ES) 2019/6</w:t>
      </w:r>
      <w:r w:rsidRPr="00A44A6B">
        <w:rPr>
          <w:szCs w:val="24"/>
          <w:vertAlign w:val="superscript"/>
          <w:lang w:val="en-GB" w:eastAsia="en-US"/>
        </w:rPr>
        <w:footnoteReference w:id="8"/>
      </w:r>
      <w:r w:rsidRPr="00A44A6B">
        <w:rPr>
          <w:szCs w:val="24"/>
          <w:lang w:val="es-ES" w:eastAsia="en-US"/>
        </w:rPr>
        <w:t>. Minētās atļaujas attiecas attiecīgi uz cilvēkiem paredzētām zālēm un uz veterinārajām zālēm. Atšķirībā no nacionālajām atļaujām minētās atļaujas attiecas uz tām pašām zālēm visā Savienībā, kas tādējādi atvieglotu vienotā sertifikāta pieteikumu pārbaudi.</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(14)</w:t>
      </w:r>
      <w:r w:rsidRPr="00A44A6B">
        <w:rPr>
          <w:szCs w:val="24"/>
          <w:lang w:val="es-ES" w:eastAsia="en-US"/>
        </w:rPr>
        <w:tab/>
        <w:t>Pieteikuma iesniedzējam vajadzētu arī būt iespējai iesniegt “apvienoto pieteikumu”, norādot tajā arī dalībvalstis, kurās pamatpatentam nav vienota spēka, bet kurās tas vēlas saņemt nacionālos sertifikātus, kā noteikts Regulā [COM(2023) 231]. Šāds apvienotais pieteikums būtu jāizskata vienā pārbaudes procedūrā.</w:t>
      </w:r>
    </w:p>
    <w:p w:rsidR="00A44A6B" w:rsidRPr="00A44A6B" w:rsidRDefault="00A44A6B" w:rsidP="00A44A6B">
      <w:pPr>
        <w:spacing w:before="120" w:after="120" w:line="360" w:lineRule="auto"/>
        <w:ind w:left="850" w:hanging="850"/>
        <w:rPr>
          <w:b/>
          <w:szCs w:val="24"/>
          <w:lang w:val="es-ES" w:eastAsia="en-US"/>
        </w:rPr>
      </w:pPr>
      <w:r>
        <w:rPr>
          <w:b/>
          <w:i/>
          <w:szCs w:val="24"/>
          <w:lang w:val="es-ES" w:eastAsia="en-US"/>
        </w:rPr>
        <w:t>(</w:t>
      </w:r>
      <w:r w:rsidRPr="00A44A6B">
        <w:rPr>
          <w:b/>
          <w:i/>
          <w:szCs w:val="24"/>
          <w:lang w:val="es-ES" w:eastAsia="en-US"/>
        </w:rPr>
        <w:t>14a</w:t>
      </w:r>
      <w:r>
        <w:rPr>
          <w:b/>
          <w:i/>
          <w:szCs w:val="24"/>
          <w:lang w:val="es-ES" w:eastAsia="en-US"/>
        </w:rPr>
        <w:t>)</w:t>
      </w:r>
      <w:r w:rsidRPr="00A44A6B">
        <w:rPr>
          <w:szCs w:val="24"/>
          <w:lang w:val="es-ES" w:eastAsia="en-US"/>
        </w:rPr>
        <w:tab/>
      </w:r>
      <w:r w:rsidRPr="00A44A6B">
        <w:rPr>
          <w:b/>
          <w:i/>
          <w:szCs w:val="24"/>
          <w:lang w:val="es-ES" w:eastAsia="en-US"/>
        </w:rPr>
        <w:t>Lai izvairītos no nevajadzīga administratīvā un finansiālā sloga gan farmācijas nozarei, gan kompetentajām iestādēm un Birojam, būtu jāievieš noteikti racionalizācijas pasākumi. Būtu jānodrošina elektroniska pieteikumu iesniegšana vienotajiem aizsardzības sertifikātiem un apvienotie pieteikumi papildu aizsardzības sertifikātiem. Birojam iesniegtiem pieteikumiem būtu jāatbilst principam “digitāls pēc noklusējuma”, un tādēļ tie Birojam būtu jāiesniedz elektroniskā formātā. Pieteikumi būtu jāizvērtē, pamatojoties uz pieteikuma iesniedzēja iesniegtajiem dokumentiem saskaņā ar šo regulu.</w:t>
      </w:r>
      <w:r>
        <w:rPr>
          <w:b/>
          <w:szCs w:val="24"/>
          <w:lang w:val="es-ES" w:eastAsia="en-US"/>
        </w:rPr>
        <w:t xml:space="preserve"> [Gr. 3]</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(15)</w:t>
      </w:r>
      <w:r w:rsidRPr="00A44A6B">
        <w:rPr>
          <w:szCs w:val="24"/>
          <w:lang w:val="es-ES" w:eastAsia="en-US"/>
        </w:rPr>
        <w:tab/>
        <w:t>Tādā gadījumā nevienā dalībvalstī nebūtu pieļaujama dubultā aizsardzība, ko sniegtu gan vienotais sertifikāts, gan nacionālais sertifikāts neatkarīgi no tā, vai tas ir iegūts, pamatojoties uz nacionālo pieteikumu vai centralizēto pieteikumu.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lastRenderedPageBreak/>
        <w:t>(16)</w:t>
      </w:r>
      <w:r w:rsidRPr="00A44A6B">
        <w:rPr>
          <w:szCs w:val="24"/>
          <w:lang w:val="es-ES" w:eastAsia="en-US"/>
        </w:rPr>
        <w:tab/>
        <w:t xml:space="preserve">Kā </w:t>
      </w:r>
      <w:r w:rsidRPr="00A44A6B">
        <w:rPr>
          <w:strike/>
          <w:szCs w:val="24"/>
          <w:lang w:val="es-ES" w:eastAsia="en-US"/>
        </w:rPr>
        <w:t>vienu</w:t>
      </w:r>
      <w:r w:rsidRPr="00A44A6B">
        <w:rPr>
          <w:b/>
          <w:i/>
          <w:szCs w:val="24"/>
          <w:lang w:val="es-ES" w:eastAsia="en-US"/>
        </w:rPr>
        <w:t>viens</w:t>
      </w:r>
      <w:r w:rsidRPr="00A44A6B">
        <w:rPr>
          <w:szCs w:val="24"/>
          <w:lang w:val="es-ES" w:eastAsia="en-US"/>
        </w:rPr>
        <w:t xml:space="preserve"> no sertifikāta piešķiršanas nosacījumiem būtu jāizvirza prasība, ka produktu aizsargā pamatpatents tādā nozīmē,ka uz to jābūt attiecinātai vienai vai vairākām attiecīgā patenta pretenzijām, kā to interpretējis nozares lietpratējs, ņemot vērā patenta aprakstu </w:t>
      </w:r>
      <w:r w:rsidRPr="00A44A6B">
        <w:rPr>
          <w:strike/>
          <w:szCs w:val="24"/>
          <w:lang w:val="es-ES" w:eastAsia="en-US"/>
        </w:rPr>
        <w:t>tā</w:t>
      </w:r>
      <w:r w:rsidRPr="00A44A6B">
        <w:rPr>
          <w:b/>
          <w:i/>
          <w:szCs w:val="24"/>
          <w:lang w:val="es-ES" w:eastAsia="en-US"/>
        </w:rPr>
        <w:t>un rasējumus un pamatojoties uz minētās personas vispārējām zināšanām attiecīgajā jomā un tehnikas līmeni, kāds bija</w:t>
      </w:r>
      <w:r w:rsidRPr="00A44A6B">
        <w:rPr>
          <w:szCs w:val="24"/>
          <w:lang w:val="es-ES" w:eastAsia="en-US"/>
        </w:rPr>
        <w:t xml:space="preserve"> pieteikuma iesniegšanas</w:t>
      </w:r>
      <w:r w:rsidRPr="00A44A6B">
        <w:rPr>
          <w:b/>
          <w:i/>
          <w:szCs w:val="24"/>
          <w:lang w:val="es-ES" w:eastAsia="en-US"/>
        </w:rPr>
        <w:t xml:space="preserve"> datumā vai pamatpatenta prioritātes</w:t>
      </w:r>
      <w:r w:rsidRPr="00A44A6B">
        <w:rPr>
          <w:szCs w:val="24"/>
          <w:lang w:val="es-ES" w:eastAsia="en-US"/>
        </w:rPr>
        <w:t xml:space="preserve"> datumā. Tas nenozīmē, ka pretenzijās jābūt nepārprotami norādītai produkta aktīvajai vielai</w:t>
      </w:r>
      <w:r w:rsidRPr="00A44A6B">
        <w:rPr>
          <w:strike/>
          <w:szCs w:val="24"/>
          <w:lang w:val="es-ES" w:eastAsia="en-US"/>
        </w:rPr>
        <w:t>.</w:t>
      </w:r>
      <w:r w:rsidRPr="00A44A6B">
        <w:rPr>
          <w:b/>
          <w:i/>
          <w:szCs w:val="24"/>
          <w:lang w:val="es-ES" w:eastAsia="en-US"/>
        </w:rPr>
        <w:t>, vai,</w:t>
      </w:r>
      <w:r w:rsidRPr="00A44A6B">
        <w:rPr>
          <w:szCs w:val="24"/>
          <w:lang w:val="es-ES" w:eastAsia="en-US"/>
        </w:rPr>
        <w:t xml:space="preserve"> ja runa ir par </w:t>
      </w:r>
      <w:r w:rsidRPr="00A44A6B">
        <w:rPr>
          <w:strike/>
          <w:szCs w:val="24"/>
          <w:lang w:val="es-ES" w:eastAsia="en-US"/>
        </w:rPr>
        <w:t>kombinēto</w:t>
      </w:r>
      <w:r w:rsidRPr="00A44A6B">
        <w:rPr>
          <w:b/>
          <w:i/>
          <w:szCs w:val="24"/>
          <w:lang w:val="es-ES" w:eastAsia="en-US"/>
        </w:rPr>
        <w:t>kombinētu</w:t>
      </w:r>
      <w:r w:rsidRPr="00A44A6B">
        <w:rPr>
          <w:szCs w:val="24"/>
          <w:lang w:val="es-ES" w:eastAsia="en-US"/>
        </w:rPr>
        <w:t xml:space="preserve"> produktu, tas arī nenozīmē, ka pretenzijās ir nepārprotami jānorāda katra tā aktīvā viela, ar nosacījumu, ka katra </w:t>
      </w:r>
      <w:r w:rsidRPr="00A44A6B">
        <w:rPr>
          <w:strike/>
          <w:szCs w:val="24"/>
          <w:lang w:val="es-ES" w:eastAsia="en-US"/>
        </w:rPr>
        <w:t>no tām</w:t>
      </w:r>
      <w:r w:rsidRPr="00A44A6B">
        <w:rPr>
          <w:b/>
          <w:i/>
          <w:szCs w:val="24"/>
          <w:lang w:val="es-ES" w:eastAsia="en-US"/>
        </w:rPr>
        <w:t>aktīvā viela</w:t>
      </w:r>
      <w:r w:rsidRPr="00A44A6B">
        <w:rPr>
          <w:szCs w:val="24"/>
          <w:lang w:val="es-ES" w:eastAsia="en-US"/>
        </w:rPr>
        <w:t xml:space="preserve"> ir konkrēti identificējama, ņemot vērā visu minētajā patentā </w:t>
      </w:r>
      <w:r w:rsidRPr="00A44A6B">
        <w:rPr>
          <w:strike/>
          <w:szCs w:val="24"/>
          <w:lang w:val="es-ES" w:eastAsia="en-US"/>
        </w:rPr>
        <w:t>atklāto</w:t>
      </w:r>
      <w:r w:rsidRPr="00A44A6B">
        <w:rPr>
          <w:b/>
          <w:i/>
          <w:szCs w:val="24"/>
          <w:lang w:val="es-ES" w:eastAsia="en-US"/>
        </w:rPr>
        <w:t>sniegto</w:t>
      </w:r>
      <w:r w:rsidRPr="00A44A6B">
        <w:rPr>
          <w:szCs w:val="24"/>
          <w:lang w:val="es-ES" w:eastAsia="en-US"/>
        </w:rPr>
        <w:t xml:space="preserve"> informāciju</w:t>
      </w:r>
      <w:r w:rsidRPr="00A44A6B">
        <w:rPr>
          <w:b/>
          <w:i/>
          <w:szCs w:val="24"/>
          <w:lang w:val="es-ES" w:eastAsia="en-US"/>
        </w:rPr>
        <w:t>, pamatojoties uz tehnikas līmeni pieteikuma iesniegšanas datumā vai pamatpatenta prioritātes datumā</w:t>
      </w:r>
      <w:r w:rsidRPr="00A44A6B">
        <w:rPr>
          <w:szCs w:val="24"/>
          <w:lang w:val="es-ES" w:eastAsia="en-US"/>
        </w:rPr>
        <w:t>.</w:t>
      </w:r>
      <w:r>
        <w:rPr>
          <w:b/>
          <w:szCs w:val="24"/>
          <w:lang w:val="es-ES" w:eastAsia="en-US"/>
        </w:rPr>
        <w:t xml:space="preserve"> [Gr. 4]</w:t>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t>(17)</w:t>
      </w:r>
      <w:r w:rsidRPr="00A44A6B">
        <w:rPr>
          <w:szCs w:val="24"/>
          <w:lang w:val="es-ES" w:eastAsia="en-US"/>
        </w:rPr>
        <w:tab/>
        <w:t xml:space="preserve">Lai novērstu pārmērīgu aizsardzību, būtu jāparedz, ka dalībvalstī vienu un to pašu produktu drīkst aizsargāt tikai viens sertifikāts — vai nu nacionālais sertifikāts, vai vienotais sertifikāts. Tādēļ būtu jānosaka, ka produkts vai jebkāds </w:t>
      </w:r>
      <w:r w:rsidRPr="00A44A6B">
        <w:rPr>
          <w:strike/>
          <w:szCs w:val="24"/>
          <w:lang w:val="es-ES" w:eastAsia="en-US"/>
        </w:rPr>
        <w:t xml:space="preserve">terapeitiski līdzvērtīgs </w:t>
      </w:r>
      <w:r w:rsidRPr="00A44A6B">
        <w:rPr>
          <w:szCs w:val="24"/>
          <w:lang w:val="es-ES" w:eastAsia="en-US"/>
        </w:rPr>
        <w:t>atvasinājums, piemēram, sāļi, esteri, ēteri, izomēri, izomēru maisījumi, kompleksi vai biolīdzīgi produkti, nedrīkstētu būt saņēmis agrāk izsniegtusertifikātu</w:t>
      </w:r>
      <w:r w:rsidRPr="00A44A6B">
        <w:rPr>
          <w:strike/>
          <w:szCs w:val="24"/>
          <w:lang w:val="es-ES" w:eastAsia="en-US"/>
        </w:rPr>
        <w:t xml:space="preserve"> vai nu viens pats, vai kombinācijā ar vienu vai vairākām papildu aktīvajām vielām,</w:t>
      </w:r>
      <w:r w:rsidRPr="00A44A6B">
        <w:rPr>
          <w:szCs w:val="24"/>
          <w:lang w:val="es-ES" w:eastAsia="en-US"/>
        </w:rPr>
        <w:t xml:space="preserve"> ne tādai pašai, ne atšķirīgai terapeitiskai indikācijai.</w:t>
      </w:r>
      <w:r>
        <w:rPr>
          <w:b/>
          <w:szCs w:val="24"/>
          <w:lang w:val="es-ES" w:eastAsia="en-US"/>
        </w:rPr>
        <w:t xml:space="preserve"> [Gr. 5]</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(18)</w:t>
      </w:r>
      <w:r w:rsidRPr="00A44A6B">
        <w:rPr>
          <w:szCs w:val="24"/>
          <w:lang w:val="es-ES" w:eastAsia="en-US"/>
        </w:rPr>
        <w:tab/>
        <w:t>Nepārsniedzot pamatpatenta aizsardzības robežas, vienotā sertifikāta sniegtajai aizsardzībai būtu jāaptver vienīgi tas produkts, proti, tā aktīvā vielā vai aktīvo vielu kombinācija, uz kuru attiecas pirms vienotā sertifikāta termiņa beigām piešķirta atļauja laist to tirgū un lietot kā zāles.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(19)</w:t>
      </w:r>
      <w:r w:rsidRPr="00A44A6B">
        <w:rPr>
          <w:szCs w:val="24"/>
          <w:lang w:val="es-ES" w:eastAsia="en-US"/>
        </w:rPr>
        <w:tab/>
        <w:t>Tomēr, lai nodrošinātu līdzsvarotu aizsardzību, vienotajam sertifikātam būtu jādod tā īpašniekam tiesības nepieļaut, ka kāda trešā persona ražotu ne vien vienotajā sertifikātā norādīto produktu, bet arī tam terapeitiski līdzvērtīgus atvasinājumus, piemēram, sāļus, esterus, ēterus, izomērus, izomēru maisījumus vai kompleksus, kā arī biolīdzīgas zāles, pat tad, ja šādi atvasinājumi nav vienotajā sertifikātā nepārprotami minēti produkta aprakstā. Tāpēc būtu jāapsver, kā panākt, lai vienotā sertifikāta sniegtā aizsardzība ietvertu arī šādus līdzvērtīgus atvasinājumus, nepārsniedzot pamatpatenta aizsardzības robežas.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(20)</w:t>
      </w:r>
      <w:r w:rsidRPr="00A44A6B">
        <w:rPr>
          <w:szCs w:val="24"/>
          <w:lang w:val="es-ES" w:eastAsia="en-US"/>
        </w:rPr>
        <w:tab/>
        <w:t>Vēl vairāk, lai nodrošinātu, ka to pašu produktu jebkurā dalībvalstī aizsargā tikai viens sertifikāts, ja patenta īpašniekam uz šo pašu produktu ir vairāki patenti, tad nedrīkstētu attiecībā uz šo produktu tam piešķirt vairāk par vienu sertifikātu.  Taču, ja produktu aizsargā divi patenti, kuri pieder diviem īpašniekiem, būtu jāatļauj katram īpašniekam saņemt vienu sertifikātu par  konkrēto produktu, ja šie īpašnieki var pierādīt, ka starp tiem nepastāv ekonomiska saistība. Turklāt pamatpatenta īpašniekam nedrīkstētu piešķirt sertifikātu par produktu, kas ir trešai personai piešķirtas atļaujas priekšmets, bez šīs trešās personas piekrišanas.</w:t>
      </w:r>
    </w:p>
    <w:p w:rsidR="00A44A6B" w:rsidRPr="00A44A6B" w:rsidRDefault="00A44A6B" w:rsidP="00A44A6B">
      <w:pPr>
        <w:spacing w:before="120" w:after="120" w:line="360" w:lineRule="auto"/>
        <w:ind w:left="850" w:hanging="850"/>
        <w:rPr>
          <w:b/>
          <w:szCs w:val="24"/>
          <w:lang w:val="es-ES" w:eastAsia="en-US"/>
        </w:rPr>
      </w:pPr>
      <w:r>
        <w:rPr>
          <w:b/>
          <w:i/>
          <w:szCs w:val="24"/>
          <w:lang w:val="es-ES" w:eastAsia="en-US"/>
        </w:rPr>
        <w:t>(</w:t>
      </w:r>
      <w:r w:rsidRPr="00A44A6B">
        <w:rPr>
          <w:b/>
          <w:i/>
          <w:szCs w:val="24"/>
          <w:lang w:val="es-ES" w:eastAsia="en-US"/>
        </w:rPr>
        <w:t>20a</w:t>
      </w:r>
      <w:r>
        <w:rPr>
          <w:b/>
          <w:i/>
          <w:szCs w:val="24"/>
          <w:lang w:val="es-ES" w:eastAsia="en-US"/>
        </w:rPr>
        <w:t>)</w:t>
      </w:r>
      <w:r w:rsidRPr="00A44A6B">
        <w:rPr>
          <w:szCs w:val="24"/>
          <w:lang w:val="es-ES" w:eastAsia="en-US"/>
        </w:rPr>
        <w:tab/>
      </w:r>
      <w:r w:rsidRPr="00A44A6B">
        <w:rPr>
          <w:b/>
          <w:i/>
          <w:szCs w:val="24"/>
          <w:lang w:val="es-ES" w:eastAsia="en-US"/>
        </w:rPr>
        <w:t>Lai nodrošinātu tādu produktu plašu piedāvājumu, kurus aizsargā papildu aizsardzības sertifikāti, vienoto papildu aizsardzības sertifikātu īpašnieki tiek mudināti izmantot šādos sertifikātos nodrošinātās tiesības tādā veidā, kas ļauj piegādāt produktus tirgos, kuros tiem nav nodoma laist nekādus produktus. Šajā saistībā īpašnieki varētu brīvprātīgi vienoties par vienotā papildu aizsardzības sertifikāta tiesību licencēšanu šajos tirgos. Mērķis ir atļaut licenciātiem piegādāt produktus, ja vienoto papildu aizsardzības sertifikātu īpašnieki nolemj nelaist tirgū nevienu produktu.</w:t>
      </w:r>
      <w:r>
        <w:rPr>
          <w:b/>
          <w:szCs w:val="24"/>
          <w:lang w:val="es-ES" w:eastAsia="en-US"/>
        </w:rPr>
        <w:t xml:space="preserve"> [Gr. 6]</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lastRenderedPageBreak/>
        <w:t>(21)</w:t>
      </w:r>
      <w:r w:rsidRPr="00A44A6B">
        <w:rPr>
          <w:szCs w:val="24"/>
          <w:lang w:val="es-ES" w:eastAsia="en-US"/>
        </w:rPr>
        <w:tab/>
        <w:t xml:space="preserve">Ja tirdzniecības atļaujā, ko iesniedz, lai pamatotu pieteikumu par sertifikāta piešķiršanu biozālēm, produkts ir norādīts ar starptautisko bezīpašnieka nosaukumu (INN), sertifikāta sniegtajai aizsardzībai būtu jāaptver </w:t>
      </w:r>
      <w:r w:rsidRPr="00A44A6B">
        <w:rPr>
          <w:strike/>
          <w:szCs w:val="24"/>
          <w:lang w:val="es-ES" w:eastAsia="en-US"/>
        </w:rPr>
        <w:t>visi terapeitiski līdzvērtīgie produkti</w:t>
      </w:r>
      <w:r w:rsidRPr="00A44A6B">
        <w:rPr>
          <w:b/>
          <w:i/>
          <w:szCs w:val="24"/>
          <w:lang w:val="es-ES" w:eastAsia="en-US"/>
        </w:rPr>
        <w:t>biolīdzīgās zāles</w:t>
      </w:r>
      <w:r w:rsidRPr="00A44A6B">
        <w:rPr>
          <w:szCs w:val="24"/>
          <w:lang w:val="es-ES" w:eastAsia="en-US"/>
        </w:rPr>
        <w:t>, kam ir tāds pats starptautiskais bezīpašnieka nosaukums kā tirdzniecības atļaujā minētajam produktam, neskatoties uz iespējamām nebūtiskām atšķirībām starp vēlāk izstrādātajām biolīdzīgajām zālēm un reģistrēto produktu, no kurām nav iespējams izvairīties bioproduktu iedabas dēļ.</w:t>
      </w:r>
      <w:r>
        <w:rPr>
          <w:b/>
          <w:szCs w:val="24"/>
          <w:lang w:val="es-ES" w:eastAsia="en-US"/>
        </w:rPr>
        <w:t xml:space="preserve"> [Gr. 7]</w:t>
      </w:r>
    </w:p>
    <w:p w:rsidR="00A44A6B" w:rsidRPr="00A44A6B" w:rsidRDefault="00A44A6B" w:rsidP="00A44A6B">
      <w:pPr>
        <w:spacing w:before="120" w:after="120" w:line="360" w:lineRule="auto"/>
        <w:ind w:left="850" w:hanging="850"/>
        <w:rPr>
          <w:b/>
          <w:szCs w:val="24"/>
          <w:lang w:val="es-ES" w:eastAsia="en-US"/>
        </w:rPr>
      </w:pPr>
      <w:r>
        <w:rPr>
          <w:b/>
          <w:i/>
          <w:szCs w:val="24"/>
          <w:lang w:val="es-ES" w:eastAsia="en-US"/>
        </w:rPr>
        <w:t>(</w:t>
      </w:r>
      <w:r w:rsidRPr="00A44A6B">
        <w:rPr>
          <w:b/>
          <w:i/>
          <w:szCs w:val="24"/>
          <w:lang w:val="es-ES" w:eastAsia="en-US"/>
        </w:rPr>
        <w:t>21a</w:t>
      </w:r>
      <w:r>
        <w:rPr>
          <w:b/>
          <w:i/>
          <w:szCs w:val="24"/>
          <w:lang w:val="es-ES" w:eastAsia="en-US"/>
        </w:rPr>
        <w:t>)</w:t>
      </w:r>
      <w:r w:rsidRPr="00A44A6B">
        <w:rPr>
          <w:szCs w:val="24"/>
          <w:lang w:val="es-ES" w:eastAsia="en-US"/>
        </w:rPr>
        <w:tab/>
      </w:r>
      <w:r w:rsidRPr="00A44A6B">
        <w:rPr>
          <w:b/>
          <w:i/>
          <w:szCs w:val="24"/>
          <w:lang w:val="es-ES" w:eastAsia="en-US"/>
        </w:rPr>
        <w:t>Savlaicīga ģenērisko un biolīdzīgo zāļu ienākšana Savienības tirgū ir svarīga, lai jo īpaši palielinātu konkurenci, samazinātu cenas un garantētu gan valsts veselības aprūpes sistēmu noturīgumu, gan labāku piekļuvi zālēm par pieņemamu cenu pacientiem Savienībā. Padome savos 2016. gada 17. jūnija secinājumos par līdzsvara stiprināšanu farmācijas sistēmās Savienībā un tās dalībvalstīs uzsvēra šādas savlaicīgas ienākšanas tirgū nozīmi. No otras puses, jāpatur prātā, ka intelektuālā īpašuma tiesības joprojām ir viens no inovācijas, konkurētspējas un izaugsmes stūrakmeņiem iekšējā tirgū.</w:t>
      </w:r>
      <w:r>
        <w:rPr>
          <w:b/>
          <w:szCs w:val="24"/>
          <w:lang w:val="es-ES" w:eastAsia="en-US"/>
        </w:rPr>
        <w:t xml:space="preserve"> [Gr. 8]</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lastRenderedPageBreak/>
        <w:t>(22)</w:t>
      </w:r>
      <w:r w:rsidRPr="00A44A6B">
        <w:rPr>
          <w:szCs w:val="24"/>
          <w:lang w:val="es-ES" w:eastAsia="en-US"/>
        </w:rPr>
        <w:tab/>
        <w:t xml:space="preserve">Regulā [COM(2023) 231] ir iekļauts izņēmums, kas paredz, ka šauri definētos apstākļos, kā arī ievērojot dažādus aizsargpasākumus, nacionālā zāļu papildu aizsardzības sertifikāta dotā aizsardzība neaptver produktu, ko Savienībā ražo nevis sertifikāta īpašnieks, bet gan kāda cita persona, ja šādi saražoto produktu ir paredzēts eksportēt uz </w:t>
      </w:r>
      <w:r w:rsidRPr="00A44A6B">
        <w:rPr>
          <w:strike/>
          <w:szCs w:val="24"/>
          <w:lang w:val="es-ES" w:eastAsia="en-US"/>
        </w:rPr>
        <w:t>trešo valsti vai</w:t>
      </w:r>
      <w:r w:rsidRPr="00A44A6B">
        <w:rPr>
          <w:b/>
          <w:i/>
          <w:szCs w:val="24"/>
          <w:lang w:val="es-ES" w:eastAsia="en-US"/>
        </w:rPr>
        <w:t>trešās valsts tirgu, kurā aizsardzība nepastāv vai ir beigusies, vai izgatavot un</w:t>
      </w:r>
      <w:r w:rsidRPr="00A44A6B">
        <w:rPr>
          <w:szCs w:val="24"/>
          <w:lang w:val="es-ES" w:eastAsia="en-US"/>
        </w:rPr>
        <w:t xml:space="preserve"> uzglabāt Savienībā, lai laistu to </w:t>
      </w:r>
      <w:r w:rsidRPr="00A44A6B">
        <w:rPr>
          <w:strike/>
          <w:szCs w:val="24"/>
          <w:lang w:val="es-ES" w:eastAsia="en-US"/>
        </w:rPr>
        <w:t>Savienības</w:t>
      </w:r>
      <w:r w:rsidRPr="00A44A6B">
        <w:rPr>
          <w:b/>
          <w:i/>
          <w:szCs w:val="24"/>
          <w:lang w:val="es-ES" w:eastAsia="en-US"/>
        </w:rPr>
        <w:t>jebkuras dalībvalsts</w:t>
      </w:r>
      <w:r w:rsidRPr="00A44A6B">
        <w:rPr>
          <w:szCs w:val="24"/>
          <w:lang w:val="es-ES" w:eastAsia="en-US"/>
        </w:rPr>
        <w:t xml:space="preserve"> tirgū brīdī, kad </w:t>
      </w:r>
      <w:r w:rsidRPr="00A44A6B">
        <w:rPr>
          <w:b/>
          <w:i/>
          <w:szCs w:val="24"/>
          <w:lang w:val="es-ES" w:eastAsia="en-US"/>
        </w:rPr>
        <w:t xml:space="preserve">attiecīgais </w:t>
      </w:r>
      <w:r w:rsidRPr="00A44A6B">
        <w:rPr>
          <w:szCs w:val="24"/>
          <w:lang w:val="es-ES" w:eastAsia="en-US"/>
        </w:rPr>
        <w:t>sertifikāts</w:t>
      </w:r>
      <w:r w:rsidRPr="00A44A6B">
        <w:rPr>
          <w:b/>
          <w:i/>
          <w:szCs w:val="24"/>
          <w:lang w:val="es-ES" w:eastAsia="en-US"/>
        </w:rPr>
        <w:t xml:space="preserve"> (pirmā laišanas ES tirgū diena) un visi ar to saistītie akti</w:t>
      </w:r>
      <w:r w:rsidRPr="00A44A6B">
        <w:rPr>
          <w:szCs w:val="24"/>
          <w:lang w:val="es-ES" w:eastAsia="en-US"/>
        </w:rPr>
        <w:t xml:space="preserve"> vairs nav spēkā. Lai novērstu diskrimināciju starp tiem, kuri piesakās sertifikātiem saskaņā ar Regulu [COM(2023) 231], un tiem, kuri piesakās vienotajiem sertifikātiem saskaņā ar šo regulu, tiesībām un ierobežojumiem, ko dod saskaņā ar Regulu [COM(2023) 231] piešķirtie sertifikāti un vienotie sertifikāti, vajadzētu būt līdzīgiem, tāpēc būtu jāparedz, ka minēto izņēmumu var piemērot arī attiecībā uz vienotajiem sertifikātiem. Atbrīvojuma ieviešanas pamatojumu un nosacījumus tā pieprasīšanai būtu jāattiecina arī uz vienotajiem sertifikātiem.</w:t>
      </w:r>
      <w:r>
        <w:rPr>
          <w:b/>
          <w:szCs w:val="24"/>
          <w:lang w:val="es-ES" w:eastAsia="en-US"/>
        </w:rPr>
        <w:t xml:space="preserve"> [Gr. 9]</w:t>
      </w:r>
    </w:p>
    <w:p w:rsidR="00A44A6B" w:rsidRDefault="00A44A6B">
      <w:pPr>
        <w:widowControl/>
        <w:rPr>
          <w:b/>
          <w:i/>
          <w:szCs w:val="24"/>
          <w:lang w:val="es-ES" w:eastAsia="en-US"/>
        </w:rPr>
      </w:pPr>
      <w:r>
        <w:rPr>
          <w:b/>
          <w:i/>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Pr>
          <w:b/>
          <w:i/>
          <w:szCs w:val="24"/>
          <w:lang w:val="es-ES" w:eastAsia="en-US"/>
        </w:rPr>
        <w:lastRenderedPageBreak/>
        <w:t>(</w:t>
      </w:r>
      <w:r w:rsidRPr="00A44A6B">
        <w:rPr>
          <w:b/>
          <w:i/>
          <w:szCs w:val="24"/>
          <w:lang w:val="es-ES" w:eastAsia="en-US"/>
        </w:rPr>
        <w:t>22a</w:t>
      </w:r>
      <w:r>
        <w:rPr>
          <w:b/>
          <w:i/>
          <w:szCs w:val="24"/>
          <w:lang w:val="es-ES" w:eastAsia="en-US"/>
        </w:rPr>
        <w:t>)</w:t>
      </w:r>
      <w:r w:rsidRPr="00A44A6B">
        <w:rPr>
          <w:szCs w:val="24"/>
          <w:lang w:val="es-ES" w:eastAsia="en-US"/>
        </w:rPr>
        <w:tab/>
      </w:r>
      <w:r w:rsidRPr="00A44A6B">
        <w:rPr>
          <w:b/>
          <w:i/>
          <w:szCs w:val="24"/>
          <w:lang w:val="es-ES" w:eastAsia="en-US"/>
        </w:rPr>
        <w:t>Šādos īpašos un ierobežotos apstākļos, kā arī nolūkā radīt Savienībā bāzētajiem izgatavotājiem un trešo valstu izgatavotājiem vienlīdzīgus konkurences apstākļus, aizsardzība, ko piešķir papildu aizsardzības sertifikāts saskaņā ar Regulu (ES) 2019/933, būtu jāierobežo, lai tādējādi darītu iespējamu izgatavošanu vienīgi eksportam uz trešām valstīm un jebkuras saistītas darbības Savienībā, kuras stingri nepieciešamas izgatavošanai vai faktiskajai eksportēšanai un kurām citādi būtu vajadzīga sertifikāta īpašnieka atļauja (“saistītās darbības”). Piemēram, šādās saistītās darbībās varētu ietvert aktīvās vielas turēšanu īpašumā, piegādi, piedāvāšanu piegādei, importu, izmantošanu vai sintēzi, lai izgatavotu zāles, kas satur minēto produktu, vai produkta pagaidu uzglabāšanu vai reklāmu vienīgi eksportēšanas nolūkā uz trešām valstīm. Šis izņēmums būtu jāpiemēro arī saistītām darbībām, ko veic trešās personas, kurām ir līgumattiecības ar izgatavotāju.</w:t>
      </w:r>
      <w:r>
        <w:rPr>
          <w:b/>
          <w:szCs w:val="24"/>
          <w:lang w:val="es-ES" w:eastAsia="en-US"/>
        </w:rPr>
        <w:t xml:space="preserve"> [Gr. 10]</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(23)</w:t>
      </w:r>
      <w:r w:rsidRPr="00A44A6B">
        <w:rPr>
          <w:szCs w:val="24"/>
          <w:lang w:val="es-ES" w:eastAsia="en-US"/>
        </w:rPr>
        <w:tab/>
        <w:t>Lai nodrošinātu saskaņotību ar noteikumiem, kurus piemēro vienotajiem patentiem, vienotais sertifikāts kā īpašumtiesību objekts būtu visā pilnībā un visās dalībvalstīs, kurās tas ir spēkā, jāuzskata par nacionālo sertifikātu, kas konkrētajā dalībvalstī piešķirts saskaņā ar tiesību aktiem, kuri attiecas uz pamatpatentu.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(24)</w:t>
      </w:r>
      <w:r w:rsidRPr="00A44A6B">
        <w:rPr>
          <w:szCs w:val="24"/>
          <w:lang w:val="es-ES" w:eastAsia="en-US"/>
        </w:rPr>
        <w:tab/>
        <w:t>Lai novērstu diskrimināciju starp tiem, kuri piesakās nacionālajiem sertifikātiem saskaņā ar Regulu [COM(2023) 231], un tiem, kuri piesakās vienotajiem sertifikātiem saskaņā ar šo regulu, arī attiecībā uz vienotajiem sertifikātiem būtu jāparedz Eiropas Parlamenta un Padomes Regulas (EK) Nr. 1901/2006</w:t>
      </w:r>
      <w:r w:rsidRPr="00A44A6B">
        <w:rPr>
          <w:szCs w:val="24"/>
          <w:vertAlign w:val="superscript"/>
          <w:lang w:val="en-GB" w:eastAsia="en-US"/>
        </w:rPr>
        <w:footnoteReference w:id="9"/>
      </w:r>
      <w:r w:rsidRPr="00A44A6B">
        <w:rPr>
          <w:szCs w:val="24"/>
          <w:lang w:val="es-ES" w:eastAsia="en-US"/>
        </w:rPr>
        <w:t xml:space="preserve"> 36. pantā aprakstītais sertifikāta termiņa pagarinājums. Šajā nolūkā minētā regula būtu jāgroza.</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(25)</w:t>
      </w:r>
      <w:r w:rsidRPr="00A44A6B">
        <w:rPr>
          <w:szCs w:val="24"/>
          <w:lang w:val="es-ES" w:eastAsia="en-US"/>
        </w:rPr>
        <w:tab/>
        <w:t>Lai garantētu taisnīgu un pārredzamu procesu, nodrošinātu juridisko noteiktību un mazinātu risku, ka sertifikāta spēkā esamību vēlāk apstrīdēs, trešām personām vajadzētu būt iespējai pēc vienotā sertifikāta pieteikuma publicēšanas 3 mēnešu laikā, kamēr notiek centralizētā pārbaude, iesniegt Birojam savus apsvērumus  To trešo personu starpā, kam atļauts iesniegt savus apsvērumus, vajadzētu būt arī dalībvalstīm. Tomēr tas nedrīkstētu ietekmēt trešo personu tiesības vēlāk vērsties Birojā un ierosināt spēkā neesamības procesu. Šie noteikumi ir nepieciešami, lai nodrošinātu trešo personu iesaisti gan līdz sertifikāta piešķiršanai, gan pēc tās.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lastRenderedPageBreak/>
        <w:t>(26)</w:t>
      </w:r>
      <w:r w:rsidRPr="00A44A6B">
        <w:rPr>
          <w:szCs w:val="24"/>
          <w:lang w:val="es-ES" w:eastAsia="en-US"/>
        </w:rPr>
        <w:tab/>
        <w:t>Vienotā sertifikāta pieteikuma pārbaude Biroja pārraudzībā būtu jāveic pārbaudes komisijai, kurā ietilpst viens Biroja loceklis un divi pārbaudītāji, kas strādā valsts patentu iestādēs.Tas nodrošinātu, ka tiek optimāli izmantotas</w:t>
      </w:r>
      <w:r w:rsidRPr="00A44A6B">
        <w:rPr>
          <w:b/>
          <w:i/>
          <w:szCs w:val="24"/>
          <w:lang w:val="es-ES" w:eastAsia="en-US"/>
        </w:rPr>
        <w:t xml:space="preserve"> pašlaik tikai valstu birojos rodamās</w:t>
      </w:r>
      <w:r w:rsidRPr="00A44A6B">
        <w:rPr>
          <w:szCs w:val="24"/>
          <w:lang w:val="es-ES" w:eastAsia="en-US"/>
        </w:rPr>
        <w:t xml:space="preserve"> zināšanas par papildu aizsardzības sertifikātiem</w:t>
      </w:r>
      <w:r w:rsidRPr="00A44A6B">
        <w:rPr>
          <w:strike/>
          <w:szCs w:val="24"/>
          <w:lang w:val="es-ES" w:eastAsia="en-US"/>
        </w:rPr>
        <w:t>, kas pašlaik rodamas tikai valstu birojos</w:t>
      </w:r>
      <w:r w:rsidRPr="00A44A6B">
        <w:rPr>
          <w:b/>
          <w:i/>
          <w:szCs w:val="24"/>
          <w:lang w:val="es-ES" w:eastAsia="en-US"/>
        </w:rPr>
        <w:t xml:space="preserve"> un saistītajiem patentu jautājumiem.</w:t>
      </w:r>
      <w:r w:rsidRPr="00A44A6B">
        <w:rPr>
          <w:szCs w:val="24"/>
          <w:lang w:val="es-ES" w:eastAsia="en-US"/>
        </w:rPr>
        <w:t xml:space="preserve"> Lai nodrošinātu optimālu pārbaudes kvalitāti, </w:t>
      </w:r>
      <w:r w:rsidRPr="00A44A6B">
        <w:rPr>
          <w:b/>
          <w:i/>
          <w:szCs w:val="24"/>
          <w:lang w:val="es-ES" w:eastAsia="en-US"/>
        </w:rPr>
        <w:t xml:space="preserve">kompetentajām valsts iestādēm būtu jānodrošina, ka izraudzītajiem pārbaudītājiem ir attiecīgās zināšanas un pietiekama pieredze papildu aizsardzības sertifikātu vērtēšanā. </w:t>
      </w:r>
      <w:r w:rsidRPr="00A44A6B">
        <w:rPr>
          <w:szCs w:val="24"/>
          <w:lang w:val="es-ES" w:eastAsia="en-US"/>
        </w:rPr>
        <w:t>Būtu jānosaka piemēroti</w:t>
      </w:r>
      <w:r w:rsidRPr="00A44A6B">
        <w:rPr>
          <w:b/>
          <w:i/>
          <w:szCs w:val="24"/>
          <w:lang w:val="es-ES" w:eastAsia="en-US"/>
        </w:rPr>
        <w:t xml:space="preserve"> papildu</w:t>
      </w:r>
      <w:r w:rsidRPr="00A44A6B">
        <w:rPr>
          <w:szCs w:val="24"/>
          <w:lang w:val="es-ES" w:eastAsia="en-US"/>
        </w:rPr>
        <w:t xml:space="preserve"> kritēriji konkrētu pārbaudītāju līdzdalībai procedūrā, jo īpaši attiecībā uz kvalifikāciju un interešu konfliktiem.</w:t>
      </w:r>
      <w:r>
        <w:rPr>
          <w:b/>
          <w:szCs w:val="24"/>
          <w:lang w:val="es-ES" w:eastAsia="en-US"/>
        </w:rPr>
        <w:t xml:space="preserve"> [Gr. 11]</w:t>
      </w:r>
    </w:p>
    <w:p w:rsidR="00A44A6B" w:rsidRPr="00A44A6B" w:rsidRDefault="00A44A6B" w:rsidP="00A44A6B">
      <w:pPr>
        <w:spacing w:before="120" w:after="120" w:line="360" w:lineRule="auto"/>
        <w:ind w:left="850" w:hanging="850"/>
        <w:rPr>
          <w:b/>
          <w:szCs w:val="24"/>
          <w:lang w:val="es-ES" w:eastAsia="en-US"/>
        </w:rPr>
      </w:pPr>
      <w:r>
        <w:rPr>
          <w:b/>
          <w:i/>
          <w:szCs w:val="24"/>
          <w:lang w:val="es-ES" w:eastAsia="en-US"/>
        </w:rPr>
        <w:t>(</w:t>
      </w:r>
      <w:r w:rsidRPr="00A44A6B">
        <w:rPr>
          <w:b/>
          <w:i/>
          <w:szCs w:val="24"/>
          <w:lang w:val="es-ES" w:eastAsia="en-US"/>
        </w:rPr>
        <w:t>26a</w:t>
      </w:r>
      <w:r>
        <w:rPr>
          <w:b/>
          <w:i/>
          <w:szCs w:val="24"/>
          <w:lang w:val="es-ES" w:eastAsia="en-US"/>
        </w:rPr>
        <w:t>)</w:t>
      </w:r>
      <w:r w:rsidRPr="00A44A6B">
        <w:rPr>
          <w:szCs w:val="24"/>
          <w:lang w:val="es-ES" w:eastAsia="en-US"/>
        </w:rPr>
        <w:tab/>
      </w:r>
      <w:r w:rsidRPr="00A44A6B">
        <w:rPr>
          <w:b/>
          <w:i/>
          <w:szCs w:val="24"/>
          <w:lang w:val="es-ES" w:eastAsia="en-US"/>
        </w:rPr>
        <w:t>Lai nodrošinātu inovācijas efektīvu aizsardzību dažās steidzamās situācijās, tostarp tad, ja pamatpatenta termiņa beigas ir nenovēršamas, varētu būt nepieciešama paātrināta pārbaudes procedūra neatkarīgi no trešo personu iespējas iesniegt apsvērumus un izmantot citus šajā regulā paredzētos tiesiskās aizsardzības līdzekļus. Tādēļ būtu jāparedz mehānisms, lai pieteikuma iesniedzēji varētu lūgt paātrinātas izskatīšanas procedūru.</w:t>
      </w:r>
      <w:r>
        <w:rPr>
          <w:b/>
          <w:szCs w:val="24"/>
          <w:lang w:val="es-ES" w:eastAsia="en-US"/>
        </w:rPr>
        <w:t xml:space="preserve"> [Gr. 12]</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(27)</w:t>
      </w:r>
      <w:r w:rsidRPr="00A44A6B">
        <w:rPr>
          <w:szCs w:val="24"/>
          <w:lang w:val="es-ES" w:eastAsia="en-US"/>
        </w:rPr>
        <w:tab/>
        <w:t>Birojam būtu jāizskata vienotā sertifikāta pieteikums un jāizdod pārbaudes atzinums. Atzinumā būtu jāpamato, kāpēc pieņemtais atzinums ir pozitīvs vai negatīvs.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(28)</w:t>
      </w:r>
      <w:r w:rsidRPr="00A44A6B">
        <w:rPr>
          <w:szCs w:val="24"/>
          <w:lang w:val="es-ES" w:eastAsia="en-US"/>
        </w:rPr>
        <w:tab/>
        <w:t>Lai aizsargātu trešo personu procedurālās tiesības un nodrošinātu tiesiskās aizsardzības līdzekļu sistēmas pilnīgumu, trešām personām vajadzētu būt iespējai pārbaudes atzinumu apstrīdēt, uzsākot iebildumu procesu īsi pēc minētā atzinuma publicēšanas, un minētā iebilduma rezultātā minētais atzinums var tikt grozīts.</w:t>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t>(29)</w:t>
      </w:r>
      <w:r w:rsidRPr="00A44A6B">
        <w:rPr>
          <w:szCs w:val="24"/>
          <w:lang w:val="es-ES" w:eastAsia="en-US"/>
        </w:rPr>
        <w:tab/>
        <w:t xml:space="preserve">Pēc vienotā sertifikāta pieteikuma pārbaudes un pēc apelācijas un iebilduma iesniegšanas termiņa beigām vai — attiecīgā gadījumā —, kad ir pieņemts galīgais lēmums pēc būtības, Birojam </w:t>
      </w:r>
      <w:r w:rsidRPr="00A44A6B">
        <w:rPr>
          <w:b/>
          <w:i/>
          <w:szCs w:val="24"/>
          <w:lang w:val="es-ES" w:eastAsia="en-US"/>
        </w:rPr>
        <w:t xml:space="preserve">bez nepamatotas kavēšanās </w:t>
      </w:r>
      <w:r w:rsidRPr="00A44A6B">
        <w:rPr>
          <w:szCs w:val="24"/>
          <w:lang w:val="es-ES" w:eastAsia="en-US"/>
        </w:rPr>
        <w:t>būtu jāīsteno pārbaudes atzinums, attiecīgi vai nu piešķirot vienoto sertifikātu, vai noraidot pieteikumu.</w:t>
      </w:r>
      <w:r>
        <w:rPr>
          <w:b/>
          <w:szCs w:val="24"/>
          <w:lang w:val="es-ES" w:eastAsia="en-US"/>
        </w:rPr>
        <w:t xml:space="preserve"> [Gr. 13]</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lastRenderedPageBreak/>
        <w:t>(30)</w:t>
      </w:r>
      <w:r w:rsidRPr="00A44A6B">
        <w:rPr>
          <w:szCs w:val="24"/>
          <w:lang w:val="es-ES" w:eastAsia="en-US"/>
        </w:rPr>
        <w:tab/>
      </w:r>
      <w:r w:rsidRPr="00A44A6B">
        <w:rPr>
          <w:strike/>
          <w:szCs w:val="24"/>
          <w:lang w:val="es-ES" w:eastAsia="en-US"/>
        </w:rPr>
        <w:t>Ja</w:t>
      </w:r>
      <w:r w:rsidRPr="00A44A6B">
        <w:rPr>
          <w:b/>
          <w:i/>
          <w:szCs w:val="24"/>
          <w:lang w:val="es-ES" w:eastAsia="en-US"/>
        </w:rPr>
        <w:t>Lai aizsargātu procesuālās tiesības un nodrošinātu pilnīgu tiesībaizsardzības līdzekļu sistēmu gadījumos, kad</w:t>
      </w:r>
      <w:r w:rsidRPr="00A44A6B">
        <w:rPr>
          <w:szCs w:val="24"/>
          <w:lang w:val="es-ES" w:eastAsia="en-US"/>
        </w:rPr>
        <w:t xml:space="preserve"> Biroja lēmumam ir nelabvēlīga ietekme uz pieteikuma iesniedzēju vai citu personu, šādam pieteikuma iesniedzējam vai citai personai vajadzētu būt tiesībām 2 mēnešu laikā iesniegt Biroja Apelācijas padomē apelāciju par šādu lēmumu, samaksājot par to nodevu. Tas attiecas arī uz pārbaudes atzinumu, par ko apelāciju var iesniegtpieteikuma iesniedzējs. Attiecībā uz šīs Apelācijas padomes lēmumiem savukārt būtu jāparedz iespēja celt prasību Vispārējā tiesā, kuras piekritībā ir anulēt vai grozīt apstrīdēto lēmumu. Ja tiek iesniegts apvienotais pieteikums, kurā norādītas arī papildu dalībvalstis, kurās vēlas saņemt nacionālos sertifikātus, var iesniegt arī kopīgu apelāciju.</w:t>
      </w:r>
      <w:r>
        <w:rPr>
          <w:b/>
          <w:szCs w:val="24"/>
          <w:lang w:val="es-ES" w:eastAsia="en-US"/>
        </w:rPr>
        <w:t xml:space="preserve"> [Gr. 14]</w:t>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t>(31)</w:t>
      </w:r>
      <w:r w:rsidRPr="00A44A6B">
        <w:rPr>
          <w:szCs w:val="24"/>
          <w:lang w:val="es-ES" w:eastAsia="en-US"/>
        </w:rPr>
        <w:tab/>
        <w:t xml:space="preserve">Ieceļot Apelācijas padomju locekļus, kuri izskatīs lietas par vienotā sertifikāta pieteikumiem, būtu jāņem vērā </w:t>
      </w:r>
      <w:r w:rsidRPr="00A44A6B">
        <w:rPr>
          <w:strike/>
          <w:szCs w:val="24"/>
          <w:lang w:val="es-ES" w:eastAsia="en-US"/>
        </w:rPr>
        <w:t>to</w:t>
      </w:r>
      <w:r w:rsidRPr="00A44A6B">
        <w:rPr>
          <w:b/>
          <w:i/>
          <w:szCs w:val="24"/>
          <w:lang w:val="es-ES" w:eastAsia="en-US"/>
        </w:rPr>
        <w:t>viņu attiecīgās zināšanas, neatkarība un pietiekama</w:t>
      </w:r>
      <w:r w:rsidRPr="00A44A6B">
        <w:rPr>
          <w:szCs w:val="24"/>
          <w:lang w:val="es-ES" w:eastAsia="en-US"/>
        </w:rPr>
        <w:t xml:space="preserve"> iepriekšējā pieredze jautājumos, kas ir saistīti ar papildu aizsardzības sertifikātiem vai patentiem.</w:t>
      </w:r>
      <w:r>
        <w:rPr>
          <w:b/>
          <w:szCs w:val="24"/>
          <w:lang w:val="es-ES" w:eastAsia="en-US"/>
        </w:rPr>
        <w:t xml:space="preserve"> [Gr. 15]</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(32)</w:t>
      </w:r>
      <w:r w:rsidRPr="00A44A6B">
        <w:rPr>
          <w:szCs w:val="24"/>
          <w:lang w:val="es-ES" w:eastAsia="en-US"/>
        </w:rPr>
        <w:tab/>
        <w:t>Vienotā sertifikāta spēkā esamību var apstrīdēt ikviena persona, iesniedzot Birojā pieteikumu par sertifikāta spēkā neesamības paziņošanu.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lastRenderedPageBreak/>
        <w:t>(33)</w:t>
      </w:r>
      <w:r w:rsidRPr="00A44A6B">
        <w:rPr>
          <w:szCs w:val="24"/>
          <w:lang w:val="es-ES" w:eastAsia="en-US"/>
        </w:rPr>
        <w:tab/>
        <w:t xml:space="preserve">Birojam vajadzētu būt iespējai </w:t>
      </w:r>
      <w:r w:rsidRPr="00A44A6B">
        <w:rPr>
          <w:b/>
          <w:i/>
          <w:szCs w:val="24"/>
          <w:lang w:val="es-ES" w:eastAsia="en-US"/>
        </w:rPr>
        <w:t xml:space="preserve">saskaņā ar Direktīvas (ES) .../... [2023/0132(COD)] 86. pantu </w:t>
      </w:r>
      <w:r w:rsidRPr="00A44A6B">
        <w:rPr>
          <w:szCs w:val="24"/>
          <w:lang w:val="es-ES" w:eastAsia="en-US"/>
        </w:rPr>
        <w:t xml:space="preserve">iekasēt nodevu par </w:t>
      </w:r>
      <w:r w:rsidRPr="00A44A6B">
        <w:rPr>
          <w:strike/>
          <w:szCs w:val="24"/>
          <w:lang w:val="es-ES" w:eastAsia="en-US"/>
        </w:rPr>
        <w:t>pieteikšanos vienotajam sertifikātam un pieteikšanos sertifikātu termiņa pagarināšanai attiecībā uz</w:t>
      </w:r>
      <w:r w:rsidRPr="00A44A6B">
        <w:rPr>
          <w:b/>
          <w:i/>
          <w:szCs w:val="24"/>
          <w:lang w:val="es-ES" w:eastAsia="en-US"/>
        </w:rPr>
        <w:t>vienotā sertifikāta pieteikuma iesniegšanu un</w:t>
      </w:r>
      <w:r w:rsidRPr="00A44A6B">
        <w:rPr>
          <w:szCs w:val="24"/>
          <w:lang w:val="es-ES" w:eastAsia="en-US"/>
        </w:rPr>
        <w:t xml:space="preserve"> pediatriskām zālēm</w:t>
      </w:r>
      <w:r w:rsidRPr="00A44A6B">
        <w:rPr>
          <w:b/>
          <w:i/>
          <w:szCs w:val="24"/>
          <w:lang w:val="es-ES" w:eastAsia="en-US"/>
        </w:rPr>
        <w:t xml:space="preserve"> paredzētā vienotā sertifikāta termiņa pagarināšanas pieteikuma iesniegšanu</w:t>
      </w:r>
      <w:r w:rsidRPr="00A44A6B">
        <w:rPr>
          <w:szCs w:val="24"/>
          <w:lang w:val="es-ES" w:eastAsia="en-US"/>
        </w:rPr>
        <w:t xml:space="preserve">, kā arī citas procedurālās nodevas, piemēram, </w:t>
      </w:r>
      <w:r w:rsidRPr="00A44A6B">
        <w:rPr>
          <w:strike/>
          <w:szCs w:val="24"/>
          <w:lang w:val="es-ES" w:eastAsia="en-US"/>
        </w:rPr>
        <w:t>nodevu par iebildumu, apelāciju</w:t>
      </w:r>
      <w:r w:rsidRPr="00A44A6B">
        <w:rPr>
          <w:b/>
          <w:i/>
          <w:szCs w:val="24"/>
          <w:lang w:val="es-ES" w:eastAsia="en-US"/>
        </w:rPr>
        <w:t>nodevas par iebildumiem, apelācijām</w:t>
      </w:r>
      <w:r w:rsidRPr="00A44A6B">
        <w:rPr>
          <w:szCs w:val="24"/>
          <w:lang w:val="es-ES" w:eastAsia="en-US"/>
        </w:rPr>
        <w:t xml:space="preserve"> vai paziņošanu par spēkā neesamību. Biroja iekasējamo nodevu apmērs būtu jānosaka īstenošanas aktā.</w:t>
      </w:r>
      <w:r>
        <w:rPr>
          <w:b/>
          <w:szCs w:val="24"/>
          <w:lang w:val="es-ES" w:eastAsia="en-US"/>
        </w:rPr>
        <w:t xml:space="preserve"> [Gr. 16]</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(34)</w:t>
      </w:r>
      <w:r w:rsidRPr="00A44A6B">
        <w:rPr>
          <w:szCs w:val="24"/>
          <w:lang w:val="es-ES" w:eastAsia="en-US"/>
        </w:rPr>
        <w:tab/>
        <w:t>Ikgadējās nodevas par vienotajiem sertifikātiem (tās dēvē arī par spēkā uzturēšanas nodevām) būtu jāiekasē Birojam, kurš paturētu daļu no summas, lai segtu izdevumus, kas tam radušies, pildot ar vienoto sertifikātu piešķiršanu saistītus uzdevumus, bet atlikušo daļu sadalītu starp dalībvalstīm, kurās ir spēkā vienotie sertifikāti.</w:t>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t>(35)</w:t>
      </w:r>
      <w:r w:rsidRPr="00A44A6B">
        <w:rPr>
          <w:szCs w:val="24"/>
          <w:lang w:val="es-ES" w:eastAsia="en-US"/>
        </w:rPr>
        <w:tab/>
        <w:t>Lai nodrošinātu pārredzamību, būtu jāizveido reģistrs, kas kalpotu kā vienotais piekļuves punkts, kurā var saņemt informāciju par vienotā sertifikāta pieteikumiem, kā arī par piešķirtajiem sertifikātiem un to statusu. Reģistram vajadzētu būt pieejamam visās Savienības oficiālajās valodās.</w:t>
      </w:r>
      <w:r w:rsidRPr="00A44A6B">
        <w:rPr>
          <w:b/>
          <w:i/>
          <w:szCs w:val="24"/>
          <w:lang w:val="es-ES" w:eastAsia="en-US"/>
        </w:rPr>
        <w:t xml:space="preserve"> Tomēr reģistrā sniegto informāciju nevajadzētu izmantot saistībā ar patentu sasaistes praksi, un nekādi regulatīvie vai administratīvie lēmumi, kas attiecas uz ģenēriskām vai biolīdzīgām zālēm, piemēram, tirdzniecības atļaujas, cenu noteikšanas un kompensācijas lēmumi vai konkursa piedāvājumi attiecībā uz PAS esamību, nebūtu jābalsta uz reģistrā sniegto informāciju.</w:t>
      </w:r>
      <w:r>
        <w:rPr>
          <w:b/>
          <w:szCs w:val="24"/>
          <w:lang w:val="es-ES" w:eastAsia="en-US"/>
        </w:rPr>
        <w:t xml:space="preserve"> [Gr. 17]</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(36)</w:t>
      </w:r>
      <w:r w:rsidRPr="00A44A6B">
        <w:rPr>
          <w:szCs w:val="24"/>
          <w:lang w:val="es-ES" w:eastAsia="en-US"/>
        </w:rPr>
        <w:tab/>
        <w:t>Attiecībā uz uzdevumiem, kuri ir Birojam uzticēti saskaņā ar šo regulu, Biroja valodām vajadzētu būt visām Savienības oficiālajām valodām, lai personām visā Savienībā būtu viegli pieteikties vienotā sertifikāta saņemšanai vai iesniegt apsvērumus kā trešām personām,  kas tādējādi ieinteresētajām personām visā Savienībā nodrošinātu optimāla pārredzamību. Birojam būtu jāpieņem dokumentu un informācijas verificēti tulkojumi vienā no Savienības oficiālajām valodām. Birojs var, ja nepieciešams, izmantot verificētus mašīntulkojumus.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(37)</w:t>
      </w:r>
      <w:r w:rsidRPr="00A44A6B">
        <w:rPr>
          <w:szCs w:val="24"/>
          <w:lang w:val="es-ES" w:eastAsia="en-US"/>
        </w:rPr>
        <w:tab/>
        <w:t>Lai nodrošinātu, ka valstu kompetentās iestādes, kuras piedalās centralizētajā procedūrā, saņem pietiekamu atlīdzību par savu līdzdalību, būt jāparedz attiecīgi finanšu noteikumi.</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(38)</w:t>
      </w:r>
      <w:r w:rsidRPr="00A44A6B">
        <w:rPr>
          <w:szCs w:val="24"/>
          <w:lang w:val="es-ES" w:eastAsia="en-US"/>
        </w:rPr>
        <w:tab/>
        <w:t>Nepieciešamās sākotnējās izmaksas, kas ir saistītas ar Birojam uzticētajiem uzdevumiem, arī jaunu digitālo sistēmu izmaksas, būtu jāsedz no pārpalikuma, kas ir uzkrājies Biroja budžetā.</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(39)</w:t>
      </w:r>
      <w:r w:rsidRPr="00A44A6B">
        <w:rPr>
          <w:szCs w:val="24"/>
          <w:lang w:val="es-ES" w:eastAsia="en-US"/>
        </w:rPr>
        <w:tab/>
        <w:t>Lai nodrošinātu, ka Eiropas Parlamenta un Padomes Regula (ES) Nr. 608/2013</w:t>
      </w:r>
      <w:r w:rsidRPr="00A44A6B">
        <w:rPr>
          <w:szCs w:val="24"/>
          <w:vertAlign w:val="superscript"/>
          <w:lang w:val="en-GB" w:eastAsia="en-US"/>
        </w:rPr>
        <w:footnoteReference w:id="10"/>
      </w:r>
      <w:r w:rsidRPr="00A44A6B">
        <w:rPr>
          <w:szCs w:val="24"/>
          <w:lang w:val="es-ES" w:eastAsia="en-US"/>
        </w:rPr>
        <w:t xml:space="preserve"> attiecas arī uz vienotajiem sertifikātiem, minētā regula būtu jāgroza.</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(40)</w:t>
      </w:r>
      <w:r w:rsidRPr="00A44A6B">
        <w:rPr>
          <w:szCs w:val="24"/>
          <w:lang w:val="es-ES" w:eastAsia="en-US"/>
        </w:rPr>
        <w:tab/>
        <w:t>Lai papildinātu dažus nebūtiskus šīs regulas elementus, saskaņā ar Līguma par Eiropas Savienības darbību 290. pantu būtu jādeleģē Komisijai pilnvaras pieņemt aktus, kuri nosaka tālāk minēto: i) paziņojuma par apelāciju un Apelācijas padomes lēmumu saturs un veidlapas; ii) sīki izstrādāta kārtība Apelācijas padomju organizēšanai ar sertifikātiem saistītos procesos; iii) noteikumi par saziņas līdzekļiem, arī elektroniskajiem saziņas līdzekļiem, ko jāizmanto pusēm, kuras ir iesaistītas Birojā notiekošajos procesos, un veidlapas, kas jānodrošina Birojam; iv) sīki izstrādāta kārtība par procesa mutisko daļu; v) sīki izstrādāta pierādījumu iegūšanas kārtība; vi) sīki izstrādāta paziņošanas kārtība; vii) sīki izstrādāta termiņu aprēķināšanas un ilguma noteikšanas kārtība; un viii) sīki izstrādāta procesu atsākšanas kārtība. Ir īpaši būtiski, lai Komisija, veicot sagatavošanas darbus, rīkotu atbilstīgas apspriešanās, tostarp ekspertu līmenī, un lai minētās apspriešanās tiktu rīkotas saskaņā ar principiem, kas ir noteikti 2016. gada 13. aprīļa Iestāžu nolīgumā par labāku likumdošanas procesu</w:t>
      </w:r>
      <w:r w:rsidRPr="00A44A6B">
        <w:rPr>
          <w:szCs w:val="24"/>
          <w:vertAlign w:val="superscript"/>
          <w:lang w:val="en-GB" w:eastAsia="en-US"/>
        </w:rPr>
        <w:footnoteReference w:id="11"/>
      </w:r>
      <w:r w:rsidRPr="00A44A6B">
        <w:rPr>
          <w:szCs w:val="24"/>
          <w:lang w:val="es-ES" w:eastAsia="en-US"/>
        </w:rPr>
        <w:t>. Jo īpaši, lai deleģēto aktu sagatavošanā nodrošinātu vienādu dalību, Eiropas Parlaments un Padome visus dokumentus saņem vienlaicīgi ar dalībvalstu ekspertiem, un minēto iestāžu ekspertiem ir sistemātiska piekļuve Komisijas ekspertu grupu sanāksmēm, kurās notiek deleģēto aktu sagatavošana.</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(41)</w:t>
      </w:r>
      <w:r w:rsidRPr="00A44A6B">
        <w:rPr>
          <w:szCs w:val="24"/>
          <w:lang w:val="es-ES" w:eastAsia="en-US"/>
        </w:rPr>
        <w:tab/>
        <w:t>Lai nodrošinātu vienotus nosacījumus šīs regulas īstenošanai, būtu jāpiešķir Komisijai īstenošanas pilnvaras attiecībā uz tālāk minēto: i) izmantojamās pieteikumu veidlapas; ii) noteikumi par procedūrām, kas ir saistītas ar iesniegšanu, un kārtība, kādā pārbaudes komisijas pārbauda centralizētos pieteikumus un sagatavo pārbaudes atzinumus un kādā Birojs izdod pārbaudes atzinumus; iii) kritēriji, ko ievēro pārbaudes komisiju izveidē, un pārbaudītāju atlases kritēriji; iv) Birojam maksājamo piemērojamo nodevu summas; v) maksimālais apmērs, kādā zaudējusī puse sedz procesam būtiskas izmaksas, kas faktiski radušās uzvarējušai pusei; un vi) noteikumi par finanšu pārskaitījumiem starp Biroju un dalībvalstīm, šo pārskaitījumu apmērs un atlīdzība, ko Birojs maksās par valsts kompetento iestāžu līdzdalību. Minētās pilnvaras būtu jāizmanto saskaņā ar Eiropas Parlamenta un Padomes Regulu (ES) Nr. 182/2011</w:t>
      </w:r>
      <w:r w:rsidRPr="00A44A6B">
        <w:rPr>
          <w:szCs w:val="24"/>
          <w:vertAlign w:val="superscript"/>
          <w:lang w:val="en-GB" w:eastAsia="en-US"/>
        </w:rPr>
        <w:footnoteReference w:id="12"/>
      </w:r>
      <w:r w:rsidRPr="00A44A6B">
        <w:rPr>
          <w:szCs w:val="24"/>
          <w:lang w:val="es-ES" w:eastAsia="en-US"/>
        </w:rPr>
        <w:t>.</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(42)</w:t>
      </w:r>
      <w:r w:rsidRPr="00A44A6B">
        <w:rPr>
          <w:szCs w:val="24"/>
          <w:lang w:val="es-ES" w:eastAsia="en-US"/>
        </w:rPr>
        <w:tab/>
        <w:t>Komisijai būtu regulāri jāziņo par šīs regulas darbību, saskaņojot to ar Regulā [COM(2023) 231] paredzēto ziņošanas prasību. Komisijai būtu regulāri jāizvērtē vienotās papildu aizsardzības ietekme uz zāļu pieejamību.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(43)</w:t>
      </w:r>
      <w:r w:rsidRPr="00A44A6B">
        <w:rPr>
          <w:szCs w:val="24"/>
          <w:lang w:val="es-ES" w:eastAsia="en-US"/>
        </w:rPr>
        <w:tab/>
        <w:t>Šajā regulā ir ievērotas pamattiesības un respektēti principi, kas atzīti Eiropas Savienības Pamattiesību hartā (“Harta”). Tādēļ šīs regulas noteikumi būtu jāinterpretē un jāpiemēro saskaņā ar minētajām tiesībām un principiem. Jo īpaši ar šo regulu tiecas nodrošināt, ka pilnībā tiek ievērotas attiecīgi Hartas 17., 35. un 47. pantā paredzētās tiesības uz īpašumu, tiesības uz veselības aizsardzību un tiesības uz efektīvu tiesību aizsardzību. Tas attiecas arī uz iepriekš minēto izņēmumu, ar ko tiek saglabātas galvenās sertifikātā ietvertās tiesības, jo šis izņēmums attiecas tikai uz produkta vai produktu saturošu zāļu izgatavošanu eksportam ārpus Savienības vai uzglabāšanai ierobežotā laikposmā nolūkā ienākt Savienības tirgū pēc aizsardzības termiņa beigām un uz darbībām, kas ir noteikti vajadzīgas šādai izgatavošanai vai faktiskajam eksportam vai faktiskajai uzglabāšanai. No minēto pamattiesību un principu viedokļa šis izņēmums nepārsniedz to, kas ir nepieciešams un piemērots, ņemot vērā tā vispārējo mērķi, proti, veicināt Savienības konkurētspēju, novēršot ražotņu pārvietošanu un atļaujot Savienībā iedibinātiem ģenērisko un biolīdzīgo zāļu izgatavotājiem konkurēt, no vienas puses, strauji augošos pasaules tirgos, kur aizsardzība nepastāv vai jau ir beigusies, un, no otras puses, Savienības tirgū, kad sertifikāta termiņš būs beidzies.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(44)</w:t>
      </w:r>
      <w:r w:rsidRPr="00A44A6B">
        <w:rPr>
          <w:szCs w:val="24"/>
          <w:lang w:val="es-ES" w:eastAsia="en-US"/>
        </w:rPr>
        <w:tab/>
        <w:t>Tā kā šīs regulas mērķus nevar pietiekami labi sasniegt atsevišķās dalībvalstīs, bet, ņemot vērā vienotā sertifikāta autonomiju un neatkarību no valstu sistēmām, tos var labāk sasniegt Savienības līmenī, Savienība var pieņemt pasākumus saskaņā ar Līguma par Eiropas Savienību 5. pantā noteikto subsidiaritātes principu. Saskaņā ar minētajā pantā noteikto proporcionalitātes principu šajā regulā paredz vienīgi tos pasākumus, kas ir vajadzīgi minēto mērķu sasniegšanai.</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(45)</w:t>
      </w:r>
      <w:r w:rsidRPr="00A44A6B">
        <w:rPr>
          <w:szCs w:val="24"/>
          <w:lang w:val="es-ES" w:eastAsia="en-US"/>
        </w:rPr>
        <w:tab/>
        <w:t>Saskaņā ar Regulas (ES) 2018/1725</w:t>
      </w:r>
      <w:r w:rsidRPr="00A44A6B">
        <w:rPr>
          <w:szCs w:val="24"/>
          <w:vertAlign w:val="superscript"/>
          <w:lang w:val="en-GB" w:eastAsia="en-US"/>
        </w:rPr>
        <w:footnoteReference w:id="13"/>
      </w:r>
      <w:r w:rsidRPr="00A44A6B">
        <w:rPr>
          <w:szCs w:val="24"/>
          <w:lang w:val="es-ES" w:eastAsia="en-US"/>
        </w:rPr>
        <w:t xml:space="preserve"> 42. panta 1. punktu ir notikusi apspriešanās ar Eiropas Datu aizsardzības uzraudzītāju, kas sniedza atzinumu XXX [PB, pievienojiet atsauci, tiklīdz tā ir pieejama].</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(46)</w:t>
      </w:r>
      <w:r w:rsidRPr="00A44A6B">
        <w:rPr>
          <w:szCs w:val="24"/>
          <w:lang w:val="es-ES" w:eastAsia="en-US"/>
        </w:rPr>
        <w:tab/>
        <w:t>Būtu jāparedz atbilstoši pasākumi, lai veicinātu šīs regulas noteikumu raitu īstenošanu. Šīs regulas piemērošana būtu jāatliek, lai Birojam būtu pietiekami daudz laika sagatavot un ieviest regulā paredzēto procedūru, kas būs jāizmanto vienoto sertifikātu piešķiršanai,</w:t>
      </w:r>
    </w:p>
    <w:p w:rsidR="00A44A6B" w:rsidRPr="00A44A6B" w:rsidRDefault="00A44A6B" w:rsidP="00A44A6B">
      <w:pPr>
        <w:keepNext/>
        <w:widowControl/>
        <w:spacing w:before="120" w:after="120" w:line="360" w:lineRule="auto"/>
        <w:rPr>
          <w:szCs w:val="24"/>
          <w:lang w:val="es-ES" w:eastAsia="en-US"/>
        </w:rPr>
      </w:pPr>
      <w:r w:rsidRPr="00A44A6B">
        <w:rPr>
          <w:szCs w:val="24"/>
          <w:lang w:val="es-ES" w:eastAsia="en-US"/>
        </w:rPr>
        <w:t>IR PIEŅĒMUŠI ŠO REGULU.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lastRenderedPageBreak/>
        <w:t>1. pants</w:t>
      </w:r>
      <w:r w:rsidRPr="00A44A6B">
        <w:rPr>
          <w:szCs w:val="24"/>
          <w:lang w:val="es-ES" w:eastAsia="en-US"/>
        </w:rPr>
        <w:br/>
        <w:t>Priekšmets</w:t>
      </w:r>
    </w:p>
    <w:p w:rsidR="00A44A6B" w:rsidRPr="00A44A6B" w:rsidRDefault="00A44A6B" w:rsidP="00A44A6B">
      <w:pPr>
        <w:spacing w:before="120" w:after="120" w:line="360" w:lineRule="auto"/>
        <w:rPr>
          <w:szCs w:val="24"/>
          <w:lang w:val="es-ES" w:eastAsia="en-US"/>
        </w:rPr>
      </w:pPr>
      <w:r w:rsidRPr="00A44A6B">
        <w:rPr>
          <w:szCs w:val="24"/>
          <w:lang w:val="es-ES" w:eastAsia="en-US"/>
        </w:rPr>
        <w:t>Šī regula nosaka noteikumus par vienoto papildu aizsardzības sertifikātu (“vienotais sertifikāts”) zālēm, kuras aizsargā Eiropas patents ar vienotu spēku un kuras drīkst laist tirgū kā zāles vienīgi pēc atļaujas saņemšanas administratīvā procedūrā, kas ir norādīta Regulā (EK) Nr. 726/2004 vai Regulā (ES) 2019/6.</w:t>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t>2. pants</w:t>
      </w:r>
      <w:r w:rsidRPr="00A44A6B">
        <w:rPr>
          <w:szCs w:val="24"/>
          <w:lang w:val="es-ES" w:eastAsia="en-US"/>
        </w:rPr>
        <w:br/>
        <w:t>Definīcijas</w:t>
      </w:r>
    </w:p>
    <w:p w:rsidR="00A44A6B" w:rsidRPr="00A44A6B" w:rsidRDefault="00A44A6B" w:rsidP="00A44A6B">
      <w:pPr>
        <w:spacing w:before="120" w:after="120" w:line="360" w:lineRule="auto"/>
        <w:rPr>
          <w:szCs w:val="24"/>
          <w:lang w:val="es-ES" w:eastAsia="en-US"/>
        </w:rPr>
      </w:pPr>
      <w:r w:rsidRPr="00A44A6B">
        <w:rPr>
          <w:szCs w:val="24"/>
          <w:lang w:val="es-ES" w:eastAsia="en-US"/>
        </w:rPr>
        <w:t>Šajā regulā piemēro šādas definīcijas: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“zāles” ir jebkura viela vai vielu kombinācija, kas paredzēta cilvēku vai dzīvnieku slimību ārstēšanai vai profilaksei, un jebkura viela vai vielu kombinācija, kuru var izmantot cilvēkam vai dzīvniekam, lai noteiktu diagnozi vai atjaunotu, koriģētu vai mainītu cilvēku vai dzīvnieku fizioloģiskās funkcijas;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w:t>
      </w:r>
      <w:r w:rsidRPr="00A44A6B">
        <w:rPr>
          <w:szCs w:val="24"/>
          <w:lang w:val="es-ES" w:eastAsia="en-US"/>
        </w:rPr>
        <w:tab/>
        <w:t>“produkts” ir zāļu aktīvā viela vai aktīvo vielu kombinācija;</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w:t>
      </w:r>
      <w:r w:rsidRPr="00A44A6B">
        <w:rPr>
          <w:szCs w:val="24"/>
          <w:lang w:val="es-ES" w:eastAsia="en-US"/>
        </w:rPr>
        <w:tab/>
        <w:t>“Eiropas patents” ir patents, ko piešķīrusi Eiropas Patentu iestāde (“EPI”) saskaņā ar Eiropas Patentu konvencijā</w:t>
      </w:r>
      <w:r w:rsidRPr="00A44A6B">
        <w:rPr>
          <w:szCs w:val="24"/>
          <w:vertAlign w:val="superscript"/>
          <w:lang w:val="en-GB" w:eastAsia="en-US"/>
        </w:rPr>
        <w:footnoteReference w:id="14"/>
      </w:r>
      <w:r w:rsidRPr="00A44A6B">
        <w:rPr>
          <w:szCs w:val="24"/>
          <w:lang w:val="es-ES" w:eastAsia="en-US"/>
        </w:rPr>
        <w:t xml:space="preserve"> (“EPK”) paredzētajiem noteikumiem un procedūrām;</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4)</w:t>
      </w:r>
      <w:r w:rsidRPr="00A44A6B">
        <w:rPr>
          <w:szCs w:val="24"/>
          <w:lang w:val="es-ES" w:eastAsia="en-US"/>
        </w:rPr>
        <w:tab/>
        <w:t>“vienotais patents” ir Eiropas patents, kam ir vienots spēks tajās dalībvalstīs, kuras piedalās Regulā (ES) Nr. 1257/2012 paredzētajā ciešākajā sadarbībā;</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5)</w:t>
      </w:r>
      <w:r w:rsidRPr="00A44A6B">
        <w:rPr>
          <w:szCs w:val="24"/>
          <w:lang w:val="es-ES" w:eastAsia="en-US"/>
        </w:rPr>
        <w:tab/>
        <w:t>“pamatpatents” ir vienotais patents, kas aizsargā produktu kā tādu, produkta iegūšanas vai izmantošanas paņēmienu, kuru tā īpašnieks ir norādījis vienotā sertifikāta piešķiršanas procedūras vajadzībām;</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6)</w:t>
      </w:r>
      <w:r w:rsidRPr="00A44A6B">
        <w:rPr>
          <w:szCs w:val="24"/>
          <w:lang w:val="es-ES" w:eastAsia="en-US"/>
        </w:rPr>
        <w:tab/>
        <w:t>“termiņa pagarinājuma pieteikums” ir vienotā sertifikāta termiņa pagarinājuma pieteikums saskaņā ar šīs regulas 20. panta 3. punktu un Regulas (EK) Nr. 1901/2006 36. pantu;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7)</w:t>
      </w:r>
      <w:r w:rsidRPr="00A44A6B">
        <w:rPr>
          <w:szCs w:val="24"/>
          <w:lang w:val="es-ES" w:eastAsia="en-US"/>
        </w:rPr>
        <w:tab/>
        <w:t>“izgatavotājs” ir Savienībā iedibināta persona, kuras vārdā produktu vai produktu saturošas zāles izgatavo eksportam uz trešām valstīm vai uzglabāšanai;</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8)</w:t>
      </w:r>
      <w:r w:rsidRPr="00A44A6B">
        <w:rPr>
          <w:szCs w:val="24"/>
          <w:lang w:val="es-ES" w:eastAsia="en-US"/>
        </w:rPr>
        <w:tab/>
        <w:t>“centralizētais pieteikums” ir pieteikums, ko iesniedz Eiropas Savienības Intelektuālā īpašuma birojā (“Birojs”) saskaņā ar Regulas [COM(2023) 231] III nodaļu, lai pieteikumā norādītajam produktam norādītajās dalībvalstīs tiktu piešķirti sertifikāti ;</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9)</w:t>
      </w:r>
      <w:r w:rsidRPr="00A44A6B">
        <w:rPr>
          <w:szCs w:val="24"/>
          <w:lang w:val="es-ES" w:eastAsia="en-US"/>
        </w:rPr>
        <w:tab/>
        <w:t>“valsts kompetentā iestāde” ir valsts iestāde, kas attiecīgajā dalībvalstī ir kompetenta piešķirt sertifikātus vai noraidīt sertifikātu pieteikumus.</w:t>
      </w:r>
    </w:p>
    <w:p w:rsidR="00A44A6B" w:rsidRPr="00A44A6B" w:rsidRDefault="00A44A6B" w:rsidP="00A44A6B">
      <w:pPr>
        <w:spacing w:before="120" w:after="120" w:line="360" w:lineRule="auto"/>
        <w:ind w:left="850" w:hanging="850"/>
        <w:rPr>
          <w:b/>
          <w:szCs w:val="24"/>
          <w:lang w:val="es-ES" w:eastAsia="en-US"/>
        </w:rPr>
      </w:pPr>
      <w:r w:rsidRPr="00A44A6B">
        <w:rPr>
          <w:b/>
          <w:i/>
          <w:szCs w:val="24"/>
          <w:lang w:val="es-ES" w:eastAsia="en-US"/>
        </w:rPr>
        <w:t>9a)</w:t>
      </w:r>
      <w:r w:rsidRPr="00A44A6B">
        <w:rPr>
          <w:szCs w:val="24"/>
          <w:lang w:val="es-ES" w:eastAsia="en-US"/>
        </w:rPr>
        <w:tab/>
      </w:r>
      <w:r w:rsidRPr="00A44A6B">
        <w:rPr>
          <w:b/>
          <w:i/>
          <w:szCs w:val="24"/>
          <w:lang w:val="es-ES" w:eastAsia="en-US"/>
        </w:rPr>
        <w:t>“ekonomiski saistīts” attiecībā uz dažādiem divu vai vairāk pamatpatentu, kas aizsargā vienu un to pašu produktu, īpašniekiem nozīmē, ka viens īpašnieks tieši vai netieši ar vienu vai vairākiem starpniekiem kontrolē, tiek kontrolēts vai atrodas kopīgā kontrolē ar citu īpašnieku.</w:t>
      </w:r>
      <w:r>
        <w:rPr>
          <w:b/>
          <w:szCs w:val="24"/>
          <w:lang w:val="es-ES" w:eastAsia="en-US"/>
        </w:rPr>
        <w:t xml:space="preserve"> [Gr. 18]</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lastRenderedPageBreak/>
        <w:t>3. pants</w:t>
      </w:r>
      <w:r w:rsidRPr="00A44A6B">
        <w:rPr>
          <w:szCs w:val="24"/>
          <w:lang w:val="es-ES" w:eastAsia="en-US"/>
        </w:rPr>
        <w:br/>
        <w:t>Vienotā sertifikāta iegūšanas nosacījumi</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Birojs piešķir vienoto sertifikātu, pamatojoties uz pamatpatentu, ja pieteikuma iesniegšanas dienā katrā no dalībvalstīm, kurās pamatpatentam ir vienots spēks, ir izpildīti visi tālāk minētie nosacījumi:</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a)</w:t>
      </w:r>
      <w:r w:rsidRPr="00A44A6B">
        <w:rPr>
          <w:szCs w:val="24"/>
          <w:lang w:val="es-ES" w:eastAsia="en-US"/>
        </w:rPr>
        <w:tab/>
        <w:t>produktu aizsargā spēkā esošs pamatpatents;</w:t>
      </w:r>
    </w:p>
    <w:p w:rsidR="00A44A6B" w:rsidRPr="00A44A6B" w:rsidRDefault="00A44A6B" w:rsidP="00A44A6B">
      <w:pPr>
        <w:spacing w:before="120" w:after="120" w:line="360" w:lineRule="auto"/>
        <w:ind w:left="1416" w:hanging="566"/>
        <w:rPr>
          <w:b/>
          <w:szCs w:val="24"/>
          <w:lang w:val="es-ES" w:eastAsia="en-US"/>
        </w:rPr>
      </w:pPr>
      <w:r w:rsidRPr="00A44A6B">
        <w:rPr>
          <w:szCs w:val="24"/>
          <w:lang w:val="es-ES" w:eastAsia="en-US"/>
        </w:rPr>
        <w:t>b)</w:t>
      </w:r>
      <w:r w:rsidRPr="00A44A6B">
        <w:rPr>
          <w:szCs w:val="24"/>
          <w:lang w:val="es-ES" w:eastAsia="en-US"/>
        </w:rPr>
        <w:tab/>
        <w:t xml:space="preserve">produktam ir derīga tirdzniecības atļauja, kas ļauj to laist tirgū kā zāles un kas ir piešķirta saskaņā ar </w:t>
      </w:r>
      <w:r w:rsidRPr="00A44A6B">
        <w:rPr>
          <w:b/>
          <w:i/>
          <w:szCs w:val="24"/>
          <w:lang w:val="es-ES" w:eastAsia="en-US"/>
        </w:rPr>
        <w:t xml:space="preserve">attiecīgā gadījumā Direktīvu .../... [2023/0132(COD)], </w:t>
      </w:r>
      <w:r w:rsidRPr="00A44A6B">
        <w:rPr>
          <w:szCs w:val="24"/>
          <w:lang w:val="es-ES" w:eastAsia="en-US"/>
        </w:rPr>
        <w:t>Regulu (ES) 2019/6 vai saskaņā ar Regulā (EK) Nr. 726/2004 paredzēto centralizēto procedūru;</w:t>
      </w:r>
      <w:r>
        <w:rPr>
          <w:b/>
          <w:szCs w:val="24"/>
          <w:lang w:val="es-ES" w:eastAsia="en-US"/>
        </w:rPr>
        <w:t xml:space="preserve"> [Gr. 19]</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c)</w:t>
      </w:r>
      <w:r w:rsidRPr="00A44A6B">
        <w:rPr>
          <w:szCs w:val="24"/>
          <w:lang w:val="es-ES" w:eastAsia="en-US"/>
        </w:rPr>
        <w:tab/>
        <w:t>produktam nav iepriekš ticis piešķirts ne sertifikāts, ne vienotais sertifikāts;</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d)</w:t>
      </w:r>
      <w:r w:rsidRPr="00A44A6B">
        <w:rPr>
          <w:szCs w:val="24"/>
          <w:lang w:val="es-ES" w:eastAsia="en-US"/>
        </w:rPr>
        <w:tab/>
        <w:t>šā panta b) apakšpunktā minētā atļauja ir pirmā atļauja laist produktu tirgū kā zāles.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w:t>
      </w:r>
      <w:r w:rsidRPr="00A44A6B">
        <w:rPr>
          <w:szCs w:val="24"/>
          <w:lang w:val="es-ES" w:eastAsia="en-US"/>
        </w:rPr>
        <w:tab/>
        <w:t>Personai, kurai pieder vairāki patenti uz to pašu produktu, katrā konkrētajā dalībvalstīm šim produktam piešķir tikai vienu sertifikātu vai vienoto sertifikātu.</w:t>
      </w:r>
    </w:p>
    <w:p w:rsidR="00A44A6B" w:rsidRPr="00A44A6B" w:rsidRDefault="00A44A6B" w:rsidP="00A44A6B">
      <w:pPr>
        <w:spacing w:before="120" w:after="120" w:line="360" w:lineRule="auto"/>
        <w:ind w:left="850"/>
        <w:rPr>
          <w:b/>
          <w:szCs w:val="24"/>
          <w:lang w:val="es-ES" w:eastAsia="en-US"/>
        </w:rPr>
      </w:pPr>
      <w:r w:rsidRPr="00A44A6B">
        <w:rPr>
          <w:szCs w:val="24"/>
          <w:lang w:val="es-ES" w:eastAsia="en-US"/>
        </w:rPr>
        <w:t>Ja konkrētā dalībvalstī izskata vismaz divus pieteikumus (nacionālos vai centralizētos pieteikumus sertifikāta vai vienotā sertifikāta saņemšanai), ko par to pašu produktu iesnieguši vismaz divi dažādu patentu īpašnieki, valsts kompetentā iestāde vai attiecīgā gadījumā Birojs var piešķirt vienu sertifikātu vai vienoto sertifikātu attiecībā uz konkrēto produktu katram no īpašniekiem, ja starp tiem nepastāv ekonomiska saistība.</w:t>
      </w:r>
      <w:r w:rsidRPr="00A44A6B">
        <w:rPr>
          <w:b/>
          <w:i/>
          <w:szCs w:val="24"/>
          <w:lang w:val="es-ES" w:eastAsia="en-US"/>
        </w:rPr>
        <w:t xml:space="preserve"> To pašu principu mutatis mutandis piemēro pieteikumiem, kurus iesniedz īpašnieks attiecībā uz to pašu produktu, par kuru viens vai vairāki sertifikāti vai vienotie sertifikāti ir iepriekš piešķirti citiem dažādiem dažādu patentu īpašniekiem.</w:t>
      </w:r>
      <w:r>
        <w:rPr>
          <w:b/>
          <w:szCs w:val="24"/>
          <w:lang w:val="es-ES" w:eastAsia="en-US"/>
        </w:rPr>
        <w:t xml:space="preserve"> [Gr. 20]</w:t>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t>4. pants</w:t>
      </w:r>
      <w:r w:rsidRPr="00A44A6B">
        <w:rPr>
          <w:szCs w:val="24"/>
          <w:lang w:val="es-ES" w:eastAsia="en-US"/>
        </w:rPr>
        <w:br/>
        <w:t>Aizsardzības tvērums</w:t>
      </w:r>
    </w:p>
    <w:p w:rsidR="00A44A6B" w:rsidRPr="00A44A6B" w:rsidRDefault="00A44A6B" w:rsidP="00A44A6B">
      <w:pPr>
        <w:spacing w:before="120" w:after="120" w:line="360" w:lineRule="auto"/>
        <w:rPr>
          <w:szCs w:val="24"/>
          <w:lang w:val="es-ES" w:eastAsia="en-US"/>
        </w:rPr>
      </w:pPr>
      <w:r w:rsidRPr="00A44A6B">
        <w:rPr>
          <w:szCs w:val="24"/>
          <w:lang w:val="es-ES" w:eastAsia="en-US"/>
        </w:rPr>
        <w:t>Nepārsniedzot pamatpatenta aizsardzības robežas, vienotā sertifikāta sniegtā aizsardzība aptver vienīgi to produktu, proti, tā aktīvo vielu vai aktīvo vielu kombināciju, uz kuru attiecas pirms vienotā sertifikāta termiņa beigām piešķirta atļauja laist to tirgū un lietot kā zāles.</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lastRenderedPageBreak/>
        <w:t>5. pants</w:t>
      </w:r>
      <w:r w:rsidRPr="00A44A6B">
        <w:rPr>
          <w:szCs w:val="24"/>
          <w:lang w:val="es-ES" w:eastAsia="en-US"/>
        </w:rPr>
        <w:br/>
        <w:t>Vienotā sertifikāta spēks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Vienotais sertifikāts piešķir tādas pašas tiesības kā pamatpatents, un visās dalībvalstīs, kurās pamatpatentam ir vienots spēks, uz to attiecas tie paši ierobežojumi un tie paši pienākumi.</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2.</w:t>
      </w:r>
      <w:r w:rsidRPr="00A44A6B">
        <w:rPr>
          <w:szCs w:val="24"/>
          <w:lang w:val="es-ES" w:eastAsia="en-US"/>
        </w:rPr>
        <w:tab/>
        <w:t>Vienotais sertifikāts pēc būtības ir vienots. Tas sniedz vienādu aizsardzību un ir vienādā spēkā visās dalībvalstīs, kurās pamatpatentam ir vienots spēks. Vienoto sertifikātu var ierobežot, nodot citai personai vai anulēt, vai tas var zaudēt spēku vienīgi attiecībā uz visām minētajām dalībvalstīm.</w:t>
      </w:r>
    </w:p>
    <w:p w:rsidR="00A44A6B" w:rsidRPr="00A44A6B" w:rsidRDefault="00A44A6B" w:rsidP="00A44A6B">
      <w:pPr>
        <w:spacing w:before="120" w:after="120" w:line="360" w:lineRule="auto"/>
        <w:ind w:left="850" w:hanging="850"/>
        <w:rPr>
          <w:b/>
          <w:szCs w:val="24"/>
          <w:lang w:val="es-ES" w:eastAsia="en-US"/>
        </w:rPr>
      </w:pPr>
      <w:r w:rsidRPr="00A44A6B">
        <w:rPr>
          <w:szCs w:val="24"/>
          <w:lang w:val="es-ES" w:eastAsia="en-US"/>
        </w:rPr>
        <w:t>3.</w:t>
      </w:r>
      <w:r w:rsidRPr="00A44A6B">
        <w:rPr>
          <w:szCs w:val="24"/>
          <w:lang w:val="es-ES" w:eastAsia="en-US"/>
        </w:rPr>
        <w:tab/>
        <w:t>Atkāpjoties no šā panta 1. punkta</w:t>
      </w:r>
      <w:r w:rsidRPr="00A44A6B">
        <w:rPr>
          <w:b/>
          <w:i/>
          <w:szCs w:val="24"/>
          <w:lang w:val="es-ES" w:eastAsia="en-US"/>
        </w:rPr>
        <w:t xml:space="preserve"> un saskaņā ar Regulu (ES) .../... [2023/0130(COD)]</w:t>
      </w:r>
      <w:r w:rsidRPr="00A44A6B">
        <w:rPr>
          <w:szCs w:val="24"/>
          <w:lang w:val="es-ES" w:eastAsia="en-US"/>
        </w:rPr>
        <w:t>, vienotais sertifikāts nepiešķir aizsardzību pret noteiktām darbībām, kam citādi būtu vajadzīga vienotā sertifikāta īpašnieka piekrišana, ja ir izpildīti visi tālāk minētie nosacījumi:</w:t>
      </w:r>
      <w:r>
        <w:rPr>
          <w:b/>
          <w:szCs w:val="24"/>
          <w:lang w:val="es-ES" w:eastAsia="en-US"/>
        </w:rPr>
        <w:t xml:space="preserve"> [Gr. 21]</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a)</w:t>
      </w:r>
      <w:r w:rsidRPr="00A44A6B">
        <w:rPr>
          <w:szCs w:val="24"/>
          <w:lang w:val="es-ES" w:eastAsia="en-US"/>
        </w:rPr>
        <w:tab/>
        <w:t>šādas darbības ir:</w:t>
      </w:r>
    </w:p>
    <w:p w:rsidR="00A44A6B" w:rsidRPr="00A44A6B" w:rsidRDefault="00A44A6B" w:rsidP="00A44A6B">
      <w:pPr>
        <w:spacing w:before="120" w:after="120" w:line="360" w:lineRule="auto"/>
        <w:ind w:left="1982" w:hanging="566"/>
        <w:rPr>
          <w:b/>
          <w:szCs w:val="24"/>
          <w:lang w:val="es-ES" w:eastAsia="en-US"/>
        </w:rPr>
      </w:pPr>
      <w:r w:rsidRPr="00A44A6B">
        <w:rPr>
          <w:szCs w:val="24"/>
          <w:lang w:val="es-ES" w:eastAsia="en-US"/>
        </w:rPr>
        <w:t>i)</w:t>
      </w:r>
      <w:r w:rsidRPr="00A44A6B">
        <w:rPr>
          <w:szCs w:val="24"/>
          <w:lang w:val="es-ES" w:eastAsia="en-US"/>
        </w:rPr>
        <w:tab/>
        <w:t>produkta vai šādu produktu saturošu zāļuizgatavošana eksportēšanai uz trešām valstīm;</w:t>
      </w:r>
      <w:r w:rsidRPr="00A44A6B">
        <w:rPr>
          <w:b/>
          <w:i/>
          <w:szCs w:val="24"/>
          <w:lang w:val="es-ES" w:eastAsia="en-US"/>
        </w:rPr>
        <w:t xml:space="preserve"> vai</w:t>
      </w:r>
      <w:r>
        <w:rPr>
          <w:b/>
          <w:szCs w:val="24"/>
          <w:lang w:val="es-ES" w:eastAsia="en-US"/>
        </w:rPr>
        <w:t xml:space="preserve"> [Gr. 22]</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1982" w:hanging="566"/>
        <w:rPr>
          <w:b/>
          <w:szCs w:val="24"/>
          <w:lang w:val="es-ES" w:eastAsia="en-US"/>
        </w:rPr>
      </w:pPr>
      <w:r w:rsidRPr="00A44A6B">
        <w:rPr>
          <w:szCs w:val="24"/>
          <w:lang w:val="es-ES" w:eastAsia="en-US"/>
        </w:rPr>
        <w:lastRenderedPageBreak/>
        <w:t>ii)</w:t>
      </w:r>
      <w:r w:rsidRPr="00A44A6B">
        <w:rPr>
          <w:szCs w:val="24"/>
          <w:lang w:val="es-ES" w:eastAsia="en-US"/>
        </w:rPr>
        <w:tab/>
        <w:t xml:space="preserve">jebkāda saistītā darbība, kas ir noteikti vajadzīga </w:t>
      </w:r>
      <w:r w:rsidRPr="00A44A6B">
        <w:rPr>
          <w:b/>
          <w:i/>
          <w:szCs w:val="24"/>
          <w:lang w:val="es-ES" w:eastAsia="en-US"/>
        </w:rPr>
        <w:t xml:space="preserve">šādai </w:t>
      </w:r>
      <w:r w:rsidRPr="00A44A6B">
        <w:rPr>
          <w:szCs w:val="24"/>
          <w:lang w:val="es-ES" w:eastAsia="en-US"/>
        </w:rPr>
        <w:t>izgatavošanai Savienībā</w:t>
      </w:r>
      <w:r w:rsidRPr="00A44A6B">
        <w:rPr>
          <w:strike/>
          <w:szCs w:val="24"/>
          <w:lang w:val="es-ES" w:eastAsia="en-US"/>
        </w:rPr>
        <w:t>, kā minēts i) punktā,</w:t>
      </w:r>
      <w:r w:rsidRPr="00A44A6B">
        <w:rPr>
          <w:szCs w:val="24"/>
          <w:lang w:val="es-ES" w:eastAsia="en-US"/>
        </w:rPr>
        <w:t xml:space="preserve"> vai faktiskajam eksportam</w:t>
      </w:r>
      <w:r w:rsidRPr="00A44A6B">
        <w:rPr>
          <w:b/>
          <w:i/>
          <w:szCs w:val="24"/>
          <w:lang w:val="es-ES" w:eastAsia="en-US"/>
        </w:rPr>
        <w:t xml:space="preserve"> kā tādam</w:t>
      </w:r>
      <w:r w:rsidRPr="00A44A6B">
        <w:rPr>
          <w:szCs w:val="24"/>
          <w:lang w:val="es-ES" w:eastAsia="en-US"/>
        </w:rPr>
        <w:t>;</w:t>
      </w:r>
      <w:r w:rsidRPr="00A44A6B">
        <w:rPr>
          <w:b/>
          <w:i/>
          <w:szCs w:val="24"/>
          <w:lang w:val="es-ES" w:eastAsia="en-US"/>
        </w:rPr>
        <w:t xml:space="preserve"> vai</w:t>
      </w:r>
      <w:r>
        <w:rPr>
          <w:b/>
          <w:szCs w:val="24"/>
          <w:lang w:val="es-ES" w:eastAsia="en-US"/>
        </w:rPr>
        <w:t xml:space="preserve"> [Gr. 23]</w:t>
      </w:r>
    </w:p>
    <w:p w:rsidR="00A44A6B" w:rsidRPr="00A44A6B" w:rsidRDefault="00A44A6B" w:rsidP="00A44A6B">
      <w:pPr>
        <w:spacing w:before="120" w:after="120" w:line="360" w:lineRule="auto"/>
        <w:ind w:left="1982" w:hanging="566"/>
        <w:rPr>
          <w:b/>
          <w:szCs w:val="24"/>
          <w:lang w:val="es-ES" w:eastAsia="en-US"/>
        </w:rPr>
      </w:pPr>
      <w:r w:rsidRPr="00A44A6B">
        <w:rPr>
          <w:szCs w:val="24"/>
          <w:lang w:val="es-ES" w:eastAsia="en-US"/>
        </w:rPr>
        <w:t>iii)</w:t>
      </w:r>
      <w:r w:rsidRPr="00A44A6B">
        <w:rPr>
          <w:szCs w:val="24"/>
          <w:lang w:val="es-ES" w:eastAsia="en-US"/>
        </w:rPr>
        <w:tab/>
        <w:t xml:space="preserve">produkta vai šādu produktu saturošu zāļuizgatavošana uzglabāšanai to izgatavošanas dalībvalstī ne agrāk kā 6 mēnešus pirms vienotā sertifikāta termiņa beigām, lai </w:t>
      </w:r>
      <w:r w:rsidRPr="00A44A6B">
        <w:rPr>
          <w:strike/>
          <w:szCs w:val="24"/>
          <w:lang w:val="es-ES" w:eastAsia="en-US"/>
        </w:rPr>
        <w:t xml:space="preserve">laistu </w:t>
      </w:r>
      <w:r w:rsidRPr="00A44A6B">
        <w:rPr>
          <w:szCs w:val="24"/>
          <w:lang w:val="es-ES" w:eastAsia="en-US"/>
        </w:rPr>
        <w:t>minēto produktu vai šādu produktu saturošas zāles</w:t>
      </w:r>
      <w:r w:rsidRPr="00A44A6B">
        <w:rPr>
          <w:b/>
          <w:i/>
          <w:szCs w:val="24"/>
          <w:lang w:val="es-ES" w:eastAsia="en-US"/>
        </w:rPr>
        <w:t xml:space="preserve"> laistu </w:t>
      </w:r>
      <w:r w:rsidRPr="00A44A6B">
        <w:rPr>
          <w:szCs w:val="24"/>
          <w:lang w:val="es-ES" w:eastAsia="en-US"/>
        </w:rPr>
        <w:t>dalībvalstu tirgū pēc</w:t>
      </w:r>
      <w:r w:rsidRPr="00A44A6B">
        <w:rPr>
          <w:strike/>
          <w:szCs w:val="24"/>
          <w:lang w:val="es-ES" w:eastAsia="en-US"/>
        </w:rPr>
        <w:t xml:space="preserve"> atbilstošā</w:t>
      </w:r>
      <w:r w:rsidRPr="00A44A6B">
        <w:rPr>
          <w:szCs w:val="24"/>
          <w:lang w:val="es-ES" w:eastAsia="en-US"/>
        </w:rPr>
        <w:t xml:space="preserve"> sertifikāta termiņa beigām;</w:t>
      </w:r>
      <w:r w:rsidRPr="00A44A6B">
        <w:rPr>
          <w:b/>
          <w:i/>
          <w:szCs w:val="24"/>
          <w:lang w:val="es-ES" w:eastAsia="en-US"/>
        </w:rPr>
        <w:t xml:space="preserve"> vai</w:t>
      </w:r>
      <w:r>
        <w:rPr>
          <w:b/>
          <w:szCs w:val="24"/>
          <w:lang w:val="es-ES" w:eastAsia="en-US"/>
        </w:rPr>
        <w:t xml:space="preserve"> [Gr. 24]</w:t>
      </w:r>
    </w:p>
    <w:p w:rsidR="00A44A6B" w:rsidRPr="00A44A6B" w:rsidRDefault="00A44A6B" w:rsidP="00A44A6B">
      <w:pPr>
        <w:spacing w:before="120" w:after="120" w:line="360" w:lineRule="auto"/>
        <w:ind w:left="1982" w:hanging="566"/>
        <w:rPr>
          <w:b/>
          <w:szCs w:val="24"/>
          <w:lang w:val="es-ES" w:eastAsia="en-US"/>
        </w:rPr>
      </w:pPr>
      <w:r w:rsidRPr="00A44A6B">
        <w:rPr>
          <w:szCs w:val="24"/>
          <w:lang w:val="es-ES" w:eastAsia="en-US"/>
        </w:rPr>
        <w:t>iv)</w:t>
      </w:r>
      <w:r w:rsidRPr="00A44A6B">
        <w:rPr>
          <w:szCs w:val="24"/>
          <w:lang w:val="es-ES" w:eastAsia="en-US"/>
        </w:rPr>
        <w:tab/>
        <w:t>jebkāda saistītā darbība, kas ir noteikti vajadzīga produkta vai šādu produktu saturošu zāļuizgatavošanai Savienībā, kā minēts iii) punktā, vai faktiskajai uzglabāšanai</w:t>
      </w:r>
      <w:r w:rsidRPr="00A44A6B">
        <w:rPr>
          <w:b/>
          <w:i/>
          <w:szCs w:val="24"/>
          <w:lang w:val="es-ES" w:eastAsia="en-US"/>
        </w:rPr>
        <w:t xml:space="preserve"> kā tādai</w:t>
      </w:r>
      <w:r w:rsidRPr="00A44A6B">
        <w:rPr>
          <w:szCs w:val="24"/>
          <w:lang w:val="es-ES" w:eastAsia="en-US"/>
        </w:rPr>
        <w:t>, ja šāda saistītā darbība tiek veikta ne agrāk kā 6 mēnešus pirms sertifikāta termiņa beigām;</w:t>
      </w:r>
      <w:r>
        <w:rPr>
          <w:b/>
          <w:szCs w:val="24"/>
          <w:lang w:val="es-ES" w:eastAsia="en-US"/>
        </w:rPr>
        <w:t xml:space="preserve"> [Gr. 25]</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lastRenderedPageBreak/>
        <w:t>b)</w:t>
      </w:r>
      <w:r w:rsidRPr="00A44A6B">
        <w:rPr>
          <w:szCs w:val="24"/>
          <w:lang w:val="es-ES" w:eastAsia="en-US"/>
        </w:rPr>
        <w:tab/>
        <w:t>izgatavotājs, izmantojot piemērotus un dokumentētus līdzekļus, paziņo šā panta 6. punktā paredzēto informāciju Birojam un attiecīgās dalībvalsts kompetentajam rūpnieciskā īpašuma birojam un informē par to arī vienotā sertifikāta īpašnieku ne vēlāk kā 3 mēnešus pirms izgatavošanas sākuma dienas minētajā dalībvalstī vai ne vēlāk kā 3 mēnešus pirms pirmās saistītās darbības, ko veic pirms minētās izgatavošanas un kas citādi būtu aizliegta sertifikāta piešķirtās aizsardzības dēļ, atkarībā no tā, kurš no šiem notikumiem iestājas agrāk;</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c)</w:t>
      </w:r>
      <w:r w:rsidRPr="00A44A6B">
        <w:rPr>
          <w:szCs w:val="24"/>
          <w:lang w:val="es-ES" w:eastAsia="en-US"/>
        </w:rPr>
        <w:tab/>
        <w:t>ja šā panta 6. punktā minētā informācija mainās, izgatavotājs par to paziņo Birojam un attiecīgās dalībvalsts kompetentajam rūpnieciskā īpašuma birojam un informē par to arī sertifikāta īpašnieku pirms izmaiņu stāšanās spēkā;</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d)</w:t>
      </w:r>
      <w:r w:rsidRPr="00A44A6B">
        <w:rPr>
          <w:szCs w:val="24"/>
          <w:lang w:val="es-ES" w:eastAsia="en-US"/>
        </w:rPr>
        <w:tab/>
        <w:t>ja produktus vai šos produktus saturošas zāles  izgatavo eksportam uz trešām valstīm, izgatavotājs nodrošina, ka uz šā punkta a) apakšpunkta i) punktā minētā produkta vai šādu produktu saturošu zāļu ārējā iepakojuma un, ja iespējams, uz to tiešā iepakojuma ir piestiprināts logotips I pielikumā paredzētajā formā;</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e)</w:t>
      </w:r>
      <w:r w:rsidRPr="00A44A6B">
        <w:rPr>
          <w:szCs w:val="24"/>
          <w:lang w:val="es-ES" w:eastAsia="en-US"/>
        </w:rPr>
        <w:tab/>
        <w:t>izgatavotājs ievēro šā panta 10. punktu un attiecīgā gadījumā 31. panta 4. punktu.</w:t>
      </w:r>
    </w:p>
    <w:p w:rsidR="00A44A6B" w:rsidRDefault="00A44A6B">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4.</w:t>
      </w:r>
      <w:r w:rsidRPr="00A44A6B">
        <w:rPr>
          <w:szCs w:val="24"/>
          <w:lang w:val="es-ES" w:eastAsia="en-US"/>
        </w:rPr>
        <w:tab/>
        <w:t>Šā panta 3. punktu nepiemēro nevienai darbībai vai pasākumam, ko veic, lai produktus vai šādu produktu saturošas zāles importētu Savienībā tikai pārpakošanas, reeksportēšanas vai uzglabāšanas nolūkos.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5.</w:t>
      </w:r>
      <w:r w:rsidRPr="00A44A6B">
        <w:rPr>
          <w:szCs w:val="24"/>
          <w:lang w:val="es-ES" w:eastAsia="en-US"/>
        </w:rPr>
        <w:tab/>
        <w:t>Informāciju, ko sniedz sertifikāta īpašniekam  šā panta 3. punkta b) un c) apakšpunkta nolūkos, izmanto vienīgi nolūkā pārbaudīt, vai ir izpildītas šīs regulas prasības, un lai attiecīgā gadījumā uzsāktu tiesvedību par to neievērošanu.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6.</w:t>
      </w:r>
      <w:r w:rsidRPr="00A44A6B">
        <w:rPr>
          <w:szCs w:val="24"/>
          <w:lang w:val="es-ES" w:eastAsia="en-US"/>
        </w:rPr>
        <w:tab/>
        <w:t>Šā panta 3. punkta b) apakšpunkta nolūkos izgatavotājs sniedz visu tālāk norādīto informāciju:</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a)</w:t>
      </w:r>
      <w:r w:rsidRPr="00A44A6B">
        <w:rPr>
          <w:szCs w:val="24"/>
          <w:lang w:val="es-ES" w:eastAsia="en-US"/>
        </w:rPr>
        <w:tab/>
        <w:t>izgatavotāja vārds/nosaukums un adrese;</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b)</w:t>
      </w:r>
      <w:r w:rsidRPr="00A44A6B">
        <w:rPr>
          <w:szCs w:val="24"/>
          <w:lang w:val="es-ES" w:eastAsia="en-US"/>
        </w:rPr>
        <w:tab/>
        <w:t>norāde par to, vai izgatavošana ir eksportam vai uzglabāšanai, vai arī gan eksportam, gan uzglabāšanai;</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c)</w:t>
      </w:r>
      <w:r w:rsidRPr="00A44A6B">
        <w:rPr>
          <w:szCs w:val="24"/>
          <w:lang w:val="es-ES" w:eastAsia="en-US"/>
        </w:rPr>
        <w:tab/>
        <w:t>dalībvalsts, kurā notiks izgatavošana un attiecīgā gadījumā arī uzglabāšana, un dalībvalsts, kurā tiks veikta pirmā saistītā darbība, ja tāda  ir paredzēta, pirms minētās izgatavošanas;</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lastRenderedPageBreak/>
        <w:t>d)</w:t>
      </w:r>
      <w:r w:rsidRPr="00A44A6B">
        <w:rPr>
          <w:szCs w:val="24"/>
          <w:lang w:val="es-ES" w:eastAsia="en-US"/>
        </w:rPr>
        <w:tab/>
        <w:t>izgatavošanas dalībvalstī piešķirtā vienotā sertifikāta numurs, un tā sertifikāta numurs, kas piešķirts dalībvalstī, kurā veikta pirmā saistītā darbība, ja tāda ir paredzēta, pirms minētās izgatavošanas;</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e)</w:t>
      </w:r>
      <w:r w:rsidRPr="00A44A6B">
        <w:rPr>
          <w:szCs w:val="24"/>
          <w:lang w:val="es-ES" w:eastAsia="en-US"/>
        </w:rPr>
        <w:tab/>
        <w:t>zālēm, kuras ir paredzēts eksportēt uz trešām valstīm, tirdzniecības atļaujas vai šādai atļaujai līdzvērtīga dokumenta atsauces numurs katrā trešā valstī, uz kuru tās eksportēs, tiklīdz šāds numurs ir publiski pieejams.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7.</w:t>
      </w:r>
      <w:r w:rsidRPr="00A44A6B">
        <w:rPr>
          <w:szCs w:val="24"/>
          <w:lang w:val="es-ES" w:eastAsia="en-US"/>
        </w:rPr>
        <w:tab/>
        <w:t>Lai nosūtītu Birojam un kompetentajam rūpnieciskā īpašuma birojam šā panta 3. punkta b) un c) apakšpunktā minētos paziņojumus, izgatavotājs izmanto II pielikumā paredzēto paziņojuma standarta veidlapu.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8.</w:t>
      </w:r>
      <w:r w:rsidRPr="00A44A6B">
        <w:rPr>
          <w:szCs w:val="24"/>
          <w:lang w:val="es-ES" w:eastAsia="en-US"/>
        </w:rPr>
        <w:tab/>
        <w:t>Šā panta 6. punkta e) apakšpunktā minētās informācijas nesniegšana attiecībā uz trešo valsti ietekmē eksportu tikai uz šo trešo valsti, un šādam eksportam nevar izmantot 3. punktā paredzēto izņēmumu.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9.</w:t>
      </w:r>
      <w:r w:rsidRPr="00A44A6B">
        <w:rPr>
          <w:szCs w:val="24"/>
          <w:lang w:val="es-ES" w:eastAsia="en-US"/>
        </w:rPr>
        <w:tab/>
        <w:t>Izgatavotājs nodrošina, ka uz zālēm, kas izgatavotas atbilstīgi 3. punkta a) apakšpunkta i) punktam, nav aktīva unikālā identifikatora Deleģētās regulas (ES) 2016/161</w:t>
      </w:r>
      <w:r w:rsidRPr="00A44A6B">
        <w:rPr>
          <w:szCs w:val="24"/>
          <w:vertAlign w:val="superscript"/>
          <w:lang w:val="en-GB" w:eastAsia="en-US"/>
        </w:rPr>
        <w:footnoteReference w:id="15"/>
      </w:r>
      <w:r w:rsidRPr="00A44A6B">
        <w:rPr>
          <w:szCs w:val="24"/>
          <w:lang w:val="es-ES" w:eastAsia="en-US"/>
        </w:rPr>
        <w:t xml:space="preserve"> nozīmē.</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10.</w:t>
      </w:r>
      <w:r w:rsidRPr="00A44A6B">
        <w:rPr>
          <w:szCs w:val="24"/>
          <w:lang w:val="es-ES" w:eastAsia="en-US"/>
        </w:rPr>
        <w:tab/>
        <w:t>Izgatavotājs, izmantojot piemērotus un dokumentētus līdzekļus, nodrošina, ka jebkura persona, kurai ir līgumattiecības ar izgatavotāju un kura veic darbības, uz ko attiecas šā panta 3. punkta a) apakšpunkts, ir pilnībā informēta un apzinās, ka:</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a)</w:t>
      </w:r>
      <w:r w:rsidRPr="00A44A6B">
        <w:rPr>
          <w:szCs w:val="24"/>
          <w:lang w:val="es-ES" w:eastAsia="en-US"/>
        </w:rPr>
        <w:tab/>
        <w:t>uz minētajām darbībām attiecas šā panta 3. punkts;</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b)</w:t>
      </w:r>
      <w:r w:rsidRPr="00A44A6B">
        <w:rPr>
          <w:szCs w:val="24"/>
          <w:lang w:val="es-ES" w:eastAsia="en-US"/>
        </w:rPr>
        <w:tab/>
        <w:t>ar šā panta 3. punkta a) apakšpunkta i) punktā minētā produkta vai šādu produktu saturošu zāļu laišanu tirgū, importu vai reimportu vai 3. punkta a) apakšpunkta iii) punktā minētā produkta vai šādu produktu saturošu zāļu laišanu tirgū varētu pārkāpt minētajā punktā minēto vienoto sertifikātu, ja un kamēr minētais sertifikāts ir spēkā.</w:t>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t>6. pants</w:t>
      </w:r>
      <w:r w:rsidRPr="00A44A6B">
        <w:rPr>
          <w:szCs w:val="24"/>
          <w:lang w:val="es-ES" w:eastAsia="en-US"/>
        </w:rPr>
        <w:br/>
        <w:t>Tiesības uz vienoto sertifikātu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Vienoto sertifikātu piešķir pamatpatenta īpašniekam vai šī īpašnieka īpašumtiesību pārņēmējam.</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w:t>
      </w:r>
      <w:r w:rsidRPr="00A44A6B">
        <w:rPr>
          <w:szCs w:val="24"/>
          <w:lang w:val="es-ES" w:eastAsia="en-US"/>
        </w:rPr>
        <w:tab/>
        <w:t>Neskatoties uz 1. punktu, ja pamatpatents ir piešķirts produktam, kas ir trešai personai piešķirtas atļaujas priekšmets, tad vienoto sertifikātu attiecībā uz šādu produktu  pamatpatenta īpašniekam nedrīkst piešķirt bez šīs trešās personas piekrišanas.</w:t>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t>7. pants</w:t>
      </w:r>
      <w:r w:rsidRPr="00A44A6B">
        <w:rPr>
          <w:szCs w:val="24"/>
          <w:lang w:val="es-ES" w:eastAsia="en-US"/>
        </w:rPr>
        <w:br/>
        <w:t>Vienotais sertifikāts kā īpašumtiesību objekts</w:t>
      </w:r>
    </w:p>
    <w:p w:rsidR="00A44A6B" w:rsidRPr="00A44A6B" w:rsidRDefault="00A44A6B" w:rsidP="00A44A6B">
      <w:pPr>
        <w:spacing w:before="120" w:after="120" w:line="360" w:lineRule="auto"/>
        <w:rPr>
          <w:szCs w:val="24"/>
          <w:lang w:val="es-ES" w:eastAsia="en-US"/>
        </w:rPr>
      </w:pPr>
      <w:r w:rsidRPr="00A44A6B">
        <w:rPr>
          <w:szCs w:val="24"/>
          <w:lang w:val="es-ES" w:eastAsia="en-US"/>
        </w:rPr>
        <w:t>Vienotajam sertifikātam vai vienotā sertifikāta pieteikumam kā īpašumtiesību objektam visā pilnībā un katrā no dalībvalstīm, kurās pamatpatents ir vienotā spēkā, piemēro valsts tiesību aktus, kuri attiecas uz pamatpatentu kā īpašumtiesību objektu.</w:t>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t>8. pants</w:t>
      </w:r>
      <w:r w:rsidRPr="00A44A6B">
        <w:rPr>
          <w:szCs w:val="24"/>
          <w:lang w:val="es-ES" w:eastAsia="en-US"/>
        </w:rPr>
        <w:br/>
        <w:t>Vienotā sertifikāta pieteikums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Vienotā sertifikāta pieteikumu iesniedz 6 mēnešu laikā no dienas, kad piešķirta 3. panta 1. punkta b) apakšpunktā minētā atļauja laist produktu tirgū kā zāles.</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2.</w:t>
      </w:r>
      <w:r w:rsidRPr="00A44A6B">
        <w:rPr>
          <w:szCs w:val="24"/>
          <w:lang w:val="es-ES" w:eastAsia="en-US"/>
        </w:rPr>
        <w:tab/>
        <w:t>Ja atļauja laist produktu tirgū kā zāles piešķirta, iekams pamatpatents ieguvis vienotu spēku, tad neatkarīgi no 1. punkta vienotā sertifikāta pieteikums ir jāiesniedz 6 mēnešu laikā no dienas, kurā patents ieguvis vienotu spēku.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3.</w:t>
      </w:r>
      <w:r w:rsidRPr="00A44A6B">
        <w:rPr>
          <w:szCs w:val="24"/>
          <w:lang w:val="es-ES" w:eastAsia="en-US"/>
        </w:rPr>
        <w:tab/>
        <w:t>Vienotā sertifikāta termiņa pagarinājuma pieteikumu var iesniegt vai nu vienlaikus ar vienotā sertifikāta pieteikumu, vai kamēr vienotā sertifikāta pieteikums vēl tiek izskatīts, bet ir izpildītas attiecīgi 9. panta 1. punkta d) apakšpunkta vai 9. panta 2. punkta prasības.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4.</w:t>
      </w:r>
      <w:r w:rsidRPr="00A44A6B">
        <w:rPr>
          <w:szCs w:val="24"/>
          <w:lang w:val="es-ES" w:eastAsia="en-US"/>
        </w:rPr>
        <w:tab/>
        <w:t>Jau piešķirta vienotā sertifikāta termiņa pagarinājuma pieteikumu iesniedz ne vēlāk kā 2 gadus pirms vienotā sertifikāta termiņa beigām.</w:t>
      </w:r>
    </w:p>
    <w:p w:rsidR="00A44A6B" w:rsidRPr="00A44A6B" w:rsidRDefault="00A44A6B" w:rsidP="00A44A6B">
      <w:pPr>
        <w:spacing w:before="120" w:after="120" w:line="360" w:lineRule="auto"/>
        <w:ind w:left="850" w:hanging="850"/>
        <w:rPr>
          <w:b/>
          <w:szCs w:val="24"/>
          <w:lang w:val="es-ES" w:eastAsia="en-US"/>
        </w:rPr>
      </w:pPr>
      <w:r w:rsidRPr="00A44A6B">
        <w:rPr>
          <w:b/>
          <w:i/>
          <w:szCs w:val="24"/>
          <w:lang w:val="es-ES" w:eastAsia="en-US"/>
        </w:rPr>
        <w:t>4a.</w:t>
      </w:r>
      <w:r w:rsidRPr="00A44A6B">
        <w:rPr>
          <w:szCs w:val="24"/>
          <w:lang w:val="es-ES" w:eastAsia="en-US"/>
        </w:rPr>
        <w:tab/>
      </w:r>
      <w:r w:rsidRPr="00A44A6B">
        <w:rPr>
          <w:b/>
          <w:i/>
          <w:szCs w:val="24"/>
          <w:lang w:val="es-ES" w:eastAsia="en-US"/>
        </w:rPr>
        <w:t>Vienotā sertifikāta pieteikumu iesniedz elektroniski, izmantojot formātus, ko dara pieejamus Birojs.</w:t>
      </w:r>
      <w:r w:rsidR="005562F3">
        <w:rPr>
          <w:b/>
          <w:szCs w:val="24"/>
          <w:lang w:val="es-ES" w:eastAsia="en-US"/>
        </w:rPr>
        <w:t xml:space="preserve"> [Gr. 26]</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lastRenderedPageBreak/>
        <w:t>9. pants</w:t>
      </w:r>
      <w:r w:rsidRPr="00A44A6B">
        <w:rPr>
          <w:szCs w:val="24"/>
          <w:lang w:val="es-ES" w:eastAsia="en-US"/>
        </w:rPr>
        <w:br/>
        <w:t>Vienotā sertifikāta pieteikuma saturs</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Vienotā sertifikāta pieteikumā ietilpst:</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a)</w:t>
      </w:r>
      <w:r w:rsidRPr="00A44A6B">
        <w:rPr>
          <w:szCs w:val="24"/>
          <w:lang w:val="es-ES" w:eastAsia="en-US"/>
        </w:rPr>
        <w:tab/>
        <w:t>lūgums piešķirt vienoto sertifikātu, kurā norāda šādu informāciju:</w:t>
      </w:r>
    </w:p>
    <w:p w:rsidR="00A44A6B" w:rsidRPr="00A44A6B" w:rsidRDefault="00A44A6B" w:rsidP="00A44A6B">
      <w:pPr>
        <w:spacing w:before="120" w:after="120" w:line="360" w:lineRule="auto"/>
        <w:ind w:left="1982" w:hanging="566"/>
        <w:rPr>
          <w:szCs w:val="24"/>
          <w:lang w:val="es-ES" w:eastAsia="en-US"/>
        </w:rPr>
      </w:pPr>
      <w:r w:rsidRPr="00A44A6B">
        <w:rPr>
          <w:szCs w:val="24"/>
          <w:lang w:val="es-ES" w:eastAsia="en-US"/>
        </w:rPr>
        <w:t>i)</w:t>
      </w:r>
      <w:r w:rsidRPr="00A44A6B">
        <w:rPr>
          <w:szCs w:val="24"/>
          <w:lang w:val="es-ES" w:eastAsia="en-US"/>
        </w:rPr>
        <w:tab/>
        <w:t>pieteikuma iesniedzēja vārds/nosaukums un adrese;</w:t>
      </w:r>
    </w:p>
    <w:p w:rsidR="00A44A6B" w:rsidRPr="00A44A6B" w:rsidRDefault="00A44A6B" w:rsidP="00A44A6B">
      <w:pPr>
        <w:spacing w:before="120" w:after="120" w:line="360" w:lineRule="auto"/>
        <w:ind w:left="1982" w:hanging="566"/>
        <w:rPr>
          <w:szCs w:val="24"/>
          <w:lang w:val="es-ES" w:eastAsia="en-US"/>
        </w:rPr>
      </w:pPr>
      <w:r w:rsidRPr="00A44A6B">
        <w:rPr>
          <w:szCs w:val="24"/>
          <w:lang w:val="es-ES" w:eastAsia="en-US"/>
        </w:rPr>
        <w:t>ii)</w:t>
      </w:r>
      <w:r w:rsidRPr="00A44A6B">
        <w:rPr>
          <w:szCs w:val="24"/>
          <w:lang w:val="es-ES" w:eastAsia="en-US"/>
        </w:rPr>
        <w:tab/>
        <w:t>ja pieteikuma iesniedzējs ir iecēlis pārstāvi, tad pārstāvja vārds /nosaukums un adrese;</w:t>
      </w:r>
    </w:p>
    <w:p w:rsidR="00A44A6B" w:rsidRPr="00A44A6B" w:rsidRDefault="00A44A6B" w:rsidP="00A44A6B">
      <w:pPr>
        <w:spacing w:before="120" w:after="120" w:line="360" w:lineRule="auto"/>
        <w:ind w:left="1982" w:hanging="566"/>
        <w:rPr>
          <w:szCs w:val="24"/>
          <w:lang w:val="es-ES" w:eastAsia="en-US"/>
        </w:rPr>
      </w:pPr>
      <w:r w:rsidRPr="00A44A6B">
        <w:rPr>
          <w:szCs w:val="24"/>
          <w:lang w:val="es-ES" w:eastAsia="en-US"/>
        </w:rPr>
        <w:t>iii)</w:t>
      </w:r>
      <w:r w:rsidRPr="00A44A6B">
        <w:rPr>
          <w:szCs w:val="24"/>
          <w:lang w:val="es-ES" w:eastAsia="en-US"/>
        </w:rPr>
        <w:tab/>
        <w:t>pamatpatenta numurs un izgudrojuma nosaukums;</w:t>
      </w:r>
    </w:p>
    <w:p w:rsidR="00A44A6B" w:rsidRPr="00A44A6B" w:rsidRDefault="00A44A6B" w:rsidP="00A44A6B">
      <w:pPr>
        <w:spacing w:before="120" w:after="120" w:line="360" w:lineRule="auto"/>
        <w:ind w:left="1982" w:hanging="566"/>
        <w:rPr>
          <w:szCs w:val="24"/>
          <w:lang w:val="es-ES" w:eastAsia="en-US"/>
        </w:rPr>
      </w:pPr>
      <w:r w:rsidRPr="00A44A6B">
        <w:rPr>
          <w:szCs w:val="24"/>
          <w:lang w:val="es-ES" w:eastAsia="en-US"/>
        </w:rPr>
        <w:t>iv)</w:t>
      </w:r>
      <w:r w:rsidRPr="00A44A6B">
        <w:rPr>
          <w:szCs w:val="24"/>
          <w:lang w:val="es-ES" w:eastAsia="en-US"/>
        </w:rPr>
        <w:tab/>
        <w:t>numurs un datums 3. panta 1. punkta b) apakšpunktā minētajai pirmajai atļaujai laist produktu tirgū un, ja šī atļauja nav pirmā atļauja laist produktu tirgū Savienībā, minētās atļaujas numurs un datums;</w:t>
      </w:r>
    </w:p>
    <w:p w:rsidR="00A44A6B" w:rsidRPr="00A44A6B" w:rsidRDefault="00A44A6B" w:rsidP="00A44A6B">
      <w:pPr>
        <w:spacing w:before="120" w:after="120" w:line="360" w:lineRule="auto"/>
        <w:ind w:left="1982" w:hanging="566"/>
        <w:rPr>
          <w:b/>
          <w:szCs w:val="24"/>
          <w:lang w:val="es-ES" w:eastAsia="en-US"/>
        </w:rPr>
      </w:pPr>
      <w:r w:rsidRPr="00A44A6B">
        <w:rPr>
          <w:b/>
          <w:i/>
          <w:szCs w:val="24"/>
          <w:lang w:val="es-ES" w:eastAsia="en-US"/>
        </w:rPr>
        <w:t>iva)</w:t>
      </w:r>
      <w:r w:rsidRPr="00A44A6B">
        <w:rPr>
          <w:szCs w:val="24"/>
          <w:lang w:val="es-ES" w:eastAsia="en-US"/>
        </w:rPr>
        <w:tab/>
      </w:r>
      <w:r w:rsidRPr="00A44A6B">
        <w:rPr>
          <w:b/>
          <w:i/>
          <w:szCs w:val="24"/>
          <w:lang w:val="es-ES" w:eastAsia="en-US"/>
        </w:rPr>
        <w:t>informācija par jebkādu tiešu publisku finansiālo atbalstu, kas saņemts pētniecībai saistībā ar tā produkta izstrādi, attiecībā uz kuru pieprasa PAS;</w:t>
      </w:r>
      <w:r w:rsidR="005562F3">
        <w:rPr>
          <w:b/>
          <w:szCs w:val="24"/>
          <w:lang w:val="es-ES" w:eastAsia="en-US"/>
        </w:rPr>
        <w:t xml:space="preserve"> [Gr. 27]</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lastRenderedPageBreak/>
        <w:t>b)</w:t>
      </w:r>
      <w:r w:rsidRPr="00A44A6B">
        <w:rPr>
          <w:szCs w:val="24"/>
          <w:lang w:val="es-ES" w:eastAsia="en-US"/>
        </w:rPr>
        <w:tab/>
        <w:t>kopija no 3. panta 1. punkta b) apakšpunktā minētās atļaujas produkta laišanai tirgū, kurā ir identificēts produkts un kurā jo īpaši atļaujas numurs un datums, un produkta raksturojums saskaņā ar  saskaņā ar Eiropas Parlamenta un Padomes Direktīvas 2001/83/EK</w:t>
      </w:r>
      <w:r w:rsidRPr="00A44A6B">
        <w:rPr>
          <w:szCs w:val="24"/>
          <w:vertAlign w:val="superscript"/>
          <w:lang w:val="en-GB" w:eastAsia="en-US"/>
        </w:rPr>
        <w:footnoteReference w:id="16"/>
      </w:r>
      <w:r w:rsidRPr="00A44A6B">
        <w:rPr>
          <w:szCs w:val="24"/>
          <w:lang w:val="es-ES" w:eastAsia="en-US"/>
        </w:rPr>
        <w:t xml:space="preserve"> 11. pantu vai Regulas (ES) 2019/6 35. pantu;</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c)</w:t>
      </w:r>
      <w:r w:rsidRPr="00A44A6B">
        <w:rPr>
          <w:szCs w:val="24"/>
          <w:lang w:val="es-ES" w:eastAsia="en-US"/>
        </w:rPr>
        <w:tab/>
        <w:t>ja b) apakšpunktā minētā atļauja nav pirmā atļauja laist produktu tirgū Savienībā kā zāles, informācija par šādi atļauta produkta identitāti un tiesību normu, saskaņā ar kuru veikta atļaujas procedūra, kopā ar attiecīgā oficiālā izdevumā publicēta atļaujas paziņojuma kopiju vai, ja šāda paziņojuma nav, jebkāds cits dokuments, kas apliecina atļaujas izdošanas faktu, atļaujas izdošanas datumu un atļautā produkta identitāti.</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lastRenderedPageBreak/>
        <w:t>d)</w:t>
      </w:r>
      <w:r w:rsidRPr="00A44A6B">
        <w:rPr>
          <w:szCs w:val="24"/>
          <w:lang w:val="es-ES" w:eastAsia="en-US"/>
        </w:rPr>
        <w:tab/>
        <w:t>ja zāļu vienotā sertifikāta pieteikums  ietver termiņa pagarinājuma pieteikumu:</w:t>
      </w:r>
    </w:p>
    <w:p w:rsidR="00A44A6B" w:rsidRPr="00A44A6B" w:rsidRDefault="00A44A6B" w:rsidP="00A44A6B">
      <w:pPr>
        <w:spacing w:before="120" w:after="120" w:line="360" w:lineRule="auto"/>
        <w:ind w:left="1982" w:hanging="566"/>
        <w:rPr>
          <w:szCs w:val="24"/>
          <w:lang w:val="es-ES" w:eastAsia="en-US"/>
        </w:rPr>
      </w:pPr>
      <w:r w:rsidRPr="00A44A6B">
        <w:rPr>
          <w:szCs w:val="24"/>
          <w:lang w:val="es-ES" w:eastAsia="en-US"/>
        </w:rPr>
        <w:t>i)</w:t>
      </w:r>
      <w:r w:rsidRPr="00A44A6B">
        <w:rPr>
          <w:szCs w:val="24"/>
          <w:lang w:val="es-ES" w:eastAsia="en-US"/>
        </w:rPr>
        <w:tab/>
        <w:t>paziņojuma kopija, kurā norādīta atbilstība apstiprinātajam izpildītajam pediatrijas pētījumu plānam, kā minēts Regulas (EK) Nr. 1901/2006 36. panta 1. punktā;</w:t>
      </w:r>
    </w:p>
    <w:p w:rsidR="00A44A6B" w:rsidRPr="00A44A6B" w:rsidRDefault="00A44A6B" w:rsidP="00A44A6B">
      <w:pPr>
        <w:spacing w:before="120" w:after="120" w:line="360" w:lineRule="auto"/>
        <w:ind w:left="1982" w:hanging="566"/>
        <w:rPr>
          <w:szCs w:val="24"/>
          <w:lang w:val="es-ES" w:eastAsia="en-US"/>
        </w:rPr>
      </w:pPr>
      <w:r w:rsidRPr="00A44A6B">
        <w:rPr>
          <w:szCs w:val="24"/>
          <w:lang w:val="es-ES" w:eastAsia="en-US"/>
        </w:rPr>
        <w:t>ii)</w:t>
      </w:r>
      <w:r w:rsidRPr="00A44A6B">
        <w:rPr>
          <w:szCs w:val="24"/>
          <w:lang w:val="es-ES" w:eastAsia="en-US"/>
        </w:rPr>
        <w:tab/>
        <w:t>vajadzības gadījumā papildus šā panta b) apakšpunktā minētās atļaujas kopijai par zāļu laišanu tirgū — pierādījumi, ka ir saņemtas atļaujas produkta laišanai tirgū visās citās dalībvalstīs, kā minēts Regulas (EK) Nr. 1901/2006 36. panta 3. punktā.</w:t>
      </w:r>
    </w:p>
    <w:p w:rsidR="00A44A6B" w:rsidRPr="00A44A6B" w:rsidRDefault="00A44A6B" w:rsidP="00A44A6B">
      <w:pPr>
        <w:spacing w:before="120" w:after="120" w:line="360" w:lineRule="auto"/>
        <w:ind w:left="1416" w:hanging="566"/>
        <w:rPr>
          <w:b/>
          <w:szCs w:val="24"/>
          <w:lang w:val="es-ES" w:eastAsia="en-US"/>
        </w:rPr>
      </w:pPr>
      <w:r w:rsidRPr="00A44A6B">
        <w:rPr>
          <w:b/>
          <w:i/>
          <w:szCs w:val="24"/>
          <w:lang w:val="es-ES" w:eastAsia="en-US"/>
        </w:rPr>
        <w:t>da)</w:t>
      </w:r>
      <w:r w:rsidRPr="00A44A6B">
        <w:rPr>
          <w:szCs w:val="24"/>
          <w:lang w:val="es-ES" w:eastAsia="en-US"/>
        </w:rPr>
        <w:tab/>
      </w:r>
      <w:r w:rsidRPr="00A44A6B">
        <w:rPr>
          <w:b/>
          <w:i/>
          <w:szCs w:val="24"/>
          <w:lang w:val="es-ES" w:eastAsia="en-US"/>
        </w:rPr>
        <w:t>attiecīgā gadījumā šīs regulas 6. panta 2. punktā minētās trešās personas piekrišana;</w:t>
      </w:r>
      <w:r w:rsidR="005562F3">
        <w:rPr>
          <w:b/>
          <w:szCs w:val="24"/>
          <w:lang w:val="es-ES" w:eastAsia="en-US"/>
        </w:rPr>
        <w:t xml:space="preserve"> [Gr. 28]</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2.</w:t>
      </w:r>
      <w:r w:rsidRPr="00A44A6B">
        <w:rPr>
          <w:szCs w:val="24"/>
          <w:lang w:val="es-ES" w:eastAsia="en-US"/>
        </w:rPr>
        <w:tab/>
        <w:t>Kamēr vienotā sertifikāta pieteikums vēl tiek izskatīts, termiņa pagarinājuma pieteikumā saskaņā ar 8. panta 3. punktu ietver šā panta 1. punkta d) apakšpunktā minētos dokumentus, kā arī atsauci uz jau iesniegto sertifikāta pieteikumu.</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lastRenderedPageBreak/>
        <w:t>3.</w:t>
      </w:r>
      <w:r w:rsidRPr="00A44A6B">
        <w:rPr>
          <w:szCs w:val="24"/>
          <w:lang w:val="es-ES" w:eastAsia="en-US"/>
        </w:rPr>
        <w:tab/>
        <w:t>Jau piešķirta vienotā sertifikāta termiņa pagarinājuma pieteikumā  ietver šā panta 1. punkta d) apakšpunktā minētos dokumentus, kā arī jau piešķirtā sertifikāta kopiju.</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4.</w:t>
      </w:r>
      <w:r w:rsidRPr="00A44A6B">
        <w:rPr>
          <w:szCs w:val="24"/>
          <w:lang w:val="es-ES" w:eastAsia="en-US"/>
        </w:rPr>
        <w:tab/>
        <w:t>Šajā pantā minētos pieteikumus iesniedz, izmantojot šim nolūkam paredzētas pieteikuma veidlapas.</w:t>
      </w:r>
    </w:p>
    <w:p w:rsidR="00A44A6B" w:rsidRPr="00A44A6B" w:rsidRDefault="00A44A6B" w:rsidP="00A44A6B">
      <w:pPr>
        <w:spacing w:before="120" w:after="120" w:line="360" w:lineRule="auto"/>
        <w:ind w:left="850"/>
        <w:rPr>
          <w:szCs w:val="24"/>
          <w:lang w:val="es-ES" w:eastAsia="en-US"/>
        </w:rPr>
      </w:pPr>
      <w:r w:rsidRPr="00A44A6B">
        <w:rPr>
          <w:szCs w:val="24"/>
          <w:lang w:val="es-ES" w:eastAsia="en-US"/>
        </w:rPr>
        <w:t>Komisija ir pilnvarota pieņemt īstenošanas aktus, kuros nosaka noteikumus par izmantojamām pieteikuma veidlapām. Minētos īstenošanas aktus pieņem saskaņā ar 55. pantā minēto pārbaudes procedūru.</w:t>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t>10. pants</w:t>
      </w:r>
      <w:r w:rsidRPr="00A44A6B">
        <w:rPr>
          <w:szCs w:val="24"/>
          <w:lang w:val="es-ES" w:eastAsia="en-US"/>
        </w:rPr>
        <w:br/>
        <w:t>Vienotā sertifikāta pieteikuma iesniegšana</w:t>
      </w:r>
    </w:p>
    <w:p w:rsidR="00A44A6B" w:rsidRPr="00A44A6B" w:rsidRDefault="00A44A6B" w:rsidP="00A44A6B">
      <w:pPr>
        <w:spacing w:before="120" w:after="120" w:line="360" w:lineRule="auto"/>
        <w:rPr>
          <w:szCs w:val="24"/>
          <w:lang w:val="es-ES" w:eastAsia="en-US"/>
        </w:rPr>
      </w:pPr>
      <w:r w:rsidRPr="00A44A6B">
        <w:rPr>
          <w:szCs w:val="24"/>
          <w:lang w:val="es-ES" w:eastAsia="en-US"/>
        </w:rPr>
        <w:t>Vienotā sertifikāta pieteikumu un attiecīgā gadījumā vienotā sertifikāta termiņa pagarinājuma pieteikumu iesniedz Birojā</w:t>
      </w:r>
      <w:r w:rsidRPr="00A44A6B">
        <w:rPr>
          <w:b/>
          <w:i/>
          <w:szCs w:val="24"/>
          <w:lang w:val="es-ES" w:eastAsia="en-US"/>
        </w:rPr>
        <w:t xml:space="preserve"> elektroniskā formātā</w:t>
      </w:r>
      <w:r w:rsidRPr="00A44A6B">
        <w:rPr>
          <w:szCs w:val="24"/>
          <w:lang w:val="es-ES" w:eastAsia="en-US"/>
        </w:rPr>
        <w:t>.</w:t>
      </w:r>
    </w:p>
    <w:p w:rsidR="00A44A6B" w:rsidRPr="00A44A6B" w:rsidRDefault="00A44A6B" w:rsidP="00A44A6B">
      <w:pPr>
        <w:spacing w:before="120" w:after="120" w:line="360" w:lineRule="auto"/>
        <w:rPr>
          <w:b/>
          <w:szCs w:val="24"/>
          <w:lang w:val="es-ES" w:eastAsia="en-US"/>
        </w:rPr>
      </w:pPr>
      <w:r w:rsidRPr="00A44A6B">
        <w:rPr>
          <w:b/>
          <w:i/>
          <w:szCs w:val="24"/>
          <w:lang w:val="es-ES" w:eastAsia="en-US"/>
        </w:rPr>
        <w:t>Birojs veic vajadzīgos pasākumus, lai nodrošinātu, ka datu un informācijas apmaiņa notiek elektroniski un ka tiek aizsargāts tās informācijas komercnoslēpums, ar kuru apmainās. Šādi pasākumi neskar noteikumus par regulatīvo aizsardzību.</w:t>
      </w:r>
      <w:r w:rsidR="005562F3">
        <w:rPr>
          <w:b/>
          <w:szCs w:val="24"/>
          <w:lang w:val="es-ES" w:eastAsia="en-US"/>
        </w:rPr>
        <w:t xml:space="preserve"> [Gr. 29]</w:t>
      </w:r>
    </w:p>
    <w:p w:rsidR="005562F3" w:rsidRDefault="005562F3">
      <w:pPr>
        <w:widowControl/>
        <w:rPr>
          <w:szCs w:val="24"/>
          <w:lang w:val="es-ES" w:eastAsia="en-US"/>
        </w:rPr>
      </w:pPr>
      <w:r>
        <w:rPr>
          <w:szCs w:val="24"/>
          <w:lang w:val="es-ES" w:eastAsia="en-US"/>
        </w:rPr>
        <w:br w:type="page"/>
      </w:r>
    </w:p>
    <w:p w:rsidR="00A44A6B" w:rsidRPr="00A44A6B" w:rsidRDefault="00A44A6B" w:rsidP="00A44A6B">
      <w:pPr>
        <w:spacing w:before="120" w:after="120" w:line="360" w:lineRule="auto"/>
        <w:jc w:val="center"/>
        <w:rPr>
          <w:szCs w:val="24"/>
          <w:lang w:val="es-ES" w:eastAsia="en-US"/>
        </w:rPr>
      </w:pPr>
      <w:r w:rsidRPr="00A44A6B">
        <w:rPr>
          <w:szCs w:val="24"/>
          <w:lang w:val="es-ES" w:eastAsia="en-US"/>
        </w:rPr>
        <w:lastRenderedPageBreak/>
        <w:t>11. pants</w:t>
      </w:r>
      <w:r w:rsidRPr="00A44A6B">
        <w:rPr>
          <w:szCs w:val="24"/>
          <w:lang w:val="es-ES" w:eastAsia="en-US"/>
        </w:rPr>
        <w:br/>
        <w:t>Vienotā sertifikāta pieteikuma pieņemamības pārbaude</w:t>
      </w:r>
    </w:p>
    <w:p w:rsidR="00A44A6B" w:rsidRPr="00A44A6B" w:rsidRDefault="00A44A6B" w:rsidP="00A44A6B">
      <w:pPr>
        <w:spacing w:before="120" w:after="120" w:line="360" w:lineRule="auto"/>
        <w:ind w:left="850" w:hanging="850"/>
        <w:rPr>
          <w:szCs w:val="24"/>
          <w:lang w:val="es-ES" w:eastAsia="en-US"/>
        </w:rPr>
      </w:pPr>
      <w:r w:rsidRPr="00A44A6B">
        <w:rPr>
          <w:szCs w:val="24"/>
          <w:lang w:val="es-ES" w:eastAsia="en-US"/>
        </w:rPr>
        <w:t>1.</w:t>
      </w:r>
      <w:r w:rsidRPr="00A44A6B">
        <w:rPr>
          <w:szCs w:val="24"/>
          <w:lang w:val="es-ES" w:eastAsia="en-US"/>
        </w:rPr>
        <w:tab/>
        <w:t>Birojs pārbauda:</w:t>
      </w:r>
    </w:p>
    <w:p w:rsidR="00A44A6B" w:rsidRPr="00A44A6B" w:rsidRDefault="00A44A6B" w:rsidP="00A44A6B">
      <w:pPr>
        <w:spacing w:before="120" w:after="120" w:line="360" w:lineRule="auto"/>
        <w:ind w:left="1416" w:hanging="566"/>
        <w:rPr>
          <w:szCs w:val="24"/>
          <w:lang w:val="es-ES" w:eastAsia="en-US"/>
        </w:rPr>
      </w:pPr>
      <w:r w:rsidRPr="00A44A6B">
        <w:rPr>
          <w:szCs w:val="24"/>
          <w:lang w:val="es-ES" w:eastAsia="en-US"/>
        </w:rPr>
        <w:t>a)</w:t>
      </w:r>
      <w:r w:rsidRPr="00A44A6B">
        <w:rPr>
          <w:szCs w:val="24"/>
          <w:lang w:val="es-ES" w:eastAsia="en-US"/>
        </w:rPr>
        <w:tab/>
        <w:t>vai vienotā sertifikāta pieteikums atbilst 9. pantam;</w:t>
      </w:r>
    </w:p>
    <w:p w:rsidR="00A44A6B" w:rsidRPr="00DF0A18" w:rsidRDefault="00DF0A18" w:rsidP="00A44A6B">
      <w:pPr>
        <w:spacing w:before="120" w:after="120" w:line="360" w:lineRule="auto"/>
        <w:ind w:left="1416" w:hanging="566"/>
        <w:rPr>
          <w:szCs w:val="24"/>
          <w:lang w:val="fi-FI" w:eastAsia="en-US"/>
        </w:rPr>
      </w:pPr>
      <w:r w:rsidRPr="00DF0A18">
        <w:rPr>
          <w:szCs w:val="24"/>
          <w:lang w:val="fi-FI" w:eastAsia="en-US"/>
        </w:rPr>
        <w:t>b</w:t>
      </w:r>
      <w:r w:rsidR="00A44A6B" w:rsidRPr="00DF0A18">
        <w:rPr>
          <w:szCs w:val="24"/>
          <w:lang w:val="fi-FI" w:eastAsia="en-US"/>
        </w:rPr>
        <w:t>)</w:t>
      </w:r>
      <w:r w:rsidR="00A44A6B" w:rsidRPr="00DF0A18">
        <w:rPr>
          <w:szCs w:val="24"/>
          <w:lang w:val="fi-FI" w:eastAsia="en-US"/>
        </w:rPr>
        <w:tab/>
        <w:t>vai pieteikums atbilst 8. pantam;</w:t>
      </w:r>
    </w:p>
    <w:p w:rsidR="00A44A6B" w:rsidRPr="00DF0A18" w:rsidRDefault="00A44A6B" w:rsidP="00A44A6B">
      <w:pPr>
        <w:spacing w:before="120" w:after="120" w:line="360" w:lineRule="auto"/>
        <w:ind w:left="1416" w:hanging="566"/>
        <w:rPr>
          <w:szCs w:val="24"/>
          <w:lang w:val="fi-FI" w:eastAsia="en-US"/>
        </w:rPr>
      </w:pPr>
      <w:bookmarkStart w:id="8" w:name="_GoBack"/>
      <w:bookmarkEnd w:id="8"/>
      <w:r w:rsidRPr="00DF0A18">
        <w:rPr>
          <w:szCs w:val="24"/>
          <w:lang w:val="fi-FI" w:eastAsia="en-US"/>
        </w:rPr>
        <w:t>c)</w:t>
      </w:r>
      <w:r w:rsidRPr="00DF0A18">
        <w:rPr>
          <w:szCs w:val="24"/>
          <w:lang w:val="fi-FI" w:eastAsia="en-US"/>
        </w:rPr>
        <w:tab/>
        <w:t>vai noteiktajā termiņā ir samaksāta 31. panta 1. punktā minētā nodeva par pieteikuma iesniegšanu.</w:t>
      </w:r>
    </w:p>
    <w:p w:rsidR="00A44A6B" w:rsidRPr="00535CD6" w:rsidRDefault="00A44A6B" w:rsidP="00A44A6B">
      <w:pPr>
        <w:spacing w:before="120" w:after="120" w:line="360" w:lineRule="auto"/>
        <w:ind w:left="850" w:hanging="850"/>
        <w:rPr>
          <w:szCs w:val="24"/>
          <w:lang w:val="es-ES" w:eastAsia="en-US"/>
        </w:rPr>
      </w:pPr>
      <w:r w:rsidRPr="00535CD6">
        <w:rPr>
          <w:szCs w:val="24"/>
          <w:lang w:val="es-ES" w:eastAsia="en-US"/>
        </w:rPr>
        <w:t>2.</w:t>
      </w:r>
      <w:r w:rsidRPr="00535CD6">
        <w:rPr>
          <w:szCs w:val="24"/>
          <w:lang w:val="es-ES" w:eastAsia="en-US"/>
        </w:rPr>
        <w:tab/>
        <w:t>Ja centralizētais pieteikums neatbilst šā panta 1. punktā minētajām prasībām, Birojs lūdz pieteikuma iesniedzēju veikt šo prasību izpildei nepieciešamos pasākumus un nosaka termiņu, kādā ir jānodrošina atbilstība.</w:t>
      </w:r>
    </w:p>
    <w:p w:rsidR="00A44A6B" w:rsidRPr="00535CD6" w:rsidRDefault="00A44A6B" w:rsidP="00A44A6B">
      <w:pPr>
        <w:spacing w:before="120" w:after="120" w:line="360" w:lineRule="auto"/>
        <w:ind w:left="850" w:hanging="850"/>
        <w:rPr>
          <w:szCs w:val="24"/>
          <w:lang w:val="es-ES" w:eastAsia="en-US"/>
        </w:rPr>
      </w:pPr>
      <w:r w:rsidRPr="00535CD6">
        <w:rPr>
          <w:szCs w:val="24"/>
          <w:lang w:val="es-ES" w:eastAsia="en-US"/>
        </w:rPr>
        <w:t>3.</w:t>
      </w:r>
      <w:r w:rsidRPr="00535CD6">
        <w:rPr>
          <w:szCs w:val="24"/>
          <w:lang w:val="es-ES" w:eastAsia="en-US"/>
        </w:rPr>
        <w:tab/>
        <w:t>Ja šā panta 1. punkta c) apakšpunktā minētā nodeva nav samaksāta vai tā nav samaksāta pilnībā, Birojs par to attiecīgi informē pieteikuma iesniedzēju.</w:t>
      </w:r>
    </w:p>
    <w:p w:rsidR="00A44A6B" w:rsidRPr="00535CD6" w:rsidRDefault="00A44A6B" w:rsidP="00A44A6B">
      <w:pPr>
        <w:spacing w:before="120" w:after="120" w:line="360" w:lineRule="auto"/>
        <w:ind w:left="850" w:hanging="850"/>
        <w:rPr>
          <w:szCs w:val="24"/>
          <w:lang w:val="es-ES" w:eastAsia="en-US"/>
        </w:rPr>
      </w:pPr>
      <w:r w:rsidRPr="00535CD6">
        <w:rPr>
          <w:szCs w:val="24"/>
          <w:lang w:val="es-ES" w:eastAsia="en-US"/>
        </w:rPr>
        <w:t>4.</w:t>
      </w:r>
      <w:r w:rsidRPr="00535CD6">
        <w:rPr>
          <w:szCs w:val="24"/>
          <w:lang w:val="es-ES" w:eastAsia="en-US"/>
        </w:rPr>
        <w:tab/>
        <w:t>Ja pieteikuma iesniedzējs neizpilda šā panta 1. punktā minētās prasības šā panta 2. punktā minētajā termiņā, Birojs vienotā sertifikāta pieteikumu noraida.</w:t>
      </w:r>
    </w:p>
    <w:p w:rsidR="005562F3" w:rsidRPr="00535CD6" w:rsidRDefault="005562F3">
      <w:pPr>
        <w:widowControl/>
        <w:rPr>
          <w:szCs w:val="24"/>
          <w:lang w:val="es-ES" w:eastAsia="en-US"/>
        </w:rPr>
      </w:pPr>
      <w:r w:rsidRPr="00535CD6">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12. pants</w:t>
      </w:r>
      <w:r w:rsidRPr="00DF0A18">
        <w:rPr>
          <w:szCs w:val="24"/>
          <w:lang w:val="es-ES" w:eastAsia="en-US"/>
        </w:rPr>
        <w:br/>
        <w:t xml:space="preserve">Pieteikuma publicēšana </w:t>
      </w:r>
    </w:p>
    <w:p w:rsidR="00A44A6B" w:rsidRPr="00DF0A18" w:rsidRDefault="00A44A6B" w:rsidP="00A44A6B">
      <w:pPr>
        <w:spacing w:before="120" w:after="120" w:line="360" w:lineRule="auto"/>
        <w:rPr>
          <w:b/>
          <w:szCs w:val="24"/>
          <w:lang w:val="es-ES" w:eastAsia="en-US"/>
        </w:rPr>
      </w:pPr>
      <w:r w:rsidRPr="00DF0A18">
        <w:rPr>
          <w:szCs w:val="24"/>
          <w:lang w:val="es-ES" w:eastAsia="en-US"/>
        </w:rPr>
        <w:t>Ja vienotā sertifikāta pieteikums atbilst 11. panta 1. punktamvai ja vienotā sertifikāta termiņa pagarinājuma pieteikums atbilst 9. panta 3. punktam, Birojs to publicē reģistrā</w:t>
      </w:r>
      <w:r w:rsidRPr="00DF0A18">
        <w:rPr>
          <w:b/>
          <w:i/>
          <w:szCs w:val="24"/>
          <w:lang w:val="es-ES" w:eastAsia="en-US"/>
        </w:rPr>
        <w:t xml:space="preserve"> bez nepamatotas kavēšanās un ne vēlāk kā piecas darbdienas pēc pieteikuma iesniegšanas</w:t>
      </w:r>
      <w:r w:rsidRPr="00DF0A18">
        <w:rPr>
          <w:szCs w:val="24"/>
          <w:lang w:val="es-ES" w:eastAsia="en-US"/>
        </w:rPr>
        <w:t>.</w:t>
      </w:r>
      <w:r w:rsidR="005562F3" w:rsidRPr="00DF0A18">
        <w:rPr>
          <w:b/>
          <w:szCs w:val="24"/>
          <w:lang w:val="es-ES" w:eastAsia="en-US"/>
        </w:rPr>
        <w:t xml:space="preserve"> [Gr. 30]</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13. pants</w:t>
      </w:r>
      <w:r w:rsidRPr="00DF0A18">
        <w:rPr>
          <w:szCs w:val="24"/>
          <w:lang w:val="es-ES" w:eastAsia="en-US"/>
        </w:rPr>
        <w:br/>
        <w:t>Vienotā sertifikāta pieteikuma pārbaude</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w:t>
      </w:r>
      <w:r w:rsidRPr="00DF0A18">
        <w:rPr>
          <w:szCs w:val="24"/>
          <w:lang w:val="es-ES" w:eastAsia="en-US"/>
        </w:rPr>
        <w:tab/>
        <w:t xml:space="preserve">Birojs pieteikumu novērtē, pamatojoties uz visiem 3. </w:t>
      </w:r>
      <w:r w:rsidRPr="00DF0A18">
        <w:rPr>
          <w:b/>
          <w:i/>
          <w:szCs w:val="24"/>
          <w:lang w:val="es-ES" w:eastAsia="en-US"/>
        </w:rPr>
        <w:t xml:space="preserve">pantā un 6. </w:t>
      </w:r>
      <w:r w:rsidRPr="00DF0A18">
        <w:rPr>
          <w:szCs w:val="24"/>
          <w:lang w:val="es-ES" w:eastAsia="en-US"/>
        </w:rPr>
        <w:t xml:space="preserve">panta </w:t>
      </w:r>
      <w:r w:rsidRPr="00DF0A18">
        <w:rPr>
          <w:strike/>
          <w:szCs w:val="24"/>
          <w:lang w:val="es-ES" w:eastAsia="en-US"/>
        </w:rPr>
        <w:t>1</w:t>
      </w:r>
      <w:r w:rsidRPr="00DF0A18">
        <w:rPr>
          <w:b/>
          <w:i/>
          <w:szCs w:val="24"/>
          <w:lang w:val="es-ES" w:eastAsia="en-US"/>
        </w:rPr>
        <w:t>2</w:t>
      </w:r>
      <w:r w:rsidRPr="00DF0A18">
        <w:rPr>
          <w:szCs w:val="24"/>
          <w:lang w:val="es-ES" w:eastAsia="en-US"/>
        </w:rPr>
        <w:t>. punktā minētajiem nosacījumiem, attiecībā uz visām dalībvalstīm, kurās pamatpatentam ir vienots spēks.</w:t>
      </w:r>
      <w:r w:rsidR="005562F3" w:rsidRPr="00DF0A18">
        <w:rPr>
          <w:b/>
          <w:szCs w:val="24"/>
          <w:lang w:val="es-ES" w:eastAsia="en-US"/>
        </w:rPr>
        <w:t xml:space="preserve"> [Gr. 31]</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2.</w:t>
      </w:r>
      <w:r w:rsidRPr="00DF0A18">
        <w:rPr>
          <w:szCs w:val="24"/>
          <w:lang w:val="es-ES" w:eastAsia="en-US"/>
        </w:rPr>
        <w:tab/>
        <w:t xml:space="preserve">Ja vienotā sertifikāta pieteikums un produkts, uz kuru tas attiecas, atbilst 3. </w:t>
      </w:r>
      <w:r w:rsidRPr="00DF0A18">
        <w:rPr>
          <w:b/>
          <w:i/>
          <w:szCs w:val="24"/>
          <w:lang w:val="es-ES" w:eastAsia="en-US"/>
        </w:rPr>
        <w:t xml:space="preserve">pantam un 6. </w:t>
      </w:r>
      <w:r w:rsidRPr="00DF0A18">
        <w:rPr>
          <w:szCs w:val="24"/>
          <w:lang w:val="es-ES" w:eastAsia="en-US"/>
        </w:rPr>
        <w:t xml:space="preserve">panta </w:t>
      </w:r>
      <w:r w:rsidRPr="00DF0A18">
        <w:rPr>
          <w:strike/>
          <w:szCs w:val="24"/>
          <w:lang w:val="es-ES" w:eastAsia="en-US"/>
        </w:rPr>
        <w:t>1</w:t>
      </w:r>
      <w:r w:rsidRPr="00DF0A18">
        <w:rPr>
          <w:b/>
          <w:i/>
          <w:szCs w:val="24"/>
          <w:lang w:val="es-ES" w:eastAsia="en-US"/>
        </w:rPr>
        <w:t>2</w:t>
      </w:r>
      <w:r w:rsidRPr="00DF0A18">
        <w:rPr>
          <w:szCs w:val="24"/>
          <w:lang w:val="es-ES" w:eastAsia="en-US"/>
        </w:rPr>
        <w:t>. punktam katrā no šā panta 1. punktā minētajām dalībvalstīm, Birojs izdod pamatotu pozitīvu atzinumu par vienotā sertifikāta piešķiršanu. Atzinumu Birojs paziņo pieteikuma iesniedzējam</w:t>
      </w:r>
      <w:r w:rsidRPr="00DF0A18">
        <w:rPr>
          <w:b/>
          <w:i/>
          <w:szCs w:val="24"/>
          <w:lang w:val="es-ES" w:eastAsia="en-US"/>
        </w:rPr>
        <w:t>, izmantojot elektronisko platformu, un bez nepamatotas kavēšanās to publicē reģistrā</w:t>
      </w:r>
      <w:r w:rsidRPr="00DF0A18">
        <w:rPr>
          <w:szCs w:val="24"/>
          <w:lang w:val="es-ES" w:eastAsia="en-US"/>
        </w:rPr>
        <w:t>.</w:t>
      </w:r>
      <w:r w:rsidR="005562F3" w:rsidRPr="00DF0A18">
        <w:rPr>
          <w:b/>
          <w:szCs w:val="24"/>
          <w:lang w:val="es-ES" w:eastAsia="en-US"/>
        </w:rPr>
        <w:t xml:space="preserve"> [Gr. 32]</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lastRenderedPageBreak/>
        <w:t>3.</w:t>
      </w:r>
      <w:r w:rsidRPr="00DF0A18">
        <w:rPr>
          <w:szCs w:val="24"/>
          <w:lang w:val="es-ES" w:eastAsia="en-US"/>
        </w:rPr>
        <w:tab/>
        <w:t xml:space="preserve">Ja vienotā sertifikāta pieteikums un produkts, uz kuru tas attiecas, </w:t>
      </w:r>
      <w:r w:rsidRPr="00DF0A18">
        <w:rPr>
          <w:strike/>
          <w:szCs w:val="24"/>
          <w:lang w:val="es-ES" w:eastAsia="en-US"/>
        </w:rPr>
        <w:t xml:space="preserve">neatbilst 3. panta 1. punktam </w:t>
      </w:r>
      <w:r w:rsidRPr="00DF0A18">
        <w:rPr>
          <w:szCs w:val="24"/>
          <w:lang w:val="es-ES" w:eastAsia="en-US"/>
        </w:rPr>
        <w:t>vienā vai vairākās attiecīgajās dalībvalstīs</w:t>
      </w:r>
      <w:r w:rsidRPr="00DF0A18">
        <w:rPr>
          <w:b/>
          <w:i/>
          <w:szCs w:val="24"/>
          <w:lang w:val="es-ES" w:eastAsia="en-US"/>
        </w:rPr>
        <w:t xml:space="preserve"> neatbilst 3. pantam un 6. panta 2. punktam</w:t>
      </w:r>
      <w:r w:rsidRPr="00DF0A18">
        <w:rPr>
          <w:szCs w:val="24"/>
          <w:lang w:val="es-ES" w:eastAsia="en-US"/>
        </w:rPr>
        <w:t>, Birojs</w:t>
      </w:r>
      <w:r w:rsidRPr="00DF0A18">
        <w:rPr>
          <w:strike/>
          <w:szCs w:val="24"/>
          <w:lang w:val="es-ES" w:eastAsia="en-US"/>
        </w:rPr>
        <w:t xml:space="preserve"> izdod pamatotu negatīvu atzinumu</w:t>
      </w:r>
      <w:r w:rsidRPr="00DF0A18">
        <w:rPr>
          <w:szCs w:val="24"/>
          <w:lang w:val="es-ES" w:eastAsia="en-US"/>
        </w:rPr>
        <w:t xml:space="preserve"> par vienotā sertifikāta piešķiršanu</w:t>
      </w:r>
      <w:r w:rsidRPr="00DF0A18">
        <w:rPr>
          <w:b/>
          <w:i/>
          <w:szCs w:val="24"/>
          <w:lang w:val="es-ES" w:eastAsia="en-US"/>
        </w:rPr>
        <w:t xml:space="preserve"> izdod pamatotu negatīvu atzinumu</w:t>
      </w:r>
      <w:r w:rsidRPr="00DF0A18">
        <w:rPr>
          <w:szCs w:val="24"/>
          <w:lang w:val="es-ES" w:eastAsia="en-US"/>
        </w:rPr>
        <w:t>. Atzinumu Birojs paziņo pieteikuma iesniedzējam</w:t>
      </w:r>
      <w:r w:rsidRPr="00DF0A18">
        <w:rPr>
          <w:b/>
          <w:i/>
          <w:szCs w:val="24"/>
          <w:lang w:val="es-ES" w:eastAsia="en-US"/>
        </w:rPr>
        <w:t>, izmantojot elektronisko platformu, un bez nepamatotas kavēšanās to publicē reģistrā</w:t>
      </w:r>
      <w:r w:rsidRPr="00DF0A18">
        <w:rPr>
          <w:szCs w:val="24"/>
          <w:lang w:val="es-ES" w:eastAsia="en-US"/>
        </w:rPr>
        <w:t>.</w:t>
      </w:r>
      <w:r w:rsidR="005562F3" w:rsidRPr="00DF0A18">
        <w:rPr>
          <w:b/>
          <w:szCs w:val="24"/>
          <w:lang w:val="es-ES" w:eastAsia="en-US"/>
        </w:rPr>
        <w:t xml:space="preserve"> [Gr. 33]</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4.</w:t>
      </w:r>
      <w:r w:rsidRPr="00DF0A18">
        <w:rPr>
          <w:szCs w:val="24"/>
          <w:lang w:val="es-ES" w:eastAsia="en-US"/>
        </w:rPr>
        <w:tab/>
        <w:t>Birojs pārtulko pārbaudes atzinumu visu norādīto dalībvalstu oficiālajās valodās. Šajā nolūkā Birojs var izmantot verificētu mašīntulkojumu.</w:t>
      </w:r>
      <w:r w:rsidRPr="00DF0A18">
        <w:rPr>
          <w:b/>
          <w:i/>
          <w:szCs w:val="24"/>
          <w:lang w:val="es-ES" w:eastAsia="en-US"/>
        </w:rPr>
        <w:t xml:space="preserve"> Birojs pārbaudes atzinumu publicē reģistrā iespējami drīz pēc tā izdošanas.</w:t>
      </w:r>
      <w:r w:rsidR="005562F3" w:rsidRPr="00DF0A18">
        <w:rPr>
          <w:b/>
          <w:szCs w:val="24"/>
          <w:lang w:val="es-ES" w:eastAsia="en-US"/>
        </w:rPr>
        <w:t xml:space="preserve"> [Gr. 34]</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5.</w:t>
      </w:r>
      <w:r w:rsidRPr="00DF0A18">
        <w:rPr>
          <w:szCs w:val="24"/>
          <w:lang w:val="es-ES" w:eastAsia="en-US"/>
        </w:rPr>
        <w:tab/>
        <w:t xml:space="preserve">Komisija </w:t>
      </w:r>
      <w:r w:rsidRPr="00DF0A18">
        <w:rPr>
          <w:strike/>
          <w:szCs w:val="24"/>
          <w:lang w:val="es-ES" w:eastAsia="en-US"/>
        </w:rPr>
        <w:t>ir</w:t>
      </w:r>
      <w:r w:rsidRPr="00DF0A18">
        <w:rPr>
          <w:b/>
          <w:i/>
          <w:szCs w:val="24"/>
          <w:lang w:val="es-ES" w:eastAsia="en-US"/>
        </w:rPr>
        <w:t>tiek</w:t>
      </w:r>
      <w:r w:rsidRPr="00DF0A18">
        <w:rPr>
          <w:szCs w:val="24"/>
          <w:lang w:val="es-ES" w:eastAsia="en-US"/>
        </w:rPr>
        <w:t xml:space="preserve"> pilnvarota pieņemt īstenošanas aktus, </w:t>
      </w:r>
      <w:r w:rsidRPr="00DF0A18">
        <w:rPr>
          <w:strike/>
          <w:szCs w:val="24"/>
          <w:lang w:val="es-ES" w:eastAsia="en-US"/>
        </w:rPr>
        <w:t>kas</w:t>
      </w:r>
      <w:r w:rsidRPr="00DF0A18">
        <w:rPr>
          <w:b/>
          <w:i/>
          <w:szCs w:val="24"/>
          <w:lang w:val="es-ES" w:eastAsia="en-US"/>
        </w:rPr>
        <w:t>ar kuriem</w:t>
      </w:r>
      <w:r w:rsidRPr="00DF0A18">
        <w:rPr>
          <w:szCs w:val="24"/>
          <w:lang w:val="es-ES" w:eastAsia="en-US"/>
        </w:rPr>
        <w:t xml:space="preserve"> nosaka noteikumus par procedūrām, kas ir jāievēro saistībā ar pieteikuma iesniegšanu, un kārtību, kādā pārbaudes komisijas pārbauda vienotā sertifikāta pieteikumus un sagatavo pārbaudes atzinumus, kā arī kārtību, kādā Birojs </w:t>
      </w:r>
      <w:r w:rsidRPr="00DF0A18">
        <w:rPr>
          <w:b/>
          <w:i/>
          <w:szCs w:val="24"/>
          <w:lang w:val="es-ES" w:eastAsia="en-US"/>
        </w:rPr>
        <w:t xml:space="preserve">elektroniskā formātā </w:t>
      </w:r>
      <w:r w:rsidRPr="00DF0A18">
        <w:rPr>
          <w:szCs w:val="24"/>
          <w:lang w:val="es-ES" w:eastAsia="en-US"/>
        </w:rPr>
        <w:t xml:space="preserve">izdod pārbaudes atzinumus. Minētos īstenošanas aktus pieņem saskaņā ar </w:t>
      </w:r>
      <w:r w:rsidRPr="00DF0A18">
        <w:rPr>
          <w:strike/>
          <w:szCs w:val="24"/>
          <w:lang w:val="es-ES" w:eastAsia="en-US"/>
        </w:rPr>
        <w:t xml:space="preserve">55. pantā minēto </w:t>
      </w:r>
      <w:r w:rsidRPr="00DF0A18">
        <w:rPr>
          <w:szCs w:val="24"/>
          <w:lang w:val="es-ES" w:eastAsia="en-US"/>
        </w:rPr>
        <w:t>pārbaudes procedūru</w:t>
      </w:r>
      <w:r w:rsidRPr="00DF0A18">
        <w:rPr>
          <w:b/>
          <w:i/>
          <w:szCs w:val="24"/>
          <w:lang w:val="es-ES" w:eastAsia="en-US"/>
        </w:rPr>
        <w:t>, kas minēta 55</w:t>
      </w:r>
      <w:r w:rsidRPr="00DF0A18">
        <w:rPr>
          <w:szCs w:val="24"/>
          <w:lang w:val="es-ES" w:eastAsia="en-US"/>
        </w:rPr>
        <w:t>.</w:t>
      </w:r>
      <w:r w:rsidRPr="00DF0A18">
        <w:rPr>
          <w:b/>
          <w:i/>
          <w:szCs w:val="24"/>
          <w:lang w:val="es-ES" w:eastAsia="en-US"/>
        </w:rPr>
        <w:t xml:space="preserve"> pantā.</w:t>
      </w:r>
      <w:r w:rsidR="005562F3" w:rsidRPr="00DF0A18">
        <w:rPr>
          <w:b/>
          <w:szCs w:val="24"/>
          <w:lang w:val="es-ES" w:eastAsia="en-US"/>
        </w:rPr>
        <w:t xml:space="preserve"> [Gr. 35]</w:t>
      </w:r>
    </w:p>
    <w:p w:rsidR="005562F3" w:rsidRPr="00DF0A18" w:rsidRDefault="005562F3">
      <w:pPr>
        <w:widowControl/>
        <w:rPr>
          <w:b/>
          <w:i/>
          <w:szCs w:val="24"/>
          <w:lang w:val="es-ES" w:eastAsia="en-US"/>
        </w:rPr>
      </w:pPr>
      <w:r w:rsidRPr="00DF0A18">
        <w:rPr>
          <w:b/>
          <w:i/>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b/>
          <w:i/>
          <w:szCs w:val="24"/>
          <w:lang w:val="es-ES" w:eastAsia="en-US"/>
        </w:rPr>
        <w:lastRenderedPageBreak/>
        <w:t>5a.</w:t>
      </w:r>
      <w:r w:rsidRPr="00DF0A18">
        <w:rPr>
          <w:szCs w:val="24"/>
          <w:lang w:val="es-ES" w:eastAsia="en-US"/>
        </w:rPr>
        <w:tab/>
      </w:r>
      <w:r w:rsidRPr="00DF0A18">
        <w:rPr>
          <w:b/>
          <w:i/>
          <w:szCs w:val="24"/>
          <w:lang w:val="es-ES" w:eastAsia="en-US"/>
        </w:rPr>
        <w:t>Birojs izdod pārbaudes atzinumu sešu mēnešu laikā pēc vienotā sertifikāta pieteikuma publicēšanas. Neskarot šīs regulas 14., 25. un 28. pantu, gadījumos, kad tas ir pienācīgi pamatots steidzamības dēļ, pieteikuma iesniedzējs var iesniegt pieprasījumu par paātrinātu procedūru. Ja pieprasījumu piemērot paātrinātu izskatīšanas procedūru uzskata par pamatotu, Birojs četru mēnešu laikā pēc vienotā sertifikāta pieteikuma publicēšanas pieņem pārbaudes atzinumu.</w:t>
      </w:r>
      <w:r w:rsidR="005562F3" w:rsidRPr="00DF0A18">
        <w:rPr>
          <w:b/>
          <w:szCs w:val="24"/>
          <w:lang w:val="es-ES" w:eastAsia="en-US"/>
        </w:rPr>
        <w:t xml:space="preserve"> [Gr. 36]</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14. pants</w:t>
      </w:r>
      <w:r w:rsidRPr="00DF0A18">
        <w:rPr>
          <w:szCs w:val="24"/>
          <w:lang w:val="es-ES" w:eastAsia="en-US"/>
        </w:rPr>
        <w:br/>
        <w:t>Trešo personu apsvērumi</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w:t>
      </w:r>
      <w:r w:rsidRPr="00DF0A18">
        <w:rPr>
          <w:szCs w:val="24"/>
          <w:lang w:val="es-ES" w:eastAsia="en-US"/>
        </w:rPr>
        <w:tab/>
        <w:t>Ikviena fiziska vai juridiska persona var iesniegt Birojā rakstiskus apsvērumus par to, vai pieteikumā norādītajam produktam ir tiesības uz papildu aizsardzību vienā vai vairākās dalībvalstīs, kurās pamatpatentam ir vienots spēks.</w:t>
      </w:r>
      <w:r w:rsidRPr="00DF0A18">
        <w:rPr>
          <w:b/>
          <w:i/>
          <w:szCs w:val="24"/>
          <w:lang w:val="es-ES" w:eastAsia="en-US"/>
        </w:rPr>
        <w:t xml:space="preserve"> Šādus rakstiskus apsvērumus Birojam iesniedz elektroniski.</w:t>
      </w:r>
      <w:r w:rsidR="005562F3" w:rsidRPr="00DF0A18">
        <w:rPr>
          <w:b/>
          <w:szCs w:val="24"/>
          <w:lang w:val="es-ES" w:eastAsia="en-US"/>
        </w:rPr>
        <w:t xml:space="preserve"> [Gr. 37]</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Fizisku vai juridisku personu, kas iesniegusi rakstiskus apsvērumus saskaņā ar šā panta 1. punktu, neuzskata par procesā iesaistīto pusi.</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3.</w:t>
      </w:r>
      <w:r w:rsidRPr="00DF0A18">
        <w:rPr>
          <w:szCs w:val="24"/>
          <w:lang w:val="es-ES" w:eastAsia="en-US"/>
        </w:rPr>
        <w:tab/>
        <w:t>Trešo personu apsvērumus iesniedz 3 mēnešu laikā pēc pieteikuma publicēšanas reģistrā.</w:t>
      </w:r>
    </w:p>
    <w:p w:rsidR="00A44A6B" w:rsidRPr="00DF0A18" w:rsidRDefault="00A44A6B" w:rsidP="00A44A6B">
      <w:pPr>
        <w:spacing w:before="120" w:after="120" w:line="360" w:lineRule="auto"/>
        <w:ind w:left="850"/>
        <w:rPr>
          <w:b/>
          <w:szCs w:val="24"/>
          <w:lang w:val="es-ES" w:eastAsia="en-US"/>
        </w:rPr>
      </w:pPr>
      <w:r w:rsidRPr="00DF0A18">
        <w:rPr>
          <w:b/>
          <w:i/>
          <w:szCs w:val="24"/>
          <w:lang w:val="es-ES" w:eastAsia="en-US"/>
        </w:rPr>
        <w:t>Ja piemēro paātrināto procedūru saskaņā ar 13. panta 5.a punktu, apsvērumus iesniedz sešu nedēļu laikā pēc pieteikuma publicēšanas reģistrā.</w:t>
      </w:r>
      <w:r w:rsidR="005562F3" w:rsidRPr="00DF0A18">
        <w:rPr>
          <w:b/>
          <w:szCs w:val="24"/>
          <w:lang w:val="es-ES" w:eastAsia="en-US"/>
        </w:rPr>
        <w:t xml:space="preserve"> [Gr. 38]</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4.</w:t>
      </w:r>
      <w:r w:rsidRPr="00DF0A18">
        <w:rPr>
          <w:szCs w:val="24"/>
          <w:lang w:val="es-ES" w:eastAsia="en-US"/>
        </w:rPr>
        <w:tab/>
        <w:t xml:space="preserve">Trešā persona iesniedz apsvērumus </w:t>
      </w:r>
      <w:r w:rsidRPr="00DF0A18">
        <w:rPr>
          <w:strike/>
          <w:szCs w:val="24"/>
          <w:lang w:val="es-ES" w:eastAsia="en-US"/>
        </w:rPr>
        <w:t>rakstveidā</w:t>
      </w:r>
      <w:r w:rsidRPr="00DF0A18">
        <w:rPr>
          <w:b/>
          <w:i/>
          <w:szCs w:val="24"/>
          <w:lang w:val="es-ES" w:eastAsia="en-US"/>
        </w:rPr>
        <w:t>elektroniski</w:t>
      </w:r>
      <w:r w:rsidRPr="00DF0A18">
        <w:rPr>
          <w:szCs w:val="24"/>
          <w:lang w:val="es-ES" w:eastAsia="en-US"/>
        </w:rPr>
        <w:t xml:space="preserve"> vienā no Savienības oficiālajām valodām un norāda savu apsvērumu pamatojumu.</w:t>
      </w:r>
      <w:r w:rsidR="005562F3" w:rsidRPr="00DF0A18">
        <w:rPr>
          <w:b/>
          <w:szCs w:val="24"/>
          <w:lang w:val="es-ES" w:eastAsia="en-US"/>
        </w:rPr>
        <w:t xml:space="preserve"> [Gr. 39]</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Trešās personas iesniegtus apsvērumus paziņo pieteikuma iesniedzējam. Pieteikuma iesniedzējs var izteikt piezīmes par apsvērumiem Biroja noteiktajā termiņā.</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15. pants</w:t>
      </w:r>
      <w:r w:rsidRPr="00DF0A18">
        <w:rPr>
          <w:szCs w:val="24"/>
          <w:lang w:val="es-ES" w:eastAsia="en-US"/>
        </w:rPr>
        <w:br/>
        <w:t>Iebildumi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Divu mēnešu laikā pēc pārbaudes atzinuma publicēšanas par vienotā sertifikāta pieteikumu ikviens (“iebilduma iesniedzējs”) var iesniegt Birojā iebilduma paziņojumu pret minēto atzinumu.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Iebildumu var iesniegt vienīgi ar pamatojumu, ka viens vai vairāki no 3. pantā minētajiem nosacījumiem nav izpildīti vienā vai vairākās dalībvalstīs, kurās pamatpatentam ir vienots spēks.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Iebildumu iesniedz rakstveidā, un tajā norāda tā pamatojumu. To uzskata par pienācīgi iesniegtu vienīgi tad, kad ir samaksāta iebilduma nodeva.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Iebilduma paziņojums satur:</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atsauces uz vienotā sertifikāta pieteikumu, pret kuru iesniedz iebildumu, tā īpašnieka  vārdu/nosaukumu un produkta identifikācijas informāciju;</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ziņas par iebilduma iesniedzēju un attiecīgā gadījumā par tā pārstāvi;</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c)</w:t>
      </w:r>
      <w:r w:rsidRPr="00DF0A18">
        <w:rPr>
          <w:szCs w:val="24"/>
          <w:lang w:val="es-ES" w:eastAsia="en-US"/>
        </w:rPr>
        <w:tab/>
        <w:t>izklāstu par to, kādā mērā tiek celti iebildumi pret pārbaudes atzinumu un ar kādu pamatojumu.</w:t>
      </w:r>
    </w:p>
    <w:p w:rsidR="00A44A6B" w:rsidRPr="00DF0A18" w:rsidRDefault="00A44A6B" w:rsidP="00A44A6B">
      <w:pPr>
        <w:spacing w:before="120" w:after="120" w:line="360" w:lineRule="auto"/>
        <w:ind w:left="1416" w:hanging="566"/>
        <w:rPr>
          <w:b/>
          <w:szCs w:val="24"/>
          <w:lang w:val="es-ES" w:eastAsia="en-US"/>
        </w:rPr>
      </w:pPr>
      <w:r w:rsidRPr="00DF0A18">
        <w:rPr>
          <w:b/>
          <w:i/>
          <w:szCs w:val="24"/>
          <w:lang w:val="es-ES" w:eastAsia="en-US"/>
        </w:rPr>
        <w:t>ca)</w:t>
      </w:r>
      <w:r w:rsidRPr="00DF0A18">
        <w:rPr>
          <w:szCs w:val="24"/>
          <w:lang w:val="es-ES" w:eastAsia="en-US"/>
        </w:rPr>
        <w:tab/>
      </w:r>
      <w:r w:rsidRPr="00DF0A18">
        <w:rPr>
          <w:b/>
          <w:i/>
          <w:szCs w:val="24"/>
          <w:lang w:val="es-ES" w:eastAsia="en-US"/>
        </w:rPr>
        <w:t>visus pierādījumus, uz kuriem iebildumu iesniedzējs atsaucas, lai pamatotu iebildumu;</w:t>
      </w:r>
      <w:r w:rsidR="005562F3" w:rsidRPr="00DF0A18">
        <w:rPr>
          <w:b/>
          <w:szCs w:val="24"/>
          <w:lang w:val="es-ES" w:eastAsia="en-US"/>
        </w:rPr>
        <w:t xml:space="preserve"> [Gr. 40]</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Iebildumu izskata iebildumu izskatīšanas komisija, ko Birojs izveido saskaņā ar 17. pantā minētajiem noteikumiem, kuri attiecas uz pārbaudes komisiju izveidi. Tomēr iebildumu izskatīšanas komisijā nevar iekļaut pārbaudītājus, kas iepriekš piedalījušies pārbaudes komisijā, kura pārbaudījusi vienotā sertifikāta pieteikumu.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lastRenderedPageBreak/>
        <w:t>6.</w:t>
      </w:r>
      <w:r w:rsidRPr="00DF0A18">
        <w:rPr>
          <w:szCs w:val="24"/>
          <w:lang w:val="es-ES" w:eastAsia="en-US"/>
        </w:rPr>
        <w:tab/>
        <w:t xml:space="preserve">Ja iebildumu izskatīšanas komisija konstatē, ka </w:t>
      </w:r>
      <w:r w:rsidRPr="00DF0A18">
        <w:rPr>
          <w:strike/>
          <w:szCs w:val="24"/>
          <w:lang w:val="es-ES" w:eastAsia="en-US"/>
        </w:rPr>
        <w:t>iebildumu</w:t>
      </w:r>
      <w:r w:rsidRPr="00DF0A18">
        <w:rPr>
          <w:b/>
          <w:i/>
          <w:szCs w:val="24"/>
          <w:lang w:val="es-ES" w:eastAsia="en-US"/>
        </w:rPr>
        <w:t>iebilduma</w:t>
      </w:r>
      <w:r w:rsidRPr="00DF0A18">
        <w:rPr>
          <w:szCs w:val="24"/>
          <w:lang w:val="es-ES" w:eastAsia="en-US"/>
        </w:rPr>
        <w:t xml:space="preserve"> paziņojumsneatbilst šā panta 2., 3. vai 4. punktā minētajiem nosacījumiem, tā iebildumu noraida kā nepieņemamu un paziņo </w:t>
      </w:r>
      <w:r w:rsidRPr="00DF0A18">
        <w:rPr>
          <w:strike/>
          <w:szCs w:val="24"/>
          <w:lang w:val="es-ES" w:eastAsia="en-US"/>
        </w:rPr>
        <w:t>par to iebildumu</w:t>
      </w:r>
      <w:r w:rsidRPr="00DF0A18">
        <w:rPr>
          <w:b/>
          <w:i/>
          <w:szCs w:val="24"/>
          <w:lang w:val="es-ES" w:eastAsia="en-US"/>
        </w:rPr>
        <w:t>savu lēmumu un tā pamatojumu iebilduma</w:t>
      </w:r>
      <w:r w:rsidRPr="00DF0A18">
        <w:rPr>
          <w:szCs w:val="24"/>
          <w:lang w:val="es-ES" w:eastAsia="en-US"/>
        </w:rPr>
        <w:t xml:space="preserve"> iesniedzējam</w:t>
      </w:r>
      <w:r w:rsidRPr="00DF0A18">
        <w:rPr>
          <w:b/>
          <w:i/>
          <w:szCs w:val="24"/>
          <w:lang w:val="es-ES" w:eastAsia="en-US"/>
        </w:rPr>
        <w:t>, tiklīdz tas ir praktiski iespējams pēc iebilduma paziņojuma iesniegšanas</w:t>
      </w:r>
      <w:r w:rsidRPr="00DF0A18">
        <w:rPr>
          <w:szCs w:val="24"/>
          <w:lang w:val="es-ES" w:eastAsia="en-US"/>
        </w:rPr>
        <w:t>, ja vien šos trūkumus nenovērš šā panta 1. punktā minētajā iebildumu iesniegšanas termiņā.</w:t>
      </w:r>
      <w:r w:rsidR="005562F3" w:rsidRPr="00DF0A18">
        <w:rPr>
          <w:b/>
          <w:szCs w:val="24"/>
          <w:lang w:val="es-ES" w:eastAsia="en-US"/>
        </w:rPr>
        <w:t xml:space="preserve"> [Gr. 41]</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7.</w:t>
      </w:r>
      <w:r w:rsidRPr="00DF0A18">
        <w:rPr>
          <w:szCs w:val="24"/>
          <w:lang w:val="es-ES" w:eastAsia="en-US"/>
        </w:rPr>
        <w:tab/>
        <w:t>Lēmumu par iebilduma noraidīšanu to nepieņemamības dēļ paziņo vienotā sertifikāta pieteikuma iesniedzējam, nosūtot tam arī iebilduma paziņojuma  kopiju.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8.</w:t>
      </w:r>
      <w:r w:rsidRPr="00DF0A18">
        <w:rPr>
          <w:szCs w:val="24"/>
          <w:lang w:val="es-ES" w:eastAsia="en-US"/>
        </w:rPr>
        <w:tab/>
        <w:t>Iebilduma paziņojumu  atzīst par nepieņemamu, ja Birojs iepriekš ir izskatījis apelāciju ar tādu pašu prasības priekšmetu un pamatu, ir pieņēmis lēmumu pēc būtības un Biroja lēmums šajā apelācijas  lietā ir kļuvis galīgs.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9.</w:t>
      </w:r>
      <w:r w:rsidRPr="00DF0A18">
        <w:rPr>
          <w:szCs w:val="24"/>
          <w:lang w:val="es-ES" w:eastAsia="en-US"/>
        </w:rPr>
        <w:tab/>
        <w:t>Ja iebilduma paziņojumu  nenoraida kā nepieņemamu, Birojs nevilcinoties pārsūta iebilduma paziņojumu  pieteikuma iesniedzējam un publicē to reģistrā. Ja ir iesniegti vairāki iebilduma paziņojumi, Birojs nevilcinoties pārsūta tos pārējiem iebilduma iesniedzējiem.</w:t>
      </w:r>
    </w:p>
    <w:p w:rsidR="005562F3" w:rsidRPr="00DF0A18" w:rsidRDefault="005562F3">
      <w:pPr>
        <w:widowControl/>
        <w:rPr>
          <w:b/>
          <w:i/>
          <w:szCs w:val="24"/>
          <w:lang w:val="es-ES" w:eastAsia="en-US"/>
        </w:rPr>
      </w:pPr>
      <w:r w:rsidRPr="00DF0A18">
        <w:rPr>
          <w:b/>
          <w:i/>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b/>
          <w:i/>
          <w:szCs w:val="24"/>
          <w:lang w:val="es-ES" w:eastAsia="en-US"/>
        </w:rPr>
        <w:lastRenderedPageBreak/>
        <w:t>9a.</w:t>
      </w:r>
      <w:r w:rsidRPr="00DF0A18">
        <w:rPr>
          <w:szCs w:val="24"/>
          <w:lang w:val="es-ES" w:eastAsia="en-US"/>
        </w:rPr>
        <w:tab/>
      </w:r>
      <w:r w:rsidRPr="00DF0A18">
        <w:rPr>
          <w:b/>
          <w:i/>
          <w:szCs w:val="24"/>
          <w:lang w:val="es-ES" w:eastAsia="en-US"/>
        </w:rPr>
        <w:t>Ja pret pārbaudes atzinumu ir iesniegti vairāki iebildumi, Birojs tos izskata kopā un pieņem vienu lēmumu par visiem iesniegtajiem iebildumiem.</w:t>
      </w:r>
      <w:r w:rsidR="005562F3" w:rsidRPr="00DF0A18">
        <w:rPr>
          <w:b/>
          <w:szCs w:val="24"/>
          <w:lang w:val="es-ES" w:eastAsia="en-US"/>
        </w:rPr>
        <w:t xml:space="preserve"> [Gr. 42]</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10.</w:t>
      </w:r>
      <w:r w:rsidRPr="00DF0A18">
        <w:rPr>
          <w:szCs w:val="24"/>
          <w:lang w:val="es-ES" w:eastAsia="en-US"/>
        </w:rPr>
        <w:tab/>
        <w:t>Birojs lēmumu par iebildumu</w:t>
      </w:r>
      <w:r w:rsidRPr="00DF0A18">
        <w:rPr>
          <w:b/>
          <w:i/>
          <w:szCs w:val="24"/>
          <w:lang w:val="es-ES" w:eastAsia="en-US"/>
        </w:rPr>
        <w:t>, tostarp detalizētu šā lēmuma pamatojuma izklāstu,</w:t>
      </w:r>
      <w:r w:rsidRPr="00DF0A18">
        <w:rPr>
          <w:szCs w:val="24"/>
          <w:lang w:val="es-ES" w:eastAsia="en-US"/>
        </w:rPr>
        <w:t xml:space="preserve"> pieņem 6 mēnešu laikā, izņemot gadījumus, kad lietas sarežģītības dēļ tam ir nepieciešams ilgāks laiks.</w:t>
      </w:r>
      <w:r w:rsidR="005562F3" w:rsidRPr="00DF0A18">
        <w:rPr>
          <w:b/>
          <w:szCs w:val="24"/>
          <w:lang w:val="es-ES" w:eastAsia="en-US"/>
        </w:rPr>
        <w:t xml:space="preserve"> [Gr. 43]</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11.</w:t>
      </w:r>
      <w:r w:rsidRPr="00DF0A18">
        <w:rPr>
          <w:szCs w:val="24"/>
          <w:lang w:val="es-ES" w:eastAsia="en-US"/>
        </w:rPr>
        <w:tab/>
        <w:t>Ja iebildumu izskatīšanas komisija secina, ka iebilduma pamatojums nedod pamatu mainīt pārbaudes atzinumu, tā iebildumu noraida, un Birojs norāda šo informāciju reģistrā.</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12.</w:t>
      </w:r>
      <w:r w:rsidRPr="00DF0A18">
        <w:rPr>
          <w:szCs w:val="24"/>
          <w:lang w:val="es-ES" w:eastAsia="en-US"/>
        </w:rPr>
        <w:tab/>
        <w:t xml:space="preserve">Ja iebildumu izskatīšanas komisija uzskata, ka vismaz viens no iebilduma pamatojumiem dod pamatu mainīt pārbaudes atzinumu, tā pieņem grozītu atzinumu, un Birojs </w:t>
      </w:r>
      <w:r w:rsidRPr="00DF0A18">
        <w:rPr>
          <w:strike/>
          <w:szCs w:val="24"/>
          <w:lang w:val="es-ES" w:eastAsia="en-US"/>
        </w:rPr>
        <w:t>norāda šo informāciju</w:t>
      </w:r>
      <w:r w:rsidRPr="00DF0A18">
        <w:rPr>
          <w:b/>
          <w:i/>
          <w:szCs w:val="24"/>
          <w:lang w:val="es-ES" w:eastAsia="en-US"/>
        </w:rPr>
        <w:t>sava lēmuma pilno tekstu publicē</w:t>
      </w:r>
      <w:r w:rsidRPr="00DF0A18">
        <w:rPr>
          <w:szCs w:val="24"/>
          <w:lang w:val="es-ES" w:eastAsia="en-US"/>
        </w:rPr>
        <w:t xml:space="preserve"> reģistrā.</w:t>
      </w:r>
      <w:r w:rsidR="005562F3" w:rsidRPr="00DF0A18">
        <w:rPr>
          <w:b/>
          <w:szCs w:val="24"/>
          <w:lang w:val="es-ES" w:eastAsia="en-US"/>
        </w:rPr>
        <w:t xml:space="preserve"> [Gr. 44]</w:t>
      </w:r>
    </w:p>
    <w:p w:rsidR="00A44A6B" w:rsidRPr="00DF0A18" w:rsidRDefault="00A44A6B" w:rsidP="00A44A6B">
      <w:pPr>
        <w:spacing w:before="120" w:after="120" w:line="360" w:lineRule="auto"/>
        <w:ind w:left="850" w:hanging="850"/>
        <w:rPr>
          <w:b/>
          <w:szCs w:val="24"/>
          <w:lang w:val="es-ES" w:eastAsia="en-US"/>
        </w:rPr>
      </w:pPr>
      <w:r w:rsidRPr="00DF0A18">
        <w:rPr>
          <w:b/>
          <w:i/>
          <w:szCs w:val="24"/>
          <w:lang w:val="es-ES" w:eastAsia="en-US"/>
        </w:rPr>
        <w:t>12a.</w:t>
      </w:r>
      <w:r w:rsidRPr="00DF0A18">
        <w:rPr>
          <w:szCs w:val="24"/>
          <w:lang w:val="es-ES" w:eastAsia="en-US"/>
        </w:rPr>
        <w:tab/>
      </w:r>
      <w:r w:rsidRPr="00DF0A18">
        <w:rPr>
          <w:b/>
          <w:i/>
          <w:szCs w:val="24"/>
          <w:lang w:val="es-ES" w:eastAsia="en-US"/>
        </w:rPr>
        <w:t>Visā iebildumu procesā nodrošina pilnīgu pārredzamību, un šis iebildumu process pēc iespējas ir atvērts sabiedrības līdzdalībai.</w:t>
      </w:r>
      <w:r w:rsidR="005562F3" w:rsidRPr="00DF0A18">
        <w:rPr>
          <w:b/>
          <w:szCs w:val="24"/>
          <w:lang w:val="es-ES" w:eastAsia="en-US"/>
        </w:rPr>
        <w:t xml:space="preserve"> [Gr. 45]</w:t>
      </w:r>
    </w:p>
    <w:p w:rsidR="00A44A6B" w:rsidRPr="00DF0A18" w:rsidRDefault="00A44A6B" w:rsidP="00A44A6B">
      <w:pPr>
        <w:spacing w:before="120" w:after="120" w:line="360" w:lineRule="auto"/>
        <w:ind w:left="850" w:hanging="850"/>
        <w:rPr>
          <w:b/>
          <w:szCs w:val="24"/>
          <w:lang w:val="es-ES" w:eastAsia="en-US"/>
        </w:rPr>
      </w:pPr>
      <w:r w:rsidRPr="00DF0A18">
        <w:rPr>
          <w:b/>
          <w:i/>
          <w:szCs w:val="24"/>
          <w:lang w:val="es-ES" w:eastAsia="en-US"/>
        </w:rPr>
        <w:t>12b.</w:t>
      </w:r>
      <w:r w:rsidRPr="00DF0A18">
        <w:rPr>
          <w:szCs w:val="24"/>
          <w:lang w:val="es-ES" w:eastAsia="en-US"/>
        </w:rPr>
        <w:tab/>
      </w:r>
      <w:r w:rsidRPr="00DF0A18">
        <w:rPr>
          <w:b/>
          <w:i/>
          <w:szCs w:val="24"/>
          <w:lang w:val="es-ES" w:eastAsia="en-US"/>
        </w:rPr>
        <w:t>Visas informācijas apmaiņa starp Biroju, īpašnieku un iebilduma iesniedzēju notiek elektroniski.</w:t>
      </w:r>
      <w:r w:rsidR="005562F3" w:rsidRPr="00DF0A18">
        <w:rPr>
          <w:b/>
          <w:szCs w:val="24"/>
          <w:lang w:val="es-ES" w:eastAsia="en-US"/>
        </w:rPr>
        <w:t xml:space="preserve"> [Gr. 46]</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13.</w:t>
      </w:r>
      <w:r w:rsidRPr="00DF0A18">
        <w:rPr>
          <w:szCs w:val="24"/>
          <w:lang w:val="es-ES" w:eastAsia="en-US"/>
        </w:rPr>
        <w:tab/>
        <w:t>Komisija saskaņā ar 54. pantu ir pilnvarota pieņemt deleģētos aktus, lai papildinātu šo regulu, sīkāk precizējot iebildumu iesniegšanas un izskatīšanas kārtību.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16. pants</w:t>
      </w:r>
      <w:r w:rsidRPr="00DF0A18">
        <w:rPr>
          <w:szCs w:val="24"/>
          <w:lang w:val="es-ES" w:eastAsia="en-US"/>
        </w:rPr>
        <w:br/>
        <w:t>Valsts kompetento iestāžu uzdevumi</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w:t>
      </w:r>
      <w:r w:rsidRPr="00DF0A18">
        <w:rPr>
          <w:szCs w:val="24"/>
          <w:lang w:val="es-ES" w:eastAsia="en-US"/>
        </w:rPr>
        <w:tab/>
        <w:t>Birojspar pārbaudes procedūrā līdzdalīgo iestādi var iecelt ikvienu valsts kompetento iestādi, kas ir vērsusies Birojā ar attiecīgu lūgumu. Tiklīdz valsts kompetentā iestāde ir iecelta saskaņā ar šo pantu, tā</w:t>
      </w:r>
      <w:r w:rsidRPr="00DF0A18">
        <w:rPr>
          <w:b/>
          <w:i/>
          <w:szCs w:val="24"/>
          <w:lang w:val="es-ES" w:eastAsia="en-US"/>
        </w:rPr>
        <w:t>, pamatojoties uz attiecīgajām zināšanām un pietiekamu pieredzi, kas ir nepieciešama centralizētas pārbaudes procedūras īstenošanai,</w:t>
      </w:r>
      <w:r w:rsidRPr="00DF0A18">
        <w:rPr>
          <w:szCs w:val="24"/>
          <w:lang w:val="es-ES" w:eastAsia="en-US"/>
        </w:rPr>
        <w:t xml:space="preserve"> izrauga vienu vai vairākus pārbaudītājus, kuri piedalīsies viena vai vairāku vienotā sertifikāta pieteikumu pārbaudē.</w:t>
      </w:r>
      <w:r w:rsidR="005562F3" w:rsidRPr="00DF0A18">
        <w:rPr>
          <w:b/>
          <w:szCs w:val="24"/>
          <w:lang w:val="es-ES" w:eastAsia="en-US"/>
        </w:rPr>
        <w:t xml:space="preserve"> [Gr. 47]</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Pirms valsts kompetentās iestādes iecelšanas par šā panta 1. punktā minēto līdzdalīgo iestādi Birojs un valsts kompetentā iestāde noslēdz administratīvu līgumu.</w:t>
      </w:r>
    </w:p>
    <w:p w:rsidR="00A44A6B" w:rsidRPr="00DF0A18" w:rsidRDefault="00A44A6B" w:rsidP="00A44A6B">
      <w:pPr>
        <w:spacing w:before="120" w:after="120" w:line="360" w:lineRule="auto"/>
        <w:ind w:left="850"/>
        <w:rPr>
          <w:szCs w:val="24"/>
          <w:lang w:val="es-ES" w:eastAsia="en-US"/>
        </w:rPr>
      </w:pPr>
      <w:r w:rsidRPr="00DF0A18">
        <w:rPr>
          <w:szCs w:val="24"/>
          <w:lang w:val="es-ES" w:eastAsia="en-US"/>
        </w:rPr>
        <w:t>Līgumā norāda pušu tiesības un pienākumus, jo īpaši attiecīgās valsts kompetentās iestādes oficiālu apņemšanos vienotā sertifikāta pieteikumu pārbaudē ievērot šo regulu.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3.</w:t>
      </w:r>
      <w:r w:rsidRPr="00DF0A18">
        <w:rPr>
          <w:szCs w:val="24"/>
          <w:lang w:val="es-ES" w:eastAsia="en-US"/>
        </w:rPr>
        <w:tab/>
        <w:t>Birojs var iecelt valsts kompetento iestādi par šā panta 1. punktā minēto līdzdalīgo iestādi uz 5 gadiem. Minēto iecelšanas termiņu var turpmāk pagarināt katrreiz vēl par 5 gadiem.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Pirms valsts kompetentā iestādes iecelšanas par līdzdalīgo iestādi, šādas iecelšanas termiņa pagarināšanas vai izbeigšanās Birojs uzklausa attiecīgo valsts kompetento iestādi.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Ikviena valsts kompetentā iestāde, kas ir iecelta saskaņā ar šo pantu, iesniedz Birojam sarakstu, kurā norāda konkrētus pārbaudītājus, kas ir pieejami līdzdalībai pārbaudes, iebildumu un spēkā neesamības paziņošanas procesos. Rodoties kādām izmaiņām, ikviena šāda valsts kompetentā iestāde atjaunina minēto sarakstu.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17. pants</w:t>
      </w:r>
      <w:r w:rsidRPr="00DF0A18">
        <w:rPr>
          <w:szCs w:val="24"/>
          <w:lang w:val="es-ES" w:eastAsia="en-US"/>
        </w:rPr>
        <w:br/>
        <w:t>Pārbaudes komisijas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Novērtējumus saskaņā ar 13, 15., 19. un 23. pantu Biroja pārraudzībā veic pārbaudes komisija, kurā ietilpst viens Biroja loceklis un divi 16. panta 1. punktā minētie pārbaudītāji no divām dažādām līdzdalīgām valsts kompetentajām iestādēm.</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Pārbaudītāji veic savus pienākumus, ievērojot objektivitāti, un iecelšanas brīdī informē Biroju par ikvienu faktisku vai šķietamu interešu konfliktu.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Pārbaudes komisijas izveidē Birojs nodrošina, ka:</w:t>
      </w:r>
    </w:p>
    <w:p w:rsidR="00A44A6B" w:rsidRPr="00DF0A18" w:rsidRDefault="00A44A6B" w:rsidP="00A44A6B">
      <w:pPr>
        <w:spacing w:before="120" w:after="120" w:line="360" w:lineRule="auto"/>
        <w:ind w:left="1416" w:hanging="566"/>
        <w:rPr>
          <w:b/>
          <w:szCs w:val="24"/>
          <w:lang w:val="es-ES" w:eastAsia="en-US"/>
        </w:rPr>
      </w:pPr>
      <w:r w:rsidRPr="00DF0A18">
        <w:rPr>
          <w:szCs w:val="24"/>
          <w:lang w:val="es-ES" w:eastAsia="en-US"/>
        </w:rPr>
        <w:t>a)</w:t>
      </w:r>
      <w:r w:rsidRPr="00DF0A18">
        <w:rPr>
          <w:szCs w:val="24"/>
          <w:lang w:val="es-ES" w:eastAsia="en-US"/>
        </w:rPr>
        <w:tab/>
      </w:r>
      <w:r w:rsidRPr="00DF0A18">
        <w:rPr>
          <w:strike/>
          <w:szCs w:val="24"/>
          <w:lang w:val="es-ES" w:eastAsia="en-US"/>
        </w:rPr>
        <w:t>tiek ievērots ģeogrāfiskais līdzsvars starp līdzdalīgajām iestādēm</w:t>
      </w:r>
      <w:r w:rsidRPr="00DF0A18">
        <w:rPr>
          <w:b/>
          <w:i/>
          <w:szCs w:val="24"/>
          <w:lang w:val="es-ES" w:eastAsia="en-US"/>
        </w:rPr>
        <w:t>ir atbilstīgas zināšanas un pietiekama pieredze patentu un papildu aizsardzības sertifikātu pārbaudes veikšanā, jo īpaši, nodrošinot, ka vismaz vienam pārbaudītājam ir vismaz piecu gadu pieredze patentu un papildu aizsardzības sertifikātu pārbaudīšanā</w:t>
      </w:r>
      <w:r w:rsidRPr="00DF0A18">
        <w:rPr>
          <w:szCs w:val="24"/>
          <w:lang w:val="es-ES" w:eastAsia="en-US"/>
        </w:rPr>
        <w:t>;</w:t>
      </w:r>
      <w:r w:rsidR="005562F3" w:rsidRPr="00DF0A18">
        <w:rPr>
          <w:b/>
          <w:szCs w:val="24"/>
          <w:lang w:val="es-ES" w:eastAsia="en-US"/>
        </w:rPr>
        <w:t xml:space="preserve"> [Gr. 48]</w:t>
      </w:r>
    </w:p>
    <w:p w:rsidR="00A44A6B" w:rsidRPr="00DF0A18" w:rsidRDefault="00A44A6B" w:rsidP="00A44A6B">
      <w:pPr>
        <w:spacing w:before="120" w:after="120" w:line="360" w:lineRule="auto"/>
        <w:ind w:left="1416" w:hanging="566"/>
        <w:rPr>
          <w:b/>
          <w:szCs w:val="24"/>
          <w:lang w:val="es-ES" w:eastAsia="en-US"/>
        </w:rPr>
      </w:pPr>
      <w:r w:rsidRPr="00DF0A18">
        <w:rPr>
          <w:b/>
          <w:i/>
          <w:szCs w:val="24"/>
          <w:lang w:val="es-ES" w:eastAsia="en-US"/>
        </w:rPr>
        <w:t>aa)</w:t>
      </w:r>
      <w:r w:rsidRPr="00DF0A18">
        <w:rPr>
          <w:szCs w:val="24"/>
          <w:lang w:val="es-ES" w:eastAsia="en-US"/>
        </w:rPr>
        <w:tab/>
      </w:r>
      <w:r w:rsidRPr="00DF0A18">
        <w:rPr>
          <w:b/>
          <w:i/>
          <w:szCs w:val="24"/>
          <w:lang w:val="es-ES" w:eastAsia="en-US"/>
        </w:rPr>
        <w:t>cik vien iespējams, tiek ievērots ģeogrāfiskais līdzsvars starp līdzdalīgajām iestādēm;</w:t>
      </w:r>
      <w:r w:rsidR="005562F3" w:rsidRPr="00DF0A18">
        <w:rPr>
          <w:b/>
          <w:szCs w:val="24"/>
          <w:lang w:val="es-ES" w:eastAsia="en-US"/>
        </w:rPr>
        <w:t xml:space="preserve"> [Gr. 49]</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tiek ņemts vērā pārbaudītāju noslogojums;</w:t>
      </w:r>
    </w:p>
    <w:p w:rsidR="00A44A6B" w:rsidRPr="00DF0A18" w:rsidRDefault="00A44A6B" w:rsidP="00A44A6B">
      <w:pPr>
        <w:spacing w:before="120" w:after="120" w:line="360" w:lineRule="auto"/>
        <w:ind w:left="1416" w:hanging="566"/>
        <w:rPr>
          <w:b/>
          <w:szCs w:val="24"/>
          <w:lang w:val="es-ES" w:eastAsia="en-US"/>
        </w:rPr>
      </w:pPr>
      <w:r w:rsidRPr="00DF0A18">
        <w:rPr>
          <w:szCs w:val="24"/>
          <w:lang w:val="es-ES" w:eastAsia="en-US"/>
        </w:rPr>
        <w:t>c)</w:t>
      </w:r>
      <w:r w:rsidRPr="00DF0A18">
        <w:rPr>
          <w:szCs w:val="24"/>
          <w:lang w:val="es-ES" w:eastAsia="en-US"/>
        </w:rPr>
        <w:tab/>
        <w:t xml:space="preserve">komisijā </w:t>
      </w:r>
      <w:r w:rsidRPr="00DF0A18">
        <w:rPr>
          <w:strike/>
          <w:szCs w:val="24"/>
          <w:lang w:val="es-ES" w:eastAsia="en-US"/>
        </w:rPr>
        <w:t>iekļauj ne vairāk kā vienu pārbaudītāju, kurš</w:t>
      </w:r>
      <w:r w:rsidRPr="00DF0A18">
        <w:rPr>
          <w:b/>
          <w:i/>
          <w:szCs w:val="24"/>
          <w:lang w:val="es-ES" w:eastAsia="en-US"/>
        </w:rPr>
        <w:t>nav iekļauti pārbaudītāji, kuri</w:t>
      </w:r>
      <w:r w:rsidRPr="00DF0A18">
        <w:rPr>
          <w:szCs w:val="24"/>
          <w:lang w:val="es-ES" w:eastAsia="en-US"/>
        </w:rPr>
        <w:t xml:space="preserve"> strādā valsts kompetentajā iestādē, kura izmanto Regulas [COM(2023) 231] 10. panta 5. punktā paredzēto izņēmumu.</w:t>
      </w:r>
      <w:r w:rsidR="005562F3" w:rsidRPr="00DF0A18">
        <w:rPr>
          <w:b/>
          <w:szCs w:val="24"/>
          <w:lang w:val="es-ES" w:eastAsia="en-US"/>
        </w:rPr>
        <w:t xml:space="preserve"> [Gr. 50]</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4.</w:t>
      </w:r>
      <w:r w:rsidRPr="00DF0A18">
        <w:rPr>
          <w:szCs w:val="24"/>
          <w:lang w:val="es-ES" w:eastAsia="en-US"/>
        </w:rPr>
        <w:tab/>
        <w:t>Birojs katru gadu publicē pārskatu, kurā norāda, cik procesos (tajā skaitā pārbaudes, iebildumu, apelācijas un spēkā neesamības paziņošanas procesos) piedalījusies katra valsts kompetentā iestāde.</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Komisija ir pilnvarota pieņemt īstenošanas aktus, ar ko nosaka kritērijus, kuri ir jāievēro komisiju izveidē un pārbaudītāju atlasē. Minētos īstenošanas aktus pieņem saskaņā ar 55. pantā minēto pārbaudes procedūru.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18. pants</w:t>
      </w:r>
      <w:r w:rsidRPr="00DF0A18">
        <w:rPr>
          <w:szCs w:val="24"/>
          <w:lang w:val="es-ES" w:eastAsia="en-US"/>
        </w:rPr>
        <w:br/>
        <w:t>Vienotā sertifikāta piešķiršana vai vienotā sertifikāta pieteikuma noraidīšana</w:t>
      </w:r>
    </w:p>
    <w:p w:rsidR="00A44A6B" w:rsidRPr="00DF0A18" w:rsidRDefault="00A44A6B" w:rsidP="00A44A6B">
      <w:pPr>
        <w:spacing w:before="120" w:after="120" w:line="360" w:lineRule="auto"/>
        <w:rPr>
          <w:b/>
          <w:szCs w:val="24"/>
          <w:lang w:val="es-ES" w:eastAsia="en-US"/>
        </w:rPr>
      </w:pPr>
      <w:r w:rsidRPr="00DF0A18">
        <w:rPr>
          <w:szCs w:val="24"/>
          <w:lang w:val="es-ES" w:eastAsia="en-US"/>
        </w:rPr>
        <w:t xml:space="preserve">Kad apelācijas vai iebilduma iesniegšanai noteiktais termiņš ir beidzies, bet neviena apelācija vai iebildums nav iesniegts, vai arī pēc galīgā lēmuma pieņemšanas par iesniegto apelāciju vai iebildumu pēc būtības Birojs </w:t>
      </w:r>
      <w:r w:rsidRPr="00DF0A18">
        <w:rPr>
          <w:b/>
          <w:i/>
          <w:szCs w:val="24"/>
          <w:lang w:val="es-ES" w:eastAsia="en-US"/>
        </w:rPr>
        <w:t xml:space="preserve">bez nepamatotas kavēšanās </w:t>
      </w:r>
      <w:r w:rsidRPr="00DF0A18">
        <w:rPr>
          <w:szCs w:val="24"/>
          <w:lang w:val="es-ES" w:eastAsia="en-US"/>
        </w:rPr>
        <w:t>pieņem vienu no tālāk minētajiem lēmumiem:</w:t>
      </w:r>
      <w:r w:rsidR="005562F3" w:rsidRPr="00DF0A18">
        <w:rPr>
          <w:b/>
          <w:szCs w:val="24"/>
          <w:lang w:val="es-ES" w:eastAsia="en-US"/>
        </w:rPr>
        <w:t xml:space="preserve"> [Gr. 51]</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a)</w:t>
      </w:r>
      <w:r w:rsidRPr="00DF0A18">
        <w:rPr>
          <w:szCs w:val="24"/>
          <w:lang w:val="es-ES" w:eastAsia="en-US"/>
        </w:rPr>
        <w:tab/>
        <w:t>ja pārbaudes atzinums ir pozitīvs, Birojs piešķir vienoto sertifikātu;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b)</w:t>
      </w:r>
      <w:r w:rsidRPr="00DF0A18">
        <w:rPr>
          <w:szCs w:val="24"/>
          <w:lang w:val="es-ES" w:eastAsia="en-US"/>
        </w:rPr>
        <w:tab/>
        <w:t>ja pārbaudes atzinums ir negatīvs, Birojs noraida vienotā sertifikāta pieteikumu.</w:t>
      </w:r>
    </w:p>
    <w:p w:rsidR="00A44A6B" w:rsidRPr="00DF0A18" w:rsidRDefault="00A44A6B" w:rsidP="00A44A6B">
      <w:pPr>
        <w:spacing w:before="120" w:after="120" w:line="360" w:lineRule="auto"/>
        <w:rPr>
          <w:b/>
          <w:szCs w:val="24"/>
          <w:lang w:val="es-ES" w:eastAsia="en-US"/>
        </w:rPr>
      </w:pPr>
      <w:r w:rsidRPr="00DF0A18">
        <w:rPr>
          <w:b/>
          <w:i/>
          <w:szCs w:val="24"/>
          <w:lang w:val="es-ES" w:eastAsia="en-US"/>
        </w:rPr>
        <w:t>Birojs par savu lēmumu nekavējoties informē pieteikuma iesniedzēju.</w:t>
      </w:r>
      <w:r w:rsidR="005562F3" w:rsidRPr="00DF0A18">
        <w:rPr>
          <w:b/>
          <w:szCs w:val="24"/>
          <w:lang w:val="es-ES" w:eastAsia="en-US"/>
        </w:rPr>
        <w:t xml:space="preserve"> [Gr. 52]</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19. pants</w:t>
      </w:r>
      <w:r w:rsidRPr="00DF0A18">
        <w:rPr>
          <w:szCs w:val="24"/>
          <w:lang w:val="es-ES" w:eastAsia="en-US"/>
        </w:rPr>
        <w:br/>
        <w:t>Vienotā sertifikāta termiņa pagarinājuma piešķiršana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Pārliecinājies, ka vienotā sertifikāta termiņa pagarinājuma pieteikums atbilst 9. panta 3. punktam, Birojs novērtē pieteikuma atbilstību Regulas (EK) Nr. 1901/2006 36. pantā paredzētajiem nosacījumiem.</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2.</w:t>
      </w:r>
      <w:r w:rsidRPr="00DF0A18">
        <w:rPr>
          <w:szCs w:val="24"/>
          <w:lang w:val="es-ES" w:eastAsia="en-US"/>
        </w:rPr>
        <w:tab/>
        <w:t>Trešās personas var iesniegt apsvērumus</w:t>
      </w:r>
      <w:r w:rsidRPr="00DF0A18">
        <w:rPr>
          <w:b/>
          <w:i/>
          <w:szCs w:val="24"/>
          <w:lang w:val="es-ES" w:eastAsia="en-US"/>
        </w:rPr>
        <w:t xml:space="preserve"> vai iebildumus</w:t>
      </w:r>
      <w:r w:rsidRPr="00DF0A18">
        <w:rPr>
          <w:szCs w:val="24"/>
          <w:lang w:val="es-ES" w:eastAsia="en-US"/>
        </w:rPr>
        <w:t xml:space="preserve"> arī par vienotā sertifikāta termiņa pagarinājuma pieteikumu.</w:t>
      </w:r>
      <w:r w:rsidR="005562F3" w:rsidRPr="00DF0A18">
        <w:rPr>
          <w:b/>
          <w:szCs w:val="24"/>
          <w:lang w:val="es-ES" w:eastAsia="en-US"/>
        </w:rPr>
        <w:t xml:space="preserve"> [Gr. 53]</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Ja vienotā sertifikāta termiņa pagarinājuma pieteikums atbilst šā panta 1. punktā minētajiem nosacījumiem, Birojs piešķir vienotā sertifikāta termiņa pagarinājumu.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Ja vienotā sertifikāta termiņa pagarinājuma pieteikums neatbilst šā panta 1. punktā minētajiem nosacījumiem, Birojs pieteikumu noraida.</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20. pants</w:t>
      </w:r>
      <w:r w:rsidRPr="00DF0A18">
        <w:rPr>
          <w:szCs w:val="24"/>
          <w:lang w:val="es-ES" w:eastAsia="en-US"/>
        </w:rPr>
        <w:br/>
        <w:t>Vienotā sertifikāta termiņš</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Vienotais sertifikāts stājas spēkā pamatpatenta likumīgā termiņa beigās, proti, kad ir pagājuši 20 gadi kopš attiecīgā patenta pieteikuma iesniegšanas dienas, un ir spēkā laikposmā, ko aprēķina, atņemot 5 gadus no laikposma, kas ir pagājis no pamatpatenta pieteikuma iesniegšanas dienas līdz dienai, kurā piešķirta pirmā atļauja laist produktu tirgū Savienībā.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Vienotā sertifikāta termiņš nedrīkst pārsniegt 5 gadus no tā spēkā stāšanās dienas.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Šā panta 1. un 2. punktā noteiktos termiņus pagarina par 6 mēnešiem gadījumos, kad piemērojams Regulas (EK) Nr. 1901/2006 36. pants. Tādā gadījumā šā panta 1. punktā noteikto termiņu var pagarināt tikai vienu reizi.</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21. pants</w:t>
      </w:r>
      <w:r w:rsidRPr="00DF0A18">
        <w:rPr>
          <w:szCs w:val="24"/>
          <w:lang w:val="es-ES" w:eastAsia="en-US"/>
        </w:rPr>
        <w:br/>
        <w:t>Vienotā sertifikāta termiņa beigas</w:t>
      </w:r>
    </w:p>
    <w:p w:rsidR="00A44A6B" w:rsidRPr="00DF0A18" w:rsidRDefault="00A44A6B" w:rsidP="00A44A6B">
      <w:pPr>
        <w:spacing w:before="120" w:after="120" w:line="360" w:lineRule="auto"/>
        <w:rPr>
          <w:szCs w:val="24"/>
          <w:lang w:val="es-ES" w:eastAsia="en-US"/>
        </w:rPr>
      </w:pPr>
      <w:r w:rsidRPr="00DF0A18">
        <w:rPr>
          <w:szCs w:val="24"/>
          <w:lang w:val="es-ES" w:eastAsia="en-US"/>
        </w:rPr>
        <w:t>Vienotais sertifikāts zaudē spēku, iestājoties kādam no tālāk minētajiem gadījumiem: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a)</w:t>
      </w:r>
      <w:r w:rsidRPr="00DF0A18">
        <w:rPr>
          <w:szCs w:val="24"/>
          <w:lang w:val="es-ES" w:eastAsia="en-US"/>
        </w:rPr>
        <w:tab/>
        <w:t>20. pantā paredzētā laikposma beigās;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b)</w:t>
      </w:r>
      <w:r w:rsidRPr="00DF0A18">
        <w:rPr>
          <w:szCs w:val="24"/>
          <w:lang w:val="es-ES" w:eastAsia="en-US"/>
        </w:rPr>
        <w:tab/>
        <w:t>ja vienotā sertifikāta īpašnieks atsakās no tā;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c)</w:t>
      </w:r>
      <w:r w:rsidRPr="00DF0A18">
        <w:rPr>
          <w:szCs w:val="24"/>
          <w:lang w:val="es-ES" w:eastAsia="en-US"/>
        </w:rPr>
        <w:tab/>
        <w:t>ja nav laikus samaksāta 31. panta 3. punktā noteiktā ikgadējā nodeva;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d)</w:t>
      </w:r>
      <w:r w:rsidRPr="00DF0A18">
        <w:rPr>
          <w:szCs w:val="24"/>
          <w:lang w:val="es-ES" w:eastAsia="en-US"/>
        </w:rPr>
        <w:tab/>
        <w:t>ja un kamēr produktu, uz ko attiecas vienotais sertifikāts, vairs nevar laist tirgū, jo atbilstošā tirdzniecības atļauja ir anulēta saskaņā ar Regulu (EK) Nr. 726/2004 vai Regulu (ES) 2019/6.</w:t>
      </w:r>
    </w:p>
    <w:p w:rsidR="00A44A6B" w:rsidRPr="00DF0A18" w:rsidRDefault="00A44A6B" w:rsidP="00A44A6B">
      <w:pPr>
        <w:spacing w:before="120" w:after="120" w:line="360" w:lineRule="auto"/>
        <w:rPr>
          <w:szCs w:val="24"/>
          <w:lang w:val="es-ES" w:eastAsia="en-US"/>
        </w:rPr>
      </w:pPr>
      <w:r w:rsidRPr="00DF0A18">
        <w:rPr>
          <w:szCs w:val="24"/>
          <w:lang w:val="es-ES" w:eastAsia="en-US"/>
        </w:rPr>
        <w:t>Šā panta pirmās daļas d) punkta nolūkā Birojs pēc paša iniciatīvas vai pēc kādas trešās personas lūguma var pieņemt lēmumu par to, ka sertifikāts ir zaudējis spēku.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22. pants</w:t>
      </w:r>
      <w:r w:rsidRPr="00DF0A18">
        <w:rPr>
          <w:szCs w:val="24"/>
          <w:lang w:val="es-ES" w:eastAsia="en-US"/>
        </w:rPr>
        <w:br/>
        <w:t>Vienotā sertifikāta spēkā neesamība</w:t>
      </w:r>
    </w:p>
    <w:p w:rsidR="00A44A6B" w:rsidRPr="00DF0A18" w:rsidRDefault="00A44A6B" w:rsidP="00A44A6B">
      <w:pPr>
        <w:spacing w:before="120" w:after="120" w:line="360" w:lineRule="auto"/>
        <w:rPr>
          <w:szCs w:val="24"/>
          <w:lang w:val="es-ES" w:eastAsia="en-US"/>
        </w:rPr>
      </w:pPr>
      <w:r w:rsidRPr="00DF0A18">
        <w:rPr>
          <w:szCs w:val="24"/>
          <w:lang w:val="es-ES" w:eastAsia="en-US"/>
        </w:rPr>
        <w:t>Vienotais sertifikāts nav spēkā šādos gadījumos:</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a)</w:t>
      </w:r>
      <w:r w:rsidRPr="00DF0A18">
        <w:rPr>
          <w:szCs w:val="24"/>
          <w:lang w:val="es-ES" w:eastAsia="en-US"/>
        </w:rPr>
        <w:tab/>
        <w:t xml:space="preserve">jasertifikāts piešķirts, neievērojot 3. panta </w:t>
      </w:r>
      <w:r w:rsidRPr="00DF0A18">
        <w:rPr>
          <w:b/>
          <w:i/>
          <w:szCs w:val="24"/>
          <w:lang w:val="es-ES" w:eastAsia="en-US"/>
        </w:rPr>
        <w:t xml:space="preserve">un 6. panta 2. punkta </w:t>
      </w:r>
      <w:r w:rsidRPr="00DF0A18">
        <w:rPr>
          <w:szCs w:val="24"/>
          <w:lang w:val="es-ES" w:eastAsia="en-US"/>
        </w:rPr>
        <w:t>noteikumus</w:t>
      </w:r>
      <w:r w:rsidRPr="00DF0A18">
        <w:rPr>
          <w:b/>
          <w:i/>
          <w:szCs w:val="24"/>
          <w:lang w:val="es-ES" w:eastAsia="en-US"/>
        </w:rPr>
        <w:t>;</w:t>
      </w:r>
      <w:r w:rsidR="005562F3" w:rsidRPr="00DF0A18">
        <w:rPr>
          <w:b/>
          <w:szCs w:val="24"/>
          <w:lang w:val="es-ES" w:eastAsia="en-US"/>
        </w:rPr>
        <w:t xml:space="preserve"> [Gr. 54]</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b)</w:t>
      </w:r>
      <w:r w:rsidRPr="00DF0A18">
        <w:rPr>
          <w:szCs w:val="24"/>
          <w:lang w:val="es-ES" w:eastAsia="en-US"/>
        </w:rPr>
        <w:tab/>
        <w:t>ja pamatpatents zaudējis spēku pirms likumīgā termiņa beigām;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c)</w:t>
      </w:r>
      <w:r w:rsidRPr="00DF0A18">
        <w:rPr>
          <w:szCs w:val="24"/>
          <w:lang w:val="es-ES" w:eastAsia="en-US"/>
        </w:rPr>
        <w:tab/>
        <w:t>ja pamatpatentu anulē vai nosaka tam ierobežojumus tādā apmērā, ka produktu, kuram piešķirts vienotais sertifikāts, vairs neaizsargā pamatpatenta pretenzijas, vai ja pēc pamatpatenta termiņa beigām pastāv iemesli, kuru dēļ tas būtu jāanulē vai jāierobežo.</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23. pants</w:t>
      </w:r>
      <w:r w:rsidRPr="00DF0A18">
        <w:rPr>
          <w:szCs w:val="24"/>
          <w:lang w:val="es-ES" w:eastAsia="en-US"/>
        </w:rPr>
        <w:br/>
        <w:t>Pieteikums par spēkā neesamības paziņošanu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Ikviena persona var iesniegt Birojā pieteikumu paziņot vienoto sertifikātu par spēkā neesošu.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Pieteikumu par spēkā neesamības paziņošanu var iesniegt vienīgi ar pamatojumu, ka viens vai vairāki no 22. pantā minētajiem nosacījumiem nav izpildīti vienā vai vairākās dalībvalstīs, kurās pamatpatentam ir vienots spēks.</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lastRenderedPageBreak/>
        <w:t>3.</w:t>
      </w:r>
      <w:r w:rsidRPr="00DF0A18">
        <w:rPr>
          <w:szCs w:val="24"/>
          <w:lang w:val="es-ES" w:eastAsia="en-US"/>
        </w:rPr>
        <w:tab/>
        <w:t xml:space="preserve">Pieteikumu par spēkā neesamības paziņošanu iesniedz </w:t>
      </w:r>
      <w:r w:rsidRPr="00DF0A18">
        <w:rPr>
          <w:strike/>
          <w:szCs w:val="24"/>
          <w:lang w:val="es-ES" w:eastAsia="en-US"/>
        </w:rPr>
        <w:t>rakstveidā</w:t>
      </w:r>
      <w:r w:rsidRPr="00DF0A18">
        <w:rPr>
          <w:b/>
          <w:i/>
          <w:szCs w:val="24"/>
          <w:lang w:val="es-ES" w:eastAsia="en-US"/>
        </w:rPr>
        <w:t>elektroniski</w:t>
      </w:r>
      <w:r w:rsidRPr="00DF0A18">
        <w:rPr>
          <w:szCs w:val="24"/>
          <w:lang w:val="es-ES" w:eastAsia="en-US"/>
        </w:rPr>
        <w:t xml:space="preserve"> un norāda tās iesniegšanas pamatojumu. To uzskata par pienācīgi iesniegtu vienīgi tad, kad ir samaksāta attiecīgā nodeva.</w:t>
      </w:r>
      <w:r w:rsidR="005562F3" w:rsidRPr="00DF0A18">
        <w:rPr>
          <w:b/>
          <w:szCs w:val="24"/>
          <w:lang w:val="es-ES" w:eastAsia="en-US"/>
        </w:rPr>
        <w:t xml:space="preserve"> [Gr. 55]</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Pieteikumā par spēkā neesamības paziņošanu iekļauj:</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atsauces uz vienoto sertifikātu, kuru prasa paziņot par spēkā neesošu, vienotā sertifikāta īpašnieka vārdu/nosaukumu un produkta identifikācijas informāciju;</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ziņas par šā panta 1. punktā minēto personu (“pieteikuma iesniedzējs”) un attiecīgā gadījumā par tā pārstāvi;</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c)</w:t>
      </w:r>
      <w:r w:rsidRPr="00DF0A18">
        <w:rPr>
          <w:szCs w:val="24"/>
          <w:lang w:val="es-ES" w:eastAsia="en-US"/>
        </w:rPr>
        <w:tab/>
        <w:t>izklāstu par pamatojumu, ar kādu iesniedz pieteikumu par spēkā neesamības paziņošanu.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Pieteikumu par spēkā neesamības paziņošanu izskata spēkā neesamības izskatīšanas komisija, ko Birojs izveido saskaņā ar noteikumiem, kuri attiecas uz pārbaudes komisiju izveidi. Tomēr spēkā neesamības izskatīšanas komisijā nedrīkst iekļaut nevienu tādu pārbaudītāju, kurš iepriekš piedalījies pārbaudes komisijā, kura pārbaudījusi vienotā sertifikāta pieteikumu, vai attiecīgā gadījumā piedalījies ar konkrēto sertifikātu saistītos iebildumu izskatīšanas vai apelācijas procesos.</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6.</w:t>
      </w:r>
      <w:r w:rsidRPr="00DF0A18">
        <w:rPr>
          <w:szCs w:val="24"/>
          <w:lang w:val="es-ES" w:eastAsia="en-US"/>
        </w:rPr>
        <w:tab/>
        <w:t>Pieteikumu par spēkā neesamības paziņošanu atzīst par nepieņemamu, ja lietā ar tādu pašu priekšmetu un pamatu un starp tām pašām pusēm lēmumu pēc būtības ir pieņēmis Birojs vai kompetentā tiesa, kā minēts 24. pantā, un Biroja vai kompetentās tiesas lēmums par šo pieteikumu  ir kļuvis galīgs.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7.</w:t>
      </w:r>
      <w:r w:rsidRPr="00DF0A18">
        <w:rPr>
          <w:szCs w:val="24"/>
          <w:lang w:val="es-ES" w:eastAsia="en-US"/>
        </w:rPr>
        <w:tab/>
        <w:t>Ja spēkā neesamības izskatīšanas komisija konstatē, ka pieteikums par spēkā neesamības paziņošanu neatbilst šā panta 2., 3. vai 4. punktā minētajiem nosacījumiem, tā noraida pieteikumu kā nepieņemamu un paziņo par to pieteikuma iesniedzējam.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8.</w:t>
      </w:r>
      <w:r w:rsidRPr="00DF0A18">
        <w:rPr>
          <w:szCs w:val="24"/>
          <w:lang w:val="es-ES" w:eastAsia="en-US"/>
        </w:rPr>
        <w:tab/>
        <w:t>Lēmumu noraidīt pieteikumu par spēkā neesamības paziņošanu kā nepieņemamu paziņo vienotā sertifikāta īpašniekam, nosūtot tam arī pieteikuma kopiju.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9.</w:t>
      </w:r>
      <w:r w:rsidRPr="00DF0A18">
        <w:rPr>
          <w:szCs w:val="24"/>
          <w:lang w:val="es-ES" w:eastAsia="en-US"/>
        </w:rPr>
        <w:tab/>
        <w:t>Ja pieteikumu par spēkā neesamības paziņošanu nenoraida kā nepieņemamu, Birojs nevilcinoties pārsūta šo pieteikumu vienotā sertifikāta īpašniekam un publicē to reģistrā. Ja ir iesniegti vairāki pieteikumi par spēkā neesamības paziņošanu, Birojs nevilcinoties pārsūta tos pārējiem pieteikuma iesniedzējiem.</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10.</w:t>
      </w:r>
      <w:r w:rsidRPr="00DF0A18">
        <w:rPr>
          <w:szCs w:val="24"/>
          <w:lang w:val="es-ES" w:eastAsia="en-US"/>
        </w:rPr>
        <w:tab/>
        <w:t>Birojs lēmumu par pieteikumu par spēkā neesamības paziņošanu pieņem 6 mēnešu laikā, izņemot gadījumus, kad lietas sarežģītības dēļ tam ir nepieciešams ilgāks laiks.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11.</w:t>
      </w:r>
      <w:r w:rsidRPr="00DF0A18">
        <w:rPr>
          <w:szCs w:val="24"/>
          <w:lang w:val="es-ES" w:eastAsia="en-US"/>
        </w:rPr>
        <w:tab/>
        <w:t>Ja, izskatot pieteikumu par spēkā neesamības paziņošanu, konstatē, ka viens vai vairāki no 22. pantā minētajiem nosacījumiem nav izpildīti, vienoto sertifikātu paziņo par spēkā neesošu. Pretējā gadījumā pieteikumu par spēkā neesamības paziņošanu noraida. Lietas iznākumu ieraksta reģistrā.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12.</w:t>
      </w:r>
      <w:r w:rsidRPr="00DF0A18">
        <w:rPr>
          <w:szCs w:val="24"/>
          <w:lang w:val="es-ES" w:eastAsia="en-US"/>
        </w:rPr>
        <w:tab/>
        <w:t>Tādā mērā, kādā vienotais sertifikāts ir paziņots par spēkā neesošu, uzskata, ka tam jau no paša sākuma nav bijis šajā regulā paredzētā spēka.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13.</w:t>
      </w:r>
      <w:r w:rsidRPr="00DF0A18">
        <w:rPr>
          <w:szCs w:val="24"/>
          <w:lang w:val="es-ES" w:eastAsia="en-US"/>
        </w:rPr>
        <w:tab/>
        <w:t>Komisija saskaņā ar 54. pantu ir pilnvarota pieņemt deleģētos aktus, lai papildinātu šo regulu, sīkāk precizējot spēkā neesamības paziņošanas kārtību.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24. pants</w:t>
      </w:r>
      <w:r w:rsidRPr="00DF0A18">
        <w:rPr>
          <w:szCs w:val="24"/>
          <w:lang w:val="es-ES" w:eastAsia="en-US"/>
        </w:rPr>
        <w:br/>
        <w:t>Pretprasība par spēkā neesamības paziņošanu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Pretprasību par spēkā neesamības paziņošanu var iesniegt, balstoties vienīgi uz kādu no 22. pantā minētajiem spēkā neesamības pamatojumiem.</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Dalībvalsts kompetentā tiesa noraida pretprasību par spēkā neesamības paziņošanu, ja Biroja lēmums lietā ar tādu pašu priekšmetu un pamatu un starp tām pašām pusēm jau ir kļuvis galīgs.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Ja pretprasību ceļ tādā tiesvedībā, kurā vienotā sertifikāta īpašnieks nav viena no pusēm, sertifikāta īpašnieku informē par to un var iesaistīt tiesvedībā kā vienu no pusēm saskaņā ar nosacījumiem, kas ir spēkā kompetentajā tiesā.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Dalībvalsts kompetentā tiesa, kurā ir iesniegta pretprasība par vienotā sertifikāta spēkā neesamības paziņošanu, neturpina izskatīt pretprasību, līdz vai nu ieinteresētā puse, vai tiesa nav informējusi Biroju par pretprasības iesniegšanas datumu. Birojs ievada minēto informāciju Reģistrā. Ja pieteikumu par vienotā sertifikāta spēkā neesamības paziņošanu iesniedz Birojā pirms pretprasības iesniegšanas, Birojs par to informē tiesu un tā aptur tiesvedību līdz galīgā lēmuma pieņemšanai par pieteikumu vai līdz pieteikuma atsaukšanai.</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5.</w:t>
      </w:r>
      <w:r w:rsidRPr="00DF0A18">
        <w:rPr>
          <w:szCs w:val="24"/>
          <w:lang w:val="es-ES" w:eastAsia="en-US"/>
        </w:rPr>
        <w:tab/>
        <w:t>Ja dalībvalsts kompetentā tiesas pieņem spriedumu pretprasībā par vienotā sertifikāta spēkā neesamības paziņošanu un tas kļūst galīgs, tiesa vai kāda no valsts tiesvedībā iesaistītajām pusēm nekavējoties nosūta sprieduma kopiju Birojam. Birojs vai cita ieinteresētā puse var pieprasīt informāciju par šādu pārsūtīšanu. Birojs par spriedumu izdara ierakstu Reģistrā un veic nepieciešamos pasākumus, lai izpildītu tā rezolutīvo daļu.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6.</w:t>
      </w:r>
      <w:r w:rsidRPr="00DF0A18">
        <w:rPr>
          <w:szCs w:val="24"/>
          <w:lang w:val="es-ES" w:eastAsia="en-US"/>
        </w:rPr>
        <w:tab/>
        <w:t>Kompetentā tiesa, kas izskata pretprasību par vienotā sertifikāta spēkā neesamības paziņošanu, pēc vienotā sertifikāta īpašnieka iesnieguma un pēc citu pušu uzklausīšanas var apturēt tiesvedību un lūgt atbildētājam tiesas noteiktā termiņā iesniegt Birojā pieteikumu par sertifikāta spēkā neesamības paziņošanu. Ja pieteikumu noteiktajā termiņā neiesniedz, tiesvedība turpinās; pretprasību uzskata par atsauktu. Ja dalībvalsts kompetentā tiesa aptur tiesvedību, tā var uz šo laiku noteikt pagaidu un aizsardzības pasākumus.</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25. pants</w:t>
      </w:r>
      <w:r w:rsidRPr="00DF0A18">
        <w:rPr>
          <w:szCs w:val="24"/>
          <w:lang w:val="es-ES" w:eastAsia="en-US"/>
        </w:rPr>
        <w:br/>
        <w:t>Zāļu vienotajam sertifikātam piešķirtā termiņa pagarinājuma atcelšana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Birojs var atcelt termiņa pagarinājumu, ja tas ir piešķirts pretrunā Regulas (EK) Nr. 1901/2006 36. pantam.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Pieteikumu termiņa pagarinājuma atcelšanai Birojā var iesniegt ikviens.</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26. pants</w:t>
      </w:r>
      <w:r w:rsidRPr="00DF0A18">
        <w:rPr>
          <w:szCs w:val="24"/>
          <w:lang w:val="es-ES" w:eastAsia="en-US"/>
        </w:rPr>
        <w:br/>
        <w:t>Paziņojums par spēka zaudēšanu vai spēkā neesamību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Ja vienotais sertifikāts zaudē spēku saskaņā ar 21. panta b), c) vai d) apakšpunktu vai nav spēkā saskaņā ar 22. un 23. pantu, Birojs nevilcinoties publicē paziņojumu par to.</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Ja termiņa pagarinājumu atceļ saskaņā ar 25. pantu, Birojs nevilcinoties publicē attiecīgu paziņojumu.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27. pants</w:t>
      </w:r>
      <w:r w:rsidRPr="00DF0A18">
        <w:rPr>
          <w:szCs w:val="24"/>
          <w:lang w:val="es-ES" w:eastAsia="en-US"/>
        </w:rPr>
        <w:br/>
        <w:t>Pārvēršana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Ja pamatpatenta vienoto spēku anulē, kamēr vienotā sertifikāta pieteikumu vēl izskata, pieteikuma iesniedzējs var lūgt attiecīgo pieteikumu pārvērst sertifikātu centralizētajā pieteikumā, samaksājot par to nodevu.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Ja pamatpatenta vienoto spēku anulē jau pēc vienotā sertifikāta piešķiršanas, sertifikāta īpašnieks var lūgt vienoto sertifikātu pārvērst nacionālajos sertifikātos, samaksājot par to nodevu.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Pārvēršanas lūgumu var iesniegt Birojā 3 mēnešu laikā pēc paziņojuma par pamatpatenta vienotā spēka anulēšanu.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Pārvēršanas lūgumu un tā izskatīšanas iznākumu publicē reģistrā.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Birojs pārbauda, vai prasītā pārvēršana atbilst šajā pantā minētajiem nosacījumiem, kā arī oficiālajiem nosacījumiem, kas ir noteikti īstenošanas aktā, kurš pieņemts saskaņā ar šā panta 8. punktu. Ja lūgumu reglamentējošie nosacījumi nav izpildīti, Birojs pieteikuma iesniedzēju informē par trūkumiem. Ja trūkumus nenovērš Biroja noteiktajā laikposmā, Birojs pārvēršanas lūgumu noraida. Ja pārvēršanas nodevu nesamaksā attiecīgajā 3 mēnešu termiņā, Birojs informē pieteikuma iesniedzēju, ka pārvēršanas pieteikumu uzskata par neiesniegtu.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6.</w:t>
      </w:r>
      <w:r w:rsidRPr="00DF0A18">
        <w:rPr>
          <w:szCs w:val="24"/>
          <w:lang w:val="es-ES" w:eastAsia="en-US"/>
        </w:rPr>
        <w:tab/>
        <w:t>Ja šā panta 1. punktā minētais lūgums atbilst šā panta 5. punktā minētajiem nosacījumiem, Birojs vienotā sertifikāta pieteikumu pārvērš centralizētajā sertifikātu pieteikumā, kurā ir norādītas dalībvalstis, kurās pamatpatentam ir vienots spēks. Ja ir iesniegts apvienotais pieteikums, tad papildus apvienotajā pieteikumā jau  dalībvalstīm, norāda arī pārējās dalībvalstis, kurās pamatpatentam bijis vienots spēks.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7.</w:t>
      </w:r>
      <w:r w:rsidRPr="00DF0A18">
        <w:rPr>
          <w:szCs w:val="24"/>
          <w:lang w:val="es-ES" w:eastAsia="en-US"/>
        </w:rPr>
        <w:tab/>
        <w:t>Ja šā panta 2. punktā minētais lūgums atbilst šā panta 5. punktā minētajiem nosacījumiem, Birojs pārvēršanas lūgumu pārsūta valsts kompetentajām iestādēm katrā no dalībvalstīm, kurās pamatpatentam ir vienots spēks un kurās šāds lūgums ir atzīts par pieņemamu. Valsts kompetentās iestādes attiecīgi pieņem lēmumus.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8.</w:t>
      </w:r>
      <w:r w:rsidRPr="00DF0A18">
        <w:rPr>
          <w:szCs w:val="24"/>
          <w:lang w:val="es-ES" w:eastAsia="en-US"/>
        </w:rPr>
        <w:tab/>
        <w:t>Komisija pieņem īstenošanas aktus, sīkāk precizējot ziņas, kas jāiekļauj lūgumā par vienotā sertifikāta pieteikuma vai vienotā sertifikāta pārvēršanu attiecīgi sertifikātu centralizētajā pieteikumā vai nacionālajos sertifikātos. Minētos īstenošanas aktus pieņem saskaņā ar 55. pantā minēto pārbaudes procedūru.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28. pants</w:t>
      </w:r>
      <w:r w:rsidRPr="00DF0A18">
        <w:rPr>
          <w:szCs w:val="24"/>
          <w:lang w:val="es-ES" w:eastAsia="en-US"/>
        </w:rPr>
        <w:br/>
        <w:t>Apelācijas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Ikviena puse, kas ir iesaistīta kādā no šajā regulā minētajiem procesiem un kuru nelabvēlīgi ietekmē Biroja pieņemts lēmums, arī pārbaudes atzinums, var par lēmumu iesniegt apelāciju  Apelācijas padomēs.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Apelācijas iesniegšanai ir apturošs efekts. Biroja lēmums, kas nav apstrīdēts, stājas spēkā nākamajā dienā pēc šā panta 3. punktā norādītā apelācijas termiņa beigu dienas.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 xml:space="preserve">Paziņojumu par apelāciju iesniedz Birojā </w:t>
      </w:r>
      <w:r w:rsidRPr="00DF0A18">
        <w:rPr>
          <w:strike/>
          <w:szCs w:val="24"/>
          <w:lang w:val="es-ES" w:eastAsia="en-US"/>
        </w:rPr>
        <w:t>rakstveidā</w:t>
      </w:r>
      <w:r w:rsidRPr="00DF0A18">
        <w:rPr>
          <w:b/>
          <w:i/>
          <w:szCs w:val="24"/>
          <w:lang w:val="es-ES" w:eastAsia="en-US"/>
        </w:rPr>
        <w:t>elektroniski</w:t>
      </w:r>
      <w:r w:rsidRPr="00DF0A18">
        <w:rPr>
          <w:szCs w:val="24"/>
          <w:lang w:val="es-ES" w:eastAsia="en-US"/>
        </w:rPr>
        <w:t xml:space="preserve"> 2 mēnešu laikā pēc lēmuma paziņošanas dienas. Paziņojumu uzskata par iesniegtu tikai tad, kad ir samaksāta apelācijas nodeva. Apelācijas gadījumā rakstveida paziņojumu, kurā norāda apelācijas pamatojumu, </w:t>
      </w:r>
      <w:r w:rsidRPr="00DF0A18">
        <w:rPr>
          <w:b/>
          <w:i/>
          <w:szCs w:val="24"/>
          <w:lang w:val="es-ES" w:eastAsia="en-US"/>
        </w:rPr>
        <w:t xml:space="preserve">tostarp attiecīgos minēto pamatojumu pierādījumus, </w:t>
      </w:r>
      <w:r w:rsidRPr="00DF0A18">
        <w:rPr>
          <w:szCs w:val="24"/>
          <w:lang w:val="es-ES" w:eastAsia="en-US"/>
        </w:rPr>
        <w:t xml:space="preserve">iesniedz </w:t>
      </w:r>
      <w:r w:rsidRPr="00DF0A18">
        <w:rPr>
          <w:strike/>
          <w:szCs w:val="24"/>
          <w:lang w:val="es-ES" w:eastAsia="en-US"/>
        </w:rPr>
        <w:t>4</w:t>
      </w:r>
      <w:r w:rsidRPr="00DF0A18">
        <w:rPr>
          <w:b/>
          <w:i/>
          <w:szCs w:val="24"/>
          <w:lang w:val="es-ES" w:eastAsia="en-US"/>
        </w:rPr>
        <w:t>elektroniski trīs</w:t>
      </w:r>
      <w:r w:rsidRPr="00DF0A18">
        <w:rPr>
          <w:szCs w:val="24"/>
          <w:lang w:val="es-ES" w:eastAsia="en-US"/>
        </w:rPr>
        <w:t xml:space="preserve"> mēnešu laikā pēc lēmuma paziņošanas dienas.</w:t>
      </w:r>
    </w:p>
    <w:p w:rsidR="00A44A6B" w:rsidRPr="00DF0A18" w:rsidRDefault="00A44A6B" w:rsidP="00A44A6B">
      <w:pPr>
        <w:spacing w:before="120" w:after="120" w:line="360" w:lineRule="auto"/>
        <w:ind w:left="850"/>
        <w:rPr>
          <w:b/>
          <w:szCs w:val="24"/>
          <w:lang w:val="es-ES" w:eastAsia="en-US"/>
        </w:rPr>
      </w:pPr>
      <w:r w:rsidRPr="00DF0A18">
        <w:rPr>
          <w:b/>
          <w:i/>
          <w:szCs w:val="24"/>
          <w:lang w:val="es-ES" w:eastAsia="en-US"/>
        </w:rPr>
        <w:t>Atbildi uz paziņojumu par apelācijas pamatojumu iesniedz rakstiski ne vēlāk kā trīs mēnešu laikā no paziņojuma par apelācijas pamatojumu iesniegšanas dienas. Birojs attiecīgā gadījumā mutvārdu procesa datumu nosaka trīs mēnešu laikā pēc atbildes iesniegšanas vai sešu mēnešu laikā pēc paziņojuma par apelācijas pamatojumu iesniegšanas atkarībā no tā, kurš datums ir agrāks. Birojs attiecīgā gadījumā izdod rakstisku lēmumu trīs mēnešu laikā no dienas, kad ir notikusi mutiska uzklausīšanas vai kad ir iesniegta atbilde uz paziņojumu par apelācijas pamatojumu.</w:t>
      </w:r>
      <w:r w:rsidR="005562F3" w:rsidRPr="00DF0A18">
        <w:rPr>
          <w:b/>
          <w:szCs w:val="24"/>
          <w:lang w:val="es-ES" w:eastAsia="en-US"/>
        </w:rPr>
        <w:t xml:space="preserve"> [Gr. 56]</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4.</w:t>
      </w:r>
      <w:r w:rsidRPr="00DF0A18">
        <w:rPr>
          <w:szCs w:val="24"/>
          <w:lang w:val="es-ES" w:eastAsia="en-US"/>
        </w:rPr>
        <w:tab/>
        <w:t>Pēc apelācijas pieņemamības pārbaudes Apelācijas padomes izskata apelāciju pēc būtības.</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5.</w:t>
      </w:r>
      <w:r w:rsidRPr="00DF0A18">
        <w:rPr>
          <w:szCs w:val="24"/>
          <w:lang w:val="es-ES" w:eastAsia="en-US"/>
        </w:rPr>
        <w:tab/>
        <w:t xml:space="preserve">Ja apelācijas rezultātā pieņem lēmumu, kurš nesakrīt ar pārbaudes atzinumu, atzinumu </w:t>
      </w:r>
      <w:r w:rsidRPr="00DF0A18">
        <w:rPr>
          <w:strike/>
          <w:szCs w:val="24"/>
          <w:lang w:val="es-ES" w:eastAsia="en-US"/>
        </w:rPr>
        <w:t>var anulēt vai grozīt</w:t>
      </w:r>
      <w:r w:rsidRPr="00DF0A18">
        <w:rPr>
          <w:b/>
          <w:i/>
          <w:szCs w:val="24"/>
          <w:lang w:val="es-ES" w:eastAsia="en-US"/>
        </w:rPr>
        <w:t>anulē vai groza</w:t>
      </w:r>
      <w:r w:rsidRPr="00DF0A18">
        <w:rPr>
          <w:szCs w:val="24"/>
          <w:lang w:val="es-ES" w:eastAsia="en-US"/>
        </w:rPr>
        <w:t xml:space="preserve"> ar Apelācijas padomju lēmumu.</w:t>
      </w:r>
      <w:r w:rsidR="005562F3" w:rsidRPr="00DF0A18">
        <w:rPr>
          <w:b/>
          <w:szCs w:val="24"/>
          <w:lang w:val="es-ES" w:eastAsia="en-US"/>
        </w:rPr>
        <w:t xml:space="preserve"> [Gr. 57]</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6.</w:t>
      </w:r>
      <w:r w:rsidRPr="00DF0A18">
        <w:rPr>
          <w:szCs w:val="24"/>
          <w:lang w:val="es-ES" w:eastAsia="en-US"/>
        </w:rPr>
        <w:tab/>
        <w:t>Prasības pret Apelācijas padomju lēmumiem apelācijas lietās var iesniegt Eiropas Savienības Vispārējā tiesā 2 mēnešu laikā no attiecīgā lēmuma paziņošanas dienas, pamatojot prasību ar to, ka ir pārkāpti būtiski procedūras noteikumi, Līgums par Eiropas Savienības darbību vai šīs regulas noteikumi vai citas tiesību normas attiecībā uz to piemērošanu vai ļaunprātīgu varas izmantošanu. Prasību var celt ikviena no pusēm, kura bijusi iesaistīta Apelācijas padomes izskatītajā procesā un kuru ir nelabvēlīgi ietekmējis Apelācijas padomes pieņemtais lēmums. Vispārējās tiesas piekritībā ir anulēt vai izmainīt apstrīdēto lēmumu.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7.</w:t>
      </w:r>
      <w:r w:rsidRPr="00DF0A18">
        <w:rPr>
          <w:szCs w:val="24"/>
          <w:lang w:val="es-ES" w:eastAsia="en-US"/>
        </w:rPr>
        <w:tab/>
        <w:t>Apelācijas padomju lēmumi stājas spēkā nākamajā dienā pēc šā panta 6. punktā minētā termiņa beigām vai, ja minētajā termiņā ir celta prasība Vispārējā tiesā, nākamajā dienā pēc dienas, kurā ir noraidīta šāda prasība vai Eiropas Savienības Tiesā iesniegta apelācija par Vispārējās tiesas pieņemto lēmumu. Birojs veic nepieciešamos pasākumus, lai ievērotu Vispārējās tiesas spriedumu vai Tiesas spriedumu, ja tajā iesniegta apelācija par Vispārējās tiesas spriedumu.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8.</w:t>
      </w:r>
      <w:r w:rsidRPr="00DF0A18">
        <w:rPr>
          <w:szCs w:val="24"/>
          <w:lang w:val="es-ES" w:eastAsia="en-US"/>
        </w:rPr>
        <w:tab/>
        <w:t>Komisija saskaņā ar 54. pantu ir pilnvarota pieņemt deleģētos aktus, lai papildinātu šo regulu, nosakot šā panta 3. punktā minētā apelācijas paziņojuma saturu un veidlapu, apelācijas iesniegšanas un izskatīšanas procedūru un šā panta 4. punktā minētā Apelācijas padomju lēmuma saturu un veidlapu.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29. pants</w:t>
      </w:r>
      <w:r w:rsidRPr="00DF0A18">
        <w:rPr>
          <w:szCs w:val="24"/>
          <w:lang w:val="es-ES" w:eastAsia="en-US"/>
        </w:rPr>
        <w:br/>
        <w:t>Apelācijas padomes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Papildus pilnvarām, kas tām piešķirtas ar Regulas (ES) 2017/1001 165. pantu, ar minēto regulu izveidotās Apelācijas padomes ir atbildīgas par lēmumu pieņemšanu par apelācijām, kas ir saņemtas par lēmumiem, ko Birojs pieņēmis, pamatojoties uz 25. panta 1. punktu.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Apelācijas padomē, kas izskata ar vienotajiem sertifikātiem saistītus jautājumus, ir trīs locekļi, no kuriem vismaz divi ir juridiski kvalificēti. Ja Apelācijas padome uzskata, ka apelācijas būtība to prasa, tā var konkrētās lietas izskatīšanai pieaicināt ne vairāk kā divus papildu locekļus.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Regulas (ES) 2017/1001 165. panta 2., 3. un 4. punktā un 167. panta 2. punktā minētā Lielā padome neizskata jautājumus, kas ir saistīti ar vienotajiem sertifikātiem. Neskatoties uz Regulas (ES) 2017/1001 165. panta 2. punktā minēto, lēmumu nevar pieņemt tikai viens loceklis.</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4.</w:t>
      </w:r>
      <w:r w:rsidRPr="00DF0A18">
        <w:rPr>
          <w:szCs w:val="24"/>
          <w:lang w:val="es-ES" w:eastAsia="en-US"/>
        </w:rPr>
        <w:tab/>
        <w:t>Apelācijas padomēs, kuras izskata ar vienotajiem sertifikātiem saistītus jautājumus, locekļus ieceļ saskaņā ar Regulas (ES) 2017/1001 166. panta 5. punktu.</w:t>
      </w:r>
      <w:r w:rsidRPr="00DF0A18">
        <w:rPr>
          <w:b/>
          <w:i/>
          <w:szCs w:val="24"/>
          <w:lang w:val="es-ES" w:eastAsia="en-US"/>
        </w:rPr>
        <w:t xml:space="preserve"> Ieceļot locekļus Apelācijas padomēs, kuras izskata ar vienotā sertifikāta pieteikumiem saistītus jautājumus, pienācīgi ņem vērā viņu iepriekšējo pieredzi jautājumos, kas ir saistīti ar papildu aizsardzības sertifikātiem vai patentu tiesībām.</w:t>
      </w:r>
      <w:r w:rsidR="005562F3" w:rsidRPr="00DF0A18">
        <w:rPr>
          <w:b/>
          <w:szCs w:val="24"/>
          <w:lang w:val="es-ES" w:eastAsia="en-US"/>
        </w:rPr>
        <w:t xml:space="preserve"> [Gr. 58]</w:t>
      </w:r>
    </w:p>
    <w:p w:rsidR="00A44A6B" w:rsidRPr="00DF0A18" w:rsidRDefault="00A44A6B" w:rsidP="00A44A6B">
      <w:pPr>
        <w:spacing w:before="120" w:after="120" w:line="360" w:lineRule="auto"/>
        <w:ind w:left="850" w:hanging="850"/>
        <w:rPr>
          <w:b/>
          <w:szCs w:val="24"/>
          <w:lang w:val="es-ES" w:eastAsia="en-US"/>
        </w:rPr>
      </w:pPr>
      <w:r w:rsidRPr="00DF0A18">
        <w:rPr>
          <w:b/>
          <w:i/>
          <w:szCs w:val="24"/>
          <w:lang w:val="es-ES" w:eastAsia="en-US"/>
        </w:rPr>
        <w:t>4a.</w:t>
      </w:r>
      <w:r w:rsidRPr="00DF0A18">
        <w:rPr>
          <w:szCs w:val="24"/>
          <w:lang w:val="es-ES" w:eastAsia="en-US"/>
        </w:rPr>
        <w:tab/>
      </w:r>
      <w:r w:rsidRPr="00DF0A18">
        <w:rPr>
          <w:b/>
          <w:i/>
          <w:szCs w:val="24"/>
          <w:lang w:val="es-ES" w:eastAsia="en-US"/>
        </w:rPr>
        <w:t>Apelācijas padomēm, kas izskata ar vienotajiem sertifikātiem saistītus jautājumus, piemēro Regulas (EK) Nr. 2017/1001 166. panta 9. pantu.</w:t>
      </w:r>
      <w:r w:rsidR="005562F3" w:rsidRPr="00DF0A18">
        <w:rPr>
          <w:b/>
          <w:szCs w:val="24"/>
          <w:lang w:val="es-ES" w:eastAsia="en-US"/>
        </w:rPr>
        <w:t xml:space="preserve"> [Gr. 59]</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30. pants</w:t>
      </w:r>
      <w:r w:rsidRPr="00DF0A18">
        <w:rPr>
          <w:szCs w:val="24"/>
          <w:lang w:val="es-ES" w:eastAsia="en-US"/>
        </w:rPr>
        <w:br/>
        <w:t>Pilnvaru deleģēšana attiecībā uz Apelācijas padomēm</w:t>
      </w:r>
    </w:p>
    <w:p w:rsidR="00A44A6B" w:rsidRPr="00DF0A18" w:rsidRDefault="00A44A6B" w:rsidP="00A44A6B">
      <w:pPr>
        <w:spacing w:before="120" w:after="120" w:line="360" w:lineRule="auto"/>
        <w:rPr>
          <w:szCs w:val="24"/>
          <w:lang w:val="es-ES" w:eastAsia="en-US"/>
        </w:rPr>
      </w:pPr>
      <w:r w:rsidRPr="00DF0A18">
        <w:rPr>
          <w:szCs w:val="24"/>
          <w:lang w:val="es-ES" w:eastAsia="en-US"/>
        </w:rPr>
        <w:t>Komisija saskaņā ar 54. pantu ir pilnvarota pieņemt deleģētos aktus, lai šo regulu papildinātu, sīkāk precizējot kārtību, kādā organizē Apelācijas padomes šajā regulā paredzēto procesu īstenošanai saistībā ar vienotajiem sertifikātiem.</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31. pants</w:t>
      </w:r>
      <w:r w:rsidRPr="00DF0A18">
        <w:rPr>
          <w:szCs w:val="24"/>
          <w:lang w:val="es-ES" w:eastAsia="en-US"/>
        </w:rPr>
        <w:br/>
        <w:t>Nodevas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Birojs iekasē nodevu par pieteikšanos vienotajam sertifikātam un vienotā sertifikāta termiņa pagarināšanai.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Birojs iekasē nodevu par apelāciju, iebildumu, pieteikumu par spēkā neesamības paziņošanu un pārvēršanas lūgumu iesniegšanu.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Par vienoto sertifikātu katru gadu maksā nodevu par tā uzturēšanu spēkā.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Birojs iekasē nodevu par 5. panta 3. punkta b) un c) apakšpunktā minēto paziņojumu iesniegšanu.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5.</w:t>
      </w:r>
      <w:r w:rsidRPr="00DF0A18">
        <w:rPr>
          <w:szCs w:val="24"/>
          <w:lang w:val="es-ES" w:eastAsia="en-US"/>
        </w:rPr>
        <w:tab/>
        <w:t>Komisija ir pilnvarota pieņemt īstenošanas aktus, kuros nosaka Biroja iekasējamās nodevas, to samaksas termiņus un samaksas veidus. Minētos īstenošanas aktus pieņem saskaņā ar 55. pantā minēto pārbaudes procedūru.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32. pants</w:t>
      </w:r>
      <w:r w:rsidRPr="00DF0A18">
        <w:rPr>
          <w:szCs w:val="24"/>
          <w:lang w:val="es-ES" w:eastAsia="en-US"/>
        </w:rPr>
        <w:br/>
        <w:t>Apvienotie pieteikumi</w:t>
      </w:r>
    </w:p>
    <w:p w:rsidR="00A44A6B" w:rsidRPr="00DF0A18" w:rsidRDefault="00A44A6B" w:rsidP="00A44A6B">
      <w:pPr>
        <w:spacing w:before="120" w:after="120" w:line="360" w:lineRule="auto"/>
        <w:rPr>
          <w:szCs w:val="24"/>
          <w:lang w:val="es-ES" w:eastAsia="en-US"/>
        </w:rPr>
      </w:pPr>
      <w:r w:rsidRPr="00DF0A18">
        <w:rPr>
          <w:szCs w:val="24"/>
          <w:lang w:val="es-ES" w:eastAsia="en-US"/>
        </w:rPr>
        <w:t>Vienotā sertifikāta pieteikumu var iekļaut apvienotā centralizētā pieteikumā, kurā  pieteikuma iesniedzējs lūdz piešķirt arī nacionālos sertifikātus norādītajās dalībvalstīs saskaņā ar Regulā [COM(2023) 231] paredzēto centralizēto procedūru. Tādā gadījumā piemēro minētās regulas 39. pantu.</w:t>
      </w:r>
    </w:p>
    <w:p w:rsidR="00A44A6B" w:rsidRPr="00DF0A18" w:rsidRDefault="00A44A6B" w:rsidP="00A44A6B">
      <w:pPr>
        <w:spacing w:before="120" w:after="120" w:line="360" w:lineRule="auto"/>
        <w:rPr>
          <w:b/>
          <w:szCs w:val="24"/>
          <w:lang w:val="es-ES" w:eastAsia="en-US"/>
        </w:rPr>
      </w:pPr>
      <w:r w:rsidRPr="00DF0A18">
        <w:rPr>
          <w:b/>
          <w:i/>
          <w:szCs w:val="24"/>
          <w:lang w:val="es-ES" w:eastAsia="en-US"/>
        </w:rPr>
        <w:t>Pieteikuma iesniedzējs iesniedz Birojam apvienoto centralizēto pieteikumu elektroniski un formātos, ko dara pieejamus Birojs.</w:t>
      </w:r>
      <w:r w:rsidR="005562F3" w:rsidRPr="00DF0A18">
        <w:rPr>
          <w:b/>
          <w:szCs w:val="24"/>
          <w:lang w:val="es-ES" w:eastAsia="en-US"/>
        </w:rPr>
        <w:t xml:space="preserve"> [Gr. 60]</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33. pants</w:t>
      </w:r>
      <w:r w:rsidRPr="00DF0A18">
        <w:rPr>
          <w:szCs w:val="24"/>
          <w:lang w:val="es-ES" w:eastAsia="en-US"/>
        </w:rPr>
        <w:br/>
        <w:t xml:space="preserve">Valodas </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Visi dokumenti un informācija, ko sūta Birojam saistībā ar šajā regulā noteiktajām procedūrām, ir vienā no Savienības oficiālajām valodām.</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Pildot uzdevumus, kas tam ir uzticēti saskaņā ar šo regulu, Biroja valodas ir visas Savienības oficiālās valodas saskaņā ar Padomes Regulu Nr. 1</w:t>
      </w:r>
      <w:r w:rsidRPr="00A44A6B">
        <w:rPr>
          <w:szCs w:val="24"/>
          <w:vertAlign w:val="superscript"/>
          <w:lang w:val="en-GB" w:eastAsia="en-US"/>
        </w:rPr>
        <w:footnoteReference w:id="17"/>
      </w:r>
      <w:r w:rsidRPr="00DF0A18">
        <w:rPr>
          <w:szCs w:val="24"/>
          <w:lang w:val="es-ES" w:eastAsia="en-US"/>
        </w:rPr>
        <w:t>.</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34. pants</w:t>
      </w:r>
      <w:r w:rsidRPr="00DF0A18">
        <w:rPr>
          <w:szCs w:val="24"/>
          <w:lang w:val="es-ES" w:eastAsia="en-US"/>
        </w:rPr>
        <w:br/>
        <w:t>Paziņojumi Birojam</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w:t>
      </w:r>
      <w:r w:rsidRPr="00DF0A18">
        <w:rPr>
          <w:szCs w:val="24"/>
          <w:lang w:val="es-ES" w:eastAsia="en-US"/>
        </w:rPr>
        <w:tab/>
        <w:t xml:space="preserve">Paziņojumus Birojam </w:t>
      </w:r>
      <w:r w:rsidRPr="00DF0A18">
        <w:rPr>
          <w:strike/>
          <w:szCs w:val="24"/>
          <w:lang w:val="es-ES" w:eastAsia="en-US"/>
        </w:rPr>
        <w:t>var iesniegt</w:t>
      </w:r>
      <w:r w:rsidRPr="00DF0A18">
        <w:rPr>
          <w:b/>
          <w:i/>
          <w:szCs w:val="24"/>
          <w:lang w:val="es-ES" w:eastAsia="en-US"/>
        </w:rPr>
        <w:t>iesniedz</w:t>
      </w:r>
      <w:r w:rsidRPr="00DF0A18">
        <w:rPr>
          <w:szCs w:val="24"/>
          <w:lang w:val="es-ES" w:eastAsia="en-US"/>
        </w:rPr>
        <w:t xml:space="preserve"> elektroniskā veidā. Izpilddirektors nosaka, </w:t>
      </w:r>
      <w:r w:rsidRPr="00DF0A18">
        <w:rPr>
          <w:strike/>
          <w:szCs w:val="24"/>
          <w:lang w:val="es-ES" w:eastAsia="en-US"/>
        </w:rPr>
        <w:t xml:space="preserve">kādā mērā un </w:t>
      </w:r>
      <w:r w:rsidRPr="00DF0A18">
        <w:rPr>
          <w:szCs w:val="24"/>
          <w:lang w:val="es-ES" w:eastAsia="en-US"/>
        </w:rPr>
        <w:t xml:space="preserve">ar kādiem tehniskiem nosacījumiem </w:t>
      </w:r>
      <w:r w:rsidRPr="00DF0A18">
        <w:rPr>
          <w:strike/>
          <w:szCs w:val="24"/>
          <w:lang w:val="es-ES" w:eastAsia="en-US"/>
        </w:rPr>
        <w:t>minētos paziņojumus var iesniegt elektroniskā veidā</w:t>
      </w:r>
      <w:r w:rsidRPr="00DF0A18">
        <w:rPr>
          <w:b/>
          <w:i/>
          <w:szCs w:val="24"/>
          <w:lang w:val="es-ES" w:eastAsia="en-US"/>
        </w:rPr>
        <w:t>ir iesniedzami minētie paziņojumi</w:t>
      </w:r>
      <w:r w:rsidRPr="00DF0A18">
        <w:rPr>
          <w:szCs w:val="24"/>
          <w:lang w:val="es-ES" w:eastAsia="en-US"/>
        </w:rPr>
        <w:t>.</w:t>
      </w:r>
      <w:r w:rsidR="005562F3" w:rsidRPr="00DF0A18">
        <w:rPr>
          <w:b/>
          <w:szCs w:val="24"/>
          <w:lang w:val="es-ES" w:eastAsia="en-US"/>
        </w:rPr>
        <w:t xml:space="preserve"> [Gr. 61]</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Komisija saskaņā ar 54. pantu ir pilnvarota pieņemt deleģētos aktus, lai papildinātu šo regulu, precizējot noteikumus par saziņas līdzekļiem, arī elektroniskiem saziņas līdzekļiem, ko izmanto Birojā notiekošajos procesos iesaistītās puses, un veidlapas, kuru pieejamību nodrošina Birojs.</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35. pants</w:t>
      </w:r>
      <w:r w:rsidRPr="00DF0A18">
        <w:rPr>
          <w:szCs w:val="24"/>
          <w:lang w:val="es-ES" w:eastAsia="en-US"/>
        </w:rPr>
        <w:br/>
        <w:t>Reģistrs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Saskaņā ar Regulas [COM(2023) 231]</w:t>
      </w:r>
      <w:r w:rsidRPr="00A44A6B">
        <w:rPr>
          <w:szCs w:val="24"/>
          <w:vertAlign w:val="superscript"/>
          <w:lang w:val="en-GB" w:eastAsia="en-US"/>
        </w:rPr>
        <w:footnoteReference w:id="18"/>
      </w:r>
      <w:r w:rsidRPr="00DF0A18">
        <w:rPr>
          <w:szCs w:val="24"/>
          <w:lang w:val="es-ES" w:eastAsia="en-US"/>
        </w:rPr>
        <w:t xml:space="preserve"> 35. pantu izveidotajā Reģistrā attiecībā uz zāļu vienotā sertifikāta pieteikumiem par katru vienoto sertifikātu vai vienotā sertifikāta pieteikumu, vai vienotā sertifikāta termiņa pagarinājuma pieteikumu norāda attiecīgi šādu informāciju:</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pieteikuma iesniedzēja vai sertifikāta īpašnieka vārds/nosaukums un adrese;</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pārstāvja, kas nav 38. panta 3. punktā minētais pārstāvis, vārds vai nosaukums un darījumdarbības adrese;</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c)</w:t>
      </w:r>
      <w:r w:rsidRPr="00DF0A18">
        <w:rPr>
          <w:szCs w:val="24"/>
          <w:lang w:val="es-ES" w:eastAsia="en-US"/>
        </w:rPr>
        <w:tab/>
        <w:t>pieteikums, kā arī tā iesniegšanas diena un publicēšanas diena;</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d)</w:t>
      </w:r>
      <w:r w:rsidRPr="00DF0A18">
        <w:rPr>
          <w:szCs w:val="24"/>
          <w:lang w:val="es-ES" w:eastAsia="en-US"/>
        </w:rPr>
        <w:tab/>
        <w:t>vai pieteikums attiecas uz zālēm vai augu aizsardzības līdzekli;</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e)</w:t>
      </w:r>
      <w:r w:rsidRPr="00DF0A18">
        <w:rPr>
          <w:szCs w:val="24"/>
          <w:lang w:val="es-ES" w:eastAsia="en-US"/>
        </w:rPr>
        <w:tab/>
        <w:t>attiecīgā gadījumā — norāde, ka pieteikums ietver termiņa pagarinājuma pieteikumu;</w:t>
      </w:r>
    </w:p>
    <w:p w:rsidR="005562F3" w:rsidRPr="00DF0A18" w:rsidRDefault="005562F3">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lastRenderedPageBreak/>
        <w:t>f)</w:t>
      </w:r>
      <w:r w:rsidRPr="00DF0A18">
        <w:rPr>
          <w:szCs w:val="24"/>
          <w:lang w:val="es-ES" w:eastAsia="en-US"/>
        </w:rPr>
        <w:tab/>
        <w:t>pamatpatenta numurs;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g)</w:t>
      </w:r>
      <w:r w:rsidRPr="00DF0A18">
        <w:rPr>
          <w:szCs w:val="24"/>
          <w:lang w:val="es-ES" w:eastAsia="en-US"/>
        </w:rPr>
        <w:tab/>
        <w:t>tā produkta identifikācija, attiecībā uz kuru lūdz piešķirt vienoto sertifikātu;</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h)</w:t>
      </w:r>
      <w:r w:rsidRPr="00DF0A18">
        <w:rPr>
          <w:szCs w:val="24"/>
          <w:lang w:val="es-ES" w:eastAsia="en-US"/>
        </w:rPr>
        <w:tab/>
        <w:t>par 3. panta 1. punkta b) apakšpunktā minētajām atļaujām laist produktu tirgū — katrā atļaujā norādītā produkta identifikācija;</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i)</w:t>
      </w:r>
      <w:r w:rsidRPr="00DF0A18">
        <w:rPr>
          <w:szCs w:val="24"/>
          <w:lang w:val="es-ES" w:eastAsia="en-US"/>
        </w:rPr>
        <w:tab/>
        <w:t>par pirmo atļauju laist produktu tirgū Savienībā — numurs un datums;</w:t>
      </w:r>
    </w:p>
    <w:p w:rsidR="00A44A6B" w:rsidRPr="00DF0A18" w:rsidRDefault="00A44A6B" w:rsidP="00A44A6B">
      <w:pPr>
        <w:spacing w:before="120" w:after="120" w:line="360" w:lineRule="auto"/>
        <w:ind w:left="1416" w:hanging="566"/>
        <w:rPr>
          <w:b/>
          <w:szCs w:val="24"/>
          <w:lang w:val="es-ES" w:eastAsia="en-US"/>
        </w:rPr>
      </w:pPr>
      <w:r w:rsidRPr="00DF0A18">
        <w:rPr>
          <w:b/>
          <w:i/>
          <w:szCs w:val="24"/>
          <w:lang w:val="es-ES" w:eastAsia="en-US"/>
        </w:rPr>
        <w:t>ia)</w:t>
      </w:r>
      <w:r w:rsidRPr="00DF0A18">
        <w:rPr>
          <w:szCs w:val="24"/>
          <w:lang w:val="es-ES" w:eastAsia="en-US"/>
        </w:rPr>
        <w:tab/>
      </w:r>
      <w:r w:rsidRPr="00DF0A18">
        <w:rPr>
          <w:b/>
          <w:i/>
          <w:szCs w:val="24"/>
          <w:lang w:val="es-ES" w:eastAsia="en-US"/>
        </w:rPr>
        <w:t>informācija par jebkādu tiešu publisko finansiālo atbalstu, kas saņemts pētniecībai saistībā ar produkta izstrādi;</w:t>
      </w:r>
      <w:r w:rsidR="00487FAE" w:rsidRPr="00DF0A18">
        <w:rPr>
          <w:b/>
          <w:szCs w:val="24"/>
          <w:lang w:val="es-ES" w:eastAsia="en-US"/>
        </w:rPr>
        <w:t xml:space="preserve"> [Gr. 62]</w:t>
      </w:r>
    </w:p>
    <w:p w:rsidR="00A44A6B" w:rsidRPr="00DF0A18" w:rsidRDefault="00A44A6B" w:rsidP="00A44A6B">
      <w:pPr>
        <w:spacing w:before="120" w:after="120" w:line="360" w:lineRule="auto"/>
        <w:ind w:left="1416" w:hanging="566"/>
        <w:rPr>
          <w:b/>
          <w:szCs w:val="24"/>
          <w:lang w:val="es-ES" w:eastAsia="en-US"/>
        </w:rPr>
      </w:pPr>
      <w:r w:rsidRPr="00DF0A18">
        <w:rPr>
          <w:szCs w:val="24"/>
          <w:lang w:val="es-ES" w:eastAsia="en-US"/>
        </w:rPr>
        <w:t>j)</w:t>
      </w:r>
      <w:r w:rsidRPr="00DF0A18">
        <w:rPr>
          <w:szCs w:val="24"/>
          <w:lang w:val="es-ES" w:eastAsia="en-US"/>
        </w:rPr>
        <w:tab/>
        <w:t>par Biroja pieņemto pārbaudes atzinumu par katru no dalībvalstīm, kurās pamatpatentam ir vienots spēks, — datums</w:t>
      </w:r>
      <w:r w:rsidRPr="00DF0A18">
        <w:rPr>
          <w:strike/>
          <w:szCs w:val="24"/>
          <w:lang w:val="es-ES" w:eastAsia="en-US"/>
        </w:rPr>
        <w:t xml:space="preserve"> un kopsavilkums</w:t>
      </w:r>
      <w:r w:rsidRPr="00DF0A18">
        <w:rPr>
          <w:szCs w:val="24"/>
          <w:lang w:val="es-ES" w:eastAsia="en-US"/>
        </w:rPr>
        <w:t>;</w:t>
      </w:r>
      <w:r w:rsidR="00487FAE" w:rsidRPr="00DF0A18">
        <w:rPr>
          <w:b/>
          <w:szCs w:val="24"/>
          <w:lang w:val="es-ES" w:eastAsia="en-US"/>
        </w:rPr>
        <w:t xml:space="preserve"> [Gr. 63]</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k)</w:t>
      </w:r>
      <w:r w:rsidRPr="00DF0A18">
        <w:rPr>
          <w:szCs w:val="24"/>
          <w:lang w:val="es-ES" w:eastAsia="en-US"/>
        </w:rPr>
        <w:tab/>
        <w:t>attiecīgā gadījumā — vienotā sertifikāta numurs un termiņš;</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l)</w:t>
      </w:r>
      <w:r w:rsidRPr="00DF0A18">
        <w:rPr>
          <w:szCs w:val="24"/>
          <w:lang w:val="es-ES" w:eastAsia="en-US"/>
        </w:rPr>
        <w:tab/>
        <w:t>attiecīgā gadījumā — datums, kurā pieņēma pārbaudes atzinumu par vienotā sertifikāta termiņa pagarinājuma pieteikumu, un atzinuma kopsavilkums;</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1416" w:hanging="566"/>
        <w:rPr>
          <w:b/>
          <w:szCs w:val="24"/>
          <w:lang w:val="es-ES" w:eastAsia="en-US"/>
        </w:rPr>
      </w:pPr>
      <w:r w:rsidRPr="00DF0A18">
        <w:rPr>
          <w:szCs w:val="24"/>
          <w:lang w:val="es-ES" w:eastAsia="en-US"/>
        </w:rPr>
        <w:lastRenderedPageBreak/>
        <w:t>m)</w:t>
      </w:r>
      <w:r w:rsidRPr="00DF0A18">
        <w:rPr>
          <w:szCs w:val="24"/>
          <w:lang w:val="es-ES" w:eastAsia="en-US"/>
        </w:rPr>
        <w:tab/>
        <w:t xml:space="preserve">attiecīgā gadījumā — </w:t>
      </w:r>
      <w:r w:rsidRPr="00DF0A18">
        <w:rPr>
          <w:strike/>
          <w:szCs w:val="24"/>
          <w:lang w:val="es-ES" w:eastAsia="en-US"/>
        </w:rPr>
        <w:t>iebildumu</w:t>
      </w:r>
      <w:r w:rsidRPr="00DF0A18">
        <w:rPr>
          <w:b/>
          <w:i/>
          <w:szCs w:val="24"/>
          <w:lang w:val="es-ES" w:eastAsia="en-US"/>
        </w:rPr>
        <w:t>iebilduma</w:t>
      </w:r>
      <w:r w:rsidRPr="00DF0A18">
        <w:rPr>
          <w:szCs w:val="24"/>
          <w:lang w:val="es-ES" w:eastAsia="en-US"/>
        </w:rPr>
        <w:t xml:space="preserve"> iesniegšana</w:t>
      </w:r>
      <w:r w:rsidRPr="00DF0A18">
        <w:rPr>
          <w:b/>
          <w:i/>
          <w:szCs w:val="24"/>
          <w:lang w:val="es-ES" w:eastAsia="en-US"/>
        </w:rPr>
        <w:t>, tā statuss un iebilduma</w:t>
      </w:r>
      <w:r w:rsidRPr="00DF0A18">
        <w:rPr>
          <w:strike/>
          <w:szCs w:val="24"/>
          <w:lang w:val="es-ES" w:eastAsia="en-US"/>
        </w:rPr>
        <w:t xml:space="preserve"> un iebildumu</w:t>
      </w:r>
      <w:r w:rsidRPr="00DF0A18">
        <w:rPr>
          <w:szCs w:val="24"/>
          <w:lang w:val="es-ES" w:eastAsia="en-US"/>
        </w:rPr>
        <w:t xml:space="preserve"> izskatīšanas procesa iznākums, un attiecīgā gadījumā arī pārskatītā pārbaudes atzinuma kopsavilkums;</w:t>
      </w:r>
      <w:r w:rsidR="00487FAE" w:rsidRPr="00DF0A18">
        <w:rPr>
          <w:b/>
          <w:szCs w:val="24"/>
          <w:lang w:val="es-ES" w:eastAsia="en-US"/>
        </w:rPr>
        <w:t xml:space="preserve"> [Gr. 64]</w:t>
      </w:r>
    </w:p>
    <w:p w:rsidR="00A44A6B" w:rsidRPr="00DF0A18" w:rsidRDefault="00A44A6B" w:rsidP="00A44A6B">
      <w:pPr>
        <w:spacing w:before="120" w:after="120" w:line="360" w:lineRule="auto"/>
        <w:ind w:left="1416" w:hanging="566"/>
        <w:rPr>
          <w:b/>
          <w:szCs w:val="24"/>
          <w:lang w:val="es-ES" w:eastAsia="en-US"/>
        </w:rPr>
      </w:pPr>
      <w:r w:rsidRPr="00DF0A18">
        <w:rPr>
          <w:szCs w:val="24"/>
          <w:lang w:val="es-ES" w:eastAsia="en-US"/>
        </w:rPr>
        <w:t>n)</w:t>
      </w:r>
      <w:r w:rsidRPr="00DF0A18">
        <w:rPr>
          <w:szCs w:val="24"/>
          <w:lang w:val="es-ES" w:eastAsia="en-US"/>
        </w:rPr>
        <w:tab/>
        <w:t>attiecīgā gadījumā — apelācijas iesniegšana</w:t>
      </w:r>
      <w:r w:rsidRPr="00DF0A18">
        <w:rPr>
          <w:b/>
          <w:i/>
          <w:szCs w:val="24"/>
          <w:lang w:val="es-ES" w:eastAsia="en-US"/>
        </w:rPr>
        <w:t>, tās statuss</w:t>
      </w:r>
      <w:r w:rsidRPr="00DF0A18">
        <w:rPr>
          <w:szCs w:val="24"/>
          <w:lang w:val="es-ES" w:eastAsia="en-US"/>
        </w:rPr>
        <w:t xml:space="preserve"> un apelācijas procesa iznākums, un attiecīgā gadījumā arī pārskatītā pārbaudes atzinuma kopsavilkums;</w:t>
      </w:r>
      <w:r w:rsidR="00487FAE" w:rsidRPr="00DF0A18">
        <w:rPr>
          <w:b/>
          <w:szCs w:val="24"/>
          <w:lang w:val="es-ES" w:eastAsia="en-US"/>
        </w:rPr>
        <w:t xml:space="preserve"> [Gr. 65]</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o)</w:t>
      </w:r>
      <w:r w:rsidRPr="00DF0A18">
        <w:rPr>
          <w:szCs w:val="24"/>
          <w:lang w:val="es-ES" w:eastAsia="en-US"/>
        </w:rPr>
        <w:tab/>
        <w:t>attiecīgā gadījumā — norāde par to, ka sertifikāts ir zaudējis spēku vai ticis paziņots par spēkā neesošu;</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p)</w:t>
      </w:r>
      <w:r w:rsidRPr="00DF0A18">
        <w:rPr>
          <w:szCs w:val="24"/>
          <w:lang w:val="es-ES" w:eastAsia="en-US"/>
        </w:rPr>
        <w:tab/>
        <w:t>attiecīgā gadījumā — pieteikuma par spēkā neesamības paziņošanu iesniegšana un pēc attiecīgā procesa pabeigšanas arī tā iznākums;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q)</w:t>
      </w:r>
      <w:r w:rsidRPr="00DF0A18">
        <w:rPr>
          <w:szCs w:val="24"/>
          <w:lang w:val="es-ES" w:eastAsia="en-US"/>
        </w:rPr>
        <w:tab/>
        <w:t>attiecīgā gadījumā — informācija par pārvēršanas lūgumu un lūguma izskatīšanas iznākums;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r)</w:t>
      </w:r>
      <w:r w:rsidRPr="00DF0A18">
        <w:rPr>
          <w:szCs w:val="24"/>
          <w:lang w:val="es-ES" w:eastAsia="en-US"/>
        </w:rPr>
        <w:tab/>
        <w:t>informācija par ikgadējo nodevu samaksu.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Reģistrā ieraksta izmaiņas šā panta 1. punktā minētajā informācijā, arī nodošanu, katram ierakstam pievienojot arī tā reģistrā ierakstīšanas datumu.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Reģistrs un šā panta 1. un 2. punktā minētā informācija ir pieejama visās Savienības oficiālajās valodās. Šādas informācijas publicēšanai reģistrā Birojs var izmantot verificētu mašīntulkojumu.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Biroja izpilddirektors var noteikt, ka papildus šā panta 1. un 2. punktā minētajai informācijai reģistrā ievada arī citu informāciju.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Birojs vāc, kārto, publisko un glabā šā panta 1. un 2. punktā minēto informāciju, arī personas datus, šā panta 7. punktā noteiktajiem nolūkiem. Birojs nodrošina, ka reģistrs ir viegli pieejams publiskām pārbaudēm.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6.</w:t>
      </w:r>
      <w:r w:rsidRPr="00DF0A18">
        <w:rPr>
          <w:szCs w:val="24"/>
          <w:lang w:val="es-ES" w:eastAsia="en-US"/>
        </w:rPr>
        <w:tab/>
        <w:t>Birojs nodrošina apstiprinātus vai neapstiprinātus Reģistra izrakstus pēc pieprasījuma un ja ir samaksāta nodeva.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7.</w:t>
      </w:r>
      <w:r w:rsidRPr="00DF0A18">
        <w:rPr>
          <w:szCs w:val="24"/>
          <w:lang w:val="es-ES" w:eastAsia="en-US"/>
        </w:rPr>
        <w:tab/>
        <w:t>Datu apstrāde attiecībā uz šā panta 1. un 2. punktā minētajiem ierakstiem, tostarp jebkāda personas datu apstrāde, notiek šādos nolūkos: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lai administratīvi pārvaldītu pieteikumus un vienotos sertifikātus atbilstīgi šai regulai un saskaņā ar to pieņemtajiem aktiem;</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lastRenderedPageBreak/>
        <w:t>b)</w:t>
      </w:r>
      <w:r w:rsidRPr="00DF0A18">
        <w:rPr>
          <w:szCs w:val="24"/>
          <w:lang w:val="es-ES" w:eastAsia="en-US"/>
        </w:rPr>
        <w:tab/>
        <w:t>lai uzturētu reģistru un nodrošinātu, ka reģistra informācija ir pieejama valsts iestādēm un ekonomikas dalībniekiem;</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c)</w:t>
      </w:r>
      <w:r w:rsidRPr="00DF0A18">
        <w:rPr>
          <w:szCs w:val="24"/>
          <w:lang w:val="es-ES" w:eastAsia="en-US"/>
        </w:rPr>
        <w:tab/>
        <w:t>lai sagatavotu ziņojumus un statistiku, kas ļauj Birojam optimizēt savu darbu un uzlabot sistēmas darbību.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8.</w:t>
      </w:r>
      <w:r w:rsidRPr="00DF0A18">
        <w:rPr>
          <w:szCs w:val="24"/>
          <w:lang w:val="es-ES" w:eastAsia="en-US"/>
        </w:rPr>
        <w:tab/>
        <w:t>Visi dati, tostarp personas dati, kas skar 1. un 2. punktā minētos ierakstus, ir uzskatāmi par tādiem, kas skar sabiedrības intereses, tāpēc tiem var piekļūt ikviena trešā persona. Juridiskās noteiktības dēļ ierakstus Reģistrā glabā nenoteiktu laiku.</w:t>
      </w:r>
    </w:p>
    <w:p w:rsidR="00A44A6B" w:rsidRPr="00DF0A18" w:rsidRDefault="00A44A6B" w:rsidP="00A44A6B">
      <w:pPr>
        <w:spacing w:before="120" w:after="120" w:line="360" w:lineRule="auto"/>
        <w:ind w:left="850" w:hanging="850"/>
        <w:rPr>
          <w:b/>
          <w:szCs w:val="24"/>
          <w:lang w:val="es-ES" w:eastAsia="en-US"/>
        </w:rPr>
      </w:pPr>
      <w:r w:rsidRPr="00DF0A18">
        <w:rPr>
          <w:b/>
          <w:i/>
          <w:szCs w:val="24"/>
          <w:lang w:val="es-ES" w:eastAsia="en-US"/>
        </w:rPr>
        <w:t>8a.</w:t>
      </w:r>
      <w:r w:rsidRPr="00DF0A18">
        <w:rPr>
          <w:szCs w:val="24"/>
          <w:lang w:val="es-ES" w:eastAsia="en-US"/>
        </w:rPr>
        <w:tab/>
      </w:r>
      <w:r w:rsidRPr="00DF0A18">
        <w:rPr>
          <w:b/>
          <w:i/>
          <w:szCs w:val="24"/>
          <w:lang w:val="es-ES" w:eastAsia="en-US"/>
        </w:rPr>
        <w:t>Valsts iestādes neizmanto reģistrā iekļauto informāciju patentu sasaistīšanas praksei. Normatīvie vai administratīvie lēmumi, kas saistīti ar ģenēriskām vai biolīdzīgām zālēm, netiek balstīti uz reģistrā iekļauto informāciju. Reģistrā iekļauto informāciju neizmanto, lai atteiktu, apturētu, aizkavētu, atsauktu vai atceltu tirdzniecības atļaujas, cenu noteikšanas un kompensācijas lēmumus vai konkursa piedāvājumus.</w:t>
      </w:r>
      <w:r w:rsidR="00487FAE" w:rsidRPr="00DF0A18">
        <w:rPr>
          <w:b/>
          <w:szCs w:val="24"/>
          <w:lang w:val="es-ES" w:eastAsia="en-US"/>
        </w:rPr>
        <w:t xml:space="preserve"> [Gr. 66]</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36. pants</w:t>
      </w:r>
      <w:r w:rsidRPr="00DF0A18">
        <w:rPr>
          <w:szCs w:val="24"/>
          <w:lang w:val="es-ES" w:eastAsia="en-US"/>
        </w:rPr>
        <w:br/>
        <w:t>Datubāze</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Papildus pienākumam uzturēt reģistru Birojs ievāc un elektroniskā datubāzē uzglabā visas no pieteikuma iesniedzējiem saņemtās ziņas un trešo personu apsvērumus, ko tie ir iesnieguši Birojam atbilstīgi šai regulai vai saskaņā ar to pieņemtajiem aktiem.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Elektroniskajā datubāzē var iekļaut personas datus, kas ir plašāki par reģistrā iekļautajiem, ciktāl šādas ziņas ir vajadzīgas atbilstīgi šai regulai vai saskaņā ar to pieņemtiem aktiem. Šādu datu vākšanu, glabāšanu un apstrādi veic šādos nolūkos: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lai administratīvi pārvaldītu pieteikumus un/vai sertifikātu reģistrāciju atbilstīgi šai regulai un saskaņā ar to pieņemtajiem aktiem;</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lai piekļūtu informācijai, kas ir vajadzīga attiecīgo procesu vieglākai un efektīvākai īstenošanai;</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c)</w:t>
      </w:r>
      <w:r w:rsidRPr="00DF0A18">
        <w:rPr>
          <w:szCs w:val="24"/>
          <w:lang w:val="es-ES" w:eastAsia="en-US"/>
        </w:rPr>
        <w:tab/>
        <w:t>lai sazinātos ar pieteikumu iesniedzējiem un citām trešām personām;</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d)</w:t>
      </w:r>
      <w:r w:rsidRPr="00DF0A18">
        <w:rPr>
          <w:szCs w:val="24"/>
          <w:lang w:val="es-ES" w:eastAsia="en-US"/>
        </w:rPr>
        <w:tab/>
        <w:t>lai sagatavotu ziņojumus un statistiku, kas ļauj Birojam optimizēt savu darbu un uzlabot sistēmas darbību.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3.</w:t>
      </w:r>
      <w:r w:rsidRPr="00DF0A18">
        <w:rPr>
          <w:szCs w:val="24"/>
          <w:lang w:val="es-ES" w:eastAsia="en-US"/>
        </w:rPr>
        <w:tab/>
        <w:t>Izpilddirektors nosaka nosacījumus par piekļuvi elektroniskajai datubāzei un veidu, kādā tās saturu, kas nav šā panta 2. punktā minētie personas dati, bet ietver 35. pantā minētos datus, var padarīt pieejamu mašīnlasāmā formā, tostarp maksu par šādu piekļuvi.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Piekļuvi 2. punktā minētajiem personas datiem ierobežo un šādus datus nedara publiski pieejamus, ja vien attiecīgā puse nav devusi nepārprotamu piekrišanu.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Visus datus glabā nenoteiktu laiku. Tomēr attiecīgā puse var izņemt no datubāzes visus personas datus, kad kopš vienotā sertifikāta termiņa beigām vai, atkarībā no situācijas, attiecīgās inter partes procedūras pabeigšanas ir pagājuši 18 mēneši. Attiecīgajai pusei ir tiesības jebkurā laikā panākt neprecīzu vai kļūdainu datu labošanu.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37. pants</w:t>
      </w:r>
      <w:r w:rsidRPr="00DF0A18">
        <w:rPr>
          <w:szCs w:val="24"/>
          <w:lang w:val="es-ES" w:eastAsia="en-US"/>
        </w:rPr>
        <w:br/>
        <w:t xml:space="preserve">Pārredzamība </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Biroja rīcībā esošiem dokumentiem piemēro Eiropas Parlamenta un Padomes Regulu (EK) Nr. 1049/2001</w:t>
      </w:r>
      <w:r w:rsidRPr="00A44A6B">
        <w:rPr>
          <w:szCs w:val="24"/>
          <w:vertAlign w:val="superscript"/>
          <w:lang w:val="en-GB" w:eastAsia="en-US"/>
        </w:rPr>
        <w:footnoteReference w:id="19"/>
      </w:r>
      <w:r w:rsidRPr="00DF0A18">
        <w:rPr>
          <w:szCs w:val="24"/>
          <w:lang w:val="es-ES" w:eastAsia="en-US"/>
        </w:rPr>
        <w:t>.</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Biroja valde pieņem sīki izstrādātus noteikumus par Regulas (EK) Nr. 1049/2001 piemērošanu šīs regulas kontekstā.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Lēmumus, ko Birojs pieņēmis saskaņā ar Regulas (EK) Nr. 1049/2001 8. pantu, var apstrīdēt, vēršoties pie Eiropas ombuda vai ar prasību Eiropas Savienības Tiesā atbilstīgi nosacījumiem, kas paredzēti attiecīgi LESD 228. un 263. pantā.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Uz personas datu apstrādi Birojā attiecas Eiropas Parlamenta un Padomes Regula (EK) Nr. 45/2001</w:t>
      </w:r>
      <w:r w:rsidRPr="00A44A6B">
        <w:rPr>
          <w:szCs w:val="24"/>
          <w:vertAlign w:val="superscript"/>
          <w:lang w:val="en-GB" w:eastAsia="en-US"/>
        </w:rPr>
        <w:footnoteReference w:id="20"/>
      </w:r>
      <w:r w:rsidRPr="00DF0A18">
        <w:rPr>
          <w:szCs w:val="24"/>
          <w:lang w:val="es-ES" w:eastAsia="en-US"/>
        </w:rPr>
        <w:t>.</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38. pants</w:t>
      </w:r>
      <w:r w:rsidRPr="00DF0A18">
        <w:rPr>
          <w:szCs w:val="24"/>
          <w:lang w:val="es-ES" w:eastAsia="en-US"/>
        </w:rPr>
        <w:br/>
        <w:t>Pārstāvība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Fiziskas vai juridiskas personas, kam Eiropas Ekonomikas zonā nav ne domicila, ne galvenās darījumdarbības vietas, ne reāli pastāvoša rūpniecības vai tirdzniecības uzņēmuma, Birojā tiek pārstāvētas saskaņā ar šo pantu visos šajā regulā noteiktajos procesos, izņemot vienotā sertifikāta pieteikuma iesniegšanu.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Fiziskas vai juridiskas personas, kuru domicils vai galvenā darījumdarbības vieta, vai reāli pastāvošs rūpniecības vai tirdzniecības uzņēmums atrodas Savienībā, Birojā var pārstāvēt darbinieks.</w:t>
      </w:r>
    </w:p>
    <w:p w:rsidR="00A44A6B" w:rsidRPr="00DF0A18" w:rsidRDefault="00A44A6B" w:rsidP="00A44A6B">
      <w:pPr>
        <w:spacing w:before="120" w:after="120" w:line="360" w:lineRule="auto"/>
        <w:ind w:left="850"/>
        <w:rPr>
          <w:szCs w:val="24"/>
          <w:lang w:val="es-ES" w:eastAsia="en-US"/>
        </w:rPr>
      </w:pPr>
      <w:r w:rsidRPr="00DF0A18">
        <w:rPr>
          <w:szCs w:val="24"/>
          <w:lang w:val="es-ES" w:eastAsia="en-US"/>
        </w:rPr>
        <w:t>Juridiskas personas darbinieks var pārstāvēt arī citas juridiskas personas, kuras ir ekonomiski saistītas ar to juridisko personu, kuru šis darbinieks pārstāv.</w:t>
      </w:r>
    </w:p>
    <w:p w:rsidR="00A44A6B" w:rsidRPr="00DF0A18" w:rsidRDefault="00A44A6B" w:rsidP="00A44A6B">
      <w:pPr>
        <w:spacing w:before="120" w:after="120" w:line="360" w:lineRule="auto"/>
        <w:ind w:left="850"/>
        <w:rPr>
          <w:szCs w:val="24"/>
          <w:lang w:val="es-ES" w:eastAsia="en-US"/>
        </w:rPr>
      </w:pPr>
      <w:r w:rsidRPr="00DF0A18">
        <w:rPr>
          <w:szCs w:val="24"/>
          <w:lang w:val="es-ES" w:eastAsia="en-US"/>
        </w:rPr>
        <w:t>Šā panta otrā daļa attiecas arī uz gadījumu, kad minētajām citām juridiskajām personām nav ne domicila, ne galvenās darījumdarbības vietas, ne reāli pastāvoša rūpniecības vai tirdzniecības uzņēmuma Savienībā.</w:t>
      </w:r>
    </w:p>
    <w:p w:rsidR="00A44A6B" w:rsidRPr="00DF0A18" w:rsidRDefault="00A44A6B" w:rsidP="00A44A6B">
      <w:pPr>
        <w:spacing w:before="120" w:after="120" w:line="360" w:lineRule="auto"/>
        <w:ind w:left="850"/>
        <w:rPr>
          <w:szCs w:val="24"/>
          <w:lang w:val="es-ES" w:eastAsia="en-US"/>
        </w:rPr>
      </w:pPr>
      <w:r w:rsidRPr="00DF0A18">
        <w:rPr>
          <w:szCs w:val="24"/>
          <w:lang w:val="es-ES" w:eastAsia="en-US"/>
        </w:rPr>
        <w:t>Darbinieki, kuri pārstāv fiziskas vai juridiskas personas, pēc Biroja vai attiecīgā gadījumā pēc procesā iesaistītas puses pieprasījuma iesniedz Birojam parakstītu pilnvaru, ko pievieno dokumentiem.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Ja vairāki pieteikuma iesniedzēji vai vairākas trešās personas rīkojas kolektīvi, tie var iecelt kopīgu pārstāvi.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Fiziskas vai juridiskas personas Birojā var pārstāvēt vienīgi Savienībā iedibināts praktizējošs speciālists, kam ir tiesības rīkoties kā profesionālam pārstāvim patentu lietās, ko izskata valsts patentu iestāde vai Eiropas Patentu iestāde, vai jurists, kam ir tiesības praktizēt dalībvalsts tiesās.</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39. pants</w:t>
      </w:r>
      <w:r w:rsidRPr="00DF0A18">
        <w:rPr>
          <w:szCs w:val="24"/>
          <w:lang w:val="es-ES" w:eastAsia="en-US"/>
        </w:rPr>
        <w:br/>
        <w:t>Papildu aizsardzības sertifikātu nodaļa</w:t>
      </w:r>
    </w:p>
    <w:p w:rsidR="00A44A6B" w:rsidRPr="00DF0A18" w:rsidRDefault="00A44A6B" w:rsidP="00A44A6B">
      <w:pPr>
        <w:spacing w:before="120" w:after="120" w:line="360" w:lineRule="auto"/>
        <w:rPr>
          <w:szCs w:val="24"/>
          <w:lang w:val="es-ES" w:eastAsia="en-US"/>
        </w:rPr>
      </w:pPr>
      <w:r w:rsidRPr="00DF0A18">
        <w:rPr>
          <w:szCs w:val="24"/>
          <w:lang w:val="es-ES" w:eastAsia="en-US"/>
        </w:rPr>
        <w:t>Birojā izveido Papildu aizsardzības sertifikātu nodaļu (“PAS nodaļa”), kura papildus regulās [COM(2023) 231] un [COM(2023) 223] noteiktajiem pienākumiem ir atbildīga par šajā regulā un Regulā [COM(2023) 221] noteikto uzdevumu īstenošanu, tajā skaitā jo īpaši par tālāk minētajām darbībām: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a)</w:t>
      </w:r>
      <w:r w:rsidRPr="00DF0A18">
        <w:rPr>
          <w:szCs w:val="24"/>
          <w:lang w:val="es-ES" w:eastAsia="en-US"/>
        </w:rPr>
        <w:tab/>
        <w:t>vienotā sertifikāta pieteikumu, vienotā sertifikāta termiņa pagarinājuma pieteikumu, apelāciju un trešo personu apsvērumu pieņemšana un to izskatīšanas pārraudzība;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b)</w:t>
      </w:r>
      <w:r w:rsidRPr="00DF0A18">
        <w:rPr>
          <w:szCs w:val="24"/>
          <w:lang w:val="es-ES" w:eastAsia="en-US"/>
        </w:rPr>
        <w:tab/>
        <w:t>pārbaudes atzinumu pieņemšana Biroja vārdā par vienotā sertifikāta pieteikumiem, kā arī par vienotā sertifikāta termiņa pagarinājuma pieteikumiem;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c)</w:t>
      </w:r>
      <w:r w:rsidRPr="00DF0A18">
        <w:rPr>
          <w:szCs w:val="24"/>
          <w:lang w:val="es-ES" w:eastAsia="en-US"/>
        </w:rPr>
        <w:tab/>
        <w:t>lēmumu pieņemšana par  iebildumiem pret pārbaudes atzinumiem;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d)</w:t>
      </w:r>
      <w:r w:rsidRPr="00DF0A18">
        <w:rPr>
          <w:szCs w:val="24"/>
          <w:lang w:val="es-ES" w:eastAsia="en-US"/>
        </w:rPr>
        <w:tab/>
        <w:t>lēmumu pieņemšana par prasībām par spēkā neesamības paziņošanu;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e)</w:t>
      </w:r>
      <w:r w:rsidRPr="00DF0A18">
        <w:rPr>
          <w:szCs w:val="24"/>
          <w:lang w:val="es-ES" w:eastAsia="en-US"/>
        </w:rPr>
        <w:tab/>
        <w:t>pārvēršanas lūgumu apstrāde;</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f)</w:t>
      </w:r>
      <w:r w:rsidRPr="00DF0A18">
        <w:rPr>
          <w:szCs w:val="24"/>
          <w:lang w:val="es-ES" w:eastAsia="en-US"/>
        </w:rPr>
        <w:tab/>
        <w:t>reģistra un datubāzes uzturēšana.</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40. pants</w:t>
      </w:r>
      <w:r w:rsidRPr="00DF0A18">
        <w:rPr>
          <w:szCs w:val="24"/>
          <w:lang w:val="es-ES" w:eastAsia="en-US"/>
        </w:rPr>
        <w:br/>
        <w:t xml:space="preserve">Biroja lēmumi un paziņojumi </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1.</w:t>
      </w:r>
      <w:r w:rsidRPr="00DF0A18">
        <w:rPr>
          <w:szCs w:val="24"/>
          <w:lang w:val="es-ES" w:eastAsia="en-US"/>
        </w:rPr>
        <w:tab/>
        <w:t xml:space="preserve">Lēmumi, ko Birojs pieņem saskaņā ar šo regulu, ietver pārbaudes atzinumus, un tajos norāda lēmuma pamatojumu. To pamatā ir tikai tādi pamatojumi vai pierādījumi, par kuriem attiecīgajām pusēm ir bijusi iespēja izteikt apsvērumus. Ja Birojā notiek procesa mutiskā daļa, lēmumu var pasludināt mutiski. Pēc tam lēmumu vai atzinumu pusēm paziņo </w:t>
      </w:r>
      <w:r w:rsidRPr="00DF0A18">
        <w:rPr>
          <w:strike/>
          <w:szCs w:val="24"/>
          <w:lang w:val="es-ES" w:eastAsia="en-US"/>
        </w:rPr>
        <w:t>rakstveidā</w:t>
      </w:r>
      <w:r w:rsidRPr="00DF0A18">
        <w:rPr>
          <w:b/>
          <w:i/>
          <w:szCs w:val="24"/>
          <w:lang w:val="es-ES" w:eastAsia="en-US"/>
        </w:rPr>
        <w:t>elektroniski</w:t>
      </w:r>
      <w:r w:rsidRPr="00DF0A18">
        <w:rPr>
          <w:szCs w:val="24"/>
          <w:lang w:val="es-ES" w:eastAsia="en-US"/>
        </w:rPr>
        <w:t>.</w:t>
      </w:r>
      <w:r w:rsidR="00487FAE" w:rsidRPr="00DF0A18">
        <w:rPr>
          <w:b/>
          <w:szCs w:val="24"/>
          <w:lang w:val="es-ES" w:eastAsia="en-US"/>
        </w:rPr>
        <w:t xml:space="preserve"> [Gr. 67]</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Ikvienā lēmumā, atzinumā, ziņojumā vai paziņojumā, ko Birojs sagatavo saskaņā ar šo regulu, norāda PAS nodaļu un attiecīgo komisiju, kā arī atbildīgo pārbaudītāju vārdu un uzvārdu. Tos paraksta minētie pārbaudītāji, vai arī paraksta vietā uz tiem var būt iespiests vai uzspiests Biroja zīmogs. Izpilddirektors var noteikt, ka gadījumos, kad Biroja lēmumus vai citus paziņojumus pārsūta, izmantojot tehniskus sakaru līdzekļus, PAS nodaļu un atbildīgo pārbaudītāju vārdu un uzvārdu var norādīt kādā citā veidā vai identifikācijai izmantot citus līdzekļus, nevis zīmogu.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lastRenderedPageBreak/>
        <w:t>3.</w:t>
      </w:r>
      <w:r w:rsidRPr="00DF0A18">
        <w:rPr>
          <w:szCs w:val="24"/>
          <w:lang w:val="es-ES" w:eastAsia="en-US"/>
        </w:rPr>
        <w:tab/>
        <w:t xml:space="preserve">Lēmumiem, kurus Birojs ir pieņēmis saskaņā ar šo regulu un par kuriem var iesniegt apelāciju, pievieno rakstveida paziņojumu, kurā norāda, ka paziņojums par apelāciju jāiesniedz Birojā </w:t>
      </w:r>
      <w:r w:rsidRPr="00DF0A18">
        <w:rPr>
          <w:strike/>
          <w:szCs w:val="24"/>
          <w:lang w:val="es-ES" w:eastAsia="en-US"/>
        </w:rPr>
        <w:t>rakstveidā</w:t>
      </w:r>
      <w:r w:rsidRPr="00DF0A18">
        <w:rPr>
          <w:b/>
          <w:i/>
          <w:szCs w:val="24"/>
          <w:lang w:val="es-ES" w:eastAsia="en-US"/>
        </w:rPr>
        <w:t>elektroniski</w:t>
      </w:r>
      <w:r w:rsidRPr="00DF0A18">
        <w:rPr>
          <w:szCs w:val="24"/>
          <w:lang w:val="es-ES" w:eastAsia="en-US"/>
        </w:rPr>
        <w:t xml:space="preserve"> 2 mēnešu laikā pēc attiecīgā lēmuma paziņošanas dienas. Minētajā paziņojumā pievērš pušu uzmanību arī 28. pantā izklāstītajiem noteikumiem. Puses nevar pamatot savu prasību ar apgalvojumu, ka Birojs nav sniedzis informāciju par apelācijas procesa pieejamību.</w:t>
      </w:r>
      <w:r w:rsidR="00487FAE" w:rsidRPr="00DF0A18">
        <w:rPr>
          <w:b/>
          <w:szCs w:val="24"/>
          <w:lang w:val="es-ES" w:eastAsia="en-US"/>
        </w:rPr>
        <w:t xml:space="preserve"> [Gr. 68]</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41. pants</w:t>
      </w:r>
      <w:r w:rsidRPr="00DF0A18">
        <w:rPr>
          <w:szCs w:val="24"/>
          <w:lang w:val="es-ES" w:eastAsia="en-US"/>
        </w:rPr>
        <w:br/>
        <w:t>Procesa mutiskā daļa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Ja Birojs uzskata, ka būtu nepieciešama procesa mutiskā daļa, tā notiek vai nu pēc Biroja iniciatīvas, vai pēc kādas procesā iesaistītas puses lūguma.</w:t>
      </w:r>
    </w:p>
    <w:p w:rsidR="00A44A6B" w:rsidRPr="00DF0A18" w:rsidRDefault="00A44A6B" w:rsidP="00A44A6B">
      <w:pPr>
        <w:spacing w:before="120" w:after="120" w:line="360" w:lineRule="auto"/>
        <w:ind w:left="850" w:hanging="850"/>
        <w:rPr>
          <w:b/>
          <w:szCs w:val="24"/>
          <w:lang w:val="es-ES" w:eastAsia="en-US"/>
        </w:rPr>
      </w:pPr>
      <w:r w:rsidRPr="00DF0A18">
        <w:rPr>
          <w:strike/>
          <w:szCs w:val="24"/>
          <w:lang w:val="es-ES" w:eastAsia="en-US"/>
        </w:rPr>
        <w:t>2.</w:t>
      </w:r>
      <w:r w:rsidRPr="00DF0A18">
        <w:rPr>
          <w:szCs w:val="24"/>
          <w:lang w:val="es-ES" w:eastAsia="en-US"/>
        </w:rPr>
        <w:tab/>
      </w:r>
      <w:r w:rsidRPr="00DF0A18">
        <w:rPr>
          <w:strike/>
          <w:szCs w:val="24"/>
          <w:lang w:val="es-ES" w:eastAsia="en-US"/>
        </w:rPr>
        <w:t>Procesa mutiskā daļa pārbaudes komisijā, iebildumu izskatīšanas komisijā vai spēkā neesamības izskatīšanas komisijā nav atklāta.</w:t>
      </w:r>
      <w:r w:rsidR="00487FAE" w:rsidRPr="00DF0A18">
        <w:rPr>
          <w:b/>
          <w:strike/>
          <w:szCs w:val="24"/>
          <w:lang w:val="es-ES" w:eastAsia="en-US"/>
        </w:rPr>
        <w:t xml:space="preserve"> [Gr. 69]</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lastRenderedPageBreak/>
        <w:t>3.</w:t>
      </w:r>
      <w:r w:rsidRPr="00DF0A18">
        <w:rPr>
          <w:szCs w:val="24"/>
          <w:lang w:val="es-ES" w:eastAsia="en-US"/>
        </w:rPr>
        <w:tab/>
      </w:r>
      <w:r w:rsidRPr="00DF0A18">
        <w:rPr>
          <w:b/>
          <w:i/>
          <w:szCs w:val="24"/>
          <w:lang w:val="es-ES" w:eastAsia="en-US"/>
        </w:rPr>
        <w:t xml:space="preserve">Pārbaudes komisijā, iebildumu izskatīšanas komisijā vai </w:t>
      </w:r>
      <w:r w:rsidRPr="00DF0A18">
        <w:rPr>
          <w:szCs w:val="24"/>
          <w:lang w:val="es-ES" w:eastAsia="en-US"/>
        </w:rPr>
        <w:t xml:space="preserve">Apelācijas padomēs procesa mutiskā daļa, arī lēmuma un attiecīgā gadījumā pārskatītā atzinuma paziņošana, ir atklāta, izņemot gadījumus, kad </w:t>
      </w:r>
      <w:r w:rsidRPr="00DF0A18">
        <w:rPr>
          <w:b/>
          <w:i/>
          <w:szCs w:val="24"/>
          <w:lang w:val="es-ES" w:eastAsia="en-US"/>
        </w:rPr>
        <w:t xml:space="preserve">pārbaudes komisija, iebildumu izskatīšanas komisija vai </w:t>
      </w:r>
      <w:r w:rsidRPr="00DF0A18">
        <w:rPr>
          <w:szCs w:val="24"/>
          <w:lang w:val="es-ES" w:eastAsia="en-US"/>
        </w:rPr>
        <w:t>Apelācijas padomes lemj citādi, jo sabiedrības pielaišana</w:t>
      </w:r>
      <w:r w:rsidRPr="00DF0A18">
        <w:rPr>
          <w:b/>
          <w:i/>
          <w:szCs w:val="24"/>
          <w:lang w:val="es-ES" w:eastAsia="en-US"/>
        </w:rPr>
        <w:t xml:space="preserve"> visam mutvārdu procesam vai tā daļai</w:t>
      </w:r>
      <w:r w:rsidRPr="00DF0A18">
        <w:rPr>
          <w:szCs w:val="24"/>
          <w:lang w:val="es-ES" w:eastAsia="en-US"/>
        </w:rPr>
        <w:t xml:space="preserve"> nopietni un nepamatoti varētu radīt neizdevīgu stāvokli kādai procesā iesaistītai pusei.</w:t>
      </w:r>
      <w:r w:rsidR="00487FAE" w:rsidRPr="00DF0A18">
        <w:rPr>
          <w:b/>
          <w:szCs w:val="24"/>
          <w:lang w:val="es-ES" w:eastAsia="en-US"/>
        </w:rPr>
        <w:t xml:space="preserve"> [Gr. 70]</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Komisija saskaņā ar 54. pantu ir pilnvarota pieņemt deleģētos aktus, lai papildinātu šo regulu, nosakot sīki izstrādātu kārtību, kādā notiek procesa mutiskā daļa.</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42. pants</w:t>
      </w:r>
      <w:r w:rsidRPr="00DF0A18">
        <w:rPr>
          <w:szCs w:val="24"/>
          <w:lang w:val="es-ES" w:eastAsia="en-US"/>
        </w:rPr>
        <w:br/>
        <w:t>Pierādījumu iegūšana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Lietas izskatīšanas procesā Birojā pierādījumus sniedz vai iegūst:</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uzklausot puses;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iesniedzot informācijas pieprasījumus;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c)</w:t>
      </w:r>
      <w:r w:rsidRPr="00DF0A18">
        <w:rPr>
          <w:szCs w:val="24"/>
          <w:lang w:val="es-ES" w:eastAsia="en-US"/>
        </w:rPr>
        <w:tab/>
        <w:t>uzrādot dokumentus un lietiskos pierādījumus;</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lastRenderedPageBreak/>
        <w:t>d)</w:t>
      </w:r>
      <w:r w:rsidRPr="00DF0A18">
        <w:rPr>
          <w:szCs w:val="24"/>
          <w:lang w:val="es-ES" w:eastAsia="en-US"/>
        </w:rPr>
        <w:tab/>
        <w:t>uzklausot lieciniekus;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e)</w:t>
      </w:r>
      <w:r w:rsidRPr="00DF0A18">
        <w:rPr>
          <w:szCs w:val="24"/>
          <w:lang w:val="es-ES" w:eastAsia="en-US"/>
        </w:rPr>
        <w:tab/>
        <w:t>no ekspertu atzinumiem;</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f)</w:t>
      </w:r>
      <w:r w:rsidRPr="00DF0A18">
        <w:rPr>
          <w:szCs w:val="24"/>
          <w:lang w:val="es-ES" w:eastAsia="en-US"/>
        </w:rPr>
        <w:tab/>
        <w:t>no rakstveida paziņojumiem, kas ir apliecināti ar zvērestu, apstiprināti vai kam ir līdzīgs spēks saskaņā ar tās valsts likumiem, kurā šāds paziņojums ir sastādīts.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Attiecīgā komisija var uzdot kādam no komisijas locekļiem pārbaudīt sniegtos pierādījumus.</w:t>
      </w:r>
    </w:p>
    <w:p w:rsidR="00A44A6B" w:rsidRPr="00DF0A18" w:rsidRDefault="00A44A6B" w:rsidP="00A44A6B">
      <w:pPr>
        <w:spacing w:before="120" w:after="120" w:line="360" w:lineRule="auto"/>
        <w:ind w:left="850" w:hanging="850"/>
        <w:rPr>
          <w:b/>
          <w:szCs w:val="24"/>
          <w:lang w:val="es-ES" w:eastAsia="en-US"/>
        </w:rPr>
      </w:pPr>
      <w:r w:rsidRPr="00DF0A18">
        <w:rPr>
          <w:szCs w:val="24"/>
          <w:lang w:val="es-ES" w:eastAsia="en-US"/>
        </w:rPr>
        <w:t>3.</w:t>
      </w:r>
      <w:r w:rsidRPr="00DF0A18">
        <w:rPr>
          <w:szCs w:val="24"/>
          <w:lang w:val="es-ES" w:eastAsia="en-US"/>
        </w:rPr>
        <w:tab/>
        <w:t xml:space="preserve">Ja Birojs vai attiecīgā komisija uzskata par vajadzīgu, lai puse, liecinieks vai eksperts sniegtu pierādījumus mutiski, tā izsniedz pavēsti, uzaicinot attiecīgo personu ierasties Birojā. </w:t>
      </w:r>
      <w:r w:rsidRPr="00DF0A18">
        <w:rPr>
          <w:b/>
          <w:i/>
          <w:szCs w:val="24"/>
          <w:lang w:val="es-ES" w:eastAsia="en-US"/>
        </w:rPr>
        <w:t xml:space="preserve">Eksperta uzaicināšanas gadījumā Birojs vai attiecīgā komisija pārbauda, vai minētajam ekspertam nav interešu konflikta. </w:t>
      </w:r>
      <w:r w:rsidRPr="00DF0A18">
        <w:rPr>
          <w:szCs w:val="24"/>
          <w:lang w:val="es-ES" w:eastAsia="en-US"/>
        </w:rPr>
        <w:t>Šādu pavēsti izsniedz vismaz 1 mēnesi iepriekš, ja vien nepanāk vienošanos par to, ka uzklausīšana notiks ātrāk.</w:t>
      </w:r>
      <w:r w:rsidR="00487FAE" w:rsidRPr="00DF0A18">
        <w:rPr>
          <w:b/>
          <w:szCs w:val="24"/>
          <w:lang w:val="es-ES" w:eastAsia="en-US"/>
        </w:rPr>
        <w:t xml:space="preserve"> [Gr. 71]</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Puses informē par liecinieku vai ekspertu uzklausīšanu Birojā. Tām ir tiesības būt klāt un uzdot lieciniekam vai ekspertam jautājumus.</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5.</w:t>
      </w:r>
      <w:r w:rsidRPr="00DF0A18">
        <w:rPr>
          <w:szCs w:val="24"/>
          <w:lang w:val="es-ES" w:eastAsia="en-US"/>
        </w:rPr>
        <w:tab/>
        <w:t>Izpilddirektors nosaka maksājamo izdevumu summas, tostarp avansa maksājumus, attiecībā uz pierādījumu iegūšanas izmaksām, kā minēts šajā pantā.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6.</w:t>
      </w:r>
      <w:r w:rsidRPr="00DF0A18">
        <w:rPr>
          <w:szCs w:val="24"/>
          <w:lang w:val="es-ES" w:eastAsia="en-US"/>
        </w:rPr>
        <w:tab/>
        <w:t>Komisija saskaņā ar 54. pantu ir pilnvarota pieņemt deleģētos aktus, lai papildinātu šo regulu, nosakot sīki izstrādātu kārtību, kādā notiek pierādījumu iegūšana.</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43. pants</w:t>
      </w:r>
      <w:r w:rsidRPr="00DF0A18">
        <w:rPr>
          <w:szCs w:val="24"/>
          <w:lang w:val="es-ES" w:eastAsia="en-US"/>
        </w:rPr>
        <w:br/>
        <w:t>Paziņošana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Birojs aizvien paziņo skartajām personām par lēmumiem, tajā skaitā atzinumiem un pavēstēm, kā arī par visiem paziņojumiem vai citu saziņu, no kā skaita kādu termiņu, vai par ko skartajām personām ir jāpaziņo atbilstoši citiem šīs regulas vai saskaņā ar šo regulu pieņemto aktu noteikumiem, vai kuru izziņošanu norīkojis izpilddirektors.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Paziņošanu var veikt, izmantojot dažādus līdzekļus, tajā skaitā elektroniski. Precīzākas norādes par elektroniskiem līdzekļiem nosaka izpilddirektors.</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3.</w:t>
      </w:r>
      <w:r w:rsidRPr="00DF0A18">
        <w:rPr>
          <w:szCs w:val="24"/>
          <w:lang w:val="es-ES" w:eastAsia="en-US"/>
        </w:rPr>
        <w:tab/>
        <w:t>Ja paziņošanai jāizmanto publisks paziņojums, izpilddirektors nosaka veidu, kādā veic publisku paziņojumu, un nosaka, kurā dienā sākas 1 mēneša termiņš, kura beigās dokumentu uzskata par paziņotu.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Komisija saskaņā ar 54. pantu ir pilnvarota pieņemt deleģētos aktus, lai papildinātu šo regulu, nosakot sīki izstrādātu paziņošanas kārtību.</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44. pants</w:t>
      </w:r>
      <w:r w:rsidRPr="00DF0A18">
        <w:rPr>
          <w:szCs w:val="24"/>
          <w:lang w:val="es-ES" w:eastAsia="en-US"/>
        </w:rPr>
        <w:br/>
        <w:t>Termiņi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Termiņus nosaka pilnos gados, mēnešos, nedēļās vai dienās. Termiņa skaitījums sākas nākamajā dienā pēc attiecīgā notikuma. Termiņš nevar būt īsāks par 1 mēnesi un ilgāks par 6 mēnešiem.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Izpilddirektors pirms katra kalendāra gada sākuma nosaka dienas, kurās Birojs dokumentu pieņemšanai ir slēgts vai kurās Biroja atrašanās vietā nepiegādā parasto pastu.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3.</w:t>
      </w:r>
      <w:r w:rsidRPr="00DF0A18">
        <w:rPr>
          <w:szCs w:val="24"/>
          <w:lang w:val="es-ES" w:eastAsia="en-US"/>
        </w:rPr>
        <w:tab/>
        <w:t>Izpilddirektors nosaka pārtraukuma perioda ilgumu gadījumā, ja pasta piegāde dalībvalstī, kurā atrodas Birojs, vispār ir pārtraukta vai ja ir pārtraukta Biroja piekļuve pieļaujamajiem elektroniskajiem saziņas līdzekļiem.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Ja pienācīgu saziņu starp procesā iesaistītajām pusēm un Biroju pārtrauc vai traucē ārkārtas notikumi, piemēram, dabas katastrofa vai streiks, izpilddirektors var noteikt, ka tām procesā iesaistītajām pusēm, kuru pastāvīgā dzīvesvieta vai biroja juridiskā adrese atrodas attiecīgajā dalībvalstī vai kuras ir iecēlušas pārstāvi, kura darījumdarbības vieta ir attiecīgajā dalībvalstī, visus termiņus, kas citos apstākļos būtu beigušies ārkārtas notikumu iestāšanās dienā (kuru nosaka izpilddirektors) vai pēc tās, pagarina līdz izpilddirektora noteiktai dienai. Nosakot minēto termiņa pagarinājuma beigu dienu, izpilddirektors ņem vērā brīdi, kurā ārkārtas notikums beidzās. Ja notikums skar Biroja atrašanās vietu, izpilddirektora paziņojumā par šādi noteiktu dienu norāda, ka tā attiecas uz visām procesā iesaistītajām pusēm.</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5.</w:t>
      </w:r>
      <w:r w:rsidRPr="00DF0A18">
        <w:rPr>
          <w:szCs w:val="24"/>
          <w:lang w:val="es-ES" w:eastAsia="en-US"/>
        </w:rPr>
        <w:tab/>
        <w:t>Komisija saskaņā ar 54. pantu ir pilnvarota pieņemt deleģētos aktus, lai papildinātu šo regulu, nosakot sīki izstrādātu kārtību termiņu aprēķināšanai un to ilguma noteikšanai.</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45. pants</w:t>
      </w:r>
      <w:r w:rsidRPr="00DF0A18">
        <w:rPr>
          <w:szCs w:val="24"/>
          <w:lang w:val="es-ES" w:eastAsia="en-US"/>
        </w:rPr>
        <w:br/>
        <w:t>Kļūdu un acīmredzamas pārskatīšanās labošana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Birojs pēc savas iniciatīvas vai pēc kādas puses lūguma labo savos lēmumos, arī atzinumos, lingvistiskas vai transkripcijas kļūdas un acīmredzamas pārskatīšanās vai tehniskas kļūdas, kas ir radušās, publicējot informāciju reģistrā.</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Ja Birojs reģistrā ir izdarījis ierakstu vai pieņēmis lēmumu, kurā Biroja vainas dēļ ir acīmredzama kļūda, tas nodrošina ieraksta anulēšanu vai lēmuma atcelšanu. Reģistra ierakstu anulē vai lēmumu atceļ 1 gada laikā no dienas, kad reģistrā izdarīts ieraksts vai pieņemts attiecīgais lēmums, pirms tam apspriežoties ar procesā iesaistītajām pusēm.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Birojs reģistrē visus šādus labošanas vai anulēšanas gadījumus.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Birojs publicē labojumus un informāciju par anulēšanu.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46. pants</w:t>
      </w:r>
      <w:r w:rsidRPr="00DF0A18">
        <w:rPr>
          <w:szCs w:val="24"/>
          <w:lang w:val="es-ES" w:eastAsia="en-US"/>
        </w:rPr>
        <w:br/>
        <w:t>Restitutio in integrum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Vienotā sertifikāta pieteikuma iesniedzējam vai vienotā sertifikāta īpašniekam, vai arī saskaņā ar šo regulu Birojā notiekošā procesā iesaistītai pusei, kura, neskatoties uz to, ka tā darījusi visu konkrētajos apstākļos nepieciešamo, tomēr nav spējusi iekļauties Biroja noteiktajā termiņā, pēc attiecīgās personas lūguma atjauno tās tiesības, ja atbilstoši šīs regulas noteikumiem termiņa neievērošanas tiešās sekas ir kādu tiesību vai atlīdzības iespējas zaudējums.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 xml:space="preserve">Tiesību atjaunošanas pieteikumu iesniedz </w:t>
      </w:r>
      <w:r w:rsidRPr="00DF0A18">
        <w:rPr>
          <w:strike/>
          <w:szCs w:val="24"/>
          <w:lang w:val="es-ES" w:eastAsia="en-US"/>
        </w:rPr>
        <w:t>rakstveidā</w:t>
      </w:r>
      <w:r w:rsidRPr="00DF0A18">
        <w:rPr>
          <w:b/>
          <w:i/>
          <w:szCs w:val="24"/>
          <w:lang w:val="es-ES" w:eastAsia="en-US"/>
        </w:rPr>
        <w:t>elektroniski</w:t>
      </w:r>
      <w:r w:rsidRPr="00DF0A18">
        <w:rPr>
          <w:szCs w:val="24"/>
          <w:lang w:val="es-ES" w:eastAsia="en-US"/>
        </w:rPr>
        <w:t xml:space="preserve"> 2 mēnešu laikā kopš termiņa kavējuma cēloņa novēršanas. Šajā laikā veic nepaveikto darbību. Pieteikumu pieņem vienīgi tad, ja kopš neievērotā termiņa beigām ir pagājis ne vairāk kā viens gads.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Tiesību atjaunošanas pieteikumā norāda tā pamatojumu un izklāsta faktus, uz kuriem tas balstās. To uzskata par iesniegtu tikai tad, kad ir samaksāta nodeva par tiesību atjaunošanu.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4.</w:t>
      </w:r>
      <w:r w:rsidRPr="00DF0A18">
        <w:rPr>
          <w:szCs w:val="24"/>
          <w:lang w:val="es-ES" w:eastAsia="en-US"/>
        </w:rPr>
        <w:tab/>
        <w:t>Lēmumu par šādu pieteikumu pieņemt PAS nodaļa vai attiecīgā gadījumā Apelācijas padomes.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Šo pantu nepiemēro termiņiem, kas ir minēti šā panta 2. punktā vai 15. panta 1. un 3. punktā.</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47. pants</w:t>
      </w:r>
      <w:r w:rsidRPr="00DF0A18">
        <w:rPr>
          <w:szCs w:val="24"/>
          <w:lang w:val="es-ES" w:eastAsia="en-US"/>
        </w:rPr>
        <w:br/>
        <w:t>Procesa pārtraukšana</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Procesus, kas ir sākti Birojā saskaņā ar šo regulu, pārtrauc šādos gadījumos:</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ja pieteikuma iesniedzējs vai persona, kas saskaņā ar valsts tiesību aktiem ir pilnvarota rīkoties pieteikuma iesniedzēja vārdā, ir mirusi vai zaudējusi tiesībspēju. Ja nāve vai tiesībnespēja neietekmē saskaņā ar 39. pantu ieceltā pārstāvja pilnvaras, procesu pārtrauc tikai pēc šāda pārstāvja pieteikuma;</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ja pieteikuma iesniedzējam ir liegts turpināt procesu Birojā juridisku iemeslu dēļ, kuri izriet no prasības pret viņa īpašumu;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lastRenderedPageBreak/>
        <w:t>c)</w:t>
      </w:r>
      <w:r w:rsidRPr="00DF0A18">
        <w:rPr>
          <w:szCs w:val="24"/>
          <w:lang w:val="es-ES" w:eastAsia="en-US"/>
        </w:rPr>
        <w:tab/>
        <w:t>ja pieteikuma iesniedzēja pārstāvis nevar turpināt procesu Birojā, jo ir miris vai zaudējis tiesībspēju, vai procesa turpināšana tam ir liegta juridisku iemeslu dēļ, kuri izriet no prasības pret viņa īpašumu.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2.</w:t>
      </w:r>
      <w:r w:rsidRPr="00DF0A18">
        <w:rPr>
          <w:szCs w:val="24"/>
          <w:lang w:val="es-ES" w:eastAsia="en-US"/>
        </w:rPr>
        <w:tab/>
        <w:t>Procesu Birojā atsāk, tiklīdz ir noskaidrota persona, kas ir pilnvarota to turpināt.</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Komisija saskaņā ar 54. pantu ir pilnvarota pieņemt deleģētos aktus, lai papildinātu šo regulu, nosakot sīki izstrādātu kārtību procesu atsākšanai Birojā.</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48. pants</w:t>
      </w:r>
      <w:r w:rsidRPr="00DF0A18">
        <w:rPr>
          <w:szCs w:val="24"/>
          <w:lang w:val="es-ES" w:eastAsia="en-US"/>
        </w:rPr>
        <w:br/>
        <w:t>Izmaksas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Puse, kas zaudējusi iebilduma procesā un procesā par spēkā neesamības paziņošanu, tajā skaitā saistītajos apelācijas procesos, sedz otras puses samaksātās nodevas. Zaudējusī puse sedz arī otrai pusei radušās izmaksas, kas bija būtiskas procesam, tajā skaitā ceļa un uzturēšanās izdevumus un atlīdzību pārstāvim, nepārsniedzot maksimālo apmēru, kāds katrai izmaksu kategorijai ir noteikts īstenošanas aktā, ko pieņems saskaņā ar šā panta 7. punktu. Nodevas, ko sedz zaudējusī puse, nepārsniedz summu, ko nodevās samaksājusi otra procesā iesaistītā puse.</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Tomēr, ja katras puses prasību dažos punktos apmierina, bet citos noraida, vai ja tas ir nepieciešams taisnīguma ievērošanai, tad PAS nodaļa vai Apelācijas padome izlemj izmaksas sadalīt citādi.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Procesa izbeigšanas gadījumā PAS nodaļa vai Apelācijas padome lemj par izmaksu sadalījumu pēc saviem ieskatiem.</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Ja puses PAS nodaļā vai Apelācijas padomē noslēdz vienošanos par izmaksām, kas atšķiras no šā panta 1.–3. punktā paredzētā, attiecīgā struktūra ņem vērā minēto vienošanos.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5.</w:t>
      </w:r>
      <w:r w:rsidRPr="00DF0A18">
        <w:rPr>
          <w:szCs w:val="24"/>
          <w:lang w:val="es-ES" w:eastAsia="en-US"/>
        </w:rPr>
        <w:tab/>
        <w:t>PAS nodaļa vai Apelācijas padome nosaka izmaksu summu, kas ir jāsedz saskaņā ar šā panta 1.–3. punktu, ja ir jāsedz vienīgi Birojam samaksātās nodevas un pārstāvības izmaksas. Visos pārējos gadījumos atlīdzināmo izmaksu summu pēc pieprasījuma nosaka Apelācijas padomes vai PAS nodaļas kanceleja. Šādu pieprasījumu pieņem vienīgi tad, ja to iesniedz ne vēlāk kā 2 mēnešu laikā pēc dienas, kurā galīgs kļuvis lēmums, par kuru lūdza noteikt izmaksas, vienlaikus iesniedzot arī rēķinu un apliecinošos pierādījumus. Attiecībā uz pārstāvības izmaksām pietiek ar pārstāvja apliecinājumu par šādu izmaksu rašanos. Attiecībā uz pārējām izmaksām pietiek ar šādu izmaksu ticamības konstatēšanu. Ja izmaksu summu nosaka saskaņā ar šā punkta pirmo teikumu, pārstāvības izmaksas piespriež tādā apmērā, kāds ir noteikts īstenošanas aktā, kas pieņemts saskaņā ar šā panta 7. punktu, un neatkarīgi no tā, vai tās faktiski ir radušās.</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6.</w:t>
      </w:r>
      <w:r w:rsidRPr="00DF0A18">
        <w:rPr>
          <w:szCs w:val="24"/>
          <w:lang w:val="es-ES" w:eastAsia="en-US"/>
        </w:rPr>
        <w:tab/>
        <w:t>Lēmumos par izmaksu noteikšanu, ko pieņem saskaņā ar šā panta 5. punktu, norāda to pamatojumu, un PAS nodaļa vai Apelācijas padome tos var pārskatīt pēc pieprasījuma, ko iesniedz 1 mēneša laikā pēc dienas, kurā paziņots lēmums par izmaksu segšanu. Pieprasījumu uzskata par iesniegtu vienīgi tad, kad ir samaksāta nodeva par izmaksu summas pārskatīšanu. Par pieprasījumu pārskatīt lēmumu par izmaksu noteikšanu PAS nodaļa vai attiecīgā gadījumā Apelācijas padome lemj bez procesa mutiskās daļas.</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7.</w:t>
      </w:r>
      <w:r w:rsidRPr="00DF0A18">
        <w:rPr>
          <w:szCs w:val="24"/>
          <w:lang w:val="es-ES" w:eastAsia="en-US"/>
        </w:rPr>
        <w:tab/>
        <w:t>Komisija pieņem īstenošanas aktus, kuros ir norādīti maksimālie apmēri, kādos zaudējusī puse sedz procesam būtiskas izmaksas, kas faktiski radās uzvarējušai pusei. Minētos īstenošanas aktus pieņem saskaņā ar 55. pantā minēto pārbaudes procedūru.</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8.</w:t>
      </w:r>
      <w:r w:rsidRPr="00DF0A18">
        <w:rPr>
          <w:szCs w:val="24"/>
          <w:lang w:val="es-ES" w:eastAsia="en-US"/>
        </w:rPr>
        <w:tab/>
        <w:t>Nosakot maksimālos apmērus ceļa un uzturēšanās izmaksu segšanai, Komisija ņem vērā attālumu no puses, pārstāvja, liecinieka vai eksperta dzīvesvietas vai darījumdarbības vietas līdz vietai, kur notiek procesa mutiskā daļa, procesa posmu, kurā izdevumi radušies, un — attiecībā uz pārstāvības izmaksām — nepieciešamību nepieļaut, ka pienākumu segt izmaksas otra puse taktisku apsvērumu dēļ izmanto ļaunprātīgi. Turklāt uzturēšanās izdevumus aprēķina saskaņā ar Savienības Civildienesta noteikumiem un Savienības pārējo darbinieku nodarbināšanas kārtību, kas noteikta Padomes Regulā (EEK, Euratom, EOTK) Nr. 259/68</w:t>
      </w:r>
      <w:r w:rsidRPr="00A44A6B">
        <w:rPr>
          <w:szCs w:val="24"/>
          <w:vertAlign w:val="superscript"/>
          <w:lang w:val="en-GB" w:eastAsia="en-US"/>
        </w:rPr>
        <w:footnoteReference w:id="21"/>
      </w:r>
      <w:r w:rsidRPr="00DF0A18">
        <w:rPr>
          <w:szCs w:val="24"/>
          <w:lang w:val="es-ES" w:eastAsia="en-US"/>
        </w:rPr>
        <w:t>. Zaudējusī puse sedz tikai vienas puses un attiecīgā gadījumā tikai viena pārstāvja izmaksas.</w:t>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t>49. pants</w:t>
      </w:r>
      <w:r w:rsidRPr="00DF0A18">
        <w:rPr>
          <w:szCs w:val="24"/>
          <w:lang w:val="es-ES" w:eastAsia="en-US"/>
        </w:rPr>
        <w:br/>
        <w:t>Lēmumu, kas nosaka izmaksu lielumu, izpilde</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Visi Biroja galīgie lēmumi, kas nosaka izmaksu lielumu, ir jāizpilda.</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lastRenderedPageBreak/>
        <w:t>2.</w:t>
      </w:r>
      <w:r w:rsidRPr="00DF0A18">
        <w:rPr>
          <w:szCs w:val="24"/>
          <w:lang w:val="es-ES" w:eastAsia="en-US"/>
        </w:rPr>
        <w:tab/>
        <w:t>Izpildi reglamentē tās valsts civilprocesuālās normas, kuras teritorijā veic izpildi. Katra dalībvalsts izraugās vienu iestādi, kas atbildīga par 1. punktā minētā lēmuma autentiskuma pārbaudi, un paziņo tās kontaktinformāciju Birojam, Tiesai un Komisijai. Izpildes rīkojumu pievieno minētās iestādes lēmumam, kā vienīgo formalitāti pārbaudot lēmuma autentiskumu.</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3.</w:t>
      </w:r>
      <w:r w:rsidRPr="00DF0A18">
        <w:rPr>
          <w:szCs w:val="24"/>
          <w:lang w:val="es-ES" w:eastAsia="en-US"/>
        </w:rPr>
        <w:tab/>
        <w:t>Kad pēc attiecīgās puses lūguma minētās formalitātes ir izpildītas, tā var sākt izpildi saskaņā ar attiecīgās valsts tiesību aktiem, vēršoties tieši kompetentajā iestādē.</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4.</w:t>
      </w:r>
      <w:r w:rsidRPr="00DF0A18">
        <w:rPr>
          <w:szCs w:val="24"/>
          <w:lang w:val="es-ES" w:eastAsia="en-US"/>
        </w:rPr>
        <w:tab/>
        <w:t>Izpildi var apturēt tikai ar Tiesas lēmumu. Tomēr sūdzības par nepareizu izpildi ir attiecīgās dalībvalsts tiesu piekritībā.</w:t>
      </w:r>
    </w:p>
    <w:p w:rsidR="00487FAE" w:rsidRPr="00DF0A18" w:rsidRDefault="00487FAE">
      <w:pPr>
        <w:widowControl/>
        <w:rPr>
          <w:szCs w:val="24"/>
          <w:lang w:val="es-ES" w:eastAsia="en-US"/>
        </w:rPr>
      </w:pPr>
      <w:r w:rsidRPr="00DF0A18">
        <w:rPr>
          <w:szCs w:val="24"/>
          <w:lang w:val="es-ES" w:eastAsia="en-US"/>
        </w:rPr>
        <w:br w:type="page"/>
      </w:r>
    </w:p>
    <w:p w:rsidR="00A44A6B" w:rsidRPr="00DF0A18" w:rsidRDefault="00A44A6B" w:rsidP="00A44A6B">
      <w:pPr>
        <w:spacing w:before="120" w:after="120" w:line="360" w:lineRule="auto"/>
        <w:jc w:val="center"/>
        <w:rPr>
          <w:szCs w:val="24"/>
          <w:lang w:val="es-ES" w:eastAsia="en-US"/>
        </w:rPr>
      </w:pPr>
      <w:r w:rsidRPr="00DF0A18">
        <w:rPr>
          <w:szCs w:val="24"/>
          <w:lang w:val="es-ES" w:eastAsia="en-US"/>
        </w:rPr>
        <w:lastRenderedPageBreak/>
        <w:t>50. pants</w:t>
      </w:r>
      <w:r w:rsidRPr="00DF0A18">
        <w:rPr>
          <w:szCs w:val="24"/>
          <w:lang w:val="es-ES" w:eastAsia="en-US"/>
        </w:rPr>
        <w:br/>
        <w:t>Grozījumi Regulā (ES) 2017/1001</w:t>
      </w:r>
    </w:p>
    <w:p w:rsidR="00A44A6B" w:rsidRPr="00DF0A18" w:rsidRDefault="00A44A6B" w:rsidP="00A44A6B">
      <w:pPr>
        <w:spacing w:before="120" w:after="120" w:line="360" w:lineRule="auto"/>
        <w:rPr>
          <w:szCs w:val="24"/>
          <w:lang w:val="es-ES" w:eastAsia="en-US"/>
        </w:rPr>
      </w:pPr>
      <w:r w:rsidRPr="00DF0A18">
        <w:rPr>
          <w:szCs w:val="24"/>
          <w:lang w:val="es-ES" w:eastAsia="en-US"/>
        </w:rPr>
        <w:t>Regulu (ES) 2017/1001 groza šādi:</w:t>
      </w:r>
    </w:p>
    <w:p w:rsidR="00A44A6B" w:rsidRPr="00DF0A18" w:rsidRDefault="00A44A6B" w:rsidP="00A44A6B">
      <w:pPr>
        <w:spacing w:before="120" w:after="120" w:line="360" w:lineRule="auto"/>
        <w:ind w:left="850" w:hanging="850"/>
        <w:rPr>
          <w:szCs w:val="24"/>
          <w:lang w:val="es-ES" w:eastAsia="en-US"/>
        </w:rPr>
      </w:pPr>
      <w:r w:rsidRPr="00DF0A18">
        <w:rPr>
          <w:szCs w:val="24"/>
          <w:lang w:val="es-ES" w:eastAsia="en-US"/>
        </w:rPr>
        <w:t>(1)</w:t>
      </w:r>
      <w:r w:rsidRPr="00DF0A18">
        <w:rPr>
          <w:szCs w:val="24"/>
          <w:lang w:val="es-ES" w:eastAsia="en-US"/>
        </w:rPr>
        <w:tab/>
        <w:t>regulas 151. panta 1. punktu groza šādi:</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a)</w:t>
      </w:r>
      <w:r w:rsidRPr="00DF0A18">
        <w:rPr>
          <w:szCs w:val="24"/>
          <w:lang w:val="es-ES" w:eastAsia="en-US"/>
        </w:rPr>
        <w:tab/>
        <w:t>punkta c) apakšpunktu aizstāj ar šādu:</w:t>
      </w:r>
    </w:p>
    <w:p w:rsidR="00A44A6B" w:rsidRPr="00DF0A18" w:rsidRDefault="00A44A6B" w:rsidP="00A44A6B">
      <w:pPr>
        <w:spacing w:before="120" w:after="120" w:line="360" w:lineRule="auto"/>
        <w:ind w:left="1982" w:hanging="566"/>
        <w:rPr>
          <w:szCs w:val="24"/>
          <w:lang w:val="es-ES" w:eastAsia="en-US"/>
        </w:rPr>
      </w:pPr>
      <w:r w:rsidRPr="00DF0A18">
        <w:rPr>
          <w:szCs w:val="24"/>
          <w:lang w:val="es-ES" w:eastAsia="en-US"/>
        </w:rPr>
        <w:t>“c)</w:t>
      </w:r>
      <w:r w:rsidRPr="00DF0A18">
        <w:rPr>
          <w:szCs w:val="24"/>
          <w:lang w:val="es-ES" w:eastAsia="en-US"/>
        </w:rPr>
        <w:tab/>
        <w:t>paņēmienu un rīku konverģences veicināšana preču zīmju un dizainparaugu, kā arī papildu aizsardzības sertifikātu jomā, sadarbojoties ar dalībvalstu centrālajiem rūpnieciskā īpašuma birojiem, tostarp ar Beniluksa Intelektuālā īpašuma biroju;”</w:t>
      </w:r>
    </w:p>
    <w:p w:rsidR="00A44A6B" w:rsidRPr="00DF0A18" w:rsidRDefault="00A44A6B" w:rsidP="00A44A6B">
      <w:pPr>
        <w:spacing w:before="120" w:after="120" w:line="360" w:lineRule="auto"/>
        <w:ind w:left="1416" w:hanging="566"/>
        <w:rPr>
          <w:szCs w:val="24"/>
          <w:lang w:val="es-ES" w:eastAsia="en-US"/>
        </w:rPr>
      </w:pPr>
      <w:r w:rsidRPr="00DF0A18">
        <w:rPr>
          <w:szCs w:val="24"/>
          <w:lang w:val="es-ES" w:eastAsia="en-US"/>
        </w:rPr>
        <w:t>b)</w:t>
      </w:r>
      <w:r w:rsidRPr="00DF0A18">
        <w:rPr>
          <w:szCs w:val="24"/>
          <w:lang w:val="es-ES" w:eastAsia="en-US"/>
        </w:rPr>
        <w:tab/>
        <w:t>punktam pievieno šādu f) un g) apakšpunktu:</w:t>
      </w:r>
    </w:p>
    <w:p w:rsidR="00A44A6B" w:rsidRPr="00A44A6B" w:rsidRDefault="00A44A6B" w:rsidP="00A44A6B">
      <w:pPr>
        <w:spacing w:before="120" w:after="120" w:line="360" w:lineRule="auto"/>
        <w:ind w:left="1982" w:hanging="566"/>
        <w:rPr>
          <w:szCs w:val="24"/>
          <w:lang w:val="pt-PT" w:eastAsia="en-US"/>
        </w:rPr>
      </w:pPr>
      <w:r w:rsidRPr="00A44A6B">
        <w:rPr>
          <w:szCs w:val="24"/>
          <w:lang w:val="pt-PT" w:eastAsia="en-US"/>
        </w:rPr>
        <w:t>“f)</w:t>
      </w:r>
      <w:r w:rsidRPr="00A44A6B">
        <w:rPr>
          <w:szCs w:val="24"/>
          <w:lang w:val="pt-PT" w:eastAsia="en-US"/>
        </w:rPr>
        <w:tab/>
        <w:t>uzdevumi, kas ir minēti Regulas [COM(2023) 231] III nodaļā un Regulas [COM(2023) 223] III nodaļā, kā arī regulās [COM(2023) 222] un [COM(2023) 221];</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1982" w:hanging="566"/>
        <w:rPr>
          <w:szCs w:val="24"/>
          <w:lang w:val="pt-PT" w:eastAsia="en-US"/>
        </w:rPr>
      </w:pPr>
      <w:r w:rsidRPr="00A44A6B">
        <w:rPr>
          <w:szCs w:val="24"/>
          <w:lang w:val="pt-PT" w:eastAsia="en-US"/>
        </w:rPr>
        <w:lastRenderedPageBreak/>
        <w:t>g)</w:t>
      </w:r>
      <w:r w:rsidRPr="00A44A6B">
        <w:rPr>
          <w:szCs w:val="24"/>
          <w:lang w:val="pt-PT" w:eastAsia="en-US"/>
        </w:rPr>
        <w:tab/>
        <w:t>pamatojieties uz lūgumiem par dalību centralizētajā pārbaudes procedūrā un pēc tam, kad Komisijai bijusi izdevība par tiem izteikt savas piezīmes — to valsts kompetento iestāžu iecelšana, par to slēdzot attiecīgu vienošanos, kuru pārbaudītāji varēs piedalīties centralizētajā pārbaudē, ko veic sertifikātu centralizētajiem pieteikumiem saskaņā ar regulām [COM(2023) 231] un [COM(2023) 223], tajā skaitā iebildumu izskatīšanas procesos, un vienotā sertifikāta pieteikumiem saskaņā ar Regulu [COM(2023) 222] un Regulu [COM(2023) 221], tajā skaitā iebildumu izskatīšanas un spēkā neesamības paziņošanas procesos;”</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(2)</w:t>
      </w:r>
      <w:r w:rsidRPr="00A44A6B">
        <w:rPr>
          <w:szCs w:val="24"/>
          <w:lang w:val="pt-PT" w:eastAsia="en-US"/>
        </w:rPr>
        <w:tab/>
        <w:t>regulas 152. panta 1. punkta pirmo daļu aizstāj ar šādu:</w:t>
      </w:r>
    </w:p>
    <w:p w:rsidR="00A44A6B" w:rsidRPr="00A44A6B" w:rsidRDefault="00A44A6B" w:rsidP="00A44A6B">
      <w:pPr>
        <w:spacing w:before="120" w:after="120" w:line="360" w:lineRule="auto"/>
        <w:ind w:left="850"/>
        <w:rPr>
          <w:szCs w:val="24"/>
          <w:lang w:val="pt-PT" w:eastAsia="en-US"/>
        </w:rPr>
      </w:pPr>
      <w:r w:rsidRPr="00A44A6B">
        <w:rPr>
          <w:szCs w:val="24"/>
          <w:lang w:val="pt-PT" w:eastAsia="en-US"/>
        </w:rPr>
        <w:t>“Birojs, dalībvalstu centrālie rūpnieciskā īpašuma biroji un Beniluksa Intelektuālā īpašuma birojs savstarpēji sadarbojas, lai veicinātu prakses un instrumentu konverģenci preču zīmju, dizainparaugu un papildu aizsardzības sertifikātu jomā..”</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jc w:val="center"/>
        <w:rPr>
          <w:szCs w:val="24"/>
          <w:lang w:val="pt-PT" w:eastAsia="en-US"/>
        </w:rPr>
      </w:pPr>
      <w:r w:rsidRPr="00A44A6B">
        <w:rPr>
          <w:szCs w:val="24"/>
          <w:lang w:val="pt-PT" w:eastAsia="en-US"/>
        </w:rPr>
        <w:lastRenderedPageBreak/>
        <w:t>51. pants</w:t>
      </w:r>
      <w:r w:rsidRPr="00A44A6B">
        <w:rPr>
          <w:szCs w:val="24"/>
          <w:lang w:val="pt-PT" w:eastAsia="en-US"/>
        </w:rPr>
        <w:br/>
        <w:t>Grozījumi Regulā (ES) Nr. 608/2013</w:t>
      </w:r>
    </w:p>
    <w:p w:rsidR="00A44A6B" w:rsidRPr="00A44A6B" w:rsidRDefault="00A44A6B" w:rsidP="00A44A6B">
      <w:pPr>
        <w:spacing w:before="120" w:after="120" w:line="360" w:lineRule="auto"/>
        <w:rPr>
          <w:szCs w:val="24"/>
          <w:lang w:val="pt-PT" w:eastAsia="en-US"/>
        </w:rPr>
      </w:pPr>
      <w:r w:rsidRPr="00A44A6B">
        <w:rPr>
          <w:szCs w:val="24"/>
          <w:lang w:val="pt-PT" w:eastAsia="en-US"/>
        </w:rPr>
        <w:t>Regulas (ES) Nr. 608/2013 2. panta 1. punktu groza šādi:</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(1)</w:t>
      </w:r>
      <w:r w:rsidRPr="00A44A6B">
        <w:rPr>
          <w:szCs w:val="24"/>
          <w:lang w:val="pt-PT" w:eastAsia="en-US"/>
        </w:rPr>
        <w:tab/>
        <w:t>punkta f) un g) apakšpunktu aizstāj ar šādiem:</w:t>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t>“f)</w:t>
      </w:r>
      <w:r w:rsidRPr="00A44A6B">
        <w:rPr>
          <w:szCs w:val="24"/>
          <w:lang w:val="pt-PT" w:eastAsia="en-US"/>
        </w:rPr>
        <w:tab/>
        <w:t>papildu aizsardzības sertifikātu zālēm, kā paredzēts Eiropas Parlamenta un Padomes ddddd Regulā [COM(2023) 231] par papildu aizsardzības sertifikātu zālēm [PB: pēc COM(2023) 231 pieņemšanas ievietot numuru un datumu, kā arī atsauci uz OV zemsvītras piezīmē];</w:t>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t>g)</w:t>
      </w:r>
      <w:r w:rsidRPr="00A44A6B">
        <w:rPr>
          <w:szCs w:val="24"/>
          <w:lang w:val="pt-PT" w:eastAsia="en-US"/>
        </w:rPr>
        <w:tab/>
        <w:t>papildu aizsardzības sertifikātu augu aizsardzības līdzekļiem, kā paredzēts Eiropas Parlamenta un Padomes ddddd Regulā [COM(2023) 223] par papildu aizsardzības sertifikāta izveidi augu aizsardzības līdzekļiem [PB: pēc COM(2023) 223 pieņemšanas ievietot numuru un datumu, kā arī atsauci uz OV zemsvītras piezīmē];;”</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lastRenderedPageBreak/>
        <w:t>(2)</w:t>
      </w:r>
      <w:r w:rsidRPr="00A44A6B">
        <w:rPr>
          <w:szCs w:val="24"/>
          <w:lang w:val="pt-PT" w:eastAsia="en-US"/>
        </w:rPr>
        <w:tab/>
        <w:t>punktam pievieno šādu m) un n) apakšpunktu:</w:t>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t>“m)</w:t>
      </w:r>
      <w:r w:rsidRPr="00A44A6B">
        <w:rPr>
          <w:szCs w:val="24"/>
          <w:lang w:val="pt-PT" w:eastAsia="en-US"/>
        </w:rPr>
        <w:tab/>
        <w:t>vienoto papildu aizsardzības sertifikātu zālēm, kā paredzēts Eiropas Parlamenta un Padomes ddddd Regulā [COM(2023) 222] par vienoto papildu aizsardzības sertifikātu zālēm un ar ko groza Regulu (ES) 2017/1001, Regulu (EK) Nr. 1901/2006, kā arī Regulu (ES) Nr. 608/2013 [PB: pēc COM(2023) 222 pieņemšanas ievietot numuru un datumu, kā arī atsauci uz OV zemsvītras piezīmē];</w:t>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t>n)</w:t>
      </w:r>
      <w:r w:rsidRPr="00A44A6B">
        <w:rPr>
          <w:szCs w:val="24"/>
          <w:lang w:val="pt-PT" w:eastAsia="en-US"/>
        </w:rPr>
        <w:tab/>
        <w:t>vienoto papildu aizsardzības sertifikātu augu aizsardzības līdzekļiem, kā paredzēts Eiropas Parlamenta un Padomes ddddd Regulā [COM(2023) 221] par papildu aizsardzības sertifikātu augu aizsardzības līdzekļiem [PB: pēc COM(2023) 221 pieņemšanas ievietot numuru un datumu, kā arī atsauci uz OV zemsvītras piezīmē]..”</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jc w:val="center"/>
        <w:rPr>
          <w:szCs w:val="24"/>
          <w:lang w:val="pt-PT" w:eastAsia="en-US"/>
        </w:rPr>
      </w:pPr>
      <w:r w:rsidRPr="00A44A6B">
        <w:rPr>
          <w:szCs w:val="24"/>
          <w:lang w:val="pt-PT" w:eastAsia="en-US"/>
        </w:rPr>
        <w:lastRenderedPageBreak/>
        <w:t>52. pants</w:t>
      </w:r>
      <w:r w:rsidRPr="00A44A6B">
        <w:rPr>
          <w:szCs w:val="24"/>
          <w:lang w:val="pt-PT" w:eastAsia="en-US"/>
        </w:rPr>
        <w:br/>
        <w:t>Grozījumi Regulā (EK) Nr. 1901/2006</w:t>
      </w:r>
    </w:p>
    <w:p w:rsidR="00A44A6B" w:rsidRPr="00A44A6B" w:rsidRDefault="00A44A6B" w:rsidP="00A44A6B">
      <w:pPr>
        <w:spacing w:before="120" w:after="120" w:line="360" w:lineRule="auto"/>
        <w:rPr>
          <w:szCs w:val="24"/>
          <w:lang w:val="pt-PT" w:eastAsia="en-US"/>
        </w:rPr>
      </w:pPr>
      <w:r w:rsidRPr="00A44A6B">
        <w:rPr>
          <w:szCs w:val="24"/>
          <w:lang w:val="pt-PT" w:eastAsia="en-US"/>
        </w:rPr>
        <w:t>Regulu (EK) Nr. 1901/2006 groza šādi:</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(1)</w:t>
      </w:r>
      <w:r w:rsidRPr="00A44A6B">
        <w:rPr>
          <w:szCs w:val="24"/>
          <w:lang w:val="pt-PT" w:eastAsia="en-US"/>
        </w:rPr>
        <w:tab/>
        <w:t>regulas 2. panta 4. punktu aizstāj ar šādu:</w:t>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t>“4)</w:t>
      </w:r>
      <w:r w:rsidRPr="00A44A6B">
        <w:rPr>
          <w:szCs w:val="24"/>
          <w:lang w:val="pt-PT" w:eastAsia="en-US"/>
        </w:rPr>
        <w:tab/>
        <w:t>“zāļu tirdzniecības atļauja lietošanai pediatrijā” ir tirdzniecības atļauja, ko piešķir attiecībā uz cilvēkiem paredzētām zālēm, kuras neaizsargā papildu aizsardzības sertifikāts vai vienotais papildu aizsardzības sertifikāts saskaņā ar Regulu [COM(2023) 231] vai Regulu [COM(2023) 222], vai patents, kas ir priekšnosacījums papildu aizsardzības sertifikāta piešķiršanai, un kas attiecas vienīgi uz terapeitiskajām indikācijām, kuras ir svarīgas lietošanā bērnu mērķgrupā vai tās apakšgrupās, tajā skaitā atbilstošs zāļu stiprums, farmaceitiskā forma vai lietošanas veids;;”</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lastRenderedPageBreak/>
        <w:t>(2)</w:t>
      </w:r>
      <w:r w:rsidRPr="00A44A6B">
        <w:rPr>
          <w:szCs w:val="24"/>
          <w:lang w:val="pt-PT" w:eastAsia="en-US"/>
        </w:rPr>
        <w:tab/>
        <w:t>regulas 8. panta pirmo daļu aizstāj ar šādu:</w:t>
      </w:r>
    </w:p>
    <w:p w:rsidR="00A44A6B" w:rsidRPr="00A44A6B" w:rsidRDefault="00A44A6B" w:rsidP="00A44A6B">
      <w:pPr>
        <w:spacing w:before="120" w:after="120" w:line="360" w:lineRule="auto"/>
        <w:ind w:left="850"/>
        <w:rPr>
          <w:szCs w:val="24"/>
          <w:lang w:val="pt-PT" w:eastAsia="en-US"/>
        </w:rPr>
      </w:pPr>
      <w:r w:rsidRPr="00A44A6B">
        <w:rPr>
          <w:szCs w:val="24"/>
          <w:lang w:val="pt-PT" w:eastAsia="en-US"/>
        </w:rPr>
        <w:t>“Ja apstiprinātās zāles aizsargā papildu aizsardzības sertifikāts vai vienotais papildu aizsardzības sertifikāts saskaņā ar Regulu [COM(2023) 231] vai Regulu [COM(2023) 222], vai patents, kas ir priekšnosacījums papildu aizsardzības sertifikāta piešķiršanai, šīs regulas 7. pantu piemēro pieteikumiem par jaunu indikāciju apstiprinājumu, ietverot pediatriskās indikācijas, jaunas farmaceitiskās formas un jaunus lietošanas veidus.;”</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(3)</w:t>
      </w:r>
      <w:r w:rsidRPr="00A44A6B">
        <w:rPr>
          <w:szCs w:val="24"/>
          <w:lang w:val="pt-PT" w:eastAsia="en-US"/>
        </w:rPr>
        <w:tab/>
        <w:t>regulas 36. pantu groza šādi:</w:t>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t>a)</w:t>
      </w:r>
      <w:r w:rsidRPr="00A44A6B">
        <w:rPr>
          <w:szCs w:val="24"/>
          <w:lang w:val="pt-PT" w:eastAsia="en-US"/>
        </w:rPr>
        <w:tab/>
        <w:t>panta 1. punkta pirmo daļu aizstāj ar šādu:</w:t>
      </w:r>
    </w:p>
    <w:p w:rsidR="00A44A6B" w:rsidRPr="00A44A6B" w:rsidRDefault="00A44A6B" w:rsidP="00A44A6B">
      <w:pPr>
        <w:spacing w:before="120" w:after="120" w:line="360" w:lineRule="auto"/>
        <w:ind w:left="1416"/>
        <w:rPr>
          <w:szCs w:val="24"/>
          <w:lang w:val="pt-PT" w:eastAsia="en-US"/>
        </w:rPr>
      </w:pPr>
      <w:r w:rsidRPr="00A44A6B">
        <w:rPr>
          <w:szCs w:val="24"/>
          <w:lang w:val="pt-PT" w:eastAsia="en-US"/>
        </w:rPr>
        <w:t>“Ja pieteikums saskaņā ar 7. un 8. pantu ietver visu to pētījumu rezultātus, kas veikti saskaņā ar apstiprināto pediatrijas pētījumu plānu, patenta, papildu aizsardzības sertifikāta vai vienotā papildu aizsardzības sertifikāta īpašniekam ir tiesības uz Regulas [COM(2023) 231] 13. panta 1. un 2. punktā vai Regulas [COM(2023) 222] 20. panta 1. un 2. punktā paredzēto laikposmu pagarinājumu par sešiem mēnešiem.;”</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1416" w:hanging="566"/>
        <w:rPr>
          <w:szCs w:val="24"/>
          <w:lang w:val="pt-PT" w:eastAsia="en-US"/>
        </w:rPr>
      </w:pPr>
      <w:r w:rsidRPr="00A44A6B">
        <w:rPr>
          <w:szCs w:val="24"/>
          <w:lang w:val="pt-PT" w:eastAsia="en-US"/>
        </w:rPr>
        <w:lastRenderedPageBreak/>
        <w:t>b)</w:t>
      </w:r>
      <w:r w:rsidRPr="00A44A6B">
        <w:rPr>
          <w:szCs w:val="24"/>
          <w:lang w:val="pt-PT" w:eastAsia="en-US"/>
        </w:rPr>
        <w:tab/>
        <w:t>panta 4. punkta pirmo teikumu aizstāj ar šādu:</w:t>
      </w:r>
    </w:p>
    <w:p w:rsidR="00A44A6B" w:rsidRPr="00A44A6B" w:rsidRDefault="00A44A6B" w:rsidP="00A44A6B">
      <w:pPr>
        <w:spacing w:before="120" w:after="120" w:line="360" w:lineRule="auto"/>
        <w:ind w:left="1416"/>
        <w:rPr>
          <w:szCs w:val="24"/>
          <w:lang w:val="pt-PT" w:eastAsia="en-US"/>
        </w:rPr>
      </w:pPr>
      <w:r w:rsidRPr="00A44A6B">
        <w:rPr>
          <w:szCs w:val="24"/>
          <w:lang w:val="pt-PT" w:eastAsia="en-US"/>
        </w:rPr>
        <w:t>“Šā panta 1., 2. un 3. punktu piemēro zālēm, ko aizsargā papildu aizsardzības sertifikāts vai vienotais papildu aizsardzības sertifikāts saskaņā ar Regulu [COM(2023) 231] vai Regulu [COM(2023) 222], vai patents, kas ir priekšnosacījums papildu aizsardzības sertifikāta piešķiršanai..”</w:t>
      </w:r>
    </w:p>
    <w:p w:rsidR="00A44A6B" w:rsidRPr="00A44A6B" w:rsidRDefault="00A44A6B" w:rsidP="00A44A6B">
      <w:pPr>
        <w:spacing w:before="120" w:after="120" w:line="360" w:lineRule="auto"/>
        <w:jc w:val="center"/>
        <w:rPr>
          <w:szCs w:val="24"/>
          <w:lang w:val="pt-PT" w:eastAsia="en-US"/>
        </w:rPr>
      </w:pPr>
      <w:r w:rsidRPr="00A44A6B">
        <w:rPr>
          <w:szCs w:val="24"/>
          <w:lang w:val="pt-PT" w:eastAsia="en-US"/>
        </w:rPr>
        <w:t>53. pants</w:t>
      </w:r>
      <w:r w:rsidRPr="00A44A6B">
        <w:rPr>
          <w:szCs w:val="24"/>
          <w:lang w:val="pt-PT" w:eastAsia="en-US"/>
        </w:rPr>
        <w:br/>
        <w:t>Finanšu noteikumi</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1.</w:t>
      </w:r>
      <w:r w:rsidRPr="00A44A6B">
        <w:rPr>
          <w:szCs w:val="24"/>
          <w:lang w:val="pt-PT" w:eastAsia="en-US"/>
        </w:rPr>
        <w:tab/>
        <w:t>Izdevumus, kas Birojam rodas, veicot papildu uzdevumus, kuri tam ir uzticēti saskaņā ar šo regulu, sedz no procedurālajām nodevām, ko tam maksā pieteikuma iesniedzēji, un daļēji arī no ikgadējām nodevām, ko maksā vienoto sertifikātu īpašnieki, savukārt ikgadējo nodevu atlikušo daļu sadala starp dalībvalstīm atbilstoši katrā valstī juridiskā spēkā esošo vienoto sertifikātu skaitam. To ikgadējās nodevas daļu, kas jāsadala starp dalībvalstīm, sākotnēji nosaka kā konkrētu vērtību, bet ik pēc 5 gadiem pārskata, lai panāktu, ka darbības, ko Birojs veic saskaņā ar šo regulu, kā arī saskaņā ar regulām [COM(2023) 231], [COM(2023) 223] un [COM(2023) 221], kļūst finansiāli ilgtspējīgas.</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lastRenderedPageBreak/>
        <w:t>2.</w:t>
      </w:r>
      <w:r w:rsidRPr="00A44A6B">
        <w:rPr>
          <w:szCs w:val="24"/>
          <w:lang w:val="pt-PT" w:eastAsia="en-US"/>
        </w:rPr>
        <w:tab/>
        <w:t>Šā panta 1. punkta nolūkiem Birojs veic uzskaiti par ikgadējām nodevām, ko tas saņem no attiecīgajās dalībvalstīs spēkā esošu vienoto sertifikātu īpašniekiem.</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3.</w:t>
      </w:r>
      <w:r w:rsidRPr="00A44A6B">
        <w:rPr>
          <w:szCs w:val="24"/>
          <w:lang w:val="pt-PT" w:eastAsia="en-US"/>
        </w:rPr>
        <w:tab/>
        <w:t>Valsts kompetentās iestādes izdevumus, kas tai radušies, piedaloties šajā nodaļā paredzētajos procesos, sedz Birojs, kas tos apmaksā reizi gadā, pamatojoties uz to, cik procesos attiecīgā valsts kompetentā iestāde piedalījusies iepriekšējā gadā.</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4.</w:t>
      </w:r>
      <w:r w:rsidRPr="00A44A6B">
        <w:rPr>
          <w:szCs w:val="24"/>
          <w:lang w:val="pt-PT" w:eastAsia="en-US"/>
        </w:rPr>
        <w:tab/>
        <w:t>Komisija ir pilnvarota pieņemt īstenošanas aktus, kas nosaka noteikumus par finanšu pārskaitījumiem starp Biroju un dalībvalstīm, šādu pārskaitījumu summas un atlīdzību, kas valsts kompetentajām iestādēm ir jāsaņem no Biroja par līdzdalību procesos, kā paredzēts šā panta 3. punktā. Minētos īstenošanas aktus pieņem saskaņā ar 55. pantā minēto pārbaudes procedūru.</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5.</w:t>
      </w:r>
      <w:r w:rsidRPr="00A44A6B">
        <w:rPr>
          <w:szCs w:val="24"/>
          <w:lang w:val="pt-PT" w:eastAsia="en-US"/>
        </w:rPr>
        <w:tab/>
        <w:t>Uz ikgadējām nodevām, ko jāmaksā par vienotajiem sertifikātiem, attiecas Regulas (EK) Nr. 1257/2012 12. pants.</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jc w:val="center"/>
        <w:rPr>
          <w:szCs w:val="24"/>
          <w:lang w:val="pt-PT" w:eastAsia="en-US"/>
        </w:rPr>
      </w:pPr>
      <w:r w:rsidRPr="00A44A6B">
        <w:rPr>
          <w:szCs w:val="24"/>
          <w:lang w:val="pt-PT" w:eastAsia="en-US"/>
        </w:rPr>
        <w:lastRenderedPageBreak/>
        <w:t>54. pants</w:t>
      </w:r>
      <w:r w:rsidRPr="00A44A6B">
        <w:rPr>
          <w:szCs w:val="24"/>
          <w:lang w:val="pt-PT" w:eastAsia="en-US"/>
        </w:rPr>
        <w:br/>
        <w:t>Deleģēšanas īstenošana</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1.</w:t>
      </w:r>
      <w:r w:rsidRPr="00A44A6B">
        <w:rPr>
          <w:szCs w:val="24"/>
          <w:lang w:val="pt-PT" w:eastAsia="en-US"/>
        </w:rPr>
        <w:tab/>
        <w:t>Pilnvaras pieņemt deleģētos aktus Komisijai piešķir, ievērojot šajā pantā izklāstītos nosacījumus.</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2.</w:t>
      </w:r>
      <w:r w:rsidRPr="00A44A6B">
        <w:rPr>
          <w:szCs w:val="24"/>
          <w:lang w:val="pt-PT" w:eastAsia="en-US"/>
        </w:rPr>
        <w:tab/>
        <w:t>Pilnvaras pieņemt 15. panta 13. punktā, 23. panta 13. punktā, 28. panta 8. punktā, 30. pantā, 34. panta 2. punktā, 41. panta 4. punktā, 42. panta 6. punktā, 43. panta 4. punktā, 44. panta 5. punktā un 47. panta 3. punktā minētos deleģētos aktus Komisijai piešķir uz nenoteiktu laiku no XXX [PB: ievietot datumu = šīs regulas spēkā stāšanās diena].</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3.</w:t>
      </w:r>
      <w:r w:rsidRPr="00A44A6B">
        <w:rPr>
          <w:szCs w:val="24"/>
          <w:lang w:val="pt-PT" w:eastAsia="en-US"/>
        </w:rPr>
        <w:tab/>
        <w:t>Eiropas Parlaments vai Padome jebkurā laikā var atsaukt 15. panta 13. punktā, 23. panta 13. punktā, 28. panta 8. punktā, 30. pantā, 34. panta 2. punktā, 41. panta 4. punktā, 42. panta 6. punktā, 43. panta 4. punktā, 44. panta 5. punktā un 47. panta 3. punktā minēto pilnvaru deleģēšanu. Ar lēmumu par atsaukšanu izbeidz tajā norādīto pilnvaru deleģēšanu. Lēmums stājas spēkā nākamajā dienā pēc tā publicēšanas Eiropas Savienības Oficiālajā Vēstnesī vai vēlākā dienā, kas tajā norādīta. Tas neskar jau spēkā esošos deleģētos aktus.</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lastRenderedPageBreak/>
        <w:t>4.</w:t>
      </w:r>
      <w:r w:rsidRPr="00A44A6B">
        <w:rPr>
          <w:szCs w:val="24"/>
          <w:lang w:val="pt-PT" w:eastAsia="en-US"/>
        </w:rPr>
        <w:tab/>
        <w:t>Pirms deleģētā akta pieņemšanas Komisija apspriežas ar katras dalībvalsts ieceltajiem ekspertiem saskaņā ar principiem, kas ir noteikti 2016. gada 13. aprīļa Iestāžu nolīgumā par labāku likumdošanas procesu.</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5.</w:t>
      </w:r>
      <w:r w:rsidRPr="00A44A6B">
        <w:rPr>
          <w:szCs w:val="24"/>
          <w:lang w:val="pt-PT" w:eastAsia="en-US"/>
        </w:rPr>
        <w:tab/>
        <w:t>Tiklīdz Komisija pieņem deleģēto aktu, tā par to paziņo vienlaikus Eiropas Parlamentam un Padomei.</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6.</w:t>
      </w:r>
      <w:r w:rsidRPr="00A44A6B">
        <w:rPr>
          <w:szCs w:val="24"/>
          <w:lang w:val="pt-PT" w:eastAsia="en-US"/>
        </w:rPr>
        <w:tab/>
        <w:t>Saskaņā ar 15. panta 13. punktu, 23. panta 13. punktu, 28. panta 8. punktu, 30. pantu, 34. panta 2. punktu, 41. panta 4. punktu, 42. panta 6. punktu, 43. panta 4. punktu, 44. panta 5. punktu un 47. panta 3. punktu pieņemts deleģētais akts stājas spēkā tikai tad, ja divos mēnešos no dienas, kad par minēto aktu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jc w:val="center"/>
        <w:rPr>
          <w:szCs w:val="24"/>
          <w:lang w:val="pt-PT" w:eastAsia="en-US"/>
        </w:rPr>
      </w:pPr>
      <w:r w:rsidRPr="00A44A6B">
        <w:rPr>
          <w:szCs w:val="24"/>
          <w:lang w:val="pt-PT" w:eastAsia="en-US"/>
        </w:rPr>
        <w:lastRenderedPageBreak/>
        <w:t>55. pants</w:t>
      </w:r>
      <w:r w:rsidRPr="00A44A6B">
        <w:rPr>
          <w:szCs w:val="24"/>
          <w:lang w:val="pt-PT" w:eastAsia="en-US"/>
        </w:rPr>
        <w:br/>
        <w:t>Komiteju procedūra</w:t>
      </w:r>
    </w:p>
    <w:p w:rsidR="00A44A6B" w:rsidRPr="00A44A6B" w:rsidRDefault="00A44A6B" w:rsidP="00A44A6B">
      <w:pPr>
        <w:spacing w:before="120" w:after="120" w:line="360" w:lineRule="auto"/>
        <w:ind w:left="850" w:hanging="850"/>
        <w:rPr>
          <w:szCs w:val="24"/>
          <w:lang w:val="pt-PT" w:eastAsia="en-US"/>
        </w:rPr>
      </w:pPr>
      <w:r w:rsidRPr="00A44A6B">
        <w:rPr>
          <w:szCs w:val="24"/>
          <w:lang w:val="pt-PT" w:eastAsia="en-US"/>
        </w:rPr>
        <w:t>1.</w:t>
      </w:r>
      <w:r w:rsidRPr="00A44A6B">
        <w:rPr>
          <w:szCs w:val="24"/>
          <w:lang w:val="pt-PT" w:eastAsia="en-US"/>
        </w:rPr>
        <w:tab/>
        <w:t>Komisijai palīdz Papildu aizsardzības sertifikātu komiteja, kas izveidota ar Regulu [COM(2023) 231]. Minētā komiteja ir komiteja Regulas (ES) Nr. 182/2011 nozīmē.</w:t>
      </w:r>
    </w:p>
    <w:p w:rsidR="00A44A6B" w:rsidRPr="00DF0A18" w:rsidRDefault="00A44A6B" w:rsidP="00A44A6B">
      <w:pPr>
        <w:spacing w:before="120" w:after="120" w:line="360" w:lineRule="auto"/>
        <w:ind w:left="850" w:hanging="850"/>
        <w:rPr>
          <w:szCs w:val="24"/>
          <w:lang w:val="pt-PT" w:eastAsia="en-US"/>
        </w:rPr>
      </w:pPr>
      <w:r w:rsidRPr="00DF0A18">
        <w:rPr>
          <w:szCs w:val="24"/>
          <w:lang w:val="pt-PT" w:eastAsia="en-US"/>
        </w:rPr>
        <w:t>2.</w:t>
      </w:r>
      <w:r w:rsidRPr="00DF0A18">
        <w:rPr>
          <w:szCs w:val="24"/>
          <w:lang w:val="pt-PT" w:eastAsia="en-US"/>
        </w:rPr>
        <w:tab/>
        <w:t>Ja ir atsauce uz šo punktu, piemēro Regulas (ES) Nr. 182/2011 5. pantu.</w:t>
      </w:r>
    </w:p>
    <w:p w:rsidR="00A44A6B" w:rsidRPr="00DF0A18" w:rsidRDefault="00A44A6B" w:rsidP="00A44A6B">
      <w:pPr>
        <w:spacing w:before="120" w:after="120" w:line="360" w:lineRule="auto"/>
        <w:jc w:val="center"/>
        <w:rPr>
          <w:szCs w:val="24"/>
          <w:lang w:val="pt-PT" w:eastAsia="en-US"/>
        </w:rPr>
      </w:pPr>
      <w:r w:rsidRPr="00DF0A18">
        <w:rPr>
          <w:szCs w:val="24"/>
          <w:lang w:val="pt-PT" w:eastAsia="en-US"/>
        </w:rPr>
        <w:t>56. pants</w:t>
      </w:r>
      <w:r w:rsidRPr="00DF0A18">
        <w:rPr>
          <w:szCs w:val="24"/>
          <w:lang w:val="pt-PT" w:eastAsia="en-US"/>
        </w:rPr>
        <w:br/>
        <w:t>Izvērtēšana</w:t>
      </w:r>
    </w:p>
    <w:p w:rsidR="00A44A6B" w:rsidRPr="00487FAE" w:rsidRDefault="00A44A6B" w:rsidP="00A44A6B">
      <w:pPr>
        <w:spacing w:before="120" w:after="120" w:line="360" w:lineRule="auto"/>
        <w:rPr>
          <w:b/>
          <w:szCs w:val="24"/>
          <w:lang w:val="pt-PT" w:eastAsia="en-US"/>
        </w:rPr>
      </w:pPr>
      <w:r w:rsidRPr="00DF0A18">
        <w:rPr>
          <w:szCs w:val="24"/>
          <w:lang w:val="pt-PT" w:eastAsia="en-US"/>
        </w:rPr>
        <w:t xml:space="preserve">Līdz </w:t>
      </w:r>
      <w:r w:rsidRPr="00DF0A18">
        <w:rPr>
          <w:strike/>
          <w:szCs w:val="24"/>
          <w:lang w:val="pt-PT" w:eastAsia="en-US"/>
        </w:rPr>
        <w:t>xxxxxx [PB:</w:t>
      </w:r>
      <w:r w:rsidRPr="00DF0A18">
        <w:rPr>
          <w:b/>
          <w:i/>
          <w:szCs w:val="24"/>
          <w:lang w:val="pt-PT" w:eastAsia="en-US"/>
        </w:rPr>
        <w:t>... [PB: lūgums</w:t>
      </w:r>
      <w:r w:rsidRPr="00DF0A18">
        <w:rPr>
          <w:szCs w:val="24"/>
          <w:lang w:val="pt-PT" w:eastAsia="en-US"/>
        </w:rPr>
        <w:t xml:space="preserve"> ievietot datumu </w:t>
      </w:r>
      <w:r w:rsidRPr="00DF0A18">
        <w:rPr>
          <w:strike/>
          <w:szCs w:val="24"/>
          <w:lang w:val="pt-PT" w:eastAsia="en-US"/>
        </w:rPr>
        <w:t>piecus gadus</w:t>
      </w:r>
      <w:r w:rsidRPr="00DF0A18">
        <w:rPr>
          <w:b/>
          <w:i/>
          <w:szCs w:val="24"/>
          <w:lang w:val="pt-PT" w:eastAsia="en-US"/>
        </w:rPr>
        <w:t>— pieci gadi</w:t>
      </w:r>
      <w:r w:rsidRPr="00DF0A18">
        <w:rPr>
          <w:szCs w:val="24"/>
          <w:lang w:val="pt-PT" w:eastAsia="en-US"/>
        </w:rPr>
        <w:t xml:space="preserve"> pēc piemērošanas dienas] un turpmāk reizi piecos gados Komisija izvērtē šīs regulas īstenošanu</w:t>
      </w:r>
      <w:r w:rsidRPr="00DF0A18">
        <w:rPr>
          <w:b/>
          <w:i/>
          <w:szCs w:val="24"/>
          <w:lang w:val="pt-PT" w:eastAsia="en-US"/>
        </w:rPr>
        <w:t xml:space="preserve"> un iesniedz Eiropas Parlamentam, Padomei un Eiropas Ekonomikas un sociālo lietu komitejai ziņojumu par galvenajiem konstatējumiem</w:t>
      </w:r>
      <w:r w:rsidRPr="00DF0A18">
        <w:rPr>
          <w:szCs w:val="24"/>
          <w:lang w:val="pt-PT" w:eastAsia="en-US"/>
        </w:rPr>
        <w:t>.</w:t>
      </w:r>
      <w:r w:rsidRPr="00DF0A18">
        <w:rPr>
          <w:b/>
          <w:i/>
          <w:szCs w:val="24"/>
          <w:lang w:val="pt-PT" w:eastAsia="en-US"/>
        </w:rPr>
        <w:t xml:space="preserve"> </w:t>
      </w:r>
      <w:r w:rsidRPr="00A44A6B">
        <w:rPr>
          <w:b/>
          <w:i/>
          <w:szCs w:val="24"/>
          <w:lang w:val="pt-PT" w:eastAsia="en-US"/>
        </w:rPr>
        <w:t>Īpašu uzmanību pievērš sekām, ko rada iebildumi saskaņā ar</w:t>
      </w:r>
      <w:r w:rsidR="00487FAE">
        <w:rPr>
          <w:b/>
          <w:i/>
          <w:szCs w:val="24"/>
          <w:lang w:val="pt-PT" w:eastAsia="en-US"/>
        </w:rPr>
        <w:t xml:space="preserve"> šīs regulas</w:t>
      </w:r>
      <w:r w:rsidRPr="00A44A6B">
        <w:rPr>
          <w:b/>
          <w:i/>
          <w:szCs w:val="24"/>
          <w:lang w:val="pt-PT" w:eastAsia="en-US"/>
        </w:rPr>
        <w:t xml:space="preserve"> 15. pantu, un tam, vai iebildumu iespēja rada būtiskus kavējumus vienoto sertifikātu piešķiršanā, kā arī šīs regulas ietekmei uz izpētes un izstrādes izmaksu segšanu, ņemot vērā Direktīvu (ES) XXX/XX [COM(2023)192].</w:t>
      </w:r>
      <w:r w:rsidR="00487FAE">
        <w:rPr>
          <w:b/>
          <w:szCs w:val="24"/>
          <w:lang w:val="pt-PT" w:eastAsia="en-US"/>
        </w:rPr>
        <w:t xml:space="preserve"> [Gr. 73]</w:t>
      </w:r>
    </w:p>
    <w:p w:rsidR="00487FAE" w:rsidRDefault="00487FAE">
      <w:pPr>
        <w:widowControl/>
        <w:rPr>
          <w:szCs w:val="24"/>
          <w:lang w:val="pt-PT" w:eastAsia="en-US"/>
        </w:rPr>
      </w:pPr>
      <w:r>
        <w:rPr>
          <w:szCs w:val="24"/>
          <w:lang w:val="pt-PT" w:eastAsia="en-US"/>
        </w:rPr>
        <w:br w:type="page"/>
      </w:r>
    </w:p>
    <w:p w:rsidR="00A44A6B" w:rsidRPr="00A44A6B" w:rsidRDefault="00A44A6B" w:rsidP="00A44A6B">
      <w:pPr>
        <w:spacing w:before="120" w:after="120" w:line="360" w:lineRule="auto"/>
        <w:jc w:val="center"/>
        <w:rPr>
          <w:szCs w:val="24"/>
          <w:lang w:val="pt-PT" w:eastAsia="en-US"/>
        </w:rPr>
      </w:pPr>
      <w:r w:rsidRPr="00A44A6B">
        <w:rPr>
          <w:szCs w:val="24"/>
          <w:lang w:val="pt-PT" w:eastAsia="en-US"/>
        </w:rPr>
        <w:lastRenderedPageBreak/>
        <w:t>57. pants</w:t>
      </w:r>
      <w:r w:rsidRPr="00A44A6B">
        <w:rPr>
          <w:szCs w:val="24"/>
          <w:lang w:val="pt-PT" w:eastAsia="en-US"/>
        </w:rPr>
        <w:br/>
        <w:t>Stāšanās spēkā un piemērošana</w:t>
      </w:r>
    </w:p>
    <w:p w:rsidR="00A44A6B" w:rsidRPr="00A44A6B" w:rsidRDefault="00A44A6B" w:rsidP="00A44A6B">
      <w:pPr>
        <w:spacing w:before="120" w:after="120" w:line="360" w:lineRule="auto"/>
        <w:rPr>
          <w:szCs w:val="24"/>
          <w:lang w:val="pt-PT" w:eastAsia="en-US"/>
        </w:rPr>
      </w:pPr>
      <w:r w:rsidRPr="00A44A6B">
        <w:rPr>
          <w:szCs w:val="24"/>
          <w:lang w:val="pt-PT" w:eastAsia="en-US"/>
        </w:rPr>
        <w:t>Šī regula stājas spēkā XXX [PB: ievietot datumu — divdesmito dienu pēc tās publicēšanas Eiropas Savienības Oficiālajā Vēstnesī].</w:t>
      </w:r>
    </w:p>
    <w:p w:rsidR="00A44A6B" w:rsidRPr="00A44A6B" w:rsidRDefault="00A44A6B" w:rsidP="00A44A6B">
      <w:pPr>
        <w:spacing w:before="120" w:after="120" w:line="360" w:lineRule="auto"/>
        <w:rPr>
          <w:szCs w:val="24"/>
          <w:lang w:val="pt-PT" w:eastAsia="en-US"/>
        </w:rPr>
      </w:pPr>
      <w:r w:rsidRPr="00A44A6B">
        <w:rPr>
          <w:szCs w:val="24"/>
          <w:lang w:val="pt-PT" w:eastAsia="en-US"/>
        </w:rPr>
        <w:t>To piemēro no xxxxx [PB: ievietot pirmo dienu 12. mēnesī pēc regulas spēkā stāšanās dienas].</w:t>
      </w:r>
    </w:p>
    <w:p w:rsidR="00A44A6B" w:rsidRPr="00A44A6B" w:rsidRDefault="00A44A6B" w:rsidP="00A44A6B">
      <w:pPr>
        <w:spacing w:before="120" w:after="120" w:line="360" w:lineRule="auto"/>
        <w:rPr>
          <w:szCs w:val="24"/>
          <w:lang w:val="pt-PT" w:eastAsia="en-US"/>
        </w:rPr>
      </w:pPr>
      <w:r w:rsidRPr="00A44A6B">
        <w:rPr>
          <w:szCs w:val="24"/>
          <w:lang w:val="pt-PT" w:eastAsia="en-US"/>
        </w:rPr>
        <w:t>Šī regula uzliek saistības kopumā un ir tieši piemērojama visās dalībvalstīs.</w:t>
      </w:r>
    </w:p>
    <w:p w:rsidR="00A44A6B" w:rsidRPr="00A44A6B" w:rsidRDefault="00535CD6" w:rsidP="00A44A6B">
      <w:pPr>
        <w:keepNext/>
        <w:widowControl/>
        <w:spacing w:before="120" w:line="360" w:lineRule="auto"/>
        <w:rPr>
          <w:szCs w:val="24"/>
          <w:lang w:val="pt-PT" w:eastAsia="en-US"/>
        </w:rPr>
      </w:pPr>
      <w:r>
        <w:rPr>
          <w:szCs w:val="24"/>
          <w:lang w:val="pt-PT" w:eastAsia="en-US"/>
        </w:rPr>
        <w:t>…</w:t>
      </w:r>
      <w:r w:rsidR="00A44A6B" w:rsidRPr="00A44A6B">
        <w:rPr>
          <w:szCs w:val="24"/>
          <w:lang w:val="pt-PT" w:eastAsia="en-US"/>
        </w:rPr>
        <w:t>,</w:t>
      </w:r>
    </w:p>
    <w:p w:rsidR="00A44A6B" w:rsidRPr="00A44A6B" w:rsidRDefault="00A44A6B" w:rsidP="00A44A6B">
      <w:pPr>
        <w:keepNext/>
        <w:widowControl/>
        <w:tabs>
          <w:tab w:val="left" w:pos="4252"/>
        </w:tabs>
        <w:spacing w:before="720" w:after="100" w:line="360" w:lineRule="auto"/>
        <w:jc w:val="both"/>
        <w:rPr>
          <w:i/>
          <w:szCs w:val="24"/>
          <w:lang w:val="pt-PT" w:eastAsia="en-US"/>
        </w:rPr>
      </w:pPr>
      <w:r w:rsidRPr="00A44A6B">
        <w:rPr>
          <w:i/>
          <w:szCs w:val="24"/>
          <w:lang w:val="pt-PT" w:eastAsia="en-US"/>
        </w:rPr>
        <w:t>Eiropas Parlamenta vārdā —</w:t>
      </w:r>
      <w:r w:rsidRPr="00A44A6B">
        <w:rPr>
          <w:i/>
          <w:szCs w:val="24"/>
          <w:lang w:val="pt-PT" w:eastAsia="en-US"/>
        </w:rPr>
        <w:tab/>
        <w:t>Padomes vārdā —</w:t>
      </w:r>
    </w:p>
    <w:p w:rsidR="00A44A6B" w:rsidRPr="00A44A6B" w:rsidRDefault="00A44A6B" w:rsidP="00A44A6B">
      <w:pPr>
        <w:widowControl/>
        <w:tabs>
          <w:tab w:val="left" w:pos="4252"/>
        </w:tabs>
        <w:spacing w:line="360" w:lineRule="auto"/>
        <w:rPr>
          <w:i/>
          <w:szCs w:val="24"/>
          <w:lang w:val="pt-PT" w:eastAsia="en-US"/>
        </w:rPr>
      </w:pPr>
      <w:r w:rsidRPr="00A44A6B">
        <w:rPr>
          <w:i/>
          <w:szCs w:val="24"/>
          <w:lang w:val="pt-PT" w:eastAsia="en-US"/>
        </w:rPr>
        <w:t>priekšsēdētāja</w:t>
      </w:r>
      <w:r w:rsidRPr="00A44A6B">
        <w:rPr>
          <w:i/>
          <w:szCs w:val="24"/>
          <w:lang w:val="pt-PT" w:eastAsia="en-US"/>
        </w:rPr>
        <w:tab/>
        <w:t>priekšsēdētāja</w:t>
      </w:r>
      <w:r w:rsidR="00487FAE">
        <w:rPr>
          <w:i/>
          <w:szCs w:val="24"/>
          <w:lang w:val="pt-PT" w:eastAsia="en-US"/>
        </w:rPr>
        <w:t xml:space="preserve"> / </w:t>
      </w:r>
      <w:r w:rsidR="00487FAE" w:rsidRPr="00A44A6B">
        <w:rPr>
          <w:i/>
          <w:szCs w:val="24"/>
          <w:lang w:val="pt-PT" w:eastAsia="en-US"/>
        </w:rPr>
        <w:t>priekšsēdētāja</w:t>
      </w:r>
    </w:p>
    <w:p w:rsidR="00A44A6B" w:rsidRPr="00A44A6B" w:rsidRDefault="00A44A6B" w:rsidP="00A44A6B">
      <w:pPr>
        <w:spacing w:before="120" w:after="120" w:line="360" w:lineRule="auto"/>
        <w:rPr>
          <w:szCs w:val="24"/>
          <w:lang w:val="pt-PT" w:eastAsia="en-US"/>
        </w:rPr>
        <w:sectPr w:rsidR="00A44A6B" w:rsidRPr="00A44A6B">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rsidR="00A44A6B" w:rsidRPr="00A44A6B" w:rsidRDefault="00A44A6B" w:rsidP="00A44A6B">
      <w:pPr>
        <w:spacing w:before="120" w:after="120" w:line="360" w:lineRule="auto"/>
        <w:rPr>
          <w:szCs w:val="24"/>
          <w:lang w:val="pt-PT" w:eastAsia="en-US"/>
        </w:rPr>
      </w:pPr>
    </w:p>
    <w:p w:rsidR="00A44A6B" w:rsidRPr="00A44A6B" w:rsidRDefault="00A44A6B" w:rsidP="00A44A6B">
      <w:pPr>
        <w:spacing w:before="120" w:after="120" w:line="360" w:lineRule="auto"/>
        <w:jc w:val="center"/>
        <w:rPr>
          <w:lang w:val="pt-PT" w:eastAsia="en-US"/>
        </w:rPr>
      </w:pPr>
      <w:r w:rsidRPr="00A44A6B">
        <w:rPr>
          <w:lang w:val="pt-PT" w:eastAsia="en-US"/>
        </w:rPr>
        <w:t>I PIELIKUMS</w:t>
      </w:r>
    </w:p>
    <w:p w:rsidR="00A44A6B" w:rsidRPr="00A44A6B" w:rsidRDefault="00A44A6B" w:rsidP="00A44A6B">
      <w:pPr>
        <w:spacing w:before="120" w:after="120" w:line="360" w:lineRule="auto"/>
        <w:rPr>
          <w:szCs w:val="24"/>
          <w:lang w:val="pt-PT" w:eastAsia="en-US"/>
        </w:rPr>
      </w:pPr>
      <w:r w:rsidRPr="00A44A6B">
        <w:rPr>
          <w:szCs w:val="24"/>
          <w:lang w:val="pt-PT" w:eastAsia="en-US"/>
        </w:rPr>
        <w:t>Logotips</w:t>
      </w:r>
    </w:p>
    <w:p w:rsidR="00A44A6B" w:rsidRPr="00A44A6B" w:rsidRDefault="00A44A6B" w:rsidP="00A44A6B">
      <w:pPr>
        <w:spacing w:before="120" w:after="120" w:line="360" w:lineRule="auto"/>
        <w:rPr>
          <w:szCs w:val="24"/>
          <w:lang w:val="pt-PT" w:eastAsia="en-US"/>
        </w:rPr>
      </w:pPr>
      <w:r w:rsidRPr="00A44A6B">
        <w:rPr>
          <w:szCs w:val="24"/>
          <w:lang w:val="pt-PT" w:eastAsia="en-US"/>
        </w:rPr>
        <w:t>Šis logotips ir melnā krāsā un tādā lielumā, lai būtu pietiekami redzams.</w:t>
      </w:r>
    </w:p>
    <w:p w:rsidR="00A44A6B" w:rsidRDefault="00487FAE" w:rsidP="00A44A6B">
      <w:pPr>
        <w:spacing w:before="120" w:after="120" w:line="360" w:lineRule="auto"/>
        <w:rPr>
          <w:szCs w:val="24"/>
          <w:lang w:val="pt-PT" w:eastAsia="en-US"/>
        </w:rPr>
      </w:pPr>
      <w:r w:rsidRPr="001847B6">
        <w:rPr>
          <w:rFonts w:eastAsia="Calibri"/>
          <w:noProof/>
          <w:szCs w:val="22"/>
          <w:lang w:val="en-GB"/>
        </w:rPr>
        <w:drawing>
          <wp:inline distT="0" distB="0" distL="0" distR="0" wp14:anchorId="66A30532" wp14:editId="170B4C39">
            <wp:extent cx="2207260" cy="1463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7260" cy="1463040"/>
                    </a:xfrm>
                    <a:prstGeom prst="rect">
                      <a:avLst/>
                    </a:prstGeom>
                    <a:noFill/>
                  </pic:spPr>
                </pic:pic>
              </a:graphicData>
            </a:graphic>
          </wp:inline>
        </w:drawing>
      </w:r>
    </w:p>
    <w:p w:rsidR="00487FAE" w:rsidRDefault="00487FAE" w:rsidP="00A44A6B">
      <w:pPr>
        <w:spacing w:before="120" w:after="120" w:line="360" w:lineRule="auto"/>
        <w:rPr>
          <w:szCs w:val="24"/>
          <w:lang w:val="pt-PT" w:eastAsia="en-US"/>
        </w:rPr>
      </w:pPr>
    </w:p>
    <w:p w:rsidR="00487FAE" w:rsidRPr="00A44A6B" w:rsidRDefault="00487FAE" w:rsidP="00A44A6B">
      <w:pPr>
        <w:spacing w:before="120" w:after="120" w:line="360" w:lineRule="auto"/>
        <w:rPr>
          <w:szCs w:val="24"/>
          <w:lang w:val="pt-PT" w:eastAsia="en-US"/>
        </w:rPr>
        <w:sectPr w:rsidR="00487FAE" w:rsidRPr="00A44A6B">
          <w:pgSz w:w="11909" w:h="16834"/>
          <w:pgMar w:top="1134" w:right="1417" w:bottom="1417" w:left="1417" w:header="1134" w:footer="567" w:gutter="0"/>
          <w:cols w:space="720"/>
        </w:sectPr>
      </w:pPr>
    </w:p>
    <w:p w:rsidR="00A44A6B" w:rsidRPr="00A44A6B" w:rsidRDefault="00A44A6B" w:rsidP="00A44A6B">
      <w:pPr>
        <w:spacing w:before="120" w:after="120" w:line="360" w:lineRule="auto"/>
        <w:rPr>
          <w:szCs w:val="24"/>
          <w:lang w:val="pt-PT" w:eastAsia="en-US"/>
        </w:rPr>
      </w:pPr>
    </w:p>
    <w:p w:rsidR="00A44A6B" w:rsidRPr="00A44A6B" w:rsidRDefault="00A44A6B" w:rsidP="00A44A6B">
      <w:pPr>
        <w:spacing w:before="120" w:after="120" w:line="360" w:lineRule="auto"/>
        <w:jc w:val="center"/>
        <w:rPr>
          <w:lang w:val="pt-PT" w:eastAsia="en-US"/>
        </w:rPr>
      </w:pPr>
      <w:r w:rsidRPr="00A44A6B">
        <w:rPr>
          <w:lang w:val="pt-PT" w:eastAsia="en-US"/>
        </w:rPr>
        <w:t>II PIELIKUMS</w:t>
      </w:r>
    </w:p>
    <w:p w:rsidR="00A44A6B" w:rsidRPr="00A44A6B" w:rsidRDefault="00A44A6B" w:rsidP="00A44A6B">
      <w:pPr>
        <w:spacing w:before="120" w:after="120" w:line="360" w:lineRule="auto"/>
        <w:rPr>
          <w:szCs w:val="24"/>
          <w:lang w:val="pt-PT" w:eastAsia="en-US"/>
        </w:rPr>
      </w:pPr>
      <w:r w:rsidRPr="00A44A6B">
        <w:rPr>
          <w:szCs w:val="24"/>
          <w:lang w:val="pt-PT" w:eastAsia="en-US"/>
        </w:rPr>
        <w:t>Standartveidlapa paziņošanai saskaņā ar 5. panta 3. punkta b) un c) apakšpunktu.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5528"/>
        <w:gridCol w:w="2846"/>
        <w:gridCol w:w="686"/>
      </w:tblGrid>
      <w:tr w:rsidR="00A44A6B" w:rsidRPr="00A44A6B" w:rsidTr="005562F3">
        <w:trPr>
          <w:tblHeader/>
        </w:trPr>
        <w:tc>
          <w:tcPr>
            <w:tcW w:w="0" w:type="auto"/>
          </w:tcPr>
          <w:p w:rsidR="00A44A6B" w:rsidRPr="00A44A6B" w:rsidRDefault="00A44A6B" w:rsidP="00A44A6B">
            <w:pPr>
              <w:spacing w:before="120" w:after="120" w:line="360" w:lineRule="auto"/>
              <w:rPr>
                <w:szCs w:val="24"/>
                <w:lang w:val="en-GB" w:eastAsia="en-US"/>
              </w:rPr>
            </w:pPr>
            <w:r w:rsidRPr="00A44A6B">
              <w:rPr>
                <w:szCs w:val="24"/>
                <w:lang w:val="en-GB" w:eastAsia="en-US"/>
              </w:rPr>
              <w:t>Atzīmēt atbilstīgo aili</w:t>
            </w:r>
          </w:p>
        </w:tc>
        <w:tc>
          <w:tcPr>
            <w:tcW w:w="0" w:type="auto"/>
            <w:gridSpan w:val="2"/>
          </w:tcPr>
          <w:p w:rsidR="00A44A6B" w:rsidRPr="00A44A6B" w:rsidRDefault="00A44A6B" w:rsidP="00A44A6B">
            <w:pPr>
              <w:spacing w:before="120" w:after="120" w:line="360" w:lineRule="auto"/>
              <w:rPr>
                <w:szCs w:val="24"/>
                <w:lang w:val="en-GB" w:eastAsia="en-US"/>
              </w:rPr>
            </w:pPr>
            <w:r w:rsidRPr="00A44A6B">
              <w:rPr>
                <w:szCs w:val="24"/>
                <w:lang w:val="en-GB" w:eastAsia="en-US"/>
              </w:rPr>
              <w:t>□ Jauns paziņojums □ Esoša paziņojuma aktualizēšana</w:t>
            </w:r>
          </w:p>
        </w:tc>
      </w:tr>
      <w:tr w:rsidR="00A44A6B" w:rsidRPr="00A44A6B" w:rsidTr="005562F3">
        <w:tc>
          <w:tcPr>
            <w:tcW w:w="0" w:type="auto"/>
          </w:tcPr>
          <w:p w:rsidR="00A44A6B" w:rsidRPr="00A44A6B" w:rsidRDefault="00A44A6B" w:rsidP="00A44A6B">
            <w:pPr>
              <w:spacing w:before="120" w:after="120" w:line="360" w:lineRule="auto"/>
              <w:rPr>
                <w:szCs w:val="24"/>
                <w:lang w:val="en-GB" w:eastAsia="en-US"/>
              </w:rPr>
            </w:pPr>
            <w:r w:rsidRPr="00A44A6B">
              <w:rPr>
                <w:szCs w:val="24"/>
                <w:lang w:val="en-GB" w:eastAsia="en-US"/>
              </w:rPr>
              <w:t>a) Izgatavotāja vārds/nosaukums un adrese</w:t>
            </w:r>
          </w:p>
        </w:tc>
        <w:tc>
          <w:tcPr>
            <w:tcW w:w="0" w:type="auto"/>
            <w:gridSpan w:val="2"/>
          </w:tcPr>
          <w:p w:rsidR="00A44A6B" w:rsidRPr="00A44A6B" w:rsidRDefault="00A44A6B" w:rsidP="00A44A6B">
            <w:pPr>
              <w:spacing w:before="120" w:after="120" w:line="360" w:lineRule="auto"/>
              <w:rPr>
                <w:szCs w:val="24"/>
                <w:lang w:val="en-GB" w:eastAsia="en-US"/>
              </w:rPr>
            </w:pPr>
            <w:r w:rsidRPr="00A44A6B">
              <w:rPr>
                <w:szCs w:val="24"/>
                <w:lang w:val="en-GB" w:eastAsia="en-US"/>
              </w:rPr>
              <w:t>…</w:t>
            </w:r>
          </w:p>
        </w:tc>
      </w:tr>
      <w:tr w:rsidR="00A44A6B" w:rsidRPr="00A44A6B" w:rsidTr="005562F3">
        <w:tc>
          <w:tcPr>
            <w:tcW w:w="0" w:type="auto"/>
          </w:tcPr>
          <w:p w:rsidR="00A44A6B" w:rsidRPr="00A44A6B" w:rsidRDefault="00A44A6B" w:rsidP="00A44A6B">
            <w:pPr>
              <w:spacing w:before="120" w:after="120" w:line="360" w:lineRule="auto"/>
              <w:rPr>
                <w:szCs w:val="24"/>
                <w:lang w:val="en-GB" w:eastAsia="en-US"/>
              </w:rPr>
            </w:pPr>
            <w:r w:rsidRPr="00A44A6B">
              <w:rPr>
                <w:szCs w:val="24"/>
                <w:lang w:val="en-GB" w:eastAsia="en-US"/>
              </w:rPr>
              <w:t>b) Izgatavošanas nolūks</w:t>
            </w:r>
          </w:p>
        </w:tc>
        <w:tc>
          <w:tcPr>
            <w:tcW w:w="0" w:type="auto"/>
            <w:gridSpan w:val="2"/>
          </w:tcPr>
          <w:p w:rsidR="00A44A6B" w:rsidRPr="00A44A6B" w:rsidRDefault="00A44A6B" w:rsidP="00A44A6B">
            <w:pPr>
              <w:spacing w:before="120" w:after="120" w:line="360" w:lineRule="auto"/>
              <w:rPr>
                <w:szCs w:val="24"/>
                <w:lang w:val="en-GB" w:eastAsia="en-US"/>
              </w:rPr>
            </w:pPr>
            <w:r w:rsidRPr="00A44A6B">
              <w:rPr>
                <w:szCs w:val="24"/>
                <w:lang w:val="en-GB" w:eastAsia="en-US"/>
              </w:rPr>
              <w:t>□ Eksports □ Uzglabāšana □ Eksports un uzglabāšana</w:t>
            </w:r>
          </w:p>
        </w:tc>
      </w:tr>
      <w:tr w:rsidR="00A44A6B" w:rsidRPr="00A44A6B" w:rsidTr="005562F3">
        <w:tc>
          <w:tcPr>
            <w:tcW w:w="0" w:type="auto"/>
            <w:vMerge w:val="restart"/>
          </w:tcPr>
          <w:p w:rsidR="00A44A6B" w:rsidRPr="00535CD6" w:rsidRDefault="00A44A6B" w:rsidP="00A44A6B">
            <w:pPr>
              <w:spacing w:before="120" w:after="120" w:line="360" w:lineRule="auto"/>
              <w:rPr>
                <w:szCs w:val="24"/>
                <w:lang w:eastAsia="en-US"/>
              </w:rPr>
            </w:pPr>
            <w:r w:rsidRPr="00535CD6">
              <w:rPr>
                <w:szCs w:val="24"/>
                <w:lang w:eastAsia="en-US"/>
              </w:rPr>
              <w:t>c) Dalībvalsts, kurā notiks izgatavošana, un dalībvalsts, kurā notiks pirmā saistītā darbība, ja tāda ir paredzēta, pirms izgatavošanas</w:t>
            </w:r>
          </w:p>
        </w:tc>
        <w:tc>
          <w:tcPr>
            <w:tcW w:w="0" w:type="auto"/>
          </w:tcPr>
          <w:p w:rsidR="00A44A6B" w:rsidRPr="00A44A6B" w:rsidRDefault="00A44A6B" w:rsidP="00A44A6B">
            <w:pPr>
              <w:spacing w:before="120" w:after="120" w:line="360" w:lineRule="auto"/>
              <w:rPr>
                <w:szCs w:val="24"/>
                <w:lang w:val="en-GB" w:eastAsia="en-US"/>
              </w:rPr>
            </w:pPr>
            <w:r w:rsidRPr="00A44A6B">
              <w:rPr>
                <w:szCs w:val="24"/>
                <w:lang w:val="en-GB" w:eastAsia="en-US"/>
              </w:rPr>
              <w:t>Izgatavošanas dalībvalsts</w:t>
            </w:r>
          </w:p>
        </w:tc>
        <w:tc>
          <w:tcPr>
            <w:tcW w:w="0" w:type="auto"/>
          </w:tcPr>
          <w:p w:rsidR="00A44A6B" w:rsidRPr="00A44A6B" w:rsidRDefault="00A44A6B" w:rsidP="00A44A6B">
            <w:pPr>
              <w:spacing w:before="120" w:after="120" w:line="360" w:lineRule="auto"/>
              <w:rPr>
                <w:szCs w:val="24"/>
                <w:lang w:val="en-GB" w:eastAsia="en-US"/>
              </w:rPr>
            </w:pPr>
          </w:p>
        </w:tc>
      </w:tr>
      <w:tr w:rsidR="00A44A6B" w:rsidRPr="00A44A6B" w:rsidTr="005562F3">
        <w:tc>
          <w:tcPr>
            <w:tcW w:w="0" w:type="auto"/>
            <w:vMerge/>
          </w:tcPr>
          <w:p w:rsidR="00A44A6B" w:rsidRPr="00A44A6B" w:rsidRDefault="00A44A6B" w:rsidP="00A44A6B">
            <w:pPr>
              <w:spacing w:before="120" w:after="120" w:line="360" w:lineRule="auto"/>
              <w:rPr>
                <w:szCs w:val="24"/>
                <w:lang w:val="en-GB" w:eastAsia="en-US"/>
              </w:rPr>
            </w:pPr>
          </w:p>
        </w:tc>
        <w:tc>
          <w:tcPr>
            <w:tcW w:w="0" w:type="auto"/>
          </w:tcPr>
          <w:p w:rsidR="00A44A6B" w:rsidRPr="00A44A6B" w:rsidRDefault="00A44A6B" w:rsidP="00A44A6B">
            <w:pPr>
              <w:spacing w:before="120" w:after="120" w:line="360" w:lineRule="auto"/>
              <w:rPr>
                <w:szCs w:val="24"/>
                <w:lang w:val="pt-PT" w:eastAsia="en-US"/>
              </w:rPr>
            </w:pPr>
            <w:r w:rsidRPr="00A44A6B">
              <w:rPr>
                <w:szCs w:val="24"/>
                <w:lang w:val="pt-PT" w:eastAsia="en-US"/>
              </w:rPr>
              <w:t>(Pirmās saistītās darbības, ja tāda ir, dalībvalsts)</w:t>
            </w:r>
          </w:p>
        </w:tc>
        <w:tc>
          <w:tcPr>
            <w:tcW w:w="0" w:type="auto"/>
          </w:tcPr>
          <w:p w:rsidR="00A44A6B" w:rsidRPr="00A44A6B" w:rsidRDefault="00A44A6B" w:rsidP="00A44A6B">
            <w:pPr>
              <w:spacing w:before="120" w:after="120" w:line="360" w:lineRule="auto"/>
              <w:rPr>
                <w:szCs w:val="24"/>
                <w:lang w:val="pt-PT" w:eastAsia="en-US"/>
              </w:rPr>
            </w:pPr>
          </w:p>
        </w:tc>
      </w:tr>
      <w:tr w:rsidR="00A44A6B" w:rsidRPr="00A44A6B" w:rsidTr="005562F3">
        <w:tc>
          <w:tcPr>
            <w:tcW w:w="0" w:type="auto"/>
            <w:vMerge w:val="restart"/>
          </w:tcPr>
          <w:p w:rsidR="00A44A6B" w:rsidRPr="00535CD6" w:rsidRDefault="00832CFF" w:rsidP="00A44A6B">
            <w:pPr>
              <w:spacing w:before="120" w:after="120" w:line="360" w:lineRule="auto"/>
              <w:rPr>
                <w:szCs w:val="24"/>
                <w:lang w:eastAsia="en-US"/>
              </w:rPr>
            </w:pPr>
            <w:r>
              <w:rPr>
                <w:szCs w:val="24"/>
                <w:lang w:eastAsia="en-US"/>
              </w:rPr>
              <w:t>d</w:t>
            </w:r>
            <w:r w:rsidR="00A44A6B" w:rsidRPr="00535CD6">
              <w:rPr>
                <w:szCs w:val="24"/>
                <w:lang w:eastAsia="en-US"/>
              </w:rPr>
              <w:t>) Tā vienotā sertifikāta numurs, kas ir spēkā izgatavošanas dalībvalstī, un tā sertifikāta numurs, kas piešķirts dalībvalstī, kurā tiek veikta pirmā saistītā darbība, ja tāda ir, pirms izgatavošanas</w:t>
            </w:r>
          </w:p>
        </w:tc>
        <w:tc>
          <w:tcPr>
            <w:tcW w:w="0" w:type="auto"/>
          </w:tcPr>
          <w:p w:rsidR="00A44A6B" w:rsidRPr="00535CD6" w:rsidRDefault="00A44A6B" w:rsidP="00A44A6B">
            <w:pPr>
              <w:spacing w:before="120" w:after="120" w:line="360" w:lineRule="auto"/>
              <w:rPr>
                <w:szCs w:val="24"/>
                <w:lang w:eastAsia="en-US"/>
              </w:rPr>
            </w:pPr>
            <w:r w:rsidRPr="00535CD6">
              <w:rPr>
                <w:szCs w:val="24"/>
                <w:lang w:eastAsia="en-US"/>
              </w:rPr>
              <w:t>Vienotais sertifikāts, kas ir spēkā izgatavošanas dalībvalstī</w:t>
            </w:r>
          </w:p>
        </w:tc>
        <w:tc>
          <w:tcPr>
            <w:tcW w:w="0" w:type="auto"/>
          </w:tcPr>
          <w:p w:rsidR="00A44A6B" w:rsidRPr="00535CD6" w:rsidRDefault="00A44A6B" w:rsidP="00A44A6B">
            <w:pPr>
              <w:spacing w:before="120" w:after="120" w:line="360" w:lineRule="auto"/>
              <w:rPr>
                <w:szCs w:val="24"/>
                <w:lang w:eastAsia="en-US"/>
              </w:rPr>
            </w:pPr>
          </w:p>
        </w:tc>
      </w:tr>
      <w:tr w:rsidR="00A44A6B" w:rsidRPr="00A44A6B" w:rsidTr="005562F3">
        <w:tc>
          <w:tcPr>
            <w:tcW w:w="0" w:type="auto"/>
            <w:vMerge/>
          </w:tcPr>
          <w:p w:rsidR="00A44A6B" w:rsidRPr="00535CD6" w:rsidRDefault="00A44A6B" w:rsidP="00A44A6B">
            <w:pPr>
              <w:spacing w:before="120" w:after="120" w:line="360" w:lineRule="auto"/>
              <w:rPr>
                <w:szCs w:val="24"/>
                <w:lang w:eastAsia="en-US"/>
              </w:rPr>
            </w:pPr>
          </w:p>
        </w:tc>
        <w:tc>
          <w:tcPr>
            <w:tcW w:w="0" w:type="auto"/>
          </w:tcPr>
          <w:p w:rsidR="00A44A6B" w:rsidRPr="00535CD6" w:rsidRDefault="00A44A6B" w:rsidP="00A44A6B">
            <w:pPr>
              <w:spacing w:before="120" w:after="120" w:line="360" w:lineRule="auto"/>
              <w:rPr>
                <w:szCs w:val="24"/>
                <w:lang w:eastAsia="en-US"/>
              </w:rPr>
            </w:pPr>
            <w:r w:rsidRPr="00535CD6">
              <w:rPr>
                <w:szCs w:val="24"/>
                <w:lang w:eastAsia="en-US"/>
              </w:rPr>
              <w:t>(Pirmās saistītās darbības, ja tāda ir, dalībvalsts sertifikāts)</w:t>
            </w:r>
          </w:p>
        </w:tc>
        <w:tc>
          <w:tcPr>
            <w:tcW w:w="0" w:type="auto"/>
          </w:tcPr>
          <w:p w:rsidR="00A44A6B" w:rsidRPr="00535CD6" w:rsidRDefault="00A44A6B" w:rsidP="00A44A6B">
            <w:pPr>
              <w:spacing w:before="120" w:after="120" w:line="360" w:lineRule="auto"/>
              <w:rPr>
                <w:szCs w:val="24"/>
                <w:lang w:eastAsia="en-US"/>
              </w:rPr>
            </w:pPr>
          </w:p>
        </w:tc>
      </w:tr>
      <w:tr w:rsidR="00A44A6B" w:rsidRPr="00A44A6B" w:rsidTr="005562F3">
        <w:tc>
          <w:tcPr>
            <w:tcW w:w="0" w:type="auto"/>
            <w:vMerge w:val="restart"/>
          </w:tcPr>
          <w:p w:rsidR="00A44A6B" w:rsidRPr="00535CD6" w:rsidRDefault="00832CFF" w:rsidP="00A44A6B">
            <w:pPr>
              <w:spacing w:before="120" w:after="120" w:line="360" w:lineRule="auto"/>
              <w:rPr>
                <w:szCs w:val="24"/>
                <w:lang w:eastAsia="en-US"/>
              </w:rPr>
            </w:pPr>
            <w:r>
              <w:rPr>
                <w:szCs w:val="24"/>
                <w:lang w:eastAsia="en-US"/>
              </w:rPr>
              <w:t>e</w:t>
            </w:r>
            <w:r w:rsidR="00A44A6B" w:rsidRPr="00535CD6">
              <w:rPr>
                <w:szCs w:val="24"/>
                <w:lang w:eastAsia="en-US"/>
              </w:rPr>
              <w:t>) Attiecībā uz zālēm, kuras ir paredzēts eksportēt uz trešām valstīm, tirdzniecības atļaujas vai šādai atļaujai līdzvērtīga dokumenta atsauces numurs katrā eksporta trešā valstī</w:t>
            </w:r>
          </w:p>
        </w:tc>
        <w:tc>
          <w:tcPr>
            <w:tcW w:w="0" w:type="auto"/>
            <w:gridSpan w:val="2"/>
          </w:tcPr>
          <w:p w:rsidR="00A44A6B" w:rsidRPr="00535CD6" w:rsidRDefault="00A44A6B" w:rsidP="00A44A6B">
            <w:pPr>
              <w:spacing w:before="120" w:after="120" w:line="360" w:lineRule="auto"/>
              <w:rPr>
                <w:szCs w:val="24"/>
                <w:lang w:eastAsia="en-US"/>
              </w:rPr>
            </w:pPr>
          </w:p>
        </w:tc>
      </w:tr>
      <w:tr w:rsidR="00A44A6B" w:rsidRPr="00A44A6B" w:rsidTr="005562F3">
        <w:tc>
          <w:tcPr>
            <w:tcW w:w="0" w:type="auto"/>
            <w:vMerge/>
          </w:tcPr>
          <w:p w:rsidR="00A44A6B" w:rsidRPr="00535CD6" w:rsidRDefault="00A44A6B" w:rsidP="00A44A6B">
            <w:pPr>
              <w:spacing w:before="120" w:after="120" w:line="360" w:lineRule="auto"/>
              <w:rPr>
                <w:szCs w:val="24"/>
                <w:lang w:eastAsia="en-US"/>
              </w:rPr>
            </w:pPr>
          </w:p>
        </w:tc>
        <w:tc>
          <w:tcPr>
            <w:tcW w:w="0" w:type="auto"/>
            <w:gridSpan w:val="2"/>
          </w:tcPr>
          <w:p w:rsidR="00A44A6B" w:rsidRPr="00535CD6" w:rsidRDefault="00A44A6B" w:rsidP="00A44A6B">
            <w:pPr>
              <w:spacing w:before="120" w:after="120" w:line="360" w:lineRule="auto"/>
              <w:rPr>
                <w:szCs w:val="24"/>
                <w:lang w:eastAsia="en-US"/>
              </w:rPr>
            </w:pPr>
          </w:p>
        </w:tc>
      </w:tr>
      <w:tr w:rsidR="00A44A6B" w:rsidRPr="00A44A6B" w:rsidTr="005562F3">
        <w:tc>
          <w:tcPr>
            <w:tcW w:w="0" w:type="auto"/>
            <w:vMerge/>
          </w:tcPr>
          <w:p w:rsidR="00A44A6B" w:rsidRPr="00535CD6" w:rsidRDefault="00A44A6B" w:rsidP="00A44A6B">
            <w:pPr>
              <w:spacing w:before="120" w:after="120" w:line="360" w:lineRule="auto"/>
              <w:rPr>
                <w:szCs w:val="24"/>
                <w:lang w:eastAsia="en-US"/>
              </w:rPr>
            </w:pPr>
          </w:p>
        </w:tc>
        <w:tc>
          <w:tcPr>
            <w:tcW w:w="0" w:type="auto"/>
            <w:gridSpan w:val="2"/>
          </w:tcPr>
          <w:p w:rsidR="00A44A6B" w:rsidRPr="00535CD6" w:rsidRDefault="00A44A6B" w:rsidP="00A44A6B">
            <w:pPr>
              <w:spacing w:before="120" w:after="120" w:line="360" w:lineRule="auto"/>
              <w:rPr>
                <w:szCs w:val="24"/>
                <w:lang w:eastAsia="en-US"/>
              </w:rPr>
            </w:pPr>
          </w:p>
        </w:tc>
      </w:tr>
    </w:tbl>
    <w:p w:rsidR="00A44A6B" w:rsidRPr="00535CD6" w:rsidRDefault="00A44A6B" w:rsidP="00A81F67">
      <w:pPr>
        <w:pStyle w:val="NormalHanging12a"/>
      </w:pPr>
    </w:p>
    <w:sectPr w:rsidR="00A44A6B" w:rsidRPr="00535CD6" w:rsidSect="00F400E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2F3" w:rsidRPr="00F400EE" w:rsidRDefault="005562F3">
      <w:r w:rsidRPr="00F400EE">
        <w:separator/>
      </w:r>
    </w:p>
  </w:endnote>
  <w:endnote w:type="continuationSeparator" w:id="0">
    <w:p w:rsidR="005562F3" w:rsidRPr="00F400EE" w:rsidRDefault="005562F3">
      <w:r w:rsidRPr="00F40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F3" w:rsidRDefault="005562F3">
    <w:pPr>
      <w:pStyle w:val="Footer1"/>
    </w:pPr>
    <w:r>
      <w:t>EN</w:t>
    </w:r>
    <w:r>
      <w:tab/>
    </w:r>
    <w:r>
      <w:fldChar w:fldCharType="begin"/>
    </w:r>
    <w:r>
      <w:instrText xml:space="preserve"> PAGE </w:instrText>
    </w:r>
    <w:r>
      <w:fldChar w:fldCharType="end"/>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F3" w:rsidRDefault="005562F3">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F3" w:rsidRDefault="005562F3">
    <w:pPr>
      <w:pStyle w:val="Footer1"/>
    </w:pPr>
    <w:r>
      <w:t>EN</w:t>
    </w:r>
    <w:r>
      <w:tab/>
    </w:r>
    <w:r>
      <w:fldChar w:fldCharType="begin"/>
    </w:r>
    <w:r>
      <w:instrText xml:space="preserve"> PAGE </w:instrText>
    </w:r>
    <w:r>
      <w:fldChar w:fldCharType="end"/>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2F3" w:rsidRPr="00F400EE" w:rsidRDefault="005562F3">
      <w:r w:rsidRPr="00F400EE">
        <w:separator/>
      </w:r>
    </w:p>
  </w:footnote>
  <w:footnote w:type="continuationSeparator" w:id="0">
    <w:p w:rsidR="005562F3" w:rsidRPr="00F400EE" w:rsidRDefault="005562F3">
      <w:r w:rsidRPr="00F400EE">
        <w:continuationSeparator/>
      </w:r>
    </w:p>
  </w:footnote>
  <w:footnote w:id="1">
    <w:p w:rsidR="005562F3" w:rsidRPr="00A44A6B" w:rsidRDefault="005562F3" w:rsidP="00A44A6B">
      <w:pPr>
        <w:pStyle w:val="FootnoteTextForceStyle"/>
        <w:rPr>
          <w:lang w:val="sv-SE"/>
        </w:rPr>
      </w:pPr>
      <w:r>
        <w:rPr>
          <w:vertAlign w:val="superscript"/>
        </w:rPr>
        <w:footnoteRef/>
      </w:r>
      <w:r w:rsidRPr="00A44A6B">
        <w:rPr>
          <w:lang w:val="sv-SE"/>
        </w:rPr>
        <w:tab/>
        <w:t>OV C [...], [...], [...]. lpp.</w:t>
      </w:r>
    </w:p>
  </w:footnote>
  <w:footnote w:id="2">
    <w:p w:rsidR="005562F3" w:rsidRPr="00A44A6B" w:rsidRDefault="005562F3" w:rsidP="00A44A6B">
      <w:pPr>
        <w:pStyle w:val="FootnoteTextForceStyle"/>
        <w:rPr>
          <w:lang w:val="sv-SE"/>
        </w:rPr>
      </w:pPr>
      <w:r>
        <w:rPr>
          <w:vertAlign w:val="superscript"/>
        </w:rPr>
        <w:footnoteRef/>
      </w:r>
      <w:r w:rsidRPr="00A44A6B">
        <w:rPr>
          <w:lang w:val="sv-SE"/>
        </w:rPr>
        <w:tab/>
        <w:t>OV C [...], [...], [...]. lpp.</w:t>
      </w:r>
    </w:p>
  </w:footnote>
  <w:footnote w:id="3">
    <w:p w:rsidR="005562F3" w:rsidRPr="00A44A6B" w:rsidRDefault="005562F3" w:rsidP="00A44A6B">
      <w:pPr>
        <w:pStyle w:val="FootnoteTextForceStyle"/>
        <w:rPr>
          <w:lang w:val="sv-SE"/>
        </w:rPr>
      </w:pPr>
      <w:r>
        <w:rPr>
          <w:vertAlign w:val="superscript"/>
        </w:rPr>
        <w:footnoteRef/>
      </w:r>
      <w:r w:rsidRPr="00A44A6B">
        <w:rPr>
          <w:lang w:val="sv-SE"/>
        </w:rPr>
        <w:tab/>
        <w:t>COM(2020) 760 final.</w:t>
      </w:r>
    </w:p>
  </w:footnote>
  <w:footnote w:id="4">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(ES) Nr. 1257/2012 (2012. gada 17. decembris), ar ko īsteno ciešāku sadarbību attiecībā uz vienotas patentaizsardzības izveidi (OV L 361, 31.12.2012., 1. lpp.).</w:t>
      </w:r>
    </w:p>
  </w:footnote>
  <w:footnote w:id="5">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(EK) Nr. 469/2009 (2009. gada 6. maijs) par papildu aizsardzības sertifikātu zālēm (OV L 152, 16.6.2009., 1. lpp.).</w:t>
      </w:r>
    </w:p>
  </w:footnote>
  <w:footnote w:id="6">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(ES) 2017/1001 (2017. gada 14. jūnijs) par Eiropas Savienības preču zīmi (OV L 154, 16.6.2017., 1. lpp.).</w:t>
      </w:r>
    </w:p>
  </w:footnote>
  <w:footnote w:id="7">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(EK) Nr. 726/2004 (2004. gada 31. marts), ar ko nosaka cilvēkiem paredzēto un veterināro zāļu reģistrēšanas un uzraudzības Kopienas procedūras un izveido Eiropas Zāļu aģentūru (OV L 136, 30.4.2004., 1. lpp.).</w:t>
      </w:r>
    </w:p>
  </w:footnote>
  <w:footnote w:id="8">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(ES) 2019/6 (2018. gada 11. decembris) par veterinārajām zālēm un ar ko atceļ Direktīvu 2001/82/EK (OV L 4, 7.1.2019., 43. lpp.).</w:t>
      </w:r>
    </w:p>
  </w:footnote>
  <w:footnote w:id="9">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(EK) Nr. 1901/2006 (2006. gada 12. decembris) par pediatrijā lietojamām zālēm un par grozījumiem Regulā (EEK) Nr. 1768/92, Direktīvā 2001/20/EK, Direktīvā 2001/83/EK un Regulā (EK) Nr. 726/2004 (OV L 378, 27.12.2006., 1. lpp.).</w:t>
      </w:r>
    </w:p>
  </w:footnote>
  <w:footnote w:id="10">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(ES) Nr. 608/2013 (2013. gada 12. jūnijs) par muitas darbu intelektuālā īpašuma tiesību īstenošanā un ar ko atceļ Padomes Regulu (EK) Nr. 1383/2003.</w:t>
      </w:r>
    </w:p>
  </w:footnote>
  <w:footnote w:id="11">
    <w:p w:rsidR="005562F3" w:rsidRPr="00A44A6B" w:rsidRDefault="005562F3" w:rsidP="00A44A6B">
      <w:pPr>
        <w:pStyle w:val="FootnoteTextForceStyle"/>
        <w:rPr>
          <w:lang w:val="sv-SE"/>
        </w:rPr>
      </w:pPr>
      <w:r>
        <w:rPr>
          <w:vertAlign w:val="superscript"/>
        </w:rPr>
        <w:footnoteRef/>
      </w:r>
      <w:r w:rsidRPr="00A44A6B">
        <w:rPr>
          <w:lang w:val="sv-SE"/>
        </w:rPr>
        <w:tab/>
        <w:t>Iestāžu nolīgums starp Eiropas Parlamentu, Eiropas Savienības Padomi un Eiropas Komisiju par labāku likumdošanas procesu (OV L 123, 12.5.2016., 1. lpp.).</w:t>
      </w:r>
    </w:p>
  </w:footnote>
  <w:footnote w:id="12">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(ES) Nr. 182/2011 (2011. gada 16. februāris), ar ko nosaka normas un vispārīgus principus par dalībvalstu kontroles mehānismiem, kuri attiecas uz Komisijas īstenošanas pilnvaru izmantošanu (OV L 55, 28.2.2011., 13. lpp.).</w:t>
      </w:r>
    </w:p>
  </w:footnote>
  <w:footnote w:id="13">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w:t>
      </w:r>
    </w:p>
  </w:footnote>
  <w:footnote w:id="14">
    <w:p w:rsidR="005562F3" w:rsidRPr="00A44A6B" w:rsidRDefault="005562F3" w:rsidP="00A44A6B">
      <w:pPr>
        <w:pStyle w:val="FootnoteTextForceStyle"/>
        <w:rPr>
          <w:lang w:val="sv-SE"/>
        </w:rPr>
      </w:pPr>
      <w:r>
        <w:rPr>
          <w:vertAlign w:val="superscript"/>
        </w:rPr>
        <w:footnoteRef/>
      </w:r>
      <w:r w:rsidRPr="00A44A6B">
        <w:rPr>
          <w:lang w:val="sv-SE"/>
        </w:rPr>
        <w:tab/>
        <w:t>Konvencija par Eiropas patentu piešķiršanu (1973. gada 5. oktobris), pārskatīta 1991. gada 17. decembrī un 2000. gada 29. novembrī.</w:t>
      </w:r>
    </w:p>
  </w:footnote>
  <w:footnote w:id="15">
    <w:p w:rsidR="005562F3" w:rsidRPr="00A44A6B" w:rsidRDefault="005562F3" w:rsidP="00A44A6B">
      <w:pPr>
        <w:pStyle w:val="FootnoteTextForceStyle"/>
        <w:rPr>
          <w:lang w:val="sv-SE"/>
        </w:rPr>
      </w:pPr>
      <w:r>
        <w:rPr>
          <w:vertAlign w:val="superscript"/>
        </w:rPr>
        <w:footnoteRef/>
      </w:r>
      <w:r w:rsidRPr="00A44A6B">
        <w:rPr>
          <w:lang w:val="sv-SE"/>
        </w:rPr>
        <w:tab/>
        <w:t>Komisijas Deleģētā regula (ES) 2016/161 (2015. gada 2. oktobris), ar ko papildina Eiropas Parlamenta un Padomes Direktīvu 2001/83/EK, noteicot detalizētus noteikumus par drošuma pazīmēm uz cilvēkiem paredzētu zāļu iesaiņojuma (OV L 32, 9.2.2016., 1. lpp.).</w:t>
      </w:r>
    </w:p>
  </w:footnote>
  <w:footnote w:id="16">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Direktīva 2001/83/EK (2001. gada 6. novembris) par Kopienas kodeksu, kas attiecas uz cilvēkiem paredzētām zālēm (OV L 311, 28.11.2001., 67. lpp.).</w:t>
      </w:r>
    </w:p>
  </w:footnote>
  <w:footnote w:id="17">
    <w:p w:rsidR="005562F3" w:rsidRPr="00A44A6B" w:rsidRDefault="005562F3" w:rsidP="00A44A6B">
      <w:pPr>
        <w:pStyle w:val="FootnoteTextForceStyle"/>
        <w:rPr>
          <w:lang w:val="sv-SE"/>
        </w:rPr>
      </w:pPr>
      <w:r>
        <w:rPr>
          <w:vertAlign w:val="superscript"/>
        </w:rPr>
        <w:footnoteRef/>
      </w:r>
      <w:r w:rsidRPr="00A44A6B">
        <w:rPr>
          <w:lang w:val="sv-SE"/>
        </w:rPr>
        <w:tab/>
        <w:t>Padomes Regula Nr. 1, ar ko nosaka Eiropas Ekonomikas kopienā lietojamās valodas (OV 17, 6.10.1958., 385. lpp.).</w:t>
      </w:r>
    </w:p>
  </w:footnote>
  <w:footnote w:id="18">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par zāļu papildu aizsardzības sertifikātu [COM(2023) 231].</w:t>
      </w:r>
    </w:p>
  </w:footnote>
  <w:footnote w:id="19">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(EK) Nr. 1049/2001 (2001. gada 30. maijs) par publisku piekļuvi Eiropas Parlamenta, Padomes un Komisijas dokumentiem (OV L 145, 31.5.2001., 43. lpp.).</w:t>
      </w:r>
    </w:p>
  </w:footnote>
  <w:footnote w:id="20">
    <w:p w:rsidR="005562F3" w:rsidRPr="00A44A6B" w:rsidRDefault="005562F3" w:rsidP="00A44A6B">
      <w:pPr>
        <w:pStyle w:val="FootnoteTextForceStyle"/>
        <w:rPr>
          <w:lang w:val="sv-SE"/>
        </w:rPr>
      </w:pPr>
      <w:r>
        <w:rPr>
          <w:vertAlign w:val="superscript"/>
        </w:rPr>
        <w:footnoteRef/>
      </w:r>
      <w:r w:rsidRPr="00A44A6B">
        <w:rPr>
          <w:lang w:val="sv-SE"/>
        </w:rPr>
        <w:tab/>
        <w:t>Eiropas Parlamenta un Padomes Regula (EK) Nr. 45/2001 (2000. gada 18. decembris) par fizisku personu aizsardzību attiecībā uz personas datu apstrādi Kopienas iestādēs un struktūrās un par šādu datu brīvu apriti (OV L 8, 12.1.2001., 1. lpp.).</w:t>
      </w:r>
    </w:p>
  </w:footnote>
  <w:footnote w:id="21">
    <w:p w:rsidR="005562F3" w:rsidRPr="00A44A6B" w:rsidRDefault="005562F3" w:rsidP="00A44A6B">
      <w:pPr>
        <w:pStyle w:val="FootnoteTextForceStyle"/>
        <w:rPr>
          <w:lang w:val="sv-SE"/>
        </w:rPr>
      </w:pPr>
      <w:r>
        <w:rPr>
          <w:vertAlign w:val="superscript"/>
        </w:rPr>
        <w:footnoteRef/>
      </w:r>
      <w:r w:rsidRPr="00A44A6B">
        <w:rPr>
          <w:lang w:val="sv-SE"/>
        </w:rPr>
        <w:tab/>
        <w:t>Padomes Regula (EEK, Euratom, EOTK) Nr. 259/68 (1968. gada 29. februāris), ar ko nosaka Eiropas Komisijas Civildienesta noteikumus un Pārējo darbinieku nodarbināšanas kārtību, kā arī paredz īpašus Komisijas ierēdņiem uz laiku piemērojamus pasākumus (OV L 56, 4.3.1968., 1.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9/2024"/>
    <w:docVar w:name="dvlangue" w:val="LV"/>
    <w:docVar w:name="dvnumam" w:val="73"/>
    <w:docVar w:name="dvpe" w:val="753.703"/>
    <w:docVar w:name="dvrapporteur" w:val="Referents: "/>
    <w:docVar w:name="dvstar" w:val="***I"/>
    <w:docVar w:name="dvtitre" w:val="Eiropas Parlamenta 2024. gada XX. XXX normatīvā rezolūcija par priekšlikumu Eiropas Parlamenta un Padomes regulai par zāļu vienoto papildu aizsardzības sertifikātu un ar ko groza Regulu (ES) 2017/1001, Regulu (EK) Nr. 1901/2006, kā arī Regulu (ES) Nr. 608/2013(COM(2023)0222 – C9-0148/2023 – 2023/0127(COD))"/>
  </w:docVars>
  <w:rsids>
    <w:rsidRoot w:val="00F91C82"/>
    <w:rsid w:val="00002272"/>
    <w:rsid w:val="00064002"/>
    <w:rsid w:val="000677B9"/>
    <w:rsid w:val="000831BA"/>
    <w:rsid w:val="000A42CC"/>
    <w:rsid w:val="000E7DD9"/>
    <w:rsid w:val="0010095E"/>
    <w:rsid w:val="00125B37"/>
    <w:rsid w:val="00187494"/>
    <w:rsid w:val="001D1717"/>
    <w:rsid w:val="001F32AE"/>
    <w:rsid w:val="002767FF"/>
    <w:rsid w:val="002B18FE"/>
    <w:rsid w:val="002B5493"/>
    <w:rsid w:val="00343214"/>
    <w:rsid w:val="00361C00"/>
    <w:rsid w:val="00395FA1"/>
    <w:rsid w:val="003E15D4"/>
    <w:rsid w:val="00411CCE"/>
    <w:rsid w:val="0041666E"/>
    <w:rsid w:val="00421060"/>
    <w:rsid w:val="00471C19"/>
    <w:rsid w:val="00485663"/>
    <w:rsid w:val="004867E3"/>
    <w:rsid w:val="00487FAE"/>
    <w:rsid w:val="00494A28"/>
    <w:rsid w:val="004C0004"/>
    <w:rsid w:val="004C5D52"/>
    <w:rsid w:val="0050519A"/>
    <w:rsid w:val="005072A1"/>
    <w:rsid w:val="00514517"/>
    <w:rsid w:val="00535CD6"/>
    <w:rsid w:val="00545827"/>
    <w:rsid w:val="005562F3"/>
    <w:rsid w:val="00560270"/>
    <w:rsid w:val="005C2568"/>
    <w:rsid w:val="005F20B2"/>
    <w:rsid w:val="006037C0"/>
    <w:rsid w:val="006631B6"/>
    <w:rsid w:val="00680577"/>
    <w:rsid w:val="006F74FA"/>
    <w:rsid w:val="00731ADD"/>
    <w:rsid w:val="00734777"/>
    <w:rsid w:val="00747932"/>
    <w:rsid w:val="00751A4A"/>
    <w:rsid w:val="00756632"/>
    <w:rsid w:val="00762C74"/>
    <w:rsid w:val="00786EC0"/>
    <w:rsid w:val="007D1690"/>
    <w:rsid w:val="007E22AD"/>
    <w:rsid w:val="00812F0B"/>
    <w:rsid w:val="00817416"/>
    <w:rsid w:val="00832CFF"/>
    <w:rsid w:val="00842779"/>
    <w:rsid w:val="00865F67"/>
    <w:rsid w:val="00881A7B"/>
    <w:rsid w:val="008840E5"/>
    <w:rsid w:val="00887B3E"/>
    <w:rsid w:val="008C2AC6"/>
    <w:rsid w:val="00930C23"/>
    <w:rsid w:val="0093193B"/>
    <w:rsid w:val="009509D8"/>
    <w:rsid w:val="00950B64"/>
    <w:rsid w:val="00981893"/>
    <w:rsid w:val="00A1687D"/>
    <w:rsid w:val="00A43E52"/>
    <w:rsid w:val="00A44A6B"/>
    <w:rsid w:val="00A4678D"/>
    <w:rsid w:val="00A778C7"/>
    <w:rsid w:val="00A81F67"/>
    <w:rsid w:val="00AB441E"/>
    <w:rsid w:val="00AB6293"/>
    <w:rsid w:val="00AE0928"/>
    <w:rsid w:val="00AF3B82"/>
    <w:rsid w:val="00B12E95"/>
    <w:rsid w:val="00B22876"/>
    <w:rsid w:val="00B558F0"/>
    <w:rsid w:val="00BB13C4"/>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F0A18"/>
    <w:rsid w:val="00E365E1"/>
    <w:rsid w:val="00E820A4"/>
    <w:rsid w:val="00EB006A"/>
    <w:rsid w:val="00EB4772"/>
    <w:rsid w:val="00ED169E"/>
    <w:rsid w:val="00ED4235"/>
    <w:rsid w:val="00F04346"/>
    <w:rsid w:val="00F075DC"/>
    <w:rsid w:val="00F149E9"/>
    <w:rsid w:val="00F400EE"/>
    <w:rsid w:val="00F5134D"/>
    <w:rsid w:val="00F74202"/>
    <w:rsid w:val="00F87713"/>
    <w:rsid w:val="00F91C8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CF33D"/>
  <w15:chartTrackingRefBased/>
  <w15:docId w15:val="{7DC2BFBA-B547-4C42-820E-CFC2CEF2F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81F67"/>
    <w:rPr>
      <w:b/>
      <w:kern w:val="28"/>
      <w:sz w:val="28"/>
      <w:lang w:val="fr-FR" w:eastAsia="fr-FR"/>
    </w:rPr>
  </w:style>
  <w:style w:type="character" w:customStyle="1" w:styleId="Heading2Char">
    <w:name w:val="Heading 2 Char"/>
    <w:basedOn w:val="DefaultParagraphFont"/>
    <w:link w:val="Heading2"/>
    <w:semiHidden/>
    <w:rsid w:val="00A81F67"/>
    <w:rPr>
      <w:sz w:val="24"/>
      <w:lang w:val="fr-FR" w:eastAsia="fr-FR"/>
    </w:rPr>
  </w:style>
  <w:style w:type="character" w:customStyle="1" w:styleId="Heading3Char">
    <w:name w:val="Heading 3 Char"/>
    <w:basedOn w:val="DefaultParagraphFont"/>
    <w:link w:val="Heading3"/>
    <w:semiHidden/>
    <w:rsid w:val="00A81F67"/>
    <w:rPr>
      <w:rFonts w:ascii="Arial" w:hAnsi="Arial"/>
      <w:sz w:val="24"/>
      <w:lang w:val="fr-FR" w:eastAsia="fr-FR"/>
    </w:rPr>
  </w:style>
  <w:style w:type="character" w:customStyle="1" w:styleId="Heading4Char">
    <w:name w:val="Heading 4 Char"/>
    <w:basedOn w:val="DefaultParagraphFont"/>
    <w:link w:val="Heading4"/>
    <w:semiHidden/>
    <w:rsid w:val="00A81F67"/>
    <w:rPr>
      <w:sz w:val="24"/>
      <w:lang w:val="en-US" w:eastAsia="fr-FR"/>
    </w:rPr>
  </w:style>
  <w:style w:type="character" w:customStyle="1" w:styleId="Heading5Char">
    <w:name w:val="Heading 5 Char"/>
    <w:basedOn w:val="DefaultParagraphFont"/>
    <w:link w:val="Heading5"/>
    <w:semiHidden/>
    <w:rsid w:val="00A81F67"/>
    <w:rPr>
      <w:sz w:val="24"/>
      <w:lang w:val="en-US" w:eastAsia="fr-FR"/>
    </w:rPr>
  </w:style>
  <w:style w:type="character" w:customStyle="1" w:styleId="Heading6Char">
    <w:name w:val="Heading 6 Char"/>
    <w:basedOn w:val="DefaultParagraphFont"/>
    <w:link w:val="Heading6"/>
    <w:semiHidden/>
    <w:rsid w:val="00A81F67"/>
    <w:rPr>
      <w:i/>
      <w:sz w:val="22"/>
      <w:lang w:val="lv-LV"/>
    </w:rPr>
  </w:style>
  <w:style w:type="character" w:customStyle="1" w:styleId="Heading7Char">
    <w:name w:val="Heading 7 Char"/>
    <w:basedOn w:val="DefaultParagraphFont"/>
    <w:link w:val="Heading7"/>
    <w:semiHidden/>
    <w:rsid w:val="00A81F67"/>
    <w:rPr>
      <w:rFonts w:ascii="Arial" w:hAnsi="Arial"/>
      <w:sz w:val="24"/>
      <w:lang w:val="lv-LV"/>
    </w:rPr>
  </w:style>
  <w:style w:type="character" w:customStyle="1" w:styleId="Heading8Char">
    <w:name w:val="Heading 8 Char"/>
    <w:basedOn w:val="DefaultParagraphFont"/>
    <w:link w:val="Heading8"/>
    <w:semiHidden/>
    <w:rsid w:val="00A81F67"/>
    <w:rPr>
      <w:rFonts w:ascii="Arial" w:hAnsi="Arial"/>
      <w:i/>
      <w:sz w:val="24"/>
      <w:lang w:val="lv-LV"/>
    </w:rPr>
  </w:style>
  <w:style w:type="character" w:customStyle="1" w:styleId="Heading9Char">
    <w:name w:val="Heading 9 Char"/>
    <w:basedOn w:val="DefaultParagraphFont"/>
    <w:link w:val="Heading9"/>
    <w:semiHidden/>
    <w:rsid w:val="00A81F67"/>
    <w:rPr>
      <w:rFonts w:ascii="Arial" w:hAnsi="Arial"/>
      <w:b/>
      <w:i/>
      <w:sz w:val="18"/>
      <w:lang w:val="lv-LV"/>
    </w:rPr>
  </w:style>
  <w:style w:type="paragraph" w:styleId="TOCHeading">
    <w:name w:val="TOC Heading"/>
    <w:basedOn w:val="Normal"/>
    <w:next w:val="Normal"/>
    <w:unhideWhenUsed/>
    <w:qFormat/>
    <w:rsid w:val="00A81F67"/>
    <w:pPr>
      <w:widowControl/>
      <w:spacing w:after="240"/>
    </w:pPr>
    <w:rPr>
      <w:lang w:val="en-GB"/>
    </w:rPr>
  </w:style>
  <w:style w:type="paragraph" w:customStyle="1" w:styleId="EPFooter2">
    <w:name w:val="EPFooter2"/>
    <w:basedOn w:val="Normal"/>
    <w:next w:val="Normal"/>
    <w:rsid w:val="00A81F6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81F67"/>
    <w:pPr>
      <w:keepNext/>
      <w:spacing w:after="240"/>
      <w:jc w:val="right"/>
    </w:pPr>
    <w:rPr>
      <w:rFonts w:ascii="Arial" w:hAnsi="Arial"/>
      <w:b/>
    </w:rPr>
  </w:style>
  <w:style w:type="paragraph" w:customStyle="1" w:styleId="Normal6a">
    <w:name w:val="Normal6a"/>
    <w:basedOn w:val="Normal"/>
    <w:rsid w:val="00A81F67"/>
    <w:pPr>
      <w:spacing w:after="120"/>
    </w:pPr>
  </w:style>
  <w:style w:type="paragraph" w:customStyle="1" w:styleId="PageHeading">
    <w:name w:val="PageHeading"/>
    <w:basedOn w:val="Normal"/>
    <w:rsid w:val="00A81F67"/>
    <w:pPr>
      <w:keepNext/>
      <w:spacing w:after="480"/>
      <w:jc w:val="center"/>
    </w:pPr>
    <w:rPr>
      <w:rFonts w:ascii="Arial" w:hAnsi="Arial" w:cs="Arial"/>
      <w:b/>
    </w:rPr>
  </w:style>
  <w:style w:type="paragraph" w:customStyle="1" w:styleId="NormalBold">
    <w:name w:val="NormalBold"/>
    <w:basedOn w:val="Normal"/>
    <w:link w:val="NormalBoldChar"/>
    <w:rsid w:val="00A81F67"/>
    <w:rPr>
      <w:b/>
    </w:rPr>
  </w:style>
  <w:style w:type="paragraph" w:customStyle="1" w:styleId="NormalBold12a">
    <w:name w:val="NormalBold12a"/>
    <w:basedOn w:val="Normal"/>
    <w:rsid w:val="00A81F67"/>
    <w:pPr>
      <w:spacing w:after="240"/>
    </w:pPr>
    <w:rPr>
      <w:b/>
    </w:rPr>
  </w:style>
  <w:style w:type="paragraph" w:customStyle="1" w:styleId="AmJustText">
    <w:name w:val="AmJustText"/>
    <w:basedOn w:val="Normal"/>
    <w:rsid w:val="00A81F67"/>
    <w:pPr>
      <w:spacing w:after="240"/>
    </w:pPr>
    <w:rPr>
      <w:i/>
    </w:rPr>
  </w:style>
  <w:style w:type="paragraph" w:customStyle="1" w:styleId="NormalHanging12a">
    <w:name w:val="NormalHanging12a"/>
    <w:basedOn w:val="Normal"/>
    <w:rsid w:val="00A81F67"/>
    <w:pPr>
      <w:spacing w:after="240"/>
      <w:ind w:left="567" w:hanging="567"/>
    </w:pPr>
  </w:style>
  <w:style w:type="paragraph" w:customStyle="1" w:styleId="CoverNormal24a">
    <w:name w:val="CoverNormal24a"/>
    <w:basedOn w:val="Normal"/>
    <w:rsid w:val="00A81F67"/>
    <w:pPr>
      <w:spacing w:after="480"/>
      <w:ind w:left="1417"/>
    </w:pPr>
  </w:style>
  <w:style w:type="paragraph" w:customStyle="1" w:styleId="CoverNormal">
    <w:name w:val="CoverNormal"/>
    <w:basedOn w:val="Normal"/>
    <w:rsid w:val="00A81F67"/>
    <w:pPr>
      <w:ind w:left="1418"/>
    </w:pPr>
  </w:style>
  <w:style w:type="paragraph" w:customStyle="1" w:styleId="AmCrossRef">
    <w:name w:val="AmCrossRef"/>
    <w:basedOn w:val="Normal"/>
    <w:rsid w:val="00A81F67"/>
    <w:pPr>
      <w:spacing w:before="240" w:after="240"/>
      <w:jc w:val="center"/>
    </w:pPr>
    <w:rPr>
      <w:i/>
    </w:rPr>
  </w:style>
  <w:style w:type="paragraph" w:customStyle="1" w:styleId="AmJustTitle">
    <w:name w:val="AmJustTitle"/>
    <w:basedOn w:val="Normal"/>
    <w:next w:val="AmJustText"/>
    <w:rsid w:val="00A81F67"/>
    <w:pPr>
      <w:keepNext/>
      <w:spacing w:before="240" w:after="240"/>
      <w:jc w:val="center"/>
    </w:pPr>
    <w:rPr>
      <w:i/>
    </w:rPr>
  </w:style>
  <w:style w:type="paragraph" w:customStyle="1" w:styleId="CoverReference">
    <w:name w:val="CoverReference"/>
    <w:basedOn w:val="Normal"/>
    <w:rsid w:val="00A81F67"/>
    <w:pPr>
      <w:spacing w:before="1080"/>
      <w:jc w:val="right"/>
    </w:pPr>
    <w:rPr>
      <w:rFonts w:ascii="Arial" w:hAnsi="Arial" w:cs="Arial"/>
      <w:b/>
    </w:rPr>
  </w:style>
  <w:style w:type="paragraph" w:customStyle="1" w:styleId="CoverDocType">
    <w:name w:val="CoverDocType"/>
    <w:basedOn w:val="Normal"/>
    <w:rsid w:val="00A81F67"/>
    <w:pPr>
      <w:ind w:left="1418"/>
    </w:pPr>
    <w:rPr>
      <w:rFonts w:ascii="Arial" w:hAnsi="Arial"/>
      <w:b/>
      <w:sz w:val="48"/>
    </w:rPr>
  </w:style>
  <w:style w:type="paragraph" w:customStyle="1" w:styleId="CoverDocType24a">
    <w:name w:val="CoverDocType24a"/>
    <w:basedOn w:val="Normal"/>
    <w:rsid w:val="00A81F67"/>
    <w:pPr>
      <w:spacing w:after="480"/>
      <w:ind w:left="1418"/>
    </w:pPr>
    <w:rPr>
      <w:rFonts w:ascii="Arial" w:hAnsi="Arial"/>
      <w:b/>
      <w:sz w:val="48"/>
    </w:rPr>
  </w:style>
  <w:style w:type="paragraph" w:customStyle="1" w:styleId="CoverDate">
    <w:name w:val="CoverDate"/>
    <w:basedOn w:val="Normal"/>
    <w:rsid w:val="00A81F67"/>
    <w:pPr>
      <w:spacing w:before="240" w:after="1200"/>
    </w:pPr>
  </w:style>
  <w:style w:type="paragraph" w:styleId="Header">
    <w:name w:val="header"/>
    <w:basedOn w:val="Normal"/>
    <w:link w:val="HeaderChar"/>
    <w:rsid w:val="00A81F67"/>
    <w:pPr>
      <w:tabs>
        <w:tab w:val="center" w:pos="4513"/>
        <w:tab w:val="right" w:pos="9026"/>
      </w:tabs>
    </w:pPr>
  </w:style>
  <w:style w:type="character" w:customStyle="1" w:styleId="HeaderChar">
    <w:name w:val="Header Char"/>
    <w:basedOn w:val="DefaultParagraphFont"/>
    <w:link w:val="Header"/>
    <w:rsid w:val="00A81F67"/>
    <w:rPr>
      <w:sz w:val="24"/>
      <w:lang w:val="lv-LV"/>
    </w:rPr>
  </w:style>
  <w:style w:type="paragraph" w:customStyle="1" w:styleId="AmOrLang">
    <w:name w:val="AmOrLang"/>
    <w:basedOn w:val="Normal"/>
    <w:rsid w:val="00A81F67"/>
    <w:pPr>
      <w:spacing w:before="240" w:after="240"/>
      <w:jc w:val="right"/>
    </w:pPr>
  </w:style>
  <w:style w:type="paragraph" w:customStyle="1" w:styleId="AmColumnHeading">
    <w:name w:val="AmColumnHeading"/>
    <w:basedOn w:val="Normal"/>
    <w:rsid w:val="00A81F67"/>
    <w:pPr>
      <w:spacing w:after="240"/>
      <w:jc w:val="center"/>
    </w:pPr>
    <w:rPr>
      <w:i/>
    </w:rPr>
  </w:style>
  <w:style w:type="paragraph" w:customStyle="1" w:styleId="AmNumberTabs">
    <w:name w:val="AmNumberTabs"/>
    <w:basedOn w:val="Normal"/>
    <w:rsid w:val="00A81F6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81F67"/>
    <w:pPr>
      <w:spacing w:before="240"/>
    </w:pPr>
    <w:rPr>
      <w:b/>
    </w:rPr>
  </w:style>
  <w:style w:type="paragraph" w:customStyle="1" w:styleId="EPBody">
    <w:name w:val="EPBody"/>
    <w:basedOn w:val="Normal"/>
    <w:rsid w:val="00A81F67"/>
    <w:pPr>
      <w:jc w:val="center"/>
    </w:pPr>
    <w:rPr>
      <w:rFonts w:ascii="Arial" w:hAnsi="Arial" w:cs="Arial"/>
      <w:i/>
      <w:sz w:val="22"/>
      <w:szCs w:val="22"/>
    </w:rPr>
  </w:style>
  <w:style w:type="paragraph" w:customStyle="1" w:styleId="EPFooter">
    <w:name w:val="EPFooter"/>
    <w:basedOn w:val="Normal"/>
    <w:rsid w:val="00A81F67"/>
    <w:pPr>
      <w:tabs>
        <w:tab w:val="center" w:pos="4535"/>
        <w:tab w:val="right" w:pos="9071"/>
      </w:tabs>
      <w:spacing w:before="240" w:after="240"/>
    </w:pPr>
    <w:rPr>
      <w:color w:val="010000"/>
      <w:sz w:val="22"/>
    </w:rPr>
  </w:style>
  <w:style w:type="paragraph" w:customStyle="1" w:styleId="EPComma">
    <w:name w:val="EPComma"/>
    <w:basedOn w:val="Normal"/>
    <w:rsid w:val="00A81F67"/>
    <w:pPr>
      <w:spacing w:before="480" w:after="240"/>
    </w:pPr>
  </w:style>
  <w:style w:type="paragraph" w:customStyle="1" w:styleId="Lgendesigne">
    <w:name w:val="Légende signe"/>
    <w:basedOn w:val="Normal"/>
    <w:rsid w:val="00A81F67"/>
    <w:pPr>
      <w:tabs>
        <w:tab w:val="right" w:pos="454"/>
        <w:tab w:val="left" w:pos="737"/>
      </w:tabs>
      <w:ind w:left="737" w:hanging="737"/>
    </w:pPr>
    <w:rPr>
      <w:snapToGrid w:val="0"/>
      <w:sz w:val="18"/>
      <w:lang w:eastAsia="en-US"/>
    </w:rPr>
  </w:style>
  <w:style w:type="paragraph" w:customStyle="1" w:styleId="Lgendetitre">
    <w:name w:val="Légende titre"/>
    <w:basedOn w:val="Normal"/>
    <w:rsid w:val="00A81F67"/>
    <w:pPr>
      <w:spacing w:before="240" w:after="240"/>
    </w:pPr>
    <w:rPr>
      <w:b/>
      <w:i/>
      <w:snapToGrid w:val="0"/>
      <w:lang w:eastAsia="en-US"/>
    </w:rPr>
  </w:style>
  <w:style w:type="paragraph" w:customStyle="1" w:styleId="Lgendestandard">
    <w:name w:val="Légende standard"/>
    <w:basedOn w:val="Normal"/>
    <w:rsid w:val="00A81F67"/>
    <w:rPr>
      <w:sz w:val="18"/>
    </w:rPr>
  </w:style>
  <w:style w:type="paragraph" w:customStyle="1" w:styleId="msonormal0">
    <w:name w:val="msonormal"/>
    <w:basedOn w:val="Normal"/>
    <w:rsid w:val="00A81F67"/>
    <w:pPr>
      <w:widowControl/>
      <w:spacing w:before="100" w:beforeAutospacing="1" w:after="100" w:afterAutospacing="1"/>
    </w:pPr>
    <w:rPr>
      <w:szCs w:val="24"/>
    </w:rPr>
  </w:style>
  <w:style w:type="paragraph" w:styleId="Footer">
    <w:name w:val="footer"/>
    <w:link w:val="FooterChar"/>
    <w:unhideWhenUsed/>
    <w:rsid w:val="00A81F67"/>
    <w:pPr>
      <w:tabs>
        <w:tab w:val="center" w:pos="4536"/>
        <w:tab w:val="right" w:pos="9072"/>
      </w:tabs>
      <w:spacing w:before="240" w:after="240" w:line="220" w:lineRule="auto"/>
    </w:pPr>
    <w:rPr>
      <w:sz w:val="22"/>
      <w:lang w:val="lv-LV"/>
    </w:rPr>
  </w:style>
  <w:style w:type="character" w:customStyle="1" w:styleId="FooterChar">
    <w:name w:val="Footer Char"/>
    <w:basedOn w:val="DefaultParagraphFont"/>
    <w:link w:val="Footer"/>
    <w:rsid w:val="00A81F67"/>
    <w:rPr>
      <w:sz w:val="22"/>
      <w:lang w:val="lv-LV"/>
    </w:rPr>
  </w:style>
  <w:style w:type="character" w:customStyle="1" w:styleId="Normal12Char">
    <w:name w:val="Normal12 Char"/>
    <w:basedOn w:val="DefaultParagraphFont"/>
    <w:link w:val="Normal12"/>
    <w:locked/>
    <w:rsid w:val="00A81F67"/>
    <w:rPr>
      <w:noProof/>
      <w:sz w:val="24"/>
    </w:rPr>
  </w:style>
  <w:style w:type="paragraph" w:customStyle="1" w:styleId="Normal12">
    <w:name w:val="Normal12"/>
    <w:basedOn w:val="Normal"/>
    <w:link w:val="Normal12Char"/>
    <w:rsid w:val="00A81F67"/>
    <w:pPr>
      <w:spacing w:after="240"/>
    </w:pPr>
    <w:rPr>
      <w:noProof/>
      <w:lang w:val="en-GB"/>
    </w:rPr>
  </w:style>
  <w:style w:type="paragraph" w:customStyle="1" w:styleId="CommitteeAM">
    <w:name w:val="CommitteeAM"/>
    <w:basedOn w:val="Normal"/>
    <w:rsid w:val="00A81F67"/>
    <w:pPr>
      <w:spacing w:before="240" w:after="600"/>
      <w:jc w:val="center"/>
    </w:pPr>
    <w:rPr>
      <w:i/>
    </w:rPr>
  </w:style>
  <w:style w:type="paragraph" w:customStyle="1" w:styleId="ZDateAM">
    <w:name w:val="ZDateAM"/>
    <w:basedOn w:val="Normal"/>
    <w:rsid w:val="00A81F67"/>
    <w:pPr>
      <w:tabs>
        <w:tab w:val="right" w:pos="9356"/>
      </w:tabs>
      <w:spacing w:after="480"/>
    </w:pPr>
    <w:rPr>
      <w:noProof/>
    </w:rPr>
  </w:style>
  <w:style w:type="paragraph" w:customStyle="1" w:styleId="ProjRap">
    <w:name w:val="ProjRap"/>
    <w:basedOn w:val="Normal"/>
    <w:rsid w:val="00A81F67"/>
    <w:pPr>
      <w:tabs>
        <w:tab w:val="right" w:pos="9356"/>
      </w:tabs>
    </w:pPr>
    <w:rPr>
      <w:b/>
      <w:noProof/>
    </w:rPr>
  </w:style>
  <w:style w:type="paragraph" w:customStyle="1" w:styleId="PELeft">
    <w:name w:val="PELeft"/>
    <w:basedOn w:val="Normal"/>
    <w:rsid w:val="00A81F67"/>
    <w:pPr>
      <w:spacing w:before="40" w:after="40"/>
    </w:pPr>
    <w:rPr>
      <w:rFonts w:ascii="Arial" w:hAnsi="Arial" w:cs="Arial"/>
      <w:sz w:val="22"/>
      <w:szCs w:val="22"/>
    </w:rPr>
  </w:style>
  <w:style w:type="paragraph" w:customStyle="1" w:styleId="PERight">
    <w:name w:val="PERight"/>
    <w:basedOn w:val="Normal"/>
    <w:next w:val="Normal"/>
    <w:rsid w:val="00A81F67"/>
    <w:pPr>
      <w:jc w:val="right"/>
    </w:pPr>
    <w:rPr>
      <w:rFonts w:ascii="Arial" w:hAnsi="Arial" w:cs="Arial"/>
      <w:sz w:val="22"/>
      <w:szCs w:val="22"/>
    </w:rPr>
  </w:style>
  <w:style w:type="character" w:customStyle="1" w:styleId="Normal6Char">
    <w:name w:val="Normal6 Char"/>
    <w:basedOn w:val="DefaultParagraphFont"/>
    <w:link w:val="Normal6"/>
    <w:locked/>
    <w:rsid w:val="00A81F67"/>
    <w:rPr>
      <w:sz w:val="24"/>
      <w:lang w:val="lv-LV"/>
    </w:rPr>
  </w:style>
  <w:style w:type="paragraph" w:customStyle="1" w:styleId="Normal6">
    <w:name w:val="Normal6"/>
    <w:basedOn w:val="Normal"/>
    <w:link w:val="Normal6Char"/>
    <w:rsid w:val="00A81F67"/>
    <w:pPr>
      <w:spacing w:after="120"/>
    </w:pPr>
  </w:style>
  <w:style w:type="character" w:customStyle="1" w:styleId="NormalBoldChar">
    <w:name w:val="NormalBold Char"/>
    <w:basedOn w:val="DefaultParagraphFont"/>
    <w:link w:val="NormalBold"/>
    <w:locked/>
    <w:rsid w:val="00A81F67"/>
    <w:rPr>
      <w:b/>
      <w:sz w:val="24"/>
      <w:lang w:val="lv-LV"/>
    </w:rPr>
  </w:style>
  <w:style w:type="paragraph" w:customStyle="1" w:styleId="Normal12Italic">
    <w:name w:val="Normal12Italic"/>
    <w:basedOn w:val="Normal12"/>
    <w:rsid w:val="00A81F67"/>
    <w:rPr>
      <w:i/>
    </w:rPr>
  </w:style>
  <w:style w:type="paragraph" w:customStyle="1" w:styleId="JustificationTitle">
    <w:name w:val="JustificationTitle"/>
    <w:basedOn w:val="Normal"/>
    <w:next w:val="Normal12"/>
    <w:rsid w:val="00A81F67"/>
    <w:pPr>
      <w:keepNext/>
      <w:spacing w:before="240" w:after="240"/>
      <w:jc w:val="center"/>
    </w:pPr>
    <w:rPr>
      <w:i/>
      <w:noProof/>
    </w:rPr>
  </w:style>
  <w:style w:type="paragraph" w:customStyle="1" w:styleId="Olang">
    <w:name w:val="Olang"/>
    <w:basedOn w:val="Normal"/>
    <w:rsid w:val="00A81F67"/>
    <w:pPr>
      <w:spacing w:before="240" w:after="240"/>
      <w:jc w:val="right"/>
    </w:pPr>
    <w:rPr>
      <w:noProof/>
      <w:szCs w:val="24"/>
    </w:rPr>
  </w:style>
  <w:style w:type="paragraph" w:customStyle="1" w:styleId="ColumnHeading">
    <w:name w:val="ColumnHeading"/>
    <w:basedOn w:val="Normal"/>
    <w:rsid w:val="00A81F67"/>
    <w:pPr>
      <w:spacing w:after="240"/>
      <w:jc w:val="center"/>
    </w:pPr>
    <w:rPr>
      <w:i/>
    </w:rPr>
  </w:style>
  <w:style w:type="paragraph" w:customStyle="1" w:styleId="AMNumberTabs0">
    <w:name w:val="AMNumberTabs"/>
    <w:basedOn w:val="Normal"/>
    <w:rsid w:val="00A81F6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81F67"/>
    <w:pPr>
      <w:spacing w:before="240"/>
      <w:jc w:val="center"/>
    </w:pPr>
    <w:rPr>
      <w:i/>
    </w:rPr>
  </w:style>
  <w:style w:type="paragraph" w:customStyle="1" w:styleId="Footer2">
    <w:name w:val="Footer2"/>
    <w:basedOn w:val="Normal12"/>
    <w:rsid w:val="00A81F67"/>
    <w:pPr>
      <w:tabs>
        <w:tab w:val="center" w:pos="4535"/>
        <w:tab w:val="right" w:pos="9923"/>
      </w:tabs>
      <w:spacing w:line="480" w:lineRule="auto"/>
      <w:ind w:left="-851"/>
    </w:pPr>
    <w:rPr>
      <w:rFonts w:ascii="Arial" w:cs="Arial"/>
      <w:b/>
      <w:sz w:val="48"/>
    </w:rPr>
  </w:style>
  <w:style w:type="character" w:customStyle="1" w:styleId="Footer2Middle">
    <w:name w:val="Footer2Middle"/>
    <w:rsid w:val="00A81F67"/>
    <w:rPr>
      <w:rFonts w:ascii="Arial" w:hAnsi="Arial" w:cs="Arial" w:hint="default"/>
      <w:b w:val="0"/>
      <w:bCs w:val="0"/>
      <w:i/>
      <w:iCs w:val="0"/>
      <w:color w:val="C0C0C0"/>
      <w:sz w:val="22"/>
    </w:rPr>
  </w:style>
  <w:style w:type="paragraph" w:customStyle="1" w:styleId="EntPE">
    <w:name w:val="EntPE"/>
    <w:basedOn w:val="Normal12"/>
    <w:rsid w:val="00A81F67"/>
    <w:pPr>
      <w:jc w:val="center"/>
    </w:pPr>
    <w:rPr>
      <w:noProof w:val="0"/>
      <w:sz w:val="56"/>
    </w:rPr>
  </w:style>
  <w:style w:type="paragraph" w:styleId="BalloonText">
    <w:name w:val="Balloon Text"/>
    <w:basedOn w:val="Normal"/>
    <w:link w:val="BalloonTextChar"/>
    <w:unhideWhenUsed/>
    <w:rsid w:val="00A81F67"/>
    <w:rPr>
      <w:rFonts w:ascii="Segoe UI" w:hAnsi="Segoe UI" w:cs="Segoe UI"/>
      <w:sz w:val="18"/>
      <w:szCs w:val="18"/>
    </w:rPr>
  </w:style>
  <w:style w:type="character" w:customStyle="1" w:styleId="BalloonTextChar">
    <w:name w:val="Balloon Text Char"/>
    <w:basedOn w:val="DefaultParagraphFont"/>
    <w:link w:val="BalloonText"/>
    <w:rsid w:val="00A81F67"/>
    <w:rPr>
      <w:rFonts w:ascii="Segoe UI" w:hAnsi="Segoe UI" w:cs="Segoe UI"/>
      <w:sz w:val="18"/>
      <w:szCs w:val="18"/>
      <w:lang w:val="lv-LV"/>
    </w:rPr>
  </w:style>
  <w:style w:type="character" w:styleId="CommentReference">
    <w:name w:val="annotation reference"/>
    <w:basedOn w:val="DefaultParagraphFont"/>
    <w:rsid w:val="00A81F67"/>
    <w:rPr>
      <w:sz w:val="16"/>
      <w:szCs w:val="16"/>
    </w:rPr>
  </w:style>
  <w:style w:type="paragraph" w:styleId="CommentText">
    <w:name w:val="annotation text"/>
    <w:basedOn w:val="Normal"/>
    <w:link w:val="CommentTextChar"/>
    <w:qFormat/>
    <w:rsid w:val="00A81F67"/>
    <w:rPr>
      <w:sz w:val="20"/>
    </w:rPr>
  </w:style>
  <w:style w:type="character" w:customStyle="1" w:styleId="CommentTextChar">
    <w:name w:val="Comment Text Char"/>
    <w:basedOn w:val="DefaultParagraphFont"/>
    <w:link w:val="CommentText"/>
    <w:rsid w:val="00A81F67"/>
    <w:rPr>
      <w:lang w:val="lv-LV"/>
    </w:rPr>
  </w:style>
  <w:style w:type="paragraph" w:styleId="CommentSubject">
    <w:name w:val="annotation subject"/>
    <w:basedOn w:val="CommentText"/>
    <w:next w:val="CommentText"/>
    <w:link w:val="CommentSubjectChar"/>
    <w:unhideWhenUsed/>
    <w:rsid w:val="00A81F67"/>
    <w:rPr>
      <w:b/>
      <w:bCs/>
    </w:rPr>
  </w:style>
  <w:style w:type="character" w:customStyle="1" w:styleId="CommentSubjectChar">
    <w:name w:val="Comment Subject Char"/>
    <w:basedOn w:val="CommentTextChar"/>
    <w:link w:val="CommentSubject"/>
    <w:rsid w:val="00A81F67"/>
    <w:rPr>
      <w:b/>
      <w:bCs/>
      <w:lang w:val="lv-LV"/>
    </w:rPr>
  </w:style>
  <w:style w:type="character" w:customStyle="1" w:styleId="epname0">
    <w:name w:val="ep_name"/>
    <w:basedOn w:val="DefaultParagraphFont"/>
    <w:rsid w:val="00A81F67"/>
  </w:style>
  <w:style w:type="paragraph" w:customStyle="1" w:styleId="Normal12a">
    <w:name w:val="Normal12a"/>
    <w:basedOn w:val="Normal"/>
    <w:rsid w:val="00A81F67"/>
    <w:pPr>
      <w:spacing w:after="240"/>
    </w:pPr>
  </w:style>
  <w:style w:type="paragraph" w:customStyle="1" w:styleId="RollCallVotes">
    <w:name w:val="RollCallVotes"/>
    <w:basedOn w:val="Normal"/>
    <w:rsid w:val="00A81F67"/>
    <w:pPr>
      <w:spacing w:before="120" w:after="120"/>
      <w:jc w:val="center"/>
    </w:pPr>
    <w:rPr>
      <w:b/>
      <w:bCs/>
      <w:snapToGrid w:val="0"/>
      <w:sz w:val="16"/>
      <w:lang w:eastAsia="en-US"/>
    </w:rPr>
  </w:style>
  <w:style w:type="paragraph" w:customStyle="1" w:styleId="RollCallTabs">
    <w:name w:val="RollCallTabs"/>
    <w:basedOn w:val="Normal"/>
    <w:qFormat/>
    <w:rsid w:val="00A81F67"/>
    <w:pPr>
      <w:tabs>
        <w:tab w:val="center" w:pos="284"/>
        <w:tab w:val="left" w:pos="426"/>
      </w:tabs>
    </w:pPr>
    <w:rPr>
      <w:snapToGrid w:val="0"/>
      <w:lang w:eastAsia="en-US"/>
    </w:rPr>
  </w:style>
  <w:style w:type="paragraph" w:customStyle="1" w:styleId="RollCallSymbols14pt">
    <w:name w:val="RollCallSymbols14pt"/>
    <w:basedOn w:val="Normal"/>
    <w:rsid w:val="00A81F67"/>
    <w:pPr>
      <w:spacing w:before="120" w:after="120"/>
      <w:jc w:val="center"/>
    </w:pPr>
    <w:rPr>
      <w:rFonts w:ascii="Arial" w:hAnsi="Arial"/>
      <w:b/>
      <w:bCs/>
      <w:snapToGrid w:val="0"/>
      <w:sz w:val="28"/>
      <w:lang w:eastAsia="en-US"/>
    </w:rPr>
  </w:style>
  <w:style w:type="paragraph" w:customStyle="1" w:styleId="RollCallTable">
    <w:name w:val="RollCallTable"/>
    <w:basedOn w:val="Normal"/>
    <w:rsid w:val="00A81F67"/>
    <w:pPr>
      <w:spacing w:before="120" w:after="120"/>
    </w:pPr>
    <w:rPr>
      <w:snapToGrid w:val="0"/>
      <w:sz w:val="16"/>
      <w:lang w:eastAsia="en-US"/>
    </w:rPr>
  </w:style>
  <w:style w:type="character" w:styleId="FollowedHyperlink">
    <w:name w:val="FollowedHyperlink"/>
    <w:basedOn w:val="DefaultParagraphFont"/>
    <w:uiPriority w:val="99"/>
    <w:unhideWhenUsed/>
    <w:rsid w:val="00A81F67"/>
    <w:rPr>
      <w:color w:val="954F72" w:themeColor="followedHyperlink"/>
      <w:u w:val="single"/>
    </w:rPr>
  </w:style>
  <w:style w:type="paragraph" w:customStyle="1" w:styleId="FootnoteTextForceStyle">
    <w:name w:val="Footnote Text ForceStyle"/>
    <w:rsid w:val="00A44A6B"/>
    <w:pPr>
      <w:keepLines/>
      <w:widowControl w:val="0"/>
      <w:ind w:left="850" w:hanging="850"/>
    </w:pPr>
    <w:rPr>
      <w:sz w:val="24"/>
      <w:lang w:eastAsia="en-US"/>
    </w:rPr>
  </w:style>
  <w:style w:type="paragraph" w:customStyle="1" w:styleId="Footer1">
    <w:name w:val="Footer1"/>
    <w:basedOn w:val="Normal"/>
    <w:rsid w:val="00A44A6B"/>
    <w:pPr>
      <w:widowControl/>
      <w:tabs>
        <w:tab w:val="center" w:pos="4150"/>
        <w:tab w:val="right" w:pos="8306"/>
        <w:tab w:val="right" w:pos="9638"/>
      </w:tabs>
      <w:spacing w:line="360" w:lineRule="auto"/>
    </w:pPr>
    <w:rPr>
      <w:szCs w:val="24"/>
      <w:lang w:val="en-GB" w:eastAsia="en-US"/>
    </w:rPr>
  </w:style>
  <w:style w:type="paragraph" w:customStyle="1" w:styleId="Normal12Hanging">
    <w:name w:val="Normal12Hanging"/>
    <w:basedOn w:val="Normal"/>
    <w:link w:val="Normal12HangingChar"/>
    <w:rsid w:val="00A44A6B"/>
    <w:pPr>
      <w:spacing w:after="240"/>
      <w:ind w:left="357" w:hanging="357"/>
    </w:pPr>
  </w:style>
  <w:style w:type="character" w:customStyle="1" w:styleId="Normal12HangingChar">
    <w:name w:val="Normal12Hanging Char"/>
    <w:basedOn w:val="DefaultParagraphFont"/>
    <w:link w:val="Normal12Hanging"/>
    <w:rsid w:val="00A44A6B"/>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FD77C-D7FC-4EDA-9114-20CF3BF3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14117</Words>
  <Characters>92010</Characters>
  <Application>Microsoft Office Word</Application>
  <DocSecurity>4</DocSecurity>
  <Lines>766</Lines>
  <Paragraphs>211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SOLTYSOVA Zuzana</cp:lastModifiedBy>
  <cp:revision>2</cp:revision>
  <cp:lastPrinted>2004-11-19T15:42:00Z</cp:lastPrinted>
  <dcterms:created xsi:type="dcterms:W3CDTF">2025-01-06T15:16:00Z</dcterms:created>
  <dcterms:modified xsi:type="dcterms:W3CDTF">2025-01-06T15:16:00Z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P9_TA(2024)0097_</vt:lpwstr>
  </property>
  <property fmtid="{D5CDD505-2E9C-101B-9397-08002B2CF9AE}" pid="4" name="&lt;Type&gt;">
    <vt:lpwstr>RR</vt:lpwstr>
  </property>
</Properties>
</file>