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576B" w:rsidTr="0010095E">
        <w:trPr>
          <w:trHeight w:hRule="exact" w:val="1418"/>
        </w:trPr>
        <w:tc>
          <w:tcPr>
            <w:tcW w:w="6804" w:type="dxa"/>
            <w:shd w:val="clear" w:color="auto" w:fill="auto"/>
            <w:vAlign w:val="center"/>
          </w:tcPr>
          <w:p w:rsidR="00751A4A" w:rsidRPr="006A576B" w:rsidRDefault="008E7EAF" w:rsidP="00207001">
            <w:pPr>
              <w:pStyle w:val="EPName"/>
              <w:widowControl/>
            </w:pPr>
            <w:r w:rsidRPr="006A576B">
              <w:t>Euroopan parlamentti</w:t>
            </w:r>
          </w:p>
          <w:p w:rsidR="00751A4A" w:rsidRPr="006A576B" w:rsidRDefault="00817416" w:rsidP="00207001">
            <w:pPr>
              <w:pStyle w:val="EPTerm"/>
              <w:widowControl/>
              <w:rPr>
                <w:rStyle w:val="HideTWBExt"/>
                <w:noProof w:val="0"/>
                <w:vanish w:val="0"/>
                <w:color w:val="auto"/>
              </w:rPr>
            </w:pPr>
            <w:r w:rsidRPr="006A576B">
              <w:t>2019-2024</w:t>
            </w:r>
          </w:p>
        </w:tc>
        <w:tc>
          <w:tcPr>
            <w:tcW w:w="2268" w:type="dxa"/>
            <w:shd w:val="clear" w:color="auto" w:fill="auto"/>
          </w:tcPr>
          <w:p w:rsidR="00751A4A" w:rsidRPr="006A576B" w:rsidRDefault="00187494" w:rsidP="00207001">
            <w:pPr>
              <w:pStyle w:val="EPLogo"/>
              <w:widowControl/>
            </w:pPr>
            <w:r w:rsidRPr="006A576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A576B" w:rsidRDefault="00D058B8" w:rsidP="00207001">
      <w:pPr>
        <w:pStyle w:val="LineTop"/>
        <w:widowControl/>
      </w:pPr>
    </w:p>
    <w:p w:rsidR="00680577" w:rsidRPr="006A576B" w:rsidRDefault="008E7EAF" w:rsidP="00207001">
      <w:pPr>
        <w:pStyle w:val="EPBodyTA1"/>
        <w:widowControl/>
      </w:pPr>
      <w:r w:rsidRPr="006A576B">
        <w:t>HYVÄKSYTYT TEKSTIT</w:t>
      </w:r>
    </w:p>
    <w:p w:rsidR="00D058B8" w:rsidRPr="006A576B" w:rsidRDefault="00D058B8" w:rsidP="00207001">
      <w:pPr>
        <w:pStyle w:val="LineBottom"/>
        <w:widowControl/>
      </w:pPr>
    </w:p>
    <w:p w:rsidR="008E7EAF" w:rsidRPr="006A576B" w:rsidRDefault="008E7EAF" w:rsidP="00207001">
      <w:pPr>
        <w:pStyle w:val="ATHeading1"/>
      </w:pPr>
      <w:bookmarkStart w:id="0" w:name="TANumber"/>
      <w:r w:rsidRPr="006A576B">
        <w:t>P9_TA(2024)00</w:t>
      </w:r>
      <w:r w:rsidR="00A31B1F" w:rsidRPr="006A576B">
        <w:t>99</w:t>
      </w:r>
      <w:bookmarkEnd w:id="0"/>
    </w:p>
    <w:p w:rsidR="008E7EAF" w:rsidRPr="006A576B" w:rsidRDefault="008E7EAF" w:rsidP="00207001">
      <w:pPr>
        <w:pStyle w:val="ATHeading2"/>
      </w:pPr>
      <w:bookmarkStart w:id="1" w:name="title"/>
      <w:r w:rsidRPr="006A576B">
        <w:t>Lääkkeiden lisäsuojatodistus (uudelleenlaadittu)</w:t>
      </w:r>
      <w:bookmarkEnd w:id="1"/>
    </w:p>
    <w:p w:rsidR="008E7EAF" w:rsidRPr="006A576B" w:rsidRDefault="008E7EAF" w:rsidP="00207001">
      <w:pPr>
        <w:widowControl/>
        <w:rPr>
          <w:i/>
          <w:vanish/>
        </w:rPr>
      </w:pPr>
      <w:r w:rsidRPr="006A576B">
        <w:rPr>
          <w:i/>
        </w:rPr>
        <w:fldChar w:fldCharType="begin"/>
      </w:r>
      <w:r w:rsidRPr="006A576B">
        <w:rPr>
          <w:i/>
        </w:rPr>
        <w:instrText xml:space="preserve"> TC"(</w:instrText>
      </w:r>
      <w:bookmarkStart w:id="2" w:name="DocNumber"/>
      <w:r w:rsidRPr="006A576B">
        <w:rPr>
          <w:i/>
        </w:rPr>
        <w:instrText>A9-0022/2024</w:instrText>
      </w:r>
      <w:bookmarkEnd w:id="2"/>
      <w:r w:rsidRPr="006A576B">
        <w:rPr>
          <w:i/>
        </w:rPr>
        <w:instrText xml:space="preserve"> - Esittelijä: Tiemo Wölken)"\l3 \n&gt; \* MERGEFORMAT </w:instrText>
      </w:r>
      <w:r w:rsidRPr="006A576B">
        <w:rPr>
          <w:i/>
        </w:rPr>
        <w:fldChar w:fldCharType="end"/>
      </w:r>
    </w:p>
    <w:p w:rsidR="008E7EAF" w:rsidRPr="006A576B" w:rsidRDefault="008E7EAF" w:rsidP="00207001">
      <w:pPr>
        <w:widowControl/>
        <w:rPr>
          <w:vanish/>
        </w:rPr>
      </w:pPr>
      <w:bookmarkStart w:id="3" w:name="Commission"/>
      <w:r w:rsidRPr="006A576B">
        <w:rPr>
          <w:vanish/>
        </w:rPr>
        <w:t>Oikeudellisten asioiden valiokunta</w:t>
      </w:r>
      <w:bookmarkEnd w:id="3"/>
    </w:p>
    <w:p w:rsidR="008E7EAF" w:rsidRPr="006A576B" w:rsidRDefault="008E7EAF" w:rsidP="00207001">
      <w:pPr>
        <w:widowControl/>
        <w:rPr>
          <w:vanish/>
        </w:rPr>
      </w:pPr>
      <w:bookmarkStart w:id="4" w:name="PE"/>
      <w:r w:rsidRPr="006A576B">
        <w:rPr>
          <w:vanish/>
        </w:rPr>
        <w:t>PE753.704</w:t>
      </w:r>
      <w:bookmarkEnd w:id="4"/>
    </w:p>
    <w:p w:rsidR="008E7EAF" w:rsidRPr="006A576B" w:rsidRDefault="008E7EAF" w:rsidP="00207001">
      <w:pPr>
        <w:pStyle w:val="ATHeading3"/>
      </w:pPr>
      <w:bookmarkStart w:id="5" w:name="Sujet"/>
      <w:r w:rsidRPr="006A576B">
        <w:t>Euroopan parlamentin la</w:t>
      </w:r>
      <w:r w:rsidR="006D29BF" w:rsidRPr="006A576B">
        <w:t xml:space="preserve">insäädäntöpäätöslauselma </w:t>
      </w:r>
      <w:r w:rsidR="002F6B71" w:rsidRPr="006A576B">
        <w:t>28</w:t>
      </w:r>
      <w:r w:rsidR="006D29BF" w:rsidRPr="006A576B">
        <w:t>. helmi</w:t>
      </w:r>
      <w:r w:rsidRPr="006A576B">
        <w:t>kuuta 2024 ehdotuksesta Euroopan parlamentin ja neuvoston asetukseksi lääkkeiden lisäsuojatodistuksesta (uudelleenlaadittu)</w:t>
      </w:r>
      <w:bookmarkEnd w:id="5"/>
      <w:r w:rsidRPr="006A576B">
        <w:t xml:space="preserve"> </w:t>
      </w:r>
      <w:bookmarkStart w:id="6" w:name="References"/>
      <w:r w:rsidRPr="006A576B">
        <w:t>(COM(2023)0231 – C9-0146/2023 – 2023/0130(COD))</w:t>
      </w:r>
      <w:bookmarkEnd w:id="6"/>
    </w:p>
    <w:p w:rsidR="00637BFC" w:rsidRPr="006A576B" w:rsidRDefault="00637BFC" w:rsidP="00207001">
      <w:pPr>
        <w:pStyle w:val="NormalBold"/>
        <w:widowControl/>
      </w:pPr>
      <w:bookmarkStart w:id="7" w:name="TextBodyBegin"/>
      <w:bookmarkEnd w:id="7"/>
      <w:r w:rsidRPr="006A576B">
        <w:t>(Tavallinen lainsäätämisjärjestys – uudelleenlaatiminen)</w:t>
      </w:r>
    </w:p>
    <w:p w:rsidR="00637BFC" w:rsidRPr="006A576B" w:rsidRDefault="00637BFC" w:rsidP="00207001">
      <w:pPr>
        <w:pStyle w:val="EPComma"/>
        <w:widowControl/>
      </w:pPr>
      <w:r w:rsidRPr="006A576B">
        <w:rPr>
          <w:i/>
        </w:rPr>
        <w:t>Euroopan parlamentti</w:t>
      </w:r>
      <w:r w:rsidRPr="006A576B">
        <w:t>, joka</w:t>
      </w:r>
    </w:p>
    <w:p w:rsidR="00637BFC" w:rsidRPr="006A576B" w:rsidRDefault="00637BFC" w:rsidP="00207001">
      <w:pPr>
        <w:pStyle w:val="NormalHanging12a"/>
        <w:widowControl/>
      </w:pPr>
      <w:r w:rsidRPr="006A576B">
        <w:t>–</w:t>
      </w:r>
      <w:r w:rsidRPr="006A576B">
        <w:tab/>
        <w:t>ottaa huomioon komission ehdotuksen Euroopan parlamentille ja neuvostolle (COM(2023)0231),</w:t>
      </w:r>
    </w:p>
    <w:p w:rsidR="00637BFC" w:rsidRPr="006A576B" w:rsidRDefault="00637BFC" w:rsidP="00207001">
      <w:pPr>
        <w:pStyle w:val="NormalHanging12a"/>
        <w:widowControl/>
      </w:pPr>
      <w:r w:rsidRPr="006A576B">
        <w:t>–</w:t>
      </w:r>
      <w:r w:rsidRPr="006A576B">
        <w:tab/>
        <w:t>ottaa huomioon Euroopan unionin toiminnasta tehdyn sopimuksen 294 artiklan 2 kohdan ja 114 artiklan 1 kohdan, joiden mukaisesti komissio on antanut ehdotuksen Euroopan parlamentille (C9</w:t>
      </w:r>
      <w:r w:rsidRPr="006A576B">
        <w:noBreakHyphen/>
        <w:t>0146/2023),</w:t>
      </w:r>
    </w:p>
    <w:p w:rsidR="00637BFC" w:rsidRPr="006A576B" w:rsidRDefault="00637BFC" w:rsidP="00207001">
      <w:pPr>
        <w:pStyle w:val="NormalHanging12a"/>
        <w:widowControl/>
      </w:pPr>
      <w:r w:rsidRPr="006A576B">
        <w:t>–</w:t>
      </w:r>
      <w:r w:rsidRPr="006A576B">
        <w:tab/>
        <w:t>ottaa huomioon Euroopan unionin toiminnasta tehdyn sopimuksen 294 artiklan 3 kohdan,</w:t>
      </w:r>
    </w:p>
    <w:p w:rsidR="00637BFC" w:rsidRPr="006A576B" w:rsidRDefault="00637BFC" w:rsidP="00207001">
      <w:pPr>
        <w:pStyle w:val="NormalHanging12a"/>
        <w:widowControl/>
      </w:pPr>
      <w:r w:rsidRPr="006A576B">
        <w:t>–</w:t>
      </w:r>
      <w:r w:rsidRPr="006A576B">
        <w:tab/>
        <w:t>ottaa huomioon Euroopan talous- ja sosiaalikomitean 27. syyskuuta 2023 antaman lausunnon</w:t>
      </w:r>
      <w:r w:rsidRPr="006A576B">
        <w:rPr>
          <w:rStyle w:val="FootnoteReference"/>
        </w:rPr>
        <w:footnoteReference w:id="1"/>
      </w:r>
      <w:r w:rsidRPr="006A576B">
        <w:t>,</w:t>
      </w:r>
    </w:p>
    <w:p w:rsidR="00637BFC" w:rsidRPr="006A576B" w:rsidRDefault="00637BFC" w:rsidP="00207001">
      <w:pPr>
        <w:pStyle w:val="NormalHanging12a"/>
        <w:widowControl/>
      </w:pPr>
      <w:r w:rsidRPr="006A576B">
        <w:t>–</w:t>
      </w:r>
      <w:r w:rsidRPr="006A576B">
        <w:tab/>
        <w:t>ottaa huomioon säädösten uudelleenlaatimistekniikan järjestelmällisestä käytöstä 28. marraskuuta 2001 tehdyn toimielinten välisen sopimuksen</w:t>
      </w:r>
      <w:r w:rsidRPr="006A576B">
        <w:rPr>
          <w:rStyle w:val="FootnoteReference"/>
        </w:rPr>
        <w:footnoteReference w:id="2"/>
      </w:r>
      <w:r w:rsidRPr="006A576B">
        <w:t>,</w:t>
      </w:r>
    </w:p>
    <w:p w:rsidR="00637BFC" w:rsidRPr="006A576B" w:rsidRDefault="00637BFC" w:rsidP="00207001">
      <w:pPr>
        <w:pStyle w:val="NormalHanging12a"/>
        <w:widowControl/>
      </w:pPr>
      <w:r w:rsidRPr="006A576B">
        <w:t>–</w:t>
      </w:r>
      <w:r w:rsidRPr="006A576B">
        <w:tab/>
        <w:t>ottaa huomioon työjärjestyksen 110 ja 59 artiklan,</w:t>
      </w:r>
    </w:p>
    <w:p w:rsidR="00637BFC" w:rsidRPr="006A576B" w:rsidRDefault="00637BFC" w:rsidP="00207001">
      <w:pPr>
        <w:pStyle w:val="NormalHanging12a"/>
        <w:widowControl/>
      </w:pPr>
      <w:r w:rsidRPr="006A576B">
        <w:t>–</w:t>
      </w:r>
      <w:r w:rsidRPr="006A576B">
        <w:tab/>
        <w:t>ottaa huomioon oikeudellisten asioiden valiokunnan mietinnön (A9-0022/2024),</w:t>
      </w:r>
    </w:p>
    <w:p w:rsidR="00637BFC" w:rsidRPr="006A576B" w:rsidRDefault="00637BFC" w:rsidP="00207001">
      <w:pPr>
        <w:pStyle w:val="NormalHanging12a"/>
        <w:widowControl/>
      </w:pPr>
      <w:r w:rsidRPr="006A576B">
        <w:t>A.</w:t>
      </w:r>
      <w:r w:rsidRPr="006A576B">
        <w:tab/>
        <w:t xml:space="preserve">toteaa, että Euroopan parlamentin, neuvoston ja komission oikeudellisista yksiköistä koostuvan neuvoa-antavan ryhmän mukaan komission ehdotus ei sisällä muita sisällöllisiä muutoksia kuin ne, jotka siinä on sellaisiksi yksilöity, ja siinä ainoastaan </w:t>
      </w:r>
      <w:r w:rsidRPr="006A576B">
        <w:lastRenderedPageBreak/>
        <w:t>kodifioidaan aikaisemman säädöksen muuttumattomina säilyvät säännökset näiden muutosten kanssa säännösten asiasisältöä muuttamatta;</w:t>
      </w:r>
    </w:p>
    <w:p w:rsidR="00637BFC" w:rsidRPr="006A576B" w:rsidRDefault="00637BFC" w:rsidP="00207001">
      <w:pPr>
        <w:pStyle w:val="NormalHanging12a"/>
        <w:widowControl/>
      </w:pPr>
      <w:r w:rsidRPr="006A576B">
        <w:t>1.</w:t>
      </w:r>
      <w:r w:rsidRPr="006A576B">
        <w:tab/>
        <w:t>vahvistaa jäljempänä esitetyn ensimmäisen käsittelyn kannan ja ottaa huomioon Euroopan parlamentin, neuvoston ja komission oikeudellisista yksiköistä koostuvan neuvoa-antavan ryhmän suositukset;</w:t>
      </w:r>
    </w:p>
    <w:p w:rsidR="00637BFC" w:rsidRPr="006A576B" w:rsidRDefault="00637BFC" w:rsidP="00207001">
      <w:pPr>
        <w:pStyle w:val="NormalHanging12a"/>
        <w:widowControl/>
      </w:pPr>
      <w:r w:rsidRPr="006A576B">
        <w:t>2.</w:t>
      </w:r>
      <w:r w:rsidRPr="006A576B">
        <w:tab/>
        <w:t>pyytää komissiota antamaan asian uudelleen Euroopan parlamentin käsiteltäväksi, jos se korvaa ehdotuksensa, muuttaa sitä huomattavasti tai aikoo muuttaa sitä huomattavasti;</w:t>
      </w:r>
    </w:p>
    <w:p w:rsidR="00637BFC" w:rsidRPr="006A576B" w:rsidRDefault="00637BFC" w:rsidP="00207001">
      <w:pPr>
        <w:pStyle w:val="NormalHanging12a"/>
        <w:widowControl/>
      </w:pPr>
      <w:r w:rsidRPr="006A576B">
        <w:t>3.</w:t>
      </w:r>
      <w:r w:rsidRPr="006A576B">
        <w:tab/>
        <w:t>kehottaa puhemiestä välittämään parlamentin kannan neuvostolle ja komissiolle sekä kansallisille parlamenteille.</w:t>
      </w:r>
    </w:p>
    <w:p w:rsidR="00AD600E" w:rsidRPr="006A576B" w:rsidRDefault="00AD600E" w:rsidP="00207001">
      <w:pPr>
        <w:pStyle w:val="NormalHanging12a"/>
        <w:widowControl/>
        <w:sectPr w:rsidR="00AD600E" w:rsidRPr="006A576B" w:rsidSect="006D29BF">
          <w:footnotePr>
            <w:numRestart w:val="eachPage"/>
          </w:footnotePr>
          <w:endnotePr>
            <w:numFmt w:val="decimal"/>
          </w:endnotePr>
          <w:pgSz w:w="11906" w:h="16838" w:code="9"/>
          <w:pgMar w:top="1134" w:right="1418" w:bottom="1418" w:left="1418" w:header="567" w:footer="567" w:gutter="0"/>
          <w:cols w:space="720"/>
          <w:noEndnote/>
          <w:docGrid w:linePitch="326"/>
        </w:sectPr>
      </w:pPr>
    </w:p>
    <w:p w:rsidR="00AD600E" w:rsidRPr="006A576B" w:rsidRDefault="00AD600E" w:rsidP="00207001">
      <w:pPr>
        <w:widowControl/>
        <w:spacing w:after="240"/>
        <w:rPr>
          <w:b/>
          <w:szCs w:val="24"/>
        </w:rPr>
      </w:pPr>
      <w:r w:rsidRPr="006A576B">
        <w:rPr>
          <w:b/>
          <w:szCs w:val="24"/>
        </w:rPr>
        <w:lastRenderedPageBreak/>
        <w:t>P9_TC1-COD(2023)0</w:t>
      </w:r>
      <w:r w:rsidR="000B1D75" w:rsidRPr="006A576B">
        <w:rPr>
          <w:b/>
          <w:szCs w:val="24"/>
        </w:rPr>
        <w:t>130</w:t>
      </w:r>
    </w:p>
    <w:p w:rsidR="00AD600E" w:rsidRPr="006A576B" w:rsidRDefault="00AD600E" w:rsidP="00207001">
      <w:pPr>
        <w:pStyle w:val="NormalHanging12a"/>
        <w:widowControl/>
        <w:ind w:left="0" w:firstLine="0"/>
        <w:rPr>
          <w:b/>
          <w:szCs w:val="24"/>
          <w:lang w:eastAsia="en-US"/>
        </w:rPr>
      </w:pPr>
      <w:r w:rsidRPr="006A576B">
        <w:rPr>
          <w:b/>
          <w:szCs w:val="24"/>
        </w:rPr>
        <w:t xml:space="preserve">Euroopan parlamentin kanta, vahvistettu ensimmäisessä käsittelyssä </w:t>
      </w:r>
      <w:r w:rsidR="000B1D75" w:rsidRPr="006A576B">
        <w:rPr>
          <w:b/>
          <w:szCs w:val="24"/>
        </w:rPr>
        <w:t>28</w:t>
      </w:r>
      <w:r w:rsidRPr="006A576B">
        <w:rPr>
          <w:b/>
          <w:szCs w:val="24"/>
        </w:rPr>
        <w:t xml:space="preserve">. </w:t>
      </w:r>
      <w:r w:rsidR="000B1D75" w:rsidRPr="006A576B">
        <w:rPr>
          <w:b/>
          <w:szCs w:val="24"/>
        </w:rPr>
        <w:t>helmik</w:t>
      </w:r>
      <w:r w:rsidRPr="006A576B">
        <w:rPr>
          <w:b/>
          <w:szCs w:val="24"/>
        </w:rPr>
        <w:t xml:space="preserve">uuta 2024, Euroopan parlamentin ja neuvoston asetuksen (EU) 2024/… antamiseksi </w:t>
      </w:r>
      <w:r w:rsidRPr="006A576B">
        <w:rPr>
          <w:b/>
          <w:szCs w:val="24"/>
          <w:lang w:eastAsia="en-US"/>
        </w:rPr>
        <w:t>lääkkeiden lisäsuojatodistuksesta (uudelleenlaadittu)</w:t>
      </w:r>
    </w:p>
    <w:p w:rsidR="00AD600E" w:rsidRPr="006A576B" w:rsidRDefault="00AD600E" w:rsidP="00207001">
      <w:pPr>
        <w:widowControl/>
        <w:spacing w:before="360" w:after="240" w:line="360" w:lineRule="auto"/>
        <w:jc w:val="center"/>
        <w:rPr>
          <w:szCs w:val="24"/>
          <w:lang w:eastAsia="en-US"/>
        </w:rPr>
      </w:pPr>
      <w:r w:rsidRPr="006A576B">
        <w:rPr>
          <w:szCs w:val="24"/>
          <w:lang w:eastAsia="en-US"/>
        </w:rPr>
        <w:t>(ETA:n kannalta merkityksellinen teksti)</w:t>
      </w:r>
    </w:p>
    <w:p w:rsidR="00AD600E" w:rsidRPr="006A576B" w:rsidRDefault="00AD600E" w:rsidP="00207001">
      <w:pPr>
        <w:keepNext/>
        <w:widowControl/>
        <w:spacing w:before="600" w:after="120" w:line="360" w:lineRule="auto"/>
        <w:rPr>
          <w:szCs w:val="24"/>
          <w:lang w:eastAsia="en-US"/>
        </w:rPr>
      </w:pPr>
      <w:r w:rsidRPr="006A576B">
        <w:rPr>
          <w:szCs w:val="24"/>
          <w:lang w:eastAsia="en-US"/>
        </w:rPr>
        <w:t>EUROOPAN PARLAMENTTI JA EUROOPAN UNIONIN NEUVOSTO, jotka</w:t>
      </w:r>
    </w:p>
    <w:p w:rsidR="00AD600E" w:rsidRPr="006A576B" w:rsidRDefault="00AD600E" w:rsidP="00207001">
      <w:pPr>
        <w:widowControl/>
        <w:spacing w:before="120" w:after="120" w:line="360" w:lineRule="auto"/>
        <w:rPr>
          <w:lang w:eastAsia="en-US"/>
        </w:rPr>
      </w:pPr>
      <w:r w:rsidRPr="006A576B">
        <w:rPr>
          <w:lang w:eastAsia="en-US"/>
        </w:rPr>
        <w:t>ottavat huomioon Euroopan unionin toiminnasta tehdyn sopimuksen ja erityisesti sen 114</w:t>
      </w:r>
      <w:r w:rsidR="000B1D75" w:rsidRPr="006A576B">
        <w:rPr>
          <w:lang w:eastAsia="en-US"/>
        </w:rPr>
        <w:t> </w:t>
      </w:r>
      <w:r w:rsidRPr="006A576B">
        <w:rPr>
          <w:lang w:eastAsia="en-US"/>
        </w:rPr>
        <w:t>artiklan 1 kohdan,</w:t>
      </w:r>
    </w:p>
    <w:p w:rsidR="00AD600E" w:rsidRPr="006A576B" w:rsidRDefault="00AD600E" w:rsidP="00207001">
      <w:pPr>
        <w:widowControl/>
        <w:spacing w:before="120" w:after="120" w:line="360" w:lineRule="auto"/>
        <w:rPr>
          <w:lang w:eastAsia="en-US"/>
        </w:rPr>
      </w:pPr>
      <w:r w:rsidRPr="006A576B">
        <w:rPr>
          <w:lang w:eastAsia="en-US"/>
        </w:rPr>
        <w:t>ottavat huomioon Euroopan komission ehdotuksen,</w:t>
      </w:r>
    </w:p>
    <w:p w:rsidR="00AD600E" w:rsidRPr="006A576B" w:rsidRDefault="00AD600E" w:rsidP="00207001">
      <w:pPr>
        <w:widowControl/>
        <w:spacing w:before="120" w:after="120" w:line="360" w:lineRule="auto"/>
        <w:rPr>
          <w:lang w:eastAsia="en-US"/>
        </w:rPr>
      </w:pPr>
      <w:r w:rsidRPr="006A576B">
        <w:rPr>
          <w:lang w:eastAsia="en-US"/>
        </w:rPr>
        <w:t>sen jälkeen kun esitys lainsäätämisjärjestyksessä hyväksyttäväksi säädökseksi on toimitettu kansallisille parlamenteille,</w:t>
      </w:r>
    </w:p>
    <w:p w:rsidR="00AD600E" w:rsidRPr="006A576B" w:rsidRDefault="00AD600E" w:rsidP="00207001">
      <w:pPr>
        <w:widowControl/>
        <w:spacing w:before="120" w:after="120" w:line="360" w:lineRule="auto"/>
        <w:rPr>
          <w:lang w:eastAsia="en-US"/>
        </w:rPr>
      </w:pPr>
      <w:r w:rsidRPr="006A576B">
        <w:rPr>
          <w:lang w:eastAsia="en-US"/>
        </w:rPr>
        <w:t>ottavat huomioon Euroopan talous- ja sosiaalikomitean lausunnon</w:t>
      </w:r>
      <w:r w:rsidRPr="006A576B">
        <w:rPr>
          <w:vertAlign w:val="superscript"/>
          <w:lang w:val="en-GB" w:eastAsia="en-US"/>
        </w:rPr>
        <w:footnoteReference w:id="3"/>
      </w:r>
      <w:r w:rsidRPr="006A576B">
        <w:rPr>
          <w:lang w:eastAsia="en-US"/>
        </w:rPr>
        <w:t>,</w:t>
      </w:r>
    </w:p>
    <w:p w:rsidR="00AD600E" w:rsidRPr="006A576B" w:rsidRDefault="00AD600E" w:rsidP="00207001">
      <w:pPr>
        <w:widowControl/>
        <w:spacing w:before="120" w:after="120" w:line="360" w:lineRule="auto"/>
        <w:rPr>
          <w:lang w:eastAsia="en-US"/>
        </w:rPr>
      </w:pPr>
      <w:r w:rsidRPr="006A576B">
        <w:rPr>
          <w:lang w:eastAsia="en-US"/>
        </w:rPr>
        <w:t>ottavat huomioon alueiden komitean lausunnon</w:t>
      </w:r>
      <w:r w:rsidRPr="006A576B">
        <w:rPr>
          <w:vertAlign w:val="superscript"/>
          <w:lang w:val="en-GB" w:eastAsia="en-US"/>
        </w:rPr>
        <w:footnoteReference w:id="4"/>
      </w:r>
      <w:r w:rsidRPr="006A576B">
        <w:rPr>
          <w:lang w:eastAsia="en-US"/>
        </w:rPr>
        <w:t>,</w:t>
      </w:r>
    </w:p>
    <w:p w:rsidR="00AD600E" w:rsidRPr="006A576B" w:rsidRDefault="00AD600E" w:rsidP="00207001">
      <w:pPr>
        <w:widowControl/>
        <w:spacing w:before="120" w:after="120" w:line="360" w:lineRule="auto"/>
        <w:rPr>
          <w:lang w:eastAsia="en-US"/>
        </w:rPr>
      </w:pPr>
      <w:r w:rsidRPr="006A576B">
        <w:rPr>
          <w:lang w:eastAsia="en-US"/>
        </w:rPr>
        <w:t>noudattavat tavallista lainsäätämisjärjestystä,</w:t>
      </w:r>
    </w:p>
    <w:p w:rsidR="00D2607E" w:rsidRPr="006A576B" w:rsidRDefault="00D2607E">
      <w:pPr>
        <w:widowControl/>
        <w:rPr>
          <w:lang w:eastAsia="en-US"/>
        </w:rPr>
      </w:pPr>
      <w:r w:rsidRPr="006A576B">
        <w:rPr>
          <w:lang w:eastAsia="en-US"/>
        </w:rPr>
        <w:br w:type="page"/>
      </w:r>
    </w:p>
    <w:p w:rsidR="00AD600E" w:rsidRPr="006A576B" w:rsidRDefault="00AD600E" w:rsidP="00207001">
      <w:pPr>
        <w:widowControl/>
        <w:spacing w:before="120" w:after="120" w:line="360" w:lineRule="auto"/>
        <w:rPr>
          <w:lang w:eastAsia="en-US"/>
        </w:rPr>
      </w:pPr>
      <w:r w:rsidRPr="006A576B">
        <w:rPr>
          <w:lang w:eastAsia="en-US"/>
        </w:rPr>
        <w:lastRenderedPageBreak/>
        <w:t>sekä katsovat seuraavaa: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Euroopan parlamentin ja neuvoston asetusta (EY) N:o 469/2009</w:t>
      </w:r>
      <w:r w:rsidRPr="006A576B">
        <w:rPr>
          <w:szCs w:val="24"/>
          <w:vertAlign w:val="superscript"/>
          <w:lang w:val="en-GB" w:eastAsia="en-US"/>
        </w:rPr>
        <w:footnoteReference w:id="5"/>
      </w:r>
      <w:r w:rsidRPr="006A576B">
        <w:rPr>
          <w:szCs w:val="24"/>
          <w:lang w:eastAsia="en-US"/>
        </w:rPr>
        <w:t xml:space="preserve"> on muutettu huomattavilta osin</w:t>
      </w:r>
      <w:r w:rsidRPr="006A576B">
        <w:rPr>
          <w:szCs w:val="24"/>
          <w:vertAlign w:val="superscript"/>
          <w:lang w:val="en-GB" w:eastAsia="en-US"/>
        </w:rPr>
        <w:footnoteReference w:id="6"/>
      </w:r>
      <w:r w:rsidRPr="006A576B">
        <w:rPr>
          <w:szCs w:val="24"/>
          <w:lang w:eastAsia="en-US"/>
        </w:rPr>
        <w:t>. Koska siihen on määrä tehdä uusia muutoksia, mainittu asetus olisi selkeyden vuoksi uudelleenlaadittava.</w:t>
      </w:r>
    </w:p>
    <w:p w:rsidR="00AD600E" w:rsidRPr="006A576B" w:rsidRDefault="00AD600E" w:rsidP="00207001">
      <w:pPr>
        <w:widowControl/>
        <w:spacing w:before="120" w:after="120" w:line="360" w:lineRule="auto"/>
        <w:ind w:left="850" w:hanging="850"/>
        <w:rPr>
          <w:b/>
          <w:szCs w:val="24"/>
          <w:lang w:eastAsia="en-US"/>
        </w:rPr>
      </w:pPr>
      <w:r w:rsidRPr="006A576B">
        <w:rPr>
          <w:szCs w:val="24"/>
          <w:lang w:eastAsia="en-US"/>
        </w:rPr>
        <w:t>(2)</w:t>
      </w:r>
      <w:r w:rsidRPr="006A576B">
        <w:rPr>
          <w:szCs w:val="24"/>
          <w:lang w:eastAsia="en-US"/>
        </w:rPr>
        <w:tab/>
        <w:t>Farmaseuttisella</w:t>
      </w:r>
      <w:r w:rsidR="000B1D75" w:rsidRPr="006A576B">
        <w:rPr>
          <w:szCs w:val="24"/>
          <w:lang w:eastAsia="en-US"/>
        </w:rPr>
        <w:t xml:space="preserve"> </w:t>
      </w:r>
      <w:r w:rsidRPr="006A576B">
        <w:rPr>
          <w:szCs w:val="24"/>
          <w:lang w:eastAsia="en-US"/>
        </w:rPr>
        <w:t>tutkimuksella on ratkaiseva merkitys kansanterveyden jatkuvassa parantamisessa.</w:t>
      </w:r>
      <w:r w:rsidRPr="006A576B">
        <w:rPr>
          <w:b/>
          <w:i/>
          <w:szCs w:val="24"/>
          <w:lang w:eastAsia="en-US"/>
        </w:rPr>
        <w:t xml:space="preserve"> Lääkkeiden, erityisesti niiden, jotka syntyvät pitkän ja kalliin tutkimuksen tuloksena, kehittäminen ei jatku unionissa, ellei lääkkeitä suojata sellaisilla suotuisilla säännöksillä, jotka antavat tällaiseen tutkimukseen kannustamiseksi riittävän suojan. Suoran yhteyden luominen näiden suotuisien säännöksien ja unionin kilpailukyvyn välille on kuitenkin vaikeaa, sillä vaikka säännökset lisäävätkin unionin markkinoiden houkuttelevuutta, lääkkeiden maantieteellinen alkuperä tuottaa saman oikeuden kaikkiin unionin kannustimiin, joita kolmansista maista peräisin olevat myyntiluvan saaneet lääkkeet voivat saada, samoin kuin unioniin sijoittautuneet innovatiiviset yritykset voivat yhtä lailla hyötyä kolmansien maiden kannustimista.</w:t>
      </w:r>
      <w:r w:rsidR="000B1D75" w:rsidRPr="006A576B">
        <w:rPr>
          <w:b/>
          <w:szCs w:val="24"/>
          <w:lang w:eastAsia="en-US"/>
        </w:rPr>
        <w:t xml:space="preserve"> [tark. 1]</w:t>
      </w:r>
    </w:p>
    <w:p w:rsidR="00D2607E" w:rsidRPr="006A576B" w:rsidRDefault="00D2607E">
      <w:pPr>
        <w:widowControl/>
        <w:rPr>
          <w:strike/>
          <w:szCs w:val="24"/>
          <w:lang w:eastAsia="en-US"/>
        </w:rPr>
      </w:pPr>
      <w:r w:rsidRPr="006A576B">
        <w:rPr>
          <w:strike/>
          <w:szCs w:val="24"/>
          <w:lang w:eastAsia="en-US"/>
        </w:rPr>
        <w:br w:type="page"/>
      </w:r>
    </w:p>
    <w:p w:rsidR="00AD600E" w:rsidRPr="006A576B" w:rsidRDefault="00AD600E" w:rsidP="00207001">
      <w:pPr>
        <w:widowControl/>
        <w:spacing w:before="120" w:after="120" w:line="360" w:lineRule="auto"/>
        <w:ind w:left="850" w:hanging="850"/>
        <w:rPr>
          <w:b/>
          <w:szCs w:val="24"/>
          <w:lang w:eastAsia="en-US"/>
        </w:rPr>
      </w:pPr>
      <w:r w:rsidRPr="006A576B">
        <w:rPr>
          <w:strike/>
          <w:szCs w:val="24"/>
          <w:lang w:eastAsia="en-US"/>
        </w:rPr>
        <w:lastRenderedPageBreak/>
        <w:t>(3)</w:t>
      </w:r>
      <w:r w:rsidRPr="006A576B">
        <w:rPr>
          <w:szCs w:val="24"/>
          <w:lang w:eastAsia="en-US"/>
        </w:rPr>
        <w:tab/>
      </w:r>
      <w:r w:rsidRPr="006A576B">
        <w:rPr>
          <w:strike/>
          <w:szCs w:val="24"/>
          <w:lang w:eastAsia="en-US"/>
        </w:rPr>
        <w:t>Lääkkeiden, erityisesti niiden, jotka syntyvät pitkän ja kalliin tutkimuksen tuloksena, kehittäminen ei jatku unionissa, ellei lääkkeitä suojata sellaisilla suotuisilla säännöksillä, jotka antavat tällaisen tutkimuksen kannustamiseksi riittävän suojan.</w:t>
      </w:r>
      <w:r w:rsidR="000B1D75" w:rsidRPr="006A576B">
        <w:rPr>
          <w:b/>
          <w:szCs w:val="24"/>
          <w:lang w:eastAsia="en-US"/>
        </w:rPr>
        <w:t xml:space="preserve"> [tark. 2]</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(4)</w:t>
      </w:r>
      <w:r w:rsidRPr="006A576B">
        <w:rPr>
          <w:szCs w:val="24"/>
          <w:lang w:eastAsia="en-US"/>
        </w:rPr>
        <w:tab/>
        <w:t>Aika, joka kuluu uutta lääkettä koskevan patentin saamista koskevan hakemuksen tekemisen ja sanotun lääkkeen markkinoille saattamista koskevan luvan myöntämisen välillä, lyhentää patentin antamaa todellista suojaa niin, että se ei riitä tuottamaan takaisin tutkimukseen käytettyjä varoja.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(5)</w:t>
      </w:r>
      <w:r w:rsidRPr="006A576B">
        <w:rPr>
          <w:szCs w:val="24"/>
          <w:lang w:eastAsia="en-US"/>
        </w:rPr>
        <w:tab/>
        <w:t>Tämä tilanne johtaa puutteelliseen suojaukseen, joka haittaa farmaseuttista tutkimusta, ja on olemassa vaara, että jäsenvaltioissa sijaitsevat tutkimuskeskukset siirtyvät maihin, jotka tarjoavat paremman suojan.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(6)</w:t>
      </w:r>
      <w:r w:rsidRPr="006A576B">
        <w:rPr>
          <w:szCs w:val="24"/>
          <w:lang w:eastAsia="en-US"/>
        </w:rPr>
        <w:tab/>
        <w:t>On tarpeen, että unionin tasolla säädetään yhtenäisestä ratkaisusta, ja siten vältetään kansallisten lakien kehittyminen eri tavoin, mikä johtaisi uusiin lääkkeiden vapaata liikkuvuutta estäviin eroavuuksiin unionissa ja vaikuttaisi siten suoraan sisämarkkinoiden toimintaan.</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(7)</w:t>
      </w:r>
      <w:r w:rsidRPr="006A576B">
        <w:rPr>
          <w:szCs w:val="24"/>
          <w:lang w:eastAsia="en-US"/>
        </w:rPr>
        <w:tab/>
        <w:t>Sen vuoksi on tarpeen säätää lisäsuojatodistuksesta, jäljempänä ’todistus’, jonka jokainen jäsenvaltio voi myöntää samoin edellytyksin myyntiluvan saanutta lääkettä koskevan kansallisen patentin tai vaikutukseltaan yhtenäisen tai perinteisen eurooppapatentin haltijan pyynnöstä. Todistuksen olisi annettava haltijalle riittävä todellisen suojan lisäkesto peruspatentin voimassaolon päättymisen jälkeen. Tällainen todistushakemus olisi jätettävä kyseisen jäsenvaltion toimivaltaiselle teollisoikeuksien virastolle, jäljempänä ’toimivaltainen kansallinen viranomainen’.</w:t>
      </w:r>
    </w:p>
    <w:p w:rsidR="00AD600E" w:rsidRPr="006A576B" w:rsidRDefault="00AD600E" w:rsidP="00207001">
      <w:pPr>
        <w:widowControl/>
        <w:spacing w:before="120" w:after="120" w:line="360" w:lineRule="auto"/>
        <w:ind w:left="850" w:hanging="850"/>
        <w:rPr>
          <w:b/>
          <w:szCs w:val="24"/>
          <w:lang w:eastAsia="en-US"/>
        </w:rPr>
      </w:pPr>
      <w:r w:rsidRPr="006A576B">
        <w:rPr>
          <w:szCs w:val="24"/>
          <w:lang w:eastAsia="en-US"/>
        </w:rPr>
        <w:t>(8)</w:t>
      </w:r>
      <w:r w:rsidRPr="006A576B">
        <w:rPr>
          <w:szCs w:val="24"/>
          <w:lang w:eastAsia="en-US"/>
        </w:rPr>
        <w:tab/>
        <w:t xml:space="preserve">Yksi todistuksen myöntämisen edellytyksistä olisi oltava se, että tuotetta suojaa peruspatentti siinä mielessä, että tuotteen olisi kuuluttava kyseisen patentin yhden tai useamman vaatimuksen soveltamisalaan sellaisena kuin alan ammattilainen tulkitsee </w:t>
      </w:r>
      <w:r w:rsidRPr="006A576B">
        <w:rPr>
          <w:strike/>
          <w:szCs w:val="24"/>
          <w:lang w:eastAsia="en-US"/>
        </w:rPr>
        <w:t>sitä</w:t>
      </w:r>
      <w:r w:rsidRPr="006A576B">
        <w:rPr>
          <w:b/>
          <w:i/>
          <w:szCs w:val="24"/>
          <w:lang w:eastAsia="en-US"/>
        </w:rPr>
        <w:t>patentin kuvausta ja piirroksia perustuen asiaankuuluvaa alaa koskevaan yleiseen tietämykseensä ja tekniikan tasoon</w:t>
      </w:r>
      <w:r w:rsidRPr="006A576B">
        <w:rPr>
          <w:szCs w:val="24"/>
          <w:lang w:eastAsia="en-US"/>
        </w:rPr>
        <w:t xml:space="preserve"> patentin jättämispäivänä </w:t>
      </w:r>
      <w:r w:rsidRPr="006A576B">
        <w:rPr>
          <w:strike/>
          <w:szCs w:val="24"/>
          <w:lang w:eastAsia="en-US"/>
        </w:rPr>
        <w:t>annetun kuvauksen perusteella</w:t>
      </w:r>
      <w:r w:rsidRPr="006A576B">
        <w:rPr>
          <w:b/>
          <w:i/>
          <w:szCs w:val="24"/>
          <w:lang w:eastAsia="en-US"/>
        </w:rPr>
        <w:t>tai peruspatentin etuoikeuspäivänä</w:t>
      </w:r>
      <w:r w:rsidRPr="006A576B">
        <w:rPr>
          <w:szCs w:val="24"/>
          <w:lang w:eastAsia="en-US"/>
        </w:rPr>
        <w:t>. Tämän ei pitäisi välttämättä edellyttää, että tuotteen vaikuttava aine nimenomaisesti yksilöidään vaatimuksissa</w:t>
      </w:r>
      <w:r w:rsidRPr="006A576B">
        <w:rPr>
          <w:strike/>
          <w:szCs w:val="24"/>
          <w:lang w:eastAsia="en-US"/>
        </w:rPr>
        <w:t>.</w:t>
      </w:r>
      <w:r w:rsidRPr="006A576B">
        <w:rPr>
          <w:b/>
          <w:i/>
          <w:szCs w:val="24"/>
          <w:lang w:eastAsia="en-US"/>
        </w:rPr>
        <w:t>, tai</w:t>
      </w:r>
      <w:r w:rsidRPr="006A576B">
        <w:rPr>
          <w:szCs w:val="24"/>
          <w:lang w:eastAsia="en-US"/>
        </w:rPr>
        <w:t xml:space="preserve"> jos kyseessä on yhdistelmävalmiste, tämän ei pitäisi välttämättä edellyttää, että jokainen vaikuttava aine nimenomaisesti yksilöidään vaatimuksissa, kunhan jokainen </w:t>
      </w:r>
      <w:r w:rsidRPr="006A576B">
        <w:rPr>
          <w:strike/>
          <w:szCs w:val="24"/>
          <w:lang w:eastAsia="en-US"/>
        </w:rPr>
        <w:t>niistä</w:t>
      </w:r>
      <w:r w:rsidRPr="006A576B">
        <w:rPr>
          <w:b/>
          <w:i/>
          <w:szCs w:val="24"/>
          <w:lang w:eastAsia="en-US"/>
        </w:rPr>
        <w:t>vaikuttava aine</w:t>
      </w:r>
      <w:r w:rsidRPr="006A576B">
        <w:rPr>
          <w:szCs w:val="24"/>
          <w:lang w:eastAsia="en-US"/>
        </w:rPr>
        <w:t xml:space="preserve"> on nimenomaisesti tunnistettavissa kaikkien kyseisellä patentilla julkistettujen tietojen perusteella</w:t>
      </w:r>
      <w:r w:rsidRPr="006A576B">
        <w:rPr>
          <w:b/>
          <w:i/>
          <w:szCs w:val="24"/>
          <w:lang w:eastAsia="en-US"/>
        </w:rPr>
        <w:t xml:space="preserve"> peruspatentin jättämispäivän tai etuoikeuspäivän tekniikan tason pohjalta</w:t>
      </w:r>
      <w:r w:rsidRPr="006A576B">
        <w:rPr>
          <w:szCs w:val="24"/>
          <w:lang w:eastAsia="en-US"/>
        </w:rPr>
        <w:t>.</w:t>
      </w:r>
      <w:r w:rsidR="000B1D75" w:rsidRPr="006A576B">
        <w:rPr>
          <w:b/>
          <w:szCs w:val="24"/>
          <w:lang w:eastAsia="en-US"/>
        </w:rPr>
        <w:t xml:space="preserve"> [tark. 3]</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b/>
          <w:szCs w:val="24"/>
          <w:lang w:eastAsia="en-US"/>
        </w:rPr>
      </w:pPr>
      <w:r w:rsidRPr="006A576B">
        <w:rPr>
          <w:szCs w:val="24"/>
          <w:lang w:eastAsia="en-US"/>
        </w:rPr>
        <w:lastRenderedPageBreak/>
        <w:t>(9)</w:t>
      </w:r>
      <w:r w:rsidRPr="006A576B">
        <w:rPr>
          <w:szCs w:val="24"/>
          <w:lang w:eastAsia="en-US"/>
        </w:rPr>
        <w:tab/>
        <w:t xml:space="preserve">Liiallisen suojelun välttämiseksi olisi säädettävä, että samaa tuotetta voidaan suojata jäsenvaltiossa ainoastaan yhdellä kansallisella tai yhtenäisellä todistuksella. Sen vuoksi olisi edellytettävä, että tuotteelle tai </w:t>
      </w:r>
      <w:r w:rsidRPr="006A576B">
        <w:rPr>
          <w:strike/>
          <w:szCs w:val="24"/>
          <w:lang w:eastAsia="en-US"/>
        </w:rPr>
        <w:t xml:space="preserve">hoitovaikutukseltaan vastaavalle </w:t>
      </w:r>
      <w:r w:rsidRPr="006A576B">
        <w:rPr>
          <w:szCs w:val="24"/>
          <w:lang w:eastAsia="en-US"/>
        </w:rPr>
        <w:t xml:space="preserve">johdannaiselle, kuten suoloille, estereille, eettereille, isomeereille, isomeerien seoksille, komplekseille tai biosimilaarilääkkeille, ei ole jo annettu aiempaa todistusta </w:t>
      </w:r>
      <w:r w:rsidRPr="006A576B">
        <w:rPr>
          <w:strike/>
          <w:szCs w:val="24"/>
          <w:lang w:eastAsia="en-US"/>
        </w:rPr>
        <w:t xml:space="preserve">joko yksin tai yhdessä yhden tai useamman muun vaikuttavan aineen kanssa </w:t>
      </w:r>
      <w:r w:rsidRPr="006A576B">
        <w:rPr>
          <w:szCs w:val="24"/>
          <w:lang w:eastAsia="en-US"/>
        </w:rPr>
        <w:t>riippumatta siitä, käytetäänkö sitä samaa vai eri käyttöaihetta varten.</w:t>
      </w:r>
      <w:r w:rsidR="000B1D75" w:rsidRPr="006A576B">
        <w:rPr>
          <w:b/>
          <w:szCs w:val="24"/>
          <w:lang w:eastAsia="en-US"/>
        </w:rPr>
        <w:t xml:space="preserve"> [tark. 4]</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(10)</w:t>
      </w:r>
      <w:r w:rsidRPr="006A576B">
        <w:rPr>
          <w:szCs w:val="24"/>
          <w:lang w:eastAsia="en-US"/>
        </w:rPr>
        <w:tab/>
        <w:t>Todistuksen antaman suojan olisi ulotuttava peruspatentin antaman suojan rajoissa vain tuotteeseen, eli vaikuttavaan aineeseen tai niiden yhdistelmään, jonka markkinoille saattamista koskeva lupa kattaa, ja kaikkiin tuotteen sellaisiin käyttötarkoituksiin lääkkeenä, jotka on hyväksytty ennen todistuksen voimassaolon päättymistä.</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(11)</w:t>
      </w:r>
      <w:r w:rsidRPr="006A576B">
        <w:rPr>
          <w:szCs w:val="24"/>
          <w:lang w:eastAsia="en-US"/>
        </w:rPr>
        <w:tab/>
        <w:t xml:space="preserve">Tasapainoisen suojan varmistamiseksi todistuksen haltijan olisi kuitenkin voitava estää kolmatta osapuolta valmistamasta sekä todistuksessa </w:t>
      </w:r>
      <w:proofErr w:type="gramStart"/>
      <w:r w:rsidRPr="006A576B">
        <w:rPr>
          <w:szCs w:val="24"/>
          <w:lang w:eastAsia="en-US"/>
        </w:rPr>
        <w:t>mainittua tuotetta</w:t>
      </w:r>
      <w:proofErr w:type="gramEnd"/>
      <w:r w:rsidRPr="006A576B">
        <w:rPr>
          <w:szCs w:val="24"/>
          <w:lang w:eastAsia="en-US"/>
        </w:rPr>
        <w:t xml:space="preserve"> että tuotteen hoitovaikutukseltaan vastaavia johdannaisia, kuten suoloja, estereitä, eettereitä, isomeerejä, isomeerien seoksia, komplekseja tai biosimilaarilääkkeitä silloinkin, kun tällaisia johdannaisia ei nimenomaisesti mainita todistuksessa olevassa tuotekuvauksessa. Näin ollen on katsottava, että todistuksen antama suoja ulottuu tällaisiin vastaaviin johdannaisiin peruspatentin antaman suojan rajoissa.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(12)</w:t>
      </w:r>
      <w:r w:rsidRPr="006A576B">
        <w:rPr>
          <w:szCs w:val="24"/>
          <w:lang w:eastAsia="en-US"/>
        </w:rPr>
        <w:tab/>
        <w:t>Lisätoimenpiteenä sen varmistamiseksi, että samaa tuotetta ei missään jäsenvaltiossa voi suojata useampi kuin yksi todistus, samaa tuotetta koskevan useamman kuin yhden patentin haltijalle ei pitäisi myöntää useampaa kuin yhtä todistusta kyseiselle tuotteelle. Jos kuitenkin kaksi samaa tuotetta suojaavaa patenttia on kahden haltijan hallussa, olisi sallittava, että kummallekin näistä haltijoista myönnetään yksi kyseistä tuotetta koskeva todistus, jos haltijat voivat osoittaa, että ne eivät ole taloudellisesti sidoksissa toisiinsa. Peruspatentin haltijalle ei kuitenkaan pitäisi myöntää todistusta tuotteelle, jonka myyntilupa on kolmannen osapuolen hallussa, ilman kyseisen osapuolen suostumusta.</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b/>
          <w:szCs w:val="24"/>
          <w:lang w:eastAsia="en-US"/>
        </w:rPr>
      </w:pPr>
      <w:r w:rsidRPr="006A576B">
        <w:rPr>
          <w:szCs w:val="24"/>
          <w:lang w:eastAsia="en-US"/>
        </w:rPr>
        <w:lastRenderedPageBreak/>
        <w:t>(13)</w:t>
      </w:r>
      <w:r w:rsidRPr="006A576B">
        <w:rPr>
          <w:szCs w:val="24"/>
          <w:lang w:eastAsia="en-US"/>
        </w:rPr>
        <w:tab/>
        <w:t xml:space="preserve">Jos biologista lääkettä koskevan todistushakemuksen tueksi esitetyssä myyntiluvassa yksilöidään kyseinen tuote sen yhteisen kansainvälisen nimistön mukaisella nimellä (INN-nimi), todistuksen antaman suojan olisi ulotuttava kaikkiin </w:t>
      </w:r>
      <w:r w:rsidRPr="006A576B">
        <w:rPr>
          <w:strike/>
          <w:szCs w:val="24"/>
          <w:lang w:eastAsia="en-US"/>
        </w:rPr>
        <w:t>hoitovaikutukseltaan vastaaviin tuotteisiin</w:t>
      </w:r>
      <w:r w:rsidRPr="006A576B">
        <w:rPr>
          <w:b/>
          <w:i/>
          <w:szCs w:val="24"/>
          <w:lang w:eastAsia="en-US"/>
        </w:rPr>
        <w:t>biosimilaarilääkkeisiin</w:t>
      </w:r>
      <w:r w:rsidRPr="006A576B">
        <w:rPr>
          <w:szCs w:val="24"/>
          <w:lang w:eastAsia="en-US"/>
        </w:rPr>
        <w:t>, joilla on sama kansainvälisen nimistön mukainen nimi kuin myyntiluvassa tarkoitetulla tuotteella, riippumatta sellaisista mahdollisista vähäisistä eroista myöhemmän biosimilaarilääkkeen ja hyväksytyn tuotteen välillä, joita ei yleensä voida välttää biologisten tuotteiden luonteen vuoksi.</w:t>
      </w:r>
      <w:r w:rsidR="000B1D75" w:rsidRPr="006A576B">
        <w:rPr>
          <w:b/>
          <w:szCs w:val="24"/>
          <w:lang w:eastAsia="en-US"/>
        </w:rPr>
        <w:t xml:space="preserve"> [tark. 5]</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(14)</w:t>
      </w:r>
      <w:r w:rsidRPr="006A576B">
        <w:rPr>
          <w:szCs w:val="24"/>
          <w:lang w:eastAsia="en-US"/>
        </w:rPr>
        <w:tab/>
        <w:t>Jotta voidaan varmistaa mahdollisimman suuri joustavuus ja välttää perusteetonta syrjintää erityyppisten patenttien haltijoiden välillä, ei pitäisi rajoittaa patenttityyppiä, jonka perusteella kansallista todistusta voidaan hakea toimivaltaiselta kansalliselta viranomaiselta. Sen vuoksi hakemisen olisi edelleen oltava mahdollista kansallisen patentin tai eurooppapatentin perusteella ja erityisesti, kun kyseessä on vaikutukseltaan yhtenäinen eurooppapatentti, jäljempänä ’yhtenäispatentti’.</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(15)</w:t>
      </w:r>
      <w:r w:rsidRPr="006A576B">
        <w:rPr>
          <w:szCs w:val="24"/>
          <w:lang w:eastAsia="en-US"/>
        </w:rPr>
        <w:tab/>
        <w:t>Todistuksella myönnettävän suojan keston olisi oltava sellainen, että se antaa riittävän todellisen suojan. Tämän vuoksi patentin ja todistuksen haltijan on voitava saada hyväkseen kaikkiaan enintään viidentoista vuoden yksinoikeus siitä hetkestä lukien, kun ensimmäisen kerran unionissa annettiin lupa saattaa kyseessä oleva lääke markkinoille unionissa.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(16)</w:t>
      </w:r>
      <w:r w:rsidRPr="006A576B">
        <w:rPr>
          <w:szCs w:val="24"/>
          <w:lang w:eastAsia="en-US"/>
        </w:rPr>
        <w:tab/>
        <w:t>Kuitenkin lääkealan kaltaisella monimutkaisella ja herkällä alalla olisi otettava huomioon kaikki asiaan liittyvät edut, mukaan lukien kansanterveys. Sen vuoksi todistusta ei olisi voitava antaa viittä vuotta pidemmäksi ajaksi. Annettava suoja olisi lisäksi rajoitettava pelkästään siihen tuotteeseen, joka hyväksyttiin markkinoitavaksi lääkkeenä</w:t>
      </w:r>
      <w:r w:rsidR="0017454C" w:rsidRPr="006A576B">
        <w:rPr>
          <w:szCs w:val="24"/>
          <w:lang w:eastAsia="en-US"/>
        </w:rPr>
        <w:t xml:space="preserve"> </w:t>
      </w:r>
      <w:r w:rsidRPr="006A576B">
        <w:rPr>
          <w:szCs w:val="24"/>
          <w:lang w:eastAsia="en-US"/>
        </w:rPr>
        <w:t>unionissa. Rinnakkais- ja biosimilaarilääkkeiden nopea tulo unionin markkinoille on myös tärkeää erityisesti kilpailun lisäämiseksi, hintojen alentamiseksi sekä kansallisten terveydenhuoltojärjestelmien kestävyyden ja kohtuuhintaisten lääkkeiden paremman saatavuuden varmistamiseksi potilaille unionissa.</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(17)</w:t>
      </w:r>
      <w:r w:rsidRPr="006A576B">
        <w:rPr>
          <w:szCs w:val="24"/>
          <w:lang w:eastAsia="en-US"/>
        </w:rPr>
        <w:tab/>
        <w:t>Lastenlääkkeiden kehittämisen edistämiseksi olisi oltava mahdollista jatkaa yksinoikeuden 15 vuoden enimmäisvoimassaoloaikaa ja todistuksen viiden vuoden enimmäisvoimassaoloaikaa, jos voidaan soveltaa Euroopan parlamentin ja neuvoston asetuksen (EY) N:o 1901/2006</w:t>
      </w:r>
      <w:r w:rsidRPr="006A576B">
        <w:rPr>
          <w:szCs w:val="24"/>
          <w:vertAlign w:val="superscript"/>
          <w:lang w:val="en-GB" w:eastAsia="en-US"/>
        </w:rPr>
        <w:footnoteReference w:id="7"/>
      </w:r>
      <w:r w:rsidRPr="006A576B">
        <w:rPr>
          <w:szCs w:val="24"/>
          <w:lang w:eastAsia="en-US"/>
        </w:rPr>
        <w:t xml:space="preserve"> 36 artiklan säädöksiä lastenlääkkeitä koskevasta jatkoajasta.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(18)</w:t>
      </w:r>
      <w:r w:rsidRPr="006A576B">
        <w:rPr>
          <w:szCs w:val="24"/>
          <w:lang w:eastAsia="en-US"/>
        </w:rPr>
        <w:tab/>
        <w:t>Lisäsuojajärjestelmän luomisesta lähtien todistuksia on haettu ja myönnetty vain kansallisella tasolla, minkä vuoksi samankaltaisia hakemuksia on tehty ja niitä on tutkittu samanaikaisesti useissa jäsenvaltioissa. Tämä on aiheuttanut päällekkäistä työtä sekä hakijoille että toimivaltaisille teollisoikeuksien virastoille, jäljempänä ’toimivaltaiset kansalliset viranomaiset’, niiden suorittaessa erillisiä tutkimusmenettelyjä tietyn tuotteen osalta, sekä joitakin eroja eri jäsenvaltioiden toimivaltaisten kansallisten viranomaisten tekemissä päätöksissä. Tällaiset erot liittyvät yleensä todistuksen myöntämisen tai epäämisen edellytyksiin sekä todistuksen myöntämiseen samalle tuotteelle yhdessä jäsenvaltiossa ja epäämiseen toisessa jäsenvaltiossa tai eroihin markkinoille saattamista koskevaan ennakkolupaan sovellettavien edellytysten soveltamisessa tai siihen, onko tuotteelle jo annettu lisäsuojatodistus. Tämä aiheuttaa oikeudellista epävarmuutta ja on ristiriidassa sisämarkkinoiden tavoitteiden kanssa.</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(19)</w:t>
      </w:r>
      <w:r w:rsidRPr="006A576B">
        <w:rPr>
          <w:szCs w:val="24"/>
          <w:lang w:eastAsia="en-US"/>
        </w:rPr>
        <w:tab/>
      </w:r>
      <w:proofErr w:type="spellStart"/>
      <w:r w:rsidRPr="006A576B">
        <w:rPr>
          <w:szCs w:val="24"/>
          <w:lang w:eastAsia="en-US"/>
        </w:rPr>
        <w:t>Eurooppapatenttien</w:t>
      </w:r>
      <w:proofErr w:type="spellEnd"/>
      <w:r w:rsidRPr="006A576B">
        <w:rPr>
          <w:szCs w:val="24"/>
          <w:lang w:eastAsia="en-US"/>
        </w:rPr>
        <w:t xml:space="preserve"> myöntämiseen ja lääkkeiden myyntilupien saamiseen on olemassa keskitetyt menettelyt. Euroopan parlamentin ja neuvoston asetuksessa (EU) N:o 1257/2012</w:t>
      </w:r>
      <w:r w:rsidRPr="006A576B">
        <w:rPr>
          <w:szCs w:val="24"/>
          <w:vertAlign w:val="superscript"/>
          <w:lang w:val="en-GB" w:eastAsia="en-US"/>
        </w:rPr>
        <w:footnoteReference w:id="8"/>
      </w:r>
      <w:r w:rsidRPr="006A576B">
        <w:rPr>
          <w:szCs w:val="24"/>
          <w:lang w:eastAsia="en-US"/>
        </w:rPr>
        <w:t xml:space="preserve"> tarkoitetun yhtenäispatentin on määrä tulla voimaan kesäkuussa 2023 niiden jäsenvaltioiden osalta, jotka ovat ratifioineet yhdistettyä patenttituomioistuinta koskevan sopimuksen.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(20)</w:t>
      </w:r>
      <w:r w:rsidRPr="006A576B">
        <w:rPr>
          <w:szCs w:val="24"/>
          <w:lang w:eastAsia="en-US"/>
        </w:rPr>
        <w:tab/>
        <w:t>Sen vuoksi on tarpeen täydentää lääkkeitä koskevien todistusten myöntämisen nykyisiä kansallisia menettelyjä keskitetyllä menettelyllä. Menettelyllä olisi mahdollistettava kansallisten todistusten hakeminen kahden tai useamman nimetyn jäsenvaltion osalta jättämällä tutkittavaksi yksi keskitetty hakemus, jos peruspatentti on eurooppapatentti, mukaan lukien yhtenäispatentti. Keskitetyssä menettelyssä myönnettyjen todistusten olisi vastattava kansallisissa menettelyissä myönnettyjä todistuksia ja niihin olisi sovellettava samoja sääntöjä.</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(21)</w:t>
      </w:r>
      <w:r w:rsidRPr="006A576B">
        <w:rPr>
          <w:szCs w:val="24"/>
          <w:lang w:eastAsia="en-US"/>
        </w:rPr>
        <w:tab/>
        <w:t>Euroopan parlamentin ja neuvoston asetuksen (EU) 2017/1001</w:t>
      </w:r>
      <w:r w:rsidRPr="006A576B">
        <w:rPr>
          <w:szCs w:val="24"/>
          <w:vertAlign w:val="superscript"/>
          <w:lang w:val="en-GB" w:eastAsia="en-US"/>
        </w:rPr>
        <w:footnoteReference w:id="9"/>
      </w:r>
      <w:r w:rsidRPr="006A576B">
        <w:rPr>
          <w:szCs w:val="24"/>
          <w:lang w:eastAsia="en-US"/>
        </w:rPr>
        <w:t xml:space="preserve"> 2 artiklalla on perustettu Euroopan unionin teollisoikeuksien virasto, jäljempänä ’virasto’. Sisämarkkinoiden edun mukaisesti keskitetyn menettelyn olisi oltava yhden ainoan tutkintaviranomaisen vastuulla. Tämä voidaan saavuttaa antamalla virastolle tehtäväksi tutkia todistushakemukset keskitetyssä menettelyssä tämän asetuksen mukaisesti.</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(22)</w:t>
      </w:r>
      <w:r w:rsidRPr="006A576B">
        <w:rPr>
          <w:szCs w:val="24"/>
          <w:lang w:eastAsia="en-US"/>
        </w:rPr>
        <w:tab/>
        <w:t>Keskitetyn hakemuksen yksinkertaistetun tutkimisen mahdollistamiseksi hakemus olisi voitava jättää ainoastaan eurooppapatentin, myös yhtenäispatentin, perusteella. Keskitettyä hakemusta ei tulisi voida tehdä yksittäisten kansallisten patenttien kokoelman perusteella, sillä niiden vaatimukset ovat todennäköisesti erilaiset, mikä monimutkaistaa tutkimusta verrattuna tilanteisiin, joissa peruspatentti on eurooppapatentti.</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(23)</w:t>
      </w:r>
      <w:r w:rsidRPr="006A576B">
        <w:rPr>
          <w:szCs w:val="24"/>
          <w:lang w:eastAsia="en-US"/>
        </w:rPr>
        <w:tab/>
        <w:t>Keskitettyä menettelyä olisi sovellettava ainoastaan lääkkeeseen, jolle on myönnetty keskitetty myyntilupa Euroopan parlamentin ja neuvoston asetuksen (EY) N:o 726/2004</w:t>
      </w:r>
      <w:r w:rsidRPr="006A576B">
        <w:rPr>
          <w:szCs w:val="24"/>
          <w:vertAlign w:val="superscript"/>
          <w:lang w:val="en-GB" w:eastAsia="en-US"/>
        </w:rPr>
        <w:footnoteReference w:id="10"/>
      </w:r>
      <w:r w:rsidRPr="006A576B">
        <w:rPr>
          <w:szCs w:val="24"/>
          <w:lang w:eastAsia="en-US"/>
        </w:rPr>
        <w:t xml:space="preserve"> tai Euroopan parlamentin ja neuvoston asetuksen (EU) 2019/6</w:t>
      </w:r>
      <w:r w:rsidRPr="006A576B">
        <w:rPr>
          <w:szCs w:val="24"/>
          <w:vertAlign w:val="superscript"/>
          <w:lang w:val="en-GB" w:eastAsia="en-US"/>
        </w:rPr>
        <w:footnoteReference w:id="11"/>
      </w:r>
      <w:r w:rsidRPr="006A576B">
        <w:rPr>
          <w:szCs w:val="24"/>
          <w:lang w:eastAsia="en-US"/>
        </w:rPr>
        <w:t xml:space="preserve"> mukaisesti. Nämä luvat koskevat ihmisille tarkoitettuja lääkkeitä ja eläinlääkkeitä. Toisin kuin kansalliset luvat, tällainen lupa koskee samaa lääkettä kaikkialla unionissa, ja se helpottaa keskitettyjen hakemusten tutkimista.</w:t>
      </w:r>
    </w:p>
    <w:p w:rsidR="00AD600E" w:rsidRPr="006A576B" w:rsidRDefault="00AD600E" w:rsidP="00207001">
      <w:pPr>
        <w:widowControl/>
        <w:spacing w:before="120" w:after="120" w:line="360" w:lineRule="auto"/>
        <w:ind w:left="850" w:hanging="850"/>
        <w:rPr>
          <w:b/>
          <w:szCs w:val="24"/>
          <w:lang w:eastAsia="en-US"/>
        </w:rPr>
      </w:pPr>
      <w:r w:rsidRPr="006A576B">
        <w:rPr>
          <w:szCs w:val="24"/>
          <w:lang w:eastAsia="en-US"/>
        </w:rPr>
        <w:t>(24)</w:t>
      </w:r>
      <w:r w:rsidRPr="006A576B">
        <w:rPr>
          <w:szCs w:val="24"/>
          <w:lang w:eastAsia="en-US"/>
        </w:rPr>
        <w:tab/>
        <w:t xml:space="preserve">Virastolla olisi oltava mahdollisuus periä maksu keskitetystä todistushakemuksesta ja lastenlääkkeiden osalta todistusten voimassaoloajan jatkamista koskevasta hakemuksesta </w:t>
      </w:r>
      <w:r w:rsidRPr="006A576B">
        <w:rPr>
          <w:b/>
          <w:i/>
          <w:szCs w:val="24"/>
          <w:lang w:eastAsia="en-US"/>
        </w:rPr>
        <w:t xml:space="preserve">direktiivin (EU) .../... [2023/0132(COD)] 86 artiklan mukaisesti </w:t>
      </w:r>
      <w:r w:rsidRPr="006A576B">
        <w:rPr>
          <w:szCs w:val="24"/>
          <w:lang w:eastAsia="en-US"/>
        </w:rPr>
        <w:t>sekä muita menettelyyn liittyviä maksuja, kuten väitteestä tai valituksesta perittävä maksu. Viraston perimät maksut olisi vahvistettava täytäntöönpanosäädöksellä.</w:t>
      </w:r>
      <w:r w:rsidR="000B1D75" w:rsidRPr="006A576B">
        <w:rPr>
          <w:b/>
          <w:szCs w:val="24"/>
          <w:lang w:eastAsia="en-US"/>
        </w:rPr>
        <w:t xml:space="preserve"> [tark. 6]</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(25)</w:t>
      </w:r>
      <w:r w:rsidRPr="006A576B">
        <w:rPr>
          <w:szCs w:val="24"/>
          <w:lang w:eastAsia="en-US"/>
        </w:rPr>
        <w:tab/>
        <w:t>Jotta voidaan varmistaa saman peruspatentin perusteella ja samalle tuotteelle jäsenvaltioissa myönnettyjen todistusten yhdenmukaisuus, vähentää tutkimiseen liittyvää kokonaisrasitusta ja varmistaa myöntämisedellytysten asianmukainen soveltaminen kaikissa jäsenvaltioissa, joissa haetaan suojaa tietylle tuotteelle, on tarpeen, että keskitetty menettely on ainoa käytettävissä oleva vaihtoehto niiden jäsenvaltioiden osalta, joissa asiaan liittyvät vaatimukset täyttyvät, eli että peruspatentti on eurooppapatentti, mukaan lukien yhtenäispatentti, ja että myyntilupa on keskitetty. Tätä varten kansallisen viraston olisi hylättävä toimivaltaiselle kansalliselle viranomaiselle jätetty kansallinen todistushakemus, jos keskitetyn menettelyn käyttöä koskevat vaatimukset täyttyvät. Toimenpide on oikeasuhteinen, kun otetaan huomioon eroavuuksien riski, eikä sitä sovelleta tilanteisiin, joissa mainitut vaatimukset eivät täyty, jolloin kansallisia hakemuksia voidaan edelleen jättää.</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(26)</w:t>
      </w:r>
      <w:r w:rsidRPr="006A576B">
        <w:rPr>
          <w:szCs w:val="24"/>
          <w:lang w:eastAsia="en-US"/>
        </w:rPr>
        <w:tab/>
        <w:t>Hakijan olisi myös voitava jättää yhdistetty hakemus, johon sisältyisi asetuksessa [COM(2023) 222] tarkoitettua yhtenäistä todistusta koskeva hakemus. Tällaiseen yhdistettyyn hakemukseen olisi sovellettava yhtä tutkimusmenettelyä.</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(27)</w:t>
      </w:r>
      <w:r w:rsidRPr="006A576B">
        <w:rPr>
          <w:szCs w:val="24"/>
          <w:lang w:eastAsia="en-US"/>
        </w:rPr>
        <w:tab/>
        <w:t>Kaksinkertaisen suojan välttämiseksi ei pitäisi olla mahdollista myöntää todistuksia – olivatpa ne kansallisia todistuksia tai yhtenäisiä todistuksia – samalle tuotteelle samassa jäsenvaltiossa sekä kansallisen että keskitetyn hakemuksen perusteella.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(28)</w:t>
      </w:r>
      <w:r w:rsidRPr="006A576B">
        <w:rPr>
          <w:szCs w:val="24"/>
          <w:lang w:eastAsia="en-US"/>
        </w:rPr>
        <w:tab/>
        <w:t>Oikeudenmukaisen ja avoimen menettelyn takaamiseksi, oikeusvarmuuden varmistamiseksi ja myöhemmin tapahtuvan pätevyyden riitauttamisen riskin vähentämiseksi kolmansilla osapuolilla olisi oltava mahdollisuus esittää keskitetyn hakemuksen julkaisemisen jälkeen virastolle huomautuksia kolmen kuukauden kuluessa keskitetyn tutkimusmenettelyn aikana. Myös jäsenvaltioiden olisi sisällyttävä kolmansiin osapuoliin, jotka voivat esittää huomautuksia. Tämä ei kuitenkaan saisi vaikuttaa kolmansien osapuolten oikeuksiin panna mitättömyysmenettely vireille elimessä, joka kansallisen lainsäädännön mukaan on vastuussa vastaavan peruspatentin kumoamisesta. Nämä säännökset ovat tarpeen, jotta voidaan varmistaa kolmansien osapuolten osallistuminen sekä ennen todistusten myöntämistä että sen jälkeen.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(29)</w:t>
      </w:r>
      <w:r w:rsidRPr="006A576B">
        <w:rPr>
          <w:szCs w:val="24"/>
          <w:lang w:eastAsia="en-US"/>
        </w:rPr>
        <w:tab/>
        <w:t>Viraston olisi tutkittava keskitetty todistushakemus ja annettava tutkimuslausunto. Lausunnossa olisi esitettävä syyt, joiden vuoksi se on kunkin nimetyn jäsenvaltion osalta myönteinen tai kielteinen.</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b/>
          <w:szCs w:val="24"/>
          <w:lang w:eastAsia="en-US"/>
        </w:rPr>
      </w:pPr>
      <w:r w:rsidRPr="006A576B">
        <w:rPr>
          <w:szCs w:val="24"/>
          <w:lang w:eastAsia="en-US"/>
        </w:rPr>
        <w:lastRenderedPageBreak/>
        <w:t>(30)</w:t>
      </w:r>
      <w:r w:rsidRPr="006A576B">
        <w:rPr>
          <w:szCs w:val="24"/>
          <w:lang w:eastAsia="en-US"/>
        </w:rPr>
        <w:tab/>
        <w:t xml:space="preserve">Keskitetyn todistushakemuksen tutkimisen suorittaa viraston valvonnassa tutkimuslautakunta, johon kuuluu yksi viraston jäsen ja kaksi kansallisten patenttivirastojen palveluksessa olevaa tutkijaa. Näin varmistettaisiin, että lisäsuojatodistuksiin liittyvissä asioissa </w:t>
      </w:r>
      <w:r w:rsidRPr="006A576B">
        <w:rPr>
          <w:b/>
          <w:i/>
          <w:szCs w:val="24"/>
          <w:lang w:eastAsia="en-US"/>
        </w:rPr>
        <w:t xml:space="preserve">ja niihin liittyvissä patenttiasioissa </w:t>
      </w:r>
      <w:r w:rsidRPr="006A576B">
        <w:rPr>
          <w:szCs w:val="24"/>
          <w:lang w:eastAsia="en-US"/>
        </w:rPr>
        <w:t xml:space="preserve">hyödynnetään parhaalla mahdollisella tavalla asiantuntemusta, jota tällä hetkellä on vain kansallisissa virastoissa. Tutkimuksen optimaalisen laadun varmistamiseksi </w:t>
      </w:r>
      <w:r w:rsidRPr="006A576B">
        <w:rPr>
          <w:b/>
          <w:i/>
          <w:szCs w:val="24"/>
          <w:lang w:eastAsia="en-US"/>
        </w:rPr>
        <w:t xml:space="preserve">viraston ja toimivaltaisten kansallisten viranomaisten olisi varmistettava, että nimetyillä tutkijoilla on asiaankuuluva asiantuntemus ja riittävä kokemus lisäsuojatodistusten arvioinnista. </w:t>
      </w:r>
      <w:r w:rsidRPr="006A576B">
        <w:rPr>
          <w:szCs w:val="24"/>
          <w:lang w:eastAsia="en-US"/>
        </w:rPr>
        <w:t xml:space="preserve">Olisi vahvistettava asianmukaiset </w:t>
      </w:r>
      <w:r w:rsidRPr="006A576B">
        <w:rPr>
          <w:strike/>
          <w:szCs w:val="24"/>
          <w:lang w:eastAsia="en-US"/>
        </w:rPr>
        <w:t>kriteerit</w:t>
      </w:r>
      <w:r w:rsidRPr="006A576B">
        <w:rPr>
          <w:b/>
          <w:i/>
          <w:szCs w:val="24"/>
          <w:lang w:eastAsia="en-US"/>
        </w:rPr>
        <w:t>lisäkriteerit</w:t>
      </w:r>
      <w:r w:rsidRPr="006A576B">
        <w:rPr>
          <w:szCs w:val="24"/>
          <w:lang w:eastAsia="en-US"/>
        </w:rPr>
        <w:t xml:space="preserve"> erityistutkijoiden osallistumiselle keskitettyyn menettelyyn, erityisesti pätevyyden ja eturistiriitojen osalta.</w:t>
      </w:r>
      <w:r w:rsidR="000B1D75" w:rsidRPr="006A576B">
        <w:rPr>
          <w:b/>
          <w:szCs w:val="24"/>
          <w:lang w:eastAsia="en-US"/>
        </w:rPr>
        <w:t xml:space="preserve"> [tark. 7]</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(31)</w:t>
      </w:r>
      <w:r w:rsidRPr="006A576B">
        <w:rPr>
          <w:szCs w:val="24"/>
          <w:lang w:eastAsia="en-US"/>
        </w:rPr>
        <w:tab/>
        <w:t>Jos virasto toteaa, että todistuksen myöntämisen edellytykset täyttyvät yhdessä tai useammassa keskitetyssä hakemuksessa nimetyssä jäsenvaltiossa mutta eivät täyty yhdessä tai useammassa muussa jäsenvaltiossa, mukaan lukien tapaukset, joissa perustana olevalla eurooppapatentilla on yhdessä nimetyssä jäsenvaltiossa eri vaatimukset, jotka eivät kata tuotetta, viraston olisi annettava myönteinen lausunto niiden nimettyjen jäsenvaltioiden osalta, joissa todistuksen saamisen edellytykset täyttyvät, ja kielteinen lausunto niiden jäsenvaltioiden osalta, joissa edellytykset eivät täyty.</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(32)</w:t>
      </w:r>
      <w:r w:rsidRPr="006A576B">
        <w:rPr>
          <w:szCs w:val="24"/>
          <w:lang w:eastAsia="en-US"/>
        </w:rPr>
        <w:tab/>
        <w:t>Kolmansien osapuolten menettelyllisten oikeuksien turvaamiseksi ja kattavan oikeussuojakeinojen järjestelmän varmistamiseksi kolmansien osapuolten olisi voitava riitauttaa tutkimuslausunto aloittamalla väitemenettely lyhyen ajan kuluessa kyseisen lausunnon julkaisemisesta, ja tämä väite voi johtaa lausunnon muuttamiseen.</w:t>
      </w:r>
    </w:p>
    <w:p w:rsidR="00AD600E" w:rsidRPr="006A576B" w:rsidRDefault="00AD600E" w:rsidP="00207001">
      <w:pPr>
        <w:widowControl/>
        <w:spacing w:before="120" w:after="120" w:line="360" w:lineRule="auto"/>
        <w:ind w:left="850" w:hanging="850"/>
        <w:rPr>
          <w:b/>
          <w:szCs w:val="24"/>
          <w:lang w:eastAsia="en-US"/>
        </w:rPr>
      </w:pPr>
      <w:r w:rsidRPr="006A576B">
        <w:rPr>
          <w:b/>
          <w:i/>
          <w:szCs w:val="24"/>
          <w:lang w:eastAsia="en-US"/>
        </w:rPr>
        <w:t>(32</w:t>
      </w:r>
      <w:r w:rsidR="000B1D75" w:rsidRPr="006A576B">
        <w:rPr>
          <w:b/>
          <w:i/>
          <w:szCs w:val="24"/>
          <w:lang w:eastAsia="en-US"/>
        </w:rPr>
        <w:t xml:space="preserve"> </w:t>
      </w:r>
      <w:r w:rsidRPr="006A576B">
        <w:rPr>
          <w:b/>
          <w:i/>
          <w:szCs w:val="24"/>
          <w:lang w:eastAsia="en-US"/>
        </w:rPr>
        <w:t>a)</w:t>
      </w:r>
      <w:r w:rsidRPr="006A576B">
        <w:rPr>
          <w:szCs w:val="24"/>
          <w:lang w:eastAsia="en-US"/>
        </w:rPr>
        <w:tab/>
      </w:r>
      <w:r w:rsidRPr="006A576B">
        <w:rPr>
          <w:b/>
          <w:i/>
          <w:szCs w:val="24"/>
          <w:lang w:eastAsia="en-US"/>
        </w:rPr>
        <w:t>Innovaatioiden tehokkaan suojelun takaamiseksi tietyissä kiireellisissä tilanteissa, kuten silloin, kun peruspatentin voimassaolo on päättymäisillään, saatetaan tarvita nopeutettua tutkimusmenettelyä, mutta sillä ei kuitenkaan rajoiteta kolmansien osapuolten mahdollisuutta esittää huomautuksia tai käyttää muita tässä asetuksessa säädettyjä oikeussuojakeinoja. Siksi olisi säädettävä mekanismista, jolla hakijat voivat pyytää nopeutettua tutkimusmenettelyä.</w:t>
      </w:r>
      <w:r w:rsidR="000B1D75" w:rsidRPr="006A576B">
        <w:rPr>
          <w:b/>
          <w:szCs w:val="24"/>
          <w:lang w:eastAsia="en-US"/>
        </w:rPr>
        <w:t xml:space="preserve"> [tark. 8]</w:t>
      </w:r>
    </w:p>
    <w:p w:rsidR="00AD600E" w:rsidRPr="006A576B" w:rsidRDefault="00AD600E" w:rsidP="00207001">
      <w:pPr>
        <w:widowControl/>
        <w:spacing w:before="120" w:after="120" w:line="360" w:lineRule="auto"/>
        <w:ind w:left="850" w:hanging="850"/>
        <w:rPr>
          <w:b/>
          <w:szCs w:val="24"/>
          <w:lang w:eastAsia="en-US"/>
        </w:rPr>
      </w:pPr>
      <w:r w:rsidRPr="006A576B">
        <w:rPr>
          <w:szCs w:val="24"/>
          <w:lang w:eastAsia="en-US"/>
        </w:rPr>
        <w:t>(33)</w:t>
      </w:r>
      <w:r w:rsidRPr="006A576B">
        <w:rPr>
          <w:szCs w:val="24"/>
          <w:lang w:eastAsia="en-US"/>
        </w:rPr>
        <w:tab/>
        <w:t>Kun keskitetyn hakemuksen tutkiminen on saatu päätökseen ja valitukselle ja väitteelle asetetut määräajat ovat päättyneet tai tapauksen mukaan on tehty lopullinen päätös asiasta, lausunto olisi toimitettava nimettyjen jäsenvaltioiden kansallisille patenttivirastoille.</w:t>
      </w:r>
      <w:r w:rsidRPr="006A576B">
        <w:rPr>
          <w:b/>
          <w:i/>
          <w:szCs w:val="24"/>
          <w:lang w:eastAsia="en-US"/>
        </w:rPr>
        <w:t xml:space="preserve"> Viraston täytyy varmistaa, että tiedot toimitetaan sellaisessa aikataulussa, että kansalliset patenttivirastot ehtivät tapauksen mukaan joko myöntää todistuksen tai hylätä hakemuksen ennen peruspatentin voimassaolon päättymistä.</w:t>
      </w:r>
      <w:r w:rsidR="000B1D75" w:rsidRPr="006A576B">
        <w:rPr>
          <w:b/>
          <w:szCs w:val="24"/>
          <w:lang w:eastAsia="en-US"/>
        </w:rPr>
        <w:t xml:space="preserve"> [tark. 9]</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(34)</w:t>
      </w:r>
      <w:r w:rsidRPr="006A576B">
        <w:rPr>
          <w:szCs w:val="24"/>
          <w:lang w:eastAsia="en-US"/>
        </w:rPr>
        <w:tab/>
        <w:t>Jos tutkimuslausunto on myönteinen yhden tai useamman jäsenvaltion osalta, niiden toimivaltaisten kansallisten viranomaisten olisi myönnettävä todistus sovellettavien kansallisten sääntöjen mukaisesti, erityisesti kun on kyse julkaisemisesta, rekisteröinnistä asiaankuuluviin tietokantoihin ja vuosimaksujen maksamisesta.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(35)</w:t>
      </w:r>
      <w:r w:rsidRPr="006A576B">
        <w:rPr>
          <w:szCs w:val="24"/>
          <w:lang w:eastAsia="en-US"/>
        </w:rPr>
        <w:tab/>
        <w:t>Jos tutkimuslausunto on kielteinen yhden tai useamman jäsenvaltion osalta, niiden toimivaltaisten kansallisten viranomaisten olisi hylättävä hakemus sovellettavien kansallisten sääntöjen mukaisesti.</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(36)</w:t>
      </w:r>
      <w:r w:rsidRPr="006A576B">
        <w:rPr>
          <w:szCs w:val="24"/>
          <w:lang w:eastAsia="en-US"/>
        </w:rPr>
        <w:tab/>
        <w:t>Yhdenmukaisuuden ja oikeusvarmuuden takaamiseksi kansallisiin hakemuksiin ja keskitettyihin hakemuksiin olisi sovellettava samoja aineellisia säännöksiä, erityisesti todistusten soveltamisalaa, myöntämisedellytyksiä, suojan kohdetta ja vaikutusta sekä niiden julkaisemista koskevia säännöksiä. Keskitetyn menettelyn tuloksena myönnetyt kansalliset todistukset olisivat täysin samanlaisia kuin kansallisten hakemusten perusteella myönnetyt todistukset.</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(37)</w:t>
      </w:r>
      <w:r w:rsidRPr="006A576B">
        <w:rPr>
          <w:szCs w:val="24"/>
          <w:lang w:eastAsia="en-US"/>
        </w:rPr>
        <w:tab/>
        <w:t>Koska tietyillä toimivaltaisilla kansallisilla viranomaisilla voi olla rajalliset hallinnolliset valmiudet todistushakemusten sisällön tutkimiseen kaikilta osin, toimivaltaisten kansallisten viranomaisten olisi edelleen voitava olla tarkastamatta kaikkia kansallisen hakemuksen perusteella myönnettävän todistuksen myöntämisen edellytyksiä. Keskitetyssä menettelyssä myönnettyjen todistusten laadun ja yhdenmukaisuuden varmistamiseksi viraston olisi kuitenkin tutkittava kaikki keskitetyssä menettelyssä myönnettävän todistuksen myöntämisen edellytykset.</w:t>
      </w:r>
    </w:p>
    <w:p w:rsidR="00AD600E" w:rsidRPr="006A576B" w:rsidRDefault="00AD600E" w:rsidP="00207001">
      <w:pPr>
        <w:widowControl/>
        <w:spacing w:before="120" w:after="120" w:line="360" w:lineRule="auto"/>
        <w:ind w:left="850" w:hanging="850"/>
        <w:rPr>
          <w:b/>
          <w:szCs w:val="24"/>
          <w:lang w:eastAsia="en-US"/>
        </w:rPr>
      </w:pPr>
      <w:r w:rsidRPr="006A576B">
        <w:rPr>
          <w:szCs w:val="24"/>
          <w:lang w:eastAsia="en-US"/>
        </w:rPr>
        <w:t>(38)</w:t>
      </w:r>
      <w:r w:rsidRPr="006A576B">
        <w:rPr>
          <w:szCs w:val="24"/>
          <w:lang w:eastAsia="en-US"/>
        </w:rPr>
        <w:tab/>
        <w:t>Jos viraston päätös vaikuttaa kielteisesti hakijaan tai muuhun osapuoleen, hakijalla tai kyseisellä osapuolella olisi oltava</w:t>
      </w:r>
      <w:r w:rsidRPr="006A576B">
        <w:rPr>
          <w:b/>
          <w:i/>
          <w:szCs w:val="24"/>
          <w:lang w:eastAsia="en-US"/>
        </w:rPr>
        <w:t xml:space="preserve"> menettelyllisten oikeuksien turvaamiseksi ja oikeussuojakeinojen kattavan järjestelmän varmistamiseksi</w:t>
      </w:r>
      <w:r w:rsidRPr="006A576B">
        <w:rPr>
          <w:szCs w:val="24"/>
          <w:lang w:eastAsia="en-US"/>
        </w:rPr>
        <w:t xml:space="preserve"> oikeus valittaa päätöksestä viraston valituslautakunnalle kahden kuukauden kuluessa maksua vastaan. Hakijan olisi voitava valittaa myös tutkimuslausunnosta. Valituslautakunnan päätöksistä puolestaan olisi voitava valittaa unionin yleiseen tuomioistuimeen, joka voi kumota riitautetun päätöksen tai muuttaa sitä. Jos kyseessä on yhdistetty hakemus, johon sisältyy pyyntö yhtenäisestä todistuksesta, voidaan tehdä yhteinen valitus.</w:t>
      </w:r>
      <w:r w:rsidR="000B1D75" w:rsidRPr="006A576B">
        <w:rPr>
          <w:b/>
          <w:szCs w:val="24"/>
          <w:lang w:eastAsia="en-US"/>
        </w:rPr>
        <w:t xml:space="preserve"> [tark. 10]</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b/>
          <w:szCs w:val="24"/>
          <w:lang w:eastAsia="en-US"/>
        </w:rPr>
      </w:pPr>
      <w:r w:rsidRPr="006A576B">
        <w:rPr>
          <w:szCs w:val="24"/>
          <w:lang w:eastAsia="en-US"/>
        </w:rPr>
        <w:lastRenderedPageBreak/>
        <w:t>(39)</w:t>
      </w:r>
      <w:r w:rsidRPr="006A576B">
        <w:rPr>
          <w:szCs w:val="24"/>
          <w:lang w:eastAsia="en-US"/>
        </w:rPr>
        <w:tab/>
        <w:t xml:space="preserve">Kun nimitetään valituslautakuntien jäseniä käsittelemään keskitettyjä todistushakemuksia koskevia asioita, olisi otettava huomioon heidän </w:t>
      </w:r>
      <w:r w:rsidRPr="006A576B">
        <w:rPr>
          <w:b/>
          <w:i/>
          <w:szCs w:val="24"/>
          <w:lang w:eastAsia="en-US"/>
        </w:rPr>
        <w:t xml:space="preserve">asiaankuuluva asiantuntemuksensa, riippumattomuutensa ja riittävä </w:t>
      </w:r>
      <w:r w:rsidRPr="006A576B">
        <w:rPr>
          <w:szCs w:val="24"/>
          <w:lang w:eastAsia="en-US"/>
        </w:rPr>
        <w:t>aiempi kokemuksensa lisäsuojatodistuksesta tai patenttiasioista.</w:t>
      </w:r>
      <w:r w:rsidR="000B1D75" w:rsidRPr="006A576B">
        <w:rPr>
          <w:b/>
          <w:szCs w:val="24"/>
          <w:lang w:eastAsia="en-US"/>
        </w:rPr>
        <w:t xml:space="preserve"> [tark. 11]</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(40)</w:t>
      </w:r>
      <w:r w:rsidRPr="006A576B">
        <w:rPr>
          <w:szCs w:val="24"/>
          <w:lang w:eastAsia="en-US"/>
        </w:rPr>
        <w:tab/>
        <w:t>Kuka tahansa voi riitauttaa keskitetyssä menettelyssä myönnetyn todistuksen pätevyyden jäsenvaltion toimivaltaisessa tuomioistuimessa, myös yhdistetyssä patenttituomioistuimessa, jos edellytykset täyttyvät.</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(41)</w:t>
      </w:r>
      <w:r w:rsidRPr="006A576B">
        <w:rPr>
          <w:szCs w:val="24"/>
          <w:lang w:eastAsia="en-US"/>
        </w:rPr>
        <w:tab/>
        <w:t>Todistuksen haltijoille aiheutuvan hallinnollisen taakan ja kustannusten vähentämiseksi keskitetyn menettelyn olisi mahdollistettava nopea tapa hakea ja myöntää tietylle lääkkeelle uudessa keskitetyssä menettelyssä myönnettyjen vastaavien todistusten voimassaoloajan jatkamista asetuksen (EY) N:o 1901/2006 mukaisesti. Toimivaltaisten kansallisten viranomaisten olisi myönnettävä tällaiset todistusten jatkoajat edellyttäen, että voimassaoloajan jatkamista koskeva keskitetty hakemus on hyväksytty.</w:t>
      </w:r>
    </w:p>
    <w:p w:rsidR="00D2607E" w:rsidRPr="006A576B" w:rsidRDefault="00D2607E">
      <w:pPr>
        <w:widowControl/>
        <w:rPr>
          <w:b/>
          <w:i/>
          <w:szCs w:val="24"/>
          <w:lang w:eastAsia="en-US"/>
        </w:rPr>
      </w:pPr>
      <w:r w:rsidRPr="006A576B">
        <w:rPr>
          <w:b/>
          <w:i/>
          <w:szCs w:val="24"/>
          <w:lang w:eastAsia="en-US"/>
        </w:rPr>
        <w:br w:type="page"/>
      </w:r>
    </w:p>
    <w:p w:rsidR="00AD600E" w:rsidRPr="006A576B" w:rsidRDefault="00AD600E" w:rsidP="00207001">
      <w:pPr>
        <w:widowControl/>
        <w:spacing w:before="120" w:after="120" w:line="360" w:lineRule="auto"/>
        <w:ind w:left="850" w:hanging="850"/>
        <w:rPr>
          <w:b/>
          <w:szCs w:val="24"/>
          <w:lang w:eastAsia="en-US"/>
        </w:rPr>
      </w:pPr>
      <w:r w:rsidRPr="006A576B">
        <w:rPr>
          <w:b/>
          <w:i/>
          <w:szCs w:val="24"/>
          <w:lang w:eastAsia="en-US"/>
        </w:rPr>
        <w:lastRenderedPageBreak/>
        <w:t>(41</w:t>
      </w:r>
      <w:r w:rsidR="00D2607E" w:rsidRPr="006A576B">
        <w:rPr>
          <w:b/>
          <w:i/>
          <w:szCs w:val="24"/>
          <w:lang w:eastAsia="en-US"/>
        </w:rPr>
        <w:t xml:space="preserve"> </w:t>
      </w:r>
      <w:r w:rsidRPr="006A576B">
        <w:rPr>
          <w:b/>
          <w:i/>
          <w:szCs w:val="24"/>
          <w:lang w:eastAsia="en-US"/>
        </w:rPr>
        <w:t>a)</w:t>
      </w:r>
      <w:r w:rsidRPr="006A576B">
        <w:rPr>
          <w:szCs w:val="24"/>
          <w:lang w:eastAsia="en-US"/>
        </w:rPr>
        <w:tab/>
      </w:r>
      <w:proofErr w:type="spellStart"/>
      <w:r w:rsidRPr="006A576B">
        <w:rPr>
          <w:b/>
          <w:i/>
          <w:szCs w:val="24"/>
          <w:lang w:eastAsia="en-US"/>
        </w:rPr>
        <w:t>Rinnakkais</w:t>
      </w:r>
      <w:proofErr w:type="spellEnd"/>
      <w:r w:rsidRPr="006A576B">
        <w:rPr>
          <w:b/>
          <w:i/>
          <w:szCs w:val="24"/>
          <w:lang w:eastAsia="en-US"/>
        </w:rPr>
        <w:t xml:space="preserve">- ja </w:t>
      </w:r>
      <w:proofErr w:type="spellStart"/>
      <w:r w:rsidRPr="006A576B">
        <w:rPr>
          <w:b/>
          <w:i/>
          <w:szCs w:val="24"/>
          <w:lang w:eastAsia="en-US"/>
        </w:rPr>
        <w:t>biosimilaarilääkkeiden</w:t>
      </w:r>
      <w:proofErr w:type="spellEnd"/>
      <w:r w:rsidRPr="006A576B">
        <w:rPr>
          <w:b/>
          <w:i/>
          <w:szCs w:val="24"/>
          <w:lang w:eastAsia="en-US"/>
        </w:rPr>
        <w:t xml:space="preserve"> oikea-aikainen tulo unionin markkinoille on tärkeää etenkin kilpailun lisäämiseksi, hintojen alentamiseksi ja kansallisten terveydenhuoltojärjestelmien kestävyyden sekä kohtuuhintaisten lääkkeiden paremman saatavuuden varmistamiseksi potilaille unionissa. Neuvosto korosti tällaisen oikea-aikaisen markkinoille tulon merkitystä lääkealan järjestelmien tasapainon vahvistamisesta Euroopan unionissa ja sen jäsenvaltioissa 17 päivänä kesäkuuta 2016 antamissaan päätelmissä. Toisaalta olisi muistettava, että teollis- ja tekijänoikeudet ovat edelleen yksi sisämarkkinoiden innovoinnin, kilpailukyvyn ja kasvun kulmakivistä.</w:t>
      </w:r>
      <w:r w:rsidR="000B1D75" w:rsidRPr="006A576B">
        <w:rPr>
          <w:b/>
          <w:szCs w:val="24"/>
          <w:lang w:eastAsia="en-US"/>
        </w:rPr>
        <w:t xml:space="preserve"> [tark. 12]</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(42)</w:t>
      </w:r>
      <w:r w:rsidRPr="006A576B">
        <w:rPr>
          <w:szCs w:val="24"/>
          <w:lang w:eastAsia="en-US"/>
        </w:rPr>
        <w:tab/>
        <w:t>Euroopan parlamentin ja neuvoston asetuksella (EU) 2019/933</w:t>
      </w:r>
      <w:r w:rsidRPr="006A576B">
        <w:rPr>
          <w:szCs w:val="24"/>
          <w:vertAlign w:val="superscript"/>
          <w:lang w:val="en-GB" w:eastAsia="en-US"/>
        </w:rPr>
        <w:footnoteReference w:id="12"/>
      </w:r>
      <w:r w:rsidRPr="006A576B">
        <w:rPr>
          <w:szCs w:val="24"/>
          <w:lang w:eastAsia="en-US"/>
        </w:rPr>
        <w:t xml:space="preserve"> unionissa otettiin vuonna 2019 käyttöön poikkeus, joka koskee lääkkeiden lisäsuojatodistusten haltijoille myönnettyä suojaa. Siinä todettiin, ettei ole olemassa minkäänlaisia poikkeuksia lisäsuojatodistuksen antamaan suojaan, minkä tahattomana seurauksena rinnakkais- ja biosimilaarilääkkeiden unioniin sijoittautuneiden valmistajien ei ole ollut mahdollista valmistaa rinnakkais- ja biosimilaarilääkkeitä unionissa edes sellaisille kolmansien maiden markkinoille suuntautuvaa vientiä varten, joilla suojaa ei ole tai joilla sen voimassaolo on päättynyt, tai varastoitavaksi välitöntä unionin markkinoille tuloa varten. Näissä olosuhteissa unionissa toimivat rinnakkais- ja biosimilaarilääkkeiden valmistajat ovat merkittävän epäedullisessa kilpailuasemassa verrattuna valmistajiin, jotka toimivat kolmansissa maissa, joissa suoja on vähäisempi tai joissa sitä ei ole lainkaan. Poikkeuksen käyttöönoton syyt ja sen soveltamisedellytykset ovat edelleen voimassa.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(43)</w:t>
      </w:r>
      <w:r w:rsidRPr="006A576B">
        <w:rPr>
          <w:szCs w:val="24"/>
          <w:lang w:eastAsia="en-US"/>
        </w:rPr>
        <w:tab/>
        <w:t>Olisi löydettävä tasapaino, kun</w:t>
      </w:r>
      <w:r w:rsidR="0017454C" w:rsidRPr="006A576B">
        <w:rPr>
          <w:szCs w:val="24"/>
          <w:lang w:eastAsia="en-US"/>
        </w:rPr>
        <w:t xml:space="preserve"> </w:t>
      </w:r>
      <w:r w:rsidRPr="006A576B">
        <w:rPr>
          <w:szCs w:val="24"/>
          <w:lang w:eastAsia="en-US"/>
        </w:rPr>
        <w:t>pyritään</w:t>
      </w:r>
      <w:r w:rsidR="0017454C" w:rsidRPr="006A576B">
        <w:rPr>
          <w:szCs w:val="24"/>
          <w:lang w:eastAsia="en-US"/>
        </w:rPr>
        <w:t xml:space="preserve"> </w:t>
      </w:r>
      <w:r w:rsidRPr="006A576B">
        <w:rPr>
          <w:szCs w:val="24"/>
          <w:lang w:eastAsia="en-US"/>
        </w:rPr>
        <w:t>yhtäältä palauttamaan</w:t>
      </w:r>
      <w:r w:rsidR="0017454C" w:rsidRPr="006A576B">
        <w:rPr>
          <w:szCs w:val="24"/>
          <w:lang w:eastAsia="en-US"/>
        </w:rPr>
        <w:t xml:space="preserve"> </w:t>
      </w:r>
      <w:r w:rsidRPr="006A576B">
        <w:rPr>
          <w:szCs w:val="24"/>
          <w:lang w:eastAsia="en-US"/>
        </w:rPr>
        <w:t>rinnakkais- ja biosimilaarilääkkeiden unioniin sijoittautuneiden valmistajien ja kolmansiin maihin, joissa suoja on vähäisempi tai sitä ei ole lainkaan, sijoittautuneiden</w:t>
      </w:r>
      <w:r w:rsidR="0017454C" w:rsidRPr="006A576B">
        <w:rPr>
          <w:szCs w:val="24"/>
          <w:lang w:eastAsia="en-US"/>
        </w:rPr>
        <w:t xml:space="preserve"> </w:t>
      </w:r>
      <w:r w:rsidRPr="006A576B">
        <w:rPr>
          <w:szCs w:val="24"/>
          <w:lang w:eastAsia="en-US"/>
        </w:rPr>
        <w:t>valmistajien tasapuoliset toimintaedellytykset ja toisaalta varmistamaan, että todistuksen haltijoiden yksinoikeudet taataan olennaisilta osin suhteessa unionin markkinoihin.</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(44)</w:t>
      </w:r>
      <w:r w:rsidRPr="006A576B">
        <w:rPr>
          <w:szCs w:val="24"/>
          <w:lang w:eastAsia="en-US"/>
        </w:rPr>
        <w:tab/>
      </w:r>
      <w:proofErr w:type="spellStart"/>
      <w:r w:rsidRPr="006A576B">
        <w:rPr>
          <w:szCs w:val="24"/>
          <w:lang w:eastAsia="en-US"/>
        </w:rPr>
        <w:t>Rinnakkais</w:t>
      </w:r>
      <w:proofErr w:type="spellEnd"/>
      <w:r w:rsidRPr="006A576B">
        <w:rPr>
          <w:szCs w:val="24"/>
          <w:lang w:eastAsia="en-US"/>
        </w:rPr>
        <w:t xml:space="preserve">- ja </w:t>
      </w:r>
      <w:proofErr w:type="spellStart"/>
      <w:r w:rsidRPr="006A576B">
        <w:rPr>
          <w:szCs w:val="24"/>
          <w:lang w:eastAsia="en-US"/>
        </w:rPr>
        <w:t>biosimilaarilääkkeiden</w:t>
      </w:r>
      <w:proofErr w:type="spellEnd"/>
      <w:r w:rsidRPr="006A576B">
        <w:rPr>
          <w:szCs w:val="24"/>
          <w:lang w:eastAsia="en-US"/>
        </w:rPr>
        <w:t xml:space="preserve"> unioniin sijoittautuneille valmistajille olisi annettava</w:t>
      </w:r>
      <w:r w:rsidR="0017454C" w:rsidRPr="006A576B">
        <w:rPr>
          <w:szCs w:val="24"/>
          <w:lang w:eastAsia="en-US"/>
        </w:rPr>
        <w:t xml:space="preserve"> </w:t>
      </w:r>
      <w:r w:rsidRPr="006A576B">
        <w:rPr>
          <w:szCs w:val="24"/>
          <w:lang w:eastAsia="en-US"/>
        </w:rPr>
        <w:t>mahdollisuus valmistaa ja varastoida tuotteita tai näitä tuotteita sisältäviä lääkkeitä jäsenvaltiossa määrätyn ajan ennen todistuksen voimassaolon päättymistä, jotta ne voivat tulla minkä tahansa jäsenvaltion markkinoille heti kyseisen todistuksen voimassaolon päättyessä, jolloin kyseiset valmistajat voivat kilpailla tehokkaasti unionissa välittömästi suojan päättymisen jälkeen, jäljempänä ’välitön unionin markkinoille tulo’.</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b/>
          <w:szCs w:val="24"/>
          <w:lang w:eastAsia="en-US"/>
        </w:rPr>
      </w:pPr>
      <w:r w:rsidRPr="006A576B">
        <w:rPr>
          <w:szCs w:val="24"/>
          <w:lang w:eastAsia="en-US"/>
        </w:rPr>
        <w:lastRenderedPageBreak/>
        <w:t>(45)</w:t>
      </w:r>
      <w:r w:rsidRPr="006A576B">
        <w:rPr>
          <w:szCs w:val="24"/>
          <w:lang w:eastAsia="en-US"/>
        </w:rPr>
        <w:tab/>
        <w:t xml:space="preserve">Näissä erityisissä ja rajatuissa olosuhteissa ja jotta luotaisiin tasapuoliset toimintaedellytykset </w:t>
      </w:r>
      <w:r w:rsidRPr="006A576B">
        <w:rPr>
          <w:strike/>
          <w:szCs w:val="24"/>
          <w:lang w:eastAsia="en-US"/>
        </w:rPr>
        <w:t>unioniin sijoittautuneille</w:t>
      </w:r>
      <w:r w:rsidRPr="006A576B">
        <w:rPr>
          <w:b/>
          <w:i/>
          <w:szCs w:val="24"/>
          <w:lang w:eastAsia="en-US"/>
        </w:rPr>
        <w:t>unionissa toimiville</w:t>
      </w:r>
      <w:r w:rsidRPr="006A576B">
        <w:rPr>
          <w:szCs w:val="24"/>
          <w:lang w:eastAsia="en-US"/>
        </w:rPr>
        <w:t xml:space="preserve"> valmistajille ja kolmansien maiden valmistajille, </w:t>
      </w:r>
      <w:r w:rsidRPr="006A576B">
        <w:rPr>
          <w:strike/>
          <w:szCs w:val="24"/>
          <w:lang w:eastAsia="en-US"/>
        </w:rPr>
        <w:t>on asianmukaista säätää poikkeuksesta todistuksen antamaan suojaan</w:t>
      </w:r>
      <w:r w:rsidRPr="006A576B">
        <w:rPr>
          <w:b/>
          <w:i/>
          <w:szCs w:val="24"/>
          <w:lang w:eastAsia="en-US"/>
        </w:rPr>
        <w:t>lisäsuojatodistuksen asetuksen (EU) 2019/933 mukaisesti antamaa suojaa olisi rajoitettava</w:t>
      </w:r>
      <w:r w:rsidRPr="006A576B">
        <w:rPr>
          <w:szCs w:val="24"/>
          <w:lang w:eastAsia="en-US"/>
        </w:rPr>
        <w:t xml:space="preserve"> siten, että sallitaan </w:t>
      </w:r>
      <w:r w:rsidRPr="006A576B">
        <w:rPr>
          <w:strike/>
          <w:szCs w:val="24"/>
          <w:lang w:eastAsia="en-US"/>
        </w:rPr>
        <w:t xml:space="preserve">tuotteen tai tätä tuotetta sisältävän lääkkeen </w:t>
      </w:r>
      <w:r w:rsidRPr="006A576B">
        <w:rPr>
          <w:szCs w:val="24"/>
          <w:lang w:eastAsia="en-US"/>
        </w:rPr>
        <w:t>valmistus</w:t>
      </w:r>
      <w:r w:rsidRPr="006A576B">
        <w:rPr>
          <w:b/>
          <w:i/>
          <w:szCs w:val="24"/>
          <w:lang w:eastAsia="en-US"/>
        </w:rPr>
        <w:t xml:space="preserve"> yksinomaan</w:t>
      </w:r>
      <w:r w:rsidRPr="006A576B">
        <w:rPr>
          <w:szCs w:val="24"/>
          <w:lang w:eastAsia="en-US"/>
        </w:rPr>
        <w:t xml:space="preserve"> kolmansiin maihin suuntautuvaan vientiin</w:t>
      </w:r>
      <w:r w:rsidRPr="006A576B">
        <w:rPr>
          <w:strike/>
          <w:szCs w:val="24"/>
          <w:lang w:eastAsia="en-US"/>
        </w:rPr>
        <w:t xml:space="preserve"> tai varastointi</w:t>
      </w:r>
      <w:r w:rsidRPr="006A576B">
        <w:rPr>
          <w:szCs w:val="24"/>
          <w:lang w:eastAsia="en-US"/>
        </w:rPr>
        <w:t xml:space="preserve"> ja siihen liittyvät unionissa suoritettavat toimet, jotka ovat ehdottoman välttämättömiä tätä valmistusta tai </w:t>
      </w:r>
      <w:r w:rsidRPr="006A576B">
        <w:rPr>
          <w:b/>
          <w:i/>
          <w:szCs w:val="24"/>
          <w:lang w:eastAsia="en-US"/>
        </w:rPr>
        <w:t xml:space="preserve">varsinaista </w:t>
      </w:r>
      <w:r w:rsidRPr="006A576B">
        <w:rPr>
          <w:szCs w:val="24"/>
          <w:lang w:eastAsia="en-US"/>
        </w:rPr>
        <w:t>vientiä</w:t>
      </w:r>
      <w:r w:rsidRPr="006A576B">
        <w:rPr>
          <w:strike/>
          <w:szCs w:val="24"/>
          <w:lang w:eastAsia="en-US"/>
        </w:rPr>
        <w:t xml:space="preserve"> tai varastointia</w:t>
      </w:r>
      <w:r w:rsidRPr="006A576B">
        <w:rPr>
          <w:szCs w:val="24"/>
          <w:lang w:eastAsia="en-US"/>
        </w:rPr>
        <w:t xml:space="preserve"> varten,</w:t>
      </w:r>
      <w:r w:rsidR="0017454C" w:rsidRPr="006A576B">
        <w:rPr>
          <w:strike/>
          <w:szCs w:val="24"/>
          <w:lang w:eastAsia="en-US"/>
        </w:rPr>
        <w:t xml:space="preserve"> </w:t>
      </w:r>
      <w:r w:rsidRPr="006A576B">
        <w:rPr>
          <w:strike/>
          <w:szCs w:val="24"/>
          <w:lang w:eastAsia="en-US"/>
        </w:rPr>
        <w:t>jäljempänä ’liitännäistoimet,</w:t>
      </w:r>
      <w:r w:rsidR="0017454C" w:rsidRPr="006A576B">
        <w:rPr>
          <w:strike/>
          <w:szCs w:val="24"/>
          <w:lang w:eastAsia="en-US"/>
        </w:rPr>
        <w:t xml:space="preserve"> </w:t>
      </w:r>
      <w:r w:rsidRPr="006A576B">
        <w:rPr>
          <w:szCs w:val="24"/>
          <w:lang w:eastAsia="en-US"/>
        </w:rPr>
        <w:t>mikäli näihin toimiin muuten vaadittaisiin todistuksen haltijan suostumus</w:t>
      </w:r>
      <w:r w:rsidRPr="006A576B">
        <w:rPr>
          <w:b/>
          <w:i/>
          <w:szCs w:val="24"/>
          <w:lang w:eastAsia="en-US"/>
        </w:rPr>
        <w:t>, jäljempänä ’liitännäistoimet’</w:t>
      </w:r>
      <w:r w:rsidRPr="006A576B">
        <w:rPr>
          <w:szCs w:val="24"/>
          <w:lang w:eastAsia="en-US"/>
        </w:rPr>
        <w:t xml:space="preserve">. Tällaisiin liitännäistoimiin voisivat sisältyä esimerkiksi </w:t>
      </w:r>
      <w:r w:rsidRPr="006A576B">
        <w:rPr>
          <w:strike/>
          <w:szCs w:val="24"/>
          <w:lang w:eastAsia="en-US"/>
        </w:rPr>
        <w:t xml:space="preserve">hallussapito, tarjoutuminen toimittamaan, toimittaminen, tuonti ja </w:t>
      </w:r>
      <w:r w:rsidRPr="006A576B">
        <w:rPr>
          <w:szCs w:val="24"/>
          <w:lang w:eastAsia="en-US"/>
        </w:rPr>
        <w:t>vaikuttavan aineen</w:t>
      </w:r>
      <w:r w:rsidRPr="006A576B">
        <w:rPr>
          <w:b/>
          <w:i/>
          <w:szCs w:val="24"/>
          <w:lang w:eastAsia="en-US"/>
        </w:rPr>
        <w:t xml:space="preserve"> hallussapito, toimittaminen, tarjoutuminen sen toimittamiseen, tuonti,</w:t>
      </w:r>
      <w:r w:rsidRPr="006A576B">
        <w:rPr>
          <w:szCs w:val="24"/>
          <w:lang w:eastAsia="en-US"/>
        </w:rPr>
        <w:t xml:space="preserve"> käyttö tai syntetisointi </w:t>
      </w:r>
      <w:r w:rsidRPr="006A576B">
        <w:rPr>
          <w:b/>
          <w:i/>
          <w:szCs w:val="24"/>
          <w:lang w:eastAsia="en-US"/>
        </w:rPr>
        <w:t xml:space="preserve">tätä tuotetta sisältävän </w:t>
      </w:r>
      <w:r w:rsidRPr="006A576B">
        <w:rPr>
          <w:szCs w:val="24"/>
          <w:lang w:eastAsia="en-US"/>
        </w:rPr>
        <w:t>lääkkeen valmistamiseksi</w:t>
      </w:r>
      <w:r w:rsidRPr="006A576B">
        <w:rPr>
          <w:strike/>
          <w:szCs w:val="24"/>
          <w:lang w:eastAsia="en-US"/>
        </w:rPr>
        <w:t>.</w:t>
      </w:r>
      <w:r w:rsidR="0017454C" w:rsidRPr="006A576B">
        <w:rPr>
          <w:strike/>
          <w:szCs w:val="24"/>
          <w:lang w:eastAsia="en-US"/>
        </w:rPr>
        <w:t xml:space="preserve"> </w:t>
      </w:r>
      <w:r w:rsidRPr="006A576B">
        <w:rPr>
          <w:strike/>
          <w:szCs w:val="24"/>
          <w:lang w:eastAsia="en-US"/>
        </w:rPr>
        <w:t>Liitännäistoimia voivat olla myös</w:t>
      </w:r>
      <w:r w:rsidR="0017454C" w:rsidRPr="006A576B">
        <w:rPr>
          <w:strike/>
          <w:szCs w:val="24"/>
          <w:lang w:eastAsia="en-US"/>
        </w:rPr>
        <w:t xml:space="preserve"> </w:t>
      </w:r>
      <w:r w:rsidRPr="006A576B">
        <w:rPr>
          <w:b/>
          <w:i/>
          <w:szCs w:val="24"/>
          <w:lang w:eastAsia="en-US"/>
        </w:rPr>
        <w:t xml:space="preserve">tai </w:t>
      </w:r>
      <w:r w:rsidRPr="006A576B">
        <w:rPr>
          <w:szCs w:val="24"/>
          <w:lang w:eastAsia="en-US"/>
        </w:rPr>
        <w:t>tuotteen väliaikainen varastointi tai mainostaminen yksinomaan sellaista vientiä varten, jonka määränpäänä on kolmas maa. Poikkeusta olisi sovellettava myös valmistajan kanssa sopimussuhteessa olevien kolmansien osapuolten suorittamiin liitännäistoimiin.</w:t>
      </w:r>
      <w:r w:rsidR="000B1D75" w:rsidRPr="006A576B">
        <w:rPr>
          <w:b/>
          <w:szCs w:val="24"/>
          <w:lang w:eastAsia="en-US"/>
        </w:rPr>
        <w:t xml:space="preserve"> [tark. 13]</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(46)</w:t>
      </w:r>
      <w:r w:rsidRPr="006A576B">
        <w:rPr>
          <w:szCs w:val="24"/>
          <w:lang w:eastAsia="en-US"/>
        </w:rPr>
        <w:tab/>
        <w:t>Poikkeusta olisi sovellettava todistuksella suojattuun tuotteeseen tai tätä tuotetta sisältävään lääkkeeseen ja</w:t>
      </w:r>
      <w:r w:rsidR="0017454C" w:rsidRPr="006A576B">
        <w:rPr>
          <w:szCs w:val="24"/>
          <w:lang w:eastAsia="en-US"/>
        </w:rPr>
        <w:t xml:space="preserve"> </w:t>
      </w:r>
      <w:r w:rsidRPr="006A576B">
        <w:rPr>
          <w:szCs w:val="24"/>
          <w:lang w:eastAsia="en-US"/>
        </w:rPr>
        <w:t>sen olisi katettava todistuksella suojatun tuotteen valmistus jäsenvaltion alueella ja tätä tuotetta sisältävän lääkkeen valmistus.</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(47)</w:t>
      </w:r>
      <w:r w:rsidRPr="006A576B">
        <w:rPr>
          <w:szCs w:val="24"/>
          <w:lang w:eastAsia="en-US"/>
        </w:rPr>
        <w:tab/>
        <w:t>Poikkeuksen ei olisi katettava sellaisen tuotteen tai tätä tuotetta sisältävän lääkkeen, joka on valmistettu kolmansiin maihin vientiä varten tai varastoitavaksi välitöntä unionin markkinoille tuloa varten, saattamista markkinoille jäsenvaltiossa, jossa todistus on voimassa, joko suoraan tai epäsuorasti viennin jälkeen, eikä sen olisi katettava tuotteen tai tätä tuotetta sisältävän lääkkeen jälleentuontia sellaisen jäsenvaltion markkinoille, jossa todistus on voimassa. Sen ei myöskään olisi katettava mitään sellaista tekoa tai toimintaa, johon ryhdytään siinä tarkoituksessa, että tuotteita tai näitä tuotteita sisältäviä lääkkeitä tuodaan unioniin ainoastaan uudelleen pakattavaksi ja sen jälkeen jälleenvietäväksi. Poikkeusta ei myöskään olisi sovellettava tuotteiden tai näitä tuotteita sisältävien lääkkeiden varastointiin muissa kuin tässä asetuksessa säädetyissä tarkoituksissa.</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(48)</w:t>
      </w:r>
      <w:r w:rsidRPr="006A576B">
        <w:rPr>
          <w:szCs w:val="24"/>
          <w:lang w:eastAsia="en-US"/>
        </w:rPr>
        <w:tab/>
        <w:t>Poikkeus ei</w:t>
      </w:r>
      <w:r w:rsidR="0017454C" w:rsidRPr="006A576B">
        <w:rPr>
          <w:szCs w:val="24"/>
          <w:lang w:eastAsia="en-US"/>
        </w:rPr>
        <w:t xml:space="preserve"> </w:t>
      </w:r>
      <w:r w:rsidRPr="006A576B">
        <w:rPr>
          <w:szCs w:val="24"/>
          <w:lang w:eastAsia="en-US"/>
        </w:rPr>
        <w:t>ole</w:t>
      </w:r>
      <w:r w:rsidR="0017454C" w:rsidRPr="006A576B">
        <w:rPr>
          <w:szCs w:val="24"/>
          <w:lang w:eastAsia="en-US"/>
        </w:rPr>
        <w:t xml:space="preserve"> </w:t>
      </w:r>
      <w:r w:rsidRPr="006A576B">
        <w:rPr>
          <w:szCs w:val="24"/>
          <w:lang w:eastAsia="en-US"/>
        </w:rPr>
        <w:t>ristiriidassa tuotteen tai tätä tuotetta sisältävän lääkkeen tavanomaisen hyödyntämisen kanssa jäsenvaltiossa, jossa todistus on voimassa, eli todistuksen haltijan keskeisen yksinoikeuden kanssa, joka koskee kyseisen tuotteen</w:t>
      </w:r>
      <w:r w:rsidR="0017454C" w:rsidRPr="006A576B">
        <w:rPr>
          <w:szCs w:val="24"/>
          <w:lang w:eastAsia="en-US"/>
        </w:rPr>
        <w:t xml:space="preserve"> </w:t>
      </w:r>
      <w:r w:rsidRPr="006A576B">
        <w:rPr>
          <w:szCs w:val="24"/>
          <w:lang w:eastAsia="en-US"/>
        </w:rPr>
        <w:t>tai tätä tuotetta sisältävän lääkkeen</w:t>
      </w:r>
      <w:r w:rsidR="0017454C" w:rsidRPr="006A576B">
        <w:rPr>
          <w:szCs w:val="24"/>
          <w:lang w:eastAsia="en-US"/>
        </w:rPr>
        <w:t xml:space="preserve"> </w:t>
      </w:r>
      <w:r w:rsidRPr="006A576B">
        <w:rPr>
          <w:szCs w:val="24"/>
          <w:lang w:eastAsia="en-US"/>
        </w:rPr>
        <w:t>valmistamista sen unionin markkinoille saattamista varten todistuksen voimassaoloaikana, koska poikkeuksen soveltamisala rajoitetaan valmistukseen unionin ulkopuolelle suuntautuvaa vientiä varten ja valmistukseen varastointia varten sekä toimiin, jotka ovat ehdottoman välttämättömiä tällaista valmistusta tai varsinaista vientiä tai varsinaista varastointia varten. Lisäksi tämä poikkeus ei saisi kohtuuttomasti haitata todistuksen haltijan oikeutettuja etuja, kun samalla otetaan huomioon kolmansien osapuolten oikeutetut edut.</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(49)</w:t>
      </w:r>
      <w:r w:rsidRPr="006A576B">
        <w:rPr>
          <w:szCs w:val="24"/>
          <w:lang w:eastAsia="en-US"/>
        </w:rPr>
        <w:tab/>
        <w:t>Poikkeuksen yhteydessä olisi sovellettava tehokkaita ja oikeasuhteisia suojamekanismeja, jotta lisätään avoimuutta, autetaan todistuksen haltijaa panemaan todistuksen antama suoja täytäntöön unionissa ja tarkistamaan</w:t>
      </w:r>
      <w:r w:rsidR="0017454C" w:rsidRPr="006A576B">
        <w:rPr>
          <w:szCs w:val="24"/>
          <w:lang w:eastAsia="en-US"/>
        </w:rPr>
        <w:t xml:space="preserve"> </w:t>
      </w:r>
      <w:r w:rsidRPr="006A576B">
        <w:rPr>
          <w:szCs w:val="24"/>
          <w:lang w:eastAsia="en-US"/>
        </w:rPr>
        <w:t>tämän asetuksen</w:t>
      </w:r>
      <w:r w:rsidR="0017454C" w:rsidRPr="006A576B">
        <w:rPr>
          <w:szCs w:val="24"/>
          <w:lang w:eastAsia="en-US"/>
        </w:rPr>
        <w:t xml:space="preserve"> </w:t>
      </w:r>
      <w:r w:rsidRPr="006A576B">
        <w:rPr>
          <w:szCs w:val="24"/>
          <w:lang w:eastAsia="en-US"/>
        </w:rPr>
        <w:t>noudattaminen ja vähennetään riskiä laittomasta uudelleenohjautumisesta unionin markkinoille todistuksen voimassaoloaikana.</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(50)</w:t>
      </w:r>
      <w:r w:rsidRPr="006A576B">
        <w:rPr>
          <w:szCs w:val="24"/>
          <w:lang w:eastAsia="en-US"/>
        </w:rPr>
        <w:tab/>
        <w:t>Jotta varmistetaan parempi avoimuus ja oikeusvarmuus, on tarpeen asettaa</w:t>
      </w:r>
      <w:r w:rsidR="0017454C" w:rsidRPr="006A576B">
        <w:rPr>
          <w:szCs w:val="24"/>
          <w:lang w:eastAsia="en-US"/>
        </w:rPr>
        <w:t xml:space="preserve"> </w:t>
      </w:r>
      <w:r w:rsidRPr="006A576B">
        <w:rPr>
          <w:szCs w:val="24"/>
          <w:lang w:eastAsia="en-US"/>
        </w:rPr>
        <w:t>tiedonantovelvollisuus valmistajalle eli unioniin sijoittautuneelle henkilölle, jonka lukuun valmistetaan tuotetta tai tätä tuotetta sisältävää lääkettä vientiä tai varastointia varten.</w:t>
      </w:r>
      <w:r w:rsidR="0017454C" w:rsidRPr="006A576B">
        <w:rPr>
          <w:szCs w:val="24"/>
          <w:lang w:eastAsia="en-US"/>
        </w:rPr>
        <w:t xml:space="preserve"> </w:t>
      </w:r>
      <w:r w:rsidRPr="006A576B">
        <w:rPr>
          <w:szCs w:val="24"/>
          <w:lang w:eastAsia="en-US"/>
        </w:rPr>
        <w:t>Velvollisuutta olisi sovellettava myös silloin, kun valmistaja suorittaa valmistamisen suoraan.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(51)</w:t>
      </w:r>
      <w:r w:rsidRPr="006A576B">
        <w:rPr>
          <w:szCs w:val="24"/>
          <w:lang w:eastAsia="en-US"/>
        </w:rPr>
        <w:tab/>
        <w:t>Unioniin sijoittautuneen valmistajan olisi vastattava sen tarkistamisesta, että vientimaassa ei ole suojaa tai että sen voimassaolo on päättynyt, tai sen tarkistamisesta, sovelletaanko tähän suojaan mitään rajoituksia tai poikkeuksia kyseisessä maassa.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(52)</w:t>
      </w:r>
      <w:r w:rsidRPr="006A576B">
        <w:rPr>
          <w:szCs w:val="24"/>
          <w:lang w:eastAsia="en-US"/>
        </w:rPr>
        <w:tab/>
        <w:t>Valmistajalle olisi asetettava</w:t>
      </w:r>
      <w:r w:rsidR="0017454C" w:rsidRPr="006A576B">
        <w:rPr>
          <w:szCs w:val="24"/>
          <w:lang w:eastAsia="en-US"/>
        </w:rPr>
        <w:t xml:space="preserve"> </w:t>
      </w:r>
      <w:r w:rsidRPr="006A576B">
        <w:rPr>
          <w:szCs w:val="24"/>
          <w:lang w:eastAsia="en-US"/>
        </w:rPr>
        <w:t>tiettyjä asianmukaista huolellisuutta koskevia vaatimuksia ehtona poikkeuksen käyttämiselle, jotta varmistetaan parempi avoimuus ja oikeusvarmuus.</w:t>
      </w:r>
      <w:r w:rsidR="0017454C" w:rsidRPr="006A576B">
        <w:rPr>
          <w:szCs w:val="24"/>
          <w:lang w:eastAsia="en-US"/>
        </w:rPr>
        <w:t xml:space="preserve"> </w:t>
      </w:r>
      <w:r w:rsidRPr="006A576B">
        <w:rPr>
          <w:szCs w:val="24"/>
          <w:lang w:eastAsia="en-US"/>
        </w:rPr>
        <w:t>Todistuksen haltijalla</w:t>
      </w:r>
      <w:r w:rsidR="0017454C" w:rsidRPr="006A576B">
        <w:rPr>
          <w:szCs w:val="24"/>
          <w:lang w:eastAsia="en-US"/>
        </w:rPr>
        <w:t xml:space="preserve"> </w:t>
      </w:r>
      <w:r w:rsidRPr="006A576B">
        <w:rPr>
          <w:szCs w:val="24"/>
          <w:lang w:eastAsia="en-US"/>
        </w:rPr>
        <w:t>on</w:t>
      </w:r>
      <w:r w:rsidR="0017454C" w:rsidRPr="006A576B">
        <w:rPr>
          <w:szCs w:val="24"/>
          <w:lang w:eastAsia="en-US"/>
        </w:rPr>
        <w:t xml:space="preserve"> </w:t>
      </w:r>
      <w:r w:rsidRPr="006A576B">
        <w:rPr>
          <w:szCs w:val="24"/>
          <w:lang w:eastAsia="en-US"/>
        </w:rPr>
        <w:t>näin ollen oikeus valvoa</w:t>
      </w:r>
      <w:r w:rsidR="0017454C" w:rsidRPr="006A576B">
        <w:rPr>
          <w:szCs w:val="24"/>
          <w:lang w:eastAsia="en-US"/>
        </w:rPr>
        <w:t xml:space="preserve"> </w:t>
      </w:r>
      <w:r w:rsidRPr="006A576B">
        <w:rPr>
          <w:szCs w:val="24"/>
          <w:lang w:eastAsia="en-US"/>
        </w:rPr>
        <w:t>kyseiseen</w:t>
      </w:r>
      <w:r w:rsidR="0017454C" w:rsidRPr="006A576B">
        <w:rPr>
          <w:szCs w:val="24"/>
          <w:lang w:eastAsia="en-US"/>
        </w:rPr>
        <w:t xml:space="preserve"> </w:t>
      </w:r>
      <w:r w:rsidRPr="006A576B">
        <w:rPr>
          <w:szCs w:val="24"/>
          <w:lang w:eastAsia="en-US"/>
        </w:rPr>
        <w:t>todistukseen perustuvia oikeuksiaan kiinnittäen kuitenkin asianmukaista huomiota Euroopan parlamentin ja neuvoston direktiivissä 2004/48/EY</w:t>
      </w:r>
      <w:r w:rsidRPr="006A576B">
        <w:rPr>
          <w:szCs w:val="24"/>
          <w:vertAlign w:val="superscript"/>
          <w:lang w:val="en-GB" w:eastAsia="en-US"/>
        </w:rPr>
        <w:footnoteReference w:id="13"/>
      </w:r>
      <w:r w:rsidRPr="006A576B">
        <w:rPr>
          <w:szCs w:val="24"/>
          <w:lang w:eastAsia="en-US"/>
        </w:rPr>
        <w:t xml:space="preserve"> säädettyyn yleiseen velvoitteeseen olla panematta vireille perusteettomia oikeudenkäyntejä.</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(53)</w:t>
      </w:r>
      <w:r w:rsidRPr="006A576B">
        <w:rPr>
          <w:szCs w:val="24"/>
          <w:lang w:eastAsia="en-US"/>
        </w:rPr>
        <w:tab/>
        <w:t>Tässä asetuksessa tarkoitettu</w:t>
      </w:r>
      <w:r w:rsidR="0017454C" w:rsidRPr="006A576B">
        <w:rPr>
          <w:szCs w:val="24"/>
          <w:lang w:eastAsia="en-US"/>
        </w:rPr>
        <w:t xml:space="preserve"> </w:t>
      </w:r>
      <w:r w:rsidRPr="006A576B">
        <w:rPr>
          <w:szCs w:val="24"/>
          <w:lang w:eastAsia="en-US"/>
        </w:rPr>
        <w:t>merkintä ei saisi rajoittaa kolmansien maiden merkintävaatimusten soveltamista.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(54)</w:t>
      </w:r>
      <w:r w:rsidRPr="006A576B">
        <w:rPr>
          <w:szCs w:val="24"/>
          <w:lang w:eastAsia="en-US"/>
        </w:rPr>
        <w:tab/>
        <w:t>Kaikkien toimien, joita tällä asetuksella säädetty poikkeus ei kata, olisi edelleen kuuluttava todistuksen antaman suojan soveltamisalaan. Poikkeuksen nojalla valmistettujen tuotteiden tai kyseisiä tuotteita sisältävien lääkkeiden uudelleenohjautumisen unionin markkinoille todistuksen voimassaoloaikana olisi edelleen oltava kiellettyä.</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(55)</w:t>
      </w:r>
      <w:r w:rsidRPr="006A576B">
        <w:rPr>
          <w:szCs w:val="24"/>
          <w:lang w:eastAsia="en-US"/>
        </w:rPr>
        <w:tab/>
        <w:t>Tällä</w:t>
      </w:r>
      <w:r w:rsidR="0017454C" w:rsidRPr="006A576B">
        <w:rPr>
          <w:szCs w:val="24"/>
          <w:lang w:eastAsia="en-US"/>
        </w:rPr>
        <w:t xml:space="preserve"> </w:t>
      </w:r>
      <w:r w:rsidRPr="006A576B">
        <w:rPr>
          <w:szCs w:val="24"/>
          <w:lang w:eastAsia="en-US"/>
        </w:rPr>
        <w:t>poikkeuksella</w:t>
      </w:r>
      <w:r w:rsidR="0017454C" w:rsidRPr="006A576B">
        <w:rPr>
          <w:szCs w:val="24"/>
          <w:lang w:eastAsia="en-US"/>
        </w:rPr>
        <w:t xml:space="preserve"> </w:t>
      </w:r>
      <w:r w:rsidRPr="006A576B">
        <w:rPr>
          <w:szCs w:val="24"/>
          <w:lang w:eastAsia="en-US"/>
        </w:rPr>
        <w:t>ei rajoiteta muiden sellaisten teollis- ja tekijänoikeuksien noudattamista, jotka voivat suojata muita tuotteeseen tai tätä tuotetta sisältävään lääkkeeseen liittyviä näkökohtia. Tämä</w:t>
      </w:r>
      <w:r w:rsidR="0017454C" w:rsidRPr="006A576B">
        <w:rPr>
          <w:szCs w:val="24"/>
          <w:lang w:eastAsia="en-US"/>
        </w:rPr>
        <w:t xml:space="preserve"> </w:t>
      </w:r>
      <w:r w:rsidRPr="006A576B">
        <w:rPr>
          <w:szCs w:val="24"/>
          <w:lang w:eastAsia="en-US"/>
        </w:rPr>
        <w:t>poikkeus ei vaikuta niiden unionin säädösten soveltamiseen, joilla pyritään ehkäisemään teollis- ja tekijänoikeuksien rikkomuksia ja helpottamaan niiden täytäntöönpanon valvontaa, mukaan lukien Euroopan parlamentin ja neuvoston direktiivi 2004/48/EY ja Euroopan parlamentin ja neuvoston asetus (EU) N:o 608/2013</w:t>
      </w:r>
      <w:r w:rsidRPr="006A576B">
        <w:rPr>
          <w:szCs w:val="24"/>
          <w:vertAlign w:val="superscript"/>
          <w:lang w:val="en-GB" w:eastAsia="en-US"/>
        </w:rPr>
        <w:footnoteReference w:id="14"/>
      </w:r>
      <w:r w:rsidRPr="006A576B">
        <w:rPr>
          <w:szCs w:val="24"/>
          <w:lang w:eastAsia="en-US"/>
        </w:rPr>
        <w:t>.</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(56)</w:t>
      </w:r>
      <w:r w:rsidRPr="006A576B">
        <w:rPr>
          <w:szCs w:val="24"/>
          <w:lang w:eastAsia="en-US"/>
        </w:rPr>
        <w:tab/>
        <w:t>Tämä</w:t>
      </w:r>
      <w:r w:rsidR="0017454C" w:rsidRPr="006A576B">
        <w:rPr>
          <w:szCs w:val="24"/>
          <w:lang w:eastAsia="en-US"/>
        </w:rPr>
        <w:t xml:space="preserve"> </w:t>
      </w:r>
      <w:r w:rsidRPr="006A576B">
        <w:rPr>
          <w:szCs w:val="24"/>
          <w:lang w:eastAsia="en-US"/>
        </w:rPr>
        <w:t>poikkeus</w:t>
      </w:r>
      <w:r w:rsidR="0017454C" w:rsidRPr="006A576B">
        <w:rPr>
          <w:szCs w:val="24"/>
          <w:lang w:eastAsia="en-US"/>
        </w:rPr>
        <w:t xml:space="preserve"> </w:t>
      </w:r>
      <w:r w:rsidRPr="006A576B">
        <w:rPr>
          <w:szCs w:val="24"/>
          <w:lang w:eastAsia="en-US"/>
        </w:rPr>
        <w:t>ei myöskään vaikuta Euroopan parlamentin ja neuvoston direktiivissä 2001/83/EY</w:t>
      </w:r>
      <w:r w:rsidRPr="006A576B">
        <w:rPr>
          <w:szCs w:val="24"/>
          <w:vertAlign w:val="superscript"/>
          <w:lang w:val="en-GB" w:eastAsia="en-US"/>
        </w:rPr>
        <w:footnoteReference w:id="15"/>
      </w:r>
      <w:r w:rsidRPr="006A576B">
        <w:rPr>
          <w:szCs w:val="24"/>
          <w:lang w:eastAsia="en-US"/>
        </w:rPr>
        <w:t xml:space="preserve"> säädettyihin sääntöihin, jotka koskevat yksilöllistä tunnistetta. Valmistajan olisi varmistettava, että vientiä varten valmistetussa lääkkeessä ei ole komission delegoidussa asetuksessa (EU) 2016/161</w:t>
      </w:r>
      <w:r w:rsidRPr="006A576B">
        <w:rPr>
          <w:szCs w:val="24"/>
          <w:vertAlign w:val="superscript"/>
          <w:lang w:val="en-GB" w:eastAsia="en-US"/>
        </w:rPr>
        <w:footnoteReference w:id="16"/>
      </w:r>
      <w:r w:rsidRPr="006A576B">
        <w:rPr>
          <w:szCs w:val="24"/>
          <w:lang w:eastAsia="en-US"/>
        </w:rPr>
        <w:t xml:space="preserve"> tarkoitettua aktiivista yksilöllistä tunnistetta, millä varmistetaan tällaisen tuotteen tunnistaminen, jos se jälleentuotaisiin laittomasti unioniin. Tällaisen aktiivisen yksilöllisen tunnisteen kiinnittämistä koskevaa vaatimusta sovelletaan kuitenkin kyseisen delegoidun asetuksen mukaan lääkkeisiin, jotka on tarkoitus saattaa jäsenvaltion markkinoille vastaavan todistuksen voimassaolon päätyttyä, ja sen vuoksi yksilöllistä tunnistetta koskevaa kieltoa ei sovelleta tällaisiin tuotteisiin.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(57)</w:t>
      </w:r>
      <w:r w:rsidRPr="006A576B">
        <w:rPr>
          <w:szCs w:val="24"/>
          <w:lang w:eastAsia="en-US"/>
        </w:rPr>
        <w:tab/>
        <w:t>Tämä</w:t>
      </w:r>
      <w:r w:rsidR="0017454C" w:rsidRPr="006A576B">
        <w:rPr>
          <w:szCs w:val="24"/>
          <w:lang w:eastAsia="en-US"/>
        </w:rPr>
        <w:t xml:space="preserve"> </w:t>
      </w:r>
      <w:r w:rsidRPr="006A576B">
        <w:rPr>
          <w:szCs w:val="24"/>
          <w:lang w:eastAsia="en-US"/>
        </w:rPr>
        <w:t>poikkeus</w:t>
      </w:r>
      <w:r w:rsidR="0017454C" w:rsidRPr="006A576B">
        <w:rPr>
          <w:szCs w:val="24"/>
          <w:lang w:eastAsia="en-US"/>
        </w:rPr>
        <w:t xml:space="preserve"> </w:t>
      </w:r>
      <w:r w:rsidRPr="006A576B">
        <w:rPr>
          <w:szCs w:val="24"/>
          <w:lang w:eastAsia="en-US"/>
        </w:rPr>
        <w:t>ei vaikuta direktiivin</w:t>
      </w:r>
      <w:r w:rsidR="0017454C" w:rsidRPr="006A576B">
        <w:rPr>
          <w:szCs w:val="24"/>
          <w:lang w:eastAsia="en-US"/>
        </w:rPr>
        <w:t xml:space="preserve"> </w:t>
      </w:r>
      <w:r w:rsidRPr="006A576B">
        <w:rPr>
          <w:szCs w:val="24"/>
          <w:lang w:eastAsia="en-US"/>
        </w:rPr>
        <w:t>2001/83/EY ja asetuksen (EU) 2019/6 soveltamiseen, etenkään vaatimuksiin, jotka koskevat vientiin valmistettavien lääkkeiden valmistuslupaa. Tämä sisältää niiden periaatteiden ja yleisohjeiden noudattamisen, jotka koskevat lääkkeiden hyviä tuotantotapoja ja ainoastaan sellaisten vaikuttavien aineiden käytön, jotka on valmistettu ja jaeltu vaikuttavia aineita koskevien hyvien tuotanto- ja valmistustapojen mukaisesti.</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(58)</w:t>
      </w:r>
      <w:r w:rsidRPr="006A576B">
        <w:rPr>
          <w:szCs w:val="24"/>
          <w:lang w:eastAsia="en-US"/>
        </w:rPr>
        <w:tab/>
        <w:t>Todistusten haltijoiden oikeuksien turvaamiseksi tässä asetuksessa säädettyä poikkeusta ei saisi soveltaa todistukseen, joka</w:t>
      </w:r>
      <w:r w:rsidR="0017454C" w:rsidRPr="006A576B">
        <w:rPr>
          <w:szCs w:val="24"/>
          <w:lang w:eastAsia="en-US"/>
        </w:rPr>
        <w:t xml:space="preserve"> </w:t>
      </w:r>
      <w:r w:rsidRPr="006A576B">
        <w:rPr>
          <w:szCs w:val="24"/>
          <w:lang w:eastAsia="en-US"/>
        </w:rPr>
        <w:t>oli</w:t>
      </w:r>
      <w:r w:rsidR="0017454C" w:rsidRPr="006A576B">
        <w:rPr>
          <w:szCs w:val="24"/>
          <w:lang w:eastAsia="en-US"/>
        </w:rPr>
        <w:t xml:space="preserve"> </w:t>
      </w:r>
      <w:r w:rsidRPr="006A576B">
        <w:rPr>
          <w:szCs w:val="24"/>
          <w:lang w:eastAsia="en-US"/>
        </w:rPr>
        <w:t>jo tullut voimaan</w:t>
      </w:r>
      <w:r w:rsidR="0017454C" w:rsidRPr="006A576B">
        <w:rPr>
          <w:szCs w:val="24"/>
          <w:lang w:eastAsia="en-US"/>
        </w:rPr>
        <w:t xml:space="preserve"> </w:t>
      </w:r>
      <w:r w:rsidRPr="006A576B">
        <w:rPr>
          <w:szCs w:val="24"/>
          <w:lang w:eastAsia="en-US"/>
        </w:rPr>
        <w:t>Euroopan parlamentin ja neuvoston</w:t>
      </w:r>
      <w:r w:rsidR="0017454C" w:rsidRPr="006A576B">
        <w:rPr>
          <w:szCs w:val="24"/>
          <w:lang w:eastAsia="en-US"/>
        </w:rPr>
        <w:t xml:space="preserve"> </w:t>
      </w:r>
      <w:r w:rsidRPr="006A576B">
        <w:rPr>
          <w:szCs w:val="24"/>
          <w:lang w:eastAsia="en-US"/>
        </w:rPr>
        <w:t>asetuksen</w:t>
      </w:r>
      <w:r w:rsidR="0017454C" w:rsidRPr="006A576B">
        <w:rPr>
          <w:szCs w:val="24"/>
          <w:lang w:eastAsia="en-US"/>
        </w:rPr>
        <w:t xml:space="preserve"> </w:t>
      </w:r>
      <w:r w:rsidRPr="006A576B">
        <w:rPr>
          <w:szCs w:val="24"/>
          <w:lang w:eastAsia="en-US"/>
        </w:rPr>
        <w:t>(EU) 2019/933</w:t>
      </w:r>
      <w:r w:rsidR="0017454C" w:rsidRPr="006A576B">
        <w:rPr>
          <w:szCs w:val="24"/>
          <w:lang w:eastAsia="en-US"/>
        </w:rPr>
        <w:t xml:space="preserve"> </w:t>
      </w:r>
      <w:r w:rsidRPr="006A576B">
        <w:rPr>
          <w:szCs w:val="24"/>
          <w:lang w:eastAsia="en-US"/>
        </w:rPr>
        <w:t>voimaantulopäivänä. Sen varmistamiseksi, että todistusten haltijoiden oikeuksia ei rajoiteta kohtuuttomasti, tätä poikkeusta olisi sovellettava todistuksiin, joita haetaan</w:t>
      </w:r>
      <w:r w:rsidR="0017454C" w:rsidRPr="006A576B">
        <w:rPr>
          <w:szCs w:val="24"/>
          <w:lang w:eastAsia="en-US"/>
        </w:rPr>
        <w:t xml:space="preserve"> </w:t>
      </w:r>
      <w:r w:rsidRPr="006A576B">
        <w:rPr>
          <w:szCs w:val="24"/>
          <w:lang w:eastAsia="en-US"/>
        </w:rPr>
        <w:t>asetuksen</w:t>
      </w:r>
      <w:r w:rsidR="0017454C" w:rsidRPr="006A576B">
        <w:rPr>
          <w:szCs w:val="24"/>
          <w:lang w:eastAsia="en-US"/>
        </w:rPr>
        <w:t xml:space="preserve"> </w:t>
      </w:r>
      <w:r w:rsidRPr="006A576B">
        <w:rPr>
          <w:szCs w:val="24"/>
          <w:lang w:eastAsia="en-US"/>
        </w:rPr>
        <w:t>(EU) 2019/933</w:t>
      </w:r>
      <w:r w:rsidR="0017454C" w:rsidRPr="006A576B">
        <w:rPr>
          <w:szCs w:val="24"/>
          <w:lang w:eastAsia="en-US"/>
        </w:rPr>
        <w:t xml:space="preserve"> </w:t>
      </w:r>
      <w:r w:rsidRPr="006A576B">
        <w:rPr>
          <w:szCs w:val="24"/>
          <w:lang w:eastAsia="en-US"/>
        </w:rPr>
        <w:t>voimaantulopäivänä tai sen jälkeen. Koska todistus tulee voimaan peruspatentin laillisen voimassaoloajan päättyessä, mikä voi tapahtua melko pitkän ajan kuluttua todistuksen hakemispäivästä, on perusteltua, että</w:t>
      </w:r>
      <w:r w:rsidR="0017454C" w:rsidRPr="006A576B">
        <w:rPr>
          <w:szCs w:val="24"/>
          <w:lang w:eastAsia="en-US"/>
        </w:rPr>
        <w:t xml:space="preserve"> </w:t>
      </w:r>
      <w:r w:rsidRPr="006A576B">
        <w:rPr>
          <w:szCs w:val="24"/>
          <w:lang w:eastAsia="en-US"/>
        </w:rPr>
        <w:t>tässä asetuksessa säädetty poikkeus</w:t>
      </w:r>
      <w:r w:rsidR="0017454C" w:rsidRPr="006A576B">
        <w:rPr>
          <w:szCs w:val="24"/>
          <w:lang w:eastAsia="en-US"/>
        </w:rPr>
        <w:t xml:space="preserve"> </w:t>
      </w:r>
      <w:r w:rsidRPr="006A576B">
        <w:rPr>
          <w:szCs w:val="24"/>
          <w:lang w:eastAsia="en-US"/>
        </w:rPr>
        <w:t>kattaa tietyn ajanjakson ajan myös todistuksen, jota on haettu ennen</w:t>
      </w:r>
      <w:r w:rsidR="0017454C" w:rsidRPr="006A576B">
        <w:rPr>
          <w:szCs w:val="24"/>
          <w:lang w:eastAsia="en-US"/>
        </w:rPr>
        <w:t xml:space="preserve"> </w:t>
      </w:r>
      <w:r w:rsidRPr="006A576B">
        <w:rPr>
          <w:szCs w:val="24"/>
          <w:lang w:eastAsia="en-US"/>
        </w:rPr>
        <w:t>asetuksen</w:t>
      </w:r>
      <w:r w:rsidR="0017454C" w:rsidRPr="006A576B">
        <w:rPr>
          <w:szCs w:val="24"/>
          <w:lang w:eastAsia="en-US"/>
        </w:rPr>
        <w:t xml:space="preserve"> </w:t>
      </w:r>
      <w:r w:rsidRPr="006A576B">
        <w:rPr>
          <w:szCs w:val="24"/>
          <w:lang w:eastAsia="en-US"/>
        </w:rPr>
        <w:t>(EU) 2019/933</w:t>
      </w:r>
      <w:r w:rsidR="0017454C" w:rsidRPr="006A576B">
        <w:rPr>
          <w:szCs w:val="24"/>
          <w:lang w:eastAsia="en-US"/>
        </w:rPr>
        <w:t xml:space="preserve"> </w:t>
      </w:r>
      <w:r w:rsidRPr="006A576B">
        <w:rPr>
          <w:szCs w:val="24"/>
          <w:lang w:eastAsia="en-US"/>
        </w:rPr>
        <w:t>voimaantulopäivää mutta joka ei</w:t>
      </w:r>
      <w:r w:rsidR="0017454C" w:rsidRPr="006A576B">
        <w:rPr>
          <w:szCs w:val="24"/>
          <w:lang w:eastAsia="en-US"/>
        </w:rPr>
        <w:t xml:space="preserve"> </w:t>
      </w:r>
      <w:r w:rsidRPr="006A576B">
        <w:rPr>
          <w:szCs w:val="24"/>
          <w:lang w:eastAsia="en-US"/>
        </w:rPr>
        <w:t>ollut</w:t>
      </w:r>
      <w:r w:rsidR="0017454C" w:rsidRPr="006A576B">
        <w:rPr>
          <w:szCs w:val="24"/>
          <w:lang w:eastAsia="en-US"/>
        </w:rPr>
        <w:t xml:space="preserve"> </w:t>
      </w:r>
      <w:r w:rsidRPr="006A576B">
        <w:rPr>
          <w:szCs w:val="24"/>
          <w:lang w:eastAsia="en-US"/>
        </w:rPr>
        <w:t>vielä tullut voimaan ennen kyseistä päivää, riippumatta siitä, onko todistus myönnetty ennen kyseistä päivää. Poikkeusta</w:t>
      </w:r>
      <w:r w:rsidR="0017454C" w:rsidRPr="006A576B">
        <w:rPr>
          <w:szCs w:val="24"/>
          <w:lang w:eastAsia="en-US"/>
        </w:rPr>
        <w:t xml:space="preserve"> </w:t>
      </w:r>
      <w:r w:rsidRPr="006A576B">
        <w:rPr>
          <w:szCs w:val="24"/>
          <w:lang w:eastAsia="en-US"/>
        </w:rPr>
        <w:t>sovelletaan</w:t>
      </w:r>
      <w:r w:rsidR="0017454C" w:rsidRPr="006A576B">
        <w:rPr>
          <w:szCs w:val="24"/>
          <w:lang w:eastAsia="en-US"/>
        </w:rPr>
        <w:t xml:space="preserve"> </w:t>
      </w:r>
      <w:r w:rsidRPr="006A576B">
        <w:rPr>
          <w:szCs w:val="24"/>
          <w:lang w:eastAsia="en-US"/>
        </w:rPr>
        <w:t>näin ollen</w:t>
      </w:r>
      <w:r w:rsidR="0017454C" w:rsidRPr="006A576B">
        <w:rPr>
          <w:szCs w:val="24"/>
          <w:lang w:eastAsia="en-US"/>
        </w:rPr>
        <w:t xml:space="preserve"> </w:t>
      </w:r>
      <w:r w:rsidRPr="006A576B">
        <w:rPr>
          <w:szCs w:val="24"/>
          <w:lang w:eastAsia="en-US"/>
        </w:rPr>
        <w:t>2 päivästä heinäkuuta 2022 todistukseen, joka</w:t>
      </w:r>
      <w:r w:rsidR="0017454C" w:rsidRPr="006A576B">
        <w:rPr>
          <w:szCs w:val="24"/>
          <w:lang w:eastAsia="en-US"/>
        </w:rPr>
        <w:t xml:space="preserve"> </w:t>
      </w:r>
      <w:r w:rsidRPr="006A576B">
        <w:rPr>
          <w:szCs w:val="24"/>
          <w:lang w:eastAsia="en-US"/>
        </w:rPr>
        <w:t>on tullut</w:t>
      </w:r>
      <w:r w:rsidR="0017454C" w:rsidRPr="006A576B">
        <w:rPr>
          <w:szCs w:val="24"/>
          <w:lang w:eastAsia="en-US"/>
        </w:rPr>
        <w:t xml:space="preserve"> </w:t>
      </w:r>
      <w:r w:rsidRPr="006A576B">
        <w:rPr>
          <w:szCs w:val="24"/>
          <w:lang w:eastAsia="en-US"/>
        </w:rPr>
        <w:t>voimaan</w:t>
      </w:r>
      <w:r w:rsidR="0017454C" w:rsidRPr="006A576B">
        <w:rPr>
          <w:szCs w:val="24"/>
          <w:lang w:eastAsia="en-US"/>
        </w:rPr>
        <w:t xml:space="preserve"> </w:t>
      </w:r>
      <w:r w:rsidRPr="006A576B">
        <w:rPr>
          <w:szCs w:val="24"/>
          <w:lang w:eastAsia="en-US"/>
        </w:rPr>
        <w:t>asetuksen</w:t>
      </w:r>
      <w:r w:rsidR="0017454C" w:rsidRPr="006A576B">
        <w:rPr>
          <w:szCs w:val="24"/>
          <w:lang w:eastAsia="en-US"/>
        </w:rPr>
        <w:t xml:space="preserve"> </w:t>
      </w:r>
      <w:r w:rsidRPr="006A576B">
        <w:rPr>
          <w:szCs w:val="24"/>
          <w:lang w:eastAsia="en-US"/>
        </w:rPr>
        <w:t>(EU) 2019/933</w:t>
      </w:r>
      <w:r w:rsidR="0017454C" w:rsidRPr="006A576B">
        <w:rPr>
          <w:szCs w:val="24"/>
          <w:lang w:eastAsia="en-US"/>
        </w:rPr>
        <w:t xml:space="preserve"> </w:t>
      </w:r>
      <w:r w:rsidRPr="006A576B">
        <w:rPr>
          <w:szCs w:val="24"/>
          <w:lang w:eastAsia="en-US"/>
        </w:rPr>
        <w:t>voimaantulopäivästä. Käsitteellä ”tietty ajanjakso” on tarkoitus varmistaa kunkin sellaisen todistuksen osalta, joka tulee voimaan</w:t>
      </w:r>
      <w:r w:rsidR="0017454C" w:rsidRPr="006A576B">
        <w:rPr>
          <w:szCs w:val="24"/>
          <w:lang w:eastAsia="en-US"/>
        </w:rPr>
        <w:t xml:space="preserve"> </w:t>
      </w:r>
      <w:r w:rsidRPr="006A576B">
        <w:rPr>
          <w:szCs w:val="24"/>
          <w:lang w:eastAsia="en-US"/>
        </w:rPr>
        <w:t>kyseisen</w:t>
      </w:r>
      <w:r w:rsidR="0017454C" w:rsidRPr="006A576B">
        <w:rPr>
          <w:szCs w:val="24"/>
          <w:lang w:eastAsia="en-US"/>
        </w:rPr>
        <w:t xml:space="preserve"> </w:t>
      </w:r>
      <w:r w:rsidRPr="006A576B">
        <w:rPr>
          <w:szCs w:val="24"/>
          <w:lang w:eastAsia="en-US"/>
        </w:rPr>
        <w:t>asetuksen voimaantulopäivän jälkeen, että poikkeusta sovelletaan tällaiseen todistukseen asteittain sen mukaan, minä päivänä se</w:t>
      </w:r>
      <w:r w:rsidR="0017454C" w:rsidRPr="006A576B">
        <w:rPr>
          <w:szCs w:val="24"/>
          <w:lang w:eastAsia="en-US"/>
        </w:rPr>
        <w:t xml:space="preserve"> </w:t>
      </w:r>
      <w:r w:rsidRPr="006A576B">
        <w:rPr>
          <w:szCs w:val="24"/>
          <w:lang w:eastAsia="en-US"/>
        </w:rPr>
        <w:t>on tullut</w:t>
      </w:r>
      <w:r w:rsidR="0017454C" w:rsidRPr="006A576B">
        <w:rPr>
          <w:szCs w:val="24"/>
          <w:lang w:eastAsia="en-US"/>
        </w:rPr>
        <w:t xml:space="preserve"> </w:t>
      </w:r>
      <w:r w:rsidRPr="006A576B">
        <w:rPr>
          <w:szCs w:val="24"/>
          <w:lang w:eastAsia="en-US"/>
        </w:rPr>
        <w:t>voimaan ja miten kauan se on voimassa. Poikkeuksen tällainen soveltaminen antaisi todistuksen, joka</w:t>
      </w:r>
      <w:r w:rsidR="0017454C" w:rsidRPr="006A576B">
        <w:rPr>
          <w:szCs w:val="24"/>
          <w:lang w:eastAsia="en-US"/>
        </w:rPr>
        <w:t xml:space="preserve"> </w:t>
      </w:r>
      <w:r w:rsidRPr="006A576B">
        <w:rPr>
          <w:szCs w:val="24"/>
          <w:lang w:eastAsia="en-US"/>
        </w:rPr>
        <w:t>oli</w:t>
      </w:r>
      <w:r w:rsidR="0017454C" w:rsidRPr="006A576B">
        <w:rPr>
          <w:szCs w:val="24"/>
          <w:lang w:eastAsia="en-US"/>
        </w:rPr>
        <w:t xml:space="preserve"> </w:t>
      </w:r>
      <w:r w:rsidRPr="006A576B">
        <w:rPr>
          <w:szCs w:val="24"/>
          <w:lang w:eastAsia="en-US"/>
        </w:rPr>
        <w:t>myönnetty mutta joka ei</w:t>
      </w:r>
      <w:r w:rsidR="0017454C" w:rsidRPr="006A576B">
        <w:rPr>
          <w:szCs w:val="24"/>
          <w:lang w:eastAsia="en-US"/>
        </w:rPr>
        <w:t xml:space="preserve"> </w:t>
      </w:r>
      <w:r w:rsidRPr="006A576B">
        <w:rPr>
          <w:szCs w:val="24"/>
          <w:lang w:eastAsia="en-US"/>
        </w:rPr>
        <w:t>ollut</w:t>
      </w:r>
      <w:r w:rsidR="0017454C" w:rsidRPr="006A576B">
        <w:rPr>
          <w:szCs w:val="24"/>
          <w:lang w:eastAsia="en-US"/>
        </w:rPr>
        <w:t xml:space="preserve"> </w:t>
      </w:r>
      <w:r w:rsidRPr="006A576B">
        <w:rPr>
          <w:szCs w:val="24"/>
          <w:lang w:eastAsia="en-US"/>
        </w:rPr>
        <w:t>tullut voimaan</w:t>
      </w:r>
      <w:r w:rsidR="0017454C" w:rsidRPr="006A576B">
        <w:rPr>
          <w:szCs w:val="24"/>
          <w:lang w:eastAsia="en-US"/>
        </w:rPr>
        <w:t xml:space="preserve"> </w:t>
      </w:r>
      <w:r w:rsidRPr="006A576B">
        <w:rPr>
          <w:szCs w:val="24"/>
          <w:lang w:eastAsia="en-US"/>
        </w:rPr>
        <w:t>asetuksen</w:t>
      </w:r>
      <w:r w:rsidR="0017454C" w:rsidRPr="006A576B">
        <w:rPr>
          <w:szCs w:val="24"/>
          <w:lang w:eastAsia="en-US"/>
        </w:rPr>
        <w:t xml:space="preserve"> </w:t>
      </w:r>
      <w:r w:rsidRPr="006A576B">
        <w:rPr>
          <w:szCs w:val="24"/>
          <w:lang w:eastAsia="en-US"/>
        </w:rPr>
        <w:t>(EU) 2019/933</w:t>
      </w:r>
      <w:r w:rsidR="0017454C" w:rsidRPr="006A576B">
        <w:rPr>
          <w:szCs w:val="24"/>
          <w:lang w:eastAsia="en-US"/>
        </w:rPr>
        <w:t xml:space="preserve"> </w:t>
      </w:r>
      <w:r w:rsidRPr="006A576B">
        <w:rPr>
          <w:szCs w:val="24"/>
          <w:lang w:eastAsia="en-US"/>
        </w:rPr>
        <w:t>voimaantulopäivään mennessä, haltijalle kohtuullisen siirtymäajan, jonka kuluessa se voi mukautua muuttuneeseen oikeudelliseen tilanteeseen, ja samalla varmistaisi, että rinnakkais- ja biosimilaarilääkkeiden valmistajat voivat hyötyä poikkeuksesta tehokkaasti ilman aiheetonta viivytystä.</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(59)</w:t>
      </w:r>
      <w:r w:rsidRPr="006A576B">
        <w:rPr>
          <w:szCs w:val="24"/>
          <w:lang w:eastAsia="en-US"/>
        </w:rPr>
        <w:tab/>
        <w:t>Poikkeusta</w:t>
      </w:r>
      <w:r w:rsidR="0017454C" w:rsidRPr="006A576B">
        <w:rPr>
          <w:szCs w:val="24"/>
          <w:lang w:eastAsia="en-US"/>
        </w:rPr>
        <w:t xml:space="preserve"> </w:t>
      </w:r>
      <w:r w:rsidRPr="006A576B">
        <w:rPr>
          <w:szCs w:val="24"/>
          <w:lang w:eastAsia="en-US"/>
        </w:rPr>
        <w:t>olisi sovellettava</w:t>
      </w:r>
      <w:r w:rsidR="0017454C" w:rsidRPr="006A576B">
        <w:rPr>
          <w:szCs w:val="24"/>
          <w:lang w:eastAsia="en-US"/>
        </w:rPr>
        <w:t xml:space="preserve"> </w:t>
      </w:r>
      <w:r w:rsidRPr="006A576B">
        <w:rPr>
          <w:szCs w:val="24"/>
          <w:lang w:eastAsia="en-US"/>
        </w:rPr>
        <w:t>todistuksen hakemispäivän perusteella, jotta edistetään</w:t>
      </w:r>
      <w:r w:rsidR="0017454C" w:rsidRPr="006A576B">
        <w:rPr>
          <w:szCs w:val="24"/>
          <w:lang w:eastAsia="en-US"/>
        </w:rPr>
        <w:t xml:space="preserve"> </w:t>
      </w:r>
      <w:r w:rsidRPr="006A576B">
        <w:rPr>
          <w:szCs w:val="24"/>
          <w:lang w:eastAsia="en-US"/>
        </w:rPr>
        <w:t>yhdenmukaisuutta ja vähennetään erojen mahdollisuutta.</w:t>
      </w:r>
    </w:p>
    <w:p w:rsidR="00AD600E" w:rsidRPr="006A576B" w:rsidRDefault="00AD600E" w:rsidP="00207001">
      <w:pPr>
        <w:widowControl/>
        <w:spacing w:before="120" w:after="120" w:line="360" w:lineRule="auto"/>
        <w:ind w:left="850" w:hanging="850"/>
        <w:rPr>
          <w:b/>
          <w:szCs w:val="24"/>
          <w:lang w:eastAsia="en-US"/>
        </w:rPr>
      </w:pPr>
      <w:r w:rsidRPr="006A576B">
        <w:rPr>
          <w:szCs w:val="24"/>
          <w:lang w:eastAsia="en-US"/>
        </w:rPr>
        <w:t>(60)</w:t>
      </w:r>
      <w:r w:rsidRPr="006A576B">
        <w:rPr>
          <w:szCs w:val="24"/>
          <w:lang w:eastAsia="en-US"/>
        </w:rPr>
        <w:tab/>
        <w:t>Avoimuuden varmistamiseksi olisi perustettava rekisteri, joka voi toimia keskitettynä yhteyspisteenä, josta saa tietoa keskitetyn menettelyn mukaisista todistushakemuksista, mukaan lukien toimivaltaisten kansallisten viranomaisten tällä perusteella myöntämistä todistuksista, ja jonka olisi toimitettava virastolle kaikki asiaan liittyvät tiedot. Tämän rekisterin olisi oltava saatavilla kaikilla unionin virallisilla kielillä.</w:t>
      </w:r>
      <w:r w:rsidRPr="006A576B">
        <w:rPr>
          <w:b/>
          <w:i/>
          <w:szCs w:val="24"/>
          <w:lang w:eastAsia="en-US"/>
        </w:rPr>
        <w:t xml:space="preserve"> Rekisteristä saatavia tietoja ei kuitenkaan saisi käyttää patenttien kytkemisjärjestelyissä, eikä rinnakkaisvalmisteisiin tai biosimilaarilääkkeisiin liittyviä sääntely- tai hallintopäätöksiä, kuten myyntilupia, hinnoittelu- ja korvattavuuspäätöksiä tai tarjouksia, jotka liittyvät lisäsuojatodistuksen olemassaoloon, pitäisi perustaa rekisteristä saataviin tietoihin.</w:t>
      </w:r>
      <w:r w:rsidR="000B1D75" w:rsidRPr="006A576B">
        <w:rPr>
          <w:b/>
          <w:szCs w:val="24"/>
          <w:lang w:eastAsia="en-US"/>
        </w:rPr>
        <w:t xml:space="preserve"> [tark. 14]</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(61)</w:t>
      </w:r>
      <w:r w:rsidRPr="006A576B">
        <w:rPr>
          <w:szCs w:val="24"/>
          <w:lang w:eastAsia="en-US"/>
        </w:rPr>
        <w:tab/>
        <w:t>Asetuksella [COM(2023) 222]</w:t>
      </w:r>
      <w:r w:rsidRPr="006A576B">
        <w:rPr>
          <w:szCs w:val="24"/>
          <w:vertAlign w:val="superscript"/>
          <w:lang w:val="en-GB" w:eastAsia="en-US"/>
        </w:rPr>
        <w:footnoteReference w:id="17"/>
      </w:r>
      <w:r w:rsidRPr="006A576B">
        <w:rPr>
          <w:szCs w:val="24"/>
          <w:lang w:eastAsia="en-US"/>
        </w:rPr>
        <w:t xml:space="preserve"> luodaan lääkkeiden yhtenäinen lisäsuojatodistus, jota voidaan hakea niissä jäsenvaltioissa, joissa peruspatentilla on yhtenäinen vaikutus. Tällaista yhtenäistä todistusta koskeva pyyntö voidaan esittää yhdistetyssä todistushakemuksessa tämän asetuksen mukaista keskitettyä menettelyä noudattaen. Tällaisessa tapauksessa molemmat pyynnöt sisältävään yhdistettyyn hakemukseen olisi sovellettava yhtä keskitettyä tutkimusmenettelyä. Yhtenäisen todistuksen ja tämän asetuksen nojalla myönnetyn todistuksen antama kaksinkertainen suoja olisi suljettava pois.</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(62)</w:t>
      </w:r>
      <w:r w:rsidRPr="006A576B">
        <w:rPr>
          <w:szCs w:val="24"/>
          <w:lang w:eastAsia="en-US"/>
        </w:rPr>
        <w:tab/>
        <w:t>Viraston olisi hoidettava sille tällä asetuksella annettuja tehtäviä kaikilla unionin virallisilla kielillä. Viraston olisi hyväksyttävä asiakirjojen ja tietojen tarkistetut käännökset mille tahansa unionin virallisista kielistä. Virasto voi tarvittaessa käyttää tarkistettuja konekäännöksiä.</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(63)</w:t>
      </w:r>
      <w:r w:rsidRPr="006A576B">
        <w:rPr>
          <w:szCs w:val="24"/>
          <w:lang w:eastAsia="en-US"/>
        </w:rPr>
        <w:tab/>
        <w:t>Olisi säädettävä rahoituksesta sen varmistamiseksi, että keskitettyyn menettelyyn osallistuvat toimivaltaiset kansalliset viranomaiset saavat riittävän korvauksen osallistumisestaan.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(64)</w:t>
      </w:r>
      <w:r w:rsidRPr="006A576B">
        <w:rPr>
          <w:szCs w:val="24"/>
          <w:lang w:eastAsia="en-US"/>
        </w:rPr>
        <w:tab/>
        <w:t>Virastolle annettuihin tehtäviin liittyvät tarvittavat perustamiskustannukset, mukaan lukien uusien digitaalisten järjestelmien kustannukset, olisi rahoitettava virastolle kertyneestä talousarvion ylijäämästä.</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(65)</w:t>
      </w:r>
      <w:r w:rsidRPr="006A576B">
        <w:rPr>
          <w:szCs w:val="24"/>
          <w:lang w:eastAsia="en-US"/>
        </w:rPr>
        <w:tab/>
        <w:t>Tämän asetuksen tiettyjen muiden kuin keskeisten osien muuttamiseksi komissiolle olisi siirrettävä valta Euroopan unionin toiminnasta tehdyn sopimuksen 290 artiklan mukaisesti antaa säädöksiä, joissa i) määritetään valituksen sisältö ja muoto sekä valituslautakunnan päätöksen sisältö ja muoto, ii) määritetään yksityiskohtaisesti valituslautakuntien organisaatiosta todistuksiin liittyvissä menettelyissä, iii) määritetään säännöt, jotka koskevat viestintävälineitä, myös sähköisiä viestintävälineitä, joita osapuolten on käytettävä viraston menettelyissä sekä lomakkeet, jotka viraston on asetettava saataville, iv) säädetään suullisia menettelyjä koskevista yksityiskohtaisista järjestelyistä, v) säädetään todisteiden hankkimista koskevista yksityiskohtaisista järjestelyistä, vi) säädetään tiedoksiantoja koskevista yksityiskohtaisista järjestelyistä, vii) määritetään määräaikojen laskentaan ja kestoon liittyvistä yksityiskohdista ja viii) säädetään menettelyjen uudelleen aloittamista koskevista yksityiskohtaisista järjestelyistä. On erityisen tärkeää, että komissio asiaa valmistellessaan toteuttaa asianmukaiset kuulemiset, myös asiantuntijatasolla, ja että nämä kuulemiset toteutetaan paremmasta lainsäädännöstä 13 päivänä huhtikuuta 2016 tehdyssä toimielinten välisessä sopimuksessa</w:t>
      </w:r>
      <w:r w:rsidRPr="006A576B">
        <w:rPr>
          <w:szCs w:val="24"/>
          <w:vertAlign w:val="superscript"/>
          <w:lang w:val="en-GB" w:eastAsia="en-US"/>
        </w:rPr>
        <w:footnoteReference w:id="18"/>
      </w:r>
      <w:r w:rsidRPr="006A576B">
        <w:rPr>
          <w:szCs w:val="24"/>
          <w:lang w:eastAsia="en-US"/>
        </w:rPr>
        <w:t xml:space="preserve">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(66)</w:t>
      </w:r>
      <w:r w:rsidRPr="006A576B">
        <w:rPr>
          <w:szCs w:val="24"/>
          <w:lang w:eastAsia="en-US"/>
        </w:rPr>
        <w:tab/>
        <w:t>Jotta voidaan varmistaa tämän asetuksen yhdenmukainen täytäntöönpano, komissiolle olisi siirrettävä täytäntöönpanovaltaa seuraavissa asioissa: i) käytettävät hakulomakkeet, ii) säännöt hakemuksen jättämismenettelyille ja menettelyt, joiden mukaisesti tutkimuslautakunnat tutkivat keskitetyt hakemukset ja valmistelevat tutkimuslausunnot sekä menettelyt, joiden mukaisesti virasto valmistelee tutkimuslausunnot, iii) tutkimuslautakuntien kokoamista koskevat kriteerit ja kriteerit tutkijoiden valinnalle, iv) virastolle maksettavien maksujen määrät, v) voittaneelle osapuolelle tosiasiallisesti aiheutuneiden, menettelyille välttämättömien kustannusten enimmäismäärien määrittäminen ja vi) säännöt, jotka koskevat viraston ja jäsenvaltioiden välisiä varainsiirtoja, näiden siirtojen määriä sekä korvauksia, joita viraston on maksettava toimivaltaisten kansallisten viranomaisten osallistumisesta. Tätä valtaa olisi käytettävä Euroopan parlamentin ja neuvoston asetuksen (EU) N:o 182/2011</w:t>
      </w:r>
      <w:r w:rsidRPr="006A576B">
        <w:rPr>
          <w:szCs w:val="24"/>
          <w:vertAlign w:val="superscript"/>
          <w:lang w:val="en-GB" w:eastAsia="en-US"/>
        </w:rPr>
        <w:footnoteReference w:id="19"/>
      </w:r>
      <w:r w:rsidRPr="006A576B">
        <w:rPr>
          <w:szCs w:val="24"/>
          <w:lang w:eastAsia="en-US"/>
        </w:rPr>
        <w:t xml:space="preserve"> mukaisesti.</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(67)</w:t>
      </w:r>
      <w:r w:rsidRPr="006A576B">
        <w:rPr>
          <w:szCs w:val="24"/>
          <w:lang w:eastAsia="en-US"/>
        </w:rPr>
        <w:tab/>
        <w:t>Komission olisi tehtävä säännöllisesti tätä asetusta koskeva arviointi, erityisesti sen arvioimiseksi, miten poikkeus vaikuttaa unionin lääkealan kilpailukykyyn.</w:t>
      </w:r>
      <w:r w:rsidR="0017454C" w:rsidRPr="006A576B">
        <w:rPr>
          <w:szCs w:val="24"/>
          <w:lang w:eastAsia="en-US"/>
        </w:rPr>
        <w:t xml:space="preserve"> </w:t>
      </w:r>
      <w:r w:rsidRPr="006A576B">
        <w:rPr>
          <w:szCs w:val="24"/>
          <w:lang w:eastAsia="en-US"/>
        </w:rPr>
        <w:t>Arvioinnissa olisi otettava huomioon yhtäältä vienti unionin ulkopuolelle ja toisaalta varastoinnin vaikutukset rinnakkaislääkkeiden ja erityisesti biosimilaarilääkkeiden nopeampaan unionin markkinoille tuloon mahdollisimman pian todistuksen voimassaolon päätyttyä. Tällaisessa säännöllisessä arvioinnissa olisi käsiteltävä myös tämän</w:t>
      </w:r>
      <w:r w:rsidR="0017454C" w:rsidRPr="006A576B">
        <w:rPr>
          <w:szCs w:val="24"/>
          <w:lang w:eastAsia="en-US"/>
        </w:rPr>
        <w:t xml:space="preserve"> </w:t>
      </w:r>
      <w:r w:rsidRPr="006A576B">
        <w:rPr>
          <w:szCs w:val="24"/>
          <w:lang w:eastAsia="en-US"/>
        </w:rPr>
        <w:t>poikkeuksen</w:t>
      </w:r>
      <w:r w:rsidR="0017454C" w:rsidRPr="006A576B">
        <w:rPr>
          <w:szCs w:val="24"/>
          <w:lang w:eastAsia="en-US"/>
        </w:rPr>
        <w:t xml:space="preserve"> </w:t>
      </w:r>
      <w:r w:rsidRPr="006A576B">
        <w:rPr>
          <w:szCs w:val="24"/>
          <w:lang w:eastAsia="en-US"/>
        </w:rPr>
        <w:t>vaikutuksia unioniin sijoittautuneiden rinnakkais- ja biosimilaarilääkkeiden valmistajien unionissa suorittamaan rinnakkais- ja biosimilaarilääkkeiden valmistukseen. Tässä yhteydessä</w:t>
      </w:r>
      <w:r w:rsidR="0017454C" w:rsidRPr="006A576B">
        <w:rPr>
          <w:szCs w:val="24"/>
          <w:lang w:eastAsia="en-US"/>
        </w:rPr>
        <w:t xml:space="preserve"> </w:t>
      </w:r>
      <w:r w:rsidRPr="006A576B">
        <w:rPr>
          <w:szCs w:val="24"/>
          <w:lang w:eastAsia="en-US"/>
        </w:rPr>
        <w:t>on</w:t>
      </w:r>
      <w:r w:rsidR="0017454C" w:rsidRPr="006A576B">
        <w:rPr>
          <w:szCs w:val="24"/>
          <w:lang w:eastAsia="en-US"/>
        </w:rPr>
        <w:t xml:space="preserve"> </w:t>
      </w:r>
      <w:r w:rsidRPr="006A576B">
        <w:rPr>
          <w:szCs w:val="24"/>
          <w:lang w:eastAsia="en-US"/>
        </w:rPr>
        <w:t>tärkeää tarkistaa,</w:t>
      </w:r>
      <w:r w:rsidR="0017454C" w:rsidRPr="006A576B">
        <w:rPr>
          <w:szCs w:val="24"/>
          <w:lang w:eastAsia="en-US"/>
        </w:rPr>
        <w:t xml:space="preserve"> </w:t>
      </w:r>
      <w:r w:rsidRPr="006A576B">
        <w:rPr>
          <w:szCs w:val="24"/>
          <w:lang w:eastAsia="en-US"/>
        </w:rPr>
        <w:t>siirretäänkö</w:t>
      </w:r>
      <w:r w:rsidR="0017454C" w:rsidRPr="006A576B">
        <w:rPr>
          <w:szCs w:val="24"/>
          <w:lang w:eastAsia="en-US"/>
        </w:rPr>
        <w:t xml:space="preserve"> </w:t>
      </w:r>
      <w:r w:rsidRPr="006A576B">
        <w:rPr>
          <w:szCs w:val="24"/>
          <w:lang w:eastAsia="en-US"/>
        </w:rPr>
        <w:t>aiemmin unionin ulkopuolella tapahtunut valmistaminen unionin alueelle. Erityisesti</w:t>
      </w:r>
      <w:r w:rsidR="0017454C" w:rsidRPr="006A576B">
        <w:rPr>
          <w:szCs w:val="24"/>
          <w:lang w:eastAsia="en-US"/>
        </w:rPr>
        <w:t xml:space="preserve"> </w:t>
      </w:r>
      <w:r w:rsidRPr="006A576B">
        <w:rPr>
          <w:szCs w:val="24"/>
          <w:lang w:eastAsia="en-US"/>
        </w:rPr>
        <w:t>arvioinnissa olisi tarkasteltava poikkeuksen tehokkuutta siitä näkökulmasta, palauttaako se maailmanlaajuiset tasapuoliset toimintaedellytykset rinnakkais- ja biosimilaarilääkkeiden valmistajille unionissa.</w:t>
      </w:r>
      <w:r w:rsidR="0017454C" w:rsidRPr="006A576B">
        <w:rPr>
          <w:szCs w:val="24"/>
          <w:lang w:eastAsia="en-US"/>
        </w:rPr>
        <w:t xml:space="preserve"> </w:t>
      </w:r>
      <w:r w:rsidRPr="006A576B">
        <w:rPr>
          <w:szCs w:val="24"/>
          <w:lang w:eastAsia="en-US"/>
        </w:rPr>
        <w:t>Arvioinnissa</w:t>
      </w:r>
      <w:r w:rsidR="0017454C" w:rsidRPr="006A576B">
        <w:rPr>
          <w:szCs w:val="24"/>
          <w:lang w:eastAsia="en-US"/>
        </w:rPr>
        <w:t xml:space="preserve"> </w:t>
      </w:r>
      <w:r w:rsidRPr="006A576B">
        <w:rPr>
          <w:szCs w:val="24"/>
          <w:lang w:eastAsia="en-US"/>
        </w:rPr>
        <w:t>olisi myös tutkittava poikkeuksen vaikutusta todistuksen haltijoiden harjoittamaan innovatiivisten lääkkeiden tutkimukseen ja tuotantoon unionissa ja tarkasteltava tilanteeseen vaikuttavia eri intressejä, erityisesti kansanterveyteen, julkisiin menoihin sekä tässä yhteydessä lääkkeiden saatavuuteen unionissa liittyviä intressejä. Siinä olisi myös tutkittava, onko rinnakkais- ja biosimilaarilääkkeiden valmistamiselle varastoitavaksi säädetty ajanjakso riittävä, jotta voidaan saavuttaa välitöntä unionin markkinoille tuloa koskeva tavoite, mukaan luettuina sen vaikutukset kansanterveyteen.</w:t>
      </w:r>
      <w:r w:rsidR="0017454C" w:rsidRPr="006A576B">
        <w:rPr>
          <w:szCs w:val="24"/>
          <w:lang w:eastAsia="en-US"/>
        </w:rPr>
        <w:t xml:space="preserve"> </w:t>
      </w:r>
      <w:r w:rsidRPr="006A576B">
        <w:rPr>
          <w:szCs w:val="24"/>
          <w:lang w:eastAsia="en-US"/>
        </w:rPr>
        <w:t>Komission olisi myös säännöllisesti arvioitava keskitettyä menettelyä.</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(68)</w:t>
      </w:r>
      <w:r w:rsidRPr="006A576B">
        <w:rPr>
          <w:szCs w:val="24"/>
          <w:lang w:eastAsia="en-US"/>
        </w:rPr>
        <w:tab/>
        <w:t>Tässä asetuksessa kunnioitetaan perusoikeuksia ja noudatetaan Euroopan unionin perusoikeuskirjassa, jäljempänä ’perusoikeuskirja’, tunnustettuja periaatteita.</w:t>
      </w:r>
      <w:r w:rsidR="0017454C" w:rsidRPr="006A576B">
        <w:rPr>
          <w:szCs w:val="24"/>
          <w:lang w:eastAsia="en-US"/>
        </w:rPr>
        <w:t xml:space="preserve"> </w:t>
      </w:r>
      <w:r w:rsidRPr="006A576B">
        <w:rPr>
          <w:szCs w:val="24"/>
          <w:lang w:eastAsia="en-US"/>
        </w:rPr>
        <w:t>Tämän asetuksen sääntöjä olisi tulkittava ja sovellettava kyseisten oikeuksien ja periaatteiden mukaisesti.</w:t>
      </w:r>
      <w:r w:rsidR="0017454C" w:rsidRPr="006A576B">
        <w:rPr>
          <w:szCs w:val="24"/>
          <w:lang w:eastAsia="en-US"/>
        </w:rPr>
        <w:t xml:space="preserve"> </w:t>
      </w:r>
      <w:r w:rsidRPr="006A576B">
        <w:rPr>
          <w:szCs w:val="24"/>
          <w:lang w:eastAsia="en-US"/>
        </w:rPr>
        <w:t>Tällä asetuksella pyritään erityisesti varmistamaan, että perusoikeuskirjan 17 artiklassa vahvistettua omistusoikeutta, 35 artiklassa vahvistettua oikeutta terveydenhoitoon</w:t>
      </w:r>
      <w:r w:rsidR="0017454C" w:rsidRPr="006A576B">
        <w:rPr>
          <w:szCs w:val="24"/>
          <w:lang w:eastAsia="en-US"/>
        </w:rPr>
        <w:t xml:space="preserve"> </w:t>
      </w:r>
      <w:r w:rsidRPr="006A576B">
        <w:rPr>
          <w:szCs w:val="24"/>
          <w:lang w:eastAsia="en-US"/>
        </w:rPr>
        <w:t>ja 47 artiklassa vahvistettua oikeutta tehokkaisiin oikeussuojakeinoihin kunnioitetaan täysimääräisesti. Tällä asetuksella olisi säilytettävä todistuksen antamat keskeiset oikeudet rajoittamalla tässä asetuksessa säädetty poikkeus koskemaan ainoastaan tuotteen tai tätä tuotetta sisältävän lääkkeen valmistamista unionin ulkopuolelle suuntautuvaan vientiin tai varastoitavaksi rajoitetun ajan tarkoituksena saattaa se unionin markkinoille suojan voimassaolon päättyessä, ja sellaisia toimia, jotka ovat ehdottoman välttämättömiä tällaisen valmistuksen tai varsinaisen viennin tai varastoinnin kannalta. Näiden perusoikeuksien ja periaatteiden valossa tässä asetuksessa säädetty poikkeus ei ylitä sitä, mikä on tarpeen ja asianmukaista tämän asetuksen yleistavoitteen kannalta, joka on edistää unionin kilpailukykyä välttämällä toimintojen siirtäminen muualle ja antamalla rinnakkais- ja biosimilaarilääkkeiden unioniin sijoittautuneille valmistajille mahdollisuus kilpailla nopeasti kasvavilla globaaleilla markkinoilla, joilla suojaa ei ole tai joilla sen voimassaolo on päättynyt, ja toisaalta unionin markkinoilla todistuksen voimassaolon päättyessä.</w:t>
      </w:r>
      <w:r w:rsidR="0017454C" w:rsidRPr="006A576B">
        <w:rPr>
          <w:szCs w:val="24"/>
          <w:lang w:eastAsia="en-US"/>
        </w:rPr>
        <w:t xml:space="preserve"> </w:t>
      </w:r>
      <w:r w:rsidRPr="006A576B">
        <w:rPr>
          <w:szCs w:val="24"/>
          <w:lang w:eastAsia="en-US"/>
        </w:rPr>
        <w:t>Lisäksi se, että poistetaan mahdollisuus jättää kansallinen todistushakemus toimivaltaiselle kansalliselle viranomaiselle, jos keskitetyn menettelyn käyttöä koskevat vaatimukset täyttyvät, on oikeasuhteinen, kun otetaan huomioon eroavaisuuksien riski. Jos vaatimukset eivät täyty, kansallisia hakemuksia voidaan edelleen jättää.</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(69)</w:t>
      </w:r>
      <w:r w:rsidRPr="006A576B">
        <w:rPr>
          <w:szCs w:val="24"/>
          <w:lang w:eastAsia="en-US"/>
        </w:rPr>
        <w:tab/>
        <w:t>Keskitetyn menettelyn perustaminen todistusten myöntämistä varten ei saisi vaikuttaa millään tavoin toimivaltaisisten kansallisten viranomaisten käsiteltävänä oleviin kansallisiin todistushakemuksiin eikä kansallisten hakemusten perusteella myönnettyihin todistuksiin.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(70)</w:t>
      </w:r>
      <w:r w:rsidRPr="006A576B">
        <w:rPr>
          <w:szCs w:val="24"/>
          <w:lang w:eastAsia="en-US"/>
        </w:rPr>
        <w:tab/>
        <w:t>Jäsenvaltiot eivät voi riittävällä tavalla saavuttaa tämän asetuksen tavoitteita, vaan ne voidaan saavuttaa paremmin unionin tasolla sen varmistamiseksi että sovellettavat säännöt ja menettelyt ovat yhdenmukaisia unionissa. Sen vuoksi unioni voi toteuttaa toimenpiteitä Euroopan unionista tehdyn sopimuksen 5 artiklassa vahvistetun toissijaisuusperiaatteen mukaisesti. Mainitussa artiklassa vahvistetun suhteellisuusperiaatteen mukaisesti tässä asetuksessa ei ylitetä sitä, mikä on tarpeen kyseisten tavoitteiden saavuttamiseksi.</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(71)</w:t>
      </w:r>
      <w:r w:rsidRPr="006A576B">
        <w:rPr>
          <w:szCs w:val="24"/>
          <w:lang w:eastAsia="en-US"/>
        </w:rPr>
        <w:tab/>
        <w:t>Euroopan tietosuojavaltuutettua on kuultu Euroopan parlamentin ja neuvoston asetuksen (EU) 2018/1725</w:t>
      </w:r>
      <w:r w:rsidRPr="006A576B">
        <w:rPr>
          <w:szCs w:val="24"/>
          <w:vertAlign w:val="superscript"/>
          <w:lang w:val="en-GB" w:eastAsia="en-US"/>
        </w:rPr>
        <w:footnoteReference w:id="20"/>
      </w:r>
      <w:r w:rsidRPr="006A576B">
        <w:rPr>
          <w:szCs w:val="24"/>
          <w:lang w:eastAsia="en-US"/>
        </w:rPr>
        <w:t xml:space="preserve"> 42 artiklan 1 kohdan mukaisesti, ja hän on antanut lausuntonsa XX päivänä XXkuuta XXXX [julkaisutoimisto lisää lausunnon antamispäivämäärän, kun se on tiedossa].</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(72)</w:t>
      </w:r>
      <w:r w:rsidRPr="006A576B">
        <w:rPr>
          <w:szCs w:val="24"/>
          <w:lang w:eastAsia="en-US"/>
        </w:rPr>
        <w:tab/>
        <w:t xml:space="preserve">Asianmukaiset järjestelyt olisi otettava käyttöön, jotta helpotettaisiin sujuvaa siirtymistä asetuksessa (EY) </w:t>
      </w:r>
      <w:proofErr w:type="gramStart"/>
      <w:r w:rsidRPr="006A576B">
        <w:rPr>
          <w:szCs w:val="24"/>
          <w:lang w:eastAsia="en-US"/>
        </w:rPr>
        <w:t>N:o</w:t>
      </w:r>
      <w:proofErr w:type="gramEnd"/>
      <w:r w:rsidRPr="006A576B">
        <w:rPr>
          <w:szCs w:val="24"/>
          <w:lang w:eastAsia="en-US"/>
        </w:rPr>
        <w:t xml:space="preserve"> 469/2009 säädetyistä säännöistä tässä asetuksessa säädettyihin sääntöihin. Jotta virastolla olisi riittävästi aikaa keskitetyn menettelyn täytäntöönpanoon ja käynnistämiseen, keskitettyjä hakemuksia koskevia säännöksiä olisi sovellettava XX päivästä XXkuuta XXXX[julkaisutoimisto lisää päivämäärän, joka on yksi vuosi tämän asetuksen voimaantulosta],</w:t>
      </w:r>
    </w:p>
    <w:p w:rsidR="00AD600E" w:rsidRPr="006A576B" w:rsidRDefault="00AD600E" w:rsidP="00207001">
      <w:pPr>
        <w:keepNext/>
        <w:widowControl/>
        <w:spacing w:before="120" w:after="120" w:line="360" w:lineRule="auto"/>
        <w:rPr>
          <w:szCs w:val="24"/>
          <w:lang w:eastAsia="en-US"/>
        </w:rPr>
      </w:pPr>
      <w:r w:rsidRPr="006A576B">
        <w:rPr>
          <w:szCs w:val="24"/>
          <w:lang w:eastAsia="en-US"/>
        </w:rPr>
        <w:t>OVAT ANTANEET TÄMÄN ASETUKSEN:</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I LUKU</w:t>
      </w:r>
      <w:r w:rsidRPr="006A576B">
        <w:rPr>
          <w:szCs w:val="24"/>
          <w:lang w:eastAsia="en-US"/>
        </w:rPr>
        <w:br/>
        <w:t>YLEISET SÄÄNNÖKSET</w:t>
      </w:r>
    </w:p>
    <w:p w:rsidR="00AD600E" w:rsidRPr="006A576B" w:rsidRDefault="00AD600E" w:rsidP="00207001">
      <w:pPr>
        <w:widowControl/>
        <w:spacing w:before="120" w:after="120" w:line="360" w:lineRule="auto"/>
        <w:jc w:val="center"/>
        <w:rPr>
          <w:szCs w:val="24"/>
          <w:lang w:eastAsia="en-US"/>
        </w:rPr>
      </w:pPr>
      <w:r w:rsidRPr="006A576B">
        <w:rPr>
          <w:szCs w:val="24"/>
          <w:lang w:eastAsia="en-US"/>
        </w:rPr>
        <w:t>1 artikla</w:t>
      </w:r>
      <w:r w:rsidRPr="006A576B">
        <w:rPr>
          <w:szCs w:val="24"/>
          <w:lang w:eastAsia="en-US"/>
        </w:rPr>
        <w:br/>
        <w:t xml:space="preserve">Kohde </w:t>
      </w:r>
    </w:p>
    <w:p w:rsidR="00AD600E" w:rsidRPr="006A576B" w:rsidRDefault="00AD600E" w:rsidP="00207001">
      <w:pPr>
        <w:widowControl/>
        <w:spacing w:before="120" w:after="120" w:line="360" w:lineRule="auto"/>
        <w:rPr>
          <w:szCs w:val="24"/>
          <w:lang w:eastAsia="en-US"/>
        </w:rPr>
      </w:pPr>
      <w:r w:rsidRPr="006A576B">
        <w:rPr>
          <w:szCs w:val="24"/>
          <w:lang w:eastAsia="en-US"/>
        </w:rPr>
        <w:t>Tässä asetuksessa säädetään lääkkeiden lisäsuojatodistusta, jäljempänä ’todistus’, koskevista säännöistä, jotka koskevat</w:t>
      </w:r>
      <w:r w:rsidR="0017454C" w:rsidRPr="006A576B">
        <w:rPr>
          <w:szCs w:val="24"/>
          <w:lang w:eastAsia="en-US"/>
        </w:rPr>
        <w:t xml:space="preserve"> </w:t>
      </w:r>
      <w:r w:rsidRPr="006A576B">
        <w:rPr>
          <w:szCs w:val="24"/>
          <w:lang w:eastAsia="en-US"/>
        </w:rPr>
        <w:t>jäsenvaltion alueella patentin suojaamia</w:t>
      </w:r>
      <w:r w:rsidR="0017454C" w:rsidRPr="006A576B">
        <w:rPr>
          <w:szCs w:val="24"/>
          <w:lang w:eastAsia="en-US"/>
        </w:rPr>
        <w:t xml:space="preserve"> </w:t>
      </w:r>
      <w:r w:rsidRPr="006A576B">
        <w:rPr>
          <w:szCs w:val="24"/>
          <w:lang w:eastAsia="en-US"/>
        </w:rPr>
        <w:t>lääkkeitä, joita direktiivissä 2001/83/EY</w:t>
      </w:r>
      <w:r w:rsidR="0017454C" w:rsidRPr="006A576B">
        <w:rPr>
          <w:szCs w:val="24"/>
          <w:lang w:eastAsia="en-US"/>
        </w:rPr>
        <w:t xml:space="preserve"> </w:t>
      </w:r>
      <w:r w:rsidRPr="006A576B">
        <w:rPr>
          <w:szCs w:val="24"/>
          <w:lang w:eastAsia="en-US"/>
        </w:rPr>
        <w:t xml:space="preserve">asetuksessa (EY) </w:t>
      </w:r>
      <w:proofErr w:type="gramStart"/>
      <w:r w:rsidRPr="006A576B">
        <w:rPr>
          <w:szCs w:val="24"/>
          <w:lang w:eastAsia="en-US"/>
        </w:rPr>
        <w:t>N:o</w:t>
      </w:r>
      <w:proofErr w:type="gramEnd"/>
      <w:r w:rsidRPr="006A576B">
        <w:rPr>
          <w:szCs w:val="24"/>
          <w:lang w:eastAsia="en-US"/>
        </w:rPr>
        <w:t xml:space="preserve"> 726/2004</w:t>
      </w:r>
      <w:r w:rsidR="0017454C" w:rsidRPr="006A576B">
        <w:rPr>
          <w:szCs w:val="24"/>
          <w:lang w:eastAsia="en-US"/>
        </w:rPr>
        <w:t xml:space="preserve"> </w:t>
      </w:r>
      <w:r w:rsidRPr="006A576B">
        <w:rPr>
          <w:szCs w:val="24"/>
          <w:lang w:eastAsia="en-US"/>
        </w:rPr>
        <w:t>tai</w:t>
      </w:r>
      <w:r w:rsidR="0017454C" w:rsidRPr="006A576B">
        <w:rPr>
          <w:szCs w:val="24"/>
          <w:lang w:eastAsia="en-US"/>
        </w:rPr>
        <w:t xml:space="preserve"> </w:t>
      </w:r>
      <w:r w:rsidRPr="006A576B">
        <w:rPr>
          <w:szCs w:val="24"/>
          <w:lang w:eastAsia="en-US"/>
        </w:rPr>
        <w:t>asetuksessa (EU 2019/6 säädetty lääkkeenä markkinoille saattamista edeltävä hallinnollinen lupamenettely koskee.</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2 artikla</w:t>
      </w:r>
      <w:r w:rsidRPr="006A576B">
        <w:rPr>
          <w:szCs w:val="24"/>
          <w:lang w:eastAsia="en-US"/>
        </w:rPr>
        <w:br/>
        <w:t>Määritelmät</w:t>
      </w:r>
    </w:p>
    <w:p w:rsidR="00AD600E" w:rsidRPr="006A576B" w:rsidRDefault="00AD600E" w:rsidP="00207001">
      <w:pPr>
        <w:widowControl/>
        <w:spacing w:before="120" w:after="120" w:line="360" w:lineRule="auto"/>
        <w:rPr>
          <w:szCs w:val="24"/>
          <w:lang w:eastAsia="en-US"/>
        </w:rPr>
      </w:pPr>
      <w:r w:rsidRPr="006A576B">
        <w:rPr>
          <w:szCs w:val="24"/>
          <w:lang w:eastAsia="en-US"/>
        </w:rPr>
        <w:t>Tässä asetuksessa tarkoitetaan: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’lääkkeellä’ kaikkia aineita tai aineiden yhdistelmiä, jotka on tarkoitettu ihmisten tai eläinten sairauksien hoitoon tai ehkäisyyn, sekä kaikkia aineita tai aineiden yhdistelmiä, joita voidaan antaa ihmisille tai eläimille sairauden syyn selvittämiseksi tai elintoimintojen palauttamiseksi, korjaamiseksi tai muuttamiseksi ihmisissä tai eläimissä;</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w:t>
      </w:r>
      <w:r w:rsidRPr="006A576B">
        <w:rPr>
          <w:szCs w:val="24"/>
          <w:lang w:eastAsia="en-US"/>
        </w:rPr>
        <w:tab/>
        <w:t>’tuotteella’ lääkkeen vaikuttavaa ainetta tai vaikuttavien aineiden yhdistelmää;</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(3)</w:t>
      </w:r>
      <w:r w:rsidRPr="006A576B">
        <w:rPr>
          <w:szCs w:val="24"/>
          <w:lang w:eastAsia="en-US"/>
        </w:rPr>
        <w:tab/>
        <w:t>’peruspatentilla’ patenttia, joka suojaa tuotetta sellaisenaan, tuotteen valmistusmenetelmää tai tuotteen käyttösovellutusta ja jonka patentinhaltija ilmoittaa todistuksen antamismenettelyä varten;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(4)</w:t>
      </w:r>
      <w:r w:rsidRPr="006A576B">
        <w:rPr>
          <w:szCs w:val="24"/>
          <w:lang w:eastAsia="en-US"/>
        </w:rPr>
        <w:tab/>
        <w:t>’voimassaoloajan jatkamista koskevalla hakemuksella’</w:t>
      </w:r>
      <w:r w:rsidR="0017454C" w:rsidRPr="006A576B">
        <w:rPr>
          <w:szCs w:val="24"/>
          <w:lang w:eastAsia="en-US"/>
        </w:rPr>
        <w:t xml:space="preserve"> </w:t>
      </w:r>
      <w:r w:rsidRPr="006A576B">
        <w:rPr>
          <w:szCs w:val="24"/>
          <w:lang w:eastAsia="en-US"/>
        </w:rPr>
        <w:t>hakemusta todistuksen voimassaoloajan jatkamiseksi tämän asetuksen 13 artiklan 3 kohdan ja</w:t>
      </w:r>
      <w:r w:rsidR="0017454C" w:rsidRPr="006A576B">
        <w:rPr>
          <w:szCs w:val="24"/>
          <w:lang w:eastAsia="en-US"/>
        </w:rPr>
        <w:t xml:space="preserve"> </w:t>
      </w:r>
      <w:r w:rsidRPr="006A576B">
        <w:rPr>
          <w:szCs w:val="24"/>
          <w:lang w:eastAsia="en-US"/>
        </w:rPr>
        <w:t>asetuksen (EY) N:o 1901/2006</w:t>
      </w:r>
      <w:r w:rsidRPr="006A576B">
        <w:rPr>
          <w:szCs w:val="24"/>
          <w:vertAlign w:val="superscript"/>
          <w:lang w:val="en-GB" w:eastAsia="en-US"/>
        </w:rPr>
        <w:footnoteReference w:id="21"/>
      </w:r>
      <w:r w:rsidR="0017454C" w:rsidRPr="006A576B">
        <w:rPr>
          <w:szCs w:val="24"/>
          <w:lang w:eastAsia="en-US"/>
        </w:rPr>
        <w:t xml:space="preserve"> </w:t>
      </w:r>
      <w:r w:rsidRPr="006A576B">
        <w:rPr>
          <w:szCs w:val="24"/>
          <w:lang w:eastAsia="en-US"/>
        </w:rPr>
        <w:t>36 artiklan mukaisesti;</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(5)</w:t>
      </w:r>
      <w:r w:rsidRPr="006A576B">
        <w:rPr>
          <w:szCs w:val="24"/>
          <w:lang w:eastAsia="en-US"/>
        </w:rPr>
        <w:tab/>
        <w:t>’valmistajalla’ unioniin sijoittautunutta henkilöä, jonka lukuun tuotetta tai tätä tuotetta sisältävää lääkettä valmistetaan kolmansiin maihin vientiä tai varastointia varten;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(6)</w:t>
      </w:r>
      <w:r w:rsidRPr="006A576B">
        <w:rPr>
          <w:szCs w:val="24"/>
          <w:lang w:eastAsia="en-US"/>
        </w:rPr>
        <w:tab/>
        <w:t>’kansallisella hakemuksella’ toimivaltaiselle kansalliselle viranomaiselle 9 artiklan mukaisesti tehtyä todistushakemusta;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(7)</w:t>
      </w:r>
      <w:r w:rsidRPr="006A576B">
        <w:rPr>
          <w:szCs w:val="24"/>
          <w:lang w:eastAsia="en-US"/>
        </w:rPr>
        <w:tab/>
        <w:t>’keskitetyllä hakemuksella’ virastolle 20 artiklan mukaisesti tehtyä hakemusta todistusten myöntämiseksi hakemuksessa yksilöidylle tuotteelle nimetyissä jäsenvaltioissa;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(8)</w:t>
      </w:r>
      <w:r w:rsidRPr="006A576B">
        <w:rPr>
          <w:szCs w:val="24"/>
          <w:lang w:eastAsia="en-US"/>
        </w:rPr>
        <w:tab/>
        <w:t>’voimassaoloajan jatkamista koskevalla keskitetyllä hakemuksella’ hakemusta todistuksen voimassaoloajan jatkamiseksi tämän asetuksen 30 artiklan ja asetuksen (EY) N:o 1901/2006 36 artiklan mukaisesti;</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(9)</w:t>
      </w:r>
      <w:r w:rsidRPr="006A576B">
        <w:rPr>
          <w:szCs w:val="24"/>
          <w:lang w:eastAsia="en-US"/>
        </w:rPr>
        <w:tab/>
        <w:t>’nimetyllä jäsenvaltiolla’ jäsenvaltiota, jonka osalta haetaan todistusta III luvussa säädetyn keskitetyn tutkimusmenettelyn mukaisesti ja joka yksilöidään keskitetyssä todistushakemuksessa;</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(10)</w:t>
      </w:r>
      <w:r w:rsidRPr="006A576B">
        <w:rPr>
          <w:szCs w:val="24"/>
          <w:lang w:eastAsia="en-US"/>
        </w:rPr>
        <w:tab/>
        <w:t>’</w:t>
      </w:r>
      <w:proofErr w:type="spellStart"/>
      <w:r w:rsidRPr="006A576B">
        <w:rPr>
          <w:szCs w:val="24"/>
          <w:lang w:eastAsia="en-US"/>
        </w:rPr>
        <w:t>eurooppapatentilla</w:t>
      </w:r>
      <w:proofErr w:type="spellEnd"/>
      <w:r w:rsidRPr="006A576B">
        <w:rPr>
          <w:szCs w:val="24"/>
          <w:lang w:eastAsia="en-US"/>
        </w:rPr>
        <w:t>’ patenttia, jonka Euroopan patenttivirasto myöntää Euroopan patenttisopimuksessa</w:t>
      </w:r>
      <w:r w:rsidRPr="006A576B">
        <w:rPr>
          <w:szCs w:val="24"/>
          <w:vertAlign w:val="superscript"/>
          <w:lang w:val="en-GB" w:eastAsia="en-US"/>
        </w:rPr>
        <w:footnoteReference w:id="22"/>
      </w:r>
      <w:r w:rsidRPr="006A576B">
        <w:rPr>
          <w:szCs w:val="24"/>
          <w:lang w:eastAsia="en-US"/>
        </w:rPr>
        <w:t xml:space="preserve"> määrättyjen sääntöjen ja menettelyjen mukaisesti;</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(11)</w:t>
      </w:r>
      <w:r w:rsidRPr="006A576B">
        <w:rPr>
          <w:szCs w:val="24"/>
          <w:lang w:eastAsia="en-US"/>
        </w:rPr>
        <w:tab/>
        <w:t>’yhtenäispatentilla’ eurooppapatenttia, jolla on yhtenäinen vaikutus niissä jäsenvaltioissa, jotka osallistuvat asetuksessa (EU) N:o 1257/2012 säädettyyn tiiviimpään yhteistyöhön;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(12)</w:t>
      </w:r>
      <w:r w:rsidRPr="006A576B">
        <w:rPr>
          <w:szCs w:val="24"/>
          <w:lang w:eastAsia="en-US"/>
        </w:rPr>
        <w:tab/>
        <w:t>’toimivaltaisella kansallisella viranomaisella’ 9 artiklan 1 kohdassa tarkoitettua kansallista viranomaista, jolla on toimivalta myöntää todistuksia ja hylätä todistushakemukset.</w:t>
      </w:r>
    </w:p>
    <w:p w:rsidR="00AD600E" w:rsidRPr="006A576B" w:rsidRDefault="00D2607E" w:rsidP="00207001">
      <w:pPr>
        <w:widowControl/>
        <w:spacing w:before="120" w:after="120" w:line="360" w:lineRule="auto"/>
        <w:ind w:left="850" w:hanging="850"/>
        <w:rPr>
          <w:b/>
          <w:szCs w:val="24"/>
          <w:lang w:eastAsia="en-US"/>
        </w:rPr>
      </w:pPr>
      <w:r w:rsidRPr="006A576B">
        <w:rPr>
          <w:b/>
          <w:i/>
          <w:szCs w:val="24"/>
          <w:lang w:eastAsia="en-US"/>
        </w:rPr>
        <w:t>(</w:t>
      </w:r>
      <w:r w:rsidR="00AD600E" w:rsidRPr="006A576B">
        <w:rPr>
          <w:b/>
          <w:i/>
          <w:szCs w:val="24"/>
          <w:lang w:eastAsia="en-US"/>
        </w:rPr>
        <w:t>12</w:t>
      </w:r>
      <w:r w:rsidR="000B1D75" w:rsidRPr="006A576B">
        <w:rPr>
          <w:b/>
          <w:i/>
          <w:szCs w:val="24"/>
          <w:lang w:eastAsia="en-US"/>
        </w:rPr>
        <w:t xml:space="preserve"> </w:t>
      </w:r>
      <w:r w:rsidR="00AD600E" w:rsidRPr="006A576B">
        <w:rPr>
          <w:b/>
          <w:i/>
          <w:szCs w:val="24"/>
          <w:lang w:eastAsia="en-US"/>
        </w:rPr>
        <w:t>a)</w:t>
      </w:r>
      <w:r w:rsidR="00AD600E" w:rsidRPr="006A576B">
        <w:rPr>
          <w:szCs w:val="24"/>
          <w:lang w:eastAsia="en-US"/>
        </w:rPr>
        <w:tab/>
      </w:r>
      <w:r w:rsidR="00AD600E" w:rsidRPr="006A576B">
        <w:rPr>
          <w:b/>
          <w:i/>
          <w:szCs w:val="24"/>
          <w:lang w:eastAsia="en-US"/>
        </w:rPr>
        <w:t>‘taloudellisesti sidoksissa olemisella’ sitä, että joku peruspatentin haltijoista, joilla on kaksi tai useampia samaa tuotetta suojaavia peruspatentteja, suoraan tai välillisesti yhden tai useamman välittäjän toimesta käyttää toisessa haltijassa määräysvaltaa, on toisen haltijan määräysvallassa tai on toisen haltijan kanssa saman määräysvallan alaisena.</w:t>
      </w:r>
      <w:r w:rsidR="000B1D75" w:rsidRPr="006A576B">
        <w:rPr>
          <w:b/>
          <w:szCs w:val="24"/>
          <w:lang w:eastAsia="en-US"/>
        </w:rPr>
        <w:t xml:space="preserve"> [tark. 15]</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II luku</w:t>
      </w:r>
      <w:r w:rsidRPr="006A576B">
        <w:rPr>
          <w:szCs w:val="24"/>
          <w:lang w:eastAsia="en-US"/>
        </w:rPr>
        <w:br/>
        <w:t>Kansalliset todistushakemukset</w:t>
      </w:r>
    </w:p>
    <w:p w:rsidR="00AD600E" w:rsidRPr="006A576B" w:rsidRDefault="00AD600E" w:rsidP="00207001">
      <w:pPr>
        <w:widowControl/>
        <w:spacing w:before="120" w:after="120" w:line="360" w:lineRule="auto"/>
        <w:jc w:val="center"/>
        <w:rPr>
          <w:szCs w:val="24"/>
          <w:lang w:eastAsia="en-US"/>
        </w:rPr>
      </w:pPr>
      <w:r w:rsidRPr="006A576B">
        <w:rPr>
          <w:szCs w:val="24"/>
          <w:lang w:eastAsia="en-US"/>
        </w:rPr>
        <w:t>3 artikla</w:t>
      </w:r>
      <w:r w:rsidRPr="006A576B">
        <w:rPr>
          <w:szCs w:val="24"/>
          <w:lang w:eastAsia="en-US"/>
        </w:rPr>
        <w:br/>
        <w:t>Edellytykset todistuksen saamiselle</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Todistus annetaan, jos hakemuspäivänä jäsenvaltiossa, jossa 7 artiklassa tarkoitettu hakemus jätetään,</w:t>
      </w:r>
      <w:r w:rsidR="0017454C" w:rsidRPr="006A576B">
        <w:rPr>
          <w:szCs w:val="24"/>
          <w:lang w:eastAsia="en-US"/>
        </w:rPr>
        <w:t xml:space="preserve"> </w:t>
      </w:r>
      <w:r w:rsidRPr="006A576B">
        <w:rPr>
          <w:szCs w:val="24"/>
          <w:lang w:eastAsia="en-US"/>
        </w:rPr>
        <w:t>kaikki seuraavat edellytykset täyttyvät:</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a)</w:t>
      </w:r>
      <w:r w:rsidRPr="006A576B">
        <w:rPr>
          <w:szCs w:val="24"/>
          <w:lang w:eastAsia="en-US"/>
        </w:rPr>
        <w:tab/>
        <w:t>tuotetta suojaa voimassa oleva peruspatentti;</w:t>
      </w:r>
    </w:p>
    <w:p w:rsidR="00AD600E" w:rsidRPr="006A576B" w:rsidRDefault="00AD600E" w:rsidP="00207001">
      <w:pPr>
        <w:widowControl/>
        <w:spacing w:before="120" w:after="120" w:line="360" w:lineRule="auto"/>
        <w:ind w:left="1416" w:hanging="566"/>
        <w:rPr>
          <w:b/>
          <w:szCs w:val="24"/>
          <w:lang w:eastAsia="en-US"/>
        </w:rPr>
      </w:pPr>
      <w:r w:rsidRPr="006A576B">
        <w:rPr>
          <w:szCs w:val="24"/>
          <w:lang w:eastAsia="en-US"/>
        </w:rPr>
        <w:t>b)</w:t>
      </w:r>
      <w:r w:rsidRPr="006A576B">
        <w:rPr>
          <w:szCs w:val="24"/>
          <w:lang w:eastAsia="en-US"/>
        </w:rPr>
        <w:tab/>
        <w:t xml:space="preserve">tuotteella on joko </w:t>
      </w:r>
      <w:r w:rsidRPr="006A576B">
        <w:rPr>
          <w:strike/>
          <w:szCs w:val="24"/>
          <w:lang w:eastAsia="en-US"/>
        </w:rPr>
        <w:t xml:space="preserve">direktiivin 2001/83/EY </w:t>
      </w:r>
      <w:r w:rsidRPr="006A576B">
        <w:rPr>
          <w:b/>
          <w:i/>
          <w:szCs w:val="24"/>
          <w:lang w:eastAsia="en-US"/>
        </w:rPr>
        <w:t>direktiivin .../... [2023/0132(COD)]</w:t>
      </w:r>
      <w:r w:rsidRPr="006A576B">
        <w:rPr>
          <w:szCs w:val="24"/>
          <w:lang w:eastAsia="en-US"/>
        </w:rPr>
        <w:t>, asetuksen (EY) N:o 726/2004</w:t>
      </w:r>
      <w:r w:rsidR="0017454C" w:rsidRPr="006A576B">
        <w:rPr>
          <w:strike/>
          <w:szCs w:val="24"/>
          <w:lang w:eastAsia="en-US"/>
        </w:rPr>
        <w:t xml:space="preserve"> </w:t>
      </w:r>
      <w:r w:rsidRPr="006A576B">
        <w:rPr>
          <w:strike/>
          <w:szCs w:val="24"/>
          <w:lang w:eastAsia="en-US"/>
        </w:rPr>
        <w:t>tai</w:t>
      </w:r>
      <w:r w:rsidR="0017454C" w:rsidRPr="006A576B">
        <w:rPr>
          <w:strike/>
          <w:szCs w:val="24"/>
          <w:lang w:eastAsia="en-US"/>
        </w:rPr>
        <w:t xml:space="preserve"> </w:t>
      </w:r>
      <w:r w:rsidRPr="006A576B">
        <w:rPr>
          <w:b/>
          <w:i/>
          <w:szCs w:val="24"/>
          <w:lang w:eastAsia="en-US"/>
        </w:rPr>
        <w:t xml:space="preserve">tai </w:t>
      </w:r>
      <w:r w:rsidRPr="006A576B">
        <w:rPr>
          <w:szCs w:val="24"/>
          <w:lang w:eastAsia="en-US"/>
        </w:rPr>
        <w:t>asetuksen (EU) 2019/6mukaisesti annettu voimassa oleva lupa saattaa se lääkkeenä markkinoille;</w:t>
      </w:r>
      <w:r w:rsidR="000B1D75" w:rsidRPr="006A576B">
        <w:rPr>
          <w:b/>
          <w:szCs w:val="24"/>
          <w:lang w:eastAsia="en-US"/>
        </w:rPr>
        <w:t xml:space="preserve"> [tark. 16]</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c)</w:t>
      </w:r>
      <w:r w:rsidRPr="006A576B">
        <w:rPr>
          <w:szCs w:val="24"/>
          <w:lang w:eastAsia="en-US"/>
        </w:rPr>
        <w:tab/>
        <w:t>tuotteelle ei ole vielä annettu todistusta;</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d)</w:t>
      </w:r>
      <w:r w:rsidRPr="006A576B">
        <w:rPr>
          <w:szCs w:val="24"/>
          <w:lang w:eastAsia="en-US"/>
        </w:rPr>
        <w:tab/>
        <w:t>edellä b alakohdassa tarkoitettu lupa on ensimmäinen lupa saattaa tuote lääkkeenä markkinoille.</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2.</w:t>
      </w:r>
      <w:r w:rsidRPr="006A576B">
        <w:rPr>
          <w:szCs w:val="24"/>
          <w:lang w:eastAsia="en-US"/>
        </w:rPr>
        <w:tab/>
        <w:t>Poiketen siitä, mitä 1 kohdassa säädetään, todistusta ei tämän luvun nojalla myönnetä kansallisen hakemuksen perusteella jäsenvaltiossa, jos 20 artiklan 1 kohdan vaatimukset täyttyvät sellaisen keskitetyn hakemuksen jättämiselle, jossa kyseinen jäsenvaltio nimettäisiin.</w:t>
      </w:r>
    </w:p>
    <w:p w:rsidR="00AD600E" w:rsidRPr="006A576B" w:rsidRDefault="00AD600E" w:rsidP="00207001">
      <w:pPr>
        <w:widowControl/>
        <w:spacing w:before="120" w:after="120" w:line="360" w:lineRule="auto"/>
        <w:ind w:left="850" w:hanging="850"/>
        <w:rPr>
          <w:b/>
          <w:szCs w:val="24"/>
          <w:lang w:eastAsia="en-US"/>
        </w:rPr>
      </w:pPr>
      <w:r w:rsidRPr="006A576B">
        <w:rPr>
          <w:szCs w:val="24"/>
          <w:lang w:eastAsia="en-US"/>
        </w:rPr>
        <w:t>3.</w:t>
      </w:r>
      <w:r w:rsidRPr="006A576B">
        <w:rPr>
          <w:szCs w:val="24"/>
          <w:lang w:eastAsia="en-US"/>
        </w:rPr>
        <w:tab/>
        <w:t>Useamman samaa tuotetta koskevan patentin haltijalle ei voida antaa useampia kuin yksi kyseistä tuotetta koskeva todistus. Jos kuitenkin on vireillä kaksi tai useampia hakemuksia, jotka koskevat samaa tuotetta ja jotka ovat peräisin kahdelta tai useammalta eri patentin haltijalta, voidaan kullekin haltijalle antaa yksi kyseistä tuotetta koskeva todistus, jos haltijat eivät ole taloudellisesti sidoksissa toisiinsa.</w:t>
      </w:r>
      <w:r w:rsidRPr="006A576B">
        <w:rPr>
          <w:b/>
          <w:i/>
          <w:szCs w:val="24"/>
          <w:lang w:eastAsia="en-US"/>
        </w:rPr>
        <w:t xml:space="preserve"> Samaa periaatetta sovelletaan soveltuvin osin hakemuksiin, jotka haltija on jättänyt samasta tuotteesta, jota varten on aiemmin myönnetty yksi tai useampi todistus tai yhtenäinen todistus muille eri patenttien eri haltijoille.</w:t>
      </w:r>
      <w:r w:rsidR="000B1D75" w:rsidRPr="006A576B">
        <w:rPr>
          <w:b/>
          <w:szCs w:val="24"/>
          <w:lang w:eastAsia="en-US"/>
        </w:rPr>
        <w:t xml:space="preserve"> [tark. 17]</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4 artikla</w:t>
      </w:r>
      <w:r w:rsidRPr="006A576B">
        <w:rPr>
          <w:szCs w:val="24"/>
          <w:lang w:eastAsia="en-US"/>
        </w:rPr>
        <w:br/>
        <w:t>Suojan</w:t>
      </w:r>
      <w:r w:rsidR="0017454C" w:rsidRPr="006A576B">
        <w:rPr>
          <w:szCs w:val="24"/>
          <w:lang w:eastAsia="en-US"/>
        </w:rPr>
        <w:t xml:space="preserve"> </w:t>
      </w:r>
      <w:r w:rsidRPr="006A576B">
        <w:rPr>
          <w:szCs w:val="24"/>
          <w:lang w:eastAsia="en-US"/>
        </w:rPr>
        <w:t xml:space="preserve">soveltamisala </w:t>
      </w:r>
    </w:p>
    <w:p w:rsidR="00AD600E" w:rsidRPr="006A576B" w:rsidRDefault="00AD600E" w:rsidP="00207001">
      <w:pPr>
        <w:widowControl/>
        <w:spacing w:before="120" w:after="120" w:line="360" w:lineRule="auto"/>
        <w:rPr>
          <w:szCs w:val="24"/>
          <w:lang w:eastAsia="en-US"/>
        </w:rPr>
      </w:pPr>
      <w:r w:rsidRPr="006A576B">
        <w:rPr>
          <w:szCs w:val="24"/>
          <w:lang w:eastAsia="en-US"/>
        </w:rPr>
        <w:t>Todistuksen antama suoja ulottuu peruspatentin antaman suojan rajoissa vain tuotteeseen, jonka sitä vastaavan lääkkeen markkinoille saattamista koskeva lupa kattaa, ja kaikkiin tuotteen sellaisiin käyttötarkoituksiin lääkkeenä, jotka on hyväksytty ennen todistuksen voimassaolon päättymistä.</w:t>
      </w:r>
    </w:p>
    <w:p w:rsidR="00AD600E" w:rsidRPr="006A576B" w:rsidRDefault="00AD600E" w:rsidP="00207001">
      <w:pPr>
        <w:widowControl/>
        <w:spacing w:before="120" w:after="120" w:line="360" w:lineRule="auto"/>
        <w:jc w:val="center"/>
        <w:rPr>
          <w:szCs w:val="24"/>
          <w:lang w:eastAsia="en-US"/>
        </w:rPr>
      </w:pPr>
      <w:r w:rsidRPr="006A576B">
        <w:rPr>
          <w:szCs w:val="24"/>
          <w:lang w:eastAsia="en-US"/>
        </w:rPr>
        <w:t>5 artikla</w:t>
      </w:r>
      <w:r w:rsidRPr="006A576B">
        <w:rPr>
          <w:szCs w:val="24"/>
          <w:lang w:eastAsia="en-US"/>
        </w:rPr>
        <w:br/>
        <w:t>Todistuksen oikeusvaikutukset</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Todistus antaa samat oikeudet kuin peruspatentti, ja siihen liittyvät samat rajoitukset ja velvoitteet.</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w:t>
      </w:r>
      <w:r w:rsidRPr="006A576B">
        <w:rPr>
          <w:szCs w:val="24"/>
          <w:lang w:eastAsia="en-US"/>
        </w:rPr>
        <w:tab/>
        <w:t>Poiketen siitä, mitä 1 kohdassa säädetään,</w:t>
      </w:r>
      <w:r w:rsidRPr="006A576B">
        <w:rPr>
          <w:b/>
          <w:i/>
          <w:szCs w:val="24"/>
          <w:lang w:eastAsia="en-US"/>
        </w:rPr>
        <w:t xml:space="preserve"> ja asetuksen (EU) .../... [2023/0130(COD)] mukaisesti </w:t>
      </w:r>
      <w:r w:rsidRPr="006A576B">
        <w:rPr>
          <w:szCs w:val="24"/>
          <w:lang w:eastAsia="en-US"/>
        </w:rPr>
        <w:t>todistus ei suojaa tietyiltä toimilta, joihin muuten vaadittaisiin todistuksen haltijan suostumus, jos</w:t>
      </w:r>
      <w:r w:rsidR="0017454C" w:rsidRPr="006A576B">
        <w:rPr>
          <w:szCs w:val="24"/>
          <w:lang w:eastAsia="en-US"/>
        </w:rPr>
        <w:t xml:space="preserve"> </w:t>
      </w:r>
      <w:r w:rsidRPr="006A576B">
        <w:rPr>
          <w:szCs w:val="24"/>
          <w:lang w:eastAsia="en-US"/>
        </w:rPr>
        <w:t>kaikki</w:t>
      </w:r>
      <w:r w:rsidR="0017454C" w:rsidRPr="006A576B">
        <w:rPr>
          <w:szCs w:val="24"/>
          <w:lang w:eastAsia="en-US"/>
        </w:rPr>
        <w:t xml:space="preserve"> </w:t>
      </w:r>
      <w:r w:rsidRPr="006A576B">
        <w:rPr>
          <w:szCs w:val="24"/>
          <w:lang w:eastAsia="en-US"/>
        </w:rPr>
        <w:t>seuraavat ehdot täyttyvät:</w:t>
      </w:r>
      <w:r w:rsidR="00D2607E" w:rsidRPr="006A576B">
        <w:rPr>
          <w:b/>
          <w:szCs w:val="24"/>
          <w:lang w:eastAsia="en-US"/>
        </w:rPr>
        <w:t xml:space="preserve"> [tark. 18]</w:t>
      </w:r>
    </w:p>
    <w:p w:rsidR="00AD600E" w:rsidRPr="006A576B" w:rsidRDefault="00AD600E" w:rsidP="00207001">
      <w:pPr>
        <w:widowControl/>
        <w:spacing w:before="120" w:after="120" w:line="360" w:lineRule="auto"/>
        <w:ind w:left="1416" w:hanging="566"/>
        <w:rPr>
          <w:b/>
          <w:szCs w:val="24"/>
          <w:lang w:eastAsia="en-US"/>
        </w:rPr>
      </w:pPr>
      <w:r w:rsidRPr="006A576B">
        <w:rPr>
          <w:szCs w:val="24"/>
          <w:lang w:eastAsia="en-US"/>
        </w:rPr>
        <w:t>a)</w:t>
      </w:r>
      <w:r w:rsidRPr="006A576B">
        <w:rPr>
          <w:szCs w:val="24"/>
          <w:lang w:eastAsia="en-US"/>
        </w:rPr>
        <w:tab/>
        <w:t>toimet muodostuvat</w:t>
      </w:r>
      <w:r w:rsidR="0017454C" w:rsidRPr="006A576B">
        <w:rPr>
          <w:szCs w:val="24"/>
          <w:lang w:eastAsia="en-US"/>
        </w:rPr>
        <w:t xml:space="preserve"> </w:t>
      </w:r>
      <w:r w:rsidRPr="006A576B">
        <w:rPr>
          <w:szCs w:val="24"/>
          <w:lang w:eastAsia="en-US"/>
        </w:rPr>
        <w:t>mistä tahansa seuraavista:</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1982" w:hanging="566"/>
        <w:rPr>
          <w:b/>
          <w:szCs w:val="24"/>
          <w:lang w:eastAsia="en-US"/>
        </w:rPr>
      </w:pPr>
      <w:r w:rsidRPr="006A576B">
        <w:rPr>
          <w:szCs w:val="24"/>
          <w:lang w:eastAsia="en-US"/>
        </w:rPr>
        <w:lastRenderedPageBreak/>
        <w:t>i)</w:t>
      </w:r>
      <w:r w:rsidRPr="006A576B">
        <w:rPr>
          <w:szCs w:val="24"/>
          <w:lang w:eastAsia="en-US"/>
        </w:rPr>
        <w:tab/>
        <w:t>tuotteen tai tätä tuotetta sisältävän lääkkeen valmistuksesta kolmansiin maihin vientiä varten;</w:t>
      </w:r>
      <w:r w:rsidRPr="006A576B">
        <w:rPr>
          <w:b/>
          <w:i/>
          <w:szCs w:val="24"/>
          <w:lang w:eastAsia="en-US"/>
        </w:rPr>
        <w:t xml:space="preserve"> tai</w:t>
      </w:r>
      <w:r w:rsidR="000B1D75" w:rsidRPr="006A576B">
        <w:rPr>
          <w:b/>
          <w:szCs w:val="24"/>
          <w:lang w:eastAsia="en-US"/>
        </w:rPr>
        <w:t xml:space="preserve"> [tark. 19]</w:t>
      </w:r>
    </w:p>
    <w:p w:rsidR="00AD600E" w:rsidRPr="006A576B" w:rsidRDefault="00AD600E" w:rsidP="00207001">
      <w:pPr>
        <w:widowControl/>
        <w:spacing w:before="120" w:after="120" w:line="360" w:lineRule="auto"/>
        <w:ind w:left="1982" w:hanging="566"/>
        <w:rPr>
          <w:b/>
          <w:szCs w:val="24"/>
          <w:lang w:eastAsia="en-US"/>
        </w:rPr>
      </w:pPr>
      <w:r w:rsidRPr="006A576B">
        <w:rPr>
          <w:szCs w:val="24"/>
          <w:lang w:eastAsia="en-US"/>
        </w:rPr>
        <w:t>ii)</w:t>
      </w:r>
      <w:r w:rsidRPr="006A576B">
        <w:rPr>
          <w:szCs w:val="24"/>
          <w:lang w:eastAsia="en-US"/>
        </w:rPr>
        <w:tab/>
        <w:t xml:space="preserve">mistä tahansa liitännäistoimesta, joka on ehdottoman välttämätön </w:t>
      </w:r>
      <w:r w:rsidRPr="006A576B">
        <w:rPr>
          <w:strike/>
          <w:szCs w:val="24"/>
          <w:lang w:eastAsia="en-US"/>
        </w:rPr>
        <w:t>i alakohdassa tarkoitettua</w:t>
      </w:r>
      <w:r w:rsidRPr="006A576B">
        <w:rPr>
          <w:b/>
          <w:i/>
          <w:szCs w:val="24"/>
          <w:lang w:eastAsia="en-US"/>
        </w:rPr>
        <w:t>kyseistä</w:t>
      </w:r>
      <w:r w:rsidRPr="006A576B">
        <w:rPr>
          <w:szCs w:val="24"/>
          <w:lang w:eastAsia="en-US"/>
        </w:rPr>
        <w:t xml:space="preserve"> unionissa tapahtuvaa valmistusta tai varsinaista vientiä varten;</w:t>
      </w:r>
      <w:r w:rsidRPr="006A576B">
        <w:rPr>
          <w:b/>
          <w:i/>
          <w:szCs w:val="24"/>
          <w:lang w:eastAsia="en-US"/>
        </w:rPr>
        <w:t xml:space="preserve"> tai</w:t>
      </w:r>
      <w:r w:rsidR="000B1D75" w:rsidRPr="006A576B">
        <w:rPr>
          <w:b/>
          <w:szCs w:val="24"/>
          <w:lang w:eastAsia="en-US"/>
        </w:rPr>
        <w:t xml:space="preserve"> [tark. 20]</w:t>
      </w:r>
    </w:p>
    <w:p w:rsidR="00AD600E" w:rsidRPr="006A576B" w:rsidRDefault="00AD600E" w:rsidP="00207001">
      <w:pPr>
        <w:widowControl/>
        <w:spacing w:before="120" w:after="120" w:line="360" w:lineRule="auto"/>
        <w:ind w:left="1982" w:hanging="566"/>
        <w:rPr>
          <w:b/>
          <w:szCs w:val="24"/>
          <w:lang w:eastAsia="en-US"/>
        </w:rPr>
      </w:pPr>
      <w:r w:rsidRPr="006A576B">
        <w:rPr>
          <w:szCs w:val="24"/>
          <w:lang w:eastAsia="en-US"/>
        </w:rPr>
        <w:t>iii)</w:t>
      </w:r>
      <w:r w:rsidRPr="006A576B">
        <w:rPr>
          <w:szCs w:val="24"/>
          <w:lang w:eastAsia="en-US"/>
        </w:rPr>
        <w:tab/>
        <w:t xml:space="preserve">tuotteen tai tätä tuotetta sisältävän lääkkeen valmistuksesta aikaisintaan kuusi kuukautta ennen todistuksen voimassaolon päättymistä sen varastoimiseksi valmistusjäsenvaltiossa kyseisen tuotteen tai tätä tuotetta sisältävän lääkkeen saattamiseksi jäsenvaltioiden markkinoille </w:t>
      </w:r>
      <w:r w:rsidRPr="006A576B">
        <w:rPr>
          <w:strike/>
          <w:szCs w:val="24"/>
          <w:lang w:eastAsia="en-US"/>
        </w:rPr>
        <w:t xml:space="preserve">vastaavan </w:t>
      </w:r>
      <w:r w:rsidRPr="006A576B">
        <w:rPr>
          <w:szCs w:val="24"/>
          <w:lang w:eastAsia="en-US"/>
        </w:rPr>
        <w:t>todistuksen voimassaolon päättymisen jälkeen;</w:t>
      </w:r>
      <w:r w:rsidRPr="006A576B">
        <w:rPr>
          <w:b/>
          <w:i/>
          <w:szCs w:val="24"/>
          <w:lang w:eastAsia="en-US"/>
        </w:rPr>
        <w:t xml:space="preserve"> tai</w:t>
      </w:r>
      <w:r w:rsidR="000B1D75" w:rsidRPr="006A576B">
        <w:rPr>
          <w:b/>
          <w:szCs w:val="24"/>
          <w:lang w:eastAsia="en-US"/>
        </w:rPr>
        <w:t xml:space="preserve"> [tark. 21]</w:t>
      </w:r>
    </w:p>
    <w:p w:rsidR="00AD600E" w:rsidRPr="006A576B" w:rsidRDefault="00AD600E" w:rsidP="00207001">
      <w:pPr>
        <w:widowControl/>
        <w:spacing w:before="120" w:after="120" w:line="360" w:lineRule="auto"/>
        <w:ind w:left="1982" w:hanging="566"/>
        <w:rPr>
          <w:b/>
          <w:szCs w:val="24"/>
          <w:lang w:eastAsia="en-US"/>
        </w:rPr>
      </w:pPr>
      <w:r w:rsidRPr="006A576B">
        <w:rPr>
          <w:szCs w:val="24"/>
          <w:lang w:eastAsia="en-US"/>
        </w:rPr>
        <w:t>iv)</w:t>
      </w:r>
      <w:r w:rsidRPr="006A576B">
        <w:rPr>
          <w:szCs w:val="24"/>
          <w:lang w:eastAsia="en-US"/>
        </w:rPr>
        <w:tab/>
        <w:t>mistä tahansa liitännäistoimesta, joka on ehdottoman välttämätön tuotteen tai tätä tuotetta sisältävän lääkkeen iii alakohdassa tarkoitettua unionissa tapahtuvaa valmistamista tai varsinaista varastointia varten, edellyttäen, että tällaiset liitännäistoimet suoritetaan aikaisintaan kuusi kuukautta ennen todistuksen voimassaolon päättymistä;</w:t>
      </w:r>
      <w:r w:rsidR="000B1D75" w:rsidRPr="006A576B">
        <w:rPr>
          <w:b/>
          <w:szCs w:val="24"/>
          <w:lang w:eastAsia="en-US"/>
        </w:rPr>
        <w:t xml:space="preserve"> [tark. </w:t>
      </w:r>
      <w:r w:rsidRPr="006A576B">
        <w:rPr>
          <w:b/>
          <w:szCs w:val="24"/>
          <w:lang w:eastAsia="en-US"/>
        </w:rPr>
        <w:t>22 ei vaikuta suomenkieliseen versioon.</w:t>
      </w:r>
      <w:r w:rsidR="000B1D75" w:rsidRPr="006A576B">
        <w:rPr>
          <w:b/>
          <w:szCs w:val="24"/>
          <w:lang w:eastAsia="en-US"/>
        </w:rPr>
        <w:t>]</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lastRenderedPageBreak/>
        <w:t>b)</w:t>
      </w:r>
      <w:r w:rsidRPr="006A576B">
        <w:rPr>
          <w:szCs w:val="24"/>
          <w:lang w:eastAsia="en-US"/>
        </w:rPr>
        <w:tab/>
        <w:t>valmistaja ilmoittaa asianmukaisin keinoin ja dokumentoidusti sen jäsenvaltion 9 artiklan 1 kohdassa tarkoitetulle viranomaiselle, jossa kyseisen valmistuksen on tarkoitus tapahtua, ja ilmoittaa todistuksen haltijalle</w:t>
      </w:r>
      <w:r w:rsidR="0017454C" w:rsidRPr="006A576B">
        <w:rPr>
          <w:szCs w:val="24"/>
          <w:lang w:eastAsia="en-US"/>
        </w:rPr>
        <w:t xml:space="preserve"> </w:t>
      </w:r>
      <w:r w:rsidRPr="006A576B">
        <w:rPr>
          <w:szCs w:val="24"/>
          <w:lang w:eastAsia="en-US"/>
        </w:rPr>
        <w:t>5 kohdassa</w:t>
      </w:r>
      <w:r w:rsidR="0017454C" w:rsidRPr="006A576B">
        <w:rPr>
          <w:szCs w:val="24"/>
          <w:lang w:eastAsia="en-US"/>
        </w:rPr>
        <w:t xml:space="preserve"> </w:t>
      </w:r>
      <w:r w:rsidRPr="006A576B">
        <w:rPr>
          <w:szCs w:val="24"/>
          <w:lang w:eastAsia="en-US"/>
        </w:rPr>
        <w:t>tarkoitetut</w:t>
      </w:r>
      <w:r w:rsidR="0017454C" w:rsidRPr="006A576B">
        <w:rPr>
          <w:szCs w:val="24"/>
          <w:lang w:eastAsia="en-US"/>
        </w:rPr>
        <w:t xml:space="preserve"> </w:t>
      </w:r>
      <w:r w:rsidRPr="006A576B">
        <w:rPr>
          <w:szCs w:val="24"/>
          <w:lang w:eastAsia="en-US"/>
        </w:rPr>
        <w:t>tiedot viimeistään kolme kuukautta ennen kyseisessä jäsenvaltiossa tapahtuvan valmistuksen alkamispäivää tai viimeistään kolme kuukautta ennen tätä valmistusta edeltävää ensimmäistä liitännäistoimea, joka olisi muuten kielletty todistuksella myönnetyn suojan nojalla, sen mukaan, kumpi ajankohta on aikaisempi;</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c)</w:t>
      </w:r>
      <w:r w:rsidRPr="006A576B">
        <w:rPr>
          <w:szCs w:val="24"/>
          <w:lang w:eastAsia="en-US"/>
        </w:rPr>
        <w:tab/>
        <w:t>jos tämän artiklan 5 kohdassa tarkoitetut tiedot muuttuvat, valmistaja ilmoittaa tästä 9 artiklan 1 kohdassa tarkoitetulle viranomaiselle ja todistuksen haltijalle ennen näiden muutosten voimaantuloa;</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d)</w:t>
      </w:r>
      <w:r w:rsidRPr="006A576B">
        <w:rPr>
          <w:szCs w:val="24"/>
          <w:lang w:eastAsia="en-US"/>
        </w:rPr>
        <w:tab/>
        <w:t>kun on kyse tuotteista tai näitä tuotteita sisältävistä lääkkeistä, jotka on valmistettu kolmansiin maihin vientiä varten, valmistaja varmistaa, että tämän kohdan a alakohdan i alakohdassa tarkoitetun tuotteen tai tätä tuotetta sisältävän lääkkeen ulkopakkaukseen ja, jos on mahdollista, sen sisäpakkaukseen lisätään logo, joka on liitteessä</w:t>
      </w:r>
      <w:r w:rsidR="0017454C" w:rsidRPr="006A576B">
        <w:rPr>
          <w:szCs w:val="24"/>
          <w:lang w:eastAsia="en-US"/>
        </w:rPr>
        <w:t xml:space="preserve"> </w:t>
      </w:r>
      <w:r w:rsidRPr="006A576B">
        <w:rPr>
          <w:szCs w:val="24"/>
          <w:lang w:eastAsia="en-US"/>
        </w:rPr>
        <w:t>II määritetyssä muodossa;</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e)</w:t>
      </w:r>
      <w:r w:rsidRPr="006A576B">
        <w:rPr>
          <w:szCs w:val="24"/>
          <w:lang w:eastAsia="en-US"/>
        </w:rPr>
        <w:tab/>
        <w:t>valmistaja täyttää tämän artiklan 9 kohdassa ja soveltuvin osin 12 artiklan 2 kohdassa säädetyt vaatimukset.</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3.</w:t>
      </w:r>
      <w:r w:rsidRPr="006A576B">
        <w:rPr>
          <w:szCs w:val="24"/>
          <w:lang w:eastAsia="en-US"/>
        </w:rPr>
        <w:tab/>
        <w:t>Edellä olevaa 2</w:t>
      </w:r>
      <w:r w:rsidR="0017454C" w:rsidRPr="006A576B">
        <w:rPr>
          <w:szCs w:val="24"/>
          <w:lang w:eastAsia="en-US"/>
        </w:rPr>
        <w:t xml:space="preserve"> </w:t>
      </w:r>
      <w:r w:rsidRPr="006A576B">
        <w:rPr>
          <w:szCs w:val="24"/>
          <w:lang w:eastAsia="en-US"/>
        </w:rPr>
        <w:t>kohtaa ei sovelleta mihinkään sellaiseen toimeen tai toimintoon, joka toteutetaan tuotteiden, näitä tuotteita sisältävien lääkkeiden tai niiden osien tuomiseksi unioniin ainoastaan uudelleen pakattaviksi ja jälleenvietäviksi tai varastoitaviksi.</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4.</w:t>
      </w:r>
      <w:r w:rsidRPr="006A576B">
        <w:rPr>
          <w:szCs w:val="24"/>
          <w:lang w:eastAsia="en-US"/>
        </w:rPr>
        <w:tab/>
        <w:t>Todistuksen haltijalle 2 kohdan b ja c alakohdan soveltamiseksi toimitettuja tietoja voidaan käyttää yksinomaan sen tarkistamiseen, onko tässä asetuksessa säädetyt vaatimukset täytetty, ja tarvittaessa oikeudenkäynnin vireillepanoon säännösten rikkomisen vuoksi.</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5.</w:t>
      </w:r>
      <w:r w:rsidRPr="006A576B">
        <w:rPr>
          <w:szCs w:val="24"/>
          <w:lang w:eastAsia="en-US"/>
        </w:rPr>
        <w:tab/>
        <w:t>Valmistajan on toimitettava 2 kohdan b alakohdan soveltamiseksi</w:t>
      </w:r>
      <w:r w:rsidR="0017454C" w:rsidRPr="006A576B">
        <w:rPr>
          <w:szCs w:val="24"/>
          <w:lang w:eastAsia="en-US"/>
        </w:rPr>
        <w:t xml:space="preserve"> </w:t>
      </w:r>
      <w:r w:rsidRPr="006A576B">
        <w:rPr>
          <w:szCs w:val="24"/>
          <w:lang w:eastAsia="en-US"/>
        </w:rPr>
        <w:t>kaikki</w:t>
      </w:r>
      <w:r w:rsidR="0017454C" w:rsidRPr="006A576B">
        <w:rPr>
          <w:szCs w:val="24"/>
          <w:lang w:eastAsia="en-US"/>
        </w:rPr>
        <w:t xml:space="preserve"> </w:t>
      </w:r>
      <w:r w:rsidRPr="006A576B">
        <w:rPr>
          <w:szCs w:val="24"/>
          <w:lang w:eastAsia="en-US"/>
        </w:rPr>
        <w:t>seuraavat</w:t>
      </w:r>
      <w:r w:rsidR="0017454C" w:rsidRPr="006A576B">
        <w:rPr>
          <w:szCs w:val="24"/>
          <w:lang w:eastAsia="en-US"/>
        </w:rPr>
        <w:t xml:space="preserve"> </w:t>
      </w:r>
      <w:r w:rsidRPr="006A576B">
        <w:rPr>
          <w:szCs w:val="24"/>
          <w:lang w:eastAsia="en-US"/>
        </w:rPr>
        <w:t>tiedot:</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a)</w:t>
      </w:r>
      <w:r w:rsidRPr="006A576B">
        <w:rPr>
          <w:szCs w:val="24"/>
          <w:lang w:eastAsia="en-US"/>
        </w:rPr>
        <w:tab/>
        <w:t>valmistajan nimi ja osoite;</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b)</w:t>
      </w:r>
      <w:r w:rsidRPr="006A576B">
        <w:rPr>
          <w:szCs w:val="24"/>
          <w:lang w:eastAsia="en-US"/>
        </w:rPr>
        <w:tab/>
        <w:t>tieto siitä, onko kyse valmistuksesta vientiä varten, varastointia varten vai sekä vientiä että varastointia varten;</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c)</w:t>
      </w:r>
      <w:r w:rsidRPr="006A576B">
        <w:rPr>
          <w:szCs w:val="24"/>
          <w:lang w:eastAsia="en-US"/>
        </w:rPr>
        <w:tab/>
        <w:t>jäsenvaltio, jossa valmistuksen ja tarvittaessa myös varastoinnin on tarkoitus tapahtua, ja jäsenvaltio, jossa mahdollinen valmistusta edeltävä ensimmäinen liitännäistoimi on tarkoitus suorittaa;</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lastRenderedPageBreak/>
        <w:t>d)</w:t>
      </w:r>
      <w:r w:rsidRPr="006A576B">
        <w:rPr>
          <w:szCs w:val="24"/>
          <w:lang w:eastAsia="en-US"/>
        </w:rPr>
        <w:tab/>
        <w:t>valmistusjäsenvaltiossa myönnetyn todistuksen numero ja siinä jäsenvaltiossa, jossa mahdollinen valmistusta edeltävä ensimmäinen liitännäistoimi on suoritettu, myönnetyn todistuksen numero;</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e)</w:t>
      </w:r>
      <w:r w:rsidRPr="006A576B">
        <w:rPr>
          <w:szCs w:val="24"/>
          <w:lang w:eastAsia="en-US"/>
        </w:rPr>
        <w:tab/>
        <w:t>kolmansiin maihin vietävien</w:t>
      </w:r>
      <w:r w:rsidR="0017454C" w:rsidRPr="006A576B">
        <w:rPr>
          <w:szCs w:val="24"/>
          <w:lang w:eastAsia="en-US"/>
        </w:rPr>
        <w:t xml:space="preserve"> </w:t>
      </w:r>
      <w:r w:rsidRPr="006A576B">
        <w:rPr>
          <w:szCs w:val="24"/>
          <w:lang w:eastAsia="en-US"/>
        </w:rPr>
        <w:t>lääkkeiden</w:t>
      </w:r>
      <w:r w:rsidR="0017454C" w:rsidRPr="006A576B">
        <w:rPr>
          <w:szCs w:val="24"/>
          <w:lang w:eastAsia="en-US"/>
        </w:rPr>
        <w:t xml:space="preserve"> </w:t>
      </w:r>
      <w:r w:rsidRPr="006A576B">
        <w:rPr>
          <w:szCs w:val="24"/>
          <w:lang w:eastAsia="en-US"/>
        </w:rPr>
        <w:t>osalta myyntiluvan tai tällaista myyntilupaa vastaavan luvan viitenumero kussakin kolmannessa maassa, johon vienti suuntautuu, heti, kun se on julkisesti saatavilla.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6.</w:t>
      </w:r>
      <w:r w:rsidRPr="006A576B">
        <w:rPr>
          <w:szCs w:val="24"/>
          <w:lang w:eastAsia="en-US"/>
        </w:rPr>
        <w:tab/>
        <w:t>Edellä 2 kohdan b ja c alakohdassa tarkoitetussa viranomaiselle tehtävässä ilmoituksessa valmistajan on käytettävä liitteessä</w:t>
      </w:r>
      <w:r w:rsidR="0017454C" w:rsidRPr="006A576B">
        <w:rPr>
          <w:szCs w:val="24"/>
          <w:lang w:eastAsia="en-US"/>
        </w:rPr>
        <w:t xml:space="preserve"> </w:t>
      </w:r>
      <w:r w:rsidRPr="006A576B">
        <w:rPr>
          <w:szCs w:val="24"/>
          <w:lang w:eastAsia="en-US"/>
        </w:rPr>
        <w:t>III</w:t>
      </w:r>
      <w:r w:rsidR="0017454C" w:rsidRPr="006A576B">
        <w:rPr>
          <w:szCs w:val="24"/>
          <w:lang w:eastAsia="en-US"/>
        </w:rPr>
        <w:t xml:space="preserve"> </w:t>
      </w:r>
      <w:r w:rsidRPr="006A576B">
        <w:rPr>
          <w:szCs w:val="24"/>
          <w:lang w:eastAsia="en-US"/>
        </w:rPr>
        <w:t>vahvistettua</w:t>
      </w:r>
      <w:r w:rsidR="0017454C" w:rsidRPr="006A576B">
        <w:rPr>
          <w:szCs w:val="24"/>
          <w:lang w:eastAsia="en-US"/>
        </w:rPr>
        <w:t xml:space="preserve"> </w:t>
      </w:r>
      <w:r w:rsidRPr="006A576B">
        <w:rPr>
          <w:szCs w:val="24"/>
          <w:lang w:eastAsia="en-US"/>
        </w:rPr>
        <w:t>vakiomuotoista ilmoituslomaketta.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7.</w:t>
      </w:r>
      <w:r w:rsidRPr="006A576B">
        <w:rPr>
          <w:szCs w:val="24"/>
          <w:lang w:eastAsia="en-US"/>
        </w:rPr>
        <w:tab/>
        <w:t>Jos jonkin kolmannen maan osalta ei</w:t>
      </w:r>
      <w:r w:rsidR="0017454C" w:rsidRPr="006A576B">
        <w:rPr>
          <w:szCs w:val="24"/>
          <w:lang w:eastAsia="en-US"/>
        </w:rPr>
        <w:t xml:space="preserve"> </w:t>
      </w:r>
      <w:r w:rsidRPr="006A576B">
        <w:rPr>
          <w:szCs w:val="24"/>
          <w:lang w:eastAsia="en-US"/>
        </w:rPr>
        <w:t>toimiteta 5 kohdan e alakohdassa tarkoitettuja tietoja, tämä vaikuttaa ainoastaan kyseiseen</w:t>
      </w:r>
      <w:r w:rsidR="0017454C" w:rsidRPr="006A576B">
        <w:rPr>
          <w:szCs w:val="24"/>
          <w:lang w:eastAsia="en-US"/>
        </w:rPr>
        <w:t xml:space="preserve"> </w:t>
      </w:r>
      <w:r w:rsidRPr="006A576B">
        <w:rPr>
          <w:szCs w:val="24"/>
          <w:lang w:eastAsia="en-US"/>
        </w:rPr>
        <w:t>kolmanteen</w:t>
      </w:r>
      <w:r w:rsidR="0017454C" w:rsidRPr="006A576B">
        <w:rPr>
          <w:szCs w:val="24"/>
          <w:lang w:eastAsia="en-US"/>
        </w:rPr>
        <w:t xml:space="preserve"> </w:t>
      </w:r>
      <w:r w:rsidRPr="006A576B">
        <w:rPr>
          <w:szCs w:val="24"/>
          <w:lang w:eastAsia="en-US"/>
        </w:rPr>
        <w:t>maahan suuntautuvaan vientiin, eikä tällaisessa viennissä</w:t>
      </w:r>
      <w:r w:rsidR="0017454C" w:rsidRPr="006A576B">
        <w:rPr>
          <w:szCs w:val="24"/>
          <w:lang w:eastAsia="en-US"/>
        </w:rPr>
        <w:t xml:space="preserve"> </w:t>
      </w:r>
      <w:r w:rsidRPr="006A576B">
        <w:rPr>
          <w:szCs w:val="24"/>
          <w:lang w:eastAsia="en-US"/>
        </w:rPr>
        <w:t>voida hyödyntää</w:t>
      </w:r>
      <w:r w:rsidR="0017454C" w:rsidRPr="006A576B">
        <w:rPr>
          <w:szCs w:val="24"/>
          <w:lang w:eastAsia="en-US"/>
        </w:rPr>
        <w:t xml:space="preserve"> </w:t>
      </w:r>
      <w:r w:rsidRPr="006A576B">
        <w:rPr>
          <w:szCs w:val="24"/>
          <w:lang w:eastAsia="en-US"/>
        </w:rPr>
        <w:t>2 kohdassa säädettyä</w:t>
      </w:r>
      <w:r w:rsidR="0017454C" w:rsidRPr="006A576B">
        <w:rPr>
          <w:szCs w:val="24"/>
          <w:lang w:eastAsia="en-US"/>
        </w:rPr>
        <w:t xml:space="preserve"> </w:t>
      </w:r>
      <w:r w:rsidRPr="006A576B">
        <w:rPr>
          <w:szCs w:val="24"/>
          <w:lang w:eastAsia="en-US"/>
        </w:rPr>
        <w:t>poikkeusta.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8.</w:t>
      </w:r>
      <w:r w:rsidRPr="006A576B">
        <w:rPr>
          <w:szCs w:val="24"/>
          <w:lang w:eastAsia="en-US"/>
        </w:rPr>
        <w:tab/>
        <w:t>Valmistajan on varmistettava, että 2 kohdan a alakohdan i alakohdan mukaisesti valmistetuissa</w:t>
      </w:r>
      <w:r w:rsidR="0017454C" w:rsidRPr="006A576B">
        <w:rPr>
          <w:szCs w:val="24"/>
          <w:lang w:eastAsia="en-US"/>
        </w:rPr>
        <w:t xml:space="preserve"> </w:t>
      </w:r>
      <w:r w:rsidRPr="006A576B">
        <w:rPr>
          <w:szCs w:val="24"/>
          <w:lang w:eastAsia="en-US"/>
        </w:rPr>
        <w:t>lääkkeissä ei ole</w:t>
      </w:r>
      <w:r w:rsidR="0017454C" w:rsidRPr="006A576B">
        <w:rPr>
          <w:szCs w:val="24"/>
          <w:lang w:eastAsia="en-US"/>
        </w:rPr>
        <w:t xml:space="preserve"> </w:t>
      </w:r>
      <w:r w:rsidRPr="006A576B">
        <w:rPr>
          <w:szCs w:val="24"/>
          <w:lang w:eastAsia="en-US"/>
        </w:rPr>
        <w:t>delegoidussa asetuksessa (EU) 2016/161 tarkoitettua aktiivista yksilöllistä tunnistetta.</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9.</w:t>
      </w:r>
      <w:r w:rsidRPr="006A576B">
        <w:rPr>
          <w:szCs w:val="24"/>
          <w:lang w:eastAsia="en-US"/>
        </w:rPr>
        <w:tab/>
        <w:t>Valmistajan on varmistettava asianmukaisin keinoin ja dokumentoidusti, että henkilölle, joka on sopimussuhteessa valmistajaan ja joka suorittaa 2 kohdan a alakohdan soveltamisalaan kuuluvia toimia, on annettu kattavat tiedot ja he ovat tietoisia</w:t>
      </w:r>
      <w:r w:rsidR="0017454C" w:rsidRPr="006A576B">
        <w:rPr>
          <w:szCs w:val="24"/>
          <w:lang w:eastAsia="en-US"/>
        </w:rPr>
        <w:t xml:space="preserve"> </w:t>
      </w:r>
      <w:r w:rsidRPr="006A576B">
        <w:rPr>
          <w:szCs w:val="24"/>
          <w:lang w:eastAsia="en-US"/>
        </w:rPr>
        <w:t>kaikista</w:t>
      </w:r>
      <w:r w:rsidR="0017454C" w:rsidRPr="006A576B">
        <w:rPr>
          <w:szCs w:val="24"/>
          <w:lang w:eastAsia="en-US"/>
        </w:rPr>
        <w:t xml:space="preserve"> </w:t>
      </w:r>
      <w:r w:rsidRPr="006A576B">
        <w:rPr>
          <w:szCs w:val="24"/>
          <w:lang w:eastAsia="en-US"/>
        </w:rPr>
        <w:t>seuraavista seikoista:</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a)</w:t>
      </w:r>
      <w:r w:rsidRPr="006A576B">
        <w:rPr>
          <w:szCs w:val="24"/>
          <w:lang w:eastAsia="en-US"/>
        </w:rPr>
        <w:tab/>
        <w:t>siitä, että näihin toimiin sovelletaan 2 kohtaa;</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b)</w:t>
      </w:r>
      <w:r w:rsidRPr="006A576B">
        <w:rPr>
          <w:szCs w:val="24"/>
          <w:lang w:eastAsia="en-US"/>
        </w:rPr>
        <w:tab/>
        <w:t>siitä, että 2 kohdan a alakohdan i alakohdassa tarkoitetun tuotteen tai tätä tuotetta sisältävän lääkkeen saattaminen markkinoille, tuonti tai jälleentuonti taikka 2 kohdan a alakohdan iii alakohdassa tarkoitetun tuotteen tai tätä tuotetta sisältävän lääkkeen saattaminen markkinoille voi loukata</w:t>
      </w:r>
      <w:r w:rsidR="0017454C" w:rsidRPr="006A576B">
        <w:rPr>
          <w:szCs w:val="24"/>
          <w:lang w:eastAsia="en-US"/>
        </w:rPr>
        <w:t xml:space="preserve"> </w:t>
      </w:r>
      <w:r w:rsidRPr="006A576B">
        <w:rPr>
          <w:szCs w:val="24"/>
          <w:lang w:eastAsia="en-US"/>
        </w:rPr>
        <w:t>kyseisessä</w:t>
      </w:r>
      <w:r w:rsidR="0017454C" w:rsidRPr="006A576B">
        <w:rPr>
          <w:szCs w:val="24"/>
          <w:lang w:eastAsia="en-US"/>
        </w:rPr>
        <w:t xml:space="preserve"> </w:t>
      </w:r>
      <w:r w:rsidRPr="006A576B">
        <w:rPr>
          <w:szCs w:val="24"/>
          <w:lang w:eastAsia="en-US"/>
        </w:rPr>
        <w:t>kohdassa tarkoitettua todistusta, mikäli ja niin kauan kuin kyseinen todistus on voimassa.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10.</w:t>
      </w:r>
      <w:r w:rsidRPr="006A576B">
        <w:rPr>
          <w:szCs w:val="24"/>
          <w:lang w:eastAsia="en-US"/>
        </w:rPr>
        <w:tab/>
        <w:t>Edellä olevaa 2 kohtaa sovelletaan todistuksiin, joita on haettu 1 päivänä heinäkuuta 2019 tai sen jälkeen.</w:t>
      </w:r>
    </w:p>
    <w:p w:rsidR="00AD600E" w:rsidRPr="006A576B" w:rsidRDefault="00AD600E" w:rsidP="00207001">
      <w:pPr>
        <w:widowControl/>
        <w:spacing w:before="120" w:after="120" w:line="360" w:lineRule="auto"/>
        <w:ind w:left="850"/>
        <w:rPr>
          <w:szCs w:val="24"/>
          <w:lang w:eastAsia="en-US"/>
        </w:rPr>
      </w:pPr>
      <w:r w:rsidRPr="006A576B">
        <w:rPr>
          <w:szCs w:val="24"/>
          <w:lang w:eastAsia="en-US"/>
        </w:rPr>
        <w:t>Edellä olevaa 2 kohtaa sovelletaan myös todistuksiin, joita on haettu ennen 1 päivää heinäkuuta 2019 ja jotka tulevat voimaan kyseisenä päivänä tai sen jälkeen. Edellä olevaa 2 kohtaa sovelletaan tällaisiin todistuksiin vasta 2 päivästä heinäkuuta 2022.</w:t>
      </w:r>
    </w:p>
    <w:p w:rsidR="00AD600E" w:rsidRPr="006A576B" w:rsidRDefault="00AD600E" w:rsidP="00207001">
      <w:pPr>
        <w:widowControl/>
        <w:spacing w:before="120" w:after="120" w:line="360" w:lineRule="auto"/>
        <w:ind w:left="850"/>
        <w:rPr>
          <w:szCs w:val="24"/>
          <w:lang w:eastAsia="en-US"/>
        </w:rPr>
      </w:pPr>
      <w:r w:rsidRPr="006A576B">
        <w:rPr>
          <w:szCs w:val="24"/>
          <w:lang w:eastAsia="en-US"/>
        </w:rPr>
        <w:t>Edellä olevaa 2 kohtaa ei sovelleta todistuksiin, jotka</w:t>
      </w:r>
      <w:r w:rsidR="0017454C" w:rsidRPr="006A576B">
        <w:rPr>
          <w:szCs w:val="24"/>
          <w:lang w:eastAsia="en-US"/>
        </w:rPr>
        <w:t xml:space="preserve"> </w:t>
      </w:r>
      <w:r w:rsidRPr="006A576B">
        <w:rPr>
          <w:szCs w:val="24"/>
          <w:lang w:eastAsia="en-US"/>
        </w:rPr>
        <w:t>ovat tulleet</w:t>
      </w:r>
      <w:r w:rsidR="0017454C" w:rsidRPr="006A576B">
        <w:rPr>
          <w:szCs w:val="24"/>
          <w:lang w:eastAsia="en-US"/>
        </w:rPr>
        <w:t xml:space="preserve"> </w:t>
      </w:r>
      <w:r w:rsidRPr="006A576B">
        <w:rPr>
          <w:szCs w:val="24"/>
          <w:lang w:eastAsia="en-US"/>
        </w:rPr>
        <w:t>voimaan ennen 1 päivää heinäkuuta 2019.</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6 artikla</w:t>
      </w:r>
      <w:r w:rsidRPr="006A576B">
        <w:rPr>
          <w:szCs w:val="24"/>
          <w:lang w:eastAsia="en-US"/>
        </w:rPr>
        <w:br/>
        <w:t>Oikeus todistukseen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Todistus myönnetään peruspatentin haltijalle tai</w:t>
      </w:r>
      <w:r w:rsidR="0017454C" w:rsidRPr="006A576B">
        <w:rPr>
          <w:szCs w:val="24"/>
          <w:lang w:eastAsia="en-US"/>
        </w:rPr>
        <w:t xml:space="preserve"> </w:t>
      </w:r>
      <w:r w:rsidRPr="006A576B">
        <w:rPr>
          <w:szCs w:val="24"/>
          <w:lang w:eastAsia="en-US"/>
        </w:rPr>
        <w:t>kyseisen haltijan</w:t>
      </w:r>
      <w:r w:rsidR="0017454C" w:rsidRPr="006A576B">
        <w:rPr>
          <w:szCs w:val="24"/>
          <w:lang w:eastAsia="en-US"/>
        </w:rPr>
        <w:t xml:space="preserve"> </w:t>
      </w:r>
      <w:r w:rsidRPr="006A576B">
        <w:rPr>
          <w:szCs w:val="24"/>
          <w:lang w:eastAsia="en-US"/>
        </w:rPr>
        <w:t>oikeudenomistajalle.</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w:t>
      </w:r>
      <w:r w:rsidRPr="006A576B">
        <w:rPr>
          <w:szCs w:val="24"/>
          <w:lang w:eastAsia="en-US"/>
        </w:rPr>
        <w:tab/>
        <w:t>Sen estämättä, mitä 1 kohdassa säädetään, jos peruspatentti on myönnetty tuotteelle, jonka myyntilupa on kolmannen osapuolen hallussa, kyseistä tuotetta koskevaa todistusta ei myönnetä peruspatentin haltijalle ilman kyseisen kolmannen osapuolen suostumusta.</w:t>
      </w:r>
    </w:p>
    <w:p w:rsidR="00AD600E" w:rsidRPr="006A576B" w:rsidRDefault="00AD600E" w:rsidP="00207001">
      <w:pPr>
        <w:widowControl/>
        <w:spacing w:before="120" w:after="120" w:line="360" w:lineRule="auto"/>
        <w:jc w:val="center"/>
        <w:rPr>
          <w:szCs w:val="24"/>
          <w:lang w:eastAsia="en-US"/>
        </w:rPr>
      </w:pPr>
      <w:r w:rsidRPr="006A576B">
        <w:rPr>
          <w:szCs w:val="24"/>
          <w:lang w:eastAsia="en-US"/>
        </w:rPr>
        <w:t>7 artikla</w:t>
      </w:r>
      <w:r w:rsidRPr="006A576B">
        <w:rPr>
          <w:szCs w:val="24"/>
          <w:lang w:eastAsia="en-US"/>
        </w:rPr>
        <w:br/>
        <w:t>Todistuksen pyytäminen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Todistusta koskeva hakemus on jätettävä kuuden kuukauden kuluessa siitä päivästä, jolloin 3 artiklan 1 kohdan b alakohdassa mainittu lupa tuotteelle saattaa se lääkkeenä markkinoille annettiin.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w:t>
      </w:r>
      <w:r w:rsidRPr="006A576B">
        <w:rPr>
          <w:szCs w:val="24"/>
          <w:lang w:eastAsia="en-US"/>
        </w:rPr>
        <w:tab/>
        <w:t>Sen estämättä, mitä 1 kohdassa säädetään, jos lupa saattaa tuote markkinoille on annettu ennen kuin peruspatentti on myönnetty, todistushakemus on jätettävä kuuden kuukauden kuluessa siitä päivästä, jolloin patentti on myönnetty.</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3.</w:t>
      </w:r>
      <w:r w:rsidRPr="006A576B">
        <w:rPr>
          <w:szCs w:val="24"/>
          <w:lang w:eastAsia="en-US"/>
        </w:rPr>
        <w:tab/>
        <w:t>Voimassaoloajan jatkamista koskeva hakemus voidaan</w:t>
      </w:r>
      <w:r w:rsidR="0017454C" w:rsidRPr="006A576B">
        <w:rPr>
          <w:szCs w:val="24"/>
          <w:lang w:eastAsia="en-US"/>
        </w:rPr>
        <w:t xml:space="preserve"> </w:t>
      </w:r>
      <w:r w:rsidRPr="006A576B">
        <w:rPr>
          <w:szCs w:val="24"/>
          <w:lang w:eastAsia="en-US"/>
        </w:rPr>
        <w:t>jättää</w:t>
      </w:r>
      <w:r w:rsidR="0017454C" w:rsidRPr="006A576B">
        <w:rPr>
          <w:szCs w:val="24"/>
          <w:lang w:eastAsia="en-US"/>
        </w:rPr>
        <w:t xml:space="preserve"> </w:t>
      </w:r>
      <w:r w:rsidRPr="006A576B">
        <w:rPr>
          <w:szCs w:val="24"/>
          <w:lang w:eastAsia="en-US"/>
        </w:rPr>
        <w:t>todistushakemuksen jättämisen yhteydessä tai kun todistushakemus on vireillä ja asiaankuuluvat 8 artiklan 1 kohdan d alakohdan tai 2 kohdan vaatimukset on täytetty.</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4.</w:t>
      </w:r>
      <w:r w:rsidRPr="006A576B">
        <w:rPr>
          <w:szCs w:val="24"/>
          <w:lang w:eastAsia="en-US"/>
        </w:rPr>
        <w:tab/>
        <w:t>Jo myönnetyn todistuksen voimassaoloajan jatkamista koskeva hakemus on jätettävä viimeistään kaksi vuotta ennen todistuksen voimassaolon päättymistä.</w:t>
      </w:r>
    </w:p>
    <w:p w:rsidR="00AD600E" w:rsidRPr="006A576B" w:rsidRDefault="00AD600E" w:rsidP="00207001">
      <w:pPr>
        <w:widowControl/>
        <w:spacing w:before="120" w:after="120" w:line="360" w:lineRule="auto"/>
        <w:jc w:val="center"/>
        <w:rPr>
          <w:szCs w:val="24"/>
          <w:lang w:eastAsia="en-US"/>
        </w:rPr>
      </w:pPr>
      <w:r w:rsidRPr="006A576B">
        <w:rPr>
          <w:szCs w:val="24"/>
          <w:lang w:eastAsia="en-US"/>
        </w:rPr>
        <w:t>8 artikla</w:t>
      </w:r>
      <w:r w:rsidRPr="006A576B">
        <w:rPr>
          <w:szCs w:val="24"/>
          <w:lang w:eastAsia="en-US"/>
        </w:rPr>
        <w:br/>
        <w:t>Todistushakemuksen sisältö</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Todistushakemuksessa on oltava</w:t>
      </w:r>
      <w:r w:rsidR="0017454C" w:rsidRPr="006A576B">
        <w:rPr>
          <w:szCs w:val="24"/>
          <w:lang w:eastAsia="en-US"/>
        </w:rPr>
        <w:t xml:space="preserve"> </w:t>
      </w:r>
      <w:r w:rsidRPr="006A576B">
        <w:rPr>
          <w:szCs w:val="24"/>
          <w:lang w:eastAsia="en-US"/>
        </w:rPr>
        <w:t>seuraavat tiedot:</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a)</w:t>
      </w:r>
      <w:r w:rsidRPr="006A576B">
        <w:rPr>
          <w:szCs w:val="24"/>
          <w:lang w:eastAsia="en-US"/>
        </w:rPr>
        <w:tab/>
        <w:t>todistuksen myöntämistä koskeva pyyntö, jossa on ilmoitettu erityisesti:</w:t>
      </w:r>
    </w:p>
    <w:p w:rsidR="00AD600E" w:rsidRPr="006A576B" w:rsidRDefault="00AD600E" w:rsidP="00207001">
      <w:pPr>
        <w:widowControl/>
        <w:spacing w:before="120" w:after="120" w:line="360" w:lineRule="auto"/>
        <w:ind w:left="1982" w:hanging="566"/>
        <w:rPr>
          <w:szCs w:val="24"/>
          <w:lang w:eastAsia="en-US"/>
        </w:rPr>
      </w:pPr>
      <w:r w:rsidRPr="006A576B">
        <w:rPr>
          <w:szCs w:val="24"/>
          <w:lang w:eastAsia="en-US"/>
        </w:rPr>
        <w:t>i)</w:t>
      </w:r>
      <w:r w:rsidRPr="006A576B">
        <w:rPr>
          <w:szCs w:val="24"/>
          <w:lang w:eastAsia="en-US"/>
        </w:rPr>
        <w:tab/>
        <w:t>hakijan nimi ja osoite;</w:t>
      </w:r>
    </w:p>
    <w:p w:rsidR="00AD600E" w:rsidRPr="006A576B" w:rsidRDefault="00AD600E" w:rsidP="00207001">
      <w:pPr>
        <w:widowControl/>
        <w:spacing w:before="120" w:after="120" w:line="360" w:lineRule="auto"/>
        <w:ind w:left="1982" w:hanging="566"/>
        <w:rPr>
          <w:szCs w:val="24"/>
          <w:lang w:eastAsia="en-US"/>
        </w:rPr>
      </w:pPr>
      <w:r w:rsidRPr="006A576B">
        <w:rPr>
          <w:szCs w:val="24"/>
          <w:lang w:eastAsia="en-US"/>
        </w:rPr>
        <w:t>ii)</w:t>
      </w:r>
      <w:r w:rsidRPr="006A576B">
        <w:rPr>
          <w:szCs w:val="24"/>
          <w:lang w:eastAsia="en-US"/>
        </w:rPr>
        <w:tab/>
        <w:t>hakijan edustajan nimi ja osoite, jos hakija on tällaisen nimennyt;</w:t>
      </w:r>
    </w:p>
    <w:p w:rsidR="00AD600E" w:rsidRPr="006A576B" w:rsidRDefault="00AD600E" w:rsidP="00207001">
      <w:pPr>
        <w:widowControl/>
        <w:spacing w:before="120" w:after="120" w:line="360" w:lineRule="auto"/>
        <w:ind w:left="1982" w:hanging="566"/>
        <w:rPr>
          <w:szCs w:val="24"/>
          <w:lang w:eastAsia="en-US"/>
        </w:rPr>
      </w:pPr>
      <w:r w:rsidRPr="006A576B">
        <w:rPr>
          <w:szCs w:val="24"/>
          <w:lang w:eastAsia="en-US"/>
        </w:rPr>
        <w:t>iii)</w:t>
      </w:r>
      <w:r w:rsidRPr="006A576B">
        <w:rPr>
          <w:szCs w:val="24"/>
          <w:lang w:eastAsia="en-US"/>
        </w:rPr>
        <w:tab/>
        <w:t>peruspatentin numero ja keksinnön nimitys;</w:t>
      </w:r>
    </w:p>
    <w:p w:rsidR="00AD600E" w:rsidRPr="006A576B" w:rsidRDefault="00AD600E" w:rsidP="00207001">
      <w:pPr>
        <w:widowControl/>
        <w:spacing w:before="120" w:after="120" w:line="360" w:lineRule="auto"/>
        <w:ind w:left="1982" w:hanging="566"/>
        <w:rPr>
          <w:szCs w:val="24"/>
          <w:lang w:eastAsia="en-US"/>
        </w:rPr>
      </w:pPr>
      <w:r w:rsidRPr="006A576B">
        <w:rPr>
          <w:szCs w:val="24"/>
          <w:lang w:eastAsia="en-US"/>
        </w:rPr>
        <w:t>iv)</w:t>
      </w:r>
      <w:r w:rsidRPr="006A576B">
        <w:rPr>
          <w:szCs w:val="24"/>
          <w:lang w:eastAsia="en-US"/>
        </w:rPr>
        <w:tab/>
        <w:t>edellä 3 artiklan</w:t>
      </w:r>
      <w:r w:rsidR="0017454C" w:rsidRPr="006A576B">
        <w:rPr>
          <w:szCs w:val="24"/>
          <w:lang w:eastAsia="en-US"/>
        </w:rPr>
        <w:t xml:space="preserve"> </w:t>
      </w:r>
      <w:r w:rsidRPr="006A576B">
        <w:rPr>
          <w:szCs w:val="24"/>
          <w:lang w:eastAsia="en-US"/>
        </w:rPr>
        <w:t>1 kohdan</w:t>
      </w:r>
      <w:r w:rsidR="0017454C" w:rsidRPr="006A576B">
        <w:rPr>
          <w:szCs w:val="24"/>
          <w:lang w:eastAsia="en-US"/>
        </w:rPr>
        <w:t xml:space="preserve"> </w:t>
      </w:r>
      <w:r w:rsidRPr="006A576B">
        <w:rPr>
          <w:szCs w:val="24"/>
          <w:lang w:eastAsia="en-US"/>
        </w:rPr>
        <w:t>b alakohdassa tarkoitetun markkinoille saattamista koskevan luvan numero ja päivämäärä ja, jos tämä lupa ei ole ensimmäinen markkinoille saattamista koskeva lupa</w:t>
      </w:r>
      <w:r w:rsidR="0017454C" w:rsidRPr="006A576B">
        <w:rPr>
          <w:szCs w:val="24"/>
          <w:lang w:eastAsia="en-US"/>
        </w:rPr>
        <w:t xml:space="preserve"> </w:t>
      </w:r>
      <w:r w:rsidRPr="006A576B">
        <w:rPr>
          <w:szCs w:val="24"/>
          <w:lang w:eastAsia="en-US"/>
        </w:rPr>
        <w:t>unionissa, tuon luvan numero ja päivämäärä;</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lastRenderedPageBreak/>
        <w:t>b)</w:t>
      </w:r>
      <w:r w:rsidRPr="006A576B">
        <w:rPr>
          <w:szCs w:val="24"/>
          <w:lang w:eastAsia="en-US"/>
        </w:rPr>
        <w:tab/>
        <w:t>jäljennös 3 artiklan 1 kohdan b alakohdassa tarkoitetusta markkinoille saattamista koskevasta luvasta, jossa on tuotteen tunnistetiedot ja johon sisältyy erityisesti luvan numero ja päivämäärä sekä direktiivin 2001/83/EY 11 artiklan tai</w:t>
      </w:r>
      <w:r w:rsidR="0017454C" w:rsidRPr="006A576B">
        <w:rPr>
          <w:szCs w:val="24"/>
          <w:lang w:eastAsia="en-US"/>
        </w:rPr>
        <w:t xml:space="preserve"> </w:t>
      </w:r>
      <w:r w:rsidRPr="006A576B">
        <w:rPr>
          <w:szCs w:val="24"/>
          <w:lang w:eastAsia="en-US"/>
        </w:rPr>
        <w:t>asetuksen (EU) 2019/6 35 artiklan mukainen yhteenveto valmisteen ominaisuuksista;</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c)</w:t>
      </w:r>
      <w:r w:rsidRPr="006A576B">
        <w:rPr>
          <w:szCs w:val="24"/>
          <w:lang w:eastAsia="en-US"/>
        </w:rPr>
        <w:tab/>
        <w:t>jos b alakohdassa tarkoitettu lupa ei ole tuotteen ensimmäinen</w:t>
      </w:r>
      <w:r w:rsidR="0017454C" w:rsidRPr="006A576B">
        <w:rPr>
          <w:szCs w:val="24"/>
          <w:lang w:eastAsia="en-US"/>
        </w:rPr>
        <w:t xml:space="preserve"> </w:t>
      </w:r>
      <w:r w:rsidRPr="006A576B">
        <w:rPr>
          <w:szCs w:val="24"/>
          <w:lang w:eastAsia="en-US"/>
        </w:rPr>
        <w:t>unionissa</w:t>
      </w:r>
      <w:r w:rsidR="0017454C" w:rsidRPr="006A576B">
        <w:rPr>
          <w:szCs w:val="24"/>
          <w:lang w:eastAsia="en-US"/>
        </w:rPr>
        <w:t xml:space="preserve"> </w:t>
      </w:r>
      <w:r w:rsidRPr="006A576B">
        <w:rPr>
          <w:szCs w:val="24"/>
          <w:lang w:eastAsia="en-US"/>
        </w:rPr>
        <w:t>annettu lupa saattaa tuote markkinoille lääkkeenä, tiedot näin hyväksytyn tuotteen tunnistetiedoista ja säännös, johon hyväksymismenettely perustui, sekä jäljennös virallisessa lehdessä julkaistusta lupailmoituksesta</w:t>
      </w:r>
      <w:r w:rsidR="0017454C" w:rsidRPr="006A576B">
        <w:rPr>
          <w:szCs w:val="24"/>
          <w:lang w:eastAsia="en-US"/>
        </w:rPr>
        <w:t xml:space="preserve"> </w:t>
      </w:r>
      <w:r w:rsidRPr="006A576B">
        <w:rPr>
          <w:szCs w:val="24"/>
          <w:lang w:eastAsia="en-US"/>
        </w:rPr>
        <w:t>tai, jos tällaista ilmoitusta ei ole saatavilla, mikä tahansa muu asiakirja, jolla osoitetaan luvan antaminen, antamispäivämäärä ja kyseisen luvan saaneen tuotteen tunnistetiedot;</w:t>
      </w:r>
    </w:p>
    <w:p w:rsidR="00D2607E" w:rsidRPr="006A576B" w:rsidRDefault="00D2607E">
      <w:pPr>
        <w:widowControl/>
        <w:rPr>
          <w:szCs w:val="24"/>
          <w:lang w:eastAsia="en-US"/>
        </w:rPr>
      </w:pPr>
      <w:r w:rsidRPr="006A576B">
        <w:rPr>
          <w:szCs w:val="24"/>
          <w:lang w:eastAsia="en-US"/>
        </w:rPr>
        <w:br w:type="page"/>
      </w:r>
    </w:p>
    <w:p w:rsidR="00AD600E" w:rsidRPr="006A576B" w:rsidRDefault="00AD600E">
      <w:pPr>
        <w:widowControl/>
        <w:spacing w:before="120" w:after="120" w:line="360" w:lineRule="auto"/>
        <w:ind w:left="1416" w:hanging="566"/>
        <w:rPr>
          <w:szCs w:val="24"/>
          <w:lang w:eastAsia="en-US"/>
        </w:rPr>
      </w:pPr>
      <w:r w:rsidRPr="006A576B">
        <w:rPr>
          <w:szCs w:val="24"/>
          <w:lang w:eastAsia="en-US"/>
        </w:rPr>
        <w:lastRenderedPageBreak/>
        <w:t>d)</w:t>
      </w:r>
      <w:r w:rsidRPr="006A576B">
        <w:rPr>
          <w:szCs w:val="24"/>
          <w:lang w:eastAsia="en-US"/>
        </w:rPr>
        <w:tab/>
        <w:t>jos</w:t>
      </w:r>
      <w:r w:rsidR="0017454C" w:rsidRPr="006A576B">
        <w:rPr>
          <w:szCs w:val="24"/>
          <w:lang w:eastAsia="en-US"/>
        </w:rPr>
        <w:t xml:space="preserve"> </w:t>
      </w:r>
      <w:r w:rsidRPr="006A576B">
        <w:rPr>
          <w:szCs w:val="24"/>
          <w:lang w:eastAsia="en-US"/>
        </w:rPr>
        <w:t>lääkettä koskevan</w:t>
      </w:r>
      <w:r w:rsidR="0017454C" w:rsidRPr="006A576B">
        <w:rPr>
          <w:szCs w:val="24"/>
          <w:lang w:eastAsia="en-US"/>
        </w:rPr>
        <w:t xml:space="preserve"> </w:t>
      </w:r>
      <w:r w:rsidRPr="006A576B">
        <w:rPr>
          <w:szCs w:val="24"/>
          <w:lang w:eastAsia="en-US"/>
        </w:rPr>
        <w:t>todistushakemuksen yhteydessä haetaan voimassaoloajan jatkamista:</w:t>
      </w:r>
    </w:p>
    <w:p w:rsidR="00D2607E" w:rsidRPr="006A576B" w:rsidRDefault="00D2607E" w:rsidP="006A576B">
      <w:pPr>
        <w:pStyle w:val="Point2"/>
        <w:spacing w:line="360" w:lineRule="auto"/>
        <w:rPr>
          <w:szCs w:val="24"/>
        </w:rPr>
      </w:pPr>
      <w:r w:rsidRPr="006A576B">
        <w:rPr>
          <w:szCs w:val="24"/>
        </w:rPr>
        <w:t>i)</w:t>
      </w:r>
      <w:r w:rsidRPr="006A576B">
        <w:rPr>
          <w:szCs w:val="24"/>
        </w:rPr>
        <w:tab/>
      </w:r>
      <w:r w:rsidRPr="006A576B">
        <w:rPr>
          <w:noProof/>
        </w:rPr>
        <w:t>jäljennös asetuksen (EY) N:o 1901/2006 36 artiklan 1 kohdassa tarkoitetusta lausumasta, jonka mukaan hakemus vastaa lastenlääkettä koskevaa hyväksyttyä ja loppuun saatettua tutkimusohjelmaa;</w:t>
      </w:r>
    </w:p>
    <w:p w:rsidR="00D2607E" w:rsidRPr="006A576B" w:rsidRDefault="00D2607E" w:rsidP="006A576B">
      <w:pPr>
        <w:widowControl/>
        <w:spacing w:before="120" w:after="120" w:line="360" w:lineRule="auto"/>
        <w:ind w:left="1985" w:hanging="567"/>
        <w:rPr>
          <w:szCs w:val="24"/>
          <w:lang w:eastAsia="en-US"/>
        </w:rPr>
      </w:pPr>
      <w:r w:rsidRPr="006A576B">
        <w:rPr>
          <w:szCs w:val="24"/>
          <w:lang w:eastAsia="en-US"/>
        </w:rPr>
        <w:t>ii)</w:t>
      </w:r>
      <w:r w:rsidRPr="006A576B">
        <w:rPr>
          <w:szCs w:val="24"/>
          <w:lang w:eastAsia="en-US"/>
        </w:rPr>
        <w:tab/>
      </w:r>
      <w:r w:rsidRPr="006A576B">
        <w:rPr>
          <w:noProof/>
        </w:rPr>
        <w:t>edellä b alakohdassa tarkoitetun markkinoille saattamista koskevan luvan jäljennöksen lisäksi tarvittaessa osoitus siitä, että valmisteella on markkinoille saattamista koskeva lupa kaikissa muissa jäsenvaltioissa, siten kuin asetuksen (EY) N:o 1901/2006 36 artiklan 3 kohdassa tarkoitetaan.</w:t>
      </w:r>
    </w:p>
    <w:p w:rsidR="00AD600E" w:rsidRPr="006A576B" w:rsidRDefault="00AD600E" w:rsidP="00207001">
      <w:pPr>
        <w:widowControl/>
        <w:spacing w:before="120" w:after="120" w:line="360" w:lineRule="auto"/>
        <w:ind w:left="1416" w:hanging="566"/>
        <w:rPr>
          <w:b/>
          <w:szCs w:val="24"/>
          <w:lang w:eastAsia="en-US"/>
        </w:rPr>
      </w:pPr>
      <w:r w:rsidRPr="006A576B">
        <w:rPr>
          <w:b/>
          <w:i/>
          <w:szCs w:val="24"/>
          <w:lang w:eastAsia="en-US"/>
        </w:rPr>
        <w:t>d</w:t>
      </w:r>
      <w:r w:rsidR="000B1D75" w:rsidRPr="006A576B">
        <w:rPr>
          <w:b/>
          <w:i/>
          <w:szCs w:val="24"/>
          <w:lang w:eastAsia="en-US"/>
        </w:rPr>
        <w:t xml:space="preserve"> </w:t>
      </w:r>
      <w:r w:rsidRPr="006A576B">
        <w:rPr>
          <w:b/>
          <w:i/>
          <w:szCs w:val="24"/>
          <w:lang w:eastAsia="en-US"/>
        </w:rPr>
        <w:t>a)</w:t>
      </w:r>
      <w:r w:rsidRPr="006A576B">
        <w:rPr>
          <w:szCs w:val="24"/>
          <w:lang w:eastAsia="en-US"/>
        </w:rPr>
        <w:tab/>
      </w:r>
      <w:r w:rsidRPr="006A576B">
        <w:rPr>
          <w:b/>
          <w:i/>
          <w:szCs w:val="24"/>
          <w:lang w:eastAsia="en-US"/>
        </w:rPr>
        <w:t>tapauksen mukaan tämän asetuksen 6 artiklan 2 kohdassa tarkoitetun kolmannen osapuolen suostumus;</w:t>
      </w:r>
      <w:r w:rsidR="000B1D75" w:rsidRPr="006A576B">
        <w:rPr>
          <w:b/>
          <w:szCs w:val="24"/>
          <w:lang w:eastAsia="en-US"/>
        </w:rPr>
        <w:t xml:space="preserve"> [tark. 2</w:t>
      </w:r>
      <w:r w:rsidR="00D2607E" w:rsidRPr="006A576B">
        <w:rPr>
          <w:b/>
          <w:szCs w:val="24"/>
          <w:lang w:eastAsia="en-US"/>
        </w:rPr>
        <w:t>3</w:t>
      </w:r>
      <w:r w:rsidR="000B1D75" w:rsidRPr="006A576B">
        <w:rPr>
          <w:b/>
          <w:szCs w:val="24"/>
          <w:lang w:eastAsia="en-US"/>
        </w:rPr>
        <w:t>]</w:t>
      </w:r>
    </w:p>
    <w:p w:rsidR="00AD600E" w:rsidRPr="006A576B" w:rsidRDefault="00AD600E" w:rsidP="00207001">
      <w:pPr>
        <w:widowControl/>
        <w:spacing w:before="120" w:after="120" w:line="360" w:lineRule="auto"/>
        <w:ind w:left="1416" w:hanging="566"/>
        <w:rPr>
          <w:b/>
          <w:szCs w:val="24"/>
          <w:lang w:eastAsia="en-US"/>
        </w:rPr>
      </w:pPr>
      <w:r w:rsidRPr="006A576B">
        <w:rPr>
          <w:b/>
          <w:i/>
          <w:szCs w:val="24"/>
          <w:lang w:eastAsia="en-US"/>
        </w:rPr>
        <w:t>d</w:t>
      </w:r>
      <w:r w:rsidR="000B1D75" w:rsidRPr="006A576B">
        <w:rPr>
          <w:b/>
          <w:i/>
          <w:szCs w:val="24"/>
          <w:lang w:eastAsia="en-US"/>
        </w:rPr>
        <w:t xml:space="preserve"> </w:t>
      </w:r>
      <w:r w:rsidRPr="006A576B">
        <w:rPr>
          <w:b/>
          <w:i/>
          <w:szCs w:val="24"/>
          <w:lang w:eastAsia="en-US"/>
        </w:rPr>
        <w:t>b)</w:t>
      </w:r>
      <w:r w:rsidRPr="006A576B">
        <w:rPr>
          <w:szCs w:val="24"/>
          <w:lang w:eastAsia="en-US"/>
        </w:rPr>
        <w:tab/>
      </w:r>
      <w:r w:rsidRPr="006A576B">
        <w:rPr>
          <w:b/>
          <w:i/>
          <w:szCs w:val="24"/>
          <w:lang w:eastAsia="en-US"/>
        </w:rPr>
        <w:t>tiedot kaikesta suorasta julkisesta rahoitustuesta, jota lääkkeen kehittämiseen liittyvään tutkimukseen on saatu.</w:t>
      </w:r>
      <w:r w:rsidR="000B1D75" w:rsidRPr="006A576B">
        <w:rPr>
          <w:b/>
          <w:szCs w:val="24"/>
          <w:lang w:eastAsia="en-US"/>
        </w:rPr>
        <w:t xml:space="preserve"> [tark. 2</w:t>
      </w:r>
      <w:r w:rsidR="00D2607E" w:rsidRPr="006A576B">
        <w:rPr>
          <w:b/>
          <w:szCs w:val="24"/>
          <w:lang w:eastAsia="en-US"/>
        </w:rPr>
        <w:t>4</w:t>
      </w:r>
      <w:r w:rsidR="000B1D75" w:rsidRPr="006A576B">
        <w:rPr>
          <w:b/>
          <w:szCs w:val="24"/>
          <w:lang w:eastAsia="en-US"/>
        </w:rPr>
        <w:t>]</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2.</w:t>
      </w:r>
      <w:r w:rsidRPr="006A576B">
        <w:rPr>
          <w:szCs w:val="24"/>
          <w:lang w:eastAsia="en-US"/>
        </w:rPr>
        <w:tab/>
        <w:t>Jos todistushakemus on jo vireillä, 7 artiklan 3 kohdan mukaisessa voimassaoloajan jatkamista koskevassa hakemuksessa on oltava tämän artiklan 1 kohdan d alakohdassa tarkoitetut tiedot sekä viittaus jo jätettyyn todistushakemukseen.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3.</w:t>
      </w:r>
      <w:r w:rsidRPr="006A576B">
        <w:rPr>
          <w:szCs w:val="24"/>
          <w:lang w:eastAsia="en-US"/>
        </w:rPr>
        <w:tab/>
        <w:t>Jo myönnetyn todistuksen voimassaoloajan jatkamista koskevassa hakemuksessa on oltava 1 kohdan d alakohdassa tarkoitetut tiedot sekä jäljennös jo myönnetystä todistuksesta.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4.</w:t>
      </w:r>
      <w:r w:rsidRPr="006A576B">
        <w:rPr>
          <w:szCs w:val="24"/>
          <w:lang w:eastAsia="en-US"/>
        </w:rPr>
        <w:tab/>
        <w:t>Jäsenvaltiot voivat säätää, että todistusta tai todistuksen voimassaoloajan jatkamista haettaessa on suoritettava maksu.</w:t>
      </w:r>
    </w:p>
    <w:p w:rsidR="00AD600E" w:rsidRPr="006A576B" w:rsidRDefault="00AD600E" w:rsidP="00207001">
      <w:pPr>
        <w:widowControl/>
        <w:spacing w:before="120" w:after="120" w:line="360" w:lineRule="auto"/>
        <w:jc w:val="center"/>
        <w:rPr>
          <w:szCs w:val="24"/>
          <w:lang w:eastAsia="en-US"/>
        </w:rPr>
      </w:pPr>
      <w:r w:rsidRPr="006A576B">
        <w:rPr>
          <w:szCs w:val="24"/>
          <w:lang w:eastAsia="en-US"/>
        </w:rPr>
        <w:t>9 artikla</w:t>
      </w:r>
      <w:r w:rsidRPr="006A576B">
        <w:rPr>
          <w:szCs w:val="24"/>
          <w:lang w:eastAsia="en-US"/>
        </w:rPr>
        <w:br/>
        <w:t>Todistushakemuksen jättäminen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Todistushakemus on jätettävä sen jäsenvaltion toimivaltaiselle</w:t>
      </w:r>
      <w:r w:rsidR="0017454C" w:rsidRPr="006A576B">
        <w:rPr>
          <w:szCs w:val="24"/>
          <w:lang w:eastAsia="en-US"/>
        </w:rPr>
        <w:t xml:space="preserve"> </w:t>
      </w:r>
      <w:r w:rsidRPr="006A576B">
        <w:rPr>
          <w:szCs w:val="24"/>
          <w:lang w:eastAsia="en-US"/>
        </w:rPr>
        <w:t>teollisoikeuksien</w:t>
      </w:r>
      <w:r w:rsidR="0017454C" w:rsidRPr="006A576B">
        <w:rPr>
          <w:szCs w:val="24"/>
          <w:lang w:eastAsia="en-US"/>
        </w:rPr>
        <w:t xml:space="preserve"> </w:t>
      </w:r>
      <w:r w:rsidRPr="006A576B">
        <w:rPr>
          <w:szCs w:val="24"/>
          <w:lang w:eastAsia="en-US"/>
        </w:rPr>
        <w:t>virastolle, joka myönsi peruspatentin tai jonka puolesta se myönnettiin ja jossa 3 artikla n 1 kohdan b alakohdassa tarkoitettu markkinoille saattamista koskeva lupa saatiin, jollei jäsenvaltio nimeä toista viranomaista tähän tarkoitukseen.</w:t>
      </w:r>
    </w:p>
    <w:p w:rsidR="00AD600E" w:rsidRPr="006A576B" w:rsidRDefault="00AD600E" w:rsidP="00207001">
      <w:pPr>
        <w:widowControl/>
        <w:spacing w:before="120" w:after="120" w:line="360" w:lineRule="auto"/>
        <w:ind w:left="850"/>
        <w:rPr>
          <w:szCs w:val="24"/>
          <w:lang w:eastAsia="en-US"/>
        </w:rPr>
      </w:pPr>
      <w:r w:rsidRPr="006A576B">
        <w:rPr>
          <w:szCs w:val="24"/>
          <w:lang w:eastAsia="en-US"/>
        </w:rPr>
        <w:t>Todistuksen voimassaoloajan jatkamista koskeva hakemus on jätettävä asianomaisen jäsenvaltion toimivaltaiselle viranomaiselle.</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2.</w:t>
      </w:r>
      <w:r w:rsidRPr="006A576B">
        <w:rPr>
          <w:szCs w:val="24"/>
          <w:lang w:eastAsia="en-US"/>
        </w:rPr>
        <w:tab/>
        <w:t>Edellä 1 kohdassa tarkoitetun viranomaisen on julkaistava todistushakemusta koskeva ilmoitus. Ilmoituksen on sisällettävä</w:t>
      </w:r>
      <w:r w:rsidR="0017454C" w:rsidRPr="006A576B">
        <w:rPr>
          <w:szCs w:val="24"/>
          <w:lang w:eastAsia="en-US"/>
        </w:rPr>
        <w:t xml:space="preserve"> </w:t>
      </w:r>
      <w:r w:rsidRPr="006A576B">
        <w:rPr>
          <w:szCs w:val="24"/>
          <w:lang w:eastAsia="en-US"/>
        </w:rPr>
        <w:t>kaikki</w:t>
      </w:r>
      <w:r w:rsidR="0017454C" w:rsidRPr="006A576B">
        <w:rPr>
          <w:szCs w:val="24"/>
          <w:lang w:eastAsia="en-US"/>
        </w:rPr>
        <w:t xml:space="preserve"> </w:t>
      </w:r>
      <w:r w:rsidRPr="006A576B">
        <w:rPr>
          <w:szCs w:val="24"/>
          <w:lang w:eastAsia="en-US"/>
        </w:rPr>
        <w:t>seuraavat tiedot:</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a)</w:t>
      </w:r>
      <w:r w:rsidRPr="006A576B">
        <w:rPr>
          <w:szCs w:val="24"/>
          <w:lang w:eastAsia="en-US"/>
        </w:rPr>
        <w:tab/>
        <w:t>hakijan nimi ja osoite;</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b)</w:t>
      </w:r>
      <w:r w:rsidRPr="006A576B">
        <w:rPr>
          <w:szCs w:val="24"/>
          <w:lang w:eastAsia="en-US"/>
        </w:rPr>
        <w:tab/>
        <w:t>peruspatentin numero;</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c)</w:t>
      </w:r>
      <w:r w:rsidRPr="006A576B">
        <w:rPr>
          <w:szCs w:val="24"/>
          <w:lang w:eastAsia="en-US"/>
        </w:rPr>
        <w:tab/>
        <w:t>keksinnön nimitys;</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d)</w:t>
      </w:r>
      <w:r w:rsidRPr="006A576B">
        <w:rPr>
          <w:szCs w:val="24"/>
          <w:lang w:eastAsia="en-US"/>
        </w:rPr>
        <w:tab/>
        <w:t>edellä 3 artiklan 1 kohdan b alakohdassa tarkoitetun markkinoille saattamista koskevan luvan numero ja päivämäärä, ja tuote, jota lupa koskee;</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e)</w:t>
      </w:r>
      <w:r w:rsidRPr="006A576B">
        <w:rPr>
          <w:szCs w:val="24"/>
          <w:lang w:eastAsia="en-US"/>
        </w:rPr>
        <w:tab/>
        <w:t>tarvittaessa ensimmäisen</w:t>
      </w:r>
      <w:r w:rsidR="0017454C" w:rsidRPr="006A576B">
        <w:rPr>
          <w:szCs w:val="24"/>
          <w:lang w:eastAsia="en-US"/>
        </w:rPr>
        <w:t xml:space="preserve"> </w:t>
      </w:r>
      <w:r w:rsidRPr="006A576B">
        <w:rPr>
          <w:szCs w:val="24"/>
          <w:lang w:eastAsia="en-US"/>
        </w:rPr>
        <w:t>unionissa</w:t>
      </w:r>
      <w:r w:rsidR="0017454C" w:rsidRPr="006A576B">
        <w:rPr>
          <w:szCs w:val="24"/>
          <w:lang w:eastAsia="en-US"/>
        </w:rPr>
        <w:t xml:space="preserve"> </w:t>
      </w:r>
      <w:r w:rsidRPr="006A576B">
        <w:rPr>
          <w:szCs w:val="24"/>
          <w:lang w:eastAsia="en-US"/>
        </w:rPr>
        <w:t>annetun markkinoille saattamista koskevan luvan numero ja päivämäärä;</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f)</w:t>
      </w:r>
      <w:r w:rsidRPr="006A576B">
        <w:rPr>
          <w:szCs w:val="24"/>
          <w:lang w:eastAsia="en-US"/>
        </w:rPr>
        <w:tab/>
        <w:t>tarvittaessa maininta siitä, että hakemukseen sisältyy voimassaoloajan jatkamista koskeva hakemus.</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3.</w:t>
      </w:r>
      <w:r w:rsidRPr="006A576B">
        <w:rPr>
          <w:szCs w:val="24"/>
          <w:lang w:eastAsia="en-US"/>
        </w:rPr>
        <w:tab/>
        <w:t>Jo myönnetyn todistuksen tai todistuksen, jota koskeva hakemus on vireillä, voimassaoloajan jatkamista koskevasta hakemuksesta tehtävään ilmoitukseen sovelletaan 2 kohtaa. Ilmoituksen on lisäksi sisällettävä maininta todistuksen voimassaoloajan jatkamista koskevasta hakemuksesta.</w:t>
      </w:r>
    </w:p>
    <w:p w:rsidR="00AD600E" w:rsidRPr="006A576B" w:rsidRDefault="00AD600E" w:rsidP="00207001">
      <w:pPr>
        <w:widowControl/>
        <w:spacing w:before="120" w:after="120" w:line="360" w:lineRule="auto"/>
        <w:jc w:val="center"/>
        <w:rPr>
          <w:szCs w:val="24"/>
          <w:lang w:eastAsia="en-US"/>
        </w:rPr>
      </w:pPr>
      <w:r w:rsidRPr="006A576B">
        <w:rPr>
          <w:szCs w:val="24"/>
          <w:lang w:eastAsia="en-US"/>
        </w:rPr>
        <w:t>10 artikla</w:t>
      </w:r>
      <w:r w:rsidRPr="006A576B">
        <w:rPr>
          <w:szCs w:val="24"/>
          <w:lang w:eastAsia="en-US"/>
        </w:rPr>
        <w:br/>
        <w:t>Todistuksen myöntäminen tai todistusta koskevan hakemuksen hylkääminen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Jos todistusta koskeva hakemus ja tuote, jota se koskee, täyttävät tässä luvussa säädetyt edellytykset, on 9 artiklan 1 kohdassa tarkoitetun viranomaisen annettava todistus.</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w:t>
      </w:r>
      <w:r w:rsidRPr="006A576B">
        <w:rPr>
          <w:szCs w:val="24"/>
          <w:lang w:eastAsia="en-US"/>
        </w:rPr>
        <w:tab/>
        <w:t>Jollei</w:t>
      </w:r>
      <w:r w:rsidR="0017454C" w:rsidRPr="006A576B">
        <w:rPr>
          <w:szCs w:val="24"/>
          <w:lang w:eastAsia="en-US"/>
        </w:rPr>
        <w:t xml:space="preserve"> </w:t>
      </w:r>
      <w:r w:rsidRPr="006A576B">
        <w:rPr>
          <w:szCs w:val="24"/>
          <w:lang w:eastAsia="en-US"/>
        </w:rPr>
        <w:t>tämän artiklan</w:t>
      </w:r>
      <w:r w:rsidR="0017454C" w:rsidRPr="006A576B">
        <w:rPr>
          <w:szCs w:val="24"/>
          <w:lang w:eastAsia="en-US"/>
        </w:rPr>
        <w:t xml:space="preserve"> </w:t>
      </w:r>
      <w:r w:rsidRPr="006A576B">
        <w:rPr>
          <w:szCs w:val="24"/>
          <w:lang w:eastAsia="en-US"/>
        </w:rPr>
        <w:t>3 kohdasta muuta johdu, 9 artiklan 1 kohdassa tarkoitetun viranomaisen on hylättävä todistushakemus, jos hakemus tai tuote, jota se koskee, ei täytä tässä luvussa säädettyjä edellytyksiä.</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3.</w:t>
      </w:r>
      <w:r w:rsidRPr="006A576B">
        <w:rPr>
          <w:szCs w:val="24"/>
          <w:lang w:eastAsia="en-US"/>
        </w:rPr>
        <w:tab/>
        <w:t>Jos todistushakemus ei täytä 8 artiklassa säädettyjä edellytyksiä, 9 artiklan 1 kohdassa tarkoitetun viranomaisen on kehotettava hakijaa korjaamaan puutteellisuus, tai suorittamaan maksu vahvistetun ajan kuluessa.</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4.</w:t>
      </w:r>
      <w:r w:rsidRPr="006A576B">
        <w:rPr>
          <w:szCs w:val="24"/>
          <w:lang w:eastAsia="en-US"/>
        </w:rPr>
        <w:tab/>
        <w:t>Jos puutteellisuutta ei ole korjattu tai maksua suoritettu vahvistetun ajan kuluessa 3 kohdan mukaisesti, viranomaisen on hylättävä hakemus.</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5.</w:t>
      </w:r>
      <w:r w:rsidRPr="006A576B">
        <w:rPr>
          <w:szCs w:val="24"/>
          <w:lang w:eastAsia="en-US"/>
        </w:rPr>
        <w:tab/>
        <w:t>Jäsenvaltiot voivat säätää, että 9 artiklan 1 kohdassa tarkoitettu viranomainen antaa todistukset tarkistamatta, että 3 artiklan 1 kohdan c ja d alakohdassa säädetyt ehdot täyttyvät.</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6.</w:t>
      </w:r>
      <w:r w:rsidRPr="006A576B">
        <w:rPr>
          <w:szCs w:val="24"/>
          <w:lang w:eastAsia="en-US"/>
        </w:rPr>
        <w:tab/>
        <w:t>Voimassaoloajan jatkamista koskevaan hakemukseen sovelletaan 1–4 kohtaa soveltuvin osin.</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11 artikla</w:t>
      </w:r>
      <w:r w:rsidRPr="006A576B">
        <w:rPr>
          <w:szCs w:val="24"/>
          <w:lang w:eastAsia="en-US"/>
        </w:rPr>
        <w:br/>
        <w:t>Julkaiseminen</w:t>
      </w:r>
    </w:p>
    <w:p w:rsidR="00AD600E" w:rsidRPr="006A576B" w:rsidRDefault="00AD600E" w:rsidP="00207001">
      <w:pPr>
        <w:widowControl/>
        <w:spacing w:before="120" w:after="120" w:line="360" w:lineRule="auto"/>
        <w:ind w:left="850" w:hanging="850"/>
        <w:rPr>
          <w:b/>
          <w:szCs w:val="24"/>
          <w:lang w:eastAsia="en-US"/>
        </w:rPr>
      </w:pPr>
      <w:r w:rsidRPr="006A576B">
        <w:rPr>
          <w:szCs w:val="24"/>
          <w:lang w:eastAsia="en-US"/>
        </w:rPr>
        <w:t>1.</w:t>
      </w:r>
      <w:r w:rsidRPr="006A576B">
        <w:rPr>
          <w:szCs w:val="24"/>
          <w:lang w:eastAsia="en-US"/>
        </w:rPr>
        <w:tab/>
        <w:t xml:space="preserve">Edellä 9 artiklan 1 kohdassa tarkoitetun viranomaisen on </w:t>
      </w:r>
      <w:r w:rsidRPr="006A576B">
        <w:rPr>
          <w:b/>
          <w:i/>
          <w:szCs w:val="24"/>
          <w:lang w:eastAsia="en-US"/>
        </w:rPr>
        <w:t xml:space="preserve">ilman aiheetonta viivytystä </w:t>
      </w:r>
      <w:r w:rsidRPr="006A576B">
        <w:rPr>
          <w:szCs w:val="24"/>
          <w:lang w:eastAsia="en-US"/>
        </w:rPr>
        <w:t>julkaistava</w:t>
      </w:r>
      <w:r w:rsidR="0017454C" w:rsidRPr="006A576B">
        <w:rPr>
          <w:strike/>
          <w:szCs w:val="24"/>
          <w:lang w:eastAsia="en-US"/>
        </w:rPr>
        <w:t xml:space="preserve"> </w:t>
      </w:r>
      <w:r w:rsidRPr="006A576B">
        <w:rPr>
          <w:strike/>
          <w:szCs w:val="24"/>
          <w:lang w:eastAsia="en-US"/>
        </w:rPr>
        <w:t>mahdollisimman pian</w:t>
      </w:r>
      <w:r w:rsidR="0017454C" w:rsidRPr="006A576B">
        <w:rPr>
          <w:strike/>
          <w:szCs w:val="24"/>
          <w:lang w:eastAsia="en-US"/>
        </w:rPr>
        <w:t xml:space="preserve"> </w:t>
      </w:r>
      <w:r w:rsidRPr="006A576B">
        <w:rPr>
          <w:szCs w:val="24"/>
          <w:lang w:eastAsia="en-US"/>
        </w:rPr>
        <w:t>ilmoitus todistuksen antamisesta. Ilmoituksen on sisällettävä</w:t>
      </w:r>
      <w:r w:rsidR="0017454C" w:rsidRPr="006A576B">
        <w:rPr>
          <w:szCs w:val="24"/>
          <w:lang w:eastAsia="en-US"/>
        </w:rPr>
        <w:t xml:space="preserve"> </w:t>
      </w:r>
      <w:r w:rsidRPr="006A576B">
        <w:rPr>
          <w:szCs w:val="24"/>
          <w:lang w:eastAsia="en-US"/>
        </w:rPr>
        <w:t>kaikki</w:t>
      </w:r>
      <w:r w:rsidR="0017454C" w:rsidRPr="006A576B">
        <w:rPr>
          <w:szCs w:val="24"/>
          <w:lang w:eastAsia="en-US"/>
        </w:rPr>
        <w:t xml:space="preserve"> </w:t>
      </w:r>
      <w:r w:rsidRPr="006A576B">
        <w:rPr>
          <w:szCs w:val="24"/>
          <w:lang w:eastAsia="en-US"/>
        </w:rPr>
        <w:t>seuraavat tiedot:</w:t>
      </w:r>
      <w:r w:rsidR="000B1D75" w:rsidRPr="006A576B">
        <w:rPr>
          <w:b/>
          <w:szCs w:val="24"/>
          <w:lang w:eastAsia="en-US"/>
        </w:rPr>
        <w:t xml:space="preserve"> [tark. 25]</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a)</w:t>
      </w:r>
      <w:r w:rsidRPr="006A576B">
        <w:rPr>
          <w:szCs w:val="24"/>
          <w:lang w:eastAsia="en-US"/>
        </w:rPr>
        <w:tab/>
        <w:t>todistuksen haltijan nimi ja osoite;</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b)</w:t>
      </w:r>
      <w:r w:rsidRPr="006A576B">
        <w:rPr>
          <w:szCs w:val="24"/>
          <w:lang w:eastAsia="en-US"/>
        </w:rPr>
        <w:tab/>
        <w:t>peruspatentin numero;</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c)</w:t>
      </w:r>
      <w:r w:rsidRPr="006A576B">
        <w:rPr>
          <w:szCs w:val="24"/>
          <w:lang w:eastAsia="en-US"/>
        </w:rPr>
        <w:tab/>
        <w:t>keksinnön nimitys;</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d)</w:t>
      </w:r>
      <w:r w:rsidRPr="006A576B">
        <w:rPr>
          <w:szCs w:val="24"/>
          <w:lang w:eastAsia="en-US"/>
        </w:rPr>
        <w:tab/>
        <w:t>edellä 3 artiklan 1 kohdan b alakohdassa tarkoitetun markkinoille saattamista koskevan luvan numero ja päivämäärä, ja tuote, jota lupa koskee;</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(e)</w:t>
      </w:r>
      <w:r w:rsidRPr="006A576B">
        <w:rPr>
          <w:szCs w:val="24"/>
          <w:lang w:eastAsia="en-US"/>
        </w:rPr>
        <w:tab/>
        <w:t>tarvittaessa ensimmäisen</w:t>
      </w:r>
      <w:r w:rsidR="0017454C" w:rsidRPr="006A576B">
        <w:rPr>
          <w:szCs w:val="24"/>
          <w:lang w:eastAsia="en-US"/>
        </w:rPr>
        <w:t xml:space="preserve"> </w:t>
      </w:r>
      <w:r w:rsidRPr="006A576B">
        <w:rPr>
          <w:szCs w:val="24"/>
          <w:lang w:eastAsia="en-US"/>
        </w:rPr>
        <w:t>unionissa</w:t>
      </w:r>
      <w:r w:rsidR="0017454C" w:rsidRPr="006A576B">
        <w:rPr>
          <w:szCs w:val="24"/>
          <w:lang w:eastAsia="en-US"/>
        </w:rPr>
        <w:t xml:space="preserve"> </w:t>
      </w:r>
      <w:r w:rsidRPr="006A576B">
        <w:rPr>
          <w:szCs w:val="24"/>
          <w:lang w:eastAsia="en-US"/>
        </w:rPr>
        <w:t>annetun markkinoille saattamista koskevan luvan numero ja päivämäärä;</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(f)</w:t>
      </w:r>
      <w:r w:rsidRPr="006A576B">
        <w:rPr>
          <w:szCs w:val="24"/>
          <w:lang w:eastAsia="en-US"/>
        </w:rPr>
        <w:tab/>
        <w:t>todistuksen voimassaoloaika.</w:t>
      </w:r>
    </w:p>
    <w:p w:rsidR="00AD600E" w:rsidRPr="006A576B" w:rsidRDefault="00AD600E" w:rsidP="00207001">
      <w:pPr>
        <w:widowControl/>
        <w:spacing w:before="120" w:after="120" w:line="360" w:lineRule="auto"/>
        <w:ind w:left="1416" w:hanging="566"/>
        <w:rPr>
          <w:b/>
          <w:szCs w:val="24"/>
          <w:lang w:eastAsia="en-US"/>
        </w:rPr>
      </w:pPr>
      <w:r w:rsidRPr="006A576B">
        <w:rPr>
          <w:b/>
          <w:i/>
          <w:szCs w:val="24"/>
          <w:lang w:eastAsia="en-US"/>
        </w:rPr>
        <w:t>f</w:t>
      </w:r>
      <w:r w:rsidR="000B1D75" w:rsidRPr="006A576B">
        <w:rPr>
          <w:b/>
          <w:i/>
          <w:szCs w:val="24"/>
          <w:lang w:eastAsia="en-US"/>
        </w:rPr>
        <w:t xml:space="preserve"> </w:t>
      </w:r>
      <w:r w:rsidRPr="006A576B">
        <w:rPr>
          <w:b/>
          <w:i/>
          <w:szCs w:val="24"/>
          <w:lang w:eastAsia="en-US"/>
        </w:rPr>
        <w:t>a)</w:t>
      </w:r>
      <w:r w:rsidRPr="006A576B">
        <w:rPr>
          <w:szCs w:val="24"/>
          <w:lang w:eastAsia="en-US"/>
        </w:rPr>
        <w:tab/>
      </w:r>
      <w:r w:rsidRPr="006A576B">
        <w:rPr>
          <w:b/>
          <w:i/>
          <w:szCs w:val="24"/>
          <w:lang w:eastAsia="en-US"/>
        </w:rPr>
        <w:t>tiedot kaikesta suorasta julkisesta rahoitustuesta, jota lääkkeen kehittämiseen liittyvään tutkimukseen on saatu.</w:t>
      </w:r>
      <w:r w:rsidR="000B1D75" w:rsidRPr="006A576B">
        <w:rPr>
          <w:b/>
          <w:szCs w:val="24"/>
          <w:lang w:eastAsia="en-US"/>
        </w:rPr>
        <w:t xml:space="preserve"> [tark. 26]</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2.</w:t>
      </w:r>
      <w:r w:rsidRPr="006A576B">
        <w:rPr>
          <w:szCs w:val="24"/>
          <w:lang w:eastAsia="en-US"/>
        </w:rPr>
        <w:tab/>
        <w:t>Edellä 9 artiklan 1 kohdassa tarkoitetun viranomaisen on julkaistava</w:t>
      </w:r>
      <w:r w:rsidR="0017454C" w:rsidRPr="006A576B">
        <w:rPr>
          <w:szCs w:val="24"/>
          <w:lang w:eastAsia="en-US"/>
        </w:rPr>
        <w:t xml:space="preserve"> </w:t>
      </w:r>
      <w:r w:rsidRPr="006A576B">
        <w:rPr>
          <w:szCs w:val="24"/>
          <w:lang w:eastAsia="en-US"/>
        </w:rPr>
        <w:t>mahdollisimman pian</w:t>
      </w:r>
      <w:r w:rsidR="0017454C" w:rsidRPr="006A576B">
        <w:rPr>
          <w:szCs w:val="24"/>
          <w:lang w:eastAsia="en-US"/>
        </w:rPr>
        <w:t xml:space="preserve"> </w:t>
      </w:r>
      <w:r w:rsidRPr="006A576B">
        <w:rPr>
          <w:szCs w:val="24"/>
          <w:lang w:eastAsia="en-US"/>
        </w:rPr>
        <w:t>ilmoitus siitä, että todistushakemus on hylätty. Ilmoituksen on sisällettävä</w:t>
      </w:r>
      <w:r w:rsidR="0017454C" w:rsidRPr="006A576B">
        <w:rPr>
          <w:szCs w:val="24"/>
          <w:lang w:eastAsia="en-US"/>
        </w:rPr>
        <w:t xml:space="preserve"> </w:t>
      </w:r>
      <w:r w:rsidRPr="006A576B">
        <w:rPr>
          <w:szCs w:val="24"/>
          <w:lang w:eastAsia="en-US"/>
        </w:rPr>
        <w:t>ainakin 9 artiklan 2 kohdassa luetellut tiedot.</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3.</w:t>
      </w:r>
      <w:r w:rsidRPr="006A576B">
        <w:rPr>
          <w:szCs w:val="24"/>
          <w:lang w:eastAsia="en-US"/>
        </w:rPr>
        <w:tab/>
        <w:t>Todistuksen voimassaoloajan jatkamisesta tai voimassaoloajan jatkamista koskevan hakemuksen hylkäämisestä tehtävään ilmoitukseen sovelletaan 1 ja 2 kohtaa.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4.</w:t>
      </w:r>
      <w:r w:rsidRPr="006A576B">
        <w:rPr>
          <w:szCs w:val="24"/>
          <w:lang w:eastAsia="en-US"/>
        </w:rPr>
        <w:tab/>
        <w:t>Edellä 9 artiklan 1 kohdassa tarkoitetun viranomaisen on julkaistava 5 artiklan 5 kohdassa luetellut tiedot ja niiden ilmoittamispäivä mahdollisimman pian. Sen on myös julkaistava mahdollisimman pian kaikki näihin tietoihin tehdyt muutokset, joista on ilmoitettu 5 artiklan 2 kohdan c alakohdan mukaisesti.</w:t>
      </w:r>
    </w:p>
    <w:p w:rsidR="00AD600E" w:rsidRPr="006A576B" w:rsidRDefault="00AD600E" w:rsidP="00207001">
      <w:pPr>
        <w:widowControl/>
        <w:spacing w:before="120" w:after="120" w:line="360" w:lineRule="auto"/>
        <w:jc w:val="center"/>
        <w:rPr>
          <w:szCs w:val="24"/>
          <w:lang w:eastAsia="en-US"/>
        </w:rPr>
      </w:pPr>
      <w:r w:rsidRPr="006A576B">
        <w:rPr>
          <w:szCs w:val="24"/>
          <w:lang w:eastAsia="en-US"/>
        </w:rPr>
        <w:t>12 artikla</w:t>
      </w:r>
      <w:r w:rsidRPr="006A576B">
        <w:rPr>
          <w:szCs w:val="24"/>
          <w:lang w:eastAsia="en-US"/>
        </w:rPr>
        <w:br/>
        <w:t>Maksut</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Jäsenvaltiot voivat edellyttää, että todistuksesta suoritetaan vuosimaksuja.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w:t>
      </w:r>
      <w:r w:rsidRPr="006A576B">
        <w:rPr>
          <w:szCs w:val="24"/>
          <w:lang w:eastAsia="en-US"/>
        </w:rPr>
        <w:tab/>
        <w:t>Jäsenvaltiot voivat edellyttää, että 5 artiklan 2 kohdan b ja c alakohdassa tarkoitetuista ilmoituksista suoritetaan maksu.</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13 artikla</w:t>
      </w:r>
      <w:r w:rsidRPr="006A576B">
        <w:rPr>
          <w:szCs w:val="24"/>
          <w:lang w:eastAsia="en-US"/>
        </w:rPr>
        <w:br/>
        <w:t>Todistuksen voimassaolo</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Todistus tulee voimaan peruspatentin laillisen voimassaolon päättyessä ajaksi, joka vastaa peruspatenttihakemuksen hakemispäivän ja ensimmäisen</w:t>
      </w:r>
      <w:r w:rsidR="0017454C" w:rsidRPr="006A576B">
        <w:rPr>
          <w:szCs w:val="24"/>
          <w:lang w:eastAsia="en-US"/>
        </w:rPr>
        <w:t xml:space="preserve"> </w:t>
      </w:r>
      <w:r w:rsidRPr="006A576B">
        <w:rPr>
          <w:szCs w:val="24"/>
          <w:lang w:eastAsia="en-US"/>
        </w:rPr>
        <w:t>unionissa</w:t>
      </w:r>
      <w:r w:rsidR="0017454C" w:rsidRPr="006A576B">
        <w:rPr>
          <w:szCs w:val="24"/>
          <w:lang w:eastAsia="en-US"/>
        </w:rPr>
        <w:t xml:space="preserve"> </w:t>
      </w:r>
      <w:r w:rsidRPr="006A576B">
        <w:rPr>
          <w:szCs w:val="24"/>
          <w:lang w:eastAsia="en-US"/>
        </w:rPr>
        <w:t>myönnetyn</w:t>
      </w:r>
      <w:r w:rsidR="0017454C" w:rsidRPr="006A576B">
        <w:rPr>
          <w:szCs w:val="24"/>
          <w:lang w:eastAsia="en-US"/>
        </w:rPr>
        <w:t xml:space="preserve"> </w:t>
      </w:r>
      <w:r w:rsidRPr="006A576B">
        <w:rPr>
          <w:szCs w:val="24"/>
          <w:lang w:eastAsia="en-US"/>
        </w:rPr>
        <w:t>markkinoille saattamista koskevan luvan</w:t>
      </w:r>
      <w:r w:rsidR="0017454C" w:rsidRPr="006A576B">
        <w:rPr>
          <w:szCs w:val="24"/>
          <w:lang w:eastAsia="en-US"/>
        </w:rPr>
        <w:t xml:space="preserve"> </w:t>
      </w:r>
      <w:r w:rsidRPr="006A576B">
        <w:rPr>
          <w:szCs w:val="24"/>
          <w:lang w:eastAsia="en-US"/>
        </w:rPr>
        <w:t>myöntämispäivän välillä kulunutta aikaa, vähennettynä viidellä vuodella.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w:t>
      </w:r>
      <w:r w:rsidRPr="006A576B">
        <w:rPr>
          <w:szCs w:val="24"/>
          <w:lang w:eastAsia="en-US"/>
        </w:rPr>
        <w:tab/>
        <w:t>Sen estämättä, mitä 1 kohdassa säädetään, todistus on voimassa enintään viisi vuotta sen voimaantulopäivästä.</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3.</w:t>
      </w:r>
      <w:r w:rsidRPr="006A576B">
        <w:rPr>
          <w:szCs w:val="24"/>
          <w:lang w:eastAsia="en-US"/>
        </w:rPr>
        <w:tab/>
        <w:t>Sovellettaessa asetuksen (EY) N:o 1901/2006 36 artiklaa jatketaan tämän artiklan 1 ja 2 kohdassa säädettyjä voimassaoloaikoja kuudella kuukaudella.</w:t>
      </w:r>
      <w:r w:rsidR="0017454C" w:rsidRPr="006A576B">
        <w:rPr>
          <w:szCs w:val="24"/>
          <w:lang w:eastAsia="en-US"/>
        </w:rPr>
        <w:t xml:space="preserve"> </w:t>
      </w:r>
      <w:r w:rsidRPr="006A576B">
        <w:rPr>
          <w:szCs w:val="24"/>
          <w:lang w:eastAsia="en-US"/>
        </w:rPr>
        <w:t>Kyseisen</w:t>
      </w:r>
      <w:r w:rsidR="0017454C" w:rsidRPr="006A576B">
        <w:rPr>
          <w:szCs w:val="24"/>
          <w:lang w:eastAsia="en-US"/>
        </w:rPr>
        <w:t xml:space="preserve"> </w:t>
      </w:r>
      <w:r w:rsidRPr="006A576B">
        <w:rPr>
          <w:szCs w:val="24"/>
          <w:lang w:eastAsia="en-US"/>
        </w:rPr>
        <w:t>artiklan 1 kohdassa säädettyä voimassaoloaikaa voidaan tällöin jatkaa vain kerran.</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14 artikla</w:t>
      </w:r>
      <w:r w:rsidRPr="006A576B">
        <w:rPr>
          <w:szCs w:val="24"/>
          <w:lang w:eastAsia="en-US"/>
        </w:rPr>
        <w:br/>
        <w:t>Todistuksen voimassaolon raukeaminen</w:t>
      </w:r>
    </w:p>
    <w:p w:rsidR="00AD600E" w:rsidRPr="006A576B" w:rsidRDefault="00AD600E" w:rsidP="00207001">
      <w:pPr>
        <w:widowControl/>
        <w:spacing w:before="120" w:after="120" w:line="360" w:lineRule="auto"/>
        <w:rPr>
          <w:szCs w:val="24"/>
          <w:lang w:eastAsia="en-US"/>
        </w:rPr>
      </w:pPr>
      <w:r w:rsidRPr="006A576B">
        <w:rPr>
          <w:szCs w:val="24"/>
          <w:lang w:eastAsia="en-US"/>
        </w:rPr>
        <w:t>Todistus raukeaa</w:t>
      </w:r>
      <w:r w:rsidR="0017454C" w:rsidRPr="006A576B">
        <w:rPr>
          <w:szCs w:val="24"/>
          <w:lang w:eastAsia="en-US"/>
        </w:rPr>
        <w:t xml:space="preserve"> </w:t>
      </w:r>
      <w:r w:rsidRPr="006A576B">
        <w:rPr>
          <w:szCs w:val="24"/>
          <w:lang w:eastAsia="en-US"/>
        </w:rPr>
        <w:t>seuraavissa tapauksissa: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a)</w:t>
      </w:r>
      <w:r w:rsidRPr="006A576B">
        <w:rPr>
          <w:szCs w:val="24"/>
          <w:lang w:eastAsia="en-US"/>
        </w:rPr>
        <w:tab/>
        <w:t>edellä 13 artiklassa säädetyn voimassaolon päättyessä;</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b)</w:t>
      </w:r>
      <w:r w:rsidRPr="006A576B">
        <w:rPr>
          <w:szCs w:val="24"/>
          <w:lang w:eastAsia="en-US"/>
        </w:rPr>
        <w:tab/>
        <w:t>jos todistuksen haltija luopuu siitä;</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c)</w:t>
      </w:r>
      <w:r w:rsidRPr="006A576B">
        <w:rPr>
          <w:szCs w:val="24"/>
          <w:lang w:eastAsia="en-US"/>
        </w:rPr>
        <w:tab/>
        <w:t>jos 12 artiklan mukaisesti säädettyä vuosimaksua ei makseta ajoissa;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d)</w:t>
      </w:r>
      <w:r w:rsidRPr="006A576B">
        <w:rPr>
          <w:szCs w:val="24"/>
          <w:lang w:eastAsia="en-US"/>
        </w:rPr>
        <w:tab/>
        <w:t>jos ja niin kauan kuin tuotetta, jota todistus koskee, ei enää saa saattaa markkinoille sen vuoksi, että markkinoille saattamista koskeva lupa tai luvat peruutetaan direktiivin 2001/83/EY tai</w:t>
      </w:r>
      <w:r w:rsidR="0017454C" w:rsidRPr="006A576B">
        <w:rPr>
          <w:szCs w:val="24"/>
          <w:lang w:eastAsia="en-US"/>
        </w:rPr>
        <w:t xml:space="preserve"> </w:t>
      </w:r>
      <w:r w:rsidRPr="006A576B">
        <w:rPr>
          <w:szCs w:val="24"/>
          <w:lang w:eastAsia="en-US"/>
        </w:rPr>
        <w:t>asetuksen (EU) 2019/6 mukaisesti.</w:t>
      </w:r>
    </w:p>
    <w:p w:rsidR="00AD600E" w:rsidRPr="006A576B" w:rsidRDefault="00AD600E" w:rsidP="00207001">
      <w:pPr>
        <w:widowControl/>
        <w:spacing w:before="120" w:after="120" w:line="360" w:lineRule="auto"/>
        <w:rPr>
          <w:szCs w:val="24"/>
          <w:lang w:eastAsia="en-US"/>
        </w:rPr>
      </w:pPr>
      <w:r w:rsidRPr="006A576B">
        <w:rPr>
          <w:szCs w:val="24"/>
          <w:lang w:eastAsia="en-US"/>
        </w:rPr>
        <w:t>Sovellettaessa d alakohtaa</w:t>
      </w:r>
      <w:r w:rsidR="0017454C" w:rsidRPr="006A576B">
        <w:rPr>
          <w:szCs w:val="24"/>
          <w:lang w:eastAsia="en-US"/>
        </w:rPr>
        <w:t xml:space="preserve"> </w:t>
      </w:r>
      <w:r w:rsidRPr="006A576B">
        <w:rPr>
          <w:szCs w:val="24"/>
          <w:lang w:eastAsia="en-US"/>
        </w:rPr>
        <w:t>9 artiklan 1 kohdassa tarkoitettu viranomainen on pätevä päättämään todistuksen raukeamisesta joko omasta aloitteestaan tai kolmannen osapuolen pyynnöstä.</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15 artikla</w:t>
      </w:r>
      <w:r w:rsidRPr="006A576B">
        <w:rPr>
          <w:szCs w:val="24"/>
          <w:lang w:eastAsia="en-US"/>
        </w:rPr>
        <w:br/>
        <w:t>Todistuksen mitättömyys</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Todistus on mitätön</w:t>
      </w:r>
      <w:r w:rsidR="0017454C" w:rsidRPr="006A576B">
        <w:rPr>
          <w:szCs w:val="24"/>
          <w:lang w:eastAsia="en-US"/>
        </w:rPr>
        <w:t xml:space="preserve"> </w:t>
      </w:r>
      <w:r w:rsidRPr="006A576B">
        <w:rPr>
          <w:szCs w:val="24"/>
          <w:lang w:eastAsia="en-US"/>
        </w:rPr>
        <w:t>seuraavissa tapauksissa:</w:t>
      </w:r>
    </w:p>
    <w:p w:rsidR="00AD600E" w:rsidRPr="006A576B" w:rsidRDefault="00AD600E" w:rsidP="00207001">
      <w:pPr>
        <w:widowControl/>
        <w:spacing w:before="120" w:after="120" w:line="360" w:lineRule="auto"/>
        <w:ind w:left="1416" w:hanging="566"/>
        <w:rPr>
          <w:b/>
          <w:szCs w:val="24"/>
          <w:lang w:eastAsia="en-US"/>
        </w:rPr>
      </w:pPr>
      <w:r w:rsidRPr="006A576B">
        <w:rPr>
          <w:szCs w:val="24"/>
          <w:lang w:eastAsia="en-US"/>
        </w:rPr>
        <w:t>a)</w:t>
      </w:r>
      <w:r w:rsidRPr="006A576B">
        <w:rPr>
          <w:szCs w:val="24"/>
          <w:lang w:eastAsia="en-US"/>
        </w:rPr>
        <w:tab/>
        <w:t>todistus</w:t>
      </w:r>
      <w:r w:rsidR="0017454C" w:rsidRPr="006A576B">
        <w:rPr>
          <w:szCs w:val="24"/>
          <w:lang w:eastAsia="en-US"/>
        </w:rPr>
        <w:t xml:space="preserve"> </w:t>
      </w:r>
      <w:r w:rsidRPr="006A576B">
        <w:rPr>
          <w:szCs w:val="24"/>
          <w:lang w:eastAsia="en-US"/>
        </w:rPr>
        <w:t>on myönnetty vastoin 3 artiklaa</w:t>
      </w:r>
      <w:r w:rsidRPr="006A576B">
        <w:rPr>
          <w:b/>
          <w:i/>
          <w:szCs w:val="24"/>
          <w:lang w:eastAsia="en-US"/>
        </w:rPr>
        <w:t xml:space="preserve"> tai 6 artiklan 2 kohtaa</w:t>
      </w:r>
      <w:r w:rsidRPr="006A576B">
        <w:rPr>
          <w:szCs w:val="24"/>
          <w:lang w:eastAsia="en-US"/>
        </w:rPr>
        <w:t>;</w:t>
      </w:r>
      <w:r w:rsidR="000B1D75" w:rsidRPr="006A576B">
        <w:rPr>
          <w:b/>
          <w:szCs w:val="24"/>
          <w:lang w:eastAsia="en-US"/>
        </w:rPr>
        <w:t xml:space="preserve"> [tark. 27]</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b)</w:t>
      </w:r>
      <w:r w:rsidRPr="006A576B">
        <w:rPr>
          <w:szCs w:val="24"/>
          <w:lang w:eastAsia="en-US"/>
        </w:rPr>
        <w:tab/>
        <w:t>peruspatentti on rauennut ennen sen laillisen voimassaoloajan päättymistä;</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c)</w:t>
      </w:r>
      <w:r w:rsidRPr="006A576B">
        <w:rPr>
          <w:szCs w:val="24"/>
          <w:lang w:eastAsia="en-US"/>
        </w:rPr>
        <w:tab/>
        <w:t>peruspatentti julistetaan mitättömäksi tai sitä rajoitetaan siinä määrin, että tuote, jolle todistus annettiin, ei enää olisi peruspatentin vaatimusten suojaama tai, sen jälkeen kun peruspatentin voimassaolo on päättynyt, sellaiset mitätöintiperusteet ovat olemassa, jotka olisivat oikeuttaneet tällaiseen mitätöimiseen tai rajoittamiseen.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w:t>
      </w:r>
      <w:r w:rsidRPr="006A576B">
        <w:rPr>
          <w:szCs w:val="24"/>
          <w:lang w:eastAsia="en-US"/>
        </w:rPr>
        <w:tab/>
        <w:t>Jokainen voi jättää hakemuksen tai nostaa kanteen todistuksen julistamiseksi mitättömäksi siinä elimessä, joka kansallisen lainsäädännön nojalla on toimivaltainen julistamaan vastaavan peruspatentin mitättömäksi, tai jäsenvaltion toimivaltaisessa tuomioistuimessa.</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16 artikla</w:t>
      </w:r>
      <w:r w:rsidRPr="006A576B">
        <w:rPr>
          <w:szCs w:val="24"/>
          <w:lang w:eastAsia="en-US"/>
        </w:rPr>
        <w:br/>
        <w:t>Lääkkeelle myönnetyn todistuksen</w:t>
      </w:r>
      <w:r w:rsidR="0017454C" w:rsidRPr="006A576B">
        <w:rPr>
          <w:szCs w:val="24"/>
          <w:lang w:eastAsia="en-US"/>
        </w:rPr>
        <w:t xml:space="preserve"> </w:t>
      </w:r>
      <w:r w:rsidRPr="006A576B">
        <w:rPr>
          <w:szCs w:val="24"/>
          <w:lang w:eastAsia="en-US"/>
        </w:rPr>
        <w:t>voimassaoloajan jatkamisen peruuttaminen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Voimassaoloajan jatkaminen voidaan peruuttaa, jos se on myönnetty asetuksen (EY) N:o 1901/2006 36 artiklan</w:t>
      </w:r>
      <w:r w:rsidR="0017454C" w:rsidRPr="006A576B">
        <w:rPr>
          <w:szCs w:val="24"/>
          <w:lang w:eastAsia="en-US"/>
        </w:rPr>
        <w:t xml:space="preserve"> </w:t>
      </w:r>
      <w:r w:rsidRPr="006A576B">
        <w:rPr>
          <w:szCs w:val="24"/>
          <w:lang w:eastAsia="en-US"/>
        </w:rPr>
        <w:t>vastaisesti.</w:t>
      </w:r>
    </w:p>
    <w:p w:rsidR="00AD600E" w:rsidRPr="006A576B" w:rsidRDefault="00AD600E" w:rsidP="00207001">
      <w:pPr>
        <w:widowControl/>
        <w:spacing w:before="120" w:after="120" w:line="360" w:lineRule="auto"/>
        <w:ind w:left="850" w:hanging="850"/>
        <w:rPr>
          <w:b/>
          <w:szCs w:val="24"/>
          <w:lang w:eastAsia="en-US"/>
        </w:rPr>
      </w:pPr>
      <w:r w:rsidRPr="006A576B">
        <w:rPr>
          <w:szCs w:val="24"/>
          <w:lang w:eastAsia="en-US"/>
        </w:rPr>
        <w:t>2.</w:t>
      </w:r>
      <w:r w:rsidRPr="006A576B">
        <w:rPr>
          <w:szCs w:val="24"/>
          <w:lang w:eastAsia="en-US"/>
        </w:rPr>
        <w:tab/>
        <w:t>Kuka tahansa voi jättää</w:t>
      </w:r>
      <w:r w:rsidR="0017454C" w:rsidRPr="006A576B">
        <w:rPr>
          <w:szCs w:val="24"/>
          <w:lang w:eastAsia="en-US"/>
        </w:rPr>
        <w:t xml:space="preserve"> </w:t>
      </w:r>
      <w:r w:rsidRPr="006A576B">
        <w:rPr>
          <w:szCs w:val="24"/>
          <w:lang w:eastAsia="en-US"/>
        </w:rPr>
        <w:t>tämän luvun mukaisesti myönnetyn</w:t>
      </w:r>
      <w:r w:rsidR="0017454C" w:rsidRPr="006A576B">
        <w:rPr>
          <w:szCs w:val="24"/>
          <w:lang w:eastAsia="en-US"/>
        </w:rPr>
        <w:t xml:space="preserve"> </w:t>
      </w:r>
      <w:r w:rsidRPr="006A576B">
        <w:rPr>
          <w:szCs w:val="24"/>
          <w:lang w:eastAsia="en-US"/>
        </w:rPr>
        <w:t>voimassaoloajan jatkamisen peruuttamista koskevan hakemuksen sille elimelle, joka kansallisen lainsäädännön nojalla on toimivaltainen kumoamaan vastaavan peruspatentin</w:t>
      </w:r>
      <w:r w:rsidRPr="006A576B">
        <w:rPr>
          <w:b/>
          <w:i/>
          <w:szCs w:val="24"/>
          <w:lang w:eastAsia="en-US"/>
        </w:rPr>
        <w:t>, tai jäsenvaltion toimivaltaiselle tuomioistuimelle</w:t>
      </w:r>
      <w:r w:rsidRPr="006A576B">
        <w:rPr>
          <w:szCs w:val="24"/>
          <w:lang w:eastAsia="en-US"/>
        </w:rPr>
        <w:t>.</w:t>
      </w:r>
      <w:r w:rsidR="000B1D75" w:rsidRPr="006A576B">
        <w:rPr>
          <w:b/>
          <w:szCs w:val="24"/>
          <w:lang w:eastAsia="en-US"/>
        </w:rPr>
        <w:t xml:space="preserve"> [tark. 28]</w:t>
      </w:r>
    </w:p>
    <w:p w:rsidR="00AD600E" w:rsidRPr="006A576B" w:rsidRDefault="00AD600E" w:rsidP="00207001">
      <w:pPr>
        <w:widowControl/>
        <w:spacing w:before="120" w:after="120" w:line="360" w:lineRule="auto"/>
        <w:jc w:val="center"/>
        <w:rPr>
          <w:szCs w:val="24"/>
          <w:lang w:eastAsia="en-US"/>
        </w:rPr>
      </w:pPr>
      <w:r w:rsidRPr="006A576B">
        <w:rPr>
          <w:szCs w:val="24"/>
          <w:lang w:eastAsia="en-US"/>
        </w:rPr>
        <w:t>17 artikla</w:t>
      </w:r>
      <w:r w:rsidRPr="006A576B">
        <w:rPr>
          <w:szCs w:val="24"/>
          <w:lang w:eastAsia="en-US"/>
        </w:rPr>
        <w:br/>
        <w:t>Raukeamisen tai mitättömyyden julkaiseminen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Jos todistus raukeaa 14 artiklan b, c tai d alakohdan mukaisesti tai on 15 artiklan mukaisesti mitätön, 9 artiklan 1 kohdassa tarkoitetun viranomaisen on julkaistava siitä ilmoitus.</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w:t>
      </w:r>
      <w:r w:rsidRPr="006A576B">
        <w:rPr>
          <w:szCs w:val="24"/>
          <w:lang w:eastAsia="en-US"/>
        </w:rPr>
        <w:tab/>
        <w:t>Jos voimassaoloajan jatkaminen peruutetaan 16 artiklan mukaisesti, 9 artiklan 1 kohdassa tarkoitetun viranomaisen on julkaistava siitä ilmoitus.</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18 artikla</w:t>
      </w:r>
      <w:r w:rsidRPr="006A576B">
        <w:rPr>
          <w:szCs w:val="24"/>
          <w:lang w:eastAsia="en-US"/>
        </w:rPr>
        <w:br/>
        <w:t>Muutoksenhaku</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Edellä 9 artiklan 1 kohdassa tarkoitetun viranomaisen tai 15 artiklan 2 kohdassa ja 16 artiklan 2 kohdassa tarkoitettujen elinten tämän</w:t>
      </w:r>
      <w:r w:rsidR="0017454C" w:rsidRPr="006A576B">
        <w:rPr>
          <w:szCs w:val="24"/>
          <w:lang w:eastAsia="en-US"/>
        </w:rPr>
        <w:t xml:space="preserve"> </w:t>
      </w:r>
      <w:r w:rsidRPr="006A576B">
        <w:rPr>
          <w:szCs w:val="24"/>
          <w:lang w:eastAsia="en-US"/>
        </w:rPr>
        <w:t>luvun nojalla tekemiin päätöksiin voi hakea muutosta samalla tavalla kuin kansallisen lainsäädännön mukaisissa vastaavanlaisissa päätöksissä, jotka koskevat kansallisia patentteja.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w:t>
      </w:r>
      <w:r w:rsidRPr="006A576B">
        <w:rPr>
          <w:szCs w:val="24"/>
          <w:lang w:eastAsia="en-US"/>
        </w:rPr>
        <w:tab/>
        <w:t>Todistuksen myöntämispäätökseen voidaan hakea muutosta todistuksen voimassaoloajan oikaisemiseksi, silloin kun 8 artiklan mukaisessa todistushakemuksessa oleva ensimmäisen unionissa markkinoille saattamista koskevan luvan päivämäärä on virheellinen.</w:t>
      </w:r>
    </w:p>
    <w:p w:rsidR="00AD600E" w:rsidRPr="006A576B" w:rsidRDefault="00AD600E" w:rsidP="00207001">
      <w:pPr>
        <w:widowControl/>
        <w:spacing w:before="120" w:after="120" w:line="360" w:lineRule="auto"/>
        <w:ind w:left="850" w:hanging="850"/>
        <w:rPr>
          <w:b/>
          <w:szCs w:val="24"/>
          <w:lang w:eastAsia="en-US"/>
        </w:rPr>
      </w:pPr>
      <w:r w:rsidRPr="006A576B">
        <w:rPr>
          <w:b/>
          <w:i/>
          <w:szCs w:val="24"/>
          <w:lang w:eastAsia="en-US"/>
        </w:rPr>
        <w:t>2</w:t>
      </w:r>
      <w:r w:rsidR="000B1D75" w:rsidRPr="006A576B">
        <w:rPr>
          <w:b/>
          <w:i/>
          <w:szCs w:val="24"/>
          <w:lang w:eastAsia="en-US"/>
        </w:rPr>
        <w:t xml:space="preserve"> </w:t>
      </w:r>
      <w:r w:rsidRPr="006A576B">
        <w:rPr>
          <w:b/>
          <w:i/>
          <w:szCs w:val="24"/>
          <w:lang w:eastAsia="en-US"/>
        </w:rPr>
        <w:t>a.</w:t>
      </w:r>
      <w:r w:rsidRPr="006A576B">
        <w:rPr>
          <w:szCs w:val="24"/>
          <w:lang w:eastAsia="en-US"/>
        </w:rPr>
        <w:tab/>
      </w:r>
      <w:r w:rsidRPr="006A576B">
        <w:rPr>
          <w:b/>
          <w:i/>
          <w:szCs w:val="24"/>
          <w:lang w:eastAsia="en-US"/>
        </w:rPr>
        <w:t>On varmistettava, että koko muutoksenhakumenettely on täysin avoin, ja sen on oltava julkinen aina kun se on mahdollista.</w:t>
      </w:r>
      <w:r w:rsidR="000B1D75" w:rsidRPr="006A576B">
        <w:rPr>
          <w:b/>
          <w:szCs w:val="24"/>
          <w:lang w:eastAsia="en-US"/>
        </w:rPr>
        <w:t xml:space="preserve"> [tark. 29]</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19 artikla</w:t>
      </w:r>
      <w:r w:rsidRPr="006A576B">
        <w:rPr>
          <w:szCs w:val="24"/>
          <w:lang w:eastAsia="en-US"/>
        </w:rPr>
        <w:br/>
        <w:t>Menettelytapa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Jos asiaa koskevia menettelytapasäännöksiä ei ole tässä asetuksessa, todistukseen sovelletaan kansallisen lainsäädännön nojalla vastaavaan peruspatenttiin sovellettavia menettelytapasäännöksiä, jollei kansallisessa lainsäädännössä säädetä erityisistä menettelytapasäännöksistä todistuksia varten.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w:t>
      </w:r>
      <w:r w:rsidRPr="006A576B">
        <w:rPr>
          <w:szCs w:val="24"/>
          <w:lang w:eastAsia="en-US"/>
        </w:rPr>
        <w:tab/>
        <w:t>Sen estämättä, mitä 1 kohdassa säädetään, todistuksen antamista vastaan ei voi tehdä väitettä.</w:t>
      </w:r>
    </w:p>
    <w:p w:rsidR="00AD600E" w:rsidRPr="006A576B" w:rsidRDefault="00AD600E" w:rsidP="00207001">
      <w:pPr>
        <w:widowControl/>
        <w:spacing w:before="120" w:after="120" w:line="360" w:lineRule="auto"/>
        <w:jc w:val="center"/>
        <w:rPr>
          <w:szCs w:val="24"/>
          <w:lang w:eastAsia="en-US"/>
        </w:rPr>
      </w:pPr>
      <w:r w:rsidRPr="006A576B">
        <w:rPr>
          <w:szCs w:val="24"/>
          <w:lang w:eastAsia="en-US"/>
        </w:rPr>
        <w:t>III luku</w:t>
      </w:r>
      <w:r w:rsidRPr="006A576B">
        <w:rPr>
          <w:szCs w:val="24"/>
          <w:lang w:eastAsia="en-US"/>
        </w:rPr>
        <w:br/>
        <w:t>Todistuksia koskeva keskitetty menettely</w:t>
      </w:r>
    </w:p>
    <w:p w:rsidR="00AD600E" w:rsidRPr="006A576B" w:rsidRDefault="00AD600E" w:rsidP="00207001">
      <w:pPr>
        <w:widowControl/>
        <w:spacing w:before="120" w:after="120" w:line="360" w:lineRule="auto"/>
        <w:jc w:val="center"/>
        <w:rPr>
          <w:szCs w:val="24"/>
          <w:lang w:eastAsia="en-US"/>
        </w:rPr>
      </w:pPr>
      <w:r w:rsidRPr="006A576B">
        <w:rPr>
          <w:szCs w:val="24"/>
          <w:lang w:eastAsia="en-US"/>
        </w:rPr>
        <w:t>20 artikla</w:t>
      </w:r>
      <w:r w:rsidRPr="006A576B">
        <w:rPr>
          <w:szCs w:val="24"/>
          <w:lang w:eastAsia="en-US"/>
        </w:rPr>
        <w:br/>
        <w:t>Keskitetyn hakemuksen soveltamisala</w:t>
      </w:r>
    </w:p>
    <w:p w:rsidR="00AD600E" w:rsidRPr="006A576B" w:rsidRDefault="00AD600E" w:rsidP="00207001">
      <w:pPr>
        <w:widowControl/>
        <w:spacing w:before="120" w:after="120" w:line="360" w:lineRule="auto"/>
        <w:ind w:left="850" w:hanging="850"/>
        <w:rPr>
          <w:b/>
          <w:szCs w:val="24"/>
          <w:lang w:eastAsia="en-US"/>
        </w:rPr>
      </w:pPr>
      <w:r w:rsidRPr="006A576B">
        <w:rPr>
          <w:szCs w:val="24"/>
          <w:lang w:eastAsia="en-US"/>
        </w:rPr>
        <w:t>1.</w:t>
      </w:r>
      <w:r w:rsidRPr="006A576B">
        <w:rPr>
          <w:szCs w:val="24"/>
          <w:lang w:eastAsia="en-US"/>
        </w:rPr>
        <w:tab/>
        <w:t>Jos peruspatentti on eurooppapatentti, mukaan lukien yhtenäispatentti, ja tuotteen markkinoille saattamista koskeva lupa on</w:t>
      </w:r>
      <w:r w:rsidRPr="006A576B">
        <w:rPr>
          <w:b/>
          <w:i/>
          <w:szCs w:val="24"/>
          <w:lang w:eastAsia="en-US"/>
        </w:rPr>
        <w:t>, niiltä osin kuin se on tarpeen,</w:t>
      </w:r>
      <w:r w:rsidRPr="006A576B">
        <w:rPr>
          <w:szCs w:val="24"/>
          <w:lang w:eastAsia="en-US"/>
        </w:rPr>
        <w:t xml:space="preserve"> myönnetty</w:t>
      </w:r>
      <w:r w:rsidRPr="006A576B">
        <w:rPr>
          <w:b/>
          <w:i/>
          <w:szCs w:val="24"/>
          <w:lang w:eastAsia="en-US"/>
        </w:rPr>
        <w:t xml:space="preserve"> direktiivin (EU) .../...[2023/0132(COD)] mukaisesti,</w:t>
      </w:r>
      <w:r w:rsidRPr="006A576B">
        <w:rPr>
          <w:szCs w:val="24"/>
          <w:lang w:eastAsia="en-US"/>
        </w:rPr>
        <w:t xml:space="preserve"> asetuksen (EY) N:o 726/2004 tai asetuksen (EU) 2019/6 mukaisessa keskitetyssä menettelyssä, sovelletaan tässä luvussa säädettyä menettelyä.</w:t>
      </w:r>
      <w:r w:rsidR="000B1D75" w:rsidRPr="006A576B">
        <w:rPr>
          <w:b/>
          <w:szCs w:val="24"/>
          <w:lang w:eastAsia="en-US"/>
        </w:rPr>
        <w:t xml:space="preserve"> [tark. 30]</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2.</w:t>
      </w:r>
      <w:r w:rsidRPr="006A576B">
        <w:rPr>
          <w:szCs w:val="24"/>
          <w:lang w:eastAsia="en-US"/>
        </w:rPr>
        <w:tab/>
        <w:t>Jos 1 kohdassa säädetyt edellytykset täyttyvät, samaa tuotetta koskevien kansallisten hakemusten tekeminen on kiellettyä niissä jäsenvaltioissa, joissa kyseinen peruspatentti on voimassa.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3.</w:t>
      </w:r>
      <w:r w:rsidRPr="006A576B">
        <w:rPr>
          <w:szCs w:val="24"/>
          <w:lang w:eastAsia="en-US"/>
        </w:rPr>
        <w:tab/>
        <w:t>Keskitetty hakemus jätetään asetuksen (EU) 2017/1001 2 artiklalla perustetulle Euroopan unionin teollisoikeuksien virastolle, jäljempänä ’virasto’.</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4.</w:t>
      </w:r>
      <w:r w:rsidRPr="006A576B">
        <w:rPr>
          <w:szCs w:val="24"/>
          <w:lang w:eastAsia="en-US"/>
        </w:rPr>
        <w:tab/>
        <w:t>Keskitettyihin hakemuksiin sovelletaan 1–7 ja 13–18 artiklaa.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5.</w:t>
      </w:r>
      <w:r w:rsidRPr="006A576B">
        <w:rPr>
          <w:szCs w:val="24"/>
          <w:lang w:eastAsia="en-US"/>
        </w:rPr>
        <w:tab/>
        <w:t>Keskitetyn hakemuksen jättämisessä käytetään erityistä hakulomaketta.</w:t>
      </w:r>
    </w:p>
    <w:p w:rsidR="00AD600E" w:rsidRPr="006A576B" w:rsidRDefault="00AD600E" w:rsidP="00207001">
      <w:pPr>
        <w:widowControl/>
        <w:spacing w:before="120" w:after="120" w:line="360" w:lineRule="auto"/>
        <w:ind w:left="850"/>
        <w:rPr>
          <w:szCs w:val="24"/>
          <w:lang w:eastAsia="en-US"/>
        </w:rPr>
      </w:pPr>
      <w:r w:rsidRPr="006A576B">
        <w:rPr>
          <w:szCs w:val="24"/>
          <w:lang w:eastAsia="en-US"/>
        </w:rPr>
        <w:t>Siirretään komissiolle valta antaa täytäntöönpanosäädöksiä, joissa vahvistetaan keskitetyn hakemuksen jättämisessä käytettävää hakulomaketta koskevat säännöt. Nämä täytäntöönpanosäädökset hyväksytään 56 artiklassa tarkoitettua tarkastelumenettelyä noudattaen.</w:t>
      </w:r>
    </w:p>
    <w:p w:rsidR="00D2607E" w:rsidRPr="006A576B" w:rsidRDefault="00D2607E">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21 artikla</w:t>
      </w:r>
      <w:r w:rsidRPr="006A576B">
        <w:rPr>
          <w:szCs w:val="24"/>
          <w:lang w:eastAsia="en-US"/>
        </w:rPr>
        <w:br/>
        <w:t xml:space="preserve">Keskitetyn hakemuksen sisältö </w:t>
      </w:r>
    </w:p>
    <w:p w:rsidR="00AD600E" w:rsidRPr="006A576B" w:rsidRDefault="00AD600E" w:rsidP="00207001">
      <w:pPr>
        <w:widowControl/>
        <w:spacing w:before="120" w:after="120" w:line="360" w:lineRule="auto"/>
        <w:rPr>
          <w:szCs w:val="24"/>
          <w:lang w:eastAsia="en-US"/>
        </w:rPr>
      </w:pPr>
      <w:r w:rsidRPr="006A576B">
        <w:rPr>
          <w:szCs w:val="24"/>
          <w:lang w:eastAsia="en-US"/>
        </w:rPr>
        <w:t>Keskitetyssä hakemuksessa on oltava seuraavat tiedot:</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a)</w:t>
      </w:r>
      <w:r w:rsidRPr="006A576B">
        <w:rPr>
          <w:szCs w:val="24"/>
          <w:lang w:eastAsia="en-US"/>
        </w:rPr>
        <w:tab/>
        <w:t>nimetyt jäsenvaltiot, joiden osalta todistuksia haetaan keskitetyssä menettelyssä;</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b)</w:t>
      </w:r>
      <w:r w:rsidRPr="006A576B">
        <w:rPr>
          <w:szCs w:val="24"/>
          <w:lang w:eastAsia="en-US"/>
        </w:rPr>
        <w:tab/>
        <w:t>8 artiklan 1 kohdassa tarkoitetut tiedot.</w:t>
      </w:r>
    </w:p>
    <w:p w:rsidR="00AD600E" w:rsidRPr="006A576B" w:rsidRDefault="00AD600E" w:rsidP="00207001">
      <w:pPr>
        <w:widowControl/>
        <w:spacing w:before="120" w:after="120" w:line="360" w:lineRule="auto"/>
        <w:jc w:val="center"/>
        <w:rPr>
          <w:szCs w:val="24"/>
          <w:lang w:eastAsia="en-US"/>
        </w:rPr>
      </w:pPr>
      <w:r w:rsidRPr="006A576B">
        <w:rPr>
          <w:szCs w:val="24"/>
          <w:lang w:eastAsia="en-US"/>
        </w:rPr>
        <w:t>22 artikla</w:t>
      </w:r>
      <w:r w:rsidRPr="006A576B">
        <w:rPr>
          <w:szCs w:val="24"/>
          <w:lang w:eastAsia="en-US"/>
        </w:rPr>
        <w:br/>
        <w:t>Keskitetyn hakemuksen tutkittavaksi ottamisen edellytysten tutkiminen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Virasto tutkii seuraavat seikat:</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a)</w:t>
      </w:r>
      <w:r w:rsidRPr="006A576B">
        <w:rPr>
          <w:szCs w:val="24"/>
          <w:lang w:eastAsia="en-US"/>
        </w:rPr>
        <w:tab/>
        <w:t>onko keskitetty hakemus 21 artiklan mukainen;</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b)</w:t>
      </w:r>
      <w:r w:rsidRPr="006A576B">
        <w:rPr>
          <w:szCs w:val="24"/>
          <w:lang w:eastAsia="en-US"/>
        </w:rPr>
        <w:tab/>
        <w:t>onko keskitetty hakemus 7 artiklan mukainen;</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c)</w:t>
      </w:r>
      <w:r w:rsidRPr="006A576B">
        <w:rPr>
          <w:szCs w:val="24"/>
          <w:lang w:eastAsia="en-US"/>
        </w:rPr>
        <w:tab/>
        <w:t>onko 34 artiklan 1 kohdassa tarkoitettu hakemusmaksu maksettu asetetussa määräajassa.</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2.</w:t>
      </w:r>
      <w:r w:rsidRPr="006A576B">
        <w:rPr>
          <w:szCs w:val="24"/>
          <w:lang w:eastAsia="en-US"/>
        </w:rPr>
        <w:tab/>
        <w:t>Jos keskitetty hakemus ei täytä 1 kohdassa tarkoitettuja vaatimuksia, virasto pyytää hakijaa toteuttamaan tarvittavat toimenpiteet näiden vaatimusten täyttämiseksi ja asettaa tällaiselle vaatimusten noudattamiselle määräajan.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3.</w:t>
      </w:r>
      <w:r w:rsidRPr="006A576B">
        <w:rPr>
          <w:szCs w:val="24"/>
          <w:lang w:eastAsia="en-US"/>
        </w:rPr>
        <w:tab/>
        <w:t>Jos 1 kohdan c alakohdassa tarkoitettua maksua ei ole maksettu tai sitä ei ole maksettu kokonaan, virasto ilmoittaa tästä hakijalle.</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4.</w:t>
      </w:r>
      <w:r w:rsidRPr="006A576B">
        <w:rPr>
          <w:szCs w:val="24"/>
          <w:lang w:eastAsia="en-US"/>
        </w:rPr>
        <w:tab/>
        <w:t>Jos hakija ei täytä 1 kohdassa tarkoitettuja vaatimuksia 2 kohdassa tarkoitetussa määräajassa, virasto hylkää hakemuksen.</w:t>
      </w:r>
    </w:p>
    <w:p w:rsidR="00AD600E" w:rsidRPr="006A576B" w:rsidRDefault="00AD600E" w:rsidP="00207001">
      <w:pPr>
        <w:widowControl/>
        <w:spacing w:before="120" w:after="120" w:line="360" w:lineRule="auto"/>
        <w:jc w:val="center"/>
        <w:rPr>
          <w:szCs w:val="24"/>
          <w:lang w:eastAsia="en-US"/>
        </w:rPr>
      </w:pPr>
      <w:r w:rsidRPr="006A576B">
        <w:rPr>
          <w:szCs w:val="24"/>
          <w:lang w:eastAsia="en-US"/>
        </w:rPr>
        <w:t>23 artikla</w:t>
      </w:r>
      <w:r w:rsidRPr="006A576B">
        <w:rPr>
          <w:szCs w:val="24"/>
          <w:lang w:eastAsia="en-US"/>
        </w:rPr>
        <w:br/>
        <w:t>Keskitetyn hakemuksen julkaiseminen</w:t>
      </w:r>
    </w:p>
    <w:p w:rsidR="00AD600E" w:rsidRPr="006A576B" w:rsidRDefault="00AD600E" w:rsidP="00207001">
      <w:pPr>
        <w:widowControl/>
        <w:spacing w:before="120" w:after="120" w:line="360" w:lineRule="auto"/>
        <w:rPr>
          <w:b/>
          <w:szCs w:val="24"/>
          <w:lang w:eastAsia="en-US"/>
        </w:rPr>
      </w:pPr>
      <w:r w:rsidRPr="006A576B">
        <w:rPr>
          <w:szCs w:val="24"/>
          <w:lang w:eastAsia="en-US"/>
        </w:rPr>
        <w:t>Jos keskitetty hakemus on 22 artiklan mukainen tai todistusten voimassaoloajan jatkamista koskeva hakemus on 33 artiklan 2 kohdan mukainen, virasto julkaisee hakemuksen rekisterissä ilman aiheetonta viivytystä</w:t>
      </w:r>
      <w:r w:rsidRPr="006A576B">
        <w:rPr>
          <w:b/>
          <w:i/>
          <w:szCs w:val="24"/>
          <w:lang w:eastAsia="en-US"/>
        </w:rPr>
        <w:t xml:space="preserve"> ja viimeistään viiden työpäivän kuluttua</w:t>
      </w:r>
      <w:r w:rsidRPr="006A576B">
        <w:rPr>
          <w:szCs w:val="24"/>
          <w:lang w:eastAsia="en-US"/>
        </w:rPr>
        <w:t>.</w:t>
      </w:r>
      <w:r w:rsidR="000B1D75" w:rsidRPr="006A576B">
        <w:rPr>
          <w:b/>
          <w:szCs w:val="24"/>
          <w:lang w:eastAsia="en-US"/>
        </w:rPr>
        <w:t xml:space="preserve"> [tark. 31]</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24 artikla</w:t>
      </w:r>
      <w:r w:rsidRPr="006A576B">
        <w:rPr>
          <w:szCs w:val="24"/>
          <w:lang w:eastAsia="en-US"/>
        </w:rPr>
        <w:br/>
        <w:t>Keskitetyn hakemuksen tutkiminen</w:t>
      </w:r>
    </w:p>
    <w:p w:rsidR="00AD600E" w:rsidRPr="006A576B" w:rsidRDefault="00AD600E" w:rsidP="00207001">
      <w:pPr>
        <w:widowControl/>
        <w:spacing w:before="120" w:after="120" w:line="360" w:lineRule="auto"/>
        <w:ind w:left="850" w:hanging="850"/>
        <w:rPr>
          <w:b/>
          <w:szCs w:val="24"/>
          <w:lang w:eastAsia="en-US"/>
        </w:rPr>
      </w:pPr>
      <w:r w:rsidRPr="006A576B">
        <w:rPr>
          <w:szCs w:val="24"/>
          <w:lang w:eastAsia="en-US"/>
        </w:rPr>
        <w:t>1.</w:t>
      </w:r>
      <w:r w:rsidRPr="006A576B">
        <w:rPr>
          <w:szCs w:val="24"/>
          <w:lang w:eastAsia="en-US"/>
        </w:rPr>
        <w:tab/>
        <w:t>Virasto arvioi hakemuksen 3 artiklan 1</w:t>
      </w:r>
      <w:r w:rsidRPr="006A576B">
        <w:rPr>
          <w:b/>
          <w:i/>
          <w:szCs w:val="24"/>
          <w:lang w:eastAsia="en-US"/>
        </w:rPr>
        <w:t xml:space="preserve"> ja 3 kohdassa ja 6 artiklan 2</w:t>
      </w:r>
      <w:r w:rsidRPr="006A576B">
        <w:rPr>
          <w:szCs w:val="24"/>
          <w:lang w:eastAsia="en-US"/>
        </w:rPr>
        <w:t xml:space="preserve"> kohdassa säädettyjen kaikkien edellytysten perusteella kunkin nimetyn jäsenvaltion osalta.</w:t>
      </w:r>
      <w:r w:rsidR="000B1D75" w:rsidRPr="006A576B">
        <w:rPr>
          <w:b/>
          <w:szCs w:val="24"/>
          <w:lang w:eastAsia="en-US"/>
        </w:rPr>
        <w:t xml:space="preserve"> [tark. 32]</w:t>
      </w:r>
    </w:p>
    <w:p w:rsidR="00AD600E" w:rsidRPr="006A576B" w:rsidRDefault="00AD600E" w:rsidP="00207001">
      <w:pPr>
        <w:widowControl/>
        <w:spacing w:before="120" w:after="120" w:line="360" w:lineRule="auto"/>
        <w:ind w:left="850" w:hanging="850"/>
        <w:rPr>
          <w:b/>
          <w:szCs w:val="24"/>
          <w:lang w:eastAsia="en-US"/>
        </w:rPr>
      </w:pPr>
      <w:r w:rsidRPr="006A576B">
        <w:rPr>
          <w:szCs w:val="24"/>
          <w:lang w:eastAsia="en-US"/>
        </w:rPr>
        <w:t>2.</w:t>
      </w:r>
      <w:r w:rsidRPr="006A576B">
        <w:rPr>
          <w:szCs w:val="24"/>
          <w:lang w:eastAsia="en-US"/>
        </w:rPr>
        <w:tab/>
        <w:t>Jos todistusta koskeva keskitetty hakemus ja tuote, jota todistus koskee, ovat 3 artiklan 1</w:t>
      </w:r>
      <w:r w:rsidRPr="006A576B">
        <w:rPr>
          <w:b/>
          <w:i/>
          <w:szCs w:val="24"/>
          <w:lang w:eastAsia="en-US"/>
        </w:rPr>
        <w:t xml:space="preserve"> ja 3 kohdan ja 6 artiklan 2</w:t>
      </w:r>
      <w:r w:rsidRPr="006A576B">
        <w:rPr>
          <w:szCs w:val="24"/>
          <w:lang w:eastAsia="en-US"/>
        </w:rPr>
        <w:t xml:space="preserve"> kohdan mukaisia kaikkien tai joidenkin nimettyjen jäsenvaltioiden osalta, virasto antaa kyseisiä jäsenvaltioita koskevan perustellun myönteisen tutkimuslausunnon. Virasto antaa lausunnon tiedoksi hakijalle</w:t>
      </w:r>
      <w:r w:rsidRPr="006A576B">
        <w:rPr>
          <w:b/>
          <w:i/>
          <w:szCs w:val="24"/>
          <w:lang w:eastAsia="en-US"/>
        </w:rPr>
        <w:t xml:space="preserve"> ja julkaisee lausunnon tätä varten varatussa rekisterissä ilman aiheetonta viivytystä</w:t>
      </w:r>
      <w:r w:rsidRPr="006A576B">
        <w:rPr>
          <w:szCs w:val="24"/>
          <w:lang w:eastAsia="en-US"/>
        </w:rPr>
        <w:t>.</w:t>
      </w:r>
      <w:r w:rsidR="000B1D75" w:rsidRPr="006A576B">
        <w:rPr>
          <w:b/>
          <w:szCs w:val="24"/>
          <w:lang w:eastAsia="en-US"/>
        </w:rPr>
        <w:t xml:space="preserve"> [tark. 33]</w:t>
      </w:r>
    </w:p>
    <w:p w:rsidR="00AD600E" w:rsidRPr="006A576B" w:rsidRDefault="00AD600E" w:rsidP="00207001">
      <w:pPr>
        <w:widowControl/>
        <w:spacing w:before="120" w:after="120" w:line="360" w:lineRule="auto"/>
        <w:ind w:left="850" w:hanging="850"/>
        <w:rPr>
          <w:b/>
          <w:szCs w:val="24"/>
          <w:lang w:eastAsia="en-US"/>
        </w:rPr>
      </w:pPr>
      <w:r w:rsidRPr="006A576B">
        <w:rPr>
          <w:szCs w:val="24"/>
          <w:lang w:eastAsia="en-US"/>
        </w:rPr>
        <w:t>3.</w:t>
      </w:r>
      <w:r w:rsidRPr="006A576B">
        <w:rPr>
          <w:szCs w:val="24"/>
          <w:lang w:eastAsia="en-US"/>
        </w:rPr>
        <w:tab/>
        <w:t>Jos todistusta koskeva keskitetty hakemus ja tuote, jota todistus koskee, eivät ole 3 artiklan 1</w:t>
      </w:r>
      <w:r w:rsidRPr="006A576B">
        <w:rPr>
          <w:b/>
          <w:i/>
          <w:szCs w:val="24"/>
          <w:lang w:eastAsia="en-US"/>
        </w:rPr>
        <w:t xml:space="preserve"> ja 3 kohdan ja 6 artiklan 2</w:t>
      </w:r>
      <w:r w:rsidRPr="006A576B">
        <w:rPr>
          <w:szCs w:val="24"/>
          <w:lang w:eastAsia="en-US"/>
        </w:rPr>
        <w:t xml:space="preserve"> kohdan mukaisia kaikkien tai joidenkin nimettyjen jäsenvaltioiden osalta, virasto antaa kyseisiä jäsenvaltioita koskevan perustellun kielteisen tutkimuslausunnon. Virasto antaa lausunnon tiedoksi hakijalle</w:t>
      </w:r>
      <w:r w:rsidRPr="006A576B">
        <w:rPr>
          <w:b/>
          <w:i/>
          <w:szCs w:val="24"/>
          <w:lang w:eastAsia="en-US"/>
        </w:rPr>
        <w:t xml:space="preserve"> ja julkaisee lausunnon tätä varten varatussa rekisterissä ilman aiheetonta viivytystä</w:t>
      </w:r>
      <w:r w:rsidRPr="006A576B">
        <w:rPr>
          <w:szCs w:val="24"/>
          <w:lang w:eastAsia="en-US"/>
        </w:rPr>
        <w:t>.</w:t>
      </w:r>
      <w:r w:rsidR="000B1D75" w:rsidRPr="006A576B">
        <w:rPr>
          <w:b/>
          <w:szCs w:val="24"/>
          <w:lang w:eastAsia="en-US"/>
        </w:rPr>
        <w:t xml:space="preserve"> [tark. 34]</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4.</w:t>
      </w:r>
      <w:r w:rsidRPr="006A576B">
        <w:rPr>
          <w:szCs w:val="24"/>
          <w:lang w:eastAsia="en-US"/>
        </w:rPr>
        <w:tab/>
        <w:t>Virasto kääntää tutkimuslausunnon kaikkien nimettyjen jäsenvaltioiden virallisille kielille. Virasto voi käyttää tähän tarkistettuja konekäännöksiä.</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5.</w:t>
      </w:r>
      <w:r w:rsidRPr="006A576B">
        <w:rPr>
          <w:szCs w:val="24"/>
          <w:lang w:eastAsia="en-US"/>
        </w:rPr>
        <w:tab/>
        <w:t>Siirretään komissiolle valta antaa täytäntöönpanosäädöksiä, joissa vahvistetaan säännöt hakemusten jättämismenettelyille ja menettelyt, joiden mukaisesti tutkimuslautakunnat tutkivat keskitetyt hakemukset ja valmistelevat tutkimuslausunnot, sekä viraston tutkimuslausuntojen antamista koskevat säännöt. Nämä täytäntöönpanosäädökset hyväksytään 56 artiklassa tarkoitettua tarkastelumenettelyä noudattaen.</w:t>
      </w:r>
    </w:p>
    <w:p w:rsidR="00AD600E" w:rsidRPr="006A576B" w:rsidRDefault="00AD600E" w:rsidP="00207001">
      <w:pPr>
        <w:widowControl/>
        <w:spacing w:before="120" w:after="120" w:line="360" w:lineRule="auto"/>
        <w:ind w:left="850" w:hanging="850"/>
        <w:rPr>
          <w:b/>
          <w:szCs w:val="24"/>
          <w:lang w:eastAsia="en-US"/>
        </w:rPr>
      </w:pPr>
      <w:r w:rsidRPr="006A576B">
        <w:rPr>
          <w:b/>
          <w:i/>
          <w:szCs w:val="24"/>
          <w:lang w:eastAsia="en-US"/>
        </w:rPr>
        <w:t>5</w:t>
      </w:r>
      <w:r w:rsidR="000B1D75" w:rsidRPr="006A576B">
        <w:rPr>
          <w:b/>
          <w:i/>
          <w:szCs w:val="24"/>
          <w:lang w:eastAsia="en-US"/>
        </w:rPr>
        <w:t xml:space="preserve"> </w:t>
      </w:r>
      <w:r w:rsidRPr="006A576B">
        <w:rPr>
          <w:b/>
          <w:i/>
          <w:szCs w:val="24"/>
          <w:lang w:eastAsia="en-US"/>
        </w:rPr>
        <w:t>a.</w:t>
      </w:r>
      <w:r w:rsidRPr="006A576B">
        <w:rPr>
          <w:szCs w:val="24"/>
          <w:lang w:eastAsia="en-US"/>
        </w:rPr>
        <w:tab/>
      </w:r>
      <w:r w:rsidRPr="006A576B">
        <w:rPr>
          <w:b/>
          <w:i/>
          <w:szCs w:val="24"/>
          <w:lang w:eastAsia="en-US"/>
        </w:rPr>
        <w:t>Viraston on hyväksyttävä tutkimuslausunto kuuden kuukauden kuluessa keskitetyn hakemuksen julkaisemisesta rekisterissä. Rajoittamatta tämän asetuksen 25, 26 ja 28 artiklan soveltamista hakija voi asianmukaisesti perustelluista syistä asian kiireellisyyden vuoksi pyytää sen käsittelyä nopeutetussa menettelyssä. Kun pyyntö nopeutetusta tutkimusmenettelystä katsotaan perustelluksi, viraston on annettava tutkimuslausunto neljän kuukauden kuluessa yhtenäistä todistusta koskevan hakemuksen julkaisemisesta.</w:t>
      </w:r>
      <w:r w:rsidR="000B1D75" w:rsidRPr="006A576B">
        <w:rPr>
          <w:b/>
          <w:szCs w:val="24"/>
          <w:lang w:eastAsia="en-US"/>
        </w:rPr>
        <w:t xml:space="preserve"> [tark. 35]</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25 artikla</w:t>
      </w:r>
      <w:r w:rsidRPr="006A576B">
        <w:rPr>
          <w:szCs w:val="24"/>
          <w:lang w:eastAsia="en-US"/>
        </w:rPr>
        <w:br/>
        <w:t>Kolmansien osapuolten huomautukset</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Luonnollinen henkilö tai oikeushenkilö voi esittää virastolle kirjallisia huomautuksia hakemuksen kohteena olevan tuotteen kelpoisuudesta saada lisäsuoja yhdessä tai useammassa hakemuksessa nimetyssä jäsenvaltiossa.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w:t>
      </w:r>
      <w:r w:rsidRPr="006A576B">
        <w:rPr>
          <w:szCs w:val="24"/>
          <w:lang w:eastAsia="en-US"/>
        </w:rPr>
        <w:tab/>
        <w:t>Luonnollinen henkilö tai oikeushenkilö, joka on toimittanut kirjallisia huomautuksia 1 kohdan mukaisesti, ei ole menettelyn osapuoli.</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3.</w:t>
      </w:r>
      <w:r w:rsidRPr="006A576B">
        <w:rPr>
          <w:szCs w:val="24"/>
          <w:lang w:eastAsia="en-US"/>
        </w:rPr>
        <w:tab/>
        <w:t>Kolmannen osapuolen huomautukset on toimitettava kolmen kuukauden kuluessa keskitetyn hakemuksen julkaisemisesta rekisterissä.</w:t>
      </w:r>
    </w:p>
    <w:p w:rsidR="00AD600E" w:rsidRPr="006A576B" w:rsidRDefault="00AD600E" w:rsidP="00207001">
      <w:pPr>
        <w:widowControl/>
        <w:spacing w:before="120" w:after="120" w:line="360" w:lineRule="auto"/>
        <w:ind w:left="850" w:hanging="850"/>
        <w:rPr>
          <w:b/>
          <w:szCs w:val="24"/>
          <w:lang w:eastAsia="en-US"/>
        </w:rPr>
      </w:pPr>
      <w:r w:rsidRPr="006A576B">
        <w:rPr>
          <w:b/>
          <w:i/>
          <w:szCs w:val="24"/>
          <w:lang w:eastAsia="en-US"/>
        </w:rPr>
        <w:t>3</w:t>
      </w:r>
      <w:r w:rsidR="000B1D75" w:rsidRPr="006A576B">
        <w:rPr>
          <w:b/>
          <w:i/>
          <w:szCs w:val="24"/>
          <w:lang w:eastAsia="en-US"/>
        </w:rPr>
        <w:t xml:space="preserve"> </w:t>
      </w:r>
      <w:r w:rsidRPr="006A576B">
        <w:rPr>
          <w:b/>
          <w:i/>
          <w:szCs w:val="24"/>
          <w:lang w:eastAsia="en-US"/>
        </w:rPr>
        <w:t>a.</w:t>
      </w:r>
      <w:r w:rsidRPr="006A576B">
        <w:rPr>
          <w:szCs w:val="24"/>
          <w:lang w:eastAsia="en-US"/>
        </w:rPr>
        <w:tab/>
      </w:r>
      <w:r w:rsidRPr="006A576B">
        <w:rPr>
          <w:b/>
          <w:i/>
          <w:szCs w:val="24"/>
          <w:lang w:eastAsia="en-US"/>
        </w:rPr>
        <w:t>Kun sovelletaan nopeutettua menettelyä 24 artiklan 5 a kohdan mukaisesti, huomautukset on toimitettava kuuden viikon kuluessa hakemuksen julkaisemisesta rekisterissä.</w:t>
      </w:r>
      <w:r w:rsidR="000B1D75" w:rsidRPr="006A576B">
        <w:rPr>
          <w:b/>
          <w:szCs w:val="24"/>
          <w:lang w:eastAsia="en-US"/>
        </w:rPr>
        <w:t xml:space="preserve"> [tark. 36]</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4.</w:t>
      </w:r>
      <w:r w:rsidRPr="006A576B">
        <w:rPr>
          <w:szCs w:val="24"/>
          <w:lang w:eastAsia="en-US"/>
        </w:rPr>
        <w:tab/>
        <w:t>Kolmannen osapuolen huomautukset on toimitettava kirjallisesti jollakin unionin virallisista kielistä ja niissä on esitettävä perustelut.</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5.</w:t>
      </w:r>
      <w:r w:rsidRPr="006A576B">
        <w:rPr>
          <w:szCs w:val="24"/>
          <w:lang w:eastAsia="en-US"/>
        </w:rPr>
        <w:tab/>
        <w:t>Kaikki kolmannen osapuolen huomautukset on annettava tiedoksi hakijalle. Hakija voi kommentoida huomautuksia viraston asettamassa määräajassa.</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26 artikla</w:t>
      </w:r>
      <w:r w:rsidRPr="006A576B">
        <w:rPr>
          <w:szCs w:val="24"/>
          <w:lang w:eastAsia="en-US"/>
        </w:rPr>
        <w:br/>
        <w:t>Väitemenettely</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Kahden kuukauden kuluessa keskitettyä hakemusta koskevan tutkimuslausunnon julkaisemisesta kuka tahansa henkilö, jäljempänä ’väitteen tekijä’, voi tehdä virastolle kyseistä lausuntoa koskevan väiteilmoituksen.</w:t>
      </w:r>
    </w:p>
    <w:p w:rsidR="00AD600E" w:rsidRPr="006A576B" w:rsidRDefault="00AD600E" w:rsidP="00207001">
      <w:pPr>
        <w:widowControl/>
        <w:spacing w:before="120" w:after="120" w:line="360" w:lineRule="auto"/>
        <w:ind w:left="850" w:hanging="850"/>
        <w:rPr>
          <w:b/>
          <w:szCs w:val="24"/>
          <w:lang w:eastAsia="en-US"/>
        </w:rPr>
      </w:pPr>
      <w:r w:rsidRPr="006A576B">
        <w:rPr>
          <w:szCs w:val="24"/>
          <w:lang w:eastAsia="en-US"/>
        </w:rPr>
        <w:t>2.</w:t>
      </w:r>
      <w:r w:rsidRPr="006A576B">
        <w:rPr>
          <w:szCs w:val="24"/>
          <w:lang w:eastAsia="en-US"/>
        </w:rPr>
        <w:tab/>
        <w:t>Väite voidaan tehdä ainoastaan sillä perusteella, että yksi tai useampi 3</w:t>
      </w:r>
      <w:r w:rsidRPr="006A576B">
        <w:rPr>
          <w:b/>
          <w:i/>
          <w:szCs w:val="24"/>
          <w:lang w:eastAsia="en-US"/>
        </w:rPr>
        <w:t xml:space="preserve"> tai 6</w:t>
      </w:r>
      <w:r w:rsidRPr="006A576B">
        <w:rPr>
          <w:szCs w:val="24"/>
          <w:lang w:eastAsia="en-US"/>
        </w:rPr>
        <w:t xml:space="preserve"> artiklassa säädetyistä edellytyksistä ei täyty yhden tai useamman nimetyn jäsenvaltion osalta.</w:t>
      </w:r>
      <w:r w:rsidR="000B1D75" w:rsidRPr="006A576B">
        <w:rPr>
          <w:b/>
          <w:szCs w:val="24"/>
          <w:lang w:eastAsia="en-US"/>
        </w:rPr>
        <w:t xml:space="preserve"> [tark. 37]</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3.</w:t>
      </w:r>
      <w:r w:rsidRPr="006A576B">
        <w:rPr>
          <w:szCs w:val="24"/>
          <w:lang w:eastAsia="en-US"/>
        </w:rPr>
        <w:tab/>
        <w:t>Väite on tehtävä kirjallisesti ja se on perusteltava. Se katsotaan tehdyksi vasta väitemaksun suorittamisen jälkeen.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4.</w:t>
      </w:r>
      <w:r w:rsidRPr="006A576B">
        <w:rPr>
          <w:szCs w:val="24"/>
          <w:lang w:eastAsia="en-US"/>
        </w:rPr>
        <w:tab/>
        <w:t>Väiteilmoituksessa on oltava</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a)</w:t>
      </w:r>
      <w:r w:rsidRPr="006A576B">
        <w:rPr>
          <w:szCs w:val="24"/>
          <w:lang w:eastAsia="en-US"/>
        </w:rPr>
        <w:tab/>
        <w:t>sen keskitetyn hakemuksen viitetiedot, jota vastaan väite on tehty, hakemuksen haltijan nimi ja tuotteen tunnistetiedot;</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b)</w:t>
      </w:r>
      <w:r w:rsidRPr="006A576B">
        <w:rPr>
          <w:szCs w:val="24"/>
          <w:lang w:eastAsia="en-US"/>
        </w:rPr>
        <w:tab/>
        <w:t>väitteen tekijän ja tarvittaessa tämän edustajan tiedot;</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c)</w:t>
      </w:r>
      <w:r w:rsidRPr="006A576B">
        <w:rPr>
          <w:szCs w:val="24"/>
          <w:lang w:eastAsia="en-US"/>
        </w:rPr>
        <w:tab/>
        <w:t>selvitys siitä, missä määrin tutkimuslausuntoa vastustetaan, ja perustelut, joihin väite perustuu.</w:t>
      </w:r>
    </w:p>
    <w:p w:rsidR="00AD600E" w:rsidRPr="006A576B" w:rsidRDefault="00AD600E" w:rsidP="00207001">
      <w:pPr>
        <w:widowControl/>
        <w:spacing w:before="120" w:after="120" w:line="360" w:lineRule="auto"/>
        <w:ind w:left="1416" w:hanging="566"/>
        <w:rPr>
          <w:b/>
          <w:szCs w:val="24"/>
          <w:lang w:eastAsia="en-US"/>
        </w:rPr>
      </w:pPr>
      <w:r w:rsidRPr="006A576B">
        <w:rPr>
          <w:b/>
          <w:i/>
          <w:szCs w:val="24"/>
          <w:lang w:eastAsia="en-US"/>
        </w:rPr>
        <w:t>c</w:t>
      </w:r>
      <w:r w:rsidR="000B1D75" w:rsidRPr="006A576B">
        <w:rPr>
          <w:b/>
          <w:i/>
          <w:szCs w:val="24"/>
          <w:lang w:eastAsia="en-US"/>
        </w:rPr>
        <w:t xml:space="preserve"> </w:t>
      </w:r>
      <w:r w:rsidRPr="006A576B">
        <w:rPr>
          <w:b/>
          <w:i/>
          <w:szCs w:val="24"/>
          <w:lang w:eastAsia="en-US"/>
        </w:rPr>
        <w:t>a)</w:t>
      </w:r>
      <w:r w:rsidRPr="006A576B">
        <w:rPr>
          <w:szCs w:val="24"/>
          <w:lang w:eastAsia="en-US"/>
        </w:rPr>
        <w:tab/>
      </w:r>
      <w:r w:rsidRPr="006A576B">
        <w:rPr>
          <w:b/>
          <w:i/>
          <w:szCs w:val="24"/>
          <w:lang w:eastAsia="en-US"/>
        </w:rPr>
        <w:t>todisteet, joita väitteen tekijä käyttää väitteensä perusteluina.</w:t>
      </w:r>
      <w:r w:rsidR="000B1D75" w:rsidRPr="006A576B">
        <w:rPr>
          <w:b/>
          <w:szCs w:val="24"/>
          <w:lang w:eastAsia="en-US"/>
        </w:rPr>
        <w:t xml:space="preserve"> [tark. 38]</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5.</w:t>
      </w:r>
      <w:r w:rsidRPr="006A576B">
        <w:rPr>
          <w:szCs w:val="24"/>
          <w:lang w:eastAsia="en-US"/>
        </w:rPr>
        <w:tab/>
        <w:t>Väitteen tutkii väitelautakunta, jonka virasto perustaa 28 artiklassa tarkoitettuihin tutkimuslautakuntiin sovellettavien sääntöjen mukaisesti. Väitelautakunnan jäsenenä ei kuitenkaan saa olla sellaista tutkijaa, joka on aiemmin osallistunut kyseisen keskitetyn hakemuksen tutkineeseen tutkimuslautakuntaan.</w:t>
      </w:r>
    </w:p>
    <w:p w:rsidR="00AD600E" w:rsidRPr="006A576B" w:rsidRDefault="00AD600E" w:rsidP="00207001">
      <w:pPr>
        <w:widowControl/>
        <w:spacing w:before="120" w:after="120" w:line="360" w:lineRule="auto"/>
        <w:ind w:left="850" w:hanging="850"/>
        <w:rPr>
          <w:b/>
          <w:szCs w:val="24"/>
          <w:lang w:eastAsia="en-US"/>
        </w:rPr>
      </w:pPr>
      <w:r w:rsidRPr="006A576B">
        <w:rPr>
          <w:szCs w:val="24"/>
          <w:lang w:eastAsia="en-US"/>
        </w:rPr>
        <w:t>6.</w:t>
      </w:r>
      <w:r w:rsidRPr="006A576B">
        <w:rPr>
          <w:szCs w:val="24"/>
          <w:lang w:eastAsia="en-US"/>
        </w:rPr>
        <w:tab/>
        <w:t xml:space="preserve">Jos väitelautakunta toteaa, että väiteilmoitus ei ole 2, 3 tai 4 kohdan mukainen, sen on jätettävä väite tutkimatta ja ilmoitettava </w:t>
      </w:r>
      <w:r w:rsidRPr="006A576B">
        <w:rPr>
          <w:strike/>
          <w:szCs w:val="24"/>
          <w:lang w:eastAsia="en-US"/>
        </w:rPr>
        <w:t>siitä</w:t>
      </w:r>
      <w:r w:rsidRPr="006A576B">
        <w:rPr>
          <w:b/>
          <w:i/>
          <w:szCs w:val="24"/>
          <w:lang w:eastAsia="en-US"/>
        </w:rPr>
        <w:t>päätöksestään ja sen perusteluista</w:t>
      </w:r>
      <w:r w:rsidRPr="006A576B">
        <w:rPr>
          <w:szCs w:val="24"/>
          <w:lang w:eastAsia="en-US"/>
        </w:rPr>
        <w:t xml:space="preserve"> väitteen tekijälle, paitsi jos puutteet on korjattu ennen 1 kohdassa tarkoitetun väitteen tekemiselle asetetun määräajan päättymistä.</w:t>
      </w:r>
      <w:r w:rsidR="000B1D75" w:rsidRPr="006A576B">
        <w:rPr>
          <w:b/>
          <w:szCs w:val="24"/>
          <w:lang w:eastAsia="en-US"/>
        </w:rPr>
        <w:t xml:space="preserve"> [tark. 39]</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7.</w:t>
      </w:r>
      <w:r w:rsidRPr="006A576B">
        <w:rPr>
          <w:szCs w:val="24"/>
          <w:lang w:eastAsia="en-US"/>
        </w:rPr>
        <w:tab/>
        <w:t>Päätöksestä jättää väite tutkimatta on ilmoitettava keskitetyn hakemuksen haltijalle yhdessä väiteilmoituksen jäljennöksen kanssa.</w:t>
      </w:r>
    </w:p>
    <w:p w:rsidR="00AD600E" w:rsidRPr="006A576B" w:rsidRDefault="00AD600E" w:rsidP="00207001">
      <w:pPr>
        <w:widowControl/>
        <w:spacing w:before="120" w:after="120" w:line="360" w:lineRule="auto"/>
        <w:ind w:left="850"/>
        <w:rPr>
          <w:szCs w:val="24"/>
          <w:lang w:eastAsia="en-US"/>
        </w:rPr>
      </w:pPr>
      <w:r w:rsidRPr="006A576B">
        <w:rPr>
          <w:szCs w:val="24"/>
          <w:lang w:eastAsia="en-US"/>
        </w:rPr>
        <w:t>Väiteilmoitusta ei voida ottaa tutkittavaksi, jos samaa asiaa ja syytä koskevasta aiemmasta valituksesta on viraston antama ratkaisu ja viraston kyseisestä valituksesta tekemä päätös on tullut lainvoimaiseksi.</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8.</w:t>
      </w:r>
      <w:r w:rsidRPr="006A576B">
        <w:rPr>
          <w:szCs w:val="24"/>
          <w:lang w:eastAsia="en-US"/>
        </w:rPr>
        <w:tab/>
        <w:t>Jos väitettä ei jätetä tutkimatta, virasto toimittaa väiteilmoituksen viipymättä hakijalle ja julkaisee sen rekisterissä. Jos väiteilmoituksia on tehty useita, virasto ilmoittaa niistä viipymättä muille väitteen tekijöille.</w:t>
      </w:r>
    </w:p>
    <w:p w:rsidR="00AD600E" w:rsidRPr="006A576B" w:rsidRDefault="00AD600E" w:rsidP="00207001">
      <w:pPr>
        <w:widowControl/>
        <w:spacing w:before="120" w:after="120" w:line="360" w:lineRule="auto"/>
        <w:ind w:left="850" w:hanging="850"/>
        <w:rPr>
          <w:b/>
          <w:szCs w:val="24"/>
          <w:lang w:eastAsia="en-US"/>
        </w:rPr>
      </w:pPr>
      <w:r w:rsidRPr="006A576B">
        <w:rPr>
          <w:szCs w:val="24"/>
          <w:lang w:eastAsia="en-US"/>
        </w:rPr>
        <w:t>9.</w:t>
      </w:r>
      <w:r w:rsidRPr="006A576B">
        <w:rPr>
          <w:szCs w:val="24"/>
          <w:lang w:eastAsia="en-US"/>
        </w:rPr>
        <w:tab/>
        <w:t>Virasto tekee päätöksen väitteestä</w:t>
      </w:r>
      <w:r w:rsidRPr="006A576B">
        <w:rPr>
          <w:b/>
          <w:i/>
          <w:szCs w:val="24"/>
          <w:lang w:eastAsia="en-US"/>
        </w:rPr>
        <w:t xml:space="preserve"> yksityiskohtaisine perusteluineen</w:t>
      </w:r>
      <w:r w:rsidRPr="006A576B">
        <w:rPr>
          <w:szCs w:val="24"/>
          <w:lang w:eastAsia="en-US"/>
        </w:rPr>
        <w:t xml:space="preserve"> kuuden kuukauden kuluessa, paitsi jos asian monimutkaisuus vaatii pidemmän ajan.</w:t>
      </w:r>
      <w:r w:rsidR="000B1D75" w:rsidRPr="006A576B">
        <w:rPr>
          <w:b/>
          <w:szCs w:val="24"/>
          <w:lang w:eastAsia="en-US"/>
        </w:rPr>
        <w:t xml:space="preserve"> [tark. 40]</w:t>
      </w:r>
    </w:p>
    <w:p w:rsidR="00AD600E" w:rsidRPr="006A576B" w:rsidRDefault="00AD600E" w:rsidP="00207001">
      <w:pPr>
        <w:widowControl/>
        <w:spacing w:before="120" w:after="120" w:line="360" w:lineRule="auto"/>
        <w:ind w:left="850" w:hanging="850"/>
        <w:rPr>
          <w:b/>
          <w:szCs w:val="24"/>
          <w:lang w:eastAsia="en-US"/>
        </w:rPr>
      </w:pPr>
      <w:r w:rsidRPr="006A576B">
        <w:rPr>
          <w:b/>
          <w:i/>
          <w:szCs w:val="24"/>
          <w:lang w:eastAsia="en-US"/>
        </w:rPr>
        <w:t>9</w:t>
      </w:r>
      <w:r w:rsidR="000B1D75" w:rsidRPr="006A576B">
        <w:rPr>
          <w:b/>
          <w:i/>
          <w:szCs w:val="24"/>
          <w:lang w:eastAsia="en-US"/>
        </w:rPr>
        <w:t xml:space="preserve"> </w:t>
      </w:r>
      <w:r w:rsidRPr="006A576B">
        <w:rPr>
          <w:b/>
          <w:i/>
          <w:szCs w:val="24"/>
          <w:lang w:eastAsia="en-US"/>
        </w:rPr>
        <w:t>a.</w:t>
      </w:r>
      <w:r w:rsidRPr="006A576B">
        <w:rPr>
          <w:szCs w:val="24"/>
          <w:lang w:eastAsia="en-US"/>
        </w:rPr>
        <w:tab/>
      </w:r>
      <w:r w:rsidRPr="006A576B">
        <w:rPr>
          <w:b/>
          <w:i/>
          <w:szCs w:val="24"/>
          <w:lang w:eastAsia="en-US"/>
        </w:rPr>
        <w:t>Tapauksissa, joissa tutkimuslausuntoa vastaan on esitetty useita väitteitä, virasto käsittelee väitteet yhdessä ja tekee yhden yhteisen päätöksen kaikista esitetyistä väitteistä.</w:t>
      </w:r>
      <w:r w:rsidR="000B1D75" w:rsidRPr="006A576B">
        <w:rPr>
          <w:b/>
          <w:szCs w:val="24"/>
          <w:lang w:eastAsia="en-US"/>
        </w:rPr>
        <w:t xml:space="preserve"> [tark. 41]</w:t>
      </w:r>
    </w:p>
    <w:p w:rsidR="00AD600E" w:rsidRPr="006A576B" w:rsidRDefault="00AD600E" w:rsidP="00207001">
      <w:pPr>
        <w:widowControl/>
        <w:spacing w:before="120" w:after="120" w:line="360" w:lineRule="auto"/>
        <w:ind w:left="850" w:hanging="850"/>
        <w:rPr>
          <w:b/>
          <w:szCs w:val="24"/>
          <w:lang w:eastAsia="en-US"/>
        </w:rPr>
      </w:pPr>
      <w:r w:rsidRPr="006A576B">
        <w:rPr>
          <w:szCs w:val="24"/>
          <w:lang w:eastAsia="en-US"/>
        </w:rPr>
        <w:t>10.</w:t>
      </w:r>
      <w:r w:rsidRPr="006A576B">
        <w:rPr>
          <w:szCs w:val="24"/>
          <w:lang w:eastAsia="en-US"/>
        </w:rPr>
        <w:tab/>
        <w:t>Jos väitelautakunta katsoo, että mikään väitteen perusteista ei estä tutkimuslausunnon pitämistä voimassa, se hylkää väitteen</w:t>
      </w:r>
      <w:r w:rsidRPr="006A576B">
        <w:rPr>
          <w:b/>
          <w:i/>
          <w:szCs w:val="24"/>
          <w:lang w:eastAsia="en-US"/>
        </w:rPr>
        <w:t xml:space="preserve"> ja ilmoittaa päätöksestään väitteen tekijälle</w:t>
      </w:r>
      <w:r w:rsidRPr="006A576B">
        <w:rPr>
          <w:szCs w:val="24"/>
          <w:lang w:eastAsia="en-US"/>
        </w:rPr>
        <w:t>, ja virasto lisää tästä maininnan rekisteriin.</w:t>
      </w:r>
      <w:r w:rsidR="000B1D75" w:rsidRPr="006A576B">
        <w:rPr>
          <w:b/>
          <w:szCs w:val="24"/>
          <w:lang w:eastAsia="en-US"/>
        </w:rPr>
        <w:t xml:space="preserve"> [tark. 42]</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11.</w:t>
      </w:r>
      <w:r w:rsidRPr="006A576B">
        <w:rPr>
          <w:szCs w:val="24"/>
          <w:lang w:eastAsia="en-US"/>
        </w:rPr>
        <w:tab/>
        <w:t>Jos väitelautakunta katsoo, että vähintään yksi väitteen perusteista estää tutkimuslausunnon pitämisen voimassa, se antaa muutetun lausunnon, ja virasto lisää tästä maininnan rekisteriin.</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12.</w:t>
      </w:r>
      <w:r w:rsidRPr="006A576B">
        <w:rPr>
          <w:szCs w:val="24"/>
          <w:lang w:eastAsia="en-US"/>
        </w:rPr>
        <w:tab/>
        <w:t>Siirretään komissiolle valta antaa 55 artiklan mukaisesti delegoituja säädöksiä, joilla täydennetään tätä asetusta määrittämällä väitteen tekemisen ja tutkimisen yksityiskohdat.</w:t>
      </w:r>
    </w:p>
    <w:p w:rsidR="00AD600E" w:rsidRPr="006A576B" w:rsidRDefault="00AD600E" w:rsidP="00207001">
      <w:pPr>
        <w:widowControl/>
        <w:spacing w:before="120" w:after="120" w:line="360" w:lineRule="auto"/>
        <w:ind w:left="850" w:hanging="850"/>
        <w:rPr>
          <w:b/>
          <w:szCs w:val="24"/>
          <w:lang w:eastAsia="en-US"/>
        </w:rPr>
      </w:pPr>
      <w:r w:rsidRPr="006A576B">
        <w:rPr>
          <w:b/>
          <w:i/>
          <w:szCs w:val="24"/>
          <w:lang w:eastAsia="en-US"/>
        </w:rPr>
        <w:t>12</w:t>
      </w:r>
      <w:r w:rsidR="000B1D75" w:rsidRPr="006A576B">
        <w:rPr>
          <w:b/>
          <w:i/>
          <w:szCs w:val="24"/>
          <w:lang w:eastAsia="en-US"/>
        </w:rPr>
        <w:t xml:space="preserve"> </w:t>
      </w:r>
      <w:r w:rsidRPr="006A576B">
        <w:rPr>
          <w:b/>
          <w:i/>
          <w:szCs w:val="24"/>
          <w:lang w:eastAsia="en-US"/>
        </w:rPr>
        <w:t>a.</w:t>
      </w:r>
      <w:r w:rsidRPr="006A576B">
        <w:rPr>
          <w:szCs w:val="24"/>
          <w:lang w:eastAsia="en-US"/>
        </w:rPr>
        <w:tab/>
      </w:r>
      <w:r w:rsidRPr="006A576B">
        <w:rPr>
          <w:b/>
          <w:i/>
          <w:szCs w:val="24"/>
          <w:lang w:eastAsia="en-US"/>
        </w:rPr>
        <w:t>On varmistettava, että koko väitemenettely on täysin avoin, ja sen on oltava julkinen aina kun se on mahdollista.</w:t>
      </w:r>
      <w:r w:rsidR="000B1D75" w:rsidRPr="006A576B">
        <w:rPr>
          <w:b/>
          <w:szCs w:val="24"/>
          <w:lang w:eastAsia="en-US"/>
        </w:rPr>
        <w:t xml:space="preserve"> [tark. 43]</w:t>
      </w:r>
    </w:p>
    <w:p w:rsidR="00AD600E" w:rsidRPr="006A576B" w:rsidRDefault="00AD600E" w:rsidP="00207001">
      <w:pPr>
        <w:widowControl/>
        <w:spacing w:before="120" w:after="120" w:line="360" w:lineRule="auto"/>
        <w:jc w:val="center"/>
        <w:rPr>
          <w:szCs w:val="24"/>
          <w:lang w:eastAsia="en-US"/>
        </w:rPr>
      </w:pPr>
      <w:r w:rsidRPr="006A576B">
        <w:rPr>
          <w:szCs w:val="24"/>
          <w:lang w:eastAsia="en-US"/>
        </w:rPr>
        <w:t>27 artikla</w:t>
      </w:r>
      <w:r w:rsidRPr="006A576B">
        <w:rPr>
          <w:szCs w:val="24"/>
          <w:lang w:eastAsia="en-US"/>
        </w:rPr>
        <w:br/>
        <w:t>Toimivaltaisten kansallisten viranomaisten tehtävät</w:t>
      </w:r>
    </w:p>
    <w:p w:rsidR="00AD600E" w:rsidRPr="006A576B" w:rsidRDefault="00AD600E" w:rsidP="00207001">
      <w:pPr>
        <w:widowControl/>
        <w:spacing w:before="120" w:after="120" w:line="360" w:lineRule="auto"/>
        <w:ind w:left="850" w:hanging="850"/>
        <w:rPr>
          <w:b/>
          <w:szCs w:val="24"/>
          <w:lang w:eastAsia="en-US"/>
        </w:rPr>
      </w:pPr>
      <w:r w:rsidRPr="006A576B">
        <w:rPr>
          <w:szCs w:val="24"/>
          <w:lang w:eastAsia="en-US"/>
        </w:rPr>
        <w:t>1.</w:t>
      </w:r>
      <w:r w:rsidRPr="006A576B">
        <w:rPr>
          <w:szCs w:val="24"/>
          <w:lang w:eastAsia="en-US"/>
        </w:rPr>
        <w:tab/>
        <w:t>Virasto voi virastolle esitetystä pyynnöstä nimetä minkä tahansa toimivaltaisen kansallisen viranomaisen tutkimusmenettelyyn osallistuvaksi virastoksi. Kun toimivaltainen kansallinen viranomainen on nimetty tämän artiklan mukaisesti, sen on nimettävä yksi tai useampi tutkija, joka osallistuu yhden tai useamman keskitetyn hakemuksen käsittelyyn</w:t>
      </w:r>
      <w:r w:rsidRPr="006A576B">
        <w:rPr>
          <w:b/>
          <w:i/>
          <w:szCs w:val="24"/>
          <w:lang w:eastAsia="en-US"/>
        </w:rPr>
        <w:t>, käyttäen perusteena tutkijan tai tutkijoiden asiaankuuluvaa asiantuntemusta ja kokemusta alalta</w:t>
      </w:r>
      <w:r w:rsidRPr="006A576B">
        <w:rPr>
          <w:szCs w:val="24"/>
          <w:lang w:eastAsia="en-US"/>
        </w:rPr>
        <w:t>.</w:t>
      </w:r>
      <w:r w:rsidR="000B1D75" w:rsidRPr="006A576B">
        <w:rPr>
          <w:b/>
          <w:szCs w:val="24"/>
          <w:lang w:eastAsia="en-US"/>
        </w:rPr>
        <w:t xml:space="preserve"> [tark. 44]</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2.</w:t>
      </w:r>
      <w:r w:rsidRPr="006A576B">
        <w:rPr>
          <w:szCs w:val="24"/>
          <w:lang w:eastAsia="en-US"/>
        </w:rPr>
        <w:tab/>
        <w:t>Viraston ja toimivaltaisen kansallisen viranomaisen on tehtävä hallinnollinen sopimus ennen kuin kyseinen toimivaltainen kansallinen viranomainen nimitetään 1 kohdassa tarkoitetuksi osallistuvaksi virastoksi.</w:t>
      </w:r>
    </w:p>
    <w:p w:rsidR="00AD600E" w:rsidRPr="006A576B" w:rsidRDefault="00AD600E" w:rsidP="00207001">
      <w:pPr>
        <w:widowControl/>
        <w:spacing w:before="120" w:after="120" w:line="360" w:lineRule="auto"/>
        <w:ind w:left="850"/>
        <w:rPr>
          <w:szCs w:val="24"/>
          <w:lang w:eastAsia="en-US"/>
        </w:rPr>
      </w:pPr>
      <w:r w:rsidRPr="006A576B">
        <w:rPr>
          <w:szCs w:val="24"/>
          <w:lang w:eastAsia="en-US"/>
        </w:rPr>
        <w:t>Sopimuksessa täsmennetään osapuolten oikeudet ja velvollisuudet, erityisesti asianomaisen toimivaltaisen kansallisen viranomaisen muodollinen sitoumus noudattaa tätä asetusta keskitetyn tutkimusmenettelyn osalta.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3.</w:t>
      </w:r>
      <w:r w:rsidRPr="006A576B">
        <w:rPr>
          <w:szCs w:val="24"/>
          <w:lang w:eastAsia="en-US"/>
        </w:rPr>
        <w:tab/>
        <w:t>Virasto voi nimittää toimivaltaisen kansallisen viranomaisen 1 kohdassa tarkoitetuksi osallistuvaksi virastoksi viiden vuoden ajaksi. Nimitystä voidaan jatkaa viidellä vuodella kerrallaan.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4.</w:t>
      </w:r>
      <w:r w:rsidRPr="006A576B">
        <w:rPr>
          <w:szCs w:val="24"/>
          <w:lang w:eastAsia="en-US"/>
        </w:rPr>
        <w:tab/>
        <w:t>Virasto kuulee asianomaista toimivaltaista kansallista viranomaista ennen toimivaltaisen kansallisen viranomaisen nimittämistä tai nimityksen jatkamista tai ennen tällaisen nimityksen päättymistä.</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5.</w:t>
      </w:r>
      <w:r w:rsidRPr="006A576B">
        <w:rPr>
          <w:szCs w:val="24"/>
          <w:lang w:eastAsia="en-US"/>
        </w:rPr>
        <w:tab/>
        <w:t>Kunkin tämän artiklan mukaisesti nimetyn toimivaltaisen kansallisen viranomaisen on toimitettava virastolle luettelo yksittäisistä tutkijoista, jotka voivat osallistua tutkimus- ja väitemenettelyihin. Kunkin tällaisen toimivaltaisen kansallisen viranomaisen on saatettava luettelo ajan tasalle, jos tiedot muuttuvat.</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28 artikla</w:t>
      </w:r>
      <w:r w:rsidRPr="006A576B">
        <w:rPr>
          <w:szCs w:val="24"/>
          <w:lang w:eastAsia="en-US"/>
        </w:rPr>
        <w:br/>
        <w:t>Tutkimuslautakunnat</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Tutkimuslautakunta, johon kuuluu yksi viraston jäsen sekä kaksi kahta eri osallistuvaa toimivaltaista kansallista viranomaista edustavaa 27 artiklan 1 kohdassa tarkoitettua tutkijaa, suorittaa 24, 26 ja 33 artiklassa tarkoitetut arvioinnit.</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w:t>
      </w:r>
      <w:r w:rsidRPr="006A576B">
        <w:rPr>
          <w:szCs w:val="24"/>
          <w:lang w:eastAsia="en-US"/>
        </w:rPr>
        <w:tab/>
        <w:t>Tutkijoiden on hoidettava tehtävänsä puolueettomasti ja ilmoitettava virastolle nimeämisensä yhteydessä todelliset tai oletetut eturistiriidat.</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3.</w:t>
      </w:r>
      <w:r w:rsidRPr="006A576B">
        <w:rPr>
          <w:szCs w:val="24"/>
          <w:lang w:eastAsia="en-US"/>
        </w:rPr>
        <w:tab/>
        <w:t>Tutkimuslautakuntaa perustaessaan viraston on varmistettava, että</w:t>
      </w:r>
    </w:p>
    <w:p w:rsidR="00AD600E" w:rsidRPr="006A576B" w:rsidRDefault="00AD600E" w:rsidP="00207001">
      <w:pPr>
        <w:widowControl/>
        <w:spacing w:before="120" w:after="120" w:line="360" w:lineRule="auto"/>
        <w:ind w:left="1416" w:hanging="566"/>
        <w:rPr>
          <w:b/>
          <w:szCs w:val="24"/>
          <w:lang w:eastAsia="en-US"/>
        </w:rPr>
      </w:pPr>
      <w:r w:rsidRPr="006A576B">
        <w:rPr>
          <w:szCs w:val="24"/>
          <w:lang w:eastAsia="en-US"/>
        </w:rPr>
        <w:t>a)</w:t>
      </w:r>
      <w:r w:rsidRPr="006A576B">
        <w:rPr>
          <w:szCs w:val="24"/>
          <w:lang w:eastAsia="en-US"/>
        </w:rPr>
        <w:tab/>
      </w:r>
      <w:r w:rsidRPr="006A576B">
        <w:rPr>
          <w:strike/>
          <w:szCs w:val="24"/>
          <w:lang w:eastAsia="en-US"/>
        </w:rPr>
        <w:t xml:space="preserve">osallistuvien virastojen kesken </w:t>
      </w:r>
      <w:proofErr w:type="gramStart"/>
      <w:r w:rsidRPr="006A576B">
        <w:rPr>
          <w:strike/>
          <w:szCs w:val="24"/>
          <w:lang w:eastAsia="en-US"/>
        </w:rPr>
        <w:t>vallitsee maantieteellinen tasapaino</w:t>
      </w:r>
      <w:r w:rsidRPr="006A576B">
        <w:rPr>
          <w:b/>
          <w:i/>
          <w:szCs w:val="24"/>
          <w:lang w:eastAsia="en-US"/>
        </w:rPr>
        <w:t>lautakunnassa on</w:t>
      </w:r>
      <w:proofErr w:type="gramEnd"/>
      <w:r w:rsidRPr="006A576B">
        <w:rPr>
          <w:b/>
          <w:i/>
          <w:szCs w:val="24"/>
          <w:lang w:eastAsia="en-US"/>
        </w:rPr>
        <w:t xml:space="preserve"> asiaankuuluvaa asiantuntemusta ja riittävää kokemusta patenttitutkimuksista ja lisäsuojatodistuksista ja erityisesti, että ainakin yhdellä tutkijalla on vähintään viiden vuoden kokemus patenttitutkimuksista ja lisäsuojatodistuksista</w:t>
      </w:r>
      <w:r w:rsidRPr="006A576B">
        <w:rPr>
          <w:szCs w:val="24"/>
          <w:lang w:eastAsia="en-US"/>
        </w:rPr>
        <w:t>;</w:t>
      </w:r>
      <w:r w:rsidR="000B1D75" w:rsidRPr="006A576B">
        <w:rPr>
          <w:b/>
          <w:szCs w:val="24"/>
          <w:lang w:eastAsia="en-US"/>
        </w:rPr>
        <w:t xml:space="preserve"> [tark. 4</w:t>
      </w:r>
      <w:r w:rsidR="00DE1EF0" w:rsidRPr="006A576B">
        <w:rPr>
          <w:b/>
          <w:szCs w:val="24"/>
          <w:lang w:eastAsia="en-US"/>
        </w:rPr>
        <w:t>5</w:t>
      </w:r>
      <w:r w:rsidR="000B1D75" w:rsidRPr="006A576B">
        <w:rPr>
          <w:b/>
          <w:szCs w:val="24"/>
          <w:lang w:eastAsia="en-US"/>
        </w:rPr>
        <w:t>]</w:t>
      </w:r>
    </w:p>
    <w:p w:rsidR="00AD600E" w:rsidRPr="006A576B" w:rsidRDefault="00AD600E" w:rsidP="00207001">
      <w:pPr>
        <w:widowControl/>
        <w:spacing w:before="120" w:after="120" w:line="360" w:lineRule="auto"/>
        <w:ind w:left="1416" w:hanging="566"/>
        <w:rPr>
          <w:b/>
          <w:szCs w:val="24"/>
          <w:lang w:eastAsia="en-US"/>
        </w:rPr>
      </w:pPr>
      <w:r w:rsidRPr="006A576B">
        <w:rPr>
          <w:b/>
          <w:i/>
          <w:szCs w:val="24"/>
          <w:lang w:eastAsia="en-US"/>
        </w:rPr>
        <w:t>a</w:t>
      </w:r>
      <w:r w:rsidR="000B1D75" w:rsidRPr="006A576B">
        <w:rPr>
          <w:b/>
          <w:i/>
          <w:szCs w:val="24"/>
          <w:lang w:eastAsia="en-US"/>
        </w:rPr>
        <w:t xml:space="preserve"> </w:t>
      </w:r>
      <w:r w:rsidRPr="006A576B">
        <w:rPr>
          <w:b/>
          <w:i/>
          <w:szCs w:val="24"/>
          <w:lang w:eastAsia="en-US"/>
        </w:rPr>
        <w:t>a)</w:t>
      </w:r>
      <w:r w:rsidRPr="006A576B">
        <w:rPr>
          <w:szCs w:val="24"/>
          <w:lang w:eastAsia="en-US"/>
        </w:rPr>
        <w:tab/>
      </w:r>
      <w:r w:rsidRPr="006A576B">
        <w:rPr>
          <w:b/>
          <w:i/>
          <w:szCs w:val="24"/>
          <w:lang w:eastAsia="en-US"/>
        </w:rPr>
        <w:t>osallistuvien virastojen kesken vallitsee mahdollisuuksien mukaan maantieteellinen tasapaino;</w:t>
      </w:r>
      <w:r w:rsidR="000B1D75" w:rsidRPr="006A576B">
        <w:rPr>
          <w:b/>
          <w:szCs w:val="24"/>
          <w:lang w:eastAsia="en-US"/>
        </w:rPr>
        <w:t xml:space="preserve"> [tark. 4</w:t>
      </w:r>
      <w:r w:rsidR="00DE1EF0" w:rsidRPr="006A576B">
        <w:rPr>
          <w:b/>
          <w:szCs w:val="24"/>
          <w:lang w:eastAsia="en-US"/>
        </w:rPr>
        <w:t>6</w:t>
      </w:r>
      <w:r w:rsidR="000B1D75" w:rsidRPr="006A576B">
        <w:rPr>
          <w:b/>
          <w:szCs w:val="24"/>
          <w:lang w:eastAsia="en-US"/>
        </w:rPr>
        <w:t>]</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lastRenderedPageBreak/>
        <w:t>b)</w:t>
      </w:r>
      <w:r w:rsidRPr="006A576B">
        <w:rPr>
          <w:szCs w:val="24"/>
          <w:lang w:eastAsia="en-US"/>
        </w:rPr>
        <w:tab/>
        <w:t>tutkijoiden työmäärä otetaan huomioon;</w:t>
      </w:r>
    </w:p>
    <w:p w:rsidR="00AD600E" w:rsidRPr="006A576B" w:rsidRDefault="00AD600E" w:rsidP="00207001">
      <w:pPr>
        <w:widowControl/>
        <w:spacing w:before="120" w:after="120" w:line="360" w:lineRule="auto"/>
        <w:ind w:left="1416" w:hanging="566"/>
        <w:rPr>
          <w:b/>
          <w:szCs w:val="24"/>
          <w:lang w:eastAsia="en-US"/>
        </w:rPr>
      </w:pPr>
      <w:r w:rsidRPr="006A576B">
        <w:rPr>
          <w:szCs w:val="24"/>
          <w:lang w:eastAsia="en-US"/>
        </w:rPr>
        <w:t>c)</w:t>
      </w:r>
      <w:r w:rsidRPr="006A576B">
        <w:rPr>
          <w:szCs w:val="24"/>
          <w:lang w:eastAsia="en-US"/>
        </w:rPr>
        <w:tab/>
      </w:r>
      <w:r w:rsidRPr="006A576B">
        <w:rPr>
          <w:strike/>
          <w:szCs w:val="24"/>
          <w:lang w:eastAsia="en-US"/>
        </w:rPr>
        <w:t>enintään yksi</w:t>
      </w:r>
      <w:r w:rsidRPr="006A576B">
        <w:rPr>
          <w:b/>
          <w:i/>
          <w:szCs w:val="24"/>
          <w:lang w:eastAsia="en-US"/>
        </w:rPr>
        <w:t>yksikään</w:t>
      </w:r>
      <w:r w:rsidRPr="006A576B">
        <w:rPr>
          <w:szCs w:val="24"/>
          <w:lang w:eastAsia="en-US"/>
        </w:rPr>
        <w:t xml:space="preserve"> tutkija </w:t>
      </w:r>
      <w:r w:rsidRPr="006A576B">
        <w:rPr>
          <w:strike/>
          <w:szCs w:val="24"/>
          <w:lang w:eastAsia="en-US"/>
        </w:rPr>
        <w:t>on</w:t>
      </w:r>
      <w:r w:rsidRPr="006A576B">
        <w:rPr>
          <w:b/>
          <w:i/>
          <w:szCs w:val="24"/>
          <w:lang w:eastAsia="en-US"/>
        </w:rPr>
        <w:t>ei ole</w:t>
      </w:r>
      <w:r w:rsidRPr="006A576B">
        <w:rPr>
          <w:szCs w:val="24"/>
          <w:lang w:eastAsia="en-US"/>
        </w:rPr>
        <w:t xml:space="preserve"> sellaisen kansallisen toimivaltaisen viranomaisen palveluksessa, joka käyttää </w:t>
      </w:r>
      <w:r w:rsidRPr="006A576B">
        <w:rPr>
          <w:b/>
          <w:i/>
          <w:szCs w:val="24"/>
          <w:lang w:eastAsia="en-US"/>
        </w:rPr>
        <w:t xml:space="preserve">tämän asetuksen </w:t>
      </w:r>
      <w:r w:rsidRPr="006A576B">
        <w:rPr>
          <w:szCs w:val="24"/>
          <w:lang w:eastAsia="en-US"/>
        </w:rPr>
        <w:t xml:space="preserve">10 artiklan 5 kohdassa </w:t>
      </w:r>
      <w:r w:rsidRPr="006A576B">
        <w:rPr>
          <w:strike/>
          <w:szCs w:val="24"/>
          <w:lang w:eastAsia="en-US"/>
        </w:rPr>
        <w:t>säädettyä</w:t>
      </w:r>
      <w:r w:rsidRPr="006A576B">
        <w:rPr>
          <w:b/>
          <w:i/>
          <w:szCs w:val="24"/>
          <w:lang w:eastAsia="en-US"/>
        </w:rPr>
        <w:t>vahvistettua</w:t>
      </w:r>
      <w:r w:rsidRPr="006A576B">
        <w:rPr>
          <w:szCs w:val="24"/>
          <w:lang w:eastAsia="en-US"/>
        </w:rPr>
        <w:t xml:space="preserve"> poikkeusta.</w:t>
      </w:r>
      <w:r w:rsidR="000B1D75" w:rsidRPr="006A576B">
        <w:rPr>
          <w:b/>
          <w:szCs w:val="24"/>
          <w:lang w:eastAsia="en-US"/>
        </w:rPr>
        <w:t xml:space="preserve"> [tark. 4</w:t>
      </w:r>
      <w:r w:rsidR="00DE1EF0" w:rsidRPr="006A576B">
        <w:rPr>
          <w:b/>
          <w:szCs w:val="24"/>
          <w:lang w:eastAsia="en-US"/>
        </w:rPr>
        <w:t>7</w:t>
      </w:r>
      <w:r w:rsidR="000B1D75" w:rsidRPr="006A576B">
        <w:rPr>
          <w:b/>
          <w:szCs w:val="24"/>
          <w:lang w:eastAsia="en-US"/>
        </w:rPr>
        <w:t>]</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4.</w:t>
      </w:r>
      <w:r w:rsidRPr="006A576B">
        <w:rPr>
          <w:szCs w:val="24"/>
          <w:lang w:eastAsia="en-US"/>
        </w:rPr>
        <w:tab/>
        <w:t>Virasto julkaisee vuosittain katsauksen menettelyjen lukumäärästä, mukaan lukien tutkinta-, väite- ja valitusmenettelyt, joihin kukin toimivaltainen kansallinen viranomainen on osallistunut.</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5.</w:t>
      </w:r>
      <w:r w:rsidRPr="006A576B">
        <w:rPr>
          <w:szCs w:val="24"/>
          <w:lang w:eastAsia="en-US"/>
        </w:rPr>
        <w:tab/>
        <w:t>Siirretään komissiolle valta antaa täytäntöönpanosäädöksiä, joissa määritellään lautakuntien kokoamista koskevat kriteerit ja kriteerit tutkijoiden valinnalle. Nämä täytäntöönpanosäädökset hyväksytään 56 artiklassa tarkoitettua tarkastelumenettelyä noudattaen.</w:t>
      </w:r>
    </w:p>
    <w:p w:rsidR="00AD600E" w:rsidRPr="006A576B" w:rsidRDefault="00AD600E" w:rsidP="00207001">
      <w:pPr>
        <w:widowControl/>
        <w:spacing w:before="120" w:after="120" w:line="360" w:lineRule="auto"/>
        <w:jc w:val="center"/>
        <w:rPr>
          <w:szCs w:val="24"/>
          <w:lang w:eastAsia="en-US"/>
        </w:rPr>
      </w:pPr>
      <w:r w:rsidRPr="006A576B">
        <w:rPr>
          <w:szCs w:val="24"/>
          <w:lang w:eastAsia="en-US"/>
        </w:rPr>
        <w:t>29 artikla</w:t>
      </w:r>
      <w:r w:rsidRPr="006A576B">
        <w:rPr>
          <w:szCs w:val="24"/>
          <w:lang w:eastAsia="en-US"/>
        </w:rPr>
        <w:br/>
        <w:t>Valitusmenettely</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Jokainen tämän luvun mukaisen menettelyn osapuoli, johon viraston päätös, tutkimuslausunnon antaminen mukaan luettuna, vaikuttaa kielteisesti, voi valittaa päätöksestä valituslautakunnille.</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2.</w:t>
      </w:r>
      <w:r w:rsidRPr="006A576B">
        <w:rPr>
          <w:szCs w:val="24"/>
          <w:lang w:eastAsia="en-US"/>
        </w:rPr>
        <w:tab/>
        <w:t>Valituksella on lykkäävä vaikutus. Viraston päätös, jota ei ole riitautettu, tulee voimaan 3 kohdassa tarkoitetun valitusajan päättymispäivää seuraavana päivänä.</w:t>
      </w:r>
    </w:p>
    <w:p w:rsidR="00AD600E" w:rsidRPr="006A576B" w:rsidRDefault="00AD600E" w:rsidP="00207001">
      <w:pPr>
        <w:widowControl/>
        <w:spacing w:before="120" w:after="120" w:line="360" w:lineRule="auto"/>
        <w:ind w:left="850" w:hanging="850"/>
        <w:rPr>
          <w:b/>
          <w:szCs w:val="24"/>
          <w:lang w:eastAsia="en-US"/>
        </w:rPr>
      </w:pPr>
      <w:r w:rsidRPr="006A576B">
        <w:rPr>
          <w:szCs w:val="24"/>
          <w:lang w:eastAsia="en-US"/>
        </w:rPr>
        <w:t>3.</w:t>
      </w:r>
      <w:r w:rsidRPr="006A576B">
        <w:rPr>
          <w:szCs w:val="24"/>
          <w:lang w:eastAsia="en-US"/>
        </w:rPr>
        <w:tab/>
        <w:t xml:space="preserve">Valitus on tehtävä kirjallisesti virastolle kahden kuukauden kuluessa päivästä, jona päätös on annettu tiedoksi. Valitus katsotaan tehdyksi vasta, kun valitusmaksu on suoritettu. Valituksen perusteet </w:t>
      </w:r>
      <w:r w:rsidRPr="006A576B">
        <w:rPr>
          <w:b/>
          <w:i/>
          <w:szCs w:val="24"/>
          <w:lang w:eastAsia="en-US"/>
        </w:rPr>
        <w:t xml:space="preserve">ja niitä tukevan näytön </w:t>
      </w:r>
      <w:r w:rsidRPr="006A576B">
        <w:rPr>
          <w:szCs w:val="24"/>
          <w:lang w:eastAsia="en-US"/>
        </w:rPr>
        <w:t xml:space="preserve">sisältävä kirjelmä on jätettävä </w:t>
      </w:r>
      <w:r w:rsidRPr="006A576B">
        <w:rPr>
          <w:strike/>
          <w:szCs w:val="24"/>
          <w:lang w:eastAsia="en-US"/>
        </w:rPr>
        <w:t>neljän</w:t>
      </w:r>
      <w:r w:rsidRPr="006A576B">
        <w:rPr>
          <w:b/>
          <w:i/>
          <w:szCs w:val="24"/>
          <w:lang w:eastAsia="en-US"/>
        </w:rPr>
        <w:t>kolmen</w:t>
      </w:r>
      <w:r w:rsidRPr="006A576B">
        <w:rPr>
          <w:szCs w:val="24"/>
          <w:lang w:eastAsia="en-US"/>
        </w:rPr>
        <w:t xml:space="preserve"> kuukauden kuluessa päivästä, jona päätös on annettu tiedoksi.</w:t>
      </w:r>
      <w:r w:rsidR="000B1D75" w:rsidRPr="006A576B">
        <w:rPr>
          <w:b/>
          <w:szCs w:val="24"/>
          <w:lang w:eastAsia="en-US"/>
        </w:rPr>
        <w:t xml:space="preserve"> [tark. 48]</w:t>
      </w:r>
    </w:p>
    <w:p w:rsidR="00AD600E" w:rsidRPr="006A576B" w:rsidRDefault="00AD600E" w:rsidP="00207001">
      <w:pPr>
        <w:widowControl/>
        <w:spacing w:before="120" w:after="120" w:line="360" w:lineRule="auto"/>
        <w:ind w:left="850" w:hanging="850"/>
        <w:rPr>
          <w:b/>
          <w:szCs w:val="24"/>
          <w:lang w:eastAsia="en-US"/>
        </w:rPr>
      </w:pPr>
      <w:r w:rsidRPr="006A576B">
        <w:rPr>
          <w:b/>
          <w:i/>
          <w:szCs w:val="24"/>
          <w:lang w:eastAsia="en-US"/>
        </w:rPr>
        <w:t>3</w:t>
      </w:r>
      <w:r w:rsidR="000B1D75" w:rsidRPr="006A576B">
        <w:rPr>
          <w:b/>
          <w:i/>
          <w:szCs w:val="24"/>
          <w:lang w:eastAsia="en-US"/>
        </w:rPr>
        <w:t xml:space="preserve"> </w:t>
      </w:r>
      <w:r w:rsidRPr="006A576B">
        <w:rPr>
          <w:b/>
          <w:i/>
          <w:szCs w:val="24"/>
          <w:lang w:eastAsia="en-US"/>
        </w:rPr>
        <w:t>a.</w:t>
      </w:r>
      <w:r w:rsidRPr="006A576B">
        <w:rPr>
          <w:szCs w:val="24"/>
          <w:lang w:eastAsia="en-US"/>
        </w:rPr>
        <w:tab/>
      </w:r>
      <w:r w:rsidRPr="006A576B">
        <w:rPr>
          <w:b/>
          <w:i/>
          <w:szCs w:val="24"/>
          <w:lang w:eastAsia="en-US"/>
        </w:rPr>
        <w:t>Mahdolliset vastaukset valituksen perusteita koskevaan kirjelmään on toimitettava kirjallisesti viimeistään kolmen kuukauden kuluttua valituksen perusteita koskevan kirjelmän jättämispäivästä. Virasto asettaa tarvittaessa suullisen kuulemisen ajankohdan enintään kolmen kuukauden päähän valituksen perusteisiin annetun vastauksen jättämisestä tai kuuden kuukauden päähän valituksen perusteiden jättämisestä sen mukaan, kumpi ajankohta on aikaisempi. Virasto tekee kirjallisen päätöksen kolmen kuukauden kuluessa suullisesta kuulemisesta tai tapauksen mukaan valituksen perusteita koskevaan kirjelmään annetun vastauksen toimittamisesta.</w:t>
      </w:r>
      <w:r w:rsidR="000B1D75" w:rsidRPr="006A576B">
        <w:rPr>
          <w:b/>
          <w:szCs w:val="24"/>
          <w:lang w:eastAsia="en-US"/>
        </w:rPr>
        <w:t xml:space="preserve"> [tark. 49]</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4.</w:t>
      </w:r>
      <w:r w:rsidRPr="006A576B">
        <w:rPr>
          <w:szCs w:val="24"/>
          <w:lang w:eastAsia="en-US"/>
        </w:rPr>
        <w:tab/>
        <w:t>Tutkittuaan valituksen tutkittavaksi ottamisen edellytykset valituslautakunnat tekevät päätöksen valituksen aiheellisuudesta.</w:t>
      </w:r>
    </w:p>
    <w:p w:rsidR="00AD600E" w:rsidRPr="006A576B" w:rsidRDefault="00AD600E" w:rsidP="00207001">
      <w:pPr>
        <w:widowControl/>
        <w:spacing w:before="120" w:after="120" w:line="360" w:lineRule="auto"/>
        <w:ind w:left="850" w:hanging="850"/>
        <w:rPr>
          <w:b/>
          <w:szCs w:val="24"/>
          <w:lang w:eastAsia="en-US"/>
        </w:rPr>
      </w:pPr>
      <w:r w:rsidRPr="006A576B">
        <w:rPr>
          <w:szCs w:val="24"/>
          <w:lang w:eastAsia="en-US"/>
        </w:rPr>
        <w:t>5.</w:t>
      </w:r>
      <w:r w:rsidRPr="006A576B">
        <w:rPr>
          <w:szCs w:val="24"/>
          <w:lang w:eastAsia="en-US"/>
        </w:rPr>
        <w:tab/>
        <w:t xml:space="preserve">Jos viraston valituslautakunnille tehty valitus johtaa päätökseen, joka ei ole tutkimuslausunnon mukainen ja joka toimitetaan virastolle, lautakuntien päätös </w:t>
      </w:r>
      <w:r w:rsidRPr="006A576B">
        <w:rPr>
          <w:strike/>
          <w:szCs w:val="24"/>
          <w:lang w:eastAsia="en-US"/>
        </w:rPr>
        <w:t>voi kumota</w:t>
      </w:r>
      <w:r w:rsidRPr="006A576B">
        <w:rPr>
          <w:b/>
          <w:i/>
          <w:szCs w:val="24"/>
          <w:lang w:eastAsia="en-US"/>
        </w:rPr>
        <w:t>kumoaa</w:t>
      </w:r>
      <w:r w:rsidRPr="006A576B">
        <w:rPr>
          <w:szCs w:val="24"/>
          <w:lang w:eastAsia="en-US"/>
        </w:rPr>
        <w:t xml:space="preserve"> lausunnon tai muuttaa sitä ennen sen toimittamista nimettyjen jäsenvaltioiden toimivaltaisille kansallisille viranomaisille.</w:t>
      </w:r>
      <w:r w:rsidR="000B1D75" w:rsidRPr="006A576B">
        <w:rPr>
          <w:b/>
          <w:szCs w:val="24"/>
          <w:lang w:eastAsia="en-US"/>
        </w:rPr>
        <w:t xml:space="preserve"> [tark. 50]</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6.</w:t>
      </w:r>
      <w:r w:rsidRPr="006A576B">
        <w:rPr>
          <w:szCs w:val="24"/>
          <w:lang w:eastAsia="en-US"/>
        </w:rPr>
        <w:tab/>
        <w:t>Valituslautakuntien tekemät valituksia koskevat päätökset voidaan saattaa Euroopan unionin yleisen tuomioistuimen käsiteltäväksi kahden kuukauden kuluessa kyseisen päätöksen tiedoksiantopäivästä olennaisen menettelymääräyksen rikkomisen, Euroopan unionin toiminnasta tehdyn sopimuksen rikkomisen, tämän asetuksen rikkomisen tai niiden soveltamista koskevan oikeussäännön rikkomisen taikka harkintavallan väärinkäytön perusteella. Kannetta voi ajaa kuka tahansa valituslautakunnan menettelyn osapuolista, joihin päätös vaikuttaa kielteisesti. Unionin yleisellä tuomioistuimella on toimivalta kumota kanteen kohteena oleva päätös tai muuttaa sitä.</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7.</w:t>
      </w:r>
      <w:r w:rsidRPr="006A576B">
        <w:rPr>
          <w:szCs w:val="24"/>
          <w:lang w:eastAsia="en-US"/>
        </w:rPr>
        <w:tab/>
        <w:t>Valituslautakuntien päätökset tulevat voimaan 6 kohdassa tarkoitetun määräajan päättymistä seuraavana päivänä tai, jos asia on tämän ajan kuluessa saatettu unionin yleisen tuomioistuimen käsiteltäväksi, tämän toimen tai Euroopan unionin tuomioistuimelle unionin yleisen tuomioistuimen päätöksestä tehdyn valituksen hylkäämispäivää seuraavana päivänä. Virasto toteuttaa tarvittavat toimenpiteet unionin yleisen tuomioistuimen tuomion tai, jos siihen on haettu muutosta, unionin tuomioistuimen tuomion noudattamiseksi.</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8.</w:t>
      </w:r>
      <w:r w:rsidRPr="006A576B">
        <w:rPr>
          <w:szCs w:val="24"/>
          <w:lang w:eastAsia="en-US"/>
        </w:rPr>
        <w:tab/>
        <w:t>Siirretään komissiolle valta antaa 55 artiklan mukaisesti delegoituja säädöksiä, joilla täydennetään tätä asetusta määrittämällä 3 kohdassa tarkoitetun valitusilmoituksen sisältö ja muoto, valituksen tekemistä ja tutkimista koskeva menettely sekä 4 kohdassa tarkoitetun valituslautakuntien päätöksen sisältö ja muoto.</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30 artikla</w:t>
      </w:r>
      <w:r w:rsidRPr="006A576B">
        <w:rPr>
          <w:szCs w:val="24"/>
          <w:lang w:eastAsia="en-US"/>
        </w:rPr>
        <w:br/>
        <w:t>Valituslautakunnat</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Asetuksella (EU) 2017/1001 perustettujen valituslautakuntien tehtävänä on niille saman asetuksen 165 artiklassa annettujen valtuuksien lisäksi ratkaista 29 artiklan 1 kohdan nojalla tehdyt valitukset viraston tekemistä päätöksistä.</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w:t>
      </w:r>
      <w:r w:rsidRPr="006A576B">
        <w:rPr>
          <w:szCs w:val="24"/>
          <w:lang w:eastAsia="en-US"/>
        </w:rPr>
        <w:tab/>
        <w:t>Keskitettyjä todistushakemuksia koskevia asioita käsittelevässä valituslautakunnassa on oltava kolme jäsentä, joista vähintään kaksi on oikeusoppineita. Valituslautakunta voi kutsua kaksi ylimääräistä jäsentä käsittelemään tiettyä asiaa, jos se katsoo, että valituksen luonne niin vaatii.</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3.</w:t>
      </w:r>
      <w:r w:rsidRPr="006A576B">
        <w:rPr>
          <w:szCs w:val="24"/>
          <w:lang w:eastAsia="en-US"/>
        </w:rPr>
        <w:tab/>
        <w:t>Keskitettyjä todistushakemuksia koskevissa asioissa ei ole asetuksen (EU) 2017/1001 165 artiklan 2, 3 ja 4 kohdassa sekä 167 artiklan 2 kohdassa tarkoitettua suurta lautakuntaa. Asetuksen (EU) 2017/1001 165 artiklan 2 kohdan mukaiset yhden henkilön tekemät päätökset eivät ole mahdollisia.</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b/>
          <w:szCs w:val="24"/>
          <w:lang w:eastAsia="en-US"/>
        </w:rPr>
      </w:pPr>
      <w:r w:rsidRPr="006A576B">
        <w:rPr>
          <w:szCs w:val="24"/>
          <w:lang w:eastAsia="en-US"/>
        </w:rPr>
        <w:lastRenderedPageBreak/>
        <w:t>4.</w:t>
      </w:r>
      <w:r w:rsidRPr="006A576B">
        <w:rPr>
          <w:szCs w:val="24"/>
          <w:lang w:eastAsia="en-US"/>
        </w:rPr>
        <w:tab/>
        <w:t>Keskitettyjä todistushakemuksia koskevia asioita käsittelevien valituslautakuntien jäsenet nimitetään asetuksen (EU) 2017/1001 166 artiklan 5 kohdan mukaisesti.</w:t>
      </w:r>
      <w:r w:rsidRPr="006A576B">
        <w:rPr>
          <w:b/>
          <w:i/>
          <w:szCs w:val="24"/>
          <w:lang w:eastAsia="en-US"/>
        </w:rPr>
        <w:t xml:space="preserve"> Kun nimitetään valituslautakuntien jäseniä käsittelemään keskitettyjä todistushakemuksia koskevia asioita, olisi otettava huomioon heidän aiempi kokemuksensa lisäsuojatodistuksesta tai patenttiasioista.</w:t>
      </w:r>
      <w:r w:rsidR="000B1D75" w:rsidRPr="006A576B">
        <w:rPr>
          <w:b/>
          <w:szCs w:val="24"/>
          <w:lang w:eastAsia="en-US"/>
        </w:rPr>
        <w:t xml:space="preserve"> [tark. 51]</w:t>
      </w:r>
    </w:p>
    <w:p w:rsidR="00AD600E" w:rsidRPr="006A576B" w:rsidRDefault="00AD600E" w:rsidP="00207001">
      <w:pPr>
        <w:widowControl/>
        <w:spacing w:before="120" w:after="120" w:line="360" w:lineRule="auto"/>
        <w:ind w:left="850" w:hanging="850"/>
        <w:rPr>
          <w:b/>
          <w:szCs w:val="24"/>
          <w:lang w:eastAsia="en-US"/>
        </w:rPr>
      </w:pPr>
      <w:r w:rsidRPr="006A576B">
        <w:rPr>
          <w:b/>
          <w:i/>
          <w:szCs w:val="24"/>
          <w:lang w:eastAsia="en-US"/>
        </w:rPr>
        <w:t>4</w:t>
      </w:r>
      <w:r w:rsidR="000B1D75" w:rsidRPr="006A576B">
        <w:rPr>
          <w:b/>
          <w:i/>
          <w:szCs w:val="24"/>
          <w:lang w:eastAsia="en-US"/>
        </w:rPr>
        <w:t xml:space="preserve"> </w:t>
      </w:r>
      <w:r w:rsidRPr="006A576B">
        <w:rPr>
          <w:b/>
          <w:i/>
          <w:szCs w:val="24"/>
          <w:lang w:eastAsia="en-US"/>
        </w:rPr>
        <w:t>a.</w:t>
      </w:r>
      <w:r w:rsidRPr="006A576B">
        <w:rPr>
          <w:szCs w:val="24"/>
          <w:lang w:eastAsia="en-US"/>
        </w:rPr>
        <w:tab/>
      </w:r>
      <w:r w:rsidRPr="006A576B">
        <w:rPr>
          <w:b/>
          <w:i/>
          <w:szCs w:val="24"/>
          <w:lang w:eastAsia="en-US"/>
        </w:rPr>
        <w:t>Keskitettyjä todistushakemuksia koskevissa asioissa valituslautakuntiin sovelletaan asetuksen (EU) 2017/1001 166 artiklan 9 kohtaa.</w:t>
      </w:r>
      <w:r w:rsidR="000B1D75" w:rsidRPr="006A576B">
        <w:rPr>
          <w:b/>
          <w:szCs w:val="24"/>
          <w:lang w:eastAsia="en-US"/>
        </w:rPr>
        <w:t xml:space="preserve"> [tark. 52]</w:t>
      </w:r>
    </w:p>
    <w:p w:rsidR="00AD600E" w:rsidRPr="006A576B" w:rsidRDefault="00AD600E" w:rsidP="00207001">
      <w:pPr>
        <w:widowControl/>
        <w:spacing w:before="120" w:after="120" w:line="360" w:lineRule="auto"/>
        <w:jc w:val="center"/>
        <w:rPr>
          <w:szCs w:val="24"/>
          <w:lang w:eastAsia="en-US"/>
        </w:rPr>
      </w:pPr>
      <w:r w:rsidRPr="006A576B">
        <w:rPr>
          <w:szCs w:val="24"/>
          <w:lang w:eastAsia="en-US"/>
        </w:rPr>
        <w:t>31 artikla</w:t>
      </w:r>
      <w:r w:rsidRPr="006A576B">
        <w:rPr>
          <w:szCs w:val="24"/>
          <w:lang w:eastAsia="en-US"/>
        </w:rPr>
        <w:br/>
        <w:t>Valituslautakuntia koskevan säädösvallan siirto</w:t>
      </w:r>
    </w:p>
    <w:p w:rsidR="00AD600E" w:rsidRPr="006A576B" w:rsidRDefault="00AD600E" w:rsidP="00207001">
      <w:pPr>
        <w:widowControl/>
        <w:spacing w:before="120" w:after="120" w:line="360" w:lineRule="auto"/>
        <w:rPr>
          <w:szCs w:val="24"/>
          <w:lang w:eastAsia="en-US"/>
        </w:rPr>
      </w:pPr>
      <w:r w:rsidRPr="006A576B">
        <w:rPr>
          <w:szCs w:val="24"/>
          <w:lang w:eastAsia="en-US"/>
        </w:rPr>
        <w:t>Siirretään komissiolle valta antaa 55 artiklan mukaisesti delegoituja säädöksiä, joilla täydennetään tätä asetusta määrittämällä valituslautakuntien organisaatiota koskevat yksityiskohdat tämän asetuksen mukaisia todistuksia koskevissa menettelyissä.</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32 artikla</w:t>
      </w:r>
      <w:r w:rsidRPr="006A576B">
        <w:rPr>
          <w:szCs w:val="24"/>
          <w:lang w:eastAsia="en-US"/>
        </w:rPr>
        <w:br/>
        <w:t>Keskitettyä hakemusta koskevan tutkimuslausunnon kansallinen täytäntöönpano</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Kun valituksen tai väitteen tekemiselle asetetut määräajat ovat päättyneet eikä valitusta tai väitettä ole tehty tai kun asiasta on tehty lopullinen päätös, virasto toimittaa tutkimuslausunnon ja sen käännökset kunkin nimetyn jäsenvaltion toimivaltaiselle kansalliselle viranomaiselle.</w:t>
      </w:r>
    </w:p>
    <w:p w:rsidR="00AD600E" w:rsidRPr="006A576B" w:rsidRDefault="00AD600E" w:rsidP="006A576B">
      <w:pPr>
        <w:widowControl/>
        <w:spacing w:before="120" w:after="120" w:line="360" w:lineRule="auto"/>
        <w:ind w:left="851"/>
        <w:rPr>
          <w:b/>
          <w:szCs w:val="24"/>
          <w:lang w:eastAsia="en-US"/>
        </w:rPr>
      </w:pPr>
      <w:r w:rsidRPr="006A576B">
        <w:rPr>
          <w:b/>
          <w:i/>
          <w:szCs w:val="24"/>
          <w:lang w:eastAsia="en-US"/>
        </w:rPr>
        <w:t>Tiedot toimitetaan ilman aiheetonta viivytystä sellaisessa aikataulussa, että kunkin nimetyn jäsenvaltion toimivaltaiset kansalliset viranomaiset ehtivät tapauksen mukaan joko myöntää todistuksen tai hylätä hakemuksen sovellettavien kansallisten menettelyjen mukaisesti ennen peruspatentin voimassaolon päättymistä.</w:t>
      </w:r>
      <w:r w:rsidR="000B1D75" w:rsidRPr="006A576B">
        <w:rPr>
          <w:b/>
          <w:szCs w:val="24"/>
          <w:lang w:eastAsia="en-US"/>
        </w:rPr>
        <w:t xml:space="preserve"> [tark. 53]</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w:t>
      </w:r>
      <w:r w:rsidRPr="006A576B">
        <w:rPr>
          <w:szCs w:val="24"/>
          <w:lang w:eastAsia="en-US"/>
        </w:rPr>
        <w:tab/>
        <w:t>Jos keskitetystä hakemuksesta on annettu myönteinen tutkimuslausunto yhden tai useamman nimetyn jäsenvaltion osalta, kunkin kyseisen jäsenvaltion toimivaltaisen kansallisen viranomaisen on myönnettävä todistus sovellettavien kansallisten sääntöjen ja menettelyjen mukaisesti.</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3.</w:t>
      </w:r>
      <w:r w:rsidRPr="006A576B">
        <w:rPr>
          <w:szCs w:val="24"/>
          <w:lang w:eastAsia="en-US"/>
        </w:rPr>
        <w:tab/>
        <w:t>Poiketen siitä, mitä 2 kohdassa säädetään, jäsenvaltio voi päättää olla myöntämättä todistusta, jos olennaiset olosuhteet kyseisessä jäsenvaltiossa ovat muuttuneet keskitetyn hakemuksen jättämisen jälkeen yhden tai useamman 15 artiklan 1 kohdan b tai c alakohdassa tai 14 artiklan ensimmäisen kohdan d alakohdassa säädetyn edellytyksen osalta. Tällaisessa tapauksessa kyseisen jäsenvaltion on hylättävä hakemus siltä osin kuin se koskee kyseistä jäsenvaltiota.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4.</w:t>
      </w:r>
      <w:r w:rsidRPr="006A576B">
        <w:rPr>
          <w:szCs w:val="24"/>
          <w:lang w:eastAsia="en-US"/>
        </w:rPr>
        <w:tab/>
        <w:t>Toimivaltaisen kansallisen viranomaisen tämän artiklan nojalla myöntämään todistukseen sovelletaan 4, 5, 11 ja 12–19 artiklaa sekä sovellettavaa kansallista lainsäädäntöä.</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5.</w:t>
      </w:r>
      <w:r w:rsidRPr="006A576B">
        <w:rPr>
          <w:szCs w:val="24"/>
          <w:lang w:eastAsia="en-US"/>
        </w:rPr>
        <w:tab/>
        <w:t>Jos yhden tai useamman nimetyn jäsenvaltion osalta on annettu kielteinen tutkimuslausunto, kunkin kyseisen jäsenvaltion toimivaltaisen kansallisen viranomaisen on annettava hylkäyspäätös sovellettavien kansallisten sääntöjen ja menettelyjen mukaisesti.</w:t>
      </w:r>
    </w:p>
    <w:p w:rsidR="00AD600E" w:rsidRPr="006A576B" w:rsidRDefault="00AD600E" w:rsidP="00207001">
      <w:pPr>
        <w:widowControl/>
        <w:spacing w:before="120" w:after="120" w:line="360" w:lineRule="auto"/>
        <w:ind w:left="850" w:hanging="850"/>
        <w:rPr>
          <w:b/>
          <w:szCs w:val="24"/>
          <w:lang w:eastAsia="en-US"/>
        </w:rPr>
      </w:pPr>
      <w:r w:rsidRPr="006A576B">
        <w:rPr>
          <w:b/>
          <w:i/>
          <w:szCs w:val="24"/>
          <w:lang w:eastAsia="en-US"/>
        </w:rPr>
        <w:t>5</w:t>
      </w:r>
      <w:r w:rsidR="000B1D75" w:rsidRPr="006A576B">
        <w:rPr>
          <w:b/>
          <w:i/>
          <w:szCs w:val="24"/>
          <w:lang w:eastAsia="en-US"/>
        </w:rPr>
        <w:t xml:space="preserve"> </w:t>
      </w:r>
      <w:r w:rsidRPr="006A576B">
        <w:rPr>
          <w:b/>
          <w:i/>
          <w:szCs w:val="24"/>
          <w:lang w:eastAsia="en-US"/>
        </w:rPr>
        <w:t>a.</w:t>
      </w:r>
      <w:r w:rsidRPr="006A576B">
        <w:rPr>
          <w:szCs w:val="24"/>
          <w:lang w:eastAsia="en-US"/>
        </w:rPr>
        <w:tab/>
      </w:r>
      <w:r w:rsidRPr="006A576B">
        <w:rPr>
          <w:b/>
          <w:i/>
          <w:szCs w:val="24"/>
          <w:lang w:eastAsia="en-US"/>
        </w:rPr>
        <w:t>Toimivaltainen kansallinen viranomainen ilmoittaa hakijalle päätöksensä ilman aiheetonta viivytystä.</w:t>
      </w:r>
      <w:r w:rsidR="000B1D75" w:rsidRPr="006A576B">
        <w:rPr>
          <w:b/>
          <w:szCs w:val="24"/>
          <w:lang w:eastAsia="en-US"/>
        </w:rPr>
        <w:t xml:space="preserve"> [tark. 54]</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33 artikla</w:t>
      </w:r>
      <w:r w:rsidRPr="006A576B">
        <w:rPr>
          <w:szCs w:val="24"/>
          <w:lang w:eastAsia="en-US"/>
        </w:rPr>
        <w:br/>
        <w:t>Voimassaoloajan jatkamista koskeva keskitetty hakemus</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Jos tiettyä lääkettä koskevat todistukset on myönnetty keskitetyssä menettelyssä, niiden haltija voi pyytää kyseisten todistusten voimassaoloajan jatkamista jättämällä virastolle näiden todistusten voimassaoloajan jatkamista koskevan keskitetyn hakemuksen. Keskitetyssä hakemuksessa on nimettävä jäsenvaltiot, joiden osalta jatkamista haetaan.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w:t>
      </w:r>
      <w:r w:rsidRPr="006A576B">
        <w:rPr>
          <w:szCs w:val="24"/>
          <w:lang w:eastAsia="en-US"/>
        </w:rPr>
        <w:tab/>
        <w:t>Voimassaoloajan jatkamista koskeva keskitetty hakemus jätetään 7 artiklan 3 ja 4 kohdan, 8 artiklan 1 kohdan d alakohdan ja 8 artiklan 2, 3 ja 4 kohdan mukaisesti.</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3.</w:t>
      </w:r>
      <w:r w:rsidRPr="006A576B">
        <w:rPr>
          <w:szCs w:val="24"/>
          <w:lang w:eastAsia="en-US"/>
        </w:rPr>
        <w:tab/>
        <w:t>Edellä olevia 10, 11 ja 17 artiklaa sovelletaan, jolloin viittauksia ”9 artiklan 1 kohdassa tarkoitettuun viranomaiseen” pidetään viittauksina virastoon.</w:t>
      </w:r>
    </w:p>
    <w:p w:rsidR="00AD600E" w:rsidRPr="006A576B" w:rsidRDefault="00AD600E" w:rsidP="00207001">
      <w:pPr>
        <w:widowControl/>
        <w:spacing w:before="120" w:after="120" w:line="360" w:lineRule="auto"/>
        <w:ind w:left="850" w:hanging="850"/>
        <w:rPr>
          <w:b/>
          <w:szCs w:val="24"/>
          <w:lang w:eastAsia="en-US"/>
        </w:rPr>
      </w:pPr>
      <w:r w:rsidRPr="006A576B">
        <w:rPr>
          <w:szCs w:val="24"/>
          <w:lang w:eastAsia="en-US"/>
        </w:rPr>
        <w:t>4.</w:t>
      </w:r>
      <w:r w:rsidRPr="006A576B">
        <w:rPr>
          <w:szCs w:val="24"/>
          <w:lang w:eastAsia="en-US"/>
        </w:rPr>
        <w:tab/>
        <w:t>Kolmannet osapuolet voivat myös esittää huomautuksia todistusten voimassaoloajan jatkamista koskevasta keskitetystä hakemuksesta</w:t>
      </w:r>
      <w:r w:rsidRPr="006A576B">
        <w:rPr>
          <w:b/>
          <w:i/>
          <w:szCs w:val="24"/>
          <w:lang w:eastAsia="en-US"/>
        </w:rPr>
        <w:t xml:space="preserve"> tai tehdä väitteen sitä vastaan</w:t>
      </w:r>
      <w:r w:rsidRPr="006A576B">
        <w:rPr>
          <w:szCs w:val="24"/>
          <w:lang w:eastAsia="en-US"/>
        </w:rPr>
        <w:t>.</w:t>
      </w:r>
      <w:r w:rsidR="000B1D75" w:rsidRPr="006A576B">
        <w:rPr>
          <w:b/>
          <w:szCs w:val="24"/>
          <w:lang w:eastAsia="en-US"/>
        </w:rPr>
        <w:t xml:space="preserve"> [tark. 55]</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34 artikla</w:t>
      </w:r>
      <w:r w:rsidRPr="006A576B">
        <w:rPr>
          <w:szCs w:val="24"/>
          <w:lang w:eastAsia="en-US"/>
        </w:rPr>
        <w:br/>
        <w:t>Maksut</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Virasto perii maksun keskitetystä todistushakemuksesta ja todistuksen voimassaoloajan jatkamista koskevasta keskitetystä hakemuksesta.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w:t>
      </w:r>
      <w:r w:rsidRPr="006A576B">
        <w:rPr>
          <w:szCs w:val="24"/>
          <w:lang w:eastAsia="en-US"/>
        </w:rPr>
        <w:tab/>
        <w:t>Virasto perii maksun valituksesta ja väitteestä.</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3.</w:t>
      </w:r>
      <w:r w:rsidRPr="006A576B">
        <w:rPr>
          <w:szCs w:val="24"/>
          <w:lang w:eastAsia="en-US"/>
        </w:rPr>
        <w:tab/>
        <w:t>Komissiolle siirretään valta antaa täytäntöönpanosäädöksiä, joissa määritetään viraston perimien maksujen määrät, maksujen määräajat ja maksujen suorittamistavat. Nämä täytäntöönpanosäädökset hyväksytään 56 artiklassa tarkoitettua tarkastelumenettelyä noudattaen.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4.</w:t>
      </w:r>
      <w:r w:rsidRPr="006A576B">
        <w:rPr>
          <w:szCs w:val="24"/>
          <w:lang w:eastAsia="en-US"/>
        </w:rPr>
        <w:tab/>
        <w:t>Tämän luvun nojalla myönnettyihin todistuksiin sovelletaan 12 artiklaa.</w:t>
      </w:r>
    </w:p>
    <w:p w:rsidR="00AD600E" w:rsidRPr="006A576B" w:rsidRDefault="00AD600E" w:rsidP="00207001">
      <w:pPr>
        <w:widowControl/>
        <w:spacing w:before="120" w:after="120" w:line="360" w:lineRule="auto"/>
        <w:jc w:val="center"/>
        <w:rPr>
          <w:szCs w:val="24"/>
          <w:lang w:eastAsia="en-US"/>
        </w:rPr>
      </w:pPr>
      <w:r w:rsidRPr="006A576B">
        <w:rPr>
          <w:szCs w:val="24"/>
          <w:lang w:eastAsia="en-US"/>
        </w:rPr>
        <w:t>35 artikla</w:t>
      </w:r>
      <w:r w:rsidRPr="006A576B">
        <w:rPr>
          <w:szCs w:val="24"/>
          <w:lang w:eastAsia="en-US"/>
        </w:rPr>
        <w:br/>
        <w:t>Rekisteri</w:t>
      </w:r>
    </w:p>
    <w:p w:rsidR="00AD600E" w:rsidRPr="006A576B" w:rsidRDefault="00AD600E" w:rsidP="00207001">
      <w:pPr>
        <w:widowControl/>
        <w:spacing w:before="120" w:after="120" w:line="360" w:lineRule="auto"/>
        <w:ind w:left="850" w:hanging="850"/>
        <w:rPr>
          <w:b/>
          <w:szCs w:val="24"/>
          <w:lang w:eastAsia="en-US"/>
        </w:rPr>
      </w:pPr>
      <w:r w:rsidRPr="006A576B">
        <w:rPr>
          <w:szCs w:val="24"/>
          <w:lang w:eastAsia="en-US"/>
        </w:rPr>
        <w:t>1.</w:t>
      </w:r>
      <w:r w:rsidRPr="006A576B">
        <w:rPr>
          <w:szCs w:val="24"/>
          <w:lang w:eastAsia="en-US"/>
        </w:rPr>
        <w:tab/>
        <w:t>Virasto kehittää, pitää ja ylläpitää sähköistä</w:t>
      </w:r>
      <w:r w:rsidRPr="006A576B">
        <w:rPr>
          <w:b/>
          <w:i/>
          <w:szCs w:val="24"/>
          <w:lang w:eastAsia="en-US"/>
        </w:rPr>
        <w:t>, haut mahdollistavaa julkista</w:t>
      </w:r>
      <w:r w:rsidRPr="006A576B">
        <w:rPr>
          <w:szCs w:val="24"/>
          <w:lang w:eastAsia="en-US"/>
        </w:rPr>
        <w:t xml:space="preserve"> rekisteriä, joka tarjoaa ajantasaista tietoa kaikkien julkaistujen keskitettyjen hakemusten ja kaikkien todistusten voimassaoloajan jatkamista koskevien keskitettyjen hakemusten tilasta.</w:t>
      </w:r>
      <w:r w:rsidR="000B1D75" w:rsidRPr="006A576B">
        <w:rPr>
          <w:b/>
          <w:szCs w:val="24"/>
          <w:lang w:eastAsia="en-US"/>
        </w:rPr>
        <w:t xml:space="preserve"> [tark. 56]</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2.</w:t>
      </w:r>
      <w:r w:rsidRPr="006A576B">
        <w:rPr>
          <w:szCs w:val="24"/>
          <w:lang w:eastAsia="en-US"/>
        </w:rPr>
        <w:tab/>
        <w:t>Rekisterissä on oltava kunkin keskitetyn hakemuksen tai todistuksen osalta kaikki seuraavat tiedot:</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a)</w:t>
      </w:r>
      <w:r w:rsidRPr="006A576B">
        <w:rPr>
          <w:szCs w:val="24"/>
          <w:lang w:eastAsia="en-US"/>
        </w:rPr>
        <w:tab/>
        <w:t>hakijan tai todistuksen haltijan nimi ja osoite;</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b)</w:t>
      </w:r>
      <w:r w:rsidRPr="006A576B">
        <w:rPr>
          <w:szCs w:val="24"/>
          <w:lang w:eastAsia="en-US"/>
        </w:rPr>
        <w:tab/>
        <w:t>edustajan nimi ja toimipaikka, jos tämä on muu kuin 37 artiklan 3 kohdassa tarkoitettu edustaja;</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c)</w:t>
      </w:r>
      <w:r w:rsidRPr="006A576B">
        <w:rPr>
          <w:szCs w:val="24"/>
          <w:lang w:eastAsia="en-US"/>
        </w:rPr>
        <w:tab/>
        <w:t>hakemus sekä sen jättöpäivä ja julkaisupäivä;</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d)</w:t>
      </w:r>
      <w:r w:rsidRPr="006A576B">
        <w:rPr>
          <w:szCs w:val="24"/>
          <w:lang w:eastAsia="en-US"/>
        </w:rPr>
        <w:tab/>
        <w:t>koskeeko hakemus lääkettä vai kasvinsuojeluainetta;</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e)</w:t>
      </w:r>
      <w:r w:rsidRPr="006A576B">
        <w:rPr>
          <w:szCs w:val="24"/>
          <w:lang w:eastAsia="en-US"/>
        </w:rPr>
        <w:tab/>
        <w:t>tarvittaessa maininta siitä, että hakemukseen sisältyy voimassaoloajan jatkamista koskeva hakemus;</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f)</w:t>
      </w:r>
      <w:r w:rsidRPr="006A576B">
        <w:rPr>
          <w:szCs w:val="24"/>
          <w:lang w:eastAsia="en-US"/>
        </w:rPr>
        <w:tab/>
        <w:t>nimetyt jäsenvaltiot;</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g)</w:t>
      </w:r>
      <w:r w:rsidRPr="006A576B">
        <w:rPr>
          <w:szCs w:val="24"/>
          <w:lang w:eastAsia="en-US"/>
        </w:rPr>
        <w:tab/>
        <w:t>peruspatentin numero;</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h)</w:t>
      </w:r>
      <w:r w:rsidRPr="006A576B">
        <w:rPr>
          <w:szCs w:val="24"/>
          <w:lang w:eastAsia="en-US"/>
        </w:rPr>
        <w:tab/>
        <w:t>sen tuotteen tunnistetiedot, jolle todistuksia haetaan;</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lastRenderedPageBreak/>
        <w:t>i)</w:t>
      </w:r>
      <w:r w:rsidRPr="006A576B">
        <w:rPr>
          <w:szCs w:val="24"/>
          <w:lang w:eastAsia="en-US"/>
        </w:rPr>
        <w:tab/>
        <w:t>edellä 3 artiklan 1 alakohdan b alakohdassa tarkoitetun markkinoille saattamista koskevan luvan numero ja päivämäärä ja sen tuotteen tunnistetiedot, jota lupa koskee;</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j)</w:t>
      </w:r>
      <w:r w:rsidRPr="006A576B">
        <w:rPr>
          <w:szCs w:val="24"/>
          <w:lang w:eastAsia="en-US"/>
        </w:rPr>
        <w:tab/>
        <w:t>ensimmäisen unionissa annetun markkinoille saattamista koskevan luvan numero ja päivämäärä;</w:t>
      </w:r>
    </w:p>
    <w:p w:rsidR="00AD600E" w:rsidRPr="006A576B" w:rsidRDefault="00AD600E" w:rsidP="00207001">
      <w:pPr>
        <w:widowControl/>
        <w:spacing w:before="120" w:after="120" w:line="360" w:lineRule="auto"/>
        <w:ind w:left="1416" w:hanging="566"/>
        <w:rPr>
          <w:b/>
          <w:szCs w:val="24"/>
          <w:lang w:eastAsia="en-US"/>
        </w:rPr>
      </w:pPr>
      <w:r w:rsidRPr="006A576B">
        <w:rPr>
          <w:b/>
          <w:i/>
          <w:szCs w:val="24"/>
          <w:lang w:eastAsia="en-US"/>
        </w:rPr>
        <w:t>j</w:t>
      </w:r>
      <w:r w:rsidR="000B1D75" w:rsidRPr="006A576B">
        <w:rPr>
          <w:b/>
          <w:i/>
          <w:szCs w:val="24"/>
          <w:lang w:eastAsia="en-US"/>
        </w:rPr>
        <w:t xml:space="preserve"> </w:t>
      </w:r>
      <w:r w:rsidRPr="006A576B">
        <w:rPr>
          <w:b/>
          <w:i/>
          <w:szCs w:val="24"/>
          <w:lang w:eastAsia="en-US"/>
        </w:rPr>
        <w:t>a)</w:t>
      </w:r>
      <w:r w:rsidRPr="006A576B">
        <w:rPr>
          <w:szCs w:val="24"/>
          <w:lang w:eastAsia="en-US"/>
        </w:rPr>
        <w:tab/>
      </w:r>
      <w:r w:rsidRPr="006A576B">
        <w:rPr>
          <w:b/>
          <w:i/>
          <w:szCs w:val="24"/>
          <w:lang w:eastAsia="en-US"/>
        </w:rPr>
        <w:t>tiedot kaikesta suorasta julkisesta rahoitustuesta, jota lääkkeen kehittämiseen liittyvään tutkimukseen on saatu;</w:t>
      </w:r>
      <w:r w:rsidR="00CC36E3" w:rsidRPr="006A576B">
        <w:rPr>
          <w:b/>
          <w:szCs w:val="24"/>
          <w:lang w:eastAsia="en-US"/>
        </w:rPr>
        <w:t xml:space="preserve"> [tark. 57]</w:t>
      </w:r>
    </w:p>
    <w:p w:rsidR="00AD600E" w:rsidRPr="006A576B" w:rsidRDefault="00AD600E" w:rsidP="00207001">
      <w:pPr>
        <w:widowControl/>
        <w:spacing w:before="120" w:after="120" w:line="360" w:lineRule="auto"/>
        <w:ind w:left="1416" w:hanging="566"/>
        <w:rPr>
          <w:b/>
          <w:szCs w:val="24"/>
          <w:lang w:eastAsia="en-US"/>
        </w:rPr>
      </w:pPr>
      <w:r w:rsidRPr="006A576B">
        <w:rPr>
          <w:szCs w:val="24"/>
          <w:lang w:eastAsia="en-US"/>
        </w:rPr>
        <w:t>k)</w:t>
      </w:r>
      <w:r w:rsidRPr="006A576B">
        <w:rPr>
          <w:szCs w:val="24"/>
          <w:lang w:eastAsia="en-US"/>
        </w:rPr>
        <w:tab/>
      </w:r>
      <w:r w:rsidRPr="006A576B">
        <w:rPr>
          <w:strike/>
          <w:szCs w:val="24"/>
          <w:lang w:eastAsia="en-US"/>
        </w:rPr>
        <w:t xml:space="preserve">tutkimuslausunnon </w:t>
      </w:r>
      <w:r w:rsidRPr="006A576B">
        <w:rPr>
          <w:szCs w:val="24"/>
          <w:lang w:eastAsia="en-US"/>
        </w:rPr>
        <w:t xml:space="preserve">päivämäärä ja </w:t>
      </w:r>
      <w:r w:rsidRPr="006A576B">
        <w:rPr>
          <w:strike/>
          <w:szCs w:val="24"/>
          <w:lang w:eastAsia="en-US"/>
        </w:rPr>
        <w:t>tiivistelmä</w:t>
      </w:r>
      <w:r w:rsidRPr="006A576B">
        <w:rPr>
          <w:b/>
          <w:i/>
          <w:szCs w:val="24"/>
          <w:lang w:eastAsia="en-US"/>
        </w:rPr>
        <w:t>tutkimuslausunto</w:t>
      </w:r>
      <w:r w:rsidRPr="006A576B">
        <w:rPr>
          <w:szCs w:val="24"/>
          <w:lang w:eastAsia="en-US"/>
        </w:rPr>
        <w:t xml:space="preserve"> kunkin nimetyn jäsenvaltion osalta;</w:t>
      </w:r>
      <w:r w:rsidR="00CC36E3" w:rsidRPr="006A576B">
        <w:rPr>
          <w:b/>
          <w:szCs w:val="24"/>
          <w:lang w:eastAsia="en-US"/>
        </w:rPr>
        <w:t xml:space="preserve"> [tark. 58]</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l)</w:t>
      </w:r>
      <w:r w:rsidRPr="006A576B">
        <w:rPr>
          <w:szCs w:val="24"/>
          <w:lang w:eastAsia="en-US"/>
        </w:rPr>
        <w:tab/>
        <w:t>tarvittaessa myönnettävien todistusten voimassaoloaika;</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m)</w:t>
      </w:r>
      <w:r w:rsidRPr="006A576B">
        <w:rPr>
          <w:szCs w:val="24"/>
          <w:lang w:eastAsia="en-US"/>
        </w:rPr>
        <w:tab/>
        <w:t>tarvittaessa todistuksen voimassaoloajan jatkamista koskevaa hakemusta koskevan tutkimuslausunnon päivämäärä ja tiivistelmä;</w:t>
      </w:r>
    </w:p>
    <w:p w:rsidR="00AD600E" w:rsidRPr="006A576B" w:rsidRDefault="00AD600E" w:rsidP="00207001">
      <w:pPr>
        <w:widowControl/>
        <w:spacing w:before="120" w:after="120" w:line="360" w:lineRule="auto"/>
        <w:ind w:left="1416" w:hanging="566"/>
        <w:rPr>
          <w:b/>
          <w:szCs w:val="24"/>
          <w:lang w:eastAsia="en-US"/>
        </w:rPr>
      </w:pPr>
      <w:r w:rsidRPr="006A576B">
        <w:rPr>
          <w:szCs w:val="24"/>
          <w:lang w:eastAsia="en-US"/>
        </w:rPr>
        <w:t>n)</w:t>
      </w:r>
      <w:r w:rsidRPr="006A576B">
        <w:rPr>
          <w:szCs w:val="24"/>
          <w:lang w:eastAsia="en-US"/>
        </w:rPr>
        <w:tab/>
        <w:t>tarvittaessa hakemuksesta tehty väite</w:t>
      </w:r>
      <w:r w:rsidRPr="006A576B">
        <w:rPr>
          <w:b/>
          <w:i/>
          <w:szCs w:val="24"/>
          <w:lang w:eastAsia="en-US"/>
        </w:rPr>
        <w:t>, sen tila</w:t>
      </w:r>
      <w:r w:rsidRPr="006A576B">
        <w:rPr>
          <w:szCs w:val="24"/>
          <w:lang w:eastAsia="en-US"/>
        </w:rPr>
        <w:t>, sen tulos ja tarvittaessa yhteenveto tarkistetusta tutkimuslausunnosta;</w:t>
      </w:r>
      <w:r w:rsidR="00CC36E3" w:rsidRPr="006A576B">
        <w:rPr>
          <w:b/>
          <w:szCs w:val="24"/>
          <w:lang w:eastAsia="en-US"/>
        </w:rPr>
        <w:t xml:space="preserve"> [tark. 59]</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1416" w:hanging="566"/>
        <w:rPr>
          <w:b/>
          <w:szCs w:val="24"/>
          <w:lang w:eastAsia="en-US"/>
        </w:rPr>
      </w:pPr>
      <w:r w:rsidRPr="006A576B">
        <w:rPr>
          <w:szCs w:val="24"/>
          <w:lang w:eastAsia="en-US"/>
        </w:rPr>
        <w:lastRenderedPageBreak/>
        <w:t>o)</w:t>
      </w:r>
      <w:r w:rsidRPr="006A576B">
        <w:rPr>
          <w:szCs w:val="24"/>
          <w:lang w:eastAsia="en-US"/>
        </w:rPr>
        <w:tab/>
        <w:t>tarvittaessa hakemuksesta tehty valitus</w:t>
      </w:r>
      <w:r w:rsidRPr="006A576B">
        <w:rPr>
          <w:b/>
          <w:i/>
          <w:szCs w:val="24"/>
          <w:lang w:eastAsia="en-US"/>
        </w:rPr>
        <w:t>, sen tila</w:t>
      </w:r>
      <w:r w:rsidRPr="006A576B">
        <w:rPr>
          <w:szCs w:val="24"/>
          <w:lang w:eastAsia="en-US"/>
        </w:rPr>
        <w:t>, valitusmenettelyn tulos ja tarvittaessa yhteenveto tarkistetusta tutkimuslausunnosta;</w:t>
      </w:r>
      <w:r w:rsidR="00CC36E3" w:rsidRPr="006A576B">
        <w:rPr>
          <w:b/>
          <w:szCs w:val="24"/>
          <w:lang w:eastAsia="en-US"/>
        </w:rPr>
        <w:t xml:space="preserve"> [tark. 60]</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p)</w:t>
      </w:r>
      <w:r w:rsidRPr="006A576B">
        <w:rPr>
          <w:szCs w:val="24"/>
          <w:lang w:eastAsia="en-US"/>
        </w:rPr>
        <w:tab/>
        <w:t>tarvittaessa kussakin nimetyssä jäsenvaltiossa myönnettyjen todistusten tiedot, jos ne ovat saatavilla;</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q)</w:t>
      </w:r>
      <w:r w:rsidRPr="006A576B">
        <w:rPr>
          <w:szCs w:val="24"/>
          <w:lang w:eastAsia="en-US"/>
        </w:rPr>
        <w:tab/>
        <w:t>tarvittaessa maininta siitä, että keskitetty hakemus on hylätty yhdessä tai useammassa nimetyssä jäsenvaltiossa;</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r)</w:t>
      </w:r>
      <w:r w:rsidRPr="006A576B">
        <w:rPr>
          <w:szCs w:val="24"/>
          <w:lang w:eastAsia="en-US"/>
        </w:rPr>
        <w:tab/>
        <w:t>tarvittaessa maininta siitä, että todistus on rauennut tai julistettu mitättömäksi;</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s)</w:t>
      </w:r>
      <w:r w:rsidRPr="006A576B">
        <w:rPr>
          <w:szCs w:val="24"/>
          <w:lang w:eastAsia="en-US"/>
        </w:rPr>
        <w:tab/>
        <w:t>tiedot asianmukaisten toimivaltaisten kansallisten viranomaisten vahvistamien vuosimaksujen maksamisesta.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3.</w:t>
      </w:r>
      <w:r w:rsidRPr="006A576B">
        <w:rPr>
          <w:szCs w:val="24"/>
          <w:lang w:eastAsia="en-US"/>
        </w:rPr>
        <w:tab/>
        <w:t>Rekisteriin merkitään muutokset 2 kohdassa tarkoitettuihin tietoihin, mukaan lukien siirrot, sekä jokaisen merkinnän kirjaamispäivä.</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4.</w:t>
      </w:r>
      <w:r w:rsidRPr="006A576B">
        <w:rPr>
          <w:szCs w:val="24"/>
          <w:lang w:eastAsia="en-US"/>
        </w:rPr>
        <w:tab/>
        <w:t>Rekisterin ja 2 ja 3 kohdassa tarkoitettujen tietojen on oltava saatavilla kaikilla unionin virallisilla kielillä. Virasto voi käyttää tarkistettuja konekäännöksiä rekisterissä julkaistavissa tiedoissa.</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5.</w:t>
      </w:r>
      <w:r w:rsidRPr="006A576B">
        <w:rPr>
          <w:szCs w:val="24"/>
          <w:lang w:eastAsia="en-US"/>
        </w:rPr>
        <w:tab/>
        <w:t>Toimivaltaisten kansallisten viranomaisten on viipymättä toimitettava virastolle tiedot todistusten myöntämisestä, raukeamisesta, mitätöimisestä tai siirtämisestä ja II ja III luvun mukaisten hakemusten hylkäämisestä sekä niihin liittyvien vuosimaksujen maksamisesta.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6.</w:t>
      </w:r>
      <w:r w:rsidRPr="006A576B">
        <w:rPr>
          <w:szCs w:val="24"/>
          <w:lang w:eastAsia="en-US"/>
        </w:rPr>
        <w:tab/>
        <w:t>Viraston pääjohtaja voi päättää muiden kuin 2 ja 3 kohdassa tarkoitettujen tietojen merkitsemisestä rekisteriin.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7.</w:t>
      </w:r>
      <w:r w:rsidRPr="006A576B">
        <w:rPr>
          <w:szCs w:val="24"/>
          <w:lang w:eastAsia="en-US"/>
        </w:rPr>
        <w:tab/>
        <w:t>Virasto kerää, järjestää, julkistaa ja tallentaa 2 ja 3 kohdassa tarkoitettuja tietoja, mukaan lukien henkilötiedot, 10 kohdassa säädettyjä tarkoituksia varten. Virasto pitää rekisterin helposti yleisesti nähtävillä.</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8.</w:t>
      </w:r>
      <w:r w:rsidRPr="006A576B">
        <w:rPr>
          <w:szCs w:val="24"/>
          <w:lang w:eastAsia="en-US"/>
        </w:rPr>
        <w:tab/>
        <w:t>Virasto toimittaa oikeaksi todistettuja tai todistamattomia rekisteriotteita pyynnöstä ja maksua vastaan.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9.</w:t>
      </w:r>
      <w:r w:rsidRPr="006A576B">
        <w:rPr>
          <w:szCs w:val="24"/>
          <w:lang w:eastAsia="en-US"/>
        </w:rPr>
        <w:tab/>
        <w:t>Edellä 2 ja 3 kohdassa tarkoitetuissa merkinnöissä olevia tietoja, henkilötiedot mukaan lukien, käsitellään seuraavissa tarkoituksissa:</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a)</w:t>
      </w:r>
      <w:r w:rsidRPr="006A576B">
        <w:rPr>
          <w:szCs w:val="24"/>
          <w:lang w:eastAsia="en-US"/>
        </w:rPr>
        <w:tab/>
        <w:t>hakemusten hallinnointi tämän luvun ja sen nojalla hyväksyttyjen säädösten mukaisesti;</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lastRenderedPageBreak/>
        <w:t>b)</w:t>
      </w:r>
      <w:r w:rsidRPr="006A576B">
        <w:rPr>
          <w:szCs w:val="24"/>
          <w:lang w:eastAsia="en-US"/>
        </w:rPr>
        <w:tab/>
        <w:t>rekisterin ylläpito ja asettaminen viranomaisten ja talouden toimijoiden tarkasteltavaksi;</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c)</w:t>
      </w:r>
      <w:r w:rsidRPr="006A576B">
        <w:rPr>
          <w:szCs w:val="24"/>
          <w:lang w:eastAsia="en-US"/>
        </w:rPr>
        <w:tab/>
        <w:t>raporttien ja tilastojen laatiminen, jotta virasto voi toimia optimaalisesti ja parantaa järjestelmän toimivuutta.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10.</w:t>
      </w:r>
      <w:r w:rsidRPr="006A576B">
        <w:rPr>
          <w:szCs w:val="24"/>
          <w:lang w:eastAsia="en-US"/>
        </w:rPr>
        <w:tab/>
        <w:t>Kaikki 2 ja 3 kohdassa tarkoitetuissa merkinnöissä olevat tiedot, henkilötiedot mukaan lukien, katsotaan julkisiksi, ja kolmansilla osapuolilla on niihin pääsy maksutta. Oikeusvarmuuden vuoksi rekisterin merkinnät säilytetään määräämättömän ajan.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11.</w:t>
      </w:r>
      <w:r w:rsidRPr="006A576B">
        <w:rPr>
          <w:szCs w:val="24"/>
          <w:lang w:eastAsia="en-US"/>
        </w:rPr>
        <w:tab/>
        <w:t>Tällä artiklalla perustettua rekisteriä käytetään myös asetuksen [COM(2023) 223] mukaisiin kasvinsuojeluaineiden todistuksiin liittyvien tietojen sekä asetusten [COM(2023) 222] ja [COM(2023) 221] mukaisiin yhtenäisiin todistuksiin liittyvien tietojen julkaisemiseen.</w:t>
      </w:r>
    </w:p>
    <w:p w:rsidR="00DE1EF0" w:rsidRPr="006A576B" w:rsidRDefault="00DE1EF0">
      <w:pPr>
        <w:widowControl/>
        <w:rPr>
          <w:b/>
          <w:i/>
          <w:szCs w:val="24"/>
          <w:lang w:eastAsia="en-US"/>
        </w:rPr>
      </w:pPr>
      <w:r w:rsidRPr="006A576B">
        <w:rPr>
          <w:b/>
          <w:i/>
          <w:szCs w:val="24"/>
          <w:lang w:eastAsia="en-US"/>
        </w:rPr>
        <w:br w:type="page"/>
      </w:r>
    </w:p>
    <w:p w:rsidR="00AD600E" w:rsidRPr="006A576B" w:rsidRDefault="00AD600E" w:rsidP="00207001">
      <w:pPr>
        <w:widowControl/>
        <w:spacing w:before="120" w:after="120" w:line="360" w:lineRule="auto"/>
        <w:ind w:left="850" w:hanging="850"/>
        <w:rPr>
          <w:b/>
          <w:szCs w:val="24"/>
          <w:lang w:eastAsia="en-US"/>
        </w:rPr>
      </w:pPr>
      <w:r w:rsidRPr="006A576B">
        <w:rPr>
          <w:b/>
          <w:i/>
          <w:szCs w:val="24"/>
          <w:lang w:eastAsia="en-US"/>
        </w:rPr>
        <w:lastRenderedPageBreak/>
        <w:t>11</w:t>
      </w:r>
      <w:r w:rsidR="0017454C" w:rsidRPr="006A576B">
        <w:rPr>
          <w:b/>
          <w:i/>
          <w:szCs w:val="24"/>
          <w:lang w:eastAsia="en-US"/>
        </w:rPr>
        <w:t xml:space="preserve"> </w:t>
      </w:r>
      <w:r w:rsidRPr="006A576B">
        <w:rPr>
          <w:b/>
          <w:i/>
          <w:szCs w:val="24"/>
          <w:lang w:eastAsia="en-US"/>
        </w:rPr>
        <w:t>a.</w:t>
      </w:r>
      <w:r w:rsidRPr="006A576B">
        <w:rPr>
          <w:szCs w:val="24"/>
          <w:lang w:eastAsia="en-US"/>
        </w:rPr>
        <w:tab/>
      </w:r>
      <w:r w:rsidRPr="006A576B">
        <w:rPr>
          <w:b/>
          <w:i/>
          <w:szCs w:val="24"/>
          <w:lang w:eastAsia="en-US"/>
        </w:rPr>
        <w:t>Poiketen siitä, mitä 35 artiklan 9 kohdan b alakohdassa säädetään, viranomaiset eivät saa käyttää rekisteristä saatavia tietoja patenttien kytkemisjärjestelyissä, eikä rinnakkais- tai biosimilaarilääkkeisiin liittyviä sääntely- tai hallintopäätöksiä saa perustaa rekisteristä saataviin tietoihin eikä käyttää myyntilupien, hinnoittelu- ja korvattavuuspäätösten tai tarjousten hylkäämiseen, soveltamisen keskeyttämiseen tai peruuttamiseen.</w:t>
      </w:r>
      <w:r w:rsidR="0017454C" w:rsidRPr="006A576B">
        <w:rPr>
          <w:b/>
          <w:szCs w:val="24"/>
          <w:lang w:eastAsia="en-US"/>
        </w:rPr>
        <w:t xml:space="preserve"> [tark. 61]</w:t>
      </w:r>
    </w:p>
    <w:p w:rsidR="00AD600E" w:rsidRPr="006A576B" w:rsidRDefault="00AD600E" w:rsidP="00207001">
      <w:pPr>
        <w:widowControl/>
        <w:spacing w:before="120" w:after="120" w:line="360" w:lineRule="auto"/>
        <w:jc w:val="center"/>
        <w:rPr>
          <w:szCs w:val="24"/>
          <w:lang w:eastAsia="en-US"/>
        </w:rPr>
      </w:pPr>
      <w:r w:rsidRPr="006A576B">
        <w:rPr>
          <w:szCs w:val="24"/>
          <w:lang w:eastAsia="en-US"/>
        </w:rPr>
        <w:t>36 artikla</w:t>
      </w:r>
      <w:r w:rsidRPr="006A576B">
        <w:rPr>
          <w:szCs w:val="24"/>
          <w:lang w:eastAsia="en-US"/>
        </w:rPr>
        <w:br/>
        <w:t>Tietokanta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Sen lisäksi, että virastolla on velvollisuus pitää rekisteriä, se kerää ja tallentaa sähköiseen tietokantaan kaikki hakijoiden toimittamat tiedot ja mahdolliset kolmansien osapuolten huomautukset tämän asetuksen tai tämän asetuksen nojalla hyväksyttyjen säädösten mukaisesti.</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2.</w:t>
      </w:r>
      <w:r w:rsidRPr="006A576B">
        <w:rPr>
          <w:szCs w:val="24"/>
          <w:lang w:eastAsia="en-US"/>
        </w:rPr>
        <w:tab/>
        <w:t>Sähköisessä tietokannassa voi olla muitakin henkilötietoja kuin rekisterissä olevia henkilötietoja, siinä laajuudessa kuin kyseiset tiedot vaaditaan tässä asetuksessa tai tämän asetuksen nojalla hyväksytyissä säädöksissä. Näitä tietoja kerätään, tallennetaan ja käsitellään seuraavissa tarkoituksissa:</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a)</w:t>
      </w:r>
      <w:r w:rsidRPr="006A576B">
        <w:rPr>
          <w:szCs w:val="24"/>
          <w:lang w:eastAsia="en-US"/>
        </w:rPr>
        <w:tab/>
        <w:t>hakemusten ja/tai todistusten rekisteröintien hallinnointi tässä asetuksessa ja tämän asetuksen nojalla hyväksytyissä säädöksissä kuvatulla tavalla;</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b)</w:t>
      </w:r>
      <w:r w:rsidRPr="006A576B">
        <w:rPr>
          <w:szCs w:val="24"/>
          <w:lang w:eastAsia="en-US"/>
        </w:rPr>
        <w:tab/>
        <w:t>tarvittavien tietojen hankkiminen asianomaisen menettelyn toteuttamiseksi helpommin ja tehokkaammin;</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c)</w:t>
      </w:r>
      <w:r w:rsidRPr="006A576B">
        <w:rPr>
          <w:szCs w:val="24"/>
          <w:lang w:eastAsia="en-US"/>
        </w:rPr>
        <w:tab/>
        <w:t>viestintä hakijoiden ja muiden kolmansien osapuolten kanssa;</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d)</w:t>
      </w:r>
      <w:r w:rsidRPr="006A576B">
        <w:rPr>
          <w:szCs w:val="24"/>
          <w:lang w:eastAsia="en-US"/>
        </w:rPr>
        <w:tab/>
        <w:t>raporttien ja tilastojen laatiminen, jotta virasto voi toimia optimaalisesti ja parantaa järjestelmän toimivuutta.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3.</w:t>
      </w:r>
      <w:r w:rsidRPr="006A576B">
        <w:rPr>
          <w:szCs w:val="24"/>
          <w:lang w:eastAsia="en-US"/>
        </w:rPr>
        <w:tab/>
        <w:t>Pääjohtaja määrittää sähköiseen tietokantaan pääsyn edellytykset sekä tavan, jolla sen sisältö, lukuun ottamatta tämän artiklan 2 kohdassa tarkoitettuja henkilötietoja mutta mukaan lukien 35 artiklan 3 kohdassa tarkoitetut tiedot, saatetaan saataville koneellisesti luettavassa muodossa, mukaan lukien tästä veloitettavat maksut.</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4.</w:t>
      </w:r>
      <w:r w:rsidRPr="006A576B">
        <w:rPr>
          <w:szCs w:val="24"/>
          <w:lang w:eastAsia="en-US"/>
        </w:rPr>
        <w:tab/>
        <w:t>Pääsy 2 kohdassa tarkoitettuihin henkilötietoihin on rajoitettu eikä tällaisia tietoja saateta julkisesti saataville, jollei asianomainen osapuoli ole antanut nimenomaista suostumustaan.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5.</w:t>
      </w:r>
      <w:r w:rsidRPr="006A576B">
        <w:rPr>
          <w:szCs w:val="24"/>
          <w:lang w:eastAsia="en-US"/>
        </w:rPr>
        <w:tab/>
        <w:t>Tiedot säilytetään määräämättömän ajan. Asianomainen osapuoli voi kuitenkin pyytää henkilötietojen poistamista tietokannasta 18 kuukauden kuluttua todistuksen voimassaolon lakkaamisesta tai tapauksen mukaan asianomaisen inter partes -menettelyn päättymisestä. Kyseisellä osapuolella on oikeus aina saada virheelliset tiedot korjatuiksi.</w:t>
      </w:r>
    </w:p>
    <w:p w:rsidR="00AD600E" w:rsidRPr="006A576B" w:rsidRDefault="00AD600E" w:rsidP="00207001">
      <w:pPr>
        <w:widowControl/>
        <w:spacing w:before="120" w:after="120" w:line="360" w:lineRule="auto"/>
        <w:jc w:val="center"/>
        <w:rPr>
          <w:szCs w:val="24"/>
          <w:lang w:eastAsia="en-US"/>
        </w:rPr>
      </w:pPr>
      <w:r w:rsidRPr="006A576B">
        <w:rPr>
          <w:szCs w:val="24"/>
          <w:lang w:eastAsia="en-US"/>
        </w:rPr>
        <w:t>37 artikla</w:t>
      </w:r>
      <w:r w:rsidRPr="006A576B">
        <w:rPr>
          <w:szCs w:val="24"/>
          <w:lang w:eastAsia="en-US"/>
        </w:rPr>
        <w:br/>
        <w:t xml:space="preserve">Avoimuus </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Viraston hallussa oleviin asiakirjoihin sovelletaan Euroopan parlamentin ja neuvoston asetusta (EY) N:o 1049/2001</w:t>
      </w:r>
      <w:r w:rsidRPr="006A576B">
        <w:rPr>
          <w:szCs w:val="24"/>
          <w:vertAlign w:val="superscript"/>
          <w:lang w:val="en-GB" w:eastAsia="en-US"/>
        </w:rPr>
        <w:footnoteReference w:id="23"/>
      </w:r>
      <w:r w:rsidRPr="006A576B">
        <w:rPr>
          <w:szCs w:val="24"/>
          <w:lang w:eastAsia="en-US"/>
        </w:rPr>
        <w:t>.</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w:t>
      </w:r>
      <w:r w:rsidRPr="006A576B">
        <w:rPr>
          <w:szCs w:val="24"/>
          <w:lang w:eastAsia="en-US"/>
        </w:rPr>
        <w:tab/>
        <w:t>Viraston hallintoneuvosto vahvistaa asetuksen (EY) N:o 1049/2001 soveltamista tämän asetuksen yhteydessä koskevat yksityiskohtaiset säännöt.</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3.</w:t>
      </w:r>
      <w:r w:rsidRPr="006A576B">
        <w:rPr>
          <w:szCs w:val="24"/>
          <w:lang w:eastAsia="en-US"/>
        </w:rPr>
        <w:tab/>
        <w:t xml:space="preserve">Päätöksistä, jotka virasto on tehnyt asetuksen (EY) </w:t>
      </w:r>
      <w:proofErr w:type="gramStart"/>
      <w:r w:rsidRPr="006A576B">
        <w:rPr>
          <w:szCs w:val="24"/>
          <w:lang w:eastAsia="en-US"/>
        </w:rPr>
        <w:t>N:o</w:t>
      </w:r>
      <w:proofErr w:type="gramEnd"/>
      <w:r w:rsidRPr="006A576B">
        <w:rPr>
          <w:szCs w:val="24"/>
          <w:lang w:eastAsia="en-US"/>
        </w:rPr>
        <w:t xml:space="preserve"> 1049/2001 8 artiklan soveltamiseksi, voidaan tehdä kantelu Euroopan oikeusasiamiehelle Euroopan unionin toiminnasta tehdyn sopimuksen 228 artiklassa määrättyjen edellytysten mukaisesti tai nostaa kanne Euroopan unionin tuomioistuimessa mainitun sopimuksen 263 artiklassa määrättyjen edellytysten mukaisesti.</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4.</w:t>
      </w:r>
      <w:r w:rsidRPr="006A576B">
        <w:rPr>
          <w:szCs w:val="24"/>
          <w:lang w:eastAsia="en-US"/>
        </w:rPr>
        <w:tab/>
        <w:t>Virastossa tapahtuvaan henkilötietojen käsittelyyn sovelletaan Euroopan parlamentin ja neuvoston asetusta (EY) N:o 45/2001</w:t>
      </w:r>
      <w:r w:rsidRPr="006A576B">
        <w:rPr>
          <w:szCs w:val="24"/>
          <w:vertAlign w:val="superscript"/>
          <w:lang w:val="en-GB" w:eastAsia="en-US"/>
        </w:rPr>
        <w:footnoteReference w:id="24"/>
      </w:r>
      <w:r w:rsidRPr="006A576B">
        <w:rPr>
          <w:szCs w:val="24"/>
          <w:lang w:eastAsia="en-US"/>
        </w:rPr>
        <w:t>.</w:t>
      </w:r>
    </w:p>
    <w:p w:rsidR="00AD600E" w:rsidRPr="006A576B" w:rsidRDefault="00AD600E" w:rsidP="00207001">
      <w:pPr>
        <w:widowControl/>
        <w:spacing w:before="120" w:after="120" w:line="360" w:lineRule="auto"/>
        <w:jc w:val="center"/>
        <w:rPr>
          <w:szCs w:val="24"/>
          <w:lang w:eastAsia="en-US"/>
        </w:rPr>
      </w:pPr>
      <w:r w:rsidRPr="006A576B">
        <w:rPr>
          <w:szCs w:val="24"/>
          <w:lang w:eastAsia="en-US"/>
        </w:rPr>
        <w:t>38 artikla</w:t>
      </w:r>
      <w:r w:rsidRPr="006A576B">
        <w:rPr>
          <w:szCs w:val="24"/>
          <w:lang w:eastAsia="en-US"/>
        </w:rPr>
        <w:br/>
        <w:t>Edustus</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Luonnollisilla henkilöillä tai oikeushenkilöillä, joilla ei ole kotipaikkaa tai pääasiallista toimipaikkaa tai todellista ja toiminnassa olevaa teollista tai kaupallista liikettä Euroopan talousalueella, on oltava edustaja virastossa tämän artiklan mukaisesti kaikissa tämän asetuksen III luvussa säädetyissä menettelyissä lukuun ottamatta keskitetyn hakemuksen jättämistä.</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2.</w:t>
      </w:r>
      <w:r w:rsidRPr="006A576B">
        <w:rPr>
          <w:szCs w:val="24"/>
          <w:lang w:eastAsia="en-US"/>
        </w:rPr>
        <w:tab/>
        <w:t>Luonnolliset henkilöt ja oikeushenkilöt, joilla on kotipaikka tai pääasiallinen toimipaikka tai todellinen ja toiminnassa oleva teollinen tai kaupallinen liike Euroopan talousalueella, voivat toimia virastossa työntekijän välityksellä.</w:t>
      </w:r>
    </w:p>
    <w:p w:rsidR="00AD600E" w:rsidRPr="006A576B" w:rsidRDefault="00AD600E" w:rsidP="00207001">
      <w:pPr>
        <w:widowControl/>
        <w:spacing w:before="120" w:after="120" w:line="360" w:lineRule="auto"/>
        <w:ind w:left="850"/>
        <w:rPr>
          <w:szCs w:val="24"/>
          <w:lang w:eastAsia="en-US"/>
        </w:rPr>
      </w:pPr>
      <w:r w:rsidRPr="006A576B">
        <w:rPr>
          <w:szCs w:val="24"/>
          <w:lang w:eastAsia="en-US"/>
        </w:rPr>
        <w:t>Oikeushenkilön työntekijä voi edustaa myös muita oikeushenkilöitä, joilla on taloudellisia yhteyksiä tämän työntekijän edustamaan oikeushenkilöön.</w:t>
      </w:r>
    </w:p>
    <w:p w:rsidR="00AD600E" w:rsidRPr="006A576B" w:rsidRDefault="00AD600E" w:rsidP="00207001">
      <w:pPr>
        <w:widowControl/>
        <w:spacing w:before="120" w:after="120" w:line="360" w:lineRule="auto"/>
        <w:ind w:left="850"/>
        <w:rPr>
          <w:szCs w:val="24"/>
          <w:lang w:eastAsia="en-US"/>
        </w:rPr>
      </w:pPr>
      <w:r w:rsidRPr="006A576B">
        <w:rPr>
          <w:szCs w:val="24"/>
          <w:lang w:eastAsia="en-US"/>
        </w:rPr>
        <w:t>Toista alakohtaa sovelletaan myös silloin, kun kyseisillä muilla oikeushenkilöillä ei ole kotipaikkaa eikä pääasiallista toimipaikkaa eikä todellista ja toiminnassa olevaa teollista tai kaupallista liikettä unionissa.</w:t>
      </w:r>
    </w:p>
    <w:p w:rsidR="00AD600E" w:rsidRPr="006A576B" w:rsidRDefault="00AD600E" w:rsidP="00207001">
      <w:pPr>
        <w:widowControl/>
        <w:spacing w:before="120" w:after="120" w:line="360" w:lineRule="auto"/>
        <w:ind w:left="850"/>
        <w:rPr>
          <w:szCs w:val="24"/>
          <w:lang w:eastAsia="en-US"/>
        </w:rPr>
      </w:pPr>
      <w:r w:rsidRPr="006A576B">
        <w:rPr>
          <w:szCs w:val="24"/>
          <w:lang w:eastAsia="en-US"/>
        </w:rPr>
        <w:t>Työntekijöiden, jotka edustavat luonnollisia henkilöitä tai oikeushenkilöitä, on viraston tai tapauksen mukaan menettelyn osapuolen pyynnöstä esitettävä virastolle allekirjoitettu valtakirja, joka liitetään tiedostoihin.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3.</w:t>
      </w:r>
      <w:r w:rsidRPr="006A576B">
        <w:rPr>
          <w:szCs w:val="24"/>
          <w:lang w:eastAsia="en-US"/>
        </w:rPr>
        <w:tab/>
        <w:t>Jos hakijoita tai yhdessä toimivia kolmansia osapuolia on useampi kuin yksi, heille nimetään yhteinen edustaja.</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4.</w:t>
      </w:r>
      <w:r w:rsidRPr="006A576B">
        <w:rPr>
          <w:szCs w:val="24"/>
          <w:lang w:eastAsia="en-US"/>
        </w:rPr>
        <w:tab/>
        <w:t>Luonnollisia henkilöitä tai oikeushenkilöitä voi edustaa virastossa ainoastaan unioniin sijoittautunut henkilö, jolla on oikeus toimia ammattimaisena edustajana patenttiasioissa kansallisessa patenttivirastossa tai Euroopan patenttivirastossa, tai juristi, jolla on oikeus esiintyä jonkin jäsenvaltion tuomioistuimissa.</w:t>
      </w:r>
    </w:p>
    <w:p w:rsidR="00AD600E" w:rsidRPr="006A576B" w:rsidRDefault="00AD600E" w:rsidP="00207001">
      <w:pPr>
        <w:widowControl/>
        <w:spacing w:before="120" w:after="120" w:line="360" w:lineRule="auto"/>
        <w:jc w:val="center"/>
        <w:rPr>
          <w:szCs w:val="24"/>
          <w:lang w:eastAsia="en-US"/>
        </w:rPr>
      </w:pPr>
      <w:r w:rsidRPr="006A576B">
        <w:rPr>
          <w:szCs w:val="24"/>
          <w:lang w:eastAsia="en-US"/>
        </w:rPr>
        <w:t>39 artikla</w:t>
      </w:r>
      <w:r w:rsidRPr="006A576B">
        <w:rPr>
          <w:szCs w:val="24"/>
          <w:lang w:eastAsia="en-US"/>
        </w:rPr>
        <w:br/>
        <w:t>Yhdistetyt hakemukset</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Keskitetty hakemus voi sisältää myös asetuksessa [COM(2023) 222]</w:t>
      </w:r>
      <w:r w:rsidRPr="006A576B">
        <w:rPr>
          <w:szCs w:val="24"/>
          <w:vertAlign w:val="superscript"/>
          <w:lang w:val="en-GB" w:eastAsia="en-US"/>
        </w:rPr>
        <w:footnoteReference w:id="25"/>
      </w:r>
      <w:r w:rsidRPr="006A576B">
        <w:rPr>
          <w:szCs w:val="24"/>
          <w:lang w:eastAsia="en-US"/>
        </w:rPr>
        <w:t xml:space="preserve"> tarkoitetun yhtenäistä todistusta koskevan hakemuksen, jäljempänä ’yhdistetty hakemus’.</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w:t>
      </w:r>
      <w:r w:rsidRPr="006A576B">
        <w:rPr>
          <w:szCs w:val="24"/>
          <w:lang w:eastAsia="en-US"/>
        </w:rPr>
        <w:tab/>
        <w:t>Yhdistettyyn hakemukseen sovelletaan yhtä keskitettyä tutkimusmenettelyä sekä yhtä väite- tai valitusmenettelyä, jos väite tai valitus on tehty sekä keskitetystä hakemuksesta että yhtenäistä todistusta koskevasta hakemuksesta annetusta lausunnosta tai päätöksestä.</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3.</w:t>
      </w:r>
      <w:r w:rsidRPr="006A576B">
        <w:rPr>
          <w:szCs w:val="24"/>
          <w:lang w:eastAsia="en-US"/>
        </w:rPr>
        <w:tab/>
        <w:t>Jäsenvaltioita, joissa peruspatentilla on yhtenäinen vaikutus, ei nimetä kansallisten todistusten rinnakkaista myöntämistä koskevassa yhdistetyssä hakemuksessa. Yhdistettyä hakemusta tutkittaessa ei oteta huomioon sellaisen jäsenvaltion nimeämistä, jossa peruspatentilla on yhtenäinen vaikutus.</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40 artikla</w:t>
      </w:r>
      <w:r w:rsidRPr="006A576B">
        <w:rPr>
          <w:szCs w:val="24"/>
          <w:lang w:eastAsia="en-US"/>
        </w:rPr>
        <w:br/>
      </w:r>
      <w:proofErr w:type="spellStart"/>
      <w:r w:rsidRPr="006A576B">
        <w:rPr>
          <w:szCs w:val="24"/>
          <w:lang w:eastAsia="en-US"/>
        </w:rPr>
        <w:t>Lisäsuojatodistusosasto</w:t>
      </w:r>
      <w:proofErr w:type="spellEnd"/>
    </w:p>
    <w:p w:rsidR="00AD600E" w:rsidRPr="006A576B" w:rsidRDefault="00AD600E" w:rsidP="00207001">
      <w:pPr>
        <w:widowControl/>
        <w:spacing w:before="120" w:after="120" w:line="360" w:lineRule="auto"/>
        <w:rPr>
          <w:szCs w:val="24"/>
          <w:lang w:eastAsia="en-US"/>
        </w:rPr>
      </w:pPr>
      <w:r w:rsidRPr="006A576B">
        <w:rPr>
          <w:szCs w:val="24"/>
          <w:lang w:eastAsia="en-US"/>
        </w:rPr>
        <w:t>Virastoon perustetaan lisäsuojatodistusosasto, joka vastaa tämän asetuksen III luvussa ja asetuksen [COM(2023) 223] III luvussa sekä asetuksissa [COM(2023) 222] ja [COM(2023) 221] säädettyjen tehtävien täytäntöönpanosta, mukaan lukien erityisesti seuraavat:</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a)</w:t>
      </w:r>
      <w:r w:rsidRPr="006A576B">
        <w:rPr>
          <w:szCs w:val="24"/>
          <w:lang w:eastAsia="en-US"/>
        </w:rPr>
        <w:tab/>
        <w:t>keskitettyjen todistushakemusten, todistusten voimassaoloajan jatkamista koskevien keskitettyjen hakemusten ja kolmansien osapuolten valitusten ja huomautusten vastaanottaminen ja niiden tutkimisen valvonta;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b)</w:t>
      </w:r>
      <w:r w:rsidRPr="006A576B">
        <w:rPr>
          <w:szCs w:val="24"/>
          <w:lang w:eastAsia="en-US"/>
        </w:rPr>
        <w:tab/>
        <w:t>keskitettyihin todistushakemuksiin ja todistusten voimassaoloajan jatkamista koskeviin keskitettyihin hakemuksiin liittyvien tutkimuslausuntojen antaminen viraston puolesta;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c)</w:t>
      </w:r>
      <w:r w:rsidRPr="006A576B">
        <w:rPr>
          <w:szCs w:val="24"/>
          <w:lang w:eastAsia="en-US"/>
        </w:rPr>
        <w:tab/>
        <w:t>tutkimuslausuntoja koskevista väitteistä päättäminen;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d)</w:t>
      </w:r>
      <w:r w:rsidRPr="006A576B">
        <w:rPr>
          <w:szCs w:val="24"/>
          <w:lang w:eastAsia="en-US"/>
        </w:rPr>
        <w:tab/>
        <w:t>rekisterin ja tietokannan ylläpito.</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41 artikla</w:t>
      </w:r>
      <w:r w:rsidRPr="006A576B">
        <w:rPr>
          <w:szCs w:val="24"/>
          <w:lang w:eastAsia="en-US"/>
        </w:rPr>
        <w:br/>
        <w:t>Kielet</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Kaikki virastolle tämän asetuksen mukaisten menettelyjen yhteydessä lähetettävät asiakirjat ja tiedot on laadittava jollakin unionin virallisella kielellä.</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w:t>
      </w:r>
      <w:r w:rsidRPr="006A576B">
        <w:rPr>
          <w:szCs w:val="24"/>
          <w:lang w:eastAsia="en-US"/>
        </w:rPr>
        <w:tab/>
        <w:t>Viraston on hoidettava sille tällä asetuksella annettuja tehtäviä kaikilla unionin virallisilla kielillä neuvoston asetuksen N:o 1</w:t>
      </w:r>
      <w:r w:rsidRPr="006A576B">
        <w:rPr>
          <w:szCs w:val="24"/>
          <w:vertAlign w:val="superscript"/>
          <w:lang w:val="en-GB" w:eastAsia="en-US"/>
        </w:rPr>
        <w:footnoteReference w:id="26"/>
      </w:r>
      <w:r w:rsidRPr="006A576B">
        <w:rPr>
          <w:szCs w:val="24"/>
          <w:lang w:eastAsia="en-US"/>
        </w:rPr>
        <w:t xml:space="preserve"> mukaisesti.</w:t>
      </w:r>
    </w:p>
    <w:p w:rsidR="00AD600E" w:rsidRPr="006A576B" w:rsidRDefault="00AD600E" w:rsidP="00207001">
      <w:pPr>
        <w:widowControl/>
        <w:spacing w:before="120" w:after="120" w:line="360" w:lineRule="auto"/>
        <w:jc w:val="center"/>
        <w:rPr>
          <w:szCs w:val="24"/>
          <w:lang w:eastAsia="en-US"/>
        </w:rPr>
      </w:pPr>
      <w:r w:rsidRPr="006A576B">
        <w:rPr>
          <w:szCs w:val="24"/>
          <w:lang w:eastAsia="en-US"/>
        </w:rPr>
        <w:t>42 artikla</w:t>
      </w:r>
      <w:r w:rsidRPr="006A576B">
        <w:rPr>
          <w:szCs w:val="24"/>
          <w:lang w:eastAsia="en-US"/>
        </w:rPr>
        <w:br/>
        <w:t>Viestintä viraston kanssa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Tiedonannot virastolle voidaan toimittaa käyttäen sähköisiä viestintävälineitä. Pääjohtaja määrittää, missä laajuudessa ja minkä teknisten edellytysten mukaisesti tiedonannot voidaan toimittaa sähköisesti.</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2.</w:t>
      </w:r>
      <w:r w:rsidRPr="006A576B">
        <w:rPr>
          <w:szCs w:val="24"/>
          <w:lang w:eastAsia="en-US"/>
        </w:rPr>
        <w:tab/>
        <w:t>Siirretään komissiolle valta antaa 55 artiklan mukaisesti delegoituja säädöksiä, joilla täydennetään tätä asetusta määrittämällä niitä viestintävälineitä, myös sähköisiä viestintävälineitä, koskevat säännöt, joita viraston menettelyssä osapuolina olevien on käytettävä, sekä virastosta saatavat lomakkeet.</w:t>
      </w:r>
    </w:p>
    <w:p w:rsidR="00AD600E" w:rsidRPr="006A576B" w:rsidRDefault="00AD600E" w:rsidP="00207001">
      <w:pPr>
        <w:widowControl/>
        <w:spacing w:before="120" w:after="120" w:line="360" w:lineRule="auto"/>
        <w:jc w:val="center"/>
        <w:rPr>
          <w:szCs w:val="24"/>
          <w:lang w:eastAsia="en-US"/>
        </w:rPr>
      </w:pPr>
      <w:r w:rsidRPr="006A576B">
        <w:rPr>
          <w:szCs w:val="24"/>
          <w:lang w:eastAsia="en-US"/>
        </w:rPr>
        <w:t>43 artikla</w:t>
      </w:r>
      <w:r w:rsidRPr="006A576B">
        <w:rPr>
          <w:szCs w:val="24"/>
          <w:lang w:eastAsia="en-US"/>
        </w:rPr>
        <w:br/>
        <w:t xml:space="preserve">Viraston päätökset ja tiedonannot </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Viraston tämän luvun nojalla tekemiin päätöksiin sisältyvät tutkimuslausunnot, ja niissä on esitettävä perusteet. Ne voivat perustua vain sellaisiin syihin tai todisteisiin, joihin asianomaiset osapuolet ovat voineet ottaa kantaa. Jos virastossa järjestetään suullinen käsittely, päätös voidaan antaa suullisesti. Myöhemmin päätös tai lausunto annetaan osapuolille kirjallisena.</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2.</w:t>
      </w:r>
      <w:r w:rsidRPr="006A576B">
        <w:rPr>
          <w:szCs w:val="24"/>
          <w:lang w:eastAsia="en-US"/>
        </w:rPr>
        <w:tab/>
        <w:t>Kaikissa viraston päätöksissä, tiedonannoissa ja ilmoituksissa on mainittava lisäsuojatodistusosasto ja asianomainen lautakunta sekä vastuussa olevien tutkijoiden nimet. Ne varustetaan joko tutkijoiden allekirjoituksilla tai allekirjoitusten sijasta painetulla tai leimatulla viraston sinetillä. Pääjohtajan päätöksellä voidaan lisäsuojatodistusosasto sekä vastuussa olevien tutkijoiden nimet ilmoittaa muulla tavoin tai käyttää muuta tunnistetta kuin sinettiä, kun päätöksiä tai muita tiedonantoja lähetetään jollakin teknisellä viestintävälineellä.</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3.</w:t>
      </w:r>
      <w:r w:rsidRPr="006A576B">
        <w:rPr>
          <w:szCs w:val="24"/>
          <w:lang w:eastAsia="en-US"/>
        </w:rPr>
        <w:tab/>
        <w:t>Viraston tämän luvun nojalla tekemiin päätöksiin, joista voidaan valittaa, on liitettävä kirjallinen ilmoitus, että valitus on tehtävä virastolle kirjallisena kahden kuukauden kuluessa kyseisen päätöksen tiedoksiantopäivästä. Ilmoituksessa on myös kerrottava osapuolille 29 artiklassa vahvistetuista säännöksistä. Osapuolet eivät voi vedota siihen, että viraston puolesta ei ole ilmoitettu valitusmenettelyn mahdollisuudesta.</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44 artikla</w:t>
      </w:r>
      <w:r w:rsidRPr="006A576B">
        <w:rPr>
          <w:szCs w:val="24"/>
          <w:lang w:eastAsia="en-US"/>
        </w:rPr>
        <w:br/>
        <w:t>Suullinen menettely</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Virasto käyttää suullista menettelyä joko viran puolesta tai jonkin menettelyn osapuolen pyynnöstä, jos se pitää sitä tarkoituksenmukaisena.</w:t>
      </w:r>
    </w:p>
    <w:p w:rsidR="00AD600E" w:rsidRPr="006A576B" w:rsidRDefault="00AD600E" w:rsidP="00207001">
      <w:pPr>
        <w:widowControl/>
        <w:spacing w:before="120" w:after="120" w:line="360" w:lineRule="auto"/>
        <w:ind w:left="850" w:hanging="850"/>
        <w:rPr>
          <w:b/>
          <w:szCs w:val="24"/>
          <w:lang w:eastAsia="en-US"/>
        </w:rPr>
      </w:pPr>
      <w:r w:rsidRPr="006A576B">
        <w:rPr>
          <w:strike/>
          <w:szCs w:val="24"/>
          <w:lang w:eastAsia="en-US"/>
        </w:rPr>
        <w:t>2.</w:t>
      </w:r>
      <w:r w:rsidRPr="006A576B">
        <w:rPr>
          <w:szCs w:val="24"/>
          <w:lang w:eastAsia="en-US"/>
        </w:rPr>
        <w:tab/>
      </w:r>
      <w:r w:rsidRPr="006A576B">
        <w:rPr>
          <w:strike/>
          <w:szCs w:val="24"/>
          <w:lang w:eastAsia="en-US"/>
        </w:rPr>
        <w:t>Suullinen menettely, joka käydään tutkimuslautakunnassa tai väitelautakunnassa, ei ole julkinen.</w:t>
      </w:r>
      <w:r w:rsidR="0017454C" w:rsidRPr="006A576B">
        <w:rPr>
          <w:b/>
          <w:strike/>
          <w:szCs w:val="24"/>
          <w:lang w:eastAsia="en-US"/>
        </w:rPr>
        <w:t xml:space="preserve"> </w:t>
      </w:r>
      <w:r w:rsidR="0017454C" w:rsidRPr="006A576B">
        <w:rPr>
          <w:b/>
          <w:szCs w:val="24"/>
          <w:lang w:eastAsia="en-US"/>
        </w:rPr>
        <w:t>[tark. 62]</w:t>
      </w:r>
    </w:p>
    <w:p w:rsidR="00AD600E" w:rsidRPr="006A576B" w:rsidRDefault="00AD600E" w:rsidP="00207001">
      <w:pPr>
        <w:widowControl/>
        <w:spacing w:before="120" w:after="120" w:line="360" w:lineRule="auto"/>
        <w:ind w:left="850" w:hanging="850"/>
        <w:rPr>
          <w:b/>
          <w:szCs w:val="24"/>
          <w:lang w:eastAsia="en-US"/>
        </w:rPr>
      </w:pPr>
      <w:r w:rsidRPr="006A576B">
        <w:rPr>
          <w:szCs w:val="24"/>
          <w:lang w:eastAsia="en-US"/>
        </w:rPr>
        <w:t>3.</w:t>
      </w:r>
      <w:r w:rsidRPr="006A576B">
        <w:rPr>
          <w:szCs w:val="24"/>
          <w:lang w:eastAsia="en-US"/>
        </w:rPr>
        <w:tab/>
        <w:t>Suullinen menettely, joka käydään</w:t>
      </w:r>
      <w:r w:rsidRPr="006A576B">
        <w:rPr>
          <w:b/>
          <w:i/>
          <w:szCs w:val="24"/>
          <w:lang w:eastAsia="en-US"/>
        </w:rPr>
        <w:t xml:space="preserve"> tutkimuslautakunnassa, väitelautakunnassa tai</w:t>
      </w:r>
      <w:r w:rsidRPr="006A576B">
        <w:rPr>
          <w:szCs w:val="24"/>
          <w:lang w:eastAsia="en-US"/>
        </w:rPr>
        <w:t xml:space="preserve"> valituslautakunnassa, mukaan lukien päätöksen ja tapauksen mukaan tarkistetun lausunnon julistaminen, on julkinen, </w:t>
      </w:r>
      <w:r w:rsidRPr="006A576B">
        <w:rPr>
          <w:strike/>
          <w:szCs w:val="24"/>
          <w:lang w:eastAsia="en-US"/>
        </w:rPr>
        <w:t>jolleivät valituslautakunnat</w:t>
      </w:r>
      <w:r w:rsidRPr="006A576B">
        <w:rPr>
          <w:b/>
          <w:i/>
          <w:szCs w:val="24"/>
          <w:lang w:eastAsia="en-US"/>
        </w:rPr>
        <w:t>jollei tutkimuslautakunta, väitelautakunta tai valituslautakunta</w:t>
      </w:r>
      <w:r w:rsidRPr="006A576B">
        <w:rPr>
          <w:szCs w:val="24"/>
          <w:lang w:eastAsia="en-US"/>
        </w:rPr>
        <w:t xml:space="preserve"> toisin päätä tapauksissa, joissa</w:t>
      </w:r>
      <w:r w:rsidRPr="006A576B">
        <w:rPr>
          <w:b/>
          <w:i/>
          <w:szCs w:val="24"/>
          <w:lang w:eastAsia="en-US"/>
        </w:rPr>
        <w:t xml:space="preserve"> koko suullisen menettelyn tai sen osien</w:t>
      </w:r>
      <w:r w:rsidRPr="006A576B">
        <w:rPr>
          <w:szCs w:val="24"/>
          <w:lang w:eastAsia="en-US"/>
        </w:rPr>
        <w:t xml:space="preserve"> julkisuus voisi aiheuttaa erityisesti jollekin menettelyn osapuolelle vakavaa ja epäoikeudenmukaista haittaa.</w:t>
      </w:r>
      <w:r w:rsidR="0017454C" w:rsidRPr="006A576B">
        <w:rPr>
          <w:b/>
          <w:szCs w:val="24"/>
          <w:lang w:eastAsia="en-US"/>
        </w:rPr>
        <w:t xml:space="preserve"> [tark. 63]</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4.</w:t>
      </w:r>
      <w:r w:rsidRPr="006A576B">
        <w:rPr>
          <w:szCs w:val="24"/>
          <w:lang w:eastAsia="en-US"/>
        </w:rPr>
        <w:tab/>
        <w:t>Siirretään komissiolle valta antaa 55 artiklan mukaisesti delegoituja säädöksiä, joilla täydennetään tätä asetusta vahvistamalla suullisten menettelyjen yksityiskohtaiset järjestelyt.</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45 artikla</w:t>
      </w:r>
      <w:r w:rsidRPr="006A576B">
        <w:rPr>
          <w:szCs w:val="24"/>
          <w:lang w:eastAsia="en-US"/>
        </w:rPr>
        <w:br/>
        <w:t>Todisteiden hankkiminen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Virastossa toteutettavien menettelyjen yhteydessä voidaan todisteita esittää tai hankkia muun muassa seuraavin tavoin:</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a)</w:t>
      </w:r>
      <w:r w:rsidRPr="006A576B">
        <w:rPr>
          <w:szCs w:val="24"/>
          <w:lang w:eastAsia="en-US"/>
        </w:rPr>
        <w:tab/>
        <w:t>osapuolten kuuleminen;</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b)</w:t>
      </w:r>
      <w:r w:rsidRPr="006A576B">
        <w:rPr>
          <w:szCs w:val="24"/>
          <w:lang w:eastAsia="en-US"/>
        </w:rPr>
        <w:tab/>
        <w:t>tietojen pyytäminen;</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c)</w:t>
      </w:r>
      <w:r w:rsidRPr="006A576B">
        <w:rPr>
          <w:szCs w:val="24"/>
          <w:lang w:eastAsia="en-US"/>
        </w:rPr>
        <w:tab/>
        <w:t>asiakirjojen ja todistuskappaleiden esittäminen;</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d)</w:t>
      </w:r>
      <w:r w:rsidRPr="006A576B">
        <w:rPr>
          <w:szCs w:val="24"/>
          <w:lang w:eastAsia="en-US"/>
        </w:rPr>
        <w:tab/>
        <w:t>todistajien kuuleminen;</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e)</w:t>
      </w:r>
      <w:r w:rsidRPr="006A576B">
        <w:rPr>
          <w:szCs w:val="24"/>
          <w:lang w:eastAsia="en-US"/>
        </w:rPr>
        <w:tab/>
        <w:t>asiantuntijalausunnot;</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f)</w:t>
      </w:r>
      <w:r w:rsidRPr="006A576B">
        <w:rPr>
          <w:szCs w:val="24"/>
          <w:lang w:eastAsia="en-US"/>
        </w:rPr>
        <w:tab/>
        <w:t>valaehtoiset tai juhlalliset kirjalliset vakuutukset taikka sen valtion lainsäädännön, jossa ne on tehty, mukaan vaikutukseltaan vastaavat kirjalliset vakuutukset.</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w:t>
      </w:r>
      <w:r w:rsidRPr="006A576B">
        <w:rPr>
          <w:szCs w:val="24"/>
          <w:lang w:eastAsia="en-US"/>
        </w:rPr>
        <w:tab/>
        <w:t>Asianmukainen lautakunta voi antaa jollekin jäsenelleen tehtäväksi esitettyjen todisteiden tutkimisen.</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b/>
          <w:szCs w:val="24"/>
          <w:lang w:eastAsia="en-US"/>
        </w:rPr>
      </w:pPr>
      <w:r w:rsidRPr="006A576B">
        <w:rPr>
          <w:szCs w:val="24"/>
          <w:lang w:eastAsia="en-US"/>
        </w:rPr>
        <w:lastRenderedPageBreak/>
        <w:t>3.</w:t>
      </w:r>
      <w:r w:rsidRPr="006A576B">
        <w:rPr>
          <w:szCs w:val="24"/>
          <w:lang w:eastAsia="en-US"/>
        </w:rPr>
        <w:tab/>
        <w:t xml:space="preserve">Jos virasto tai asianmukainen lautakunta pitää tarpeellisena, että jokin osapuoli, todistaja tai asiantuntija antaa suullisen todistuksen, se kutsuu kyseisen henkilön saapumaan kuultavaksi. </w:t>
      </w:r>
      <w:r w:rsidRPr="006A576B">
        <w:rPr>
          <w:b/>
          <w:i/>
          <w:szCs w:val="24"/>
          <w:lang w:eastAsia="en-US"/>
        </w:rPr>
        <w:t xml:space="preserve">Kun asiantuntija kutsutaan kuultavaksi, viraston tai asianmukaisen lautakunnan on tarvittaessa varmistettava, ettei hänellä ole eturistiriitoja. </w:t>
      </w:r>
      <w:r w:rsidRPr="006A576B">
        <w:rPr>
          <w:szCs w:val="24"/>
          <w:lang w:eastAsia="en-US"/>
        </w:rPr>
        <w:t>Tällaisessa kutsussa asetettu määräaika on vähintään yksi kuukausi, jollei sovita lyhyemmästä määräajasta.</w:t>
      </w:r>
      <w:r w:rsidR="0017454C" w:rsidRPr="006A576B">
        <w:rPr>
          <w:b/>
          <w:szCs w:val="24"/>
          <w:lang w:eastAsia="en-US"/>
        </w:rPr>
        <w:t xml:space="preserve"> [tark. 64]</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4.</w:t>
      </w:r>
      <w:r w:rsidRPr="006A576B">
        <w:rPr>
          <w:szCs w:val="24"/>
          <w:lang w:eastAsia="en-US"/>
        </w:rPr>
        <w:tab/>
        <w:t>Osapuolille ilmoitetaan todistajan tai asiantuntijan kuulemisesta virastossa. Heillä on oikeus olla läsnä ja esittää kysymyksiä todistajalle tai asiantuntijalle.</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5.</w:t>
      </w:r>
      <w:r w:rsidRPr="006A576B">
        <w:rPr>
          <w:szCs w:val="24"/>
          <w:lang w:eastAsia="en-US"/>
        </w:rPr>
        <w:tab/>
        <w:t>Pääjohtaja määrittää maksettavien kulujen määrät, mukaan lukien ennakot, tässä artiklassa tarkoitetusta todisteiden hankkimisesta aiheutuvista kuluista.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6.</w:t>
      </w:r>
      <w:r w:rsidRPr="006A576B">
        <w:rPr>
          <w:szCs w:val="24"/>
          <w:lang w:eastAsia="en-US"/>
        </w:rPr>
        <w:tab/>
        <w:t>Siirretään komissiolle valta antaa 55 artiklan mukaisesti delegoituja säädöksiä, joilla täydennetään tätä asetusta vahvistamalla todisteiden hankkimista koskevat yksityiskohtaiset järjestelyt.</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46 artikla</w:t>
      </w:r>
      <w:r w:rsidRPr="006A576B">
        <w:rPr>
          <w:szCs w:val="24"/>
          <w:lang w:eastAsia="en-US"/>
        </w:rPr>
        <w:br/>
        <w:t>Tiedoksianto</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Virasto ilmoittaa asianosaisille viran puolesta päätöksistä, mukaan lukien lausunnoista ja kutsuista saapua kuultavaksi sekä muista ilmoituksista ja tiedonannoista, joista määräajat alkavat kulua tai joiden ilmoittamisesta asianosaisille säädetään muissa tämän luvun säännöksissä tai tämän luvun nojalla annetuissa säädöksissä tai joista viraston pääjohtaja on määrännyt.</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w:t>
      </w:r>
      <w:r w:rsidRPr="006A576B">
        <w:rPr>
          <w:szCs w:val="24"/>
          <w:lang w:eastAsia="en-US"/>
        </w:rPr>
        <w:tab/>
        <w:t>Tiedoksianto voidaan suorittaa eri tavoin, myös sähköisesti. Pääjohtaja vahvistaa sähköisiä menetelmiä koskevat yksityiskohdat.</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3.</w:t>
      </w:r>
      <w:r w:rsidRPr="006A576B">
        <w:rPr>
          <w:szCs w:val="24"/>
          <w:lang w:eastAsia="en-US"/>
        </w:rPr>
        <w:tab/>
        <w:t>Jos tiedoksianto on suoritettava julkisena kuulutuksena, pääjohtajan on määritettävä, kuinka julkinen kuulutus on annettava, ja vahvistettava päivä, jona kuukauden määräaika, jonka päättyessä asiakirja on katsottava tiedoksiannetuksi, alkaa.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4.</w:t>
      </w:r>
      <w:r w:rsidRPr="006A576B">
        <w:rPr>
          <w:szCs w:val="24"/>
          <w:lang w:eastAsia="en-US"/>
        </w:rPr>
        <w:tab/>
        <w:t>Siirretään komissiolle valta antaa 55 artiklan mukaisesti delegoituja säädöksiä, joilla täydennetään tätä asetusta vahvistamalla tiedoksiantoa koskevat yksityiskohtaiset järjestelyt.</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47 artikla</w:t>
      </w:r>
      <w:r w:rsidRPr="006A576B">
        <w:rPr>
          <w:szCs w:val="24"/>
          <w:lang w:eastAsia="en-US"/>
        </w:rPr>
        <w:br/>
        <w:t>Määräajat</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Määräajat vahvistetaan täysinä vuosina, kuukausina, viikkoina tai päivinä. Määräaikojen laskeminen aloitetaan tapahtumaa seuraavana päivänä. Määräaikojen pituus on vähintään yksi kuukausi ja enintään kuusi kuukautta.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w:t>
      </w:r>
      <w:r w:rsidRPr="006A576B">
        <w:rPr>
          <w:szCs w:val="24"/>
          <w:lang w:eastAsia="en-US"/>
        </w:rPr>
        <w:tab/>
        <w:t>Pääjohtaja määrittää ennen kunkin kalenterivuoden alkua päivät, joina virasto ei ole avoinna asiakirjojen vastaanottamista varten, tai päivät, joina tavanomaista postinjakelua ei suoriteta paikassa, jossa virasto sijaitsee.</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3.</w:t>
      </w:r>
      <w:r w:rsidRPr="006A576B">
        <w:rPr>
          <w:szCs w:val="24"/>
          <w:lang w:eastAsia="en-US"/>
        </w:rPr>
        <w:tab/>
        <w:t>Pääjohtaja määrittää keskeytyksen keston, kun on kyse postinjakelun yleisestä keskeytyksestä jäsenvaltiossa, jossa virasto sijaitsee, tai kun viraston yhteys hyväksyttyihin sähköisiin viestintävälineisiin on tosiasiallisesti katkennut.</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4.</w:t>
      </w:r>
      <w:r w:rsidRPr="006A576B">
        <w:rPr>
          <w:szCs w:val="24"/>
          <w:lang w:eastAsia="en-US"/>
        </w:rPr>
        <w:tab/>
        <w:t>Jos poikkeukselliset tapahtumat, kuten luonnonmullistukset tai lakot, keskeyttävät menettelyn osapuolten asianmukaisen viestinnän virastolle tai viraston viestinnän menettelyn osapuolille taikka häiritsevät sitä, pääjohtaja voi määrätä, että kaikkia määräaikoja, jotka muutoin päättyisivät tällaisten poikkeuksellisten olosuhteiden alkamispäivänä, jonka pääjohtaja vahvistaa, tai sen jälkeen, jatketaan pääjohtajan vahvistamaan päättymispäivään saakka niiden menettelyn osapuolten osalta, joilla on asuinpaikka tai rekisteröity toimipaikka kyseisessä jäsenvaltiossa tai joiden nimeämän edustajan ammatillinen kotipaikka on kyseisessä jäsenvaltiossa. Määrittäessään tällaista päivämäärää pääjohtaja arvioi, milloin poikkeuksellinen tapahtuma päättyy. Jos tapahtuma vaikuttaa viraston kotipaikkaan, pääjohtajan määräyksessä on täsmennettävä, että määräystä sovelletaan menettelyn kaikkiin osapuoliin.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5.</w:t>
      </w:r>
      <w:r w:rsidRPr="006A576B">
        <w:rPr>
          <w:szCs w:val="24"/>
          <w:lang w:eastAsia="en-US"/>
        </w:rPr>
        <w:tab/>
        <w:t>Siirretään komissiolle valta antaa 55 artiklan mukaisesti delegoituja säädöksiä, joilla täydennetään tätä asetusta määrittämällä määräaikojen laskemista ja kestoa koskevat yksityiskohtaiset tiedot.</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48 artikla</w:t>
      </w:r>
      <w:r w:rsidRPr="006A576B">
        <w:rPr>
          <w:szCs w:val="24"/>
          <w:lang w:eastAsia="en-US"/>
        </w:rPr>
        <w:br/>
        <w:t>Virheiden ja ilmeisten laiminlyöntien korjaaminen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Virasto korjaa omasta aloitteestaan tai osapuolen pyynnöstä kaikki kieli- tai kirjoitusvirheet sekä ilmeiset laiminlyönnit päätöksissään ja lausunnoissaan tai tekniset virheet rekisterissä olevien tietojen julkaisemisessa.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w:t>
      </w:r>
      <w:r w:rsidRPr="006A576B">
        <w:rPr>
          <w:szCs w:val="24"/>
          <w:lang w:eastAsia="en-US"/>
        </w:rPr>
        <w:tab/>
        <w:t>Jos virasto on tehnyt sellaisen rekisterimerkinnän tai päätöksen, joka sisältää ilmeisen viraston syyksi katsottavan virheen, virasto poistaa kyseisen merkinnän tai kumoaa päätöksen. Rekisteriin tehdyn merkinnän poistaminen tai päätöksen kumoaminen suoritetaan vuoden kuluessa päivästä, jona rekisterimerkintä tai päätös on tehty, sen jälkeen kun menettelyn osapuolia on kuultu.</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3.</w:t>
      </w:r>
      <w:r w:rsidRPr="006A576B">
        <w:rPr>
          <w:szCs w:val="24"/>
          <w:lang w:eastAsia="en-US"/>
        </w:rPr>
        <w:tab/>
        <w:t>Virasto pitää kirjaa tällaisista korjauksista tai poistoista.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4.</w:t>
      </w:r>
      <w:r w:rsidRPr="006A576B">
        <w:rPr>
          <w:szCs w:val="24"/>
          <w:lang w:eastAsia="en-US"/>
        </w:rPr>
        <w:tab/>
        <w:t>Virasto julkaisee korjaukset ja poistot.</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49 artikla</w:t>
      </w:r>
      <w:r w:rsidRPr="006A576B">
        <w:rPr>
          <w:szCs w:val="24"/>
          <w:lang w:eastAsia="en-US"/>
        </w:rPr>
        <w:br/>
        <w:t>Menetetyn määräajan palauttaminen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Hakijalle tai muulle tämän luvun mukaisen virastossa käytävän menettelyn osapuolelle, joka huolimatta olosuhteiden edellyttämästä asianmukaisesta tarkkaavaisuudesta ei ole pystynyt noudattamaan määräaikaa viraston suhteen, voidaan pyynnöstä palauttaa tämän oikeudet, jos noudattamatta jättäminen on tämän luvun nojalla suoraan aiheuttanut oikeuden tai muutoksenhakukeinon menettämisen.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w:t>
      </w:r>
      <w:r w:rsidRPr="006A576B">
        <w:rPr>
          <w:szCs w:val="24"/>
          <w:lang w:eastAsia="en-US"/>
        </w:rPr>
        <w:tab/>
        <w:t>Oikeuksien palauttamista koskeva pyyntö on esitettävä kirjallisena kahden kuukauden määräajassa noudattamatta jättämisen perusteen lakattua. Suorittamatta jätetty toimi on suoritettava tässä määräajassa. Pyyntö voidaan ottaa tutkittavaksi ainoastaan siinä tapauksessa, että se esitetään vuoden kuluessa sen määräajan päättymispäivästä, jota ei ole noudatettu.</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3.</w:t>
      </w:r>
      <w:r w:rsidRPr="006A576B">
        <w:rPr>
          <w:szCs w:val="24"/>
          <w:lang w:eastAsia="en-US"/>
        </w:rPr>
        <w:tab/>
        <w:t>Oikeuksien palauttamista koskeva pyyntö on perusteltava ja siinä on esitettävä tosiseikat ja sen tukena olevat perustelut. Pyyntö katsotaan esitetyksi vasta kun oikeuksien palauttamista koskeva maksu on suoritettu.</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4.</w:t>
      </w:r>
      <w:r w:rsidRPr="006A576B">
        <w:rPr>
          <w:szCs w:val="24"/>
          <w:lang w:eastAsia="en-US"/>
        </w:rPr>
        <w:tab/>
        <w:t>Lisäsuojatodistusosasto tai tapauksen mukaan valituslautakunnat tekevät pyyntöä koskevan päätöksen.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5.</w:t>
      </w:r>
      <w:r w:rsidRPr="006A576B">
        <w:rPr>
          <w:szCs w:val="24"/>
          <w:lang w:eastAsia="en-US"/>
        </w:rPr>
        <w:tab/>
        <w:t>Tätä artiklaa ei sovelleta tämän artiklan 2 kohdassa eikä 26 artiklan 1 ja 3 kohdassa säädettyihin määräaikoihin.</w:t>
      </w:r>
    </w:p>
    <w:p w:rsidR="00AD600E" w:rsidRPr="006A576B" w:rsidRDefault="00AD600E" w:rsidP="00207001">
      <w:pPr>
        <w:widowControl/>
        <w:spacing w:before="120" w:after="120" w:line="360" w:lineRule="auto"/>
        <w:jc w:val="center"/>
        <w:rPr>
          <w:szCs w:val="24"/>
          <w:lang w:eastAsia="en-US"/>
        </w:rPr>
      </w:pPr>
      <w:r w:rsidRPr="006A576B">
        <w:rPr>
          <w:szCs w:val="24"/>
          <w:lang w:eastAsia="en-US"/>
        </w:rPr>
        <w:t>50 artikla</w:t>
      </w:r>
      <w:r w:rsidRPr="006A576B">
        <w:rPr>
          <w:szCs w:val="24"/>
          <w:lang w:eastAsia="en-US"/>
        </w:rPr>
        <w:br/>
        <w:t>Menettelyn keskeyttäminen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Tämän luvun mukaiset menettelyt virastossa keskeytetään seuraavissa tapauksissa:</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a)</w:t>
      </w:r>
      <w:r w:rsidRPr="006A576B">
        <w:rPr>
          <w:szCs w:val="24"/>
          <w:lang w:eastAsia="en-US"/>
        </w:rPr>
        <w:tab/>
        <w:t>hakija tai kansallisen oikeuden mukaan hakijaa edustamaan oikeutettu henkilö kuolee tai tulee oikeustoimikelvottomaksi. Jos tällainen kuolema tai oikeustoimikelvottomuus ei vaikuta 38 artiklan mukaisesti nimetyn edustajan valtuuksiin, menettely keskeytetään ainoastaan sellaisen edustajan pyynnöstä;</w:t>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t>b)</w:t>
      </w:r>
      <w:r w:rsidRPr="006A576B">
        <w:rPr>
          <w:szCs w:val="24"/>
          <w:lang w:eastAsia="en-US"/>
        </w:rPr>
        <w:tab/>
        <w:t>hakija on hänen omaisuuttaan vastaan kohdistetusta menettelystä johtuvista oikeudellisista syistä estynyt jatkamasta menettelyä virastossa;</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1416" w:hanging="566"/>
        <w:rPr>
          <w:szCs w:val="24"/>
          <w:lang w:eastAsia="en-US"/>
        </w:rPr>
      </w:pPr>
      <w:r w:rsidRPr="006A576B">
        <w:rPr>
          <w:szCs w:val="24"/>
          <w:lang w:eastAsia="en-US"/>
        </w:rPr>
        <w:lastRenderedPageBreak/>
        <w:t>c)</w:t>
      </w:r>
      <w:r w:rsidRPr="006A576B">
        <w:rPr>
          <w:szCs w:val="24"/>
          <w:lang w:eastAsia="en-US"/>
        </w:rPr>
        <w:tab/>
        <w:t>hakijan edustaja kuolee, tulee oikeustoimikelvottomaksi tai on hänen omaisuuttaan vastaan kohdistetusta menettelystä johtuvista oikeudellisista syistä estynyt jatkamasta menettelyä virastossa.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w:t>
      </w:r>
      <w:r w:rsidRPr="006A576B">
        <w:rPr>
          <w:szCs w:val="24"/>
          <w:lang w:eastAsia="en-US"/>
        </w:rPr>
        <w:tab/>
        <w:t>Menettelyä virastossa jatketaan heti, kun sen henkilön henkilöllisyys on varmistettu, jolla on valtuudet jatkaa menettelyä.</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3.</w:t>
      </w:r>
      <w:r w:rsidRPr="006A576B">
        <w:rPr>
          <w:szCs w:val="24"/>
          <w:lang w:eastAsia="en-US"/>
        </w:rPr>
        <w:tab/>
        <w:t>Siirretään komissiolle valta antaa 55 artiklan mukaisesti delegoituja säädöksiä, joilla täydennetään tätä asetusta vahvistamalla menettelyn jatkamista virastossa koskevat yksityiskohtaiset järjestelyt.</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51 artikla</w:t>
      </w:r>
      <w:r w:rsidRPr="006A576B">
        <w:rPr>
          <w:szCs w:val="24"/>
          <w:lang w:eastAsia="en-US"/>
        </w:rPr>
        <w:br/>
        <w:t>Kulut</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Väitemenettelyn, mukaan lukien siihen liittyvän valitusmenettelyn, hävinnyt osapuoli vastaa toisen osapuolen kuluista. Hävinnyt osapuoli vastaa myös kaikista toiselle osapuolelle aiheutuneista välttämättömistä menettelyyn liittyvistä kuluista, mukaan lukien matka- ja oleskelukustannukset sekä edustajan palkkio, 7 kohdan nojalla hyväksyttävässä täytäntöönpanosäädöksessä kullekin kulujen luokalle vahvistettujen enimmäismäärien rajoissa. Hävinneen osapuolen vastattavaksi tulevat maksut rajoitetaan toiselle osapuolelle näistä menettelyistä aiheutuneisiin maksuihin.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w:t>
      </w:r>
      <w:r w:rsidRPr="006A576B">
        <w:rPr>
          <w:szCs w:val="24"/>
          <w:lang w:eastAsia="en-US"/>
        </w:rPr>
        <w:tab/>
        <w:t>Jos kukin osapuoli voittaa tai häviää yhden tai useamman vaatimuskohdan osalta tai jos oikeudenmukaisuus sitä edellyttää, lisäsuojatodistusosasto tai valituslautakunta päättää toisenlaisesta kulujen jakamisesta.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3.</w:t>
      </w:r>
      <w:r w:rsidRPr="006A576B">
        <w:rPr>
          <w:szCs w:val="24"/>
          <w:lang w:eastAsia="en-US"/>
        </w:rPr>
        <w:tab/>
        <w:t>Jos menettely päätetään, lisäsuojatodistusosasto tai valituslautakunta päättävät kuluista harkintansa mukaan.</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4.</w:t>
      </w:r>
      <w:r w:rsidRPr="006A576B">
        <w:rPr>
          <w:szCs w:val="24"/>
          <w:lang w:eastAsia="en-US"/>
        </w:rPr>
        <w:tab/>
        <w:t>Jos osapuolet sopivat lisäsuojatodistusosastossa tai valituslautakunnassa 1–3 kohdasta poikkeavasta kulujen korvaamisesta, kyseinen elin ottaa tämän sopimuksen huomioon.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5.</w:t>
      </w:r>
      <w:r w:rsidRPr="006A576B">
        <w:rPr>
          <w:szCs w:val="24"/>
          <w:lang w:eastAsia="en-US"/>
        </w:rPr>
        <w:tab/>
        <w:t>Lisäsuojatodistusosasto tai valituslautakunta vahvistaa tämän artiklan 1–3 kohdan nojalla korvattavien kulujen määrän, jos maksettavat kulut käsittävät ainoastaan virastolle suoritetut maksut ja edustuksesta koituneet kulut. Kaikissa muissa tapauksissa valituslautakunnan tai lisäsuojatodistusosaston kanslia vahvistaa pyynnöstä korvattavien kulujen määrän. Pyyntö voidaan ottaa tutkittavaksi ainoastaan kahden kuukauden kuluessa siitä päivästä, jona kulujen vahvistamispyynnön aiheena olevan päätöksen katsotaan olevan lopullinen, ja siihen on liitettävä lasku sekä todisteet. Edustuksen kulujen osalta riittää edustajan vakuutus kulujen aiheutumisesta. Muiden kulujen osalta riittää niiden uskottavuuden todentaminen. Jos kulujen määrä vahvistetaan tämän kohdan ensimmäisen virkkeen mukaisesti, edustuksesta aiheutuvat kulut määrätään korvattaviksi tasolla, joka vahvistetaan täytäntöönpanosäädöksessä, joka hyväksytään tämän artiklan 7 kohdan mukaisesti ja riippumatta siitä, ovatko ne tosiasiallisesti aiheutuneet.</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6.</w:t>
      </w:r>
      <w:r w:rsidRPr="006A576B">
        <w:rPr>
          <w:szCs w:val="24"/>
          <w:lang w:eastAsia="en-US"/>
        </w:rPr>
        <w:tab/>
        <w:t>Edellä olevan 5 kohdan mukaisesti tehdyt kulujen vahvistamista koskevat päätökset on perusteltava, ja lisäsuojatodistusosaston tai valituslautakunnan päätöksellä niitä voidaan tarkastella uudelleen pyynnöstä, joka esitetään yhden kuukauden kuluessa kustannusten jakamista koskevasta ilmoituksesta. Pyyntöä pidetään jätettynä vasta, kun kulujen määrän uudelleentarkastelusta säädetty maksu on maksettu. Tapauksen mukaan lisäsuojatodistusosasto tai valituslautakunta tekee päätöksen kulujen vahvistamista koskevan päätöksen uudelleentarkastelua koskevasta pyynnöstä ilman suullista käsittelyä.</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7.</w:t>
      </w:r>
      <w:r w:rsidRPr="006A576B">
        <w:rPr>
          <w:szCs w:val="24"/>
          <w:lang w:eastAsia="en-US"/>
        </w:rPr>
        <w:tab/>
        <w:t>Komissio hyväksyy täytäntöönpanosäädöksiä, joissa määritetään voittaneelle osapuolelle tosiasiallisesti aiheutuneiden, menettelyille välttämättömien kulujen enimmäismäärät. Nämä täytäntöönpanosäädökset hyväksytään 56 artiklassa tarkoitettua tarkastelumenettelyä noudattaen.</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8.</w:t>
      </w:r>
      <w:r w:rsidRPr="006A576B">
        <w:rPr>
          <w:szCs w:val="24"/>
          <w:lang w:eastAsia="en-US"/>
        </w:rPr>
        <w:tab/>
        <w:t>Vahvistaessaan nämä enimmäismäärät matka- ja oleskelukulujen osalta komissio ottaa huomioon osapuolen, edustajan, todistajan tai asiantuntijan asuinpaikan tai ammatillisen kotipaikan sekä suullisen menettelyn pitopaikan välisen etäisyyden, menettelyn vaiheen, jona kulut ovat aiheutuneet, sekä siltä osin kuin on kyse edustuksen kuluista, tarpeen varmistaa, että toinen osapuoli ei voi taktisista syistä käyttää väärin velvoitetta vastata kuluista. Lisäksi oleskelukulut lasketaan neuvoston asetuksessa (ETY, Euratom, EHTY) N:o 259/68</w:t>
      </w:r>
      <w:r w:rsidRPr="006A576B">
        <w:rPr>
          <w:szCs w:val="24"/>
          <w:vertAlign w:val="superscript"/>
          <w:lang w:val="en-GB" w:eastAsia="en-US"/>
        </w:rPr>
        <w:footnoteReference w:id="27"/>
      </w:r>
      <w:r w:rsidRPr="006A576B">
        <w:rPr>
          <w:szCs w:val="24"/>
          <w:lang w:eastAsia="en-US"/>
        </w:rPr>
        <w:t xml:space="preserve"> vahvistettujen unionin virkamiehiin sovellettavien henkilöstösääntöjen ja unionin muuta henkilöstöä koskevien palvelussuhteen ehtojen mukaisesti. Hävinnyt osapuoli vastaa ainoastaan yhden vastapuolen ja tarvittaessa ainoastaan yhden edustajan kuluista.</w:t>
      </w:r>
    </w:p>
    <w:p w:rsidR="00AD600E" w:rsidRPr="006A576B" w:rsidRDefault="00AD600E" w:rsidP="00207001">
      <w:pPr>
        <w:widowControl/>
        <w:spacing w:before="120" w:after="120" w:line="360" w:lineRule="auto"/>
        <w:jc w:val="center"/>
        <w:rPr>
          <w:szCs w:val="24"/>
          <w:lang w:eastAsia="en-US"/>
        </w:rPr>
      </w:pPr>
      <w:r w:rsidRPr="006A576B">
        <w:rPr>
          <w:szCs w:val="24"/>
          <w:lang w:eastAsia="en-US"/>
        </w:rPr>
        <w:t>52 artikla</w:t>
      </w:r>
      <w:r w:rsidRPr="006A576B">
        <w:rPr>
          <w:szCs w:val="24"/>
          <w:lang w:eastAsia="en-US"/>
        </w:rPr>
        <w:br/>
        <w:t>Kulujen määrän vahvistamista koskevien päätösten täytäntöönpano</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Kaikki viraston tekemät kulujen määrän vahvistamista koskevat lopulliset päätökset ovat täytäntöönpanokelpoisia.</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2.</w:t>
      </w:r>
      <w:r w:rsidRPr="006A576B">
        <w:rPr>
          <w:szCs w:val="24"/>
          <w:lang w:eastAsia="en-US"/>
        </w:rPr>
        <w:tab/>
        <w:t>Täytäntöönpanoon sovelletaan siinä jäsenvaltiossa voimassa olevia riita-asioiden käsittelyä koskevia menettelysäännöksiä, jonka alueella täytäntöönpano tapahtuu. Kunkin jäsenvaltion on nimettävä yksi viranomainen, joka on vastuussa 1 kohdassa tarkoitetun päätöksen oikeaperäisyyden tutkimisesta, ja ilmoitettava kyseisen viranomaisen yhteystiedot virastolle, unionin tuomioistuimelle ja komissiolle. Täytäntöönpanomääräys on liitettävä kyseisen viranomaisen päätökseen tutkimatta muuta kuin päätöksen oikeaperäisyys.</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3.</w:t>
      </w:r>
      <w:r w:rsidRPr="006A576B">
        <w:rPr>
          <w:szCs w:val="24"/>
          <w:lang w:eastAsia="en-US"/>
        </w:rPr>
        <w:tab/>
        <w:t>Kun nämä muodollisuudet on hakijan vaatimuksesta täytetty, tämä voi hakea täytäntöönpanoa kansallisen lainsäädännön mukaisesti saattamalla asian suoraan toimivaltaisen viranomaisen käsiteltäväksi.</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4.</w:t>
      </w:r>
      <w:r w:rsidRPr="006A576B">
        <w:rPr>
          <w:szCs w:val="24"/>
          <w:lang w:eastAsia="en-US"/>
        </w:rPr>
        <w:tab/>
        <w:t>Täytäntöönpanoa voidaan lykätä vain unionin tuomioistuimen päätöksellä. Asianomaisen jäsenvaltion tuomioistuinten toimivaltaan kuuluu kuitenkin tutkia, onko päätös pantu täytäntöön virheellisesti.</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53 artikla</w:t>
      </w:r>
      <w:r w:rsidRPr="006A576B">
        <w:rPr>
          <w:szCs w:val="24"/>
          <w:lang w:eastAsia="en-US"/>
        </w:rPr>
        <w:br/>
        <w:t xml:space="preserve">Rahoitussäännökset </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Kustannukset, joita virastolle aiheutuu sille tämän asetuksen mukaisesti annettujen lisätehtävien hoitamisesta, katetaan hakijoiden virastolle maksamilla menettelymaksuilla ja tarvittaessa osuudella III luvun mukaisesti myönnettyjen todistusten haltijoiden toimivaltaisille kansallisille viranomaisille maksamista vuosimaksuista. Kyseinen osuus vahvistetaan aluksi tiettyyn arvoon, mutta sitä tarkastellaan uudelleen viiden vuoden välein, jotta viraston tämän asetuksen sekä asetusten [COM(2023) 223], [COM(2023) 222] ja [COM(2023) 221] nojalla toteuttamien toimien taloudellinen kestävyys voidaan saavuttaa siltä osin kuin virastolle aiheutuneita menoja ei kateta näiden asetusten mukaisilla maksuilla.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w:t>
      </w:r>
      <w:r w:rsidRPr="006A576B">
        <w:rPr>
          <w:szCs w:val="24"/>
          <w:lang w:eastAsia="en-US"/>
        </w:rPr>
        <w:tab/>
        <w:t>Edellä olevan 1 kohdan soveltamiseksi kunkin toimivaltaisen kansallisen viranomaisen on pidettävä kirjaa tämän luvun nojalla myönnettyjen todistusten haltijoiden sille maksamista vuosimaksuista.</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3.</w:t>
      </w:r>
      <w:r w:rsidRPr="006A576B">
        <w:rPr>
          <w:szCs w:val="24"/>
          <w:lang w:eastAsia="en-US"/>
        </w:rPr>
        <w:tab/>
        <w:t>Virasto vastaa toimivaltaisen kansallisen viranomaisen tämän luvun mukaisiin menettelyihin osallistumisesta aiheutuvista kuluista, ja ne maksetaan vuosittain niiden menettelyjen lukumäärän perusteella, joissa kyseinen toimivaltainen kansallinen viranomainen on ollut osallisena edellisenä vuonna.</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4.</w:t>
      </w:r>
      <w:r w:rsidRPr="006A576B">
        <w:rPr>
          <w:szCs w:val="24"/>
          <w:lang w:eastAsia="en-US"/>
        </w:rPr>
        <w:tab/>
        <w:t>Siirretään komissiolle valta antaa täytäntöönpanosäädöksiä, joissa vahvistetaan säännöt, jotka koskevat viraston ja jäsenvaltioiden välisiä varainsiirtoja, näiden siirtojen määriä sekä korvauksia, jotka viraston on maksettava 3 kohdassa tarkoitetusta toimivaltaisten kansallisten viranomaisten osallistumisesta. Nämä täytäntöönpanosäädökset hyväksytään 56 artiklassa tarkoitettua tarkastelumenettelyä noudattaen.</w:t>
      </w:r>
    </w:p>
    <w:p w:rsidR="00AD600E" w:rsidRPr="006A576B" w:rsidRDefault="00AD600E" w:rsidP="00207001">
      <w:pPr>
        <w:widowControl/>
        <w:spacing w:before="120" w:after="120" w:line="360" w:lineRule="auto"/>
        <w:jc w:val="center"/>
        <w:rPr>
          <w:szCs w:val="24"/>
          <w:lang w:eastAsia="en-US"/>
        </w:rPr>
      </w:pPr>
      <w:r w:rsidRPr="006A576B">
        <w:rPr>
          <w:szCs w:val="24"/>
          <w:lang w:eastAsia="en-US"/>
        </w:rPr>
        <w:t>54 artikla</w:t>
      </w:r>
      <w:r w:rsidRPr="006A576B">
        <w:rPr>
          <w:szCs w:val="24"/>
          <w:lang w:eastAsia="en-US"/>
        </w:rPr>
        <w:br/>
        <w:t>Siirtymäsäännökset</w:t>
      </w:r>
    </w:p>
    <w:p w:rsidR="00AD600E" w:rsidRPr="006A576B" w:rsidRDefault="00AD600E" w:rsidP="00207001">
      <w:pPr>
        <w:widowControl/>
        <w:spacing w:before="120" w:after="120" w:line="360" w:lineRule="auto"/>
        <w:rPr>
          <w:szCs w:val="24"/>
          <w:lang w:eastAsia="en-US"/>
        </w:rPr>
      </w:pPr>
      <w:r w:rsidRPr="006A576B">
        <w:rPr>
          <w:szCs w:val="24"/>
          <w:lang w:eastAsia="en-US"/>
        </w:rPr>
        <w:t>Tätä asetusta sovelletaan Tšekin, Viron, Kroatian, Kyproksen, Latvian, Liettuan, Maltan, Puolan, Romanian, Slovenian ja Slovakian kansallisen lainsäädännön mukaisesti ennen asianomaista liittymispäivää myönnettyihin todistuksiin.</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 xml:space="preserve">IV luku </w:t>
      </w:r>
      <w:r w:rsidRPr="006A576B">
        <w:rPr>
          <w:szCs w:val="24"/>
          <w:lang w:eastAsia="en-US"/>
        </w:rPr>
        <w:br/>
        <w:t>Loppusäännökset</w:t>
      </w:r>
    </w:p>
    <w:p w:rsidR="00AD600E" w:rsidRPr="006A576B" w:rsidRDefault="00AD600E" w:rsidP="00207001">
      <w:pPr>
        <w:widowControl/>
        <w:spacing w:before="120" w:after="120" w:line="360" w:lineRule="auto"/>
        <w:jc w:val="center"/>
        <w:rPr>
          <w:szCs w:val="24"/>
          <w:lang w:eastAsia="en-US"/>
        </w:rPr>
      </w:pPr>
      <w:r w:rsidRPr="006A576B">
        <w:rPr>
          <w:szCs w:val="24"/>
          <w:lang w:eastAsia="en-US"/>
        </w:rPr>
        <w:t>55 artikla</w:t>
      </w:r>
      <w:r w:rsidRPr="006A576B">
        <w:rPr>
          <w:szCs w:val="24"/>
          <w:lang w:eastAsia="en-US"/>
        </w:rPr>
        <w:br/>
        <w:t>Siirretyn säädösvallan käyttäminen</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Komissiolle siirrettyä valtaa antaa delegoituja säädöksiä koskevat tässä artiklassa säädetyt edellytykset.</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2.</w:t>
      </w:r>
      <w:r w:rsidRPr="006A576B">
        <w:rPr>
          <w:szCs w:val="24"/>
          <w:lang w:eastAsia="en-US"/>
        </w:rPr>
        <w:tab/>
        <w:t>Siirretään komissiolle tämän asetuksen voimaantulopäivästä määräämättömäksi ajaksi 26 artiklan 13 kohdassa, 29 artiklan 8 kohdassa, 31 artiklassa, 42 artiklan 2 kohdassa, 44 artiklan 4 kohdassa, 45 artiklan 6 kohdassa, 46 artiklan 4 kohdassa, 47 artiklan 5 kohdassa ja 50 artiklan 3 kohdassa tarkoitettu valta antaa delegoituja säädöksiä.</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3.</w:t>
      </w:r>
      <w:r w:rsidRPr="006A576B">
        <w:rPr>
          <w:szCs w:val="24"/>
          <w:lang w:eastAsia="en-US"/>
        </w:rPr>
        <w:tab/>
        <w:t xml:space="preserve">Euroopan parlamentti tai neuvosto voi milloin tahansa peruuttaa 26 artiklan 13 kohdassa, 29 artiklan 8 kohdassa, 31 artiklassa, 42 artiklan 2 kohdassa, 44 artiklan 4 kohdassa, 45 artiklan 6 kohdassa, 46 artiklan 4 kohdassa, 47 artiklan 5 kohdassa ja 50 artiklan 3 kohdassa tarkoitetun säädösvallan siirron. Peruuttamispäätöksellä lopetetaan tuossa päätöksessä mainittu säädösvallan siirto. Peruuttaminen tulee voimaan sitä päivää seuraavana päivänä, jona sitä koskeva päätös julkaistaan </w:t>
      </w:r>
      <w:bookmarkStart w:id="8" w:name="_GoBack"/>
      <w:r w:rsidRPr="00CB3002">
        <w:rPr>
          <w:i/>
          <w:szCs w:val="24"/>
          <w:lang w:eastAsia="en-US"/>
        </w:rPr>
        <w:t>Euroopan unionin virallisessa lehdessä</w:t>
      </w:r>
      <w:bookmarkEnd w:id="8"/>
      <w:r w:rsidRPr="006A576B">
        <w:rPr>
          <w:szCs w:val="24"/>
          <w:lang w:eastAsia="en-US"/>
        </w:rPr>
        <w:t>, tai jonakin myöhempänä, kyseisessä päätöksessä mainittuna päivänä. Peruuttamispäätös ei vaikuta jo voimassa olevien delegoitujen säädösten pätevyyteen.</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4.</w:t>
      </w:r>
      <w:r w:rsidRPr="006A576B">
        <w:rPr>
          <w:szCs w:val="24"/>
          <w:lang w:eastAsia="en-US"/>
        </w:rPr>
        <w:tab/>
        <w:t>Ennen kuin komissio hyväksyy delegoidun säädöksen, se kuulee kunkin jäsenvaltion nimeämiä asiantuntijoita paremmasta lainsäädännöstä 13 päivänä huhtikuuta 2016 tehdyssä toimielinten välisessä sopimuksessa vahvistettujen periaatteiden mukaisesti.</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5.</w:t>
      </w:r>
      <w:r w:rsidRPr="006A576B">
        <w:rPr>
          <w:szCs w:val="24"/>
          <w:lang w:eastAsia="en-US"/>
        </w:rPr>
        <w:tab/>
        <w:t>Heti kun komissio on antanut delegoidun säädöksen, komissio antaa sen tiedoksi yhtäaikaisesti Euroopan parlamentille ja neuvostolle.</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6.</w:t>
      </w:r>
      <w:r w:rsidRPr="006A576B">
        <w:rPr>
          <w:szCs w:val="24"/>
          <w:lang w:eastAsia="en-US"/>
        </w:rPr>
        <w:tab/>
        <w:t>Edellä olevien 26 artiklan 13 kohdan, 29 artiklan 8 kohdan, 31 artiklan, 42 artiklan 2 kohdan, 44 artiklan 4 kohdan, 45 artiklan 6 kohdan, 46 artiklan 4 kohdan, 47 artiklan 5 kohdan ja 50 artiklan 3 kohdan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kahdella kuukaudella.</w:t>
      </w:r>
    </w:p>
    <w:p w:rsidR="00AD600E" w:rsidRPr="006A576B" w:rsidRDefault="00AD600E" w:rsidP="00207001">
      <w:pPr>
        <w:widowControl/>
        <w:spacing w:before="120" w:after="120" w:line="360" w:lineRule="auto"/>
        <w:jc w:val="center"/>
        <w:rPr>
          <w:szCs w:val="24"/>
          <w:lang w:eastAsia="en-US"/>
        </w:rPr>
      </w:pPr>
      <w:r w:rsidRPr="006A576B">
        <w:rPr>
          <w:szCs w:val="24"/>
          <w:lang w:eastAsia="en-US"/>
        </w:rPr>
        <w:t>56 artikla</w:t>
      </w:r>
      <w:r w:rsidRPr="006A576B">
        <w:rPr>
          <w:szCs w:val="24"/>
          <w:lang w:eastAsia="en-US"/>
        </w:rPr>
        <w:br/>
        <w:t xml:space="preserve">Komiteamenettely </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Komissiota avustaa lisäsuojatodistuksia käsittelevä komitea. Tämä komitea on asetuksessa (EU) N:o 182/2011 tarkoitettu komitea.</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lastRenderedPageBreak/>
        <w:t>2.</w:t>
      </w:r>
      <w:r w:rsidRPr="006A576B">
        <w:rPr>
          <w:szCs w:val="24"/>
          <w:lang w:eastAsia="en-US"/>
        </w:rPr>
        <w:tab/>
        <w:t xml:space="preserve">Kun viitataan tähän kohtaan, sovelletaan asetuksen (EU) </w:t>
      </w:r>
      <w:proofErr w:type="gramStart"/>
      <w:r w:rsidRPr="006A576B">
        <w:rPr>
          <w:szCs w:val="24"/>
          <w:lang w:eastAsia="en-US"/>
        </w:rPr>
        <w:t>N:o</w:t>
      </w:r>
      <w:proofErr w:type="gramEnd"/>
      <w:r w:rsidRPr="006A576B">
        <w:rPr>
          <w:szCs w:val="24"/>
          <w:lang w:eastAsia="en-US"/>
        </w:rPr>
        <w:t xml:space="preserve"> 182/2011 5 artiklaa.</w:t>
      </w:r>
    </w:p>
    <w:p w:rsidR="00AD600E" w:rsidRPr="006A576B" w:rsidRDefault="00AD600E" w:rsidP="00207001">
      <w:pPr>
        <w:widowControl/>
        <w:spacing w:before="120" w:after="120" w:line="360" w:lineRule="auto"/>
        <w:jc w:val="center"/>
        <w:rPr>
          <w:szCs w:val="24"/>
          <w:lang w:eastAsia="en-US"/>
        </w:rPr>
      </w:pPr>
      <w:r w:rsidRPr="006A576B">
        <w:rPr>
          <w:szCs w:val="24"/>
          <w:lang w:eastAsia="en-US"/>
        </w:rPr>
        <w:t>57 artikla</w:t>
      </w:r>
      <w:r w:rsidRPr="006A576B">
        <w:rPr>
          <w:szCs w:val="24"/>
          <w:lang w:eastAsia="en-US"/>
        </w:rPr>
        <w:br/>
        <w:t>Arviointi</w:t>
      </w:r>
    </w:p>
    <w:p w:rsidR="00AD600E" w:rsidRPr="006A576B" w:rsidRDefault="00AD600E" w:rsidP="00207001">
      <w:pPr>
        <w:widowControl/>
        <w:spacing w:before="120" w:after="120" w:line="360" w:lineRule="auto"/>
        <w:ind w:left="850" w:hanging="850"/>
        <w:rPr>
          <w:szCs w:val="24"/>
          <w:lang w:eastAsia="en-US"/>
        </w:rPr>
      </w:pPr>
      <w:r w:rsidRPr="006A576B">
        <w:rPr>
          <w:szCs w:val="24"/>
          <w:lang w:eastAsia="en-US"/>
        </w:rPr>
        <w:t>1.</w:t>
      </w:r>
      <w:r w:rsidRPr="006A576B">
        <w:rPr>
          <w:szCs w:val="24"/>
          <w:lang w:eastAsia="en-US"/>
        </w:rPr>
        <w:tab/>
        <w:t>Viimeistään viiden vuoden kuluttua 5 artiklan 10 kohdassa tarkoitetusta päivämäärästä ja sen jälkeen viiden vuoden välein komissio suorittaa 5 artiklan 2–9 kohdan ja 11 artiklan arvioinnin arvioidakseen, onko näiden säännösten tavoitteet saavutettu, ja esittää kertomuksen tärkeimmistä havainnoista Euroopan parlamentille, neuvostolle ja Euroopan talous- ja sosiaalikomitealle. Sen lisäksi, että arvioidaan vientiä varten tapahtuvaa valmistusta koskevan poikkeuksen vaikutusta, erityistä huomiota on kiinnitettävä siihen, miten valmistus varastoitavaksi kyseisen tuotteen tai tätä tuotetta sisältävän lääkkeen saattamiseksi jäsenvaltioiden markkinoille vastaavan todistuksen voimassaolon päättymisen jälkeen voi tapahtua, vaikuttaa lääkkeiden saatavuuteen ja julkisiin terveydenhuoltomenoihin, ja siihen, onko poikkeus ja erityisesti 5 artiklan 2 kohdan a alakohdan iii alakohdassa asetettu määräaika riittävä 5 artiklassa mainittujen tavoitteiden saavuttamiseksi, kansanterveys mukaan luettuna.</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ind w:left="850" w:hanging="850"/>
        <w:rPr>
          <w:b/>
          <w:szCs w:val="24"/>
          <w:lang w:eastAsia="en-US"/>
        </w:rPr>
      </w:pPr>
      <w:r w:rsidRPr="006A576B">
        <w:rPr>
          <w:szCs w:val="24"/>
          <w:lang w:eastAsia="en-US"/>
        </w:rPr>
        <w:lastRenderedPageBreak/>
        <w:t>2.</w:t>
      </w:r>
      <w:r w:rsidRPr="006A576B">
        <w:rPr>
          <w:szCs w:val="24"/>
          <w:lang w:eastAsia="en-US"/>
        </w:rPr>
        <w:tab/>
        <w:t>Komissio arvioi viimeistään [julkaisutoimisto lisää päivämäärän, joka on viisi vuotta asetuksen soveltamispäivän jälkeen] ja sen jälkeen viiden vuoden välein myös III luvun soveltamista</w:t>
      </w:r>
      <w:r w:rsidRPr="006A576B">
        <w:rPr>
          <w:b/>
          <w:i/>
          <w:szCs w:val="24"/>
          <w:lang w:eastAsia="en-US"/>
        </w:rPr>
        <w:t xml:space="preserve"> ja esittää kertomuksen keskeisistä havainnoista Euroopan parlamentille, neuvostolle ja Euroopan talous- ja sosiaalikomitealle</w:t>
      </w:r>
      <w:r w:rsidRPr="006A576B">
        <w:rPr>
          <w:szCs w:val="24"/>
          <w:lang w:eastAsia="en-US"/>
        </w:rPr>
        <w:t>.</w:t>
      </w:r>
      <w:r w:rsidRPr="006A576B">
        <w:rPr>
          <w:b/>
          <w:i/>
          <w:szCs w:val="24"/>
          <w:lang w:eastAsia="en-US"/>
        </w:rPr>
        <w:t xml:space="preserve"> Arvioinnissa olisi tarkasteltava erityisesti sitä, onko kyseisen luvun säännösten tavoitteet saavutettu.</w:t>
      </w:r>
      <w:r w:rsidR="0017454C" w:rsidRPr="006A576B">
        <w:rPr>
          <w:b/>
          <w:szCs w:val="24"/>
          <w:lang w:eastAsia="en-US"/>
        </w:rPr>
        <w:t xml:space="preserve"> [tark. 65]</w:t>
      </w:r>
    </w:p>
    <w:p w:rsidR="00AD600E" w:rsidRPr="006A576B" w:rsidRDefault="00AD600E" w:rsidP="00207001">
      <w:pPr>
        <w:widowControl/>
        <w:spacing w:before="120" w:after="120" w:line="360" w:lineRule="auto"/>
        <w:jc w:val="center"/>
        <w:rPr>
          <w:szCs w:val="24"/>
          <w:lang w:eastAsia="en-US"/>
        </w:rPr>
      </w:pPr>
      <w:r w:rsidRPr="006A576B">
        <w:rPr>
          <w:szCs w:val="24"/>
          <w:lang w:eastAsia="en-US"/>
        </w:rPr>
        <w:t>58 artikla</w:t>
      </w:r>
      <w:r w:rsidRPr="006A576B">
        <w:rPr>
          <w:szCs w:val="24"/>
          <w:lang w:eastAsia="en-US"/>
        </w:rPr>
        <w:br/>
        <w:t>Vireillä olevia hakemuksia koskevat siirtymäsäännökset</w:t>
      </w:r>
    </w:p>
    <w:p w:rsidR="00AD600E" w:rsidRPr="006A576B" w:rsidRDefault="00AD600E" w:rsidP="00207001">
      <w:pPr>
        <w:widowControl/>
        <w:spacing w:before="120" w:after="120" w:line="360" w:lineRule="auto"/>
        <w:rPr>
          <w:szCs w:val="24"/>
          <w:lang w:eastAsia="en-US"/>
        </w:rPr>
      </w:pPr>
      <w:r w:rsidRPr="006A576B">
        <w:rPr>
          <w:szCs w:val="24"/>
          <w:lang w:eastAsia="en-US"/>
        </w:rPr>
        <w:t>Edellä olevaa 20 artiklan 2 kohtaa ei sovelleta kansallisiin todistushakemuksiin, jotka ovat vireillä toimivaltaisissa kansallisissa viranomaisissa XX päivänä XXkuuta XXXX [julkaisutoimisto lisää tämän asetuksen soveltamispäivän] ja jotka täyttävät 20 artiklan 1 kohdan edellytykset.</w:t>
      </w:r>
    </w:p>
    <w:p w:rsidR="00DE1EF0" w:rsidRPr="006A576B" w:rsidRDefault="00DE1EF0">
      <w:pPr>
        <w:widowControl/>
        <w:rPr>
          <w:szCs w:val="24"/>
          <w:lang w:eastAsia="en-US"/>
        </w:rPr>
      </w:pPr>
      <w:r w:rsidRPr="006A576B">
        <w:rPr>
          <w:szCs w:val="24"/>
          <w:lang w:eastAsia="en-US"/>
        </w:rPr>
        <w:br w:type="page"/>
      </w:r>
    </w:p>
    <w:p w:rsidR="00AD600E" w:rsidRPr="006A576B" w:rsidRDefault="00AD600E" w:rsidP="00207001">
      <w:pPr>
        <w:widowControl/>
        <w:spacing w:before="120" w:after="120" w:line="360" w:lineRule="auto"/>
        <w:jc w:val="center"/>
        <w:rPr>
          <w:szCs w:val="24"/>
          <w:lang w:eastAsia="en-US"/>
        </w:rPr>
      </w:pPr>
      <w:r w:rsidRPr="006A576B">
        <w:rPr>
          <w:szCs w:val="24"/>
          <w:lang w:eastAsia="en-US"/>
        </w:rPr>
        <w:lastRenderedPageBreak/>
        <w:t>59 artikla</w:t>
      </w:r>
      <w:r w:rsidRPr="006A576B">
        <w:rPr>
          <w:szCs w:val="24"/>
          <w:lang w:eastAsia="en-US"/>
        </w:rPr>
        <w:br/>
        <w:t>Kumoaminen</w:t>
      </w:r>
    </w:p>
    <w:p w:rsidR="00AD600E" w:rsidRPr="006A576B" w:rsidRDefault="00AD600E" w:rsidP="00207001">
      <w:pPr>
        <w:widowControl/>
        <w:spacing w:before="120" w:after="120" w:line="360" w:lineRule="auto"/>
        <w:rPr>
          <w:szCs w:val="24"/>
          <w:lang w:eastAsia="en-US"/>
        </w:rPr>
      </w:pPr>
      <w:r w:rsidRPr="006A576B">
        <w:rPr>
          <w:szCs w:val="24"/>
          <w:lang w:eastAsia="en-US"/>
        </w:rPr>
        <w:t>Kumotaan asetus (EY) N:o 469/2009.</w:t>
      </w:r>
    </w:p>
    <w:p w:rsidR="00AD600E" w:rsidRPr="006A576B" w:rsidRDefault="00AD600E" w:rsidP="00207001">
      <w:pPr>
        <w:widowControl/>
        <w:spacing w:before="120" w:after="120" w:line="360" w:lineRule="auto"/>
        <w:rPr>
          <w:szCs w:val="24"/>
          <w:lang w:eastAsia="en-US"/>
        </w:rPr>
      </w:pPr>
      <w:r w:rsidRPr="006A576B">
        <w:rPr>
          <w:szCs w:val="24"/>
          <w:lang w:eastAsia="en-US"/>
        </w:rPr>
        <w:t>Viittauksia kumottuun asetukseen pidetään viittauksina tähän asetukseen liitteessä IV olevan vastaavuustaulukon mukaisesti.</w:t>
      </w:r>
    </w:p>
    <w:p w:rsidR="00AD600E" w:rsidRPr="006A576B" w:rsidRDefault="00AD600E" w:rsidP="00207001">
      <w:pPr>
        <w:widowControl/>
        <w:spacing w:before="120" w:after="120" w:line="360" w:lineRule="auto"/>
        <w:jc w:val="center"/>
        <w:rPr>
          <w:szCs w:val="24"/>
          <w:lang w:eastAsia="en-US"/>
        </w:rPr>
      </w:pPr>
      <w:r w:rsidRPr="006A576B">
        <w:rPr>
          <w:szCs w:val="24"/>
          <w:lang w:eastAsia="en-US"/>
        </w:rPr>
        <w:t>60 artikla</w:t>
      </w:r>
      <w:r w:rsidRPr="006A576B">
        <w:rPr>
          <w:szCs w:val="24"/>
          <w:lang w:eastAsia="en-US"/>
        </w:rPr>
        <w:br/>
        <w:t xml:space="preserve">Voimaantulo ja soveltaminen </w:t>
      </w:r>
    </w:p>
    <w:p w:rsidR="00AD600E" w:rsidRPr="006A576B" w:rsidRDefault="00AD600E" w:rsidP="00207001">
      <w:pPr>
        <w:widowControl/>
        <w:spacing w:before="120" w:after="120" w:line="360" w:lineRule="auto"/>
        <w:rPr>
          <w:szCs w:val="24"/>
          <w:lang w:eastAsia="en-US"/>
        </w:rPr>
      </w:pPr>
      <w:r w:rsidRPr="006A576B">
        <w:rPr>
          <w:szCs w:val="24"/>
          <w:lang w:eastAsia="en-US"/>
        </w:rPr>
        <w:t xml:space="preserve">Tämä asetus tulee voimaan kahdentenakymmenentenä päivänä sen jälkeen, kun se on julkaistu </w:t>
      </w:r>
      <w:r w:rsidRPr="00CB3002">
        <w:rPr>
          <w:i/>
          <w:szCs w:val="24"/>
          <w:lang w:eastAsia="en-US"/>
        </w:rPr>
        <w:t>Euroopan unionin virallisessa lehdessä</w:t>
      </w:r>
      <w:r w:rsidRPr="006A576B">
        <w:rPr>
          <w:szCs w:val="24"/>
          <w:lang w:eastAsia="en-US"/>
        </w:rPr>
        <w:t>.</w:t>
      </w:r>
    </w:p>
    <w:p w:rsidR="00AD600E" w:rsidRPr="006A576B" w:rsidRDefault="00AD600E" w:rsidP="00207001">
      <w:pPr>
        <w:widowControl/>
        <w:spacing w:before="120" w:after="120" w:line="360" w:lineRule="auto"/>
        <w:rPr>
          <w:szCs w:val="24"/>
          <w:lang w:eastAsia="en-US"/>
        </w:rPr>
      </w:pPr>
      <w:r w:rsidRPr="006A576B">
        <w:rPr>
          <w:szCs w:val="24"/>
          <w:lang w:eastAsia="en-US"/>
        </w:rPr>
        <w:t>20–53 ja 55–57 artiklaa sovelletaan XX päivästä XXkuuta XXXX [julkaisutoimisto lisää sen kuukauden ensimmäisen päivän, joka on 12 kuukautta soveltamispäivän jälkeen]</w:t>
      </w:r>
    </w:p>
    <w:p w:rsidR="00AD600E" w:rsidRPr="006A576B" w:rsidRDefault="00AD600E" w:rsidP="00DE1EF0">
      <w:pPr>
        <w:widowControl/>
        <w:spacing w:before="480" w:after="120" w:line="360" w:lineRule="auto"/>
        <w:rPr>
          <w:szCs w:val="24"/>
          <w:lang w:eastAsia="en-US"/>
        </w:rPr>
      </w:pPr>
      <w:r w:rsidRPr="006A576B">
        <w:rPr>
          <w:szCs w:val="24"/>
          <w:lang w:eastAsia="en-US"/>
        </w:rPr>
        <w:t>Tämä asetus on kaikilta osiltaan velvoittava, ja sitä sovelletaan sellaisenaan kaikissa jäsenvaltioissa.</w:t>
      </w:r>
    </w:p>
    <w:p w:rsidR="00AD600E" w:rsidRPr="006A576B" w:rsidRDefault="00AD600E" w:rsidP="00207001">
      <w:pPr>
        <w:keepNext/>
        <w:widowControl/>
        <w:spacing w:before="120" w:line="360" w:lineRule="auto"/>
        <w:rPr>
          <w:szCs w:val="24"/>
          <w:lang w:eastAsia="en-US"/>
        </w:rPr>
      </w:pPr>
      <w:r w:rsidRPr="006A576B">
        <w:rPr>
          <w:szCs w:val="24"/>
          <w:lang w:eastAsia="en-US"/>
        </w:rPr>
        <w:t xml:space="preserve">Tehty </w:t>
      </w:r>
      <w:r w:rsidR="00CB3002">
        <w:rPr>
          <w:szCs w:val="24"/>
          <w:lang w:eastAsia="en-US"/>
        </w:rPr>
        <w:t>…</w:t>
      </w:r>
    </w:p>
    <w:p w:rsidR="00AD600E" w:rsidRPr="006A576B" w:rsidRDefault="00AD600E" w:rsidP="00372632">
      <w:pPr>
        <w:keepNext/>
        <w:widowControl/>
        <w:tabs>
          <w:tab w:val="left" w:pos="4252"/>
        </w:tabs>
        <w:spacing w:before="720" w:line="360" w:lineRule="auto"/>
        <w:rPr>
          <w:i/>
          <w:szCs w:val="24"/>
          <w:lang w:eastAsia="en-US"/>
        </w:rPr>
      </w:pPr>
      <w:r w:rsidRPr="006A576B">
        <w:rPr>
          <w:i/>
          <w:szCs w:val="24"/>
          <w:lang w:eastAsia="en-US"/>
        </w:rPr>
        <w:t>Euroopan parlamentin puolesta</w:t>
      </w:r>
      <w:r w:rsidRPr="006A576B">
        <w:rPr>
          <w:i/>
          <w:szCs w:val="24"/>
          <w:lang w:eastAsia="en-US"/>
        </w:rPr>
        <w:tab/>
        <w:t>Neuvoston puolesta</w:t>
      </w:r>
    </w:p>
    <w:p w:rsidR="00AD600E" w:rsidRPr="006A576B" w:rsidRDefault="00AD600E" w:rsidP="00207001">
      <w:pPr>
        <w:widowControl/>
        <w:tabs>
          <w:tab w:val="left" w:pos="4252"/>
        </w:tabs>
        <w:spacing w:line="360" w:lineRule="auto"/>
        <w:rPr>
          <w:i/>
          <w:szCs w:val="24"/>
          <w:lang w:eastAsia="en-US"/>
        </w:rPr>
      </w:pPr>
      <w:r w:rsidRPr="006A576B">
        <w:rPr>
          <w:i/>
          <w:szCs w:val="24"/>
          <w:lang w:eastAsia="en-US"/>
        </w:rPr>
        <w:t>Puhemies</w:t>
      </w:r>
      <w:r w:rsidRPr="006A576B">
        <w:rPr>
          <w:i/>
          <w:szCs w:val="24"/>
          <w:lang w:eastAsia="en-US"/>
        </w:rPr>
        <w:tab/>
        <w:t>Puheenjohtaja</w:t>
      </w:r>
    </w:p>
    <w:p w:rsidR="00AD600E" w:rsidRPr="006A576B" w:rsidRDefault="00AD600E" w:rsidP="00207001">
      <w:pPr>
        <w:widowControl/>
        <w:spacing w:before="120" w:after="120" w:line="360" w:lineRule="auto"/>
        <w:rPr>
          <w:szCs w:val="24"/>
          <w:lang w:eastAsia="en-US"/>
        </w:rPr>
        <w:sectPr w:rsidR="00AD600E" w:rsidRPr="006A576B">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AD600E" w:rsidRPr="006A576B" w:rsidRDefault="00AD600E" w:rsidP="00207001">
      <w:pPr>
        <w:widowControl/>
        <w:spacing w:before="120" w:after="120" w:line="360" w:lineRule="auto"/>
        <w:jc w:val="center"/>
        <w:rPr>
          <w:lang w:eastAsia="en-US"/>
        </w:rPr>
      </w:pPr>
      <w:r w:rsidRPr="006A576B">
        <w:rPr>
          <w:lang w:eastAsia="en-US"/>
        </w:rPr>
        <w:lastRenderedPageBreak/>
        <w:t>LIITE I</w:t>
      </w:r>
    </w:p>
    <w:p w:rsidR="00AD600E" w:rsidRPr="006A576B" w:rsidRDefault="00AD600E" w:rsidP="00207001">
      <w:pPr>
        <w:widowControl/>
        <w:spacing w:before="120" w:after="120" w:line="360" w:lineRule="auto"/>
        <w:rPr>
          <w:szCs w:val="24"/>
          <w:lang w:eastAsia="en-US"/>
        </w:rPr>
      </w:pPr>
      <w:r w:rsidRPr="006A576B">
        <w:rPr>
          <w:szCs w:val="24"/>
          <w:lang w:eastAsia="en-US"/>
        </w:rPr>
        <w:t>Kumottu asetus</w:t>
      </w:r>
      <w:r w:rsidR="0017454C" w:rsidRPr="006A576B">
        <w:rPr>
          <w:szCs w:val="24"/>
          <w:lang w:eastAsia="en-US"/>
        </w:rPr>
        <w:t xml:space="preserve"> </w:t>
      </w:r>
      <w:r w:rsidRPr="006A576B">
        <w:rPr>
          <w:szCs w:val="24"/>
          <w:lang w:eastAsia="en-US"/>
        </w:rPr>
        <w:t>muutoksineen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284"/>
        <w:gridCol w:w="3781"/>
      </w:tblGrid>
      <w:tr w:rsidR="00AD600E" w:rsidRPr="006A576B" w:rsidTr="00CC36E3">
        <w:trPr>
          <w:tblHeader/>
        </w:trPr>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Euroopan parlamentin ja neuvoston asetus (EY) N:o 469/2009 (EUVL L 152, 16.6.2009, s. 1)</w:t>
            </w:r>
          </w:p>
        </w:tc>
        <w:tc>
          <w:tcPr>
            <w:tcW w:w="0" w:type="auto"/>
          </w:tcPr>
          <w:p w:rsidR="00AD600E" w:rsidRPr="006A576B" w:rsidRDefault="00AD600E" w:rsidP="00207001">
            <w:pPr>
              <w:widowControl/>
              <w:spacing w:before="120" w:after="120" w:line="360" w:lineRule="auto"/>
              <w:rPr>
                <w:szCs w:val="24"/>
                <w:lang w:eastAsia="en-US"/>
              </w:rPr>
            </w:pP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Euroopan parlamentin ja neuvoston asetus (EU) 2019/933 (EUVL L 153, 11.6.2019, s. 1)</w:t>
            </w:r>
          </w:p>
        </w:tc>
        <w:tc>
          <w:tcPr>
            <w:tcW w:w="0" w:type="auto"/>
          </w:tcPr>
          <w:p w:rsidR="00AD600E" w:rsidRPr="006A576B" w:rsidRDefault="00AD600E" w:rsidP="00207001">
            <w:pPr>
              <w:widowControl/>
              <w:spacing w:before="120" w:after="120" w:line="360" w:lineRule="auto"/>
              <w:rPr>
                <w:szCs w:val="24"/>
                <w:lang w:eastAsia="en-US"/>
              </w:rPr>
            </w:pP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vuoden 2012 liittymisasiakirja (EUVL L 112, 24.2.2012, s. 21)</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ainoastaan liitteessä III olevan 2 kohdan II alakohdan 2 alakohta</w:t>
            </w:r>
          </w:p>
        </w:tc>
      </w:tr>
    </w:tbl>
    <w:p w:rsidR="00AD600E" w:rsidRPr="006A576B" w:rsidRDefault="00AD600E" w:rsidP="00207001">
      <w:pPr>
        <w:widowControl/>
        <w:spacing w:before="120" w:after="120" w:line="360" w:lineRule="auto"/>
        <w:rPr>
          <w:szCs w:val="24"/>
          <w:lang w:eastAsia="en-US"/>
        </w:rPr>
        <w:sectPr w:rsidR="00AD600E" w:rsidRPr="006A576B">
          <w:pgSz w:w="11909" w:h="16834"/>
          <w:pgMar w:top="1134" w:right="1417" w:bottom="1417" w:left="1417" w:header="1134" w:footer="567" w:gutter="0"/>
          <w:cols w:space="720"/>
        </w:sectPr>
      </w:pPr>
    </w:p>
    <w:p w:rsidR="00AD600E" w:rsidRPr="006A576B" w:rsidRDefault="00AD600E" w:rsidP="00207001">
      <w:pPr>
        <w:widowControl/>
        <w:spacing w:before="120" w:after="120" w:line="360" w:lineRule="auto"/>
        <w:jc w:val="center"/>
        <w:rPr>
          <w:lang w:eastAsia="en-US"/>
        </w:rPr>
      </w:pPr>
      <w:r w:rsidRPr="006A576B">
        <w:rPr>
          <w:lang w:eastAsia="en-US"/>
        </w:rPr>
        <w:lastRenderedPageBreak/>
        <w:t>LIITE II</w:t>
      </w:r>
    </w:p>
    <w:p w:rsidR="00AD600E" w:rsidRPr="006A576B" w:rsidRDefault="00AD600E" w:rsidP="00207001">
      <w:pPr>
        <w:widowControl/>
        <w:spacing w:before="120" w:after="120" w:line="360" w:lineRule="auto"/>
        <w:rPr>
          <w:szCs w:val="24"/>
          <w:lang w:eastAsia="en-US"/>
        </w:rPr>
      </w:pPr>
      <w:r w:rsidRPr="006A576B">
        <w:rPr>
          <w:szCs w:val="24"/>
          <w:lang w:eastAsia="en-US"/>
        </w:rPr>
        <w:t>Logo</w:t>
      </w:r>
    </w:p>
    <w:p w:rsidR="00AD600E" w:rsidRPr="006A576B" w:rsidRDefault="00AD600E" w:rsidP="00207001">
      <w:pPr>
        <w:widowControl/>
        <w:spacing w:before="120" w:after="120" w:line="360" w:lineRule="auto"/>
        <w:rPr>
          <w:szCs w:val="24"/>
          <w:lang w:eastAsia="en-US"/>
        </w:rPr>
      </w:pPr>
      <w:r w:rsidRPr="006A576B">
        <w:rPr>
          <w:szCs w:val="24"/>
          <w:lang w:eastAsia="en-US"/>
        </w:rPr>
        <w:t>Tämä logo on väriltään musta, ja sen on oltava kooltaan sellainen, että se on riittävän näkyvä.</w:t>
      </w:r>
    </w:p>
    <w:p w:rsidR="00AD600E" w:rsidRPr="006A576B" w:rsidRDefault="00AD600E" w:rsidP="00207001">
      <w:pPr>
        <w:widowControl/>
        <w:spacing w:before="120" w:after="120" w:line="360" w:lineRule="auto"/>
        <w:rPr>
          <w:noProof/>
          <w:szCs w:val="24"/>
          <w:lang w:eastAsia="en-US"/>
        </w:rPr>
      </w:pPr>
    </w:p>
    <w:p w:rsidR="00AD600E" w:rsidRPr="006A576B" w:rsidRDefault="00AD600E" w:rsidP="00207001">
      <w:pPr>
        <w:widowControl/>
        <w:spacing w:before="120" w:after="120" w:line="360" w:lineRule="auto"/>
        <w:rPr>
          <w:szCs w:val="24"/>
          <w:lang w:eastAsia="en-US"/>
        </w:rPr>
      </w:pPr>
      <w:r w:rsidRPr="006A576B">
        <w:rPr>
          <w:noProof/>
          <w:szCs w:val="24"/>
          <w:lang w:val="en-GB"/>
        </w:rPr>
        <w:drawing>
          <wp:inline distT="0" distB="0" distL="0" distR="0" wp14:anchorId="3EC48C60" wp14:editId="154A1FFC">
            <wp:extent cx="2208864" cy="1462087"/>
            <wp:effectExtent l="0" t="0" r="127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2357" t="8235" r="13767" b="4838"/>
                    <a:stretch/>
                  </pic:blipFill>
                  <pic:spPr bwMode="auto">
                    <a:xfrm>
                      <a:off x="0" y="0"/>
                      <a:ext cx="2228625" cy="1475167"/>
                    </a:xfrm>
                    <a:prstGeom prst="rect">
                      <a:avLst/>
                    </a:prstGeom>
                    <a:ln>
                      <a:noFill/>
                    </a:ln>
                    <a:extLst>
                      <a:ext uri="{53640926-AAD7-44D8-BBD7-CCE9431645EC}">
                        <a14:shadowObscured xmlns:a14="http://schemas.microsoft.com/office/drawing/2010/main"/>
                      </a:ext>
                    </a:extLst>
                  </pic:spPr>
                </pic:pic>
              </a:graphicData>
            </a:graphic>
          </wp:inline>
        </w:drawing>
      </w:r>
    </w:p>
    <w:p w:rsidR="00AD600E" w:rsidRPr="006A576B" w:rsidRDefault="00AD600E" w:rsidP="00207001">
      <w:pPr>
        <w:widowControl/>
        <w:spacing w:before="120" w:after="120" w:line="360" w:lineRule="auto"/>
        <w:rPr>
          <w:szCs w:val="24"/>
          <w:lang w:eastAsia="en-US"/>
        </w:rPr>
      </w:pPr>
    </w:p>
    <w:p w:rsidR="00AD600E" w:rsidRPr="006A576B" w:rsidRDefault="00AD600E" w:rsidP="00207001">
      <w:pPr>
        <w:widowControl/>
        <w:spacing w:before="120" w:after="120" w:line="360" w:lineRule="auto"/>
        <w:rPr>
          <w:szCs w:val="24"/>
          <w:lang w:eastAsia="en-US"/>
        </w:rPr>
        <w:sectPr w:rsidR="00AD600E" w:rsidRPr="006A576B">
          <w:pgSz w:w="11909" w:h="16834"/>
          <w:pgMar w:top="1134" w:right="1417" w:bottom="1417" w:left="1417" w:header="1134" w:footer="567" w:gutter="0"/>
          <w:cols w:space="720"/>
        </w:sectPr>
      </w:pPr>
    </w:p>
    <w:p w:rsidR="00AD600E" w:rsidRPr="006A576B" w:rsidRDefault="00AD600E" w:rsidP="00207001">
      <w:pPr>
        <w:widowControl/>
        <w:spacing w:before="120" w:after="120" w:line="360" w:lineRule="auto"/>
        <w:jc w:val="center"/>
        <w:rPr>
          <w:lang w:eastAsia="en-US"/>
        </w:rPr>
      </w:pPr>
      <w:r w:rsidRPr="006A576B">
        <w:rPr>
          <w:lang w:eastAsia="en-US"/>
        </w:rPr>
        <w:lastRenderedPageBreak/>
        <w:t>LIITE III</w:t>
      </w:r>
    </w:p>
    <w:p w:rsidR="00AD600E" w:rsidRPr="006A576B" w:rsidRDefault="00AD600E" w:rsidP="00207001">
      <w:pPr>
        <w:widowControl/>
        <w:spacing w:before="120" w:after="120" w:line="360" w:lineRule="auto"/>
        <w:rPr>
          <w:szCs w:val="24"/>
          <w:lang w:eastAsia="en-US"/>
        </w:rPr>
      </w:pPr>
      <w:r w:rsidRPr="006A576B">
        <w:rPr>
          <w:szCs w:val="24"/>
          <w:lang w:eastAsia="en-US"/>
        </w:rPr>
        <w:t>Edellä olevien 5 artiklan 2 kohdan b ja c alakohdan mukainen vakiomuotoinen ilmoituslomake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630"/>
        <w:gridCol w:w="3749"/>
        <w:gridCol w:w="686"/>
      </w:tblGrid>
      <w:tr w:rsidR="00AD600E" w:rsidRPr="006A576B" w:rsidTr="00CC36E3">
        <w:trPr>
          <w:tblHeader/>
        </w:trPr>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Rastitaan oikea kohta</w:t>
            </w:r>
          </w:p>
        </w:tc>
        <w:tc>
          <w:tcPr>
            <w:tcW w:w="0" w:type="auto"/>
            <w:gridSpan w:val="2"/>
          </w:tcPr>
          <w:p w:rsidR="00AD600E" w:rsidRPr="006A576B" w:rsidRDefault="00AD600E" w:rsidP="00207001">
            <w:pPr>
              <w:widowControl/>
              <w:spacing w:before="120" w:after="120" w:line="360" w:lineRule="auto"/>
              <w:rPr>
                <w:szCs w:val="24"/>
                <w:lang w:eastAsia="en-US"/>
              </w:rPr>
            </w:pPr>
            <w:r w:rsidRPr="006A576B">
              <w:rPr>
                <w:szCs w:val="24"/>
                <w:lang w:eastAsia="en-US"/>
              </w:rPr>
              <w:t>□ Uusi ilmoitus □ Olemassa olevan ilmoituksen päivittäminen</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(a) Valmistajan nimi ja osoite</w:t>
            </w:r>
          </w:p>
        </w:tc>
        <w:tc>
          <w:tcPr>
            <w:tcW w:w="0" w:type="auto"/>
            <w:gridSpan w:val="2"/>
          </w:tcPr>
          <w:p w:rsidR="00AD600E" w:rsidRPr="006A576B" w:rsidRDefault="00AD600E" w:rsidP="00207001">
            <w:pPr>
              <w:widowControl/>
              <w:spacing w:before="120" w:after="120" w:line="360" w:lineRule="auto"/>
              <w:rPr>
                <w:szCs w:val="24"/>
                <w:lang w:eastAsia="en-US"/>
              </w:rPr>
            </w:pPr>
            <w:r w:rsidRPr="006A576B">
              <w:rPr>
                <w:szCs w:val="24"/>
                <w:lang w:eastAsia="en-US"/>
              </w:rPr>
              <w:t>…</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(b) Valmistuksen tarkoitus</w:t>
            </w:r>
          </w:p>
        </w:tc>
        <w:tc>
          <w:tcPr>
            <w:tcW w:w="0" w:type="auto"/>
            <w:gridSpan w:val="2"/>
          </w:tcPr>
          <w:p w:rsidR="00AD600E" w:rsidRPr="006A576B" w:rsidRDefault="00AD600E" w:rsidP="00207001">
            <w:pPr>
              <w:widowControl/>
              <w:spacing w:before="120" w:after="120" w:line="360" w:lineRule="auto"/>
              <w:rPr>
                <w:szCs w:val="24"/>
                <w:lang w:eastAsia="en-US"/>
              </w:rPr>
            </w:pPr>
            <w:r w:rsidRPr="006A576B">
              <w:rPr>
                <w:szCs w:val="24"/>
                <w:lang w:eastAsia="en-US"/>
              </w:rPr>
              <w:t>□ Vienti □ Varastointi □ Vienti ja varastointi</w:t>
            </w:r>
          </w:p>
        </w:tc>
      </w:tr>
      <w:tr w:rsidR="00AD600E" w:rsidRPr="006A576B" w:rsidTr="00CC36E3">
        <w:tc>
          <w:tcPr>
            <w:tcW w:w="0" w:type="auto"/>
            <w:vMerge w:val="restart"/>
          </w:tcPr>
          <w:p w:rsidR="00AD600E" w:rsidRPr="006A576B" w:rsidRDefault="00AD600E" w:rsidP="00207001">
            <w:pPr>
              <w:widowControl/>
              <w:spacing w:before="120" w:after="120" w:line="360" w:lineRule="auto"/>
              <w:rPr>
                <w:szCs w:val="24"/>
                <w:lang w:eastAsia="en-US"/>
              </w:rPr>
            </w:pPr>
            <w:r w:rsidRPr="006A576B">
              <w:rPr>
                <w:szCs w:val="24"/>
                <w:lang w:eastAsia="en-US"/>
              </w:rPr>
              <w:t>(c) Jäsenvaltio, jossa valmistuksen on tarkoitus tapahtua, ja jäsenvaltio, jossa (mahdollinen) valmistusta edeltävä ensimmäinen liitännäistoimi on tarkoitus suorittaa</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Valmistusjäsenvaltio</w:t>
            </w:r>
          </w:p>
        </w:tc>
        <w:tc>
          <w:tcPr>
            <w:tcW w:w="0" w:type="auto"/>
          </w:tcPr>
          <w:p w:rsidR="00AD600E" w:rsidRPr="006A576B" w:rsidRDefault="00AD600E" w:rsidP="00207001">
            <w:pPr>
              <w:widowControl/>
              <w:spacing w:before="120" w:after="120" w:line="360" w:lineRule="auto"/>
              <w:rPr>
                <w:szCs w:val="24"/>
                <w:lang w:eastAsia="en-US"/>
              </w:rPr>
            </w:pPr>
          </w:p>
        </w:tc>
      </w:tr>
      <w:tr w:rsidR="00AD600E" w:rsidRPr="006A576B" w:rsidTr="00CC36E3">
        <w:tc>
          <w:tcPr>
            <w:tcW w:w="0" w:type="auto"/>
            <w:vMerge/>
          </w:tcPr>
          <w:p w:rsidR="00AD600E" w:rsidRPr="006A576B" w:rsidRDefault="00AD600E" w:rsidP="00207001">
            <w:pPr>
              <w:widowControl/>
              <w:spacing w:before="120" w:after="120" w:line="360" w:lineRule="auto"/>
              <w:rPr>
                <w:szCs w:val="24"/>
                <w:lang w:eastAsia="en-US"/>
              </w:rPr>
            </w:pP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(Jäsenvaltio, jossa (mahdollinen) valmistusta edeltävä ensimmäinen liitännäistoimi suoritetaan)</w:t>
            </w:r>
          </w:p>
        </w:tc>
        <w:tc>
          <w:tcPr>
            <w:tcW w:w="0" w:type="auto"/>
          </w:tcPr>
          <w:p w:rsidR="00AD600E" w:rsidRPr="006A576B" w:rsidRDefault="00AD600E" w:rsidP="00207001">
            <w:pPr>
              <w:widowControl/>
              <w:spacing w:before="120" w:after="120" w:line="360" w:lineRule="auto"/>
              <w:rPr>
                <w:szCs w:val="24"/>
                <w:lang w:eastAsia="en-US"/>
              </w:rPr>
            </w:pPr>
          </w:p>
        </w:tc>
      </w:tr>
      <w:tr w:rsidR="00AD600E" w:rsidRPr="006A576B" w:rsidTr="00CC36E3">
        <w:tc>
          <w:tcPr>
            <w:tcW w:w="0" w:type="auto"/>
            <w:vMerge w:val="restart"/>
          </w:tcPr>
          <w:p w:rsidR="00AD600E" w:rsidRPr="006A576B" w:rsidRDefault="00AD600E">
            <w:pPr>
              <w:widowControl/>
              <w:spacing w:before="120" w:after="120" w:line="360" w:lineRule="auto"/>
              <w:rPr>
                <w:szCs w:val="24"/>
                <w:lang w:eastAsia="en-US"/>
              </w:rPr>
            </w:pPr>
            <w:r w:rsidRPr="006A576B">
              <w:rPr>
                <w:szCs w:val="24"/>
                <w:lang w:eastAsia="en-US"/>
              </w:rPr>
              <w:t>(</w:t>
            </w:r>
            <w:r w:rsidR="00DE1EF0" w:rsidRPr="006A576B">
              <w:rPr>
                <w:szCs w:val="24"/>
                <w:lang w:eastAsia="en-US"/>
              </w:rPr>
              <w:t>d</w:t>
            </w:r>
            <w:r w:rsidRPr="006A576B">
              <w:rPr>
                <w:szCs w:val="24"/>
                <w:lang w:eastAsia="en-US"/>
              </w:rPr>
              <w:t>) Valmistusjäsenvaltiossa myönnetyn todistuksen numero ja siinä jäsenvaltiossa, jossa (mahdollinen) valmistusta edeltävä ensimmäinen liitännäistoimi suoritetaan, myönnetyn todistuksen numero</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Valmistusjäsenvaltion myöntämä todistus</w:t>
            </w:r>
          </w:p>
        </w:tc>
        <w:tc>
          <w:tcPr>
            <w:tcW w:w="0" w:type="auto"/>
          </w:tcPr>
          <w:p w:rsidR="00AD600E" w:rsidRPr="006A576B" w:rsidRDefault="00AD600E" w:rsidP="00207001">
            <w:pPr>
              <w:widowControl/>
              <w:spacing w:before="120" w:after="120" w:line="360" w:lineRule="auto"/>
              <w:rPr>
                <w:szCs w:val="24"/>
                <w:lang w:eastAsia="en-US"/>
              </w:rPr>
            </w:pPr>
          </w:p>
        </w:tc>
      </w:tr>
      <w:tr w:rsidR="00AD600E" w:rsidRPr="006A576B" w:rsidTr="00CC36E3">
        <w:tc>
          <w:tcPr>
            <w:tcW w:w="0" w:type="auto"/>
            <w:vMerge/>
          </w:tcPr>
          <w:p w:rsidR="00AD600E" w:rsidRPr="006A576B" w:rsidRDefault="00AD600E" w:rsidP="00207001">
            <w:pPr>
              <w:widowControl/>
              <w:spacing w:before="120" w:after="120" w:line="360" w:lineRule="auto"/>
              <w:rPr>
                <w:szCs w:val="24"/>
                <w:lang w:eastAsia="en-US"/>
              </w:rPr>
            </w:pP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(Sen jäsenvaltion, jossa (mahdollinen) valmistusta edeltävä ensimmäinen liitännäistoimi suoritetaan, myöntämä todistus)</w:t>
            </w:r>
          </w:p>
        </w:tc>
        <w:tc>
          <w:tcPr>
            <w:tcW w:w="0" w:type="auto"/>
          </w:tcPr>
          <w:p w:rsidR="00AD600E" w:rsidRPr="006A576B" w:rsidRDefault="00AD600E" w:rsidP="00207001">
            <w:pPr>
              <w:widowControl/>
              <w:spacing w:before="120" w:after="120" w:line="360" w:lineRule="auto"/>
              <w:rPr>
                <w:szCs w:val="24"/>
                <w:lang w:eastAsia="en-US"/>
              </w:rPr>
            </w:pPr>
          </w:p>
        </w:tc>
      </w:tr>
      <w:tr w:rsidR="00AD600E" w:rsidRPr="006A576B" w:rsidTr="00CC36E3">
        <w:tc>
          <w:tcPr>
            <w:tcW w:w="0" w:type="auto"/>
            <w:vMerge w:val="restart"/>
          </w:tcPr>
          <w:p w:rsidR="00AD600E" w:rsidRPr="006A576B" w:rsidRDefault="00AD600E">
            <w:pPr>
              <w:widowControl/>
              <w:spacing w:before="120" w:after="120" w:line="360" w:lineRule="auto"/>
              <w:rPr>
                <w:szCs w:val="24"/>
                <w:lang w:eastAsia="en-US"/>
              </w:rPr>
            </w:pPr>
            <w:r w:rsidRPr="006A576B">
              <w:rPr>
                <w:szCs w:val="24"/>
                <w:lang w:eastAsia="en-US"/>
              </w:rPr>
              <w:t>(</w:t>
            </w:r>
            <w:r w:rsidR="00DE1EF0" w:rsidRPr="006A576B">
              <w:rPr>
                <w:szCs w:val="24"/>
                <w:lang w:eastAsia="en-US"/>
              </w:rPr>
              <w:t>e</w:t>
            </w:r>
            <w:r w:rsidRPr="006A576B">
              <w:rPr>
                <w:szCs w:val="24"/>
                <w:lang w:eastAsia="en-US"/>
              </w:rPr>
              <w:t>) Kolmansiin maihin vietävien lääkkeiden osalta myyntiluvan tai tällaista lupaa vastaavan luvan viitenumero kussakin kolmannessa maassa, johon vienti suuntautuu</w:t>
            </w:r>
          </w:p>
        </w:tc>
        <w:tc>
          <w:tcPr>
            <w:tcW w:w="0" w:type="auto"/>
            <w:gridSpan w:val="2"/>
          </w:tcPr>
          <w:p w:rsidR="00AD600E" w:rsidRPr="006A576B" w:rsidRDefault="00AD600E" w:rsidP="00207001">
            <w:pPr>
              <w:widowControl/>
              <w:spacing w:before="120" w:after="120" w:line="360" w:lineRule="auto"/>
              <w:rPr>
                <w:szCs w:val="24"/>
                <w:lang w:eastAsia="en-US"/>
              </w:rPr>
            </w:pPr>
          </w:p>
        </w:tc>
      </w:tr>
      <w:tr w:rsidR="00AD600E" w:rsidRPr="006A576B" w:rsidTr="00CC36E3">
        <w:tc>
          <w:tcPr>
            <w:tcW w:w="0" w:type="auto"/>
            <w:vMerge/>
          </w:tcPr>
          <w:p w:rsidR="00AD600E" w:rsidRPr="006A576B" w:rsidRDefault="00AD600E" w:rsidP="00207001">
            <w:pPr>
              <w:widowControl/>
              <w:spacing w:before="120" w:after="120" w:line="360" w:lineRule="auto"/>
              <w:rPr>
                <w:szCs w:val="24"/>
                <w:lang w:eastAsia="en-US"/>
              </w:rPr>
            </w:pPr>
          </w:p>
        </w:tc>
        <w:tc>
          <w:tcPr>
            <w:tcW w:w="0" w:type="auto"/>
            <w:gridSpan w:val="2"/>
          </w:tcPr>
          <w:p w:rsidR="00AD600E" w:rsidRPr="006A576B" w:rsidRDefault="00AD600E" w:rsidP="00207001">
            <w:pPr>
              <w:widowControl/>
              <w:spacing w:before="120" w:after="120" w:line="360" w:lineRule="auto"/>
              <w:rPr>
                <w:szCs w:val="24"/>
                <w:lang w:eastAsia="en-US"/>
              </w:rPr>
            </w:pPr>
          </w:p>
        </w:tc>
      </w:tr>
      <w:tr w:rsidR="00AD600E" w:rsidRPr="006A576B" w:rsidTr="00CC36E3">
        <w:tc>
          <w:tcPr>
            <w:tcW w:w="0" w:type="auto"/>
            <w:vMerge/>
          </w:tcPr>
          <w:p w:rsidR="00AD600E" w:rsidRPr="006A576B" w:rsidRDefault="00AD600E" w:rsidP="00207001">
            <w:pPr>
              <w:widowControl/>
              <w:spacing w:before="120" w:after="120" w:line="360" w:lineRule="auto"/>
              <w:rPr>
                <w:szCs w:val="24"/>
                <w:lang w:eastAsia="en-US"/>
              </w:rPr>
            </w:pPr>
          </w:p>
        </w:tc>
        <w:tc>
          <w:tcPr>
            <w:tcW w:w="0" w:type="auto"/>
            <w:gridSpan w:val="2"/>
          </w:tcPr>
          <w:p w:rsidR="00AD600E" w:rsidRPr="006A576B" w:rsidRDefault="00AD600E" w:rsidP="00207001">
            <w:pPr>
              <w:widowControl/>
              <w:spacing w:before="120" w:after="120" w:line="360" w:lineRule="auto"/>
              <w:rPr>
                <w:szCs w:val="24"/>
                <w:lang w:eastAsia="en-US"/>
              </w:rPr>
            </w:pPr>
          </w:p>
        </w:tc>
      </w:tr>
    </w:tbl>
    <w:p w:rsidR="00AD600E" w:rsidRPr="006A576B" w:rsidRDefault="00AD600E" w:rsidP="00207001">
      <w:pPr>
        <w:widowControl/>
        <w:spacing w:before="120" w:after="120" w:line="360" w:lineRule="auto"/>
        <w:rPr>
          <w:szCs w:val="24"/>
          <w:lang w:eastAsia="en-US"/>
        </w:rPr>
        <w:sectPr w:rsidR="00AD600E" w:rsidRPr="006A576B">
          <w:pgSz w:w="11909" w:h="16834"/>
          <w:pgMar w:top="1134" w:right="1417" w:bottom="1417" w:left="1417" w:header="1134" w:footer="567" w:gutter="0"/>
          <w:cols w:space="720"/>
        </w:sectPr>
      </w:pPr>
    </w:p>
    <w:p w:rsidR="00AD600E" w:rsidRPr="006A576B" w:rsidRDefault="00AD600E" w:rsidP="00207001">
      <w:pPr>
        <w:widowControl/>
        <w:spacing w:before="120" w:after="120" w:line="360" w:lineRule="auto"/>
        <w:rPr>
          <w:szCs w:val="24"/>
          <w:lang w:eastAsia="en-US"/>
        </w:rPr>
      </w:pPr>
    </w:p>
    <w:p w:rsidR="00AD600E" w:rsidRPr="006A576B" w:rsidRDefault="00AD600E" w:rsidP="00207001">
      <w:pPr>
        <w:widowControl/>
        <w:spacing w:before="120" w:after="120" w:line="360" w:lineRule="auto"/>
        <w:jc w:val="center"/>
        <w:rPr>
          <w:lang w:eastAsia="en-US"/>
        </w:rPr>
      </w:pPr>
      <w:r w:rsidRPr="006A576B">
        <w:rPr>
          <w:lang w:eastAsia="en-US"/>
        </w:rPr>
        <w:t>LIITE IV</w:t>
      </w:r>
    </w:p>
    <w:p w:rsidR="00AD600E" w:rsidRPr="006A576B" w:rsidRDefault="00AD600E" w:rsidP="00207001">
      <w:pPr>
        <w:widowControl/>
        <w:spacing w:before="120" w:after="120" w:line="360" w:lineRule="auto"/>
        <w:rPr>
          <w:szCs w:val="24"/>
          <w:lang w:eastAsia="en-US"/>
        </w:rPr>
      </w:pPr>
      <w:r w:rsidRPr="006A576B">
        <w:rPr>
          <w:szCs w:val="24"/>
          <w:lang w:eastAsia="en-US"/>
        </w:rPr>
        <w:t>Vastaavuustaulukko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530"/>
        <w:gridCol w:w="4530"/>
      </w:tblGrid>
      <w:tr w:rsidR="00AD600E" w:rsidRPr="006A576B" w:rsidTr="00CC36E3">
        <w:trPr>
          <w:tblHeader/>
        </w:trPr>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Asetus (EU) 469/2009</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Tämä asetus</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1 artiklan johdantokappale</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2 artiklan johdantokappale</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1 artiklan a–c alakohta</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2 artiklan 1–3 alakohta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1 artiklan d alakohta</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1 artiklan e ja f alakohta</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2 artiklan 4 ja 5 alakohta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2 artiklan 6–12 alakohta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2 artikla</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1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3 artikla</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3 artiklan 1 kohta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3 artiklan 2 ja 3 kohta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4 artikla</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4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5 artikla</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5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6 artikla</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6 artiklan 1 kohta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6 artiklan 2 kohta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7 artiklan 1–4 kohta</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7 artiklan 1–4 kohta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7 artiklan 5 kohta</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8 artikla</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8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9 artikla</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9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10 artikla</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10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11 artikla</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11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lastRenderedPageBreak/>
              <w:t>12 artikla</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12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13 artiklan 1, 2 ja 3 kohta</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13 artiklan 1, 2 ja 3 kohta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13 artiklan 4 kohta</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14 artikla</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14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15 artikla</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15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16 artikla</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16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17 artikla</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17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18 artikla</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18 artiklan 1 kohta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18 artiklan 2 kohta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19 artikla</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19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20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21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22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23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24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25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26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27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28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29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lastRenderedPageBreak/>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30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31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32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33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34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35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36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37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38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39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40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41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42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43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44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45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46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47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48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49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lastRenderedPageBreak/>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50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51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52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53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20 artikla</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21 artiklan 1 kohta</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21 artiklan 2 kohta</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54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55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56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21 a artikla</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57 artiklan 1 kohta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57 artiklan 2 kohta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58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22 artikla</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59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23 artikla</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60 artikla</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Liite 1</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Liite I</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Liite -I</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Liite II</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LIITE -I a</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Liite III</w:t>
            </w:r>
          </w:p>
        </w:tc>
      </w:tr>
      <w:tr w:rsidR="00AD600E" w:rsidRPr="006A576B" w:rsidTr="00CC36E3">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w:t>
            </w:r>
          </w:p>
        </w:tc>
        <w:tc>
          <w:tcPr>
            <w:tcW w:w="0" w:type="auto"/>
          </w:tcPr>
          <w:p w:rsidR="00AD600E" w:rsidRPr="006A576B" w:rsidRDefault="00AD600E" w:rsidP="00207001">
            <w:pPr>
              <w:widowControl/>
              <w:spacing w:before="120" w:after="120" w:line="360" w:lineRule="auto"/>
              <w:rPr>
                <w:szCs w:val="24"/>
                <w:lang w:eastAsia="en-US"/>
              </w:rPr>
            </w:pPr>
            <w:r w:rsidRPr="006A576B">
              <w:rPr>
                <w:szCs w:val="24"/>
                <w:lang w:eastAsia="en-US"/>
              </w:rPr>
              <w:t>Liite IV</w:t>
            </w:r>
          </w:p>
        </w:tc>
      </w:tr>
    </w:tbl>
    <w:p w:rsidR="00AD600E" w:rsidRPr="006A576B" w:rsidRDefault="00AD600E" w:rsidP="00207001">
      <w:pPr>
        <w:widowControl/>
        <w:spacing w:before="120" w:after="120" w:line="360" w:lineRule="auto"/>
        <w:rPr>
          <w:szCs w:val="24"/>
          <w:lang w:eastAsia="en-US"/>
        </w:rPr>
      </w:pPr>
    </w:p>
    <w:sectPr w:rsidR="00AD600E" w:rsidRPr="006A576B" w:rsidSect="006D29BF">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607E" w:rsidRPr="00CB76CE" w:rsidRDefault="00D2607E">
      <w:r w:rsidRPr="00CB76CE">
        <w:separator/>
      </w:r>
    </w:p>
  </w:endnote>
  <w:endnote w:type="continuationSeparator" w:id="0">
    <w:p w:rsidR="00D2607E" w:rsidRPr="00CB76CE" w:rsidRDefault="00D2607E">
      <w:r w:rsidRPr="00CB76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Light">
    <w:altName w:val="@MS Gothic"/>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07E" w:rsidRDefault="00D2607E">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07E" w:rsidRPr="006A576B" w:rsidRDefault="00D2607E" w:rsidP="006A57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07E" w:rsidRDefault="00D2607E">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607E" w:rsidRPr="00CB76CE" w:rsidRDefault="00D2607E">
      <w:r w:rsidRPr="00CB76CE">
        <w:separator/>
      </w:r>
    </w:p>
  </w:footnote>
  <w:footnote w:type="continuationSeparator" w:id="0">
    <w:p w:rsidR="00D2607E" w:rsidRPr="00CB76CE" w:rsidRDefault="00D2607E">
      <w:r w:rsidRPr="00CB76CE">
        <w:continuationSeparator/>
      </w:r>
    </w:p>
  </w:footnote>
  <w:footnote w:id="1">
    <w:p w:rsidR="00D2607E" w:rsidRPr="00CB76CE" w:rsidRDefault="00D2607E" w:rsidP="0017454C">
      <w:pPr>
        <w:pStyle w:val="FootnoteTextForceStyle"/>
        <w:rPr>
          <w:lang w:val="fi-FI"/>
        </w:rPr>
      </w:pPr>
      <w:r w:rsidRPr="00CB76CE">
        <w:rPr>
          <w:rStyle w:val="FootnoteReference"/>
          <w:lang w:val="fi-FI"/>
        </w:rPr>
        <w:footnoteRef/>
      </w:r>
      <w:r w:rsidRPr="00CB76CE">
        <w:rPr>
          <w:lang w:val="fi-FI"/>
        </w:rPr>
        <w:t xml:space="preserve"> </w:t>
      </w:r>
      <w:r w:rsidRPr="00CB76CE">
        <w:rPr>
          <w:lang w:val="fi-FI"/>
        </w:rPr>
        <w:tab/>
        <w:t>EUVL C, C/2023/865, 8.12.2023, ELI: http://data.europa.eu/eli/C/2023/865/oj.</w:t>
      </w:r>
    </w:p>
  </w:footnote>
  <w:footnote w:id="2">
    <w:p w:rsidR="00D2607E" w:rsidRPr="00CB76CE" w:rsidRDefault="00D2607E" w:rsidP="0017454C">
      <w:pPr>
        <w:pStyle w:val="FootnoteTextForceStyle"/>
        <w:rPr>
          <w:lang w:val="fi-FI"/>
        </w:rPr>
      </w:pPr>
      <w:r w:rsidRPr="00CB76CE">
        <w:rPr>
          <w:rStyle w:val="FootnoteReference"/>
          <w:lang w:val="fi-FI"/>
        </w:rPr>
        <w:footnoteRef/>
      </w:r>
      <w:r w:rsidRPr="00CB76CE">
        <w:rPr>
          <w:lang w:val="fi-FI"/>
        </w:rPr>
        <w:t xml:space="preserve"> </w:t>
      </w:r>
      <w:r w:rsidRPr="00CB76CE">
        <w:rPr>
          <w:lang w:val="fi-FI"/>
        </w:rPr>
        <w:tab/>
        <w:t>EYVL C 77, 28.3.2002, s. 1.</w:t>
      </w:r>
    </w:p>
  </w:footnote>
  <w:footnote w:id="3">
    <w:p w:rsidR="00D2607E" w:rsidRPr="0023682B" w:rsidRDefault="00D2607E" w:rsidP="00AD600E">
      <w:pPr>
        <w:pStyle w:val="FootnoteTextForceStyle"/>
        <w:rPr>
          <w:lang w:val="fi-FI"/>
        </w:rPr>
      </w:pPr>
      <w:r>
        <w:rPr>
          <w:vertAlign w:val="superscript"/>
        </w:rPr>
        <w:footnoteRef/>
      </w:r>
      <w:r w:rsidRPr="0023682B">
        <w:rPr>
          <w:lang w:val="fi-FI"/>
        </w:rPr>
        <w:tab/>
        <w:t>EUVL C</w:t>
      </w:r>
      <w:r w:rsidRPr="00D2607E">
        <w:rPr>
          <w:lang w:val="fi-FI"/>
        </w:rPr>
        <w:t>, C/2023/865, 08.12.2023, ELI: http://data.europa.eu/eli/C/2023/865/oj</w:t>
      </w:r>
      <w:r w:rsidRPr="0023682B">
        <w:rPr>
          <w:lang w:val="fi-FI"/>
        </w:rPr>
        <w:t>.</w:t>
      </w:r>
    </w:p>
  </w:footnote>
  <w:footnote w:id="4">
    <w:p w:rsidR="00D2607E" w:rsidRPr="0023682B" w:rsidRDefault="00D2607E" w:rsidP="00AD600E">
      <w:pPr>
        <w:pStyle w:val="FootnoteTextForceStyle"/>
        <w:rPr>
          <w:lang w:val="fi-FI"/>
        </w:rPr>
      </w:pPr>
      <w:r>
        <w:rPr>
          <w:vertAlign w:val="superscript"/>
        </w:rPr>
        <w:footnoteRef/>
      </w:r>
      <w:r w:rsidRPr="0023682B">
        <w:rPr>
          <w:lang w:val="fi-FI"/>
        </w:rPr>
        <w:tab/>
        <w:t>EUVL C […], […], s. […].</w:t>
      </w:r>
    </w:p>
  </w:footnote>
  <w:footnote w:id="5">
    <w:p w:rsidR="00D2607E" w:rsidRPr="0023682B" w:rsidRDefault="00D2607E" w:rsidP="00AD600E">
      <w:pPr>
        <w:pStyle w:val="FootnoteTextForceStyle"/>
        <w:rPr>
          <w:lang w:val="fi-FI"/>
        </w:rPr>
      </w:pPr>
      <w:r>
        <w:rPr>
          <w:vertAlign w:val="superscript"/>
        </w:rPr>
        <w:footnoteRef/>
      </w:r>
      <w:r w:rsidRPr="0023682B">
        <w:rPr>
          <w:lang w:val="fi-FI"/>
        </w:rPr>
        <w:tab/>
        <w:t>Euroopan parlamentin ja neuvoston asetus (EY) N:o 469/2009, annettu 6 päivänä toukokuuta 2009, lääkkeiden lisäsuojatodistuksesta (EUVL L 152, 16.6.2009, s. 1).</w:t>
      </w:r>
    </w:p>
  </w:footnote>
  <w:footnote w:id="6">
    <w:p w:rsidR="00D2607E" w:rsidRPr="0023682B" w:rsidRDefault="00D2607E" w:rsidP="00AD600E">
      <w:pPr>
        <w:pStyle w:val="FootnoteTextForceStyle"/>
        <w:rPr>
          <w:lang w:val="fi-FI"/>
        </w:rPr>
      </w:pPr>
      <w:r>
        <w:rPr>
          <w:vertAlign w:val="superscript"/>
        </w:rPr>
        <w:footnoteRef/>
      </w:r>
      <w:r w:rsidRPr="0023682B">
        <w:rPr>
          <w:lang w:val="fi-FI"/>
        </w:rPr>
        <w:tab/>
        <w:t>Katso liite I.</w:t>
      </w:r>
    </w:p>
  </w:footnote>
  <w:footnote w:id="7">
    <w:p w:rsidR="00D2607E" w:rsidRPr="0023682B" w:rsidRDefault="00D2607E" w:rsidP="00AD600E">
      <w:pPr>
        <w:pStyle w:val="FootnoteTextForceStyle"/>
        <w:rPr>
          <w:lang w:val="fi-FI"/>
        </w:rPr>
      </w:pPr>
      <w:r>
        <w:rPr>
          <w:vertAlign w:val="superscript"/>
        </w:rPr>
        <w:footnoteRef/>
      </w:r>
      <w:r w:rsidRPr="0023682B">
        <w:rPr>
          <w:lang w:val="fi-FI"/>
        </w:rPr>
        <w:tab/>
        <w:t>Euroopan parlamentin ja neuvoston asetus (EY) N:o 1901/2006, annettu 12 päivänä joulukuuta 2006, lastenlääkkeistä sekä asetuksen (ETY) N:o 1768/92, direktiivin 2001/20/EY, direktiivin 2001/83/EY ja asetuksen (EY) N:o 726/2004 muuttamisesta (EUVL L 378, 27.12.2006, s. 1).</w:t>
      </w:r>
    </w:p>
  </w:footnote>
  <w:footnote w:id="8">
    <w:p w:rsidR="00D2607E" w:rsidRPr="0023682B" w:rsidRDefault="00D2607E" w:rsidP="00AD600E">
      <w:pPr>
        <w:pStyle w:val="FootnoteTextForceStyle"/>
        <w:rPr>
          <w:lang w:val="fi-FI"/>
        </w:rPr>
      </w:pPr>
      <w:r>
        <w:rPr>
          <w:vertAlign w:val="superscript"/>
        </w:rPr>
        <w:footnoteRef/>
      </w:r>
      <w:r w:rsidRPr="0023682B">
        <w:rPr>
          <w:lang w:val="fi-FI"/>
        </w:rPr>
        <w:tab/>
        <w:t>Euroopan parlamentin ja neuvoston asetus (EU) N:o 1257/2012, annettu 17 päivänä joulukuuta 2012, yhtenäisen patenttisuojan luomiseksi toteutettavasta tiiviimmästä yhteistyöstä (EUVL L 361, 31.12.2012, s. 1).</w:t>
      </w:r>
    </w:p>
  </w:footnote>
  <w:footnote w:id="9">
    <w:p w:rsidR="00D2607E" w:rsidRPr="0023682B" w:rsidRDefault="00D2607E" w:rsidP="00AD600E">
      <w:pPr>
        <w:pStyle w:val="FootnoteTextForceStyle"/>
        <w:rPr>
          <w:lang w:val="fi-FI"/>
        </w:rPr>
      </w:pPr>
      <w:r>
        <w:rPr>
          <w:vertAlign w:val="superscript"/>
        </w:rPr>
        <w:footnoteRef/>
      </w:r>
      <w:r w:rsidRPr="0023682B">
        <w:rPr>
          <w:lang w:val="fi-FI"/>
        </w:rPr>
        <w:tab/>
        <w:t>Euroopan parlamentin ja neuvoston asetus (EU) 2017/1001, annettu 14 päivänä kesäkuuta 2017, Euroopan unionin tavaramerkistä (EUVL L 154, 16.6.2017, s. 1).</w:t>
      </w:r>
    </w:p>
  </w:footnote>
  <w:footnote w:id="10">
    <w:p w:rsidR="00D2607E" w:rsidRPr="0023682B" w:rsidRDefault="00D2607E" w:rsidP="00AD600E">
      <w:pPr>
        <w:pStyle w:val="FootnoteTextForceStyle"/>
        <w:rPr>
          <w:lang w:val="fi-FI"/>
        </w:rPr>
      </w:pPr>
      <w:r>
        <w:rPr>
          <w:vertAlign w:val="superscript"/>
        </w:rPr>
        <w:footnoteRef/>
      </w:r>
      <w:r w:rsidRPr="0023682B">
        <w:rPr>
          <w:lang w:val="fi-FI"/>
        </w:rPr>
        <w:tab/>
        <w:t>Euroopan parlamentin ja neuvoston asetus (EY) N:o 726/2004, annettu 31 päivänä maaliskuuta 2004, ihmisille ja eläimille tarkoitettuja lääkkeitä koskevista yhteisön lupa- ja valvontamenettelyistä ja Euroopan lääkeviraston perustamisesta (EUVL L 136, 30.4.2004, s. 1).</w:t>
      </w:r>
    </w:p>
  </w:footnote>
  <w:footnote w:id="11">
    <w:p w:rsidR="00D2607E" w:rsidRPr="0023682B" w:rsidRDefault="00D2607E" w:rsidP="00AD600E">
      <w:pPr>
        <w:pStyle w:val="FootnoteTextForceStyle"/>
        <w:rPr>
          <w:lang w:val="fi-FI"/>
        </w:rPr>
      </w:pPr>
      <w:r>
        <w:rPr>
          <w:vertAlign w:val="superscript"/>
        </w:rPr>
        <w:footnoteRef/>
      </w:r>
      <w:r w:rsidRPr="0023682B">
        <w:rPr>
          <w:lang w:val="fi-FI"/>
        </w:rPr>
        <w:tab/>
        <w:t>Euroopan parlamentin ja neuvoston asetus (EU) 2019/6, annettu 11 päivänä joulukuuta 2018, eläinlääkkeistä ja direktiivin 2001/82/EY kumoamisesta (EUVL L 4, 7.1.2019, s. 43).</w:t>
      </w:r>
    </w:p>
  </w:footnote>
  <w:footnote w:id="12">
    <w:p w:rsidR="00D2607E" w:rsidRPr="0023682B" w:rsidRDefault="00D2607E" w:rsidP="00AD600E">
      <w:pPr>
        <w:pStyle w:val="FootnoteTextForceStyle"/>
        <w:rPr>
          <w:lang w:val="fi-FI"/>
        </w:rPr>
      </w:pPr>
      <w:r>
        <w:rPr>
          <w:vertAlign w:val="superscript"/>
        </w:rPr>
        <w:footnoteRef/>
      </w:r>
      <w:r w:rsidRPr="0023682B">
        <w:rPr>
          <w:lang w:val="fi-FI"/>
        </w:rPr>
        <w:tab/>
        <w:t>Euroopan parlamentin ja neuvoston asetus (EU) 2019/933, annettu 20 päivänä toukokuuta 2019, lääkkeiden lisäsuojatodistuksesta annetun asetuksen (EY) N:o 469/2009 muuttamisesta (EUVL L 153, 11.6.2019, s. 1).</w:t>
      </w:r>
    </w:p>
  </w:footnote>
  <w:footnote w:id="13">
    <w:p w:rsidR="00D2607E" w:rsidRPr="0023682B" w:rsidRDefault="00D2607E" w:rsidP="00AD600E">
      <w:pPr>
        <w:pStyle w:val="FootnoteTextForceStyle"/>
        <w:rPr>
          <w:lang w:val="fi-FI"/>
        </w:rPr>
      </w:pPr>
      <w:r>
        <w:rPr>
          <w:vertAlign w:val="superscript"/>
        </w:rPr>
        <w:footnoteRef/>
      </w:r>
      <w:r w:rsidRPr="0023682B">
        <w:rPr>
          <w:lang w:val="fi-FI"/>
        </w:rPr>
        <w:tab/>
        <w:t>Euroopan parlamentin ja neuvoston direktiivi 2004/48/EY, annettu 29 päivänä huhtikuuta 2004, teollis- ja tekijänoikeuksien noudattamisen varmistamisesta (EUVL L 157, 30.4.2004, s. 45).</w:t>
      </w:r>
    </w:p>
  </w:footnote>
  <w:footnote w:id="14">
    <w:p w:rsidR="00D2607E" w:rsidRPr="0023682B" w:rsidRDefault="00D2607E" w:rsidP="00AD600E">
      <w:pPr>
        <w:pStyle w:val="FootnoteTextForceStyle"/>
        <w:rPr>
          <w:lang w:val="fi-FI"/>
        </w:rPr>
      </w:pPr>
      <w:r>
        <w:rPr>
          <w:vertAlign w:val="superscript"/>
        </w:rPr>
        <w:footnoteRef/>
      </w:r>
      <w:r w:rsidRPr="0023682B">
        <w:rPr>
          <w:lang w:val="fi-FI"/>
        </w:rPr>
        <w:tab/>
        <w:t>Euroopan parlamentin ja neuvoston asetus (EU) N:o 608/2013, annettu 12 päivänä kesäkuuta 2013, teollis- ja tekijänoikeuksien tullivalvonnasta ja neuvoston asetuksen (EY) N:o 1383/2003 kumoamisesta (EUVL L 181, 29.6.2013, s. 15).</w:t>
      </w:r>
    </w:p>
  </w:footnote>
  <w:footnote w:id="15">
    <w:p w:rsidR="00D2607E" w:rsidRPr="0023682B" w:rsidRDefault="00D2607E" w:rsidP="00AD600E">
      <w:pPr>
        <w:pStyle w:val="FootnoteTextForceStyle"/>
        <w:rPr>
          <w:lang w:val="fi-FI"/>
        </w:rPr>
      </w:pPr>
      <w:r>
        <w:rPr>
          <w:vertAlign w:val="superscript"/>
        </w:rPr>
        <w:footnoteRef/>
      </w:r>
      <w:r w:rsidRPr="0023682B">
        <w:rPr>
          <w:lang w:val="fi-FI"/>
        </w:rPr>
        <w:tab/>
        <w:t>Euroopan parlamentin ja neuvoston direktiivi 2001/83/EY, annettu 6 päivänä marraskuuta 2001, ihmisille tarkoitettuja lääkkeitä koskevista yhteisön säännöistä (EYVL L 311, 28.11.2001, s. 67).</w:t>
      </w:r>
    </w:p>
  </w:footnote>
  <w:footnote w:id="16">
    <w:p w:rsidR="00D2607E" w:rsidRPr="0023682B" w:rsidRDefault="00D2607E" w:rsidP="00AD600E">
      <w:pPr>
        <w:pStyle w:val="FootnoteTextForceStyle"/>
        <w:rPr>
          <w:lang w:val="fi-FI"/>
        </w:rPr>
      </w:pPr>
      <w:r>
        <w:rPr>
          <w:vertAlign w:val="superscript"/>
        </w:rPr>
        <w:footnoteRef/>
      </w:r>
      <w:r w:rsidRPr="0023682B">
        <w:rPr>
          <w:lang w:val="fi-FI"/>
        </w:rPr>
        <w:tab/>
        <w:t>Komission delegoitu asetus (EU) 2016/161, annettu 2 päivänä lokakuuta 2015, Euroopan parlamentin ja neuvoston direktiivin 2001/83/EY täydentämisestä vahvistamalla ihmisille tarkoitettujen lääkkeiden pakkauksissa olevia turvaominaisuuksia koskevat yksityiskohtaiset säännöt (EUVL L 32, 9.2.2016, s. 1).</w:t>
      </w:r>
    </w:p>
  </w:footnote>
  <w:footnote w:id="17">
    <w:p w:rsidR="00D2607E" w:rsidRPr="0023682B" w:rsidRDefault="00D2607E" w:rsidP="00AD600E">
      <w:pPr>
        <w:pStyle w:val="FootnoteTextForceStyle"/>
        <w:rPr>
          <w:lang w:val="fi-FI"/>
        </w:rPr>
      </w:pPr>
      <w:r>
        <w:rPr>
          <w:vertAlign w:val="superscript"/>
        </w:rPr>
        <w:footnoteRef/>
      </w:r>
      <w:r w:rsidRPr="0023682B">
        <w:rPr>
          <w:lang w:val="fi-FI"/>
        </w:rPr>
        <w:tab/>
        <w:t>Euroopan parlamentin ja neuvoston asetus [COM(2023) 222] lääkkeiden yhtenäisestä lisäsuojatodistuksesta.</w:t>
      </w:r>
    </w:p>
  </w:footnote>
  <w:footnote w:id="18">
    <w:p w:rsidR="00D2607E" w:rsidRPr="0023682B" w:rsidRDefault="00D2607E" w:rsidP="00AD600E">
      <w:pPr>
        <w:pStyle w:val="FootnoteTextForceStyle"/>
        <w:rPr>
          <w:lang w:val="fi-FI"/>
        </w:rPr>
      </w:pPr>
      <w:r>
        <w:rPr>
          <w:vertAlign w:val="superscript"/>
        </w:rPr>
        <w:footnoteRef/>
      </w:r>
      <w:r w:rsidRPr="0023682B">
        <w:rPr>
          <w:lang w:val="fi-FI"/>
        </w:rPr>
        <w:tab/>
        <w:t>Euroopan parlamentin, Euroopan unionin neuvoston ja Euroopan komission välinen toimielinten sopimus paremmasta lainsäädännöstä (EUVL L 123, 12.5.2016, s. 1).</w:t>
      </w:r>
    </w:p>
  </w:footnote>
  <w:footnote w:id="19">
    <w:p w:rsidR="00D2607E" w:rsidRPr="0023682B" w:rsidRDefault="00D2607E" w:rsidP="00AD600E">
      <w:pPr>
        <w:pStyle w:val="FootnoteTextForceStyle"/>
        <w:rPr>
          <w:lang w:val="fi-FI"/>
        </w:rPr>
      </w:pPr>
      <w:r>
        <w:rPr>
          <w:vertAlign w:val="superscript"/>
        </w:rPr>
        <w:footnoteRef/>
      </w:r>
      <w:r w:rsidRPr="0023682B">
        <w:rPr>
          <w:lang w:val="fi-FI"/>
        </w:rPr>
        <w:tab/>
        <w:t>Euroopan parlamentin ja neuvoston asetus (EU) N:o 182/2011, annettu 16 päivänä helmikuuta 2011, yleisistä säännöistä ja periaatteista, joiden mukaisesti jäsenvaltiot valvovat komission täytäntöönpanovallan käyttöä (EUVL L 55, 28.2.2011, s. 13).</w:t>
      </w:r>
    </w:p>
  </w:footnote>
  <w:footnote w:id="20">
    <w:p w:rsidR="00D2607E" w:rsidRPr="0023682B" w:rsidRDefault="00D2607E" w:rsidP="00AD600E">
      <w:pPr>
        <w:pStyle w:val="FootnoteTextForceStyle"/>
        <w:rPr>
          <w:lang w:val="fi-FI"/>
        </w:rPr>
      </w:pPr>
      <w:r>
        <w:rPr>
          <w:vertAlign w:val="superscript"/>
        </w:rPr>
        <w:footnoteRef/>
      </w:r>
      <w:r w:rsidRPr="0023682B">
        <w:rPr>
          <w:lang w:val="fi-FI"/>
        </w:rPr>
        <w:tab/>
        <w:t xml:space="preserve">Euroopan parlamentin ja neuvoston asetus (EU) 2018/1725, annettu 23 päivänä lokakuuta 2018, luonnollisten henkilöiden suojelusta unionin toimielinten, elinten ja laitosten suorittamassa henkilötietojen käsittelyssä ja näiden tietojen vapaasta liikkuvuudesta sekä asetuksen (EY) </w:t>
      </w:r>
      <w:proofErr w:type="gramStart"/>
      <w:r w:rsidRPr="0023682B">
        <w:rPr>
          <w:lang w:val="fi-FI"/>
        </w:rPr>
        <w:t>N:o</w:t>
      </w:r>
      <w:proofErr w:type="gramEnd"/>
      <w:r w:rsidRPr="0023682B">
        <w:rPr>
          <w:lang w:val="fi-FI"/>
        </w:rPr>
        <w:t xml:space="preserve"> 45/2001 ja päätöksen N:o 1247/2002/EY kumoamisesta (EUVL L 295, 21.11.2018, s. 39).</w:t>
      </w:r>
    </w:p>
  </w:footnote>
  <w:footnote w:id="21">
    <w:p w:rsidR="00D2607E" w:rsidRPr="0023682B" w:rsidRDefault="00D2607E" w:rsidP="00AD600E">
      <w:pPr>
        <w:pStyle w:val="FootnoteTextForceStyle"/>
        <w:rPr>
          <w:lang w:val="fi-FI"/>
        </w:rPr>
      </w:pPr>
      <w:r>
        <w:rPr>
          <w:vertAlign w:val="superscript"/>
        </w:rPr>
        <w:footnoteRef/>
      </w:r>
      <w:r w:rsidRPr="0023682B">
        <w:rPr>
          <w:lang w:val="fi-FI"/>
        </w:rPr>
        <w:tab/>
        <w:t xml:space="preserve">Euroopan parlamentin ja neuvoston asetus (EY) </w:t>
      </w:r>
      <w:proofErr w:type="gramStart"/>
      <w:r w:rsidRPr="0023682B">
        <w:rPr>
          <w:lang w:val="fi-FI"/>
        </w:rPr>
        <w:t>N:o</w:t>
      </w:r>
      <w:proofErr w:type="gramEnd"/>
      <w:r w:rsidRPr="0023682B">
        <w:rPr>
          <w:lang w:val="fi-FI"/>
        </w:rPr>
        <w:t xml:space="preserve"> 1901/2006, annettu 12 päivänä joulukuuta 2006, lastenlääkkeistä sekä asetuksen (ETY) N:o 1768/92, direktiivin 2001/20/EY, direktiivin 2001/83/EY ja asetuksen (EY) N:o 726/2004 muuttamisesta (EUVL L 378, 27.12.2006, s. 1).</w:t>
      </w:r>
    </w:p>
  </w:footnote>
  <w:footnote w:id="22">
    <w:p w:rsidR="00D2607E" w:rsidRPr="0023682B" w:rsidRDefault="00D2607E" w:rsidP="00AD600E">
      <w:pPr>
        <w:pStyle w:val="FootnoteTextForceStyle"/>
        <w:rPr>
          <w:lang w:val="fi-FI"/>
        </w:rPr>
      </w:pPr>
      <w:r>
        <w:rPr>
          <w:vertAlign w:val="superscript"/>
        </w:rPr>
        <w:footnoteRef/>
      </w:r>
      <w:r w:rsidRPr="0023682B">
        <w:rPr>
          <w:lang w:val="fi-FI"/>
        </w:rPr>
        <w:tab/>
        <w:t>Eurooppapatenttien myöntämisestä 5 päivänä lokakuuta 1973 tehty yleissopimus, sellaisena kuin se on tarkistettuna 17 päivänä joulukuuta 1991 ja 29 päivänä marraskuuta 2000.</w:t>
      </w:r>
    </w:p>
  </w:footnote>
  <w:footnote w:id="23">
    <w:p w:rsidR="00D2607E" w:rsidRPr="0023682B" w:rsidRDefault="00D2607E" w:rsidP="00AD600E">
      <w:pPr>
        <w:pStyle w:val="FootnoteTextForceStyle"/>
        <w:rPr>
          <w:lang w:val="fi-FI"/>
        </w:rPr>
      </w:pPr>
      <w:r>
        <w:rPr>
          <w:vertAlign w:val="superscript"/>
        </w:rPr>
        <w:footnoteRef/>
      </w:r>
      <w:r w:rsidRPr="0023682B">
        <w:rPr>
          <w:lang w:val="fi-FI"/>
        </w:rPr>
        <w:tab/>
        <w:t xml:space="preserve">Euroopan parlamentin ja neuvoston asetus (EY) </w:t>
      </w:r>
      <w:proofErr w:type="gramStart"/>
      <w:r w:rsidRPr="0023682B">
        <w:rPr>
          <w:lang w:val="fi-FI"/>
        </w:rPr>
        <w:t>N:o</w:t>
      </w:r>
      <w:proofErr w:type="gramEnd"/>
      <w:r w:rsidRPr="0023682B">
        <w:rPr>
          <w:lang w:val="fi-FI"/>
        </w:rPr>
        <w:t xml:space="preserve"> 1049/2001, annettu 30 päivänä toukokuuta 2001, Euroopan parlamentin, neuvoston ja komission asiakirjojen saamisesta yleisön tutustuttavaksi (EYVL L 145, 31.5.2001, s. 43).</w:t>
      </w:r>
    </w:p>
  </w:footnote>
  <w:footnote w:id="24">
    <w:p w:rsidR="00D2607E" w:rsidRPr="0023682B" w:rsidRDefault="00D2607E" w:rsidP="00AD600E">
      <w:pPr>
        <w:pStyle w:val="FootnoteTextForceStyle"/>
        <w:rPr>
          <w:lang w:val="fi-FI"/>
        </w:rPr>
      </w:pPr>
      <w:r>
        <w:rPr>
          <w:vertAlign w:val="superscript"/>
        </w:rPr>
        <w:footnoteRef/>
      </w:r>
      <w:r w:rsidRPr="0023682B">
        <w:rPr>
          <w:lang w:val="fi-FI"/>
        </w:rPr>
        <w:tab/>
        <w:t xml:space="preserve">Euroopan parlamentin ja neuvoston asetus (EY) </w:t>
      </w:r>
      <w:proofErr w:type="gramStart"/>
      <w:r w:rsidRPr="0023682B">
        <w:rPr>
          <w:lang w:val="fi-FI"/>
        </w:rPr>
        <w:t>N:o</w:t>
      </w:r>
      <w:proofErr w:type="gramEnd"/>
      <w:r w:rsidRPr="0023682B">
        <w:rPr>
          <w:lang w:val="fi-FI"/>
        </w:rPr>
        <w:t xml:space="preserve"> 45/2001, annettu 18 päivänä joulukuuta 2000, yksilöiden suojelusta yhteisöjen toimielinten ja elinten suorittamassa henkilötietojen käsittelyssä ja näiden tietojen vapaasta liikkuvuudesta (EYVL L 8, 12.1.2001, s. 1).</w:t>
      </w:r>
    </w:p>
  </w:footnote>
  <w:footnote w:id="25">
    <w:p w:rsidR="00D2607E" w:rsidRPr="0023682B" w:rsidRDefault="00D2607E" w:rsidP="00AD600E">
      <w:pPr>
        <w:pStyle w:val="FootnoteTextForceStyle"/>
        <w:rPr>
          <w:lang w:val="fi-FI"/>
        </w:rPr>
      </w:pPr>
      <w:r>
        <w:rPr>
          <w:vertAlign w:val="superscript"/>
        </w:rPr>
        <w:footnoteRef/>
      </w:r>
      <w:r w:rsidRPr="0023682B">
        <w:rPr>
          <w:lang w:val="fi-FI"/>
        </w:rPr>
        <w:tab/>
        <w:t>Euroopan parlamentin ja neuvoston asetus [</w:t>
      </w:r>
      <w:proofErr w:type="gramStart"/>
      <w:r w:rsidRPr="0023682B">
        <w:rPr>
          <w:lang w:val="fi-FI"/>
        </w:rPr>
        <w:t>COM(</w:t>
      </w:r>
      <w:proofErr w:type="gramEnd"/>
      <w:r w:rsidRPr="0023682B">
        <w:rPr>
          <w:lang w:val="fi-FI"/>
        </w:rPr>
        <w:t>2023) 222] lääkkeiden yhtenäisestä lisäsuojatodistuksesta.</w:t>
      </w:r>
    </w:p>
  </w:footnote>
  <w:footnote w:id="26">
    <w:p w:rsidR="00D2607E" w:rsidRPr="0023682B" w:rsidRDefault="00D2607E" w:rsidP="00AD600E">
      <w:pPr>
        <w:pStyle w:val="FootnoteTextForceStyle"/>
        <w:rPr>
          <w:lang w:val="fi-FI"/>
        </w:rPr>
      </w:pPr>
      <w:r>
        <w:rPr>
          <w:vertAlign w:val="superscript"/>
        </w:rPr>
        <w:footnoteRef/>
      </w:r>
      <w:r w:rsidRPr="0023682B">
        <w:rPr>
          <w:lang w:val="fi-FI"/>
        </w:rPr>
        <w:tab/>
        <w:t xml:space="preserve">Neuvoston asetus </w:t>
      </w:r>
      <w:proofErr w:type="gramStart"/>
      <w:r w:rsidRPr="0023682B">
        <w:rPr>
          <w:lang w:val="fi-FI"/>
        </w:rPr>
        <w:t>N:o</w:t>
      </w:r>
      <w:proofErr w:type="gramEnd"/>
      <w:r w:rsidRPr="0023682B">
        <w:rPr>
          <w:lang w:val="fi-FI"/>
        </w:rPr>
        <w:t xml:space="preserve"> 1 Euroopan talousyhteisössä käytettäviä kieliä koskevista järjestelyistä (EYVL 17, 6.10.1958, s. 385).</w:t>
      </w:r>
    </w:p>
  </w:footnote>
  <w:footnote w:id="27">
    <w:p w:rsidR="00D2607E" w:rsidRPr="0023682B" w:rsidRDefault="00D2607E" w:rsidP="00AD600E">
      <w:pPr>
        <w:pStyle w:val="FootnoteTextForceStyle"/>
        <w:rPr>
          <w:lang w:val="fi-FI"/>
        </w:rPr>
      </w:pPr>
      <w:r>
        <w:rPr>
          <w:vertAlign w:val="superscript"/>
        </w:rPr>
        <w:footnoteRef/>
      </w:r>
      <w:r w:rsidRPr="0023682B">
        <w:rPr>
          <w:lang w:val="fi-FI"/>
        </w:rPr>
        <w:tab/>
        <w:t xml:space="preserve">Neuvoston asetus (ETY, Euratom, EHTY) </w:t>
      </w:r>
      <w:proofErr w:type="gramStart"/>
      <w:r w:rsidRPr="0023682B">
        <w:rPr>
          <w:lang w:val="fi-FI"/>
        </w:rPr>
        <w:t>N:o</w:t>
      </w:r>
      <w:proofErr w:type="gramEnd"/>
      <w:r w:rsidRPr="0023682B">
        <w:rPr>
          <w:lang w:val="fi-FI"/>
        </w:rPr>
        <w:t xml:space="preserve"> 259/68, annettu 29 päivänä helmikuuta 1968, Euroopan yhteisöjen virkamiehiin sovellettavien henkilöstösääntöjen ja näiden yhteisöjen muuta henkilöstöä koskevien palvelussuhteen ehtojen vahvistamisesta ja komission virkamiehiin väliaikaisesti sovellettavista erityistoimenpiteistä (EYVL L 56, 4.3.1968,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2/2024"/>
    <w:docVar w:name="dvlangue" w:val="FI"/>
    <w:docVar w:name="dvnumam" w:val="0"/>
    <w:docVar w:name="dvpe" w:val="753.704"/>
    <w:docVar w:name="dvrapporteur" w:val="Esittelijä: "/>
    <w:docVar w:name="dvstar" w:val="***I"/>
    <w:docVar w:name="dvtitre" w:val="Euroopan parlamentin lainsäädäntöpäätöslauselma xx. xxxkuuta 2024 ehdotuksesta Euroopan parlamentin ja neuvoston asetukseksi lääkkeiden lisäsuojatodistuksesta (uudelleenlaadittu)(COM(2023)0231 – C9-0146/2023 – 2023/0130(COD))"/>
  </w:docVars>
  <w:rsids>
    <w:rsidRoot w:val="008E7EAF"/>
    <w:rsid w:val="00002272"/>
    <w:rsid w:val="00064002"/>
    <w:rsid w:val="000677B9"/>
    <w:rsid w:val="000831BA"/>
    <w:rsid w:val="000A42CC"/>
    <w:rsid w:val="000B1D75"/>
    <w:rsid w:val="000E7DD9"/>
    <w:rsid w:val="0010095E"/>
    <w:rsid w:val="00125B37"/>
    <w:rsid w:val="0017454C"/>
    <w:rsid w:val="00187494"/>
    <w:rsid w:val="001F32AE"/>
    <w:rsid w:val="00207001"/>
    <w:rsid w:val="002767FF"/>
    <w:rsid w:val="002B18FE"/>
    <w:rsid w:val="002B5493"/>
    <w:rsid w:val="002F6B71"/>
    <w:rsid w:val="00343214"/>
    <w:rsid w:val="00361C00"/>
    <w:rsid w:val="0037263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14CF"/>
    <w:rsid w:val="005C2568"/>
    <w:rsid w:val="006037C0"/>
    <w:rsid w:val="00637BFC"/>
    <w:rsid w:val="006631B6"/>
    <w:rsid w:val="00680577"/>
    <w:rsid w:val="006A576B"/>
    <w:rsid w:val="006D29B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7EAF"/>
    <w:rsid w:val="00912FDB"/>
    <w:rsid w:val="00930C23"/>
    <w:rsid w:val="0093193B"/>
    <w:rsid w:val="009509D8"/>
    <w:rsid w:val="00950B64"/>
    <w:rsid w:val="00981893"/>
    <w:rsid w:val="00A1687D"/>
    <w:rsid w:val="00A31B1F"/>
    <w:rsid w:val="00A43C06"/>
    <w:rsid w:val="00A43E52"/>
    <w:rsid w:val="00A4678D"/>
    <w:rsid w:val="00A778C7"/>
    <w:rsid w:val="00AB441E"/>
    <w:rsid w:val="00AB6293"/>
    <w:rsid w:val="00AD600E"/>
    <w:rsid w:val="00AE0928"/>
    <w:rsid w:val="00AF3B82"/>
    <w:rsid w:val="00B12E95"/>
    <w:rsid w:val="00B22876"/>
    <w:rsid w:val="00B558F0"/>
    <w:rsid w:val="00BD48FE"/>
    <w:rsid w:val="00BD7BD8"/>
    <w:rsid w:val="00BE6ADC"/>
    <w:rsid w:val="00C05BFE"/>
    <w:rsid w:val="00C23CD4"/>
    <w:rsid w:val="00C61C0C"/>
    <w:rsid w:val="00C941CB"/>
    <w:rsid w:val="00CB3002"/>
    <w:rsid w:val="00CB76CE"/>
    <w:rsid w:val="00CC2357"/>
    <w:rsid w:val="00CC36E3"/>
    <w:rsid w:val="00CF071A"/>
    <w:rsid w:val="00D058B8"/>
    <w:rsid w:val="00D2607E"/>
    <w:rsid w:val="00D56C11"/>
    <w:rsid w:val="00D834A0"/>
    <w:rsid w:val="00D872DF"/>
    <w:rsid w:val="00D91E21"/>
    <w:rsid w:val="00DA7FCD"/>
    <w:rsid w:val="00DE1EF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A62FC5"/>
  <w15:chartTrackingRefBased/>
  <w15:docId w15:val="{EB5E1B68-EFB0-4CCD-AC55-C9E911082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2632"/>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37BFC"/>
    <w:rPr>
      <w:b/>
      <w:kern w:val="28"/>
      <w:sz w:val="28"/>
      <w:lang w:val="fr-FR" w:eastAsia="fr-FR"/>
    </w:rPr>
  </w:style>
  <w:style w:type="character" w:customStyle="1" w:styleId="Heading2Char">
    <w:name w:val="Heading 2 Char"/>
    <w:basedOn w:val="DefaultParagraphFont"/>
    <w:link w:val="Heading2"/>
    <w:rsid w:val="00637BFC"/>
    <w:rPr>
      <w:sz w:val="24"/>
      <w:lang w:val="fr-FR" w:eastAsia="fr-FR"/>
    </w:rPr>
  </w:style>
  <w:style w:type="character" w:customStyle="1" w:styleId="Heading3Char">
    <w:name w:val="Heading 3 Char"/>
    <w:basedOn w:val="DefaultParagraphFont"/>
    <w:link w:val="Heading3"/>
    <w:rsid w:val="00637BFC"/>
    <w:rPr>
      <w:rFonts w:ascii="Arial" w:hAnsi="Arial"/>
      <w:sz w:val="24"/>
      <w:lang w:val="fr-FR" w:eastAsia="fr-FR"/>
    </w:rPr>
  </w:style>
  <w:style w:type="character" w:customStyle="1" w:styleId="Heading4Char">
    <w:name w:val="Heading 4 Char"/>
    <w:basedOn w:val="DefaultParagraphFont"/>
    <w:link w:val="Heading4"/>
    <w:rsid w:val="00637BFC"/>
    <w:rPr>
      <w:sz w:val="24"/>
      <w:lang w:val="en-US" w:eastAsia="fr-FR"/>
    </w:rPr>
  </w:style>
  <w:style w:type="character" w:customStyle="1" w:styleId="Heading5Char">
    <w:name w:val="Heading 5 Char"/>
    <w:basedOn w:val="DefaultParagraphFont"/>
    <w:link w:val="Heading5"/>
    <w:semiHidden/>
    <w:rsid w:val="00637BFC"/>
    <w:rPr>
      <w:sz w:val="24"/>
      <w:lang w:val="en-US" w:eastAsia="fr-FR"/>
    </w:rPr>
  </w:style>
  <w:style w:type="character" w:customStyle="1" w:styleId="Heading6Char">
    <w:name w:val="Heading 6 Char"/>
    <w:basedOn w:val="DefaultParagraphFont"/>
    <w:link w:val="Heading6"/>
    <w:semiHidden/>
    <w:rsid w:val="00637BFC"/>
    <w:rPr>
      <w:i/>
      <w:sz w:val="22"/>
      <w:lang w:val="fi-FI"/>
    </w:rPr>
  </w:style>
  <w:style w:type="character" w:customStyle="1" w:styleId="Heading7Char">
    <w:name w:val="Heading 7 Char"/>
    <w:basedOn w:val="DefaultParagraphFont"/>
    <w:link w:val="Heading7"/>
    <w:semiHidden/>
    <w:rsid w:val="00637BFC"/>
    <w:rPr>
      <w:rFonts w:ascii="Arial" w:hAnsi="Arial"/>
      <w:sz w:val="24"/>
      <w:lang w:val="fi-FI"/>
    </w:rPr>
  </w:style>
  <w:style w:type="character" w:customStyle="1" w:styleId="Heading8Char">
    <w:name w:val="Heading 8 Char"/>
    <w:basedOn w:val="DefaultParagraphFont"/>
    <w:link w:val="Heading8"/>
    <w:semiHidden/>
    <w:rsid w:val="00637BFC"/>
    <w:rPr>
      <w:rFonts w:ascii="Arial" w:hAnsi="Arial"/>
      <w:i/>
      <w:sz w:val="24"/>
      <w:lang w:val="fi-FI"/>
    </w:rPr>
  </w:style>
  <w:style w:type="character" w:customStyle="1" w:styleId="Heading9Char">
    <w:name w:val="Heading 9 Char"/>
    <w:basedOn w:val="DefaultParagraphFont"/>
    <w:link w:val="Heading9"/>
    <w:semiHidden/>
    <w:rsid w:val="00637BFC"/>
    <w:rPr>
      <w:rFonts w:ascii="Arial" w:hAnsi="Arial"/>
      <w:b/>
      <w:i/>
      <w:sz w:val="18"/>
      <w:lang w:val="fi-FI"/>
    </w:rPr>
  </w:style>
  <w:style w:type="paragraph" w:styleId="TOCHeading">
    <w:name w:val="TOC Heading"/>
    <w:basedOn w:val="Normal"/>
    <w:next w:val="Normal"/>
    <w:unhideWhenUsed/>
    <w:qFormat/>
    <w:rsid w:val="00637BFC"/>
    <w:pPr>
      <w:widowControl/>
      <w:spacing w:after="240"/>
    </w:pPr>
    <w:rPr>
      <w:lang w:val="en-GB"/>
    </w:rPr>
  </w:style>
  <w:style w:type="paragraph" w:customStyle="1" w:styleId="PageHeading">
    <w:name w:val="PageHeading"/>
    <w:basedOn w:val="Normal"/>
    <w:rsid w:val="00637BFC"/>
    <w:pPr>
      <w:keepNext/>
      <w:spacing w:after="480"/>
      <w:jc w:val="center"/>
    </w:pPr>
    <w:rPr>
      <w:rFonts w:ascii="Arial" w:hAnsi="Arial" w:cs="Arial"/>
      <w:b/>
    </w:rPr>
  </w:style>
  <w:style w:type="paragraph" w:customStyle="1" w:styleId="EPFooter2">
    <w:name w:val="EPFooter2"/>
    <w:basedOn w:val="Normal"/>
    <w:next w:val="Normal"/>
    <w:rsid w:val="00637BFC"/>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637BFC"/>
    <w:pPr>
      <w:spacing w:after="240"/>
    </w:pPr>
  </w:style>
  <w:style w:type="paragraph" w:customStyle="1" w:styleId="TOCPage">
    <w:name w:val="TOC Page"/>
    <w:basedOn w:val="Normal"/>
    <w:next w:val="TOC1"/>
    <w:rsid w:val="00637BFC"/>
    <w:pPr>
      <w:keepNext/>
      <w:spacing w:after="240"/>
      <w:jc w:val="right"/>
    </w:pPr>
    <w:rPr>
      <w:rFonts w:ascii="Arial" w:hAnsi="Arial"/>
      <w:b/>
    </w:rPr>
  </w:style>
  <w:style w:type="paragraph" w:customStyle="1" w:styleId="Normal6a">
    <w:name w:val="Normal6a"/>
    <w:basedOn w:val="Normal"/>
    <w:rsid w:val="00637BFC"/>
    <w:pPr>
      <w:spacing w:after="120"/>
    </w:pPr>
  </w:style>
  <w:style w:type="paragraph" w:customStyle="1" w:styleId="NormalBold">
    <w:name w:val="NormalBold"/>
    <w:basedOn w:val="Normal"/>
    <w:link w:val="NormalBoldChar"/>
    <w:rsid w:val="00637BFC"/>
    <w:rPr>
      <w:b/>
    </w:rPr>
  </w:style>
  <w:style w:type="paragraph" w:customStyle="1" w:styleId="NormalBold12a">
    <w:name w:val="NormalBold12a"/>
    <w:basedOn w:val="Normal"/>
    <w:rsid w:val="00637BFC"/>
    <w:pPr>
      <w:spacing w:after="240"/>
    </w:pPr>
    <w:rPr>
      <w:b/>
    </w:rPr>
  </w:style>
  <w:style w:type="paragraph" w:customStyle="1" w:styleId="NormalHanging12a">
    <w:name w:val="NormalHanging12a"/>
    <w:basedOn w:val="Normal"/>
    <w:rsid w:val="00637BFC"/>
    <w:pPr>
      <w:spacing w:after="240"/>
      <w:ind w:left="567" w:hanging="567"/>
    </w:pPr>
  </w:style>
  <w:style w:type="paragraph" w:customStyle="1" w:styleId="CoverNormal24a">
    <w:name w:val="CoverNormal24a"/>
    <w:basedOn w:val="Normal"/>
    <w:rsid w:val="00637BFC"/>
    <w:pPr>
      <w:spacing w:after="480"/>
      <w:ind w:left="1417"/>
    </w:pPr>
  </w:style>
  <w:style w:type="paragraph" w:customStyle="1" w:styleId="CoverNormal">
    <w:name w:val="CoverNormal"/>
    <w:basedOn w:val="Normal"/>
    <w:rsid w:val="00637BFC"/>
    <w:pPr>
      <w:ind w:left="1418"/>
    </w:pPr>
  </w:style>
  <w:style w:type="paragraph" w:customStyle="1" w:styleId="CoverReference">
    <w:name w:val="CoverReference"/>
    <w:basedOn w:val="Normal"/>
    <w:rsid w:val="00637BFC"/>
    <w:pPr>
      <w:spacing w:before="1080"/>
      <w:jc w:val="right"/>
    </w:pPr>
    <w:rPr>
      <w:rFonts w:ascii="Arial" w:hAnsi="Arial" w:cs="Arial"/>
      <w:b/>
    </w:rPr>
  </w:style>
  <w:style w:type="paragraph" w:customStyle="1" w:styleId="CoverDocType">
    <w:name w:val="CoverDocType"/>
    <w:basedOn w:val="Normal"/>
    <w:rsid w:val="00637BFC"/>
    <w:pPr>
      <w:ind w:left="1418"/>
    </w:pPr>
    <w:rPr>
      <w:rFonts w:ascii="Arial" w:hAnsi="Arial"/>
      <w:b/>
      <w:sz w:val="48"/>
    </w:rPr>
  </w:style>
  <w:style w:type="paragraph" w:customStyle="1" w:styleId="CoverDocType24a">
    <w:name w:val="CoverDocType24a"/>
    <w:basedOn w:val="Normal"/>
    <w:rsid w:val="00637BFC"/>
    <w:pPr>
      <w:spacing w:after="480"/>
      <w:ind w:left="1418"/>
    </w:pPr>
    <w:rPr>
      <w:rFonts w:ascii="Arial" w:hAnsi="Arial"/>
      <w:b/>
      <w:sz w:val="48"/>
    </w:rPr>
  </w:style>
  <w:style w:type="paragraph" w:customStyle="1" w:styleId="CoverDate">
    <w:name w:val="CoverDate"/>
    <w:basedOn w:val="Normal"/>
    <w:rsid w:val="00637BFC"/>
    <w:pPr>
      <w:spacing w:before="240" w:after="1200"/>
    </w:pPr>
  </w:style>
  <w:style w:type="paragraph" w:styleId="Header">
    <w:name w:val="header"/>
    <w:basedOn w:val="Normal"/>
    <w:link w:val="HeaderChar"/>
    <w:rsid w:val="00637BFC"/>
    <w:pPr>
      <w:tabs>
        <w:tab w:val="center" w:pos="4513"/>
        <w:tab w:val="right" w:pos="9026"/>
      </w:tabs>
    </w:pPr>
  </w:style>
  <w:style w:type="character" w:customStyle="1" w:styleId="HeaderChar">
    <w:name w:val="Header Char"/>
    <w:basedOn w:val="DefaultParagraphFont"/>
    <w:link w:val="Header"/>
    <w:rsid w:val="00637BFC"/>
    <w:rPr>
      <w:sz w:val="24"/>
      <w:lang w:val="fi-FI"/>
    </w:rPr>
  </w:style>
  <w:style w:type="paragraph" w:customStyle="1" w:styleId="AnnexWPTabs">
    <w:name w:val="AnnexWPTabs"/>
    <w:basedOn w:val="Normal"/>
    <w:rsid w:val="00637BFC"/>
    <w:pPr>
      <w:tabs>
        <w:tab w:val="right" w:pos="3686"/>
        <w:tab w:val="left" w:pos="3827"/>
      </w:tabs>
    </w:pPr>
    <w:rPr>
      <w:b/>
    </w:rPr>
  </w:style>
  <w:style w:type="paragraph" w:customStyle="1" w:styleId="AnnexWPDate">
    <w:name w:val="AnnexWPDate"/>
    <w:basedOn w:val="Normal"/>
    <w:rsid w:val="00637BFC"/>
    <w:pPr>
      <w:spacing w:before="240" w:after="480"/>
      <w:jc w:val="right"/>
    </w:pPr>
  </w:style>
  <w:style w:type="paragraph" w:customStyle="1" w:styleId="AnnexWPSmall">
    <w:name w:val="AnnexWPSmall"/>
    <w:basedOn w:val="Normal"/>
    <w:rsid w:val="00637BFC"/>
    <w:rPr>
      <w:smallCaps/>
      <w:sz w:val="20"/>
    </w:rPr>
  </w:style>
  <w:style w:type="paragraph" w:customStyle="1" w:styleId="AnnexWPDocType">
    <w:name w:val="AnnexWPDocType"/>
    <w:basedOn w:val="Normal"/>
    <w:rsid w:val="00637BFC"/>
    <w:pPr>
      <w:spacing w:after="240"/>
      <w:jc w:val="center"/>
    </w:pPr>
    <w:rPr>
      <w:b/>
    </w:rPr>
  </w:style>
  <w:style w:type="paragraph" w:customStyle="1" w:styleId="AnnexWPTitle">
    <w:name w:val="AnnexWPTitle"/>
    <w:basedOn w:val="Normal"/>
    <w:rsid w:val="00637BFC"/>
    <w:pPr>
      <w:spacing w:before="480"/>
    </w:pPr>
    <w:rPr>
      <w:b/>
    </w:rPr>
  </w:style>
  <w:style w:type="paragraph" w:customStyle="1" w:styleId="AmJustText">
    <w:name w:val="AmJustText"/>
    <w:basedOn w:val="Normal"/>
    <w:rsid w:val="00637BFC"/>
    <w:pPr>
      <w:spacing w:after="240"/>
    </w:pPr>
    <w:rPr>
      <w:i/>
    </w:rPr>
  </w:style>
  <w:style w:type="paragraph" w:customStyle="1" w:styleId="AmCrossRef">
    <w:name w:val="AmCrossRef"/>
    <w:basedOn w:val="Normal"/>
    <w:rsid w:val="00637BFC"/>
    <w:pPr>
      <w:spacing w:before="240" w:after="240"/>
      <w:jc w:val="center"/>
    </w:pPr>
    <w:rPr>
      <w:i/>
    </w:rPr>
  </w:style>
  <w:style w:type="paragraph" w:customStyle="1" w:styleId="AmJustTitle">
    <w:name w:val="AmJustTitle"/>
    <w:basedOn w:val="Normal"/>
    <w:next w:val="AmJustText"/>
    <w:rsid w:val="00637BFC"/>
    <w:pPr>
      <w:keepNext/>
      <w:spacing w:before="240" w:after="240"/>
      <w:jc w:val="center"/>
    </w:pPr>
    <w:rPr>
      <w:i/>
    </w:rPr>
  </w:style>
  <w:style w:type="paragraph" w:customStyle="1" w:styleId="AmOrLang">
    <w:name w:val="AmOrLang"/>
    <w:basedOn w:val="Normal"/>
    <w:rsid w:val="00637BFC"/>
    <w:pPr>
      <w:spacing w:before="240" w:after="240"/>
      <w:jc w:val="right"/>
    </w:pPr>
  </w:style>
  <w:style w:type="paragraph" w:customStyle="1" w:styleId="AmColumnHeading">
    <w:name w:val="AmColumnHeading"/>
    <w:basedOn w:val="Normal"/>
    <w:rsid w:val="00637BFC"/>
    <w:pPr>
      <w:spacing w:after="240"/>
      <w:jc w:val="center"/>
    </w:pPr>
    <w:rPr>
      <w:i/>
    </w:rPr>
  </w:style>
  <w:style w:type="paragraph" w:customStyle="1" w:styleId="AmNumberTabs">
    <w:name w:val="AmNumberTabs"/>
    <w:basedOn w:val="Normal"/>
    <w:rsid w:val="00637B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37BFC"/>
    <w:pPr>
      <w:spacing w:before="240"/>
    </w:pPr>
    <w:rPr>
      <w:b/>
    </w:rPr>
  </w:style>
  <w:style w:type="paragraph" w:customStyle="1" w:styleId="EPBody">
    <w:name w:val="EPBody"/>
    <w:basedOn w:val="Normal"/>
    <w:rsid w:val="00637BFC"/>
    <w:pPr>
      <w:jc w:val="center"/>
    </w:pPr>
    <w:rPr>
      <w:rFonts w:ascii="Arial" w:hAnsi="Arial" w:cs="Arial"/>
      <w:i/>
      <w:sz w:val="22"/>
      <w:szCs w:val="22"/>
    </w:rPr>
  </w:style>
  <w:style w:type="paragraph" w:customStyle="1" w:styleId="AnnexWPLogo">
    <w:name w:val="AnnexWPLogo"/>
    <w:basedOn w:val="Normal"/>
    <w:rsid w:val="00637BFC"/>
    <w:pPr>
      <w:spacing w:before="120" w:after="120"/>
    </w:pPr>
  </w:style>
  <w:style w:type="paragraph" w:customStyle="1" w:styleId="EPFooter">
    <w:name w:val="EPFooter"/>
    <w:basedOn w:val="Normal"/>
    <w:rsid w:val="00637BFC"/>
    <w:pPr>
      <w:tabs>
        <w:tab w:val="center" w:pos="4535"/>
        <w:tab w:val="right" w:pos="9071"/>
      </w:tabs>
      <w:spacing w:before="240" w:after="240"/>
    </w:pPr>
    <w:rPr>
      <w:color w:val="010000"/>
      <w:sz w:val="22"/>
    </w:rPr>
  </w:style>
  <w:style w:type="paragraph" w:customStyle="1" w:styleId="EPComma">
    <w:name w:val="EPComma"/>
    <w:basedOn w:val="Normal"/>
    <w:rsid w:val="00637BFC"/>
    <w:pPr>
      <w:spacing w:before="480" w:after="240"/>
    </w:pPr>
  </w:style>
  <w:style w:type="paragraph" w:customStyle="1" w:styleId="Lgendesigne">
    <w:name w:val="Légende signe"/>
    <w:basedOn w:val="Normal"/>
    <w:rsid w:val="00637BFC"/>
    <w:pPr>
      <w:tabs>
        <w:tab w:val="right" w:pos="454"/>
        <w:tab w:val="left" w:pos="737"/>
      </w:tabs>
      <w:ind w:left="737" w:hanging="737"/>
    </w:pPr>
    <w:rPr>
      <w:snapToGrid w:val="0"/>
      <w:sz w:val="18"/>
      <w:lang w:eastAsia="en-US"/>
    </w:rPr>
  </w:style>
  <w:style w:type="paragraph" w:customStyle="1" w:styleId="Lgendetitre">
    <w:name w:val="Légende titre"/>
    <w:basedOn w:val="Normal"/>
    <w:rsid w:val="00637BFC"/>
    <w:pPr>
      <w:spacing w:before="240" w:after="240"/>
    </w:pPr>
    <w:rPr>
      <w:b/>
      <w:i/>
      <w:snapToGrid w:val="0"/>
      <w:lang w:eastAsia="en-US"/>
    </w:rPr>
  </w:style>
  <w:style w:type="paragraph" w:customStyle="1" w:styleId="Lgendestandard">
    <w:name w:val="Légende standard"/>
    <w:basedOn w:val="Normal"/>
    <w:rsid w:val="00637BFC"/>
    <w:rPr>
      <w:sz w:val="18"/>
    </w:rPr>
  </w:style>
  <w:style w:type="paragraph" w:customStyle="1" w:styleId="msonormal0">
    <w:name w:val="msonormal"/>
    <w:basedOn w:val="Normal"/>
    <w:rsid w:val="00637BFC"/>
    <w:pPr>
      <w:widowControl/>
      <w:spacing w:before="100" w:beforeAutospacing="1" w:after="100" w:afterAutospacing="1"/>
    </w:pPr>
    <w:rPr>
      <w:szCs w:val="24"/>
    </w:rPr>
  </w:style>
  <w:style w:type="character" w:customStyle="1" w:styleId="Normal12Char">
    <w:name w:val="Normal12 Char"/>
    <w:basedOn w:val="DefaultParagraphFont"/>
    <w:link w:val="Normal12"/>
    <w:locked/>
    <w:rsid w:val="00637BFC"/>
    <w:rPr>
      <w:noProof/>
      <w:sz w:val="24"/>
    </w:rPr>
  </w:style>
  <w:style w:type="paragraph" w:customStyle="1" w:styleId="Normal12">
    <w:name w:val="Normal12"/>
    <w:basedOn w:val="Normal"/>
    <w:link w:val="Normal12Char"/>
    <w:rsid w:val="00637BFC"/>
    <w:pPr>
      <w:spacing w:after="240"/>
    </w:pPr>
    <w:rPr>
      <w:noProof/>
      <w:lang w:val="en-GB"/>
    </w:rPr>
  </w:style>
  <w:style w:type="paragraph" w:customStyle="1" w:styleId="CommitteeAM">
    <w:name w:val="CommitteeAM"/>
    <w:basedOn w:val="Normal"/>
    <w:rsid w:val="00637BFC"/>
    <w:pPr>
      <w:spacing w:before="240" w:after="600"/>
      <w:jc w:val="center"/>
    </w:pPr>
    <w:rPr>
      <w:i/>
    </w:rPr>
  </w:style>
  <w:style w:type="paragraph" w:customStyle="1" w:styleId="ZDateAM">
    <w:name w:val="ZDateAM"/>
    <w:basedOn w:val="Normal"/>
    <w:rsid w:val="00637BFC"/>
    <w:pPr>
      <w:tabs>
        <w:tab w:val="right" w:pos="9356"/>
      </w:tabs>
      <w:spacing w:after="480"/>
    </w:pPr>
    <w:rPr>
      <w:noProof/>
    </w:rPr>
  </w:style>
  <w:style w:type="paragraph" w:customStyle="1" w:styleId="ProjRap">
    <w:name w:val="ProjRap"/>
    <w:basedOn w:val="Normal"/>
    <w:rsid w:val="00637BFC"/>
    <w:pPr>
      <w:tabs>
        <w:tab w:val="right" w:pos="9356"/>
      </w:tabs>
    </w:pPr>
    <w:rPr>
      <w:b/>
      <w:noProof/>
    </w:rPr>
  </w:style>
  <w:style w:type="paragraph" w:customStyle="1" w:styleId="PELeft">
    <w:name w:val="PELeft"/>
    <w:basedOn w:val="Normal"/>
    <w:rsid w:val="00637BFC"/>
    <w:pPr>
      <w:spacing w:before="40" w:after="40"/>
    </w:pPr>
    <w:rPr>
      <w:rFonts w:ascii="Arial" w:hAnsi="Arial" w:cs="Arial"/>
      <w:sz w:val="22"/>
      <w:szCs w:val="22"/>
    </w:rPr>
  </w:style>
  <w:style w:type="paragraph" w:customStyle="1" w:styleId="PERight">
    <w:name w:val="PERight"/>
    <w:basedOn w:val="Normal"/>
    <w:next w:val="Normal"/>
    <w:rsid w:val="00637BFC"/>
    <w:pPr>
      <w:jc w:val="right"/>
    </w:pPr>
    <w:rPr>
      <w:rFonts w:ascii="Arial" w:hAnsi="Arial" w:cs="Arial"/>
      <w:sz w:val="22"/>
      <w:szCs w:val="22"/>
    </w:rPr>
  </w:style>
  <w:style w:type="character" w:customStyle="1" w:styleId="Normal6Char">
    <w:name w:val="Normal6 Char"/>
    <w:basedOn w:val="DefaultParagraphFont"/>
    <w:link w:val="Normal6"/>
    <w:locked/>
    <w:rsid w:val="00637BFC"/>
    <w:rPr>
      <w:sz w:val="24"/>
      <w:lang w:val="fi-FI"/>
    </w:rPr>
  </w:style>
  <w:style w:type="paragraph" w:customStyle="1" w:styleId="Normal6">
    <w:name w:val="Normal6"/>
    <w:basedOn w:val="Normal"/>
    <w:link w:val="Normal6Char"/>
    <w:rsid w:val="00637BFC"/>
    <w:pPr>
      <w:spacing w:after="120"/>
    </w:pPr>
  </w:style>
  <w:style w:type="character" w:customStyle="1" w:styleId="NormalBoldChar">
    <w:name w:val="NormalBold Char"/>
    <w:basedOn w:val="DefaultParagraphFont"/>
    <w:link w:val="NormalBold"/>
    <w:locked/>
    <w:rsid w:val="00637BFC"/>
    <w:rPr>
      <w:b/>
      <w:sz w:val="24"/>
      <w:lang w:val="fi-FI"/>
    </w:rPr>
  </w:style>
  <w:style w:type="paragraph" w:customStyle="1" w:styleId="Normal12Italic">
    <w:name w:val="Normal12Italic"/>
    <w:basedOn w:val="Normal12"/>
    <w:rsid w:val="00637BFC"/>
    <w:rPr>
      <w:i/>
    </w:rPr>
  </w:style>
  <w:style w:type="paragraph" w:customStyle="1" w:styleId="JustificationTitle">
    <w:name w:val="JustificationTitle"/>
    <w:basedOn w:val="Normal"/>
    <w:next w:val="Normal12"/>
    <w:rsid w:val="00637BFC"/>
    <w:pPr>
      <w:keepNext/>
      <w:spacing w:before="240" w:after="240"/>
      <w:jc w:val="center"/>
    </w:pPr>
    <w:rPr>
      <w:i/>
      <w:noProof/>
    </w:rPr>
  </w:style>
  <w:style w:type="paragraph" w:customStyle="1" w:styleId="Olang">
    <w:name w:val="Olang"/>
    <w:basedOn w:val="Normal"/>
    <w:rsid w:val="00637BFC"/>
    <w:pPr>
      <w:spacing w:before="240" w:after="240"/>
      <w:jc w:val="right"/>
    </w:pPr>
    <w:rPr>
      <w:noProof/>
      <w:szCs w:val="24"/>
    </w:rPr>
  </w:style>
  <w:style w:type="paragraph" w:customStyle="1" w:styleId="ColumnHeading">
    <w:name w:val="ColumnHeading"/>
    <w:basedOn w:val="Normal"/>
    <w:rsid w:val="00637BFC"/>
    <w:pPr>
      <w:spacing w:after="240"/>
      <w:jc w:val="center"/>
    </w:pPr>
    <w:rPr>
      <w:i/>
    </w:rPr>
  </w:style>
  <w:style w:type="paragraph" w:customStyle="1" w:styleId="AMNumberTabs0">
    <w:name w:val="AMNumberTabs"/>
    <w:basedOn w:val="Normal"/>
    <w:rsid w:val="00637B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37BFC"/>
    <w:pPr>
      <w:spacing w:before="240"/>
      <w:jc w:val="center"/>
    </w:pPr>
    <w:rPr>
      <w:i/>
    </w:rPr>
  </w:style>
  <w:style w:type="character" w:customStyle="1" w:styleId="Footer2Middle">
    <w:name w:val="Footer2Middle"/>
    <w:rsid w:val="00637BFC"/>
    <w:rPr>
      <w:rFonts w:ascii="Arial" w:hAnsi="Arial" w:cs="Arial" w:hint="default"/>
      <w:b w:val="0"/>
      <w:bCs w:val="0"/>
      <w:i/>
      <w:iCs w:val="0"/>
      <w:color w:val="C0C0C0"/>
      <w:sz w:val="22"/>
    </w:rPr>
  </w:style>
  <w:style w:type="paragraph" w:customStyle="1" w:styleId="EntPE">
    <w:name w:val="EntPE"/>
    <w:basedOn w:val="Normal12"/>
    <w:rsid w:val="00637BFC"/>
    <w:pPr>
      <w:jc w:val="center"/>
    </w:pPr>
    <w:rPr>
      <w:noProof w:val="0"/>
      <w:sz w:val="56"/>
    </w:rPr>
  </w:style>
  <w:style w:type="paragraph" w:styleId="BalloonText">
    <w:name w:val="Balloon Text"/>
    <w:basedOn w:val="Normal"/>
    <w:link w:val="BalloonTextChar"/>
    <w:unhideWhenUsed/>
    <w:rsid w:val="00637BFC"/>
    <w:rPr>
      <w:rFonts w:ascii="Segoe UI" w:hAnsi="Segoe UI" w:cs="Segoe UI"/>
      <w:sz w:val="18"/>
      <w:szCs w:val="18"/>
    </w:rPr>
  </w:style>
  <w:style w:type="character" w:customStyle="1" w:styleId="BalloonTextChar">
    <w:name w:val="Balloon Text Char"/>
    <w:basedOn w:val="DefaultParagraphFont"/>
    <w:link w:val="BalloonText"/>
    <w:rsid w:val="00637BFC"/>
    <w:rPr>
      <w:rFonts w:ascii="Segoe UI" w:hAnsi="Segoe UI" w:cs="Segoe UI"/>
      <w:sz w:val="18"/>
      <w:szCs w:val="18"/>
      <w:lang w:val="fi-FI"/>
    </w:rPr>
  </w:style>
  <w:style w:type="character" w:styleId="CommentReference">
    <w:name w:val="annotation reference"/>
    <w:basedOn w:val="DefaultParagraphFont"/>
    <w:rsid w:val="00637BFC"/>
    <w:rPr>
      <w:sz w:val="16"/>
      <w:szCs w:val="16"/>
    </w:rPr>
  </w:style>
  <w:style w:type="paragraph" w:styleId="CommentText">
    <w:name w:val="annotation text"/>
    <w:basedOn w:val="Normal"/>
    <w:link w:val="CommentTextChar"/>
    <w:rsid w:val="00637BFC"/>
    <w:rPr>
      <w:sz w:val="20"/>
    </w:rPr>
  </w:style>
  <w:style w:type="character" w:customStyle="1" w:styleId="CommentTextChar">
    <w:name w:val="Comment Text Char"/>
    <w:basedOn w:val="DefaultParagraphFont"/>
    <w:link w:val="CommentText"/>
    <w:rsid w:val="00637BFC"/>
    <w:rPr>
      <w:lang w:val="fi-FI"/>
    </w:rPr>
  </w:style>
  <w:style w:type="paragraph" w:styleId="CommentSubject">
    <w:name w:val="annotation subject"/>
    <w:basedOn w:val="CommentText"/>
    <w:next w:val="CommentText"/>
    <w:link w:val="CommentSubjectChar"/>
    <w:unhideWhenUsed/>
    <w:rsid w:val="00637BFC"/>
    <w:rPr>
      <w:b/>
      <w:bCs/>
    </w:rPr>
  </w:style>
  <w:style w:type="character" w:customStyle="1" w:styleId="CommentSubjectChar">
    <w:name w:val="Comment Subject Char"/>
    <w:basedOn w:val="CommentTextChar"/>
    <w:link w:val="CommentSubject"/>
    <w:rsid w:val="00637BFC"/>
    <w:rPr>
      <w:b/>
      <w:bCs/>
      <w:lang w:val="fi-FI"/>
    </w:rPr>
  </w:style>
  <w:style w:type="paragraph" w:styleId="Revision">
    <w:name w:val="Revision"/>
    <w:hidden/>
    <w:uiPriority w:val="99"/>
    <w:semiHidden/>
    <w:rsid w:val="00637BFC"/>
    <w:rPr>
      <w:sz w:val="24"/>
      <w:lang w:val="fi-FI"/>
    </w:rPr>
  </w:style>
  <w:style w:type="paragraph" w:customStyle="1" w:styleId="RollCallVotes">
    <w:name w:val="RollCallVotes"/>
    <w:basedOn w:val="Normal"/>
    <w:rsid w:val="00637BFC"/>
    <w:pPr>
      <w:spacing w:before="120" w:after="120"/>
      <w:jc w:val="center"/>
    </w:pPr>
    <w:rPr>
      <w:b/>
      <w:bCs/>
      <w:snapToGrid w:val="0"/>
      <w:sz w:val="16"/>
      <w:lang w:eastAsia="en-US"/>
    </w:rPr>
  </w:style>
  <w:style w:type="paragraph" w:customStyle="1" w:styleId="RollCallTabs">
    <w:name w:val="RollCallTabs"/>
    <w:basedOn w:val="Normal"/>
    <w:qFormat/>
    <w:rsid w:val="00637BFC"/>
    <w:pPr>
      <w:tabs>
        <w:tab w:val="center" w:pos="284"/>
        <w:tab w:val="left" w:pos="426"/>
      </w:tabs>
    </w:pPr>
    <w:rPr>
      <w:snapToGrid w:val="0"/>
      <w:lang w:eastAsia="en-US"/>
    </w:rPr>
  </w:style>
  <w:style w:type="paragraph" w:customStyle="1" w:styleId="RollCallSymbols14pt">
    <w:name w:val="RollCallSymbols14pt"/>
    <w:basedOn w:val="Normal"/>
    <w:rsid w:val="00637BFC"/>
    <w:pPr>
      <w:spacing w:before="120" w:after="120"/>
      <w:jc w:val="center"/>
    </w:pPr>
    <w:rPr>
      <w:rFonts w:ascii="Arial" w:hAnsi="Arial"/>
      <w:b/>
      <w:bCs/>
      <w:snapToGrid w:val="0"/>
      <w:sz w:val="28"/>
      <w:lang w:eastAsia="en-US"/>
    </w:rPr>
  </w:style>
  <w:style w:type="paragraph" w:customStyle="1" w:styleId="RollCallTable">
    <w:name w:val="RollCallTable"/>
    <w:basedOn w:val="Normal"/>
    <w:rsid w:val="00637BFC"/>
    <w:pPr>
      <w:spacing w:before="120" w:after="120"/>
    </w:pPr>
    <w:rPr>
      <w:snapToGrid w:val="0"/>
      <w:sz w:val="16"/>
      <w:lang w:eastAsia="en-US"/>
    </w:rPr>
  </w:style>
  <w:style w:type="character" w:customStyle="1" w:styleId="epname0">
    <w:name w:val="ep_name"/>
    <w:basedOn w:val="DefaultParagraphFont"/>
    <w:rsid w:val="00637BFC"/>
  </w:style>
  <w:style w:type="paragraph" w:customStyle="1" w:styleId="LetterSalutation">
    <w:name w:val="LetterSalutation"/>
    <w:basedOn w:val="Normal"/>
    <w:rsid w:val="00637BFC"/>
    <w:pPr>
      <w:spacing w:before="600" w:after="360"/>
    </w:pPr>
  </w:style>
  <w:style w:type="paragraph" w:customStyle="1" w:styleId="LetterSubject">
    <w:name w:val="LetterSubject"/>
    <w:basedOn w:val="Normal"/>
    <w:rsid w:val="00637BFC"/>
    <w:pPr>
      <w:spacing w:before="480"/>
      <w:ind w:left="1134" w:hanging="1134"/>
    </w:pPr>
  </w:style>
  <w:style w:type="paragraph" w:customStyle="1" w:styleId="LetterSignature66b">
    <w:name w:val="LetterSignature66b"/>
    <w:basedOn w:val="Normal"/>
    <w:next w:val="Normal"/>
    <w:rsid w:val="00637BFC"/>
    <w:pPr>
      <w:spacing w:before="1320"/>
    </w:pPr>
  </w:style>
  <w:style w:type="paragraph" w:customStyle="1" w:styleId="AnnexRight">
    <w:name w:val="AnnexRight"/>
    <w:basedOn w:val="Normal"/>
    <w:rsid w:val="00637BFC"/>
    <w:pPr>
      <w:spacing w:after="480"/>
      <w:jc w:val="right"/>
    </w:pPr>
  </w:style>
  <w:style w:type="paragraph" w:customStyle="1" w:styleId="Normal24a">
    <w:name w:val="Normal24a"/>
    <w:basedOn w:val="Normal"/>
    <w:link w:val="Normal24aChar"/>
    <w:rsid w:val="00637BFC"/>
    <w:pPr>
      <w:spacing w:after="480"/>
    </w:pPr>
  </w:style>
  <w:style w:type="character" w:customStyle="1" w:styleId="Normal24aChar">
    <w:name w:val="Normal24a Char"/>
    <w:basedOn w:val="DefaultParagraphFont"/>
    <w:link w:val="Normal24a"/>
    <w:rsid w:val="00637BFC"/>
    <w:rPr>
      <w:sz w:val="24"/>
      <w:lang w:val="fi-FI"/>
    </w:rPr>
  </w:style>
  <w:style w:type="paragraph" w:styleId="Footer">
    <w:name w:val="footer"/>
    <w:basedOn w:val="Normal"/>
    <w:link w:val="FooterChar"/>
    <w:rsid w:val="00637BFC"/>
    <w:pPr>
      <w:tabs>
        <w:tab w:val="center" w:pos="4513"/>
        <w:tab w:val="right" w:pos="9026"/>
      </w:tabs>
    </w:pPr>
  </w:style>
  <w:style w:type="character" w:customStyle="1" w:styleId="FooterChar">
    <w:name w:val="Footer Char"/>
    <w:basedOn w:val="DefaultParagraphFont"/>
    <w:link w:val="Footer"/>
    <w:rsid w:val="00637BFC"/>
    <w:rPr>
      <w:sz w:val="24"/>
      <w:lang w:val="fi-FI"/>
    </w:rPr>
  </w:style>
  <w:style w:type="numbering" w:customStyle="1" w:styleId="NoList1">
    <w:name w:val="No List1"/>
    <w:next w:val="NoList"/>
    <w:uiPriority w:val="99"/>
    <w:semiHidden/>
    <w:unhideWhenUsed/>
    <w:rsid w:val="00AD600E"/>
  </w:style>
  <w:style w:type="paragraph" w:customStyle="1" w:styleId="SignaturePersonne">
    <w:name w:val="Signature Personne"/>
    <w:basedOn w:val="Normal"/>
    <w:rsid w:val="00AD600E"/>
    <w:pPr>
      <w:widowControl/>
      <w:tabs>
        <w:tab w:val="left" w:pos="4252"/>
      </w:tabs>
      <w:spacing w:line="360" w:lineRule="auto"/>
    </w:pPr>
    <w:rPr>
      <w:i/>
      <w:szCs w:val="24"/>
      <w:lang w:val="en-GB" w:eastAsia="en-US"/>
    </w:rPr>
  </w:style>
  <w:style w:type="paragraph" w:customStyle="1" w:styleId="Considrant">
    <w:name w:val="Considérant"/>
    <w:basedOn w:val="Normal"/>
    <w:rsid w:val="00AD600E"/>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AD600E"/>
    <w:pPr>
      <w:keepNext/>
      <w:spacing w:before="600" w:after="120" w:line="360" w:lineRule="auto"/>
    </w:pPr>
    <w:rPr>
      <w:szCs w:val="24"/>
      <w:lang w:val="en-GB" w:eastAsia="en-US"/>
    </w:rPr>
  </w:style>
  <w:style w:type="paragraph" w:customStyle="1" w:styleId="Institutionquisigne">
    <w:name w:val="Institution qui signe"/>
    <w:basedOn w:val="Normal"/>
    <w:next w:val="Normal"/>
    <w:rsid w:val="00AD600E"/>
    <w:pPr>
      <w:keepNext/>
      <w:tabs>
        <w:tab w:val="left" w:pos="4252"/>
      </w:tabs>
      <w:spacing w:before="720" w:line="360" w:lineRule="auto"/>
    </w:pPr>
    <w:rPr>
      <w:i/>
      <w:szCs w:val="24"/>
      <w:lang w:val="en-GB" w:eastAsia="en-US"/>
    </w:rPr>
  </w:style>
  <w:style w:type="paragraph" w:customStyle="1" w:styleId="Fait">
    <w:name w:val="Fait à"/>
    <w:basedOn w:val="Normal"/>
    <w:rsid w:val="00AD600E"/>
    <w:pPr>
      <w:keepNext/>
      <w:widowControl/>
      <w:spacing w:before="120" w:line="360" w:lineRule="auto"/>
    </w:pPr>
    <w:rPr>
      <w:szCs w:val="24"/>
      <w:lang w:val="en-GB" w:eastAsia="en-US"/>
    </w:rPr>
  </w:style>
  <w:style w:type="paragraph" w:customStyle="1" w:styleId="FootnoteTextForceStyle">
    <w:name w:val="Footnote Text ForceStyle"/>
    <w:rsid w:val="00AD600E"/>
    <w:pPr>
      <w:keepLines/>
      <w:widowControl w:val="0"/>
      <w:ind w:left="850" w:hanging="850"/>
    </w:pPr>
    <w:rPr>
      <w:sz w:val="24"/>
      <w:lang w:eastAsia="en-US"/>
    </w:rPr>
  </w:style>
  <w:style w:type="character" w:customStyle="1" w:styleId="Footer2">
    <w:name w:val="Footer2"/>
    <w:rsid w:val="00AD600E"/>
    <w:rPr>
      <w:rFonts w:ascii="Arial" w:hAnsi="Arial"/>
      <w:b/>
      <w:sz w:val="48"/>
    </w:rPr>
  </w:style>
  <w:style w:type="paragraph" w:customStyle="1" w:styleId="Applicationdirecte">
    <w:name w:val="Application directe"/>
    <w:basedOn w:val="Normal"/>
    <w:next w:val="Normal"/>
    <w:rsid w:val="00AD600E"/>
    <w:pPr>
      <w:spacing w:before="120" w:after="120" w:line="360" w:lineRule="auto"/>
    </w:pPr>
    <w:rPr>
      <w:szCs w:val="24"/>
      <w:lang w:val="en-GB" w:eastAsia="en-US"/>
    </w:rPr>
  </w:style>
  <w:style w:type="paragraph" w:customStyle="1" w:styleId="Normale">
    <w:name w:val="Normale"/>
    <w:rsid w:val="00AD600E"/>
    <w:pPr>
      <w:widowControl w:val="0"/>
      <w:spacing w:before="120" w:after="120" w:line="360" w:lineRule="auto"/>
    </w:pPr>
    <w:rPr>
      <w:sz w:val="24"/>
      <w:lang w:eastAsia="en-US"/>
    </w:rPr>
  </w:style>
  <w:style w:type="paragraph" w:customStyle="1" w:styleId="Formuledadoption">
    <w:name w:val="Formule d'adoption"/>
    <w:basedOn w:val="Normal"/>
    <w:next w:val="Normal"/>
    <w:rsid w:val="00AD600E"/>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AD600E"/>
    <w:pPr>
      <w:widowControl/>
      <w:spacing w:after="240" w:line="360" w:lineRule="auto"/>
      <w:ind w:left="5102"/>
    </w:pPr>
    <w:rPr>
      <w:szCs w:val="24"/>
      <w:lang w:val="en-GB" w:eastAsia="en-US"/>
    </w:rPr>
  </w:style>
  <w:style w:type="paragraph" w:customStyle="1" w:styleId="Footer1">
    <w:name w:val="Footer1"/>
    <w:basedOn w:val="Normal"/>
    <w:rsid w:val="00AD600E"/>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AD600E"/>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AD600E"/>
    <w:pPr>
      <w:widowControl/>
      <w:spacing w:before="840" w:line="360" w:lineRule="auto"/>
      <w:jc w:val="center"/>
    </w:pPr>
    <w:rPr>
      <w:szCs w:val="24"/>
      <w:lang w:val="en-GB" w:eastAsia="en-US"/>
    </w:rPr>
  </w:style>
  <w:style w:type="paragraph" w:customStyle="1" w:styleId="Typedudocument">
    <w:name w:val="Type du document"/>
    <w:basedOn w:val="Normal"/>
    <w:next w:val="Normal"/>
    <w:rsid w:val="00AD600E"/>
    <w:pPr>
      <w:widowControl/>
      <w:spacing w:before="360" w:line="360" w:lineRule="auto"/>
      <w:jc w:val="center"/>
    </w:pPr>
    <w:rPr>
      <w:b/>
      <w:szCs w:val="24"/>
      <w:lang w:val="en-GB" w:eastAsia="en-US"/>
    </w:rPr>
  </w:style>
  <w:style w:type="paragraph" w:customStyle="1" w:styleId="Titreobjet">
    <w:name w:val="Titre objet"/>
    <w:basedOn w:val="Normal"/>
    <w:next w:val="Normal"/>
    <w:rsid w:val="00AD600E"/>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AD600E"/>
    <w:pPr>
      <w:widowControl/>
      <w:spacing w:before="360" w:after="240" w:line="360" w:lineRule="auto"/>
      <w:jc w:val="center"/>
    </w:pPr>
    <w:rPr>
      <w:szCs w:val="24"/>
      <w:lang w:val="en-GB" w:eastAsia="en-US"/>
    </w:rPr>
  </w:style>
  <w:style w:type="character" w:customStyle="1" w:styleId="CMissingStyle">
    <w:name w:val="C_MissingStyle"/>
    <w:rsid w:val="00AD600E"/>
    <w:rPr>
      <w:color w:val="FFFFFF"/>
      <w:sz w:val="22"/>
      <w:shd w:val="clear" w:color="000000" w:fill="000000"/>
    </w:rPr>
  </w:style>
  <w:style w:type="paragraph" w:customStyle="1" w:styleId="PMissingStyle">
    <w:name w:val="P_MissingStyle"/>
    <w:basedOn w:val="Normal"/>
    <w:rsid w:val="00AD600E"/>
    <w:pPr>
      <w:spacing w:before="120" w:after="120" w:line="360" w:lineRule="auto"/>
    </w:pPr>
    <w:rPr>
      <w:color w:val="FFFFFF"/>
      <w:szCs w:val="24"/>
      <w:shd w:val="clear" w:color="000000" w:fill="000000"/>
      <w:lang w:val="en-GB" w:eastAsia="en-US"/>
    </w:rPr>
  </w:style>
  <w:style w:type="paragraph" w:customStyle="1" w:styleId="Point2">
    <w:name w:val="Point 2"/>
    <w:basedOn w:val="Normal"/>
    <w:rsid w:val="00D2607E"/>
    <w:pPr>
      <w:widowControl/>
      <w:spacing w:before="120" w:after="120"/>
      <w:ind w:left="1984" w:hanging="567"/>
      <w:jc w:val="both"/>
    </w:pPr>
    <w:rPr>
      <w:rFonts w:eastAsiaTheme="minorHAnsi"/>
      <w:szCs w:val="22"/>
      <w:lang w:eastAsia="en-US"/>
    </w:rPr>
  </w:style>
  <w:style w:type="character" w:customStyle="1" w:styleId="CRMarker">
    <w:name w:val="CR Marker"/>
    <w:basedOn w:val="DefaultParagraphFont"/>
    <w:rsid w:val="00D2607E"/>
    <w:rPr>
      <w:rFonts w:ascii="@Yu Mincho Light" w:hAnsi="@Yu Mincho Light"/>
    </w:rPr>
  </w:style>
  <w:style w:type="character" w:customStyle="1" w:styleId="CRDeleted">
    <w:name w:val="CR Deleted"/>
    <w:basedOn w:val="DefaultParagraphFont"/>
    <w:rsid w:val="00D2607E"/>
    <w:rPr>
      <w:strike w:val="0"/>
      <w:dstri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80F49-B7F9-4464-ACF8-527662C6A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133</Pages>
  <Words>14024</Words>
  <Characters>111522</Characters>
  <Application>Microsoft Office Word</Application>
  <DocSecurity>0</DocSecurity>
  <Lines>929</Lines>
  <Paragraphs>250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LUKSITE Marija</cp:lastModifiedBy>
  <cp:revision>2</cp:revision>
  <cp:lastPrinted>2004-11-19T15:42:00Z</cp:lastPrinted>
  <dcterms:created xsi:type="dcterms:W3CDTF">2024-11-26T12:16:00Z</dcterms:created>
  <dcterms:modified xsi:type="dcterms:W3CDTF">2024-11-26T12:16:00Z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A9-0022/2024</vt:lpwstr>
  </property>
  <property fmtid="{D5CDD505-2E9C-101B-9397-08002B2CF9AE}" pid="4" name="&lt;Type&gt;">
    <vt:lpwstr>RR</vt:lpwstr>
  </property>
</Properties>
</file>