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70207" w14:paraId="225007E9" w14:textId="77777777" w:rsidTr="0010095E">
        <w:trPr>
          <w:trHeight w:hRule="exact" w:val="1418"/>
        </w:trPr>
        <w:tc>
          <w:tcPr>
            <w:tcW w:w="6804" w:type="dxa"/>
            <w:shd w:val="clear" w:color="auto" w:fill="auto"/>
            <w:vAlign w:val="center"/>
          </w:tcPr>
          <w:p w14:paraId="63BB1B0D" w14:textId="77777777" w:rsidR="00751A4A" w:rsidRPr="00870207" w:rsidRDefault="00AE1824" w:rsidP="0010095E">
            <w:pPr>
              <w:pStyle w:val="EPName"/>
            </w:pPr>
            <w:r w:rsidRPr="00870207">
              <w:t>Europaparlamentet</w:t>
            </w:r>
          </w:p>
          <w:p w14:paraId="1C099F03" w14:textId="77777777" w:rsidR="00751A4A" w:rsidRPr="00870207" w:rsidRDefault="00817416" w:rsidP="00756632">
            <w:pPr>
              <w:pStyle w:val="EPTerm"/>
              <w:rPr>
                <w:rStyle w:val="HideTWBExt"/>
                <w:noProof w:val="0"/>
                <w:vanish w:val="0"/>
                <w:color w:val="auto"/>
              </w:rPr>
            </w:pPr>
            <w:r w:rsidRPr="00870207">
              <w:t>2019-2024</w:t>
            </w:r>
          </w:p>
        </w:tc>
        <w:tc>
          <w:tcPr>
            <w:tcW w:w="2268" w:type="dxa"/>
            <w:shd w:val="clear" w:color="auto" w:fill="auto"/>
          </w:tcPr>
          <w:p w14:paraId="3825EF09" w14:textId="77777777" w:rsidR="00751A4A" w:rsidRPr="00870207" w:rsidRDefault="00187494" w:rsidP="0010095E">
            <w:pPr>
              <w:pStyle w:val="EPLogo"/>
            </w:pPr>
            <w:r w:rsidRPr="00870207">
              <w:rPr>
                <w:noProof/>
                <w:lang w:val="en-GB"/>
              </w:rPr>
              <w:drawing>
                <wp:inline distT="0" distB="0" distL="0" distR="0" wp14:anchorId="1CB93EFE" wp14:editId="09B2553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4C2EBD" w14:textId="77777777" w:rsidR="00D058B8" w:rsidRPr="00870207" w:rsidRDefault="00D058B8" w:rsidP="004C5D52">
      <w:pPr>
        <w:pStyle w:val="LineTop"/>
      </w:pPr>
    </w:p>
    <w:p w14:paraId="4CA9F23C" w14:textId="77777777" w:rsidR="00680577" w:rsidRPr="00870207" w:rsidRDefault="00AE1824" w:rsidP="00680577">
      <w:pPr>
        <w:pStyle w:val="EPBodyTA1"/>
      </w:pPr>
      <w:r w:rsidRPr="00870207">
        <w:t>ANTAGNA TEXTER</w:t>
      </w:r>
    </w:p>
    <w:p w14:paraId="2EBEBF17" w14:textId="77777777" w:rsidR="00D058B8" w:rsidRPr="00870207" w:rsidRDefault="00D058B8" w:rsidP="00D058B8">
      <w:pPr>
        <w:pStyle w:val="LineBottom"/>
      </w:pPr>
    </w:p>
    <w:p w14:paraId="66B5A048" w14:textId="77777777" w:rsidR="00AE1824" w:rsidRPr="00870207" w:rsidRDefault="00AE1824" w:rsidP="00AE1824">
      <w:pPr>
        <w:pStyle w:val="ATHeading1"/>
      </w:pPr>
      <w:bookmarkStart w:id="0" w:name="TANumber"/>
      <w:r w:rsidRPr="00870207">
        <w:t>P9_TA(2024)00</w:t>
      </w:r>
      <w:bookmarkEnd w:id="0"/>
      <w:r w:rsidR="00870207" w:rsidRPr="00870207">
        <w:t>99</w:t>
      </w:r>
    </w:p>
    <w:p w14:paraId="60D2DC92" w14:textId="77777777" w:rsidR="00AE1824" w:rsidRPr="00870207" w:rsidRDefault="00AE1824" w:rsidP="00AE1824">
      <w:pPr>
        <w:pStyle w:val="ATHeading2"/>
      </w:pPr>
      <w:bookmarkStart w:id="1" w:name="title"/>
      <w:r w:rsidRPr="00870207">
        <w:t>Tilläggsskydd för läkemedel (omarbetning)</w:t>
      </w:r>
      <w:bookmarkEnd w:id="1"/>
    </w:p>
    <w:p w14:paraId="1464B4E5" w14:textId="77777777" w:rsidR="00AE1824" w:rsidRPr="00870207" w:rsidRDefault="00AE1824" w:rsidP="00AE1824">
      <w:pPr>
        <w:rPr>
          <w:i/>
          <w:vanish/>
        </w:rPr>
      </w:pPr>
      <w:r w:rsidRPr="00870207">
        <w:rPr>
          <w:i/>
        </w:rPr>
        <w:fldChar w:fldCharType="begin"/>
      </w:r>
      <w:r w:rsidRPr="00870207">
        <w:rPr>
          <w:i/>
        </w:rPr>
        <w:instrText xml:space="preserve"> TC"(</w:instrText>
      </w:r>
      <w:bookmarkStart w:id="2" w:name="DocNumber"/>
      <w:r w:rsidRPr="00870207">
        <w:rPr>
          <w:i/>
        </w:rPr>
        <w:instrText>A9-0022/2024</w:instrText>
      </w:r>
      <w:bookmarkEnd w:id="2"/>
      <w:r w:rsidRPr="00870207">
        <w:rPr>
          <w:i/>
        </w:rPr>
        <w:instrText xml:space="preserve"> - Föredragande: Tiemo Wölken)"\l3 \n&gt; \* MERGEFORMAT </w:instrText>
      </w:r>
      <w:r w:rsidRPr="00870207">
        <w:rPr>
          <w:i/>
        </w:rPr>
        <w:fldChar w:fldCharType="end"/>
      </w:r>
    </w:p>
    <w:p w14:paraId="767C5F39" w14:textId="77777777" w:rsidR="00AE1824" w:rsidRPr="00870207" w:rsidRDefault="00AE1824" w:rsidP="00AE1824">
      <w:pPr>
        <w:rPr>
          <w:vanish/>
        </w:rPr>
      </w:pPr>
      <w:bookmarkStart w:id="3" w:name="Commission"/>
      <w:r w:rsidRPr="00870207">
        <w:rPr>
          <w:vanish/>
        </w:rPr>
        <w:t>Utskottet för rättsliga frågor</w:t>
      </w:r>
      <w:bookmarkEnd w:id="3"/>
    </w:p>
    <w:p w14:paraId="1C5E0A17" w14:textId="77777777" w:rsidR="00AE1824" w:rsidRPr="00870207" w:rsidRDefault="00AE1824" w:rsidP="00AE1824">
      <w:pPr>
        <w:rPr>
          <w:vanish/>
        </w:rPr>
      </w:pPr>
      <w:bookmarkStart w:id="4" w:name="PE"/>
      <w:r w:rsidRPr="00870207">
        <w:rPr>
          <w:vanish/>
        </w:rPr>
        <w:t>PE753.704</w:t>
      </w:r>
      <w:bookmarkEnd w:id="4"/>
    </w:p>
    <w:p w14:paraId="5EB5DBE9" w14:textId="77777777" w:rsidR="00AE1824" w:rsidRPr="00870207" w:rsidRDefault="00AE1824" w:rsidP="00AE1824">
      <w:pPr>
        <w:pStyle w:val="ATHeading3"/>
      </w:pPr>
      <w:bookmarkStart w:id="5" w:name="Sujet"/>
      <w:r w:rsidRPr="00870207">
        <w:t xml:space="preserve">Europaparlamentets lagstiftningsresolution av den </w:t>
      </w:r>
      <w:r w:rsidR="001E2060" w:rsidRPr="00870207">
        <w:t>28</w:t>
      </w:r>
      <w:r w:rsidRPr="00870207">
        <w:t xml:space="preserve"> </w:t>
      </w:r>
      <w:r w:rsidR="001B61A6" w:rsidRPr="00870207">
        <w:t>februari</w:t>
      </w:r>
      <w:r w:rsidRPr="00870207">
        <w:t xml:space="preserve"> 2024 om förslaget till Europaparlamentets och rådets förordning om tilläggsskydd för läkemedel (omarbetning)</w:t>
      </w:r>
      <w:bookmarkEnd w:id="5"/>
      <w:r w:rsidRPr="00870207">
        <w:t xml:space="preserve"> </w:t>
      </w:r>
      <w:bookmarkStart w:id="6" w:name="References"/>
      <w:r w:rsidRPr="00870207">
        <w:t>(COM(2023)0231 – C9-0146/2023 – 2023/0130(COD))</w:t>
      </w:r>
      <w:bookmarkEnd w:id="6"/>
    </w:p>
    <w:p w14:paraId="19B88ED0" w14:textId="77777777" w:rsidR="00BE35FB" w:rsidRPr="00870207" w:rsidRDefault="00BE35FB" w:rsidP="00BE35FB">
      <w:pPr>
        <w:pStyle w:val="NormalBold"/>
        <w:widowControl/>
      </w:pPr>
      <w:bookmarkStart w:id="7" w:name="TextBodyBegin"/>
      <w:bookmarkEnd w:id="7"/>
      <w:r w:rsidRPr="00870207">
        <w:t>(Ordinarie lagstiftningsförfarande – omarbetning)</w:t>
      </w:r>
    </w:p>
    <w:p w14:paraId="584B811A" w14:textId="77777777" w:rsidR="00BE35FB" w:rsidRPr="00870207" w:rsidRDefault="00BE35FB" w:rsidP="00BE35FB">
      <w:pPr>
        <w:pStyle w:val="EPComma"/>
        <w:widowControl/>
      </w:pPr>
      <w:r w:rsidRPr="00870207">
        <w:rPr>
          <w:i/>
        </w:rPr>
        <w:t>Europaparlamentet utfärdar denna resolution</w:t>
      </w:r>
    </w:p>
    <w:p w14:paraId="63A4B47C" w14:textId="77777777" w:rsidR="00BE35FB" w:rsidRPr="00870207" w:rsidRDefault="00BE35FB" w:rsidP="00BE35FB">
      <w:pPr>
        <w:pStyle w:val="NormalHanging12a"/>
        <w:widowControl/>
      </w:pPr>
      <w:r w:rsidRPr="00870207">
        <w:t>–</w:t>
      </w:r>
      <w:r w:rsidRPr="00870207">
        <w:tab/>
        <w:t>med beaktande av kommissionens förslag till Europaparlamentet och rådet (COM(2023)0231),</w:t>
      </w:r>
    </w:p>
    <w:p w14:paraId="40ACE46B" w14:textId="77777777" w:rsidR="00BE35FB" w:rsidRPr="00870207" w:rsidRDefault="00BE35FB" w:rsidP="00BE35FB">
      <w:pPr>
        <w:pStyle w:val="NormalHanging12a"/>
        <w:widowControl/>
      </w:pPr>
      <w:r w:rsidRPr="00870207">
        <w:t>–</w:t>
      </w:r>
      <w:r w:rsidRPr="00870207">
        <w:tab/>
        <w:t>med beaktande av artiklarna 294.2 och 114.1 i fördraget om Europeiska unionens funktionssätt, i enlighet med vilka kommissionen har lagt fram sitt förslag för parlamentet (C9</w:t>
      </w:r>
      <w:r w:rsidRPr="00870207">
        <w:noBreakHyphen/>
        <w:t>0146/2023),</w:t>
      </w:r>
    </w:p>
    <w:p w14:paraId="43C3C1E0" w14:textId="77777777" w:rsidR="00BE35FB" w:rsidRPr="00870207" w:rsidRDefault="00BE35FB" w:rsidP="00BE35FB">
      <w:pPr>
        <w:pStyle w:val="NormalHanging12a"/>
        <w:widowControl/>
      </w:pPr>
      <w:r w:rsidRPr="00870207">
        <w:t>–</w:t>
      </w:r>
      <w:r w:rsidRPr="00870207">
        <w:tab/>
        <w:t>med beaktande av artikel 294.3 i fördraget om Europeiska unionens funktionssätt,</w:t>
      </w:r>
    </w:p>
    <w:p w14:paraId="47F18285" w14:textId="77777777" w:rsidR="00BE35FB" w:rsidRPr="00870207" w:rsidRDefault="00BE35FB" w:rsidP="00BE35FB">
      <w:pPr>
        <w:pStyle w:val="NormalHanging12a"/>
        <w:widowControl/>
      </w:pPr>
      <w:r w:rsidRPr="00870207">
        <w:t>–</w:t>
      </w:r>
      <w:r w:rsidRPr="00870207">
        <w:tab/>
        <w:t>med beaktande av Europeiska ekonomiska och sociala kommitténs yttrande av den 27 september 2023</w:t>
      </w:r>
      <w:r w:rsidRPr="00870207">
        <w:rPr>
          <w:rStyle w:val="FootnoteReference"/>
        </w:rPr>
        <w:footnoteReference w:id="1"/>
      </w:r>
      <w:r w:rsidRPr="00870207">
        <w:t>,</w:t>
      </w:r>
    </w:p>
    <w:p w14:paraId="1729017C" w14:textId="77777777" w:rsidR="00BE35FB" w:rsidRPr="00870207" w:rsidRDefault="00BE35FB" w:rsidP="00BE35FB">
      <w:pPr>
        <w:pStyle w:val="NormalHanging12a"/>
        <w:widowControl/>
      </w:pPr>
      <w:r w:rsidRPr="00870207">
        <w:t>–</w:t>
      </w:r>
      <w:r w:rsidRPr="00870207">
        <w:tab/>
        <w:t>med beaktande av det interinstitutionella avtalet av den 28 november 2001 om en mer strukturerad användning av omarbetningstekniken för rättsakter</w:t>
      </w:r>
      <w:r w:rsidRPr="00870207">
        <w:rPr>
          <w:rStyle w:val="FootnoteReference"/>
        </w:rPr>
        <w:footnoteReference w:id="2"/>
      </w:r>
      <w:r w:rsidRPr="00870207">
        <w:t>,</w:t>
      </w:r>
    </w:p>
    <w:p w14:paraId="1B2AAB5F" w14:textId="77777777" w:rsidR="00BE35FB" w:rsidRPr="00870207" w:rsidRDefault="00BE35FB" w:rsidP="00BE35FB">
      <w:pPr>
        <w:pStyle w:val="NormalHanging12a"/>
        <w:widowControl/>
      </w:pPr>
      <w:r w:rsidRPr="00870207">
        <w:t>–</w:t>
      </w:r>
      <w:r w:rsidRPr="00870207">
        <w:tab/>
        <w:t>med beaktande av artiklarna 110 och 59 i arbetsordningen,</w:t>
      </w:r>
    </w:p>
    <w:p w14:paraId="4EFD0D43" w14:textId="77777777" w:rsidR="00BE35FB" w:rsidRPr="00870207" w:rsidRDefault="00BE35FB" w:rsidP="00BE35FB">
      <w:pPr>
        <w:pStyle w:val="NormalHanging12a"/>
        <w:widowControl/>
      </w:pPr>
      <w:r w:rsidRPr="00870207">
        <w:t>–</w:t>
      </w:r>
      <w:r w:rsidRPr="00870207">
        <w:tab/>
        <w:t>med beaktande av betänkandet från utskottet för rättsliga frågor (A9-0022/2024), och av följande skäl:</w:t>
      </w:r>
    </w:p>
    <w:p w14:paraId="5CF2B48E" w14:textId="77777777" w:rsidR="00BE35FB" w:rsidRPr="00870207" w:rsidRDefault="00BE35FB" w:rsidP="00BE35FB">
      <w:pPr>
        <w:pStyle w:val="NormalHanging12a"/>
        <w:widowControl/>
      </w:pPr>
      <w:r w:rsidRPr="00870207">
        <w:t>A.</w:t>
      </w:r>
      <w:r w:rsidRPr="00870207">
        <w:tab/>
        <w:t xml:space="preserve">Enligt yttrandet från den rådgivande gruppen, sammansatt av de juridiska avdelningarna vid Europaparlamentet, rådet och kommissionen, innehåller kommissionens förslag inte några innehållsmässiga ändringar utöver dem som anges i förslaget, och i fråga om kodifieringen av de oförändrade bestämmelserna i de tidigare rättsakterna tillsammans </w:t>
      </w:r>
      <w:r w:rsidRPr="00870207">
        <w:lastRenderedPageBreak/>
        <w:t>med dessa ändringar gäller förslaget endast en kodifiering av de befintliga rättsakterna som inte ändrar deras sakinnehåll.</w:t>
      </w:r>
    </w:p>
    <w:p w14:paraId="66059708" w14:textId="77777777" w:rsidR="00BE35FB" w:rsidRPr="00870207" w:rsidRDefault="00BE35FB" w:rsidP="00BE35FB">
      <w:pPr>
        <w:pStyle w:val="NormalHanging12a"/>
        <w:widowControl/>
      </w:pPr>
      <w:r w:rsidRPr="00870207">
        <w:t>1.</w:t>
      </w:r>
      <w:r w:rsidRPr="00870207">
        <w:tab/>
        <w:t>Europaparlamentet antar nedanstående ståndpunkt vid första behandlingen med beaktande av rekommendationerna från den rådgivande gruppen, sammansatt av de juridiska avdelningarna vid Europaparlamentet, rådet och kommissionen.</w:t>
      </w:r>
    </w:p>
    <w:p w14:paraId="7F7FF9E0" w14:textId="77777777" w:rsidR="00BE35FB" w:rsidRPr="00870207" w:rsidRDefault="00BE35FB" w:rsidP="00BE35FB">
      <w:pPr>
        <w:pStyle w:val="NormalHanging12a"/>
        <w:widowControl/>
      </w:pPr>
      <w:r w:rsidRPr="00870207">
        <w:t>2.</w:t>
      </w:r>
      <w:r w:rsidRPr="00870207">
        <w:tab/>
        <w:t>Europaparlamentet uppmanar kommissionen att på nytt lägga fram ärendet för parlamentet om den ersätter, väsentligt ändrar eller har för avsikt att väsentligt ändra sitt förslag.</w:t>
      </w:r>
    </w:p>
    <w:p w14:paraId="6BA1FCC2" w14:textId="77777777" w:rsidR="00BE35FB" w:rsidRPr="00870207" w:rsidRDefault="00BE35FB" w:rsidP="00BE35FB">
      <w:pPr>
        <w:pStyle w:val="NormalHanging12a"/>
        <w:widowControl/>
      </w:pPr>
      <w:r w:rsidRPr="00870207">
        <w:t>3.</w:t>
      </w:r>
      <w:r w:rsidRPr="00870207">
        <w:tab/>
        <w:t>Europaparlamentet uppdrar åt talmannen att översända parlamentets ståndpunkt till rådet, kommissionen och de nationella parlamenten.</w:t>
      </w:r>
    </w:p>
    <w:p w14:paraId="406A9E61" w14:textId="77777777" w:rsidR="00EB5AC1" w:rsidRDefault="00EB5AC1" w:rsidP="00BE35FB">
      <w:pPr>
        <w:pStyle w:val="NormalHanging12a"/>
        <w:widowControl/>
        <w:sectPr w:rsidR="00EB5AC1" w:rsidSect="0063738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554ACB79" w14:textId="77777777" w:rsidR="00EB5AC1" w:rsidRPr="00EB5AC1" w:rsidRDefault="00EB5AC1" w:rsidP="00277D77">
      <w:pPr>
        <w:widowControl/>
        <w:spacing w:after="240"/>
        <w:rPr>
          <w:b/>
          <w:snapToGrid w:val="0"/>
        </w:rPr>
      </w:pPr>
      <w:r w:rsidRPr="00EB5AC1">
        <w:rPr>
          <w:b/>
          <w:snapToGrid w:val="0"/>
        </w:rPr>
        <w:lastRenderedPageBreak/>
        <w:t>P9_TC1-COD(202</w:t>
      </w:r>
      <w:r>
        <w:rPr>
          <w:b/>
          <w:snapToGrid w:val="0"/>
        </w:rPr>
        <w:t>3</w:t>
      </w:r>
      <w:r w:rsidRPr="00EB5AC1">
        <w:rPr>
          <w:b/>
          <w:snapToGrid w:val="0"/>
        </w:rPr>
        <w:t>)0</w:t>
      </w:r>
      <w:r>
        <w:rPr>
          <w:b/>
          <w:snapToGrid w:val="0"/>
        </w:rPr>
        <w:t>130</w:t>
      </w:r>
    </w:p>
    <w:p w14:paraId="36B96E14" w14:textId="77653D6F" w:rsidR="00EB5AC1" w:rsidRPr="00277D77" w:rsidRDefault="00EB5AC1" w:rsidP="00277D77">
      <w:pPr>
        <w:widowControl/>
        <w:rPr>
          <w:szCs w:val="24"/>
          <w:lang w:eastAsia="en-US"/>
        </w:rPr>
      </w:pPr>
      <w:r w:rsidRPr="00277D77">
        <w:rPr>
          <w:b/>
          <w:snapToGrid w:val="0"/>
        </w:rPr>
        <w:t>Europaparlamentets ståndpunkt fastställd vid första behandlingen den 28 februari 2024 inför antagandet av Europaparlamentets och rådets</w:t>
      </w:r>
      <w:r w:rsidRPr="001734ED">
        <w:rPr>
          <w:b/>
          <w:snapToGrid w:val="0"/>
        </w:rPr>
        <w:t xml:space="preserve"> </w:t>
      </w:r>
      <w:r w:rsidRPr="00277D77">
        <w:rPr>
          <w:b/>
          <w:snapToGrid w:val="0"/>
        </w:rPr>
        <w:t>förordning</w:t>
      </w:r>
      <w:r w:rsidRPr="00277D77">
        <w:rPr>
          <w:b/>
          <w:snapToGrid w:val="0"/>
          <w:u w:val="single"/>
        </w:rPr>
        <w:t xml:space="preserve"> </w:t>
      </w:r>
      <w:r w:rsidRPr="00277D77">
        <w:rPr>
          <w:b/>
          <w:snapToGrid w:val="0"/>
        </w:rPr>
        <w:t>(EU) 2024/…</w:t>
      </w:r>
      <w:r w:rsidRPr="001734ED">
        <w:rPr>
          <w:b/>
          <w:snapToGrid w:val="0"/>
        </w:rPr>
        <w:t xml:space="preserve"> om </w:t>
      </w:r>
      <w:r w:rsidRPr="00EB5AC1">
        <w:rPr>
          <w:b/>
          <w:szCs w:val="24"/>
          <w:lang w:eastAsia="en-US"/>
        </w:rPr>
        <w:t>tilläggsskydd för läkemedel (omarbetning)</w:t>
      </w:r>
    </w:p>
    <w:p w14:paraId="02C0CF7C" w14:textId="77777777" w:rsidR="00EB5AC1" w:rsidRPr="00EB5AC1" w:rsidRDefault="00EB5AC1" w:rsidP="00EB5AC1">
      <w:pPr>
        <w:widowControl/>
        <w:spacing w:before="360" w:after="240" w:line="360" w:lineRule="auto"/>
        <w:jc w:val="center"/>
        <w:rPr>
          <w:szCs w:val="24"/>
          <w:lang w:eastAsia="en-US"/>
        </w:rPr>
      </w:pPr>
      <w:r w:rsidRPr="00EB5AC1">
        <w:rPr>
          <w:szCs w:val="24"/>
          <w:lang w:eastAsia="en-US"/>
        </w:rPr>
        <w:t>(Text av betydelse för EES)</w:t>
      </w:r>
    </w:p>
    <w:p w14:paraId="39E46FD6" w14:textId="77777777" w:rsidR="00EB5AC1" w:rsidRPr="00EB5AC1" w:rsidRDefault="00EB5AC1" w:rsidP="00EB5AC1">
      <w:pPr>
        <w:keepNext/>
        <w:spacing w:before="600" w:after="120" w:line="360" w:lineRule="auto"/>
        <w:rPr>
          <w:szCs w:val="24"/>
          <w:lang w:eastAsia="en-US"/>
        </w:rPr>
      </w:pPr>
      <w:r w:rsidRPr="00EB5AC1">
        <w:rPr>
          <w:szCs w:val="24"/>
          <w:lang w:eastAsia="en-US"/>
        </w:rPr>
        <w:t>EUROPAPARLAMENTET OCH EUROPEISKA UNIONENS RÅD HAR ANTAGIT DENNA FÖRORDNING</w:t>
      </w:r>
    </w:p>
    <w:p w14:paraId="0BA32988" w14:textId="77777777" w:rsidR="00EB5AC1" w:rsidRPr="00EB5AC1" w:rsidRDefault="00EB5AC1" w:rsidP="00EB5AC1">
      <w:pPr>
        <w:spacing w:before="120" w:after="120" w:line="360" w:lineRule="auto"/>
        <w:rPr>
          <w:lang w:eastAsia="en-US"/>
        </w:rPr>
      </w:pPr>
      <w:r w:rsidRPr="00EB5AC1">
        <w:rPr>
          <w:lang w:eastAsia="en-US"/>
        </w:rPr>
        <w:t>med beaktande av fördraget om Europeiska unionens funktionssätt , särskilt artikel 114.1 ,</w:t>
      </w:r>
    </w:p>
    <w:p w14:paraId="0D7D0726" w14:textId="77777777" w:rsidR="00EB5AC1" w:rsidRPr="00EB5AC1" w:rsidRDefault="00EB5AC1" w:rsidP="00EB5AC1">
      <w:pPr>
        <w:spacing w:before="120" w:after="120" w:line="360" w:lineRule="auto"/>
        <w:rPr>
          <w:lang w:eastAsia="en-US"/>
        </w:rPr>
      </w:pPr>
      <w:r w:rsidRPr="00EB5AC1">
        <w:rPr>
          <w:lang w:eastAsia="en-US"/>
        </w:rPr>
        <w:t>med beaktande av Europeiska kommissionens förslag,</w:t>
      </w:r>
    </w:p>
    <w:p w14:paraId="1087EDE3" w14:textId="77777777" w:rsidR="00EB5AC1" w:rsidRPr="00EB5AC1" w:rsidRDefault="00EB5AC1" w:rsidP="00EB5AC1">
      <w:pPr>
        <w:spacing w:before="120" w:after="120" w:line="360" w:lineRule="auto"/>
        <w:rPr>
          <w:lang w:eastAsia="en-US"/>
        </w:rPr>
      </w:pPr>
      <w:r w:rsidRPr="00EB5AC1">
        <w:rPr>
          <w:lang w:eastAsia="en-US"/>
        </w:rPr>
        <w:t>efter översändande av utkastet till lagstiftningsakt till de nationella parlamenten,</w:t>
      </w:r>
    </w:p>
    <w:p w14:paraId="49BDCFF7" w14:textId="77777777" w:rsidR="00EB5AC1" w:rsidRPr="00EB5AC1" w:rsidRDefault="00EB5AC1" w:rsidP="00EB5AC1">
      <w:pPr>
        <w:spacing w:before="120" w:after="120" w:line="360" w:lineRule="auto"/>
        <w:rPr>
          <w:lang w:eastAsia="en-US"/>
        </w:rPr>
      </w:pPr>
      <w:r w:rsidRPr="00EB5AC1">
        <w:rPr>
          <w:lang w:eastAsia="en-US"/>
        </w:rPr>
        <w:t>med beaktande av Europeiska ekonomiska och sociala kommitténs yttrande</w:t>
      </w:r>
      <w:r w:rsidRPr="00EB5AC1">
        <w:rPr>
          <w:vertAlign w:val="superscript"/>
          <w:lang w:val="en-GB" w:eastAsia="en-US"/>
        </w:rPr>
        <w:footnoteReference w:id="3"/>
      </w:r>
      <w:r w:rsidRPr="00EB5AC1">
        <w:rPr>
          <w:lang w:eastAsia="en-US"/>
        </w:rPr>
        <w:t>,</w:t>
      </w:r>
    </w:p>
    <w:p w14:paraId="11E020E8" w14:textId="77777777" w:rsidR="00EB5AC1" w:rsidRPr="00EB5AC1" w:rsidRDefault="00EB5AC1" w:rsidP="00EB5AC1">
      <w:pPr>
        <w:spacing w:before="120" w:after="120" w:line="360" w:lineRule="auto"/>
        <w:rPr>
          <w:lang w:eastAsia="en-US"/>
        </w:rPr>
      </w:pPr>
      <w:r w:rsidRPr="00EB5AC1">
        <w:rPr>
          <w:lang w:eastAsia="en-US"/>
        </w:rPr>
        <w:t>med beaktande av Regionkommitténs yttrande</w:t>
      </w:r>
      <w:r w:rsidRPr="00EB5AC1">
        <w:rPr>
          <w:vertAlign w:val="superscript"/>
          <w:lang w:val="en-GB" w:eastAsia="en-US"/>
        </w:rPr>
        <w:footnoteReference w:id="4"/>
      </w:r>
      <w:r w:rsidRPr="00EB5AC1">
        <w:rPr>
          <w:lang w:eastAsia="en-US"/>
        </w:rPr>
        <w:t>,</w:t>
      </w:r>
    </w:p>
    <w:p w14:paraId="5E5B2684" w14:textId="77777777" w:rsidR="00EB5AC1" w:rsidRPr="00EB5AC1" w:rsidRDefault="00EB5AC1" w:rsidP="00EB5AC1">
      <w:pPr>
        <w:spacing w:before="120" w:after="120" w:line="360" w:lineRule="auto"/>
        <w:rPr>
          <w:lang w:eastAsia="en-US"/>
        </w:rPr>
      </w:pPr>
      <w:r w:rsidRPr="00EB5AC1">
        <w:rPr>
          <w:lang w:eastAsia="en-US"/>
        </w:rPr>
        <w:t>i enlighet med det ordinarie lagstiftningsförfarandet, och</w:t>
      </w:r>
    </w:p>
    <w:p w14:paraId="69E185AB" w14:textId="77777777" w:rsidR="00EB5AC1" w:rsidRPr="00EB5AC1" w:rsidRDefault="00EB5AC1" w:rsidP="00EB5AC1">
      <w:pPr>
        <w:spacing w:before="120" w:after="120" w:line="360" w:lineRule="auto"/>
        <w:rPr>
          <w:lang w:eastAsia="en-US"/>
        </w:rPr>
      </w:pPr>
      <w:r w:rsidRPr="00EB5AC1">
        <w:rPr>
          <w:lang w:eastAsia="en-US"/>
        </w:rPr>
        <w:br w:type="page"/>
      </w:r>
      <w:r w:rsidRPr="00EB5AC1">
        <w:rPr>
          <w:lang w:eastAsia="en-US"/>
        </w:rPr>
        <w:lastRenderedPageBreak/>
        <w:t>av följande skäl:</w:t>
      </w:r>
    </w:p>
    <w:p w14:paraId="0BD1EAA9"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w:t>
      </w:r>
      <w:r w:rsidRPr="00EB5AC1">
        <w:rPr>
          <w:szCs w:val="24"/>
          <w:lang w:eastAsia="en-US"/>
        </w:rPr>
        <w:tab/>
        <w:t>Europaparlamentets och rådets förordning (EG) nr 469/2009</w:t>
      </w:r>
      <w:r w:rsidRPr="00EB5AC1">
        <w:rPr>
          <w:szCs w:val="24"/>
          <w:vertAlign w:val="superscript"/>
          <w:lang w:val="en-GB" w:eastAsia="en-US"/>
        </w:rPr>
        <w:footnoteReference w:id="5"/>
      </w:r>
      <w:r w:rsidRPr="00EB5AC1">
        <w:rPr>
          <w:szCs w:val="24"/>
          <w:lang w:eastAsia="en-US"/>
        </w:rPr>
        <w:t xml:space="preserve"> har ändrats väsentligt</w:t>
      </w:r>
      <w:r w:rsidRPr="00EB5AC1">
        <w:rPr>
          <w:szCs w:val="24"/>
          <w:vertAlign w:val="superscript"/>
          <w:lang w:val="en-GB" w:eastAsia="en-US"/>
        </w:rPr>
        <w:footnoteReference w:id="6"/>
      </w:r>
      <w:r w:rsidRPr="00EB5AC1">
        <w:rPr>
          <w:szCs w:val="24"/>
          <w:lang w:eastAsia="en-US"/>
        </w:rPr>
        <w:t>. Eftersom ytterligare ändringar ska göras, bör den förordningen av tydlighetsskäl omarbetas.</w:t>
      </w:r>
    </w:p>
    <w:p w14:paraId="0F23FA56" w14:textId="01F2BF8B" w:rsidR="00EB5AC1" w:rsidRPr="00EB5AC1" w:rsidRDefault="00EB5AC1" w:rsidP="00EB5AC1">
      <w:pPr>
        <w:spacing w:before="120" w:after="120" w:line="360" w:lineRule="auto"/>
        <w:ind w:left="850" w:hanging="850"/>
        <w:rPr>
          <w:b/>
          <w:szCs w:val="24"/>
          <w:lang w:eastAsia="en-US"/>
        </w:rPr>
      </w:pPr>
      <w:r w:rsidRPr="00EB5AC1">
        <w:rPr>
          <w:szCs w:val="24"/>
          <w:lang w:eastAsia="en-US"/>
        </w:rPr>
        <w:t>(2)</w:t>
      </w:r>
      <w:r w:rsidRPr="00EB5AC1">
        <w:rPr>
          <w:szCs w:val="24"/>
          <w:lang w:eastAsia="en-US"/>
        </w:rPr>
        <w:tab/>
        <w:t>Farmaceutisk forskning spelar en avgörande roll för den fortgående förbättringen av folkhälsan.</w:t>
      </w:r>
      <w:r w:rsidRPr="00EB5AC1">
        <w:rPr>
          <w:b/>
          <w:i/>
          <w:szCs w:val="24"/>
          <w:lang w:eastAsia="en-US"/>
        </w:rPr>
        <w:t xml:space="preserve"> Läkemedel, i synnerhet sådana som är resultatet av lång och kostnadskrävande forskning, kommer i fortsättningen inte att utvecklas i unionen om de inte omfattas av gynnsamma regler som ger ett tillräckligt rättsskydd som stimulerar sådan forskning. Det är dock svårt att fastställa en direkt koppling mellan sådana gynnsamma regler och unionens konkurrenskraft. Gynnsamma regler gör visserligen unionens marknader mer attraktiva, men det spelar ingen roll varifrån läkemedlen kommer, och godkända läkemedel från tredjeländer är lika berättigade till alla unionsincitament, på samma sätt som unionsbaserade innovativa företag också kan dra nytta av incitament i tredjeländer.</w:t>
      </w:r>
      <w:r w:rsidRPr="00EB5AC1">
        <w:rPr>
          <w:b/>
          <w:szCs w:val="24"/>
          <w:lang w:eastAsia="en-US"/>
        </w:rPr>
        <w:t xml:space="preserve"> [</w:t>
      </w:r>
      <w:r w:rsidR="001734ED">
        <w:rPr>
          <w:b/>
          <w:szCs w:val="24"/>
          <w:lang w:eastAsia="en-US"/>
        </w:rPr>
        <w:t>Ändr.</w:t>
      </w:r>
      <w:r w:rsidRPr="00EB5AC1">
        <w:rPr>
          <w:b/>
          <w:szCs w:val="24"/>
          <w:lang w:eastAsia="en-US"/>
        </w:rPr>
        <w:t> 1]</w:t>
      </w:r>
    </w:p>
    <w:p w14:paraId="72477DC5" w14:textId="58AAE07B" w:rsidR="00EB5AC1" w:rsidRPr="00EB5AC1" w:rsidRDefault="00EB5AC1" w:rsidP="00EB5AC1">
      <w:pPr>
        <w:spacing w:before="120" w:after="120" w:line="360" w:lineRule="auto"/>
        <w:ind w:left="850" w:hanging="850"/>
        <w:rPr>
          <w:szCs w:val="24"/>
          <w:lang w:eastAsia="en-US"/>
        </w:rPr>
      </w:pPr>
      <w:r w:rsidRPr="00EB5AC1">
        <w:rPr>
          <w:strike/>
          <w:szCs w:val="24"/>
          <w:lang w:eastAsia="en-US"/>
        </w:rPr>
        <w:br w:type="page"/>
      </w:r>
      <w:r w:rsidRPr="00EB5AC1">
        <w:rPr>
          <w:strike/>
          <w:szCs w:val="24"/>
          <w:lang w:eastAsia="en-US"/>
        </w:rPr>
        <w:lastRenderedPageBreak/>
        <w:t>(3)</w:t>
      </w:r>
      <w:r w:rsidRPr="00EB5AC1">
        <w:rPr>
          <w:szCs w:val="24"/>
          <w:lang w:eastAsia="en-US"/>
        </w:rPr>
        <w:tab/>
      </w:r>
      <w:r w:rsidRPr="00EB5AC1">
        <w:rPr>
          <w:strike/>
          <w:szCs w:val="24"/>
          <w:lang w:eastAsia="en-US"/>
        </w:rPr>
        <w:t>Läkemedel, i synnerhet sådana som är resultatet av lång och kostnadskrävande forskning, kommer i fortsättningen inte att utvecklas i   unionen   om de inte omfattas av gynnsamma regler som ger ett tillräckligt rättsskydd som stimulerar sådan forskning.</w:t>
      </w:r>
      <w:r w:rsidRPr="00EB5AC1">
        <w:rPr>
          <w:b/>
          <w:szCs w:val="24"/>
          <w:lang w:eastAsia="en-US"/>
        </w:rPr>
        <w:t>[</w:t>
      </w:r>
      <w:r w:rsidR="001734ED">
        <w:rPr>
          <w:b/>
          <w:szCs w:val="24"/>
          <w:lang w:eastAsia="en-US"/>
        </w:rPr>
        <w:t>Ändr.</w:t>
      </w:r>
      <w:r w:rsidRPr="00EB5AC1">
        <w:rPr>
          <w:b/>
          <w:szCs w:val="24"/>
          <w:lang w:eastAsia="en-US"/>
        </w:rPr>
        <w:t> 2]</w:t>
      </w:r>
    </w:p>
    <w:p w14:paraId="3BB0E82D"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(4)</w:t>
      </w:r>
      <w:r w:rsidRPr="00EB5AC1">
        <w:rPr>
          <w:szCs w:val="24"/>
          <w:lang w:eastAsia="en-US"/>
        </w:rPr>
        <w:tab/>
        <w:t>Den tidsrymd som förflyter mellan det att en patentansökan avseende ett nytt läkemedel görs och det att ett godkännande lämnas att saluföra produkten är så lång att den period då produkten åtnjuter faktiskt patentskydd blir för kort för att avkastningen ska hinna täcka investeringen i forskning.</w:t>
      </w:r>
    </w:p>
    <w:p w14:paraId="0CC7D8B3"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(5)</w:t>
      </w:r>
      <w:r w:rsidRPr="00EB5AC1">
        <w:rPr>
          <w:szCs w:val="24"/>
          <w:lang w:eastAsia="en-US"/>
        </w:rPr>
        <w:tab/>
        <w:t>Denna situation leder till en brist i skyddet som drabbar farmaceutisk forskning och det finns risk för att forskningscentra belägna i medlemsstaterna flyttas till länder som erbjuder bättre skydd.</w:t>
      </w:r>
    </w:p>
    <w:p w14:paraId="69D0F00A"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(6)</w:t>
      </w:r>
      <w:r w:rsidRPr="00EB5AC1">
        <w:rPr>
          <w:szCs w:val="24"/>
          <w:lang w:eastAsia="en-US"/>
        </w:rPr>
        <w:tab/>
        <w:t>En enhetlig lösning bör därför föreskrivas på unionsnivå för att förebygga en sådan olikartad utveckling av nationella lagar som skulle leda till ytterligare skillnader vilka kunde förväntas bli till hinder för den fria rörligheten för läkemedel inom unionen och därmed direkt påverka funktionsdugligheten hos den inre marknaden.</w:t>
      </w:r>
    </w:p>
    <w:p w14:paraId="0F95A580"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(7)</w:t>
      </w:r>
      <w:r w:rsidRPr="00EB5AC1">
        <w:rPr>
          <w:szCs w:val="24"/>
          <w:lang w:eastAsia="en-US"/>
        </w:rPr>
        <w:tab/>
        <w:t>Det måste därför finnas ett tilläggsskydd som på samma villkor beviljas av var och en av medlemsstaterna på begäran av innehavaren av ett nationellt patent eller ett europeiskt patent , med eller utan enhetlig verkan, avseende ett läkemedel som har godkänts för saluföring. Tilläggsskyddet bör ge innehavaren en tillräcklig ytterligare period av faktiskt skydd efter det att grundpatentet har upphört att gälla. En ansökan om ett sådant tilläggsskydd bör lämnas in till den behöriga patentmyndigheten (behörig nationell myndighet) i den berörda medlemsstaten.</w:t>
      </w:r>
    </w:p>
    <w:p w14:paraId="7AFAC842" w14:textId="01C60DB1" w:rsidR="00EB5AC1" w:rsidRPr="00EB5AC1" w:rsidRDefault="00EB5AC1" w:rsidP="00EB5AC1">
      <w:pPr>
        <w:spacing w:before="120" w:after="120" w:line="360" w:lineRule="auto"/>
        <w:ind w:left="850" w:hanging="850"/>
        <w:rPr>
          <w:b/>
          <w:szCs w:val="24"/>
          <w:lang w:eastAsia="en-US"/>
        </w:rPr>
      </w:pPr>
      <w:r w:rsidRPr="00EB5AC1">
        <w:rPr>
          <w:szCs w:val="24"/>
          <w:lang w:eastAsia="en-US"/>
        </w:rPr>
        <w:t>(8)</w:t>
      </w:r>
      <w:r w:rsidRPr="00EB5AC1">
        <w:rPr>
          <w:szCs w:val="24"/>
          <w:lang w:eastAsia="en-US"/>
        </w:rPr>
        <w:tab/>
        <w:t xml:space="preserve">Ett av villkoren för beviljande av tilläggsskydd bör vara att produkten skyddas av grundpatentet, i den </w:t>
      </w:r>
      <w:proofErr w:type="gramStart"/>
      <w:r w:rsidRPr="00EB5AC1">
        <w:rPr>
          <w:szCs w:val="24"/>
          <w:lang w:eastAsia="en-US"/>
        </w:rPr>
        <w:t>mening</w:t>
      </w:r>
      <w:proofErr w:type="gramEnd"/>
      <w:r w:rsidRPr="00EB5AC1">
        <w:rPr>
          <w:szCs w:val="24"/>
          <w:lang w:eastAsia="en-US"/>
        </w:rPr>
        <w:t xml:space="preserve"> att produkten bör omfattas av ett eller flera patentkrav i det patentet, utifrån </w:t>
      </w:r>
      <w:r w:rsidRPr="00EB5AC1">
        <w:rPr>
          <w:strike/>
          <w:szCs w:val="24"/>
          <w:lang w:eastAsia="en-US"/>
        </w:rPr>
        <w:t>den fackkunniga personens</w:t>
      </w:r>
      <w:r w:rsidRPr="00EB5AC1">
        <w:rPr>
          <w:b/>
          <w:i/>
          <w:szCs w:val="24"/>
          <w:lang w:eastAsia="en-US"/>
        </w:rPr>
        <w:t xml:space="preserve">en </w:t>
      </w:r>
      <w:r w:rsidR="00D22EA2">
        <w:rPr>
          <w:b/>
          <w:i/>
          <w:szCs w:val="24"/>
          <w:lang w:eastAsia="en-US"/>
        </w:rPr>
        <w:t>sak</w:t>
      </w:r>
      <w:r w:rsidRPr="00EB5AC1">
        <w:rPr>
          <w:b/>
          <w:i/>
          <w:szCs w:val="24"/>
          <w:lang w:eastAsia="en-US"/>
        </w:rPr>
        <w:t>kunnig persons</w:t>
      </w:r>
      <w:r w:rsidRPr="00EB5AC1">
        <w:rPr>
          <w:szCs w:val="24"/>
          <w:lang w:eastAsia="en-US"/>
        </w:rPr>
        <w:t xml:space="preserve"> tolkning</w:t>
      </w:r>
      <w:r w:rsidRPr="00EB5AC1">
        <w:rPr>
          <w:b/>
          <w:i/>
          <w:szCs w:val="24"/>
          <w:lang w:eastAsia="en-US"/>
        </w:rPr>
        <w:t xml:space="preserve"> i ljuset</w:t>
      </w:r>
      <w:r w:rsidRPr="00EB5AC1">
        <w:rPr>
          <w:szCs w:val="24"/>
          <w:lang w:eastAsia="en-US"/>
        </w:rPr>
        <w:t xml:space="preserve"> av patentets beskrivning </w:t>
      </w:r>
      <w:r w:rsidRPr="00EB5AC1">
        <w:rPr>
          <w:b/>
          <w:i/>
          <w:szCs w:val="24"/>
          <w:lang w:eastAsia="en-US"/>
        </w:rPr>
        <w:t xml:space="preserve">och ritningar, på grundval av den personens allmänna kunskaper på det relevanta området och tidigare känd teknik </w:t>
      </w:r>
      <w:r w:rsidRPr="00EB5AC1">
        <w:rPr>
          <w:szCs w:val="24"/>
          <w:lang w:eastAsia="en-US"/>
        </w:rPr>
        <w:t>på ansökningsdagen</w:t>
      </w:r>
      <w:r w:rsidRPr="00EB5AC1">
        <w:rPr>
          <w:b/>
          <w:i/>
          <w:szCs w:val="24"/>
          <w:lang w:eastAsia="en-US"/>
        </w:rPr>
        <w:t xml:space="preserve"> eller prioritetsdagen för grundpatentet</w:t>
      </w:r>
      <w:r w:rsidRPr="00EB5AC1">
        <w:rPr>
          <w:szCs w:val="24"/>
          <w:lang w:eastAsia="en-US"/>
        </w:rPr>
        <w:t>. Detta bör inte nödvändigtvis innebära att produktens aktiva ingrediens uttryckligen måste anges i kraven</w:t>
      </w:r>
      <w:r w:rsidRPr="00EB5AC1">
        <w:rPr>
          <w:strike/>
          <w:szCs w:val="24"/>
          <w:lang w:eastAsia="en-US"/>
        </w:rPr>
        <w:t>.</w:t>
      </w:r>
      <w:r w:rsidRPr="00EB5AC1">
        <w:rPr>
          <w:b/>
          <w:i/>
          <w:szCs w:val="24"/>
          <w:lang w:eastAsia="en-US"/>
        </w:rPr>
        <w:t xml:space="preserve"> eller,</w:t>
      </w:r>
      <w:r w:rsidRPr="00EB5AC1">
        <w:rPr>
          <w:szCs w:val="24"/>
          <w:lang w:eastAsia="en-US"/>
        </w:rPr>
        <w:t xml:space="preserve"> om det gäller en kombinationsprodukt</w:t>
      </w:r>
      <w:r w:rsidRPr="00EB5AC1">
        <w:rPr>
          <w:strike/>
          <w:szCs w:val="24"/>
          <w:lang w:eastAsia="en-US"/>
        </w:rPr>
        <w:t xml:space="preserve"> måste inte nödvändigtvis</w:t>
      </w:r>
      <w:r w:rsidRPr="00EB5AC1">
        <w:rPr>
          <w:b/>
          <w:i/>
          <w:szCs w:val="24"/>
          <w:lang w:eastAsia="en-US"/>
        </w:rPr>
        <w:t>, att</w:t>
      </w:r>
      <w:r w:rsidRPr="00EB5AC1">
        <w:rPr>
          <w:szCs w:val="24"/>
          <w:lang w:eastAsia="en-US"/>
        </w:rPr>
        <w:t xml:space="preserve"> var och en av kombinationsproduktens aktiva ingredienser uttryckligen </w:t>
      </w:r>
      <w:r w:rsidR="00D22EA2">
        <w:rPr>
          <w:szCs w:val="24"/>
          <w:lang w:eastAsia="en-US"/>
        </w:rPr>
        <w:t xml:space="preserve">måste </w:t>
      </w:r>
      <w:r w:rsidRPr="00EB5AC1">
        <w:rPr>
          <w:szCs w:val="24"/>
          <w:lang w:eastAsia="en-US"/>
        </w:rPr>
        <w:t xml:space="preserve">anges i kraven, förutsatt att </w:t>
      </w:r>
      <w:r w:rsidRPr="00EB5AC1">
        <w:rPr>
          <w:strike/>
          <w:szCs w:val="24"/>
          <w:lang w:eastAsia="en-US"/>
        </w:rPr>
        <w:t>var och en av dem</w:t>
      </w:r>
      <w:r w:rsidRPr="00EB5AC1">
        <w:rPr>
          <w:b/>
          <w:i/>
          <w:szCs w:val="24"/>
          <w:lang w:eastAsia="en-US"/>
        </w:rPr>
        <w:t>varje aktiv ingrediens</w:t>
      </w:r>
      <w:r w:rsidRPr="00EB5AC1">
        <w:rPr>
          <w:szCs w:val="24"/>
          <w:lang w:eastAsia="en-US"/>
        </w:rPr>
        <w:t xml:space="preserve"> är specifikt identifierbar mot bakgrund av all information som lämnats i patentet</w:t>
      </w:r>
      <w:r w:rsidRPr="00EB5AC1">
        <w:rPr>
          <w:b/>
          <w:i/>
          <w:szCs w:val="24"/>
          <w:lang w:eastAsia="en-US"/>
        </w:rPr>
        <w:t>, på grundval av tidigare känd teknik på ansökningsdagen eller prioritetsdagen för grundpatentet</w:t>
      </w:r>
      <w:r w:rsidRPr="00EB5AC1">
        <w:rPr>
          <w:szCs w:val="24"/>
          <w:lang w:eastAsia="en-US"/>
        </w:rPr>
        <w:t>.</w:t>
      </w:r>
      <w:r w:rsidRPr="00EB5AC1">
        <w:rPr>
          <w:b/>
          <w:szCs w:val="24"/>
          <w:lang w:eastAsia="en-US"/>
        </w:rPr>
        <w:t xml:space="preserve"> [</w:t>
      </w:r>
      <w:r w:rsidR="001734ED">
        <w:rPr>
          <w:b/>
          <w:szCs w:val="24"/>
          <w:lang w:eastAsia="en-US"/>
        </w:rPr>
        <w:t>Ändr.</w:t>
      </w:r>
      <w:r w:rsidRPr="00EB5AC1">
        <w:rPr>
          <w:b/>
          <w:szCs w:val="24"/>
          <w:lang w:eastAsia="en-US"/>
        </w:rPr>
        <w:t> 3]</w:t>
      </w:r>
    </w:p>
    <w:p w14:paraId="01E184FD" w14:textId="2607F660" w:rsidR="00EB5AC1" w:rsidRPr="00EB5AC1" w:rsidRDefault="00EB5AC1" w:rsidP="00EB5AC1">
      <w:pPr>
        <w:spacing w:before="120" w:after="120" w:line="360" w:lineRule="auto"/>
        <w:ind w:left="850" w:hanging="850"/>
        <w:rPr>
          <w:b/>
          <w:szCs w:val="24"/>
          <w:lang w:eastAsia="en-US"/>
        </w:rPr>
      </w:pPr>
      <w:r w:rsidRPr="00EB5AC1">
        <w:rPr>
          <w:szCs w:val="24"/>
          <w:lang w:eastAsia="en-US"/>
        </w:rPr>
        <w:br w:type="page"/>
      </w:r>
      <w:r w:rsidRPr="00EB5AC1">
        <w:rPr>
          <w:szCs w:val="24"/>
          <w:lang w:eastAsia="en-US"/>
        </w:rPr>
        <w:lastRenderedPageBreak/>
        <w:t>(9)</w:t>
      </w:r>
      <w:r w:rsidRPr="00EB5AC1">
        <w:rPr>
          <w:szCs w:val="24"/>
          <w:lang w:eastAsia="en-US"/>
        </w:rPr>
        <w:tab/>
        <w:t xml:space="preserve">För att undvika överdrivet skydd bör det föreskrivas att endast ett tilläggsskydd, oavsett om det är nationellt eller enhetligt, får skydda samma produkt i en medlemsstat. Det bör därför krävas att produkten, eller något </w:t>
      </w:r>
      <w:r w:rsidRPr="00EB5AC1">
        <w:rPr>
          <w:strike/>
          <w:szCs w:val="24"/>
          <w:lang w:eastAsia="en-US"/>
        </w:rPr>
        <w:t xml:space="preserve">terapeutiskt likvärdigt </w:t>
      </w:r>
      <w:r w:rsidRPr="00EB5AC1">
        <w:rPr>
          <w:szCs w:val="24"/>
          <w:lang w:eastAsia="en-US"/>
        </w:rPr>
        <w:t xml:space="preserve">derivat såsom salter, estrar, etrar, isomerer, isomerblandningar, komplex eller biosimilarer, inte redan har varit föremål för ett tidigare tilläggsskydd, vare sig </w:t>
      </w:r>
      <w:r w:rsidRPr="00EB5AC1">
        <w:rPr>
          <w:strike/>
          <w:szCs w:val="24"/>
          <w:lang w:eastAsia="en-US"/>
        </w:rPr>
        <w:t xml:space="preserve">ensamt eller i kombination med en eller flera ytterligare aktiva ingredienser, </w:t>
      </w:r>
      <w:r w:rsidRPr="00EB5AC1">
        <w:rPr>
          <w:szCs w:val="24"/>
          <w:lang w:eastAsia="en-US"/>
        </w:rPr>
        <w:t>för samma terapeutiska indikation eller för en annan terapeutisk indikation.</w:t>
      </w:r>
      <w:r w:rsidRPr="00EB5AC1">
        <w:rPr>
          <w:b/>
          <w:szCs w:val="24"/>
          <w:lang w:eastAsia="en-US"/>
        </w:rPr>
        <w:t xml:space="preserve"> [</w:t>
      </w:r>
      <w:r w:rsidR="001734ED">
        <w:rPr>
          <w:b/>
          <w:szCs w:val="24"/>
          <w:lang w:eastAsia="en-US"/>
        </w:rPr>
        <w:t>Ändr.</w:t>
      </w:r>
      <w:r w:rsidRPr="00EB5AC1">
        <w:rPr>
          <w:b/>
          <w:szCs w:val="24"/>
          <w:lang w:eastAsia="en-US"/>
        </w:rPr>
        <w:t> 4]</w:t>
      </w:r>
    </w:p>
    <w:p w14:paraId="43B79EE0"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(10)</w:t>
      </w:r>
      <w:r w:rsidRPr="00EB5AC1">
        <w:rPr>
          <w:szCs w:val="24"/>
          <w:lang w:eastAsia="en-US"/>
        </w:rPr>
        <w:tab/>
        <w:t>Inom ramen för det skydd som grundpatentet ger, bör ett tilläggsskydd ge ett skydd som endast omfattar den produkt, närmare bestämt den aktiva ingrediensen eller kombinationer av aktiva ingredienser, som omfattas av godkännandet att saluföra produkten och någon användning av produkten som läkemedel vilken godkänts före utgången av tilläggsskyddets giltighetstid.</w:t>
      </w:r>
    </w:p>
    <w:p w14:paraId="7656BD5B"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(11)</w:t>
      </w:r>
      <w:r w:rsidRPr="00EB5AC1">
        <w:rPr>
          <w:szCs w:val="24"/>
          <w:lang w:eastAsia="en-US"/>
        </w:rPr>
        <w:tab/>
        <w:t>För att säkerställa ett balanserat skydd bör ett tilläggsskydd dock ge innehavaren rätt att hindra en tredje part från att tillverka inte bara den produkt som anges i tilläggsskyddet utan även terapeutiskt likvärdiga derivat av den produkten, såsom salter, estrar, etrar, isomerer, isomerblandningar, komplex, samt biosimilarer, även om sådana derivat inte uttryckligen nämns i tilläggsskyddets produktbeskrivning. Därför bör det skydd som tilläggsskyddet ger även anses omfatta sådana likvärdiga derivat inom gränserna för det skydd som grundpatentet ger.</w:t>
      </w:r>
    </w:p>
    <w:p w14:paraId="78AB55EC"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(12)</w:t>
      </w:r>
      <w:r w:rsidRPr="00EB5AC1">
        <w:rPr>
          <w:szCs w:val="24"/>
          <w:lang w:eastAsia="en-US"/>
        </w:rPr>
        <w:tab/>
        <w:t>Som en ytterligare åtgärd för att säkerställa att endast ett tilläggsskydd kan skydda samma produkt i en medlemsstat bör innehavaren av mer än ett patent för samma produkt inte beviljas fler än ett tilläggsskydd för den produkten. Om två patent som skyddar en produkt innehas av två innehavare bör emellertid ett tilläggsskydd för den produkten kunna beviljas var och en av dessa innehavare om de kan visa att de inte har någon ekonomisk anknytning. Dessutom bör inget tilläggsskydd beviljas innehavaren av ett grundpatent för en produkt som är föremål för ett godkännande som innehas av tredje part utan den tredje partens samtycke.</w:t>
      </w:r>
    </w:p>
    <w:p w14:paraId="600C4754" w14:textId="1A8387C3" w:rsidR="00EB5AC1" w:rsidRPr="00EB5AC1" w:rsidRDefault="00EB5AC1" w:rsidP="00EB5AC1">
      <w:pPr>
        <w:spacing w:before="120" w:after="120" w:line="360" w:lineRule="auto"/>
        <w:ind w:left="850" w:hanging="850"/>
        <w:rPr>
          <w:b/>
          <w:szCs w:val="24"/>
          <w:lang w:eastAsia="en-US"/>
        </w:rPr>
      </w:pPr>
      <w:r w:rsidRPr="00EB5AC1">
        <w:rPr>
          <w:szCs w:val="24"/>
          <w:lang w:eastAsia="en-US"/>
        </w:rPr>
        <w:br w:type="page"/>
      </w:r>
      <w:r w:rsidRPr="00EB5AC1">
        <w:rPr>
          <w:szCs w:val="24"/>
          <w:lang w:eastAsia="en-US"/>
        </w:rPr>
        <w:lastRenderedPageBreak/>
        <w:t>(13)</w:t>
      </w:r>
      <w:r w:rsidRPr="00EB5AC1">
        <w:rPr>
          <w:szCs w:val="24"/>
          <w:lang w:eastAsia="en-US"/>
        </w:rPr>
        <w:tab/>
        <w:t xml:space="preserve">Om det godkännande för saluföring som lämnats in till stöd för ansökan om tilläggsskydd för ett biologiskt läkemedel anger produkten med hjälp av dess INN (internationell generisk benämning), bör det skydd som tilläggsskyddet ger omfatta alla </w:t>
      </w:r>
      <w:r w:rsidRPr="00EB5AC1">
        <w:rPr>
          <w:strike/>
          <w:szCs w:val="24"/>
          <w:lang w:eastAsia="en-US"/>
        </w:rPr>
        <w:t>terapeutiskt likvärdiga produkter</w:t>
      </w:r>
      <w:r w:rsidRPr="00EB5AC1">
        <w:rPr>
          <w:b/>
          <w:i/>
          <w:szCs w:val="24"/>
          <w:lang w:eastAsia="en-US"/>
        </w:rPr>
        <w:t>biosimilarer</w:t>
      </w:r>
      <w:r w:rsidRPr="00EB5AC1">
        <w:rPr>
          <w:szCs w:val="24"/>
          <w:lang w:eastAsia="en-US"/>
        </w:rPr>
        <w:t xml:space="preserve"> med samma INN som den produkt som avses i godkännandet för saluföring, oberoende av eventuella mindre skillnader mellan en efterföljande biosimilar och den godkända produkten, som vanligtvis är oundvikliga med tanke på biologiska produkters egenskaper.</w:t>
      </w:r>
      <w:r w:rsidRPr="00EB5AC1">
        <w:rPr>
          <w:b/>
          <w:szCs w:val="24"/>
          <w:lang w:eastAsia="en-US"/>
        </w:rPr>
        <w:t xml:space="preserve"> [</w:t>
      </w:r>
      <w:r w:rsidR="001734ED">
        <w:rPr>
          <w:b/>
          <w:szCs w:val="24"/>
          <w:lang w:eastAsia="en-US"/>
        </w:rPr>
        <w:t>Ändr.</w:t>
      </w:r>
      <w:r w:rsidRPr="00EB5AC1">
        <w:rPr>
          <w:b/>
          <w:szCs w:val="24"/>
          <w:lang w:eastAsia="en-US"/>
        </w:rPr>
        <w:t> 5]</w:t>
      </w:r>
    </w:p>
    <w:p w14:paraId="52194073"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(14)</w:t>
      </w:r>
      <w:r w:rsidRPr="00EB5AC1">
        <w:rPr>
          <w:szCs w:val="24"/>
          <w:lang w:eastAsia="en-US"/>
        </w:rPr>
        <w:tab/>
        <w:t>För att säkerställa största möjliga flexibilitet och inte otillbörligt diskriminera mellan innehavare av olika typer av patent bör det inte finnas någon begränsning av den typ av patent för vilken ett nationellt tilläggsskydd kan sökas hos en behörig nationell myndighet. Detta bör därför även fortsättningsvis vara möjligt på grundval av ett nationellt patent eller ett europeiskt patent, och i synnerhet bör detta även vara möjligt med avseende på ett europeiskt patent med enhetlig verkan (enhetligt patent).</w:t>
      </w:r>
    </w:p>
    <w:p w14:paraId="2DCA5AF0"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(15)</w:t>
      </w:r>
      <w:r w:rsidRPr="00EB5AC1">
        <w:rPr>
          <w:szCs w:val="24"/>
          <w:lang w:eastAsia="en-US"/>
        </w:rPr>
        <w:tab/>
        <w:t>Tilläggsskyddets giltighetstid bör vara tillräcklig för att ge erforderligt effektivt skydd. För den skull bör den som innehar både patent och tilläggsskydd för ett läkemedel åtnjuta ensamrätt intill sammanlagt femton år från den dag läkemedlet först godkändes för saluförande i unionen .</w:t>
      </w:r>
    </w:p>
    <w:p w14:paraId="470F76E3"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(16)</w:t>
      </w:r>
      <w:r w:rsidRPr="00EB5AC1">
        <w:rPr>
          <w:szCs w:val="24"/>
          <w:lang w:eastAsia="en-US"/>
        </w:rPr>
        <w:tab/>
        <w:t>Alla berörda intressen, däribland folkhälsan, inom ett så komplext och känsligt område som det farmaceutiska, bör dock beaktas. Tilläggsskydd bör därför inte kunna beviljas för längre tid än fem år. Skyddet bör dessutom begränsas till att avse just den produkt som godkänts att saluföras som läkemedel på unionsmarknaden . Ett snabbt inträde på unionsmarknaden för generiska läkemedel och biosimilarer är också viktigt, särskilt för att öka konkurrensen, sänka priserna och säkerställa att de nationella hälso- och sjukvårdssystemen är hållbara och att patienter i unionen har bättre tillgång till läkemedel till ett överkomligt pris.</w:t>
      </w:r>
    </w:p>
    <w:p w14:paraId="3750CA2B"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(17)</w:t>
      </w:r>
      <w:r w:rsidRPr="00EB5AC1">
        <w:rPr>
          <w:szCs w:val="24"/>
          <w:lang w:eastAsia="en-US"/>
        </w:rPr>
        <w:tab/>
        <w:t>För att främja utvecklingen av pediatriska läkemedel bör det gå att förlänga den maximala perioden för ensamrätt på 15 år och tilläggsskyddets maximala giltighetstid på 5 år om den förlängning för pediatrisk användning som föreskrivs i artikel 36 i Europaparlamentets och rådets förordning (EG) nr 1901/2006</w:t>
      </w:r>
      <w:r w:rsidRPr="00EB5AC1">
        <w:rPr>
          <w:szCs w:val="24"/>
          <w:vertAlign w:val="superscript"/>
          <w:lang w:val="en-GB" w:eastAsia="en-US"/>
        </w:rPr>
        <w:footnoteReference w:id="7"/>
      </w:r>
      <w:r w:rsidRPr="00EB5AC1">
        <w:rPr>
          <w:szCs w:val="24"/>
          <w:lang w:eastAsia="en-US"/>
        </w:rPr>
        <w:t xml:space="preserve"> är tillämplig.</w:t>
      </w:r>
    </w:p>
    <w:p w14:paraId="31689615"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(18)</w:t>
      </w:r>
      <w:r w:rsidRPr="00EB5AC1">
        <w:rPr>
          <w:szCs w:val="24"/>
          <w:lang w:eastAsia="en-US"/>
        </w:rPr>
        <w:tab/>
        <w:t>Sedan tilläggsskyddet infördes har tilläggsskydd endast sökts och beviljats på nationell nivå, vilket innebär att flera liknande ansökningar har behövts lämnas in och granskas parallellt i ett antal medlemsstater. Detta har lett till dubbelarbete för både sökande och behöriga patentmyndigheter (behöriga nationella myndigheter), som genomfört separata granskningsförfaranden för en viss produkt, samt till enstaka skillnader i de beslut som fattas av de behöriga nationella myndigheterna i olika medlemsstater. Sådana skillnader rör vanligtvis villkoren för beviljande av eller avslag på ansökan om tilläggsskydd och inbegriper beviljande av tilläggsskydd i en medlemsstat men avslag i en annan medlemsstat avseende samma produkt eller skillnader i tillämpningen av de villkor som gäller för förhandstillstånd för saluföring eller huruvida produkten redan har varit föremål för ett tilläggsskydd. Detta leder till rättsosäkerhet och är oförenligt med den inre marknadens syfte.</w:t>
      </w:r>
    </w:p>
    <w:p w14:paraId="145281E4"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(19)</w:t>
      </w:r>
      <w:r w:rsidRPr="00EB5AC1">
        <w:rPr>
          <w:szCs w:val="24"/>
          <w:lang w:eastAsia="en-US"/>
        </w:rPr>
        <w:tab/>
        <w:t>Det finns ett centraliserat förfarande för beviljande av europeiska patent och ett centraliserat förfarande för att få godkännanden för saluföring av läkemedel. Dessutom kommer det enhetliga patent som fastställs i Europaparlamentets och rådets förordning (EU) nr 1257/2012</w:t>
      </w:r>
      <w:r w:rsidRPr="00EB5AC1">
        <w:rPr>
          <w:szCs w:val="24"/>
          <w:vertAlign w:val="superscript"/>
          <w:lang w:val="en-GB" w:eastAsia="en-US"/>
        </w:rPr>
        <w:footnoteReference w:id="8"/>
      </w:r>
      <w:r w:rsidRPr="00EB5AC1">
        <w:rPr>
          <w:szCs w:val="24"/>
          <w:lang w:eastAsia="en-US"/>
        </w:rPr>
        <w:t xml:space="preserve"> att träda i kraft i juni 2023 med avseende på de medlemsstater som har ratificerat avtalet om en enhetlig patentdomstol.</w:t>
      </w:r>
    </w:p>
    <w:p w14:paraId="3C4DCEA3"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(20)</w:t>
      </w:r>
      <w:r w:rsidRPr="00EB5AC1">
        <w:rPr>
          <w:szCs w:val="24"/>
          <w:lang w:eastAsia="en-US"/>
        </w:rPr>
        <w:tab/>
        <w:t>Det är därför nödvändigt att komplettera de befintliga nationella förfarandena för beviljande av tilläggsskydd för läkemedel med ett centraliserat förfarande. Med det centraliserade förfarandet bör det vara möjligt att begära, när grundpatentet är ett europeiskt patent, inbegripet ett enhetligt patent, att nationella tilläggsskydd beviljas för två eller flera angivna medlemsstater genom inlämning och granskning av en enda centraliserad ansökan. När tilläggsskydd har beviljats enligt det centraliserade förfarandet bör tilläggsskydden vara likvärdiga med de tilläggsskydd som beviljats enligt nationella förfaranden och omfattas av samma regler.</w:t>
      </w:r>
    </w:p>
    <w:p w14:paraId="0FFD0FA5"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(21)</w:t>
      </w:r>
      <w:r w:rsidRPr="00EB5AC1">
        <w:rPr>
          <w:szCs w:val="24"/>
          <w:lang w:eastAsia="en-US"/>
        </w:rPr>
        <w:tab/>
        <w:t>Genom artikel 2 i Europaparlamentets och rådets förordning (EU) 2017/1001</w:t>
      </w:r>
      <w:r w:rsidRPr="00EB5AC1">
        <w:rPr>
          <w:szCs w:val="24"/>
          <w:vertAlign w:val="superscript"/>
          <w:lang w:val="en-GB" w:eastAsia="en-US"/>
        </w:rPr>
        <w:footnoteReference w:id="9"/>
      </w:r>
      <w:r w:rsidRPr="00EB5AC1">
        <w:rPr>
          <w:szCs w:val="24"/>
          <w:lang w:eastAsia="en-US"/>
        </w:rPr>
        <w:t xml:space="preserve"> inrättades Europeiska unionens immaterialrättsmyndighet (immaterialrättsmyndigheten). I den inre marknadens intresse bör det centraliserade förfarandet genomföras av en enda granskningsmyndighet. Detta kan uppnås genom att immaterialrättsmyndigheten ges i uppdrag att granska ansökningar om tilläggsskydd enligt det centraliserade förfarandet i enlighet med den här förordningen.</w:t>
      </w:r>
    </w:p>
    <w:p w14:paraId="7A4DEAE7"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(22)</w:t>
      </w:r>
      <w:r w:rsidRPr="00EB5AC1">
        <w:rPr>
          <w:szCs w:val="24"/>
          <w:lang w:eastAsia="en-US"/>
        </w:rPr>
        <w:tab/>
        <w:t>För att förenkla granskningen av en centraliserad ansökan bör den endast kunna lämnas in för ett europeiskt patent, inbegripet ett enhetligt patent. Den centraliserade ansökan bör inte vara tillgänglig för en uppsättning oberoende nationella patent eftersom de tillhörande patentkraven sannolikt skiljer sig åt, vilket gör granskningen mer komplicerad jämfört med om grundpatentet är ett europeiskt patent.</w:t>
      </w:r>
    </w:p>
    <w:p w14:paraId="1A39A871" w14:textId="42FC07E0"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(23)</w:t>
      </w:r>
      <w:r w:rsidRPr="00EB5AC1">
        <w:rPr>
          <w:szCs w:val="24"/>
          <w:lang w:eastAsia="en-US"/>
        </w:rPr>
        <w:tab/>
        <w:t>Det centraliserade förfarandet bör endast tillämpas på ett läkemedel som grundar sig på ett centraliserat godkännande för försäljning i enlighet med Europaparlamentets och rådets förordning (EG) nr 726/2004</w:t>
      </w:r>
      <w:r w:rsidRPr="00EB5AC1">
        <w:rPr>
          <w:szCs w:val="24"/>
          <w:vertAlign w:val="superscript"/>
          <w:lang w:val="en-GB" w:eastAsia="en-US"/>
        </w:rPr>
        <w:footnoteReference w:id="10"/>
      </w:r>
      <w:r w:rsidRPr="00EB5AC1">
        <w:rPr>
          <w:szCs w:val="24"/>
          <w:lang w:eastAsia="en-US"/>
        </w:rPr>
        <w:t xml:space="preserve"> eller Europaparlamentets och rådets förordning (EU) 2019/6</w:t>
      </w:r>
      <w:r w:rsidRPr="00EB5AC1">
        <w:rPr>
          <w:szCs w:val="24"/>
          <w:vertAlign w:val="superscript"/>
          <w:lang w:val="en-GB" w:eastAsia="en-US"/>
        </w:rPr>
        <w:footnoteReference w:id="11"/>
      </w:r>
      <w:r w:rsidRPr="00EB5AC1">
        <w:rPr>
          <w:szCs w:val="24"/>
          <w:lang w:eastAsia="en-US"/>
        </w:rPr>
        <w:t xml:space="preserve">. Dessa godkännanden avser humanläkemedel respektive veterinärmedicinska läkemedel. Ett sådant godkännande avser, till skillnad från nationella godkännanden, samma läkemedel i hela unionen och underlättar granskningen av </w:t>
      </w:r>
      <w:r w:rsidR="00FD106D">
        <w:rPr>
          <w:szCs w:val="24"/>
          <w:lang w:eastAsia="en-US"/>
        </w:rPr>
        <w:t>centraliserade ansökningar</w:t>
      </w:r>
      <w:r w:rsidRPr="00EB5AC1">
        <w:rPr>
          <w:szCs w:val="24"/>
          <w:lang w:eastAsia="en-US"/>
        </w:rPr>
        <w:t>.</w:t>
      </w:r>
    </w:p>
    <w:p w14:paraId="30FFA8BB" w14:textId="59C6F384" w:rsidR="00EB5AC1" w:rsidRPr="00EB5AC1" w:rsidRDefault="00EB5AC1" w:rsidP="00EB5AC1">
      <w:pPr>
        <w:spacing w:before="120" w:after="120" w:line="360" w:lineRule="auto"/>
        <w:ind w:left="850" w:hanging="850"/>
        <w:rPr>
          <w:b/>
          <w:szCs w:val="24"/>
          <w:lang w:eastAsia="en-US"/>
        </w:rPr>
      </w:pPr>
      <w:r w:rsidRPr="00EB5AC1">
        <w:rPr>
          <w:szCs w:val="24"/>
          <w:lang w:eastAsia="en-US"/>
        </w:rPr>
        <w:t>(24)</w:t>
      </w:r>
      <w:r w:rsidRPr="00EB5AC1">
        <w:rPr>
          <w:szCs w:val="24"/>
          <w:lang w:eastAsia="en-US"/>
        </w:rPr>
        <w:tab/>
        <w:t xml:space="preserve">Immaterialrättsmyndigheten bör kunna ta ut en avgift för den centraliserade ansökan om tilläggsskydd och för en ansökan om förlängning av giltighetstiden för tilläggsskydd när det gäller pediatriska läkemedel, </w:t>
      </w:r>
      <w:r w:rsidRPr="00EB5AC1">
        <w:rPr>
          <w:b/>
          <w:i/>
          <w:szCs w:val="24"/>
          <w:lang w:eastAsia="en-US"/>
        </w:rPr>
        <w:t xml:space="preserve">i enlighet med artikel 86 i direktiv (EU) .../... [2023/0132(COD)], </w:t>
      </w:r>
      <w:r w:rsidRPr="00EB5AC1">
        <w:rPr>
          <w:szCs w:val="24"/>
          <w:lang w:eastAsia="en-US"/>
        </w:rPr>
        <w:t>samt andra förfarandeavgifter såsom en avgift för invändning eller överklagande. De avgifter som tas ut av immaterialrättsmyndigheten bör fastställas genom en genomförandeakt.</w:t>
      </w:r>
      <w:r w:rsidRPr="00EB5AC1">
        <w:rPr>
          <w:b/>
          <w:szCs w:val="24"/>
          <w:lang w:eastAsia="en-US"/>
        </w:rPr>
        <w:t xml:space="preserve"> [</w:t>
      </w:r>
      <w:r w:rsidR="001734ED">
        <w:rPr>
          <w:b/>
          <w:szCs w:val="24"/>
          <w:lang w:eastAsia="en-US"/>
        </w:rPr>
        <w:t>Ändr.</w:t>
      </w:r>
      <w:r w:rsidRPr="00EB5AC1">
        <w:rPr>
          <w:b/>
          <w:szCs w:val="24"/>
          <w:lang w:eastAsia="en-US"/>
        </w:rPr>
        <w:t> 6]</w:t>
      </w:r>
    </w:p>
    <w:p w14:paraId="5AF8D1D1"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(25)</w:t>
      </w:r>
      <w:r w:rsidRPr="00EB5AC1">
        <w:rPr>
          <w:szCs w:val="24"/>
          <w:lang w:eastAsia="en-US"/>
        </w:rPr>
        <w:tab/>
        <w:t>För att säkerställa enhetlighet mellan de tilläggsskydd som beviljats på grundval av samma grundpatent och för samma produkt i medlemsstaterna, för att minska den övergripande arbetsbördan för granskning och för att säkerställa en lämplig tillämpning av villkoren för beviljande i alla medlemsstater där skydd söks för en viss produkt, är det nödvändigt att det centraliserade förfarandet är det enda alternativet för de medlemsstater som uppfyller de relaterade kraven, nämligen att grundpatentet är ett europeiskt patent, inbegripet ett enhetligt patent, och att godkännandet för saluföring är centraliserat. Av denna anledning bör en nationell ansökan om ett tilläggsskydd som lämnats in till en behörig nationell myndighet avslås av den nationella myndigheten om kraven för att använda det centraliserade förfarandet är uppfyllda. Denna åtgärd är skälig med tanke på risken för avvikelser och gäller inte de situationer där kraven inte är tillämpliga, i vilket fall nationella ansökningar fortfarande får lämnas in.</w:t>
      </w:r>
    </w:p>
    <w:p w14:paraId="16962E7F"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(26)</w:t>
      </w:r>
      <w:r w:rsidRPr="00EB5AC1">
        <w:rPr>
          <w:szCs w:val="24"/>
          <w:lang w:eastAsia="en-US"/>
        </w:rPr>
        <w:tab/>
        <w:t>En sökande bör också kunna lämna in en kombinerad ansökan som även innehåller en ansökan om ett enhetligt tilläggsskydd i enlighet med förordning [COM(2023) 222]. En sådan kombinerad ansökan bör genomgå ett enda granskningsförfarande.</w:t>
      </w:r>
    </w:p>
    <w:p w14:paraId="1A828360"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(27)</w:t>
      </w:r>
      <w:r w:rsidRPr="00EB5AC1">
        <w:rPr>
          <w:szCs w:val="24"/>
          <w:lang w:eastAsia="en-US"/>
        </w:rPr>
        <w:tab/>
        <w:t>För att undvika dubbelt skydd bör det inte gå att bevilja tilläggsskydd – vare sig det rör sig om nationella eller enhetliga tilläggsskydd – för samma produkt i samma medlemsstat på grundval av både en nationell ansökan och en centraliserad ansökan.</w:t>
      </w:r>
    </w:p>
    <w:p w14:paraId="1BF6A70F"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(28)</w:t>
      </w:r>
      <w:r w:rsidRPr="00EB5AC1">
        <w:rPr>
          <w:szCs w:val="24"/>
          <w:lang w:eastAsia="en-US"/>
        </w:rPr>
        <w:tab/>
        <w:t>För att garantera ett rättvist och öppet förfarande, säkerställa rättssäkerhet och minska risken för efterföljande giltighetstvister bör tredje parter, efter offentliggörandet av den centraliserade ansökan, ha möjlighet att inom tre månader lämna synpunkter till immaterialrättsmyndigheten medan den centraliserade granskningen pågår. De tredje parter som har rätt att lämna synpunkter bör även omfatta medlemsstaterna. Detta bör dock inte påverka tredje parters rätt att inleda ogiltighetsförfaranden vid den myndighet som enligt nationell lag ansvarar för ogiltighetsförklaring av motsvarande grundpatent. Dessa bestämmelser är nödvändiga för att säkerställa tredje parts deltagande både före och efter beviljandet av tilläggsskydd.</w:t>
      </w:r>
    </w:p>
    <w:p w14:paraId="6073B23B"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(29)</w:t>
      </w:r>
      <w:r w:rsidRPr="00EB5AC1">
        <w:rPr>
          <w:szCs w:val="24"/>
          <w:lang w:eastAsia="en-US"/>
        </w:rPr>
        <w:tab/>
        <w:t>Immaterialrättsmyndigheten bör granska den centraliserade ansökan om tilläggsskydd och avge ett granskningsyttrande. Yttrandet bör ange de skäl som motiverar att det är positivt eller negativt för var och en av de angivna medlemsstaterna.</w:t>
      </w:r>
    </w:p>
    <w:p w14:paraId="51895BB9" w14:textId="4078F24F" w:rsidR="00EB5AC1" w:rsidRPr="00EB5AC1" w:rsidRDefault="00EB5AC1" w:rsidP="00EB5AC1">
      <w:pPr>
        <w:spacing w:before="120" w:after="120" w:line="360" w:lineRule="auto"/>
        <w:ind w:left="850" w:hanging="850"/>
        <w:rPr>
          <w:b/>
          <w:szCs w:val="24"/>
          <w:lang w:eastAsia="en-US"/>
        </w:rPr>
      </w:pPr>
      <w:r w:rsidRPr="00EB5AC1">
        <w:rPr>
          <w:szCs w:val="24"/>
          <w:lang w:eastAsia="en-US"/>
        </w:rPr>
        <w:br w:type="page"/>
      </w:r>
      <w:r w:rsidRPr="00EB5AC1">
        <w:rPr>
          <w:szCs w:val="24"/>
          <w:lang w:eastAsia="en-US"/>
        </w:rPr>
        <w:lastRenderedPageBreak/>
        <w:t>(30)</w:t>
      </w:r>
      <w:r w:rsidRPr="00EB5AC1">
        <w:rPr>
          <w:szCs w:val="24"/>
          <w:lang w:eastAsia="en-US"/>
        </w:rPr>
        <w:tab/>
        <w:t xml:space="preserve">Granskningen av en centraliserad ansökan om tilläggsskydd bör, under immaterialrättsmyndigheten överinseende, utföras av en granskningspanel med en ledamot från immaterialrättsmyndigheten och två granskare som är anställda av de nationella patentmyndigheterna. Detta säkerställer en optimal användning av sakkunskap i </w:t>
      </w:r>
      <w:r w:rsidRPr="00EB5AC1">
        <w:rPr>
          <w:strike/>
          <w:szCs w:val="24"/>
          <w:lang w:eastAsia="en-US"/>
        </w:rPr>
        <w:t xml:space="preserve">frågor som rör </w:t>
      </w:r>
      <w:r w:rsidR="00B74876">
        <w:rPr>
          <w:strike/>
          <w:szCs w:val="24"/>
          <w:lang w:eastAsia="en-US"/>
        </w:rPr>
        <w:t xml:space="preserve">frågor som rör </w:t>
      </w:r>
      <w:r w:rsidRPr="00EB5AC1">
        <w:rPr>
          <w:szCs w:val="24"/>
          <w:lang w:eastAsia="en-US"/>
        </w:rPr>
        <w:t>tilläggsskydd</w:t>
      </w:r>
      <w:r w:rsidRPr="00EB5AC1">
        <w:rPr>
          <w:b/>
          <w:i/>
          <w:szCs w:val="24"/>
          <w:lang w:eastAsia="en-US"/>
        </w:rPr>
        <w:t xml:space="preserve"> och relaterade patentfrågor</w:t>
      </w:r>
      <w:r w:rsidRPr="00EB5AC1">
        <w:rPr>
          <w:szCs w:val="24"/>
          <w:lang w:eastAsia="en-US"/>
        </w:rPr>
        <w:t xml:space="preserve">, som i dag endast finns på nationella myndigheter. För att säkerställa att granskningen håller bästa möjliga kvalitet bör </w:t>
      </w:r>
      <w:r w:rsidRPr="00EB5AC1">
        <w:rPr>
          <w:b/>
          <w:i/>
          <w:szCs w:val="24"/>
          <w:lang w:eastAsia="en-US"/>
        </w:rPr>
        <w:t xml:space="preserve">immaterialrättsmyndigheten och de behöriga nationella myndigheterna se till att de utsedda granskarna har relevant sakkunskap och tillräcklig erfarenhet av att bedöma tilläggsskydd. Ytterligare </w:t>
      </w:r>
      <w:r w:rsidRPr="00EB5AC1">
        <w:rPr>
          <w:szCs w:val="24"/>
          <w:lang w:eastAsia="en-US"/>
        </w:rPr>
        <w:t>lämpliga kriterier</w:t>
      </w:r>
      <w:r w:rsidRPr="00EB5AC1">
        <w:rPr>
          <w:b/>
          <w:i/>
          <w:szCs w:val="24"/>
          <w:lang w:eastAsia="en-US"/>
        </w:rPr>
        <w:t xml:space="preserve"> bör</w:t>
      </w:r>
      <w:r w:rsidRPr="00EB5AC1">
        <w:rPr>
          <w:szCs w:val="24"/>
          <w:lang w:eastAsia="en-US"/>
        </w:rPr>
        <w:t xml:space="preserve"> fastställas för särskilda granskares deltagande i det centraliserade förfarandet, särskilt när det gäller kvalifikationer och intressekonflikter.</w:t>
      </w:r>
      <w:r w:rsidRPr="00EB5AC1">
        <w:rPr>
          <w:b/>
          <w:szCs w:val="24"/>
          <w:lang w:eastAsia="en-US"/>
        </w:rPr>
        <w:t xml:space="preserve"> [</w:t>
      </w:r>
      <w:r w:rsidR="001734ED">
        <w:rPr>
          <w:b/>
          <w:szCs w:val="24"/>
          <w:lang w:eastAsia="en-US"/>
        </w:rPr>
        <w:t>Ändr.</w:t>
      </w:r>
      <w:r w:rsidRPr="00EB5AC1">
        <w:rPr>
          <w:b/>
          <w:szCs w:val="24"/>
          <w:lang w:eastAsia="en-US"/>
        </w:rPr>
        <w:t> 7]</w:t>
      </w:r>
    </w:p>
    <w:p w14:paraId="1D909D54"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(31)</w:t>
      </w:r>
      <w:r w:rsidRPr="00EB5AC1">
        <w:rPr>
          <w:szCs w:val="24"/>
          <w:lang w:eastAsia="en-US"/>
        </w:rPr>
        <w:tab/>
        <w:t>Om immaterialrättsmyndigheten finner att villkoren för beviljande av tilläggsskydd är uppfyllda i en eller flera av de medlemsstater som anges i en centraliserad ansökan, men inte är uppfyllda i en eller flera av de andra medlemsstaterna, inbegripet om det europeiska grundpatentet i en av de angivna medlemsstaterna har andra patentkrav som inte täcker produkten, bör myndigheten avge ett positivt yttrande för de angivna medlemsstater där villkoren för tilläggsskydd är uppfyllda och ett negativt yttrande för de medlemsstater där villkoren inte är uppfyllda.</w:t>
      </w:r>
    </w:p>
    <w:p w14:paraId="4FF0602E"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(32)</w:t>
      </w:r>
      <w:r w:rsidRPr="00EB5AC1">
        <w:rPr>
          <w:szCs w:val="24"/>
          <w:lang w:eastAsia="en-US"/>
        </w:rPr>
        <w:tab/>
        <w:t>För att skydda tredje parts processuella rättigheter och säkerställa ett fullständigt system med rättsmedel bör tredje parter kunna bestrida ett granskningsyttrande genom att inleda ett invändningsförfarande inom en kort tid efter det att yttrandet har offentliggjorts, och invändningen kunna leda till att yttrandet ändras.</w:t>
      </w:r>
    </w:p>
    <w:p w14:paraId="53A6952F" w14:textId="7AF494FE" w:rsidR="00EB5AC1" w:rsidRPr="00EB5AC1" w:rsidRDefault="00EB5AC1" w:rsidP="00EB5AC1">
      <w:pPr>
        <w:spacing w:before="120" w:after="120" w:line="360" w:lineRule="auto"/>
        <w:ind w:left="850" w:hanging="850"/>
        <w:rPr>
          <w:b/>
          <w:szCs w:val="24"/>
          <w:lang w:eastAsia="en-US"/>
        </w:rPr>
      </w:pPr>
      <w:r w:rsidRPr="00EB5AC1">
        <w:rPr>
          <w:b/>
          <w:i/>
          <w:szCs w:val="24"/>
          <w:lang w:eastAsia="en-US"/>
        </w:rPr>
        <w:t>(32a)</w:t>
      </w:r>
      <w:r w:rsidRPr="00EB5AC1">
        <w:rPr>
          <w:szCs w:val="24"/>
          <w:lang w:eastAsia="en-US"/>
        </w:rPr>
        <w:tab/>
      </w:r>
      <w:r w:rsidRPr="00EB5AC1">
        <w:rPr>
          <w:b/>
          <w:i/>
          <w:szCs w:val="24"/>
          <w:lang w:eastAsia="en-US"/>
        </w:rPr>
        <w:t>För att garantera ett effektivt skydd för innovation kan det i vissa brådskande situationer, bland annat när grundpatentet löper ut inom kort, bli nödvändigt med ett påskyndat granskningsförfarande, utan hinder av möjligheten för tredje parter att lämna synpunkter och utnyttja andra rättsmedel som föreskrivs i denna förordning. Därför bör det finnas en mekanism som gör det möjligt för sökande att begära ett påskyndat granskningsförfarande.</w:t>
      </w:r>
      <w:r w:rsidRPr="00EB5AC1">
        <w:rPr>
          <w:b/>
          <w:szCs w:val="24"/>
          <w:lang w:eastAsia="en-US"/>
        </w:rPr>
        <w:t xml:space="preserve"> [</w:t>
      </w:r>
      <w:r w:rsidR="001734ED">
        <w:rPr>
          <w:b/>
          <w:szCs w:val="24"/>
          <w:lang w:eastAsia="en-US"/>
        </w:rPr>
        <w:t>Ändr.</w:t>
      </w:r>
      <w:r w:rsidRPr="00EB5AC1">
        <w:rPr>
          <w:b/>
          <w:szCs w:val="24"/>
          <w:lang w:eastAsia="en-US"/>
        </w:rPr>
        <w:t> 8]</w:t>
      </w:r>
    </w:p>
    <w:p w14:paraId="38B60910" w14:textId="1404BB61" w:rsidR="00EB5AC1" w:rsidRPr="00EB5AC1" w:rsidRDefault="00EB5AC1" w:rsidP="00EB5AC1">
      <w:pPr>
        <w:spacing w:before="120" w:after="120" w:line="360" w:lineRule="auto"/>
        <w:ind w:left="850" w:hanging="850"/>
        <w:rPr>
          <w:b/>
          <w:szCs w:val="24"/>
          <w:lang w:eastAsia="en-US"/>
        </w:rPr>
      </w:pPr>
      <w:r w:rsidRPr="00EB5AC1">
        <w:rPr>
          <w:szCs w:val="24"/>
          <w:lang w:eastAsia="en-US"/>
        </w:rPr>
        <w:t>(33)</w:t>
      </w:r>
      <w:r w:rsidRPr="00EB5AC1">
        <w:rPr>
          <w:szCs w:val="24"/>
          <w:lang w:eastAsia="en-US"/>
        </w:rPr>
        <w:tab/>
        <w:t>När granskningen av en centraliserad ansökan är klar och när tidsfristerna för överklagande och invändning har löpt ut, eller när ett slutligt beslut i sakfrågan har utfärdats, bör yttrandet översändas till respektive nationell patentmyndighet i de angivna medlemsstaterna.</w:t>
      </w:r>
      <w:r w:rsidRPr="00EB5AC1">
        <w:rPr>
          <w:b/>
          <w:i/>
          <w:szCs w:val="24"/>
          <w:lang w:eastAsia="en-US"/>
        </w:rPr>
        <w:t xml:space="preserve"> Immaterialrättsmyndigheten bör se till att översändandet sker inom en tidsram som gör det möjligt för de nationella patentmyndigheterna att bevilja tilläggsskydd eller avslå ansökan, beroende på vad som är tillämpligt, innan grundpatentet löper ut.</w:t>
      </w:r>
      <w:r w:rsidRPr="00EB5AC1">
        <w:rPr>
          <w:b/>
          <w:szCs w:val="24"/>
          <w:lang w:eastAsia="en-US"/>
        </w:rPr>
        <w:t xml:space="preserve"> [</w:t>
      </w:r>
      <w:r w:rsidR="001734ED">
        <w:rPr>
          <w:b/>
          <w:szCs w:val="24"/>
          <w:lang w:eastAsia="en-US"/>
        </w:rPr>
        <w:t>Ändr.</w:t>
      </w:r>
      <w:r w:rsidRPr="00EB5AC1">
        <w:rPr>
          <w:b/>
          <w:szCs w:val="24"/>
          <w:lang w:eastAsia="en-US"/>
        </w:rPr>
        <w:t> 9]</w:t>
      </w:r>
    </w:p>
    <w:p w14:paraId="3A866E40"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(34)</w:t>
      </w:r>
      <w:r w:rsidRPr="00EB5AC1">
        <w:rPr>
          <w:szCs w:val="24"/>
          <w:lang w:eastAsia="en-US"/>
        </w:rPr>
        <w:tab/>
        <w:t>Om granskningsyttrandet är positivt för en eller flera medlemsstater bör de respektive behöriga nationella myndigheterna bevilja ett tilläggsskydd i enlighet med tillämpliga nationella regler, särskilt när det gäller offentliggörande, registrering i relevanta databaser och betalning av årsavgifter.</w:t>
      </w:r>
    </w:p>
    <w:p w14:paraId="52405302"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(35)</w:t>
      </w:r>
      <w:r w:rsidRPr="00EB5AC1">
        <w:rPr>
          <w:szCs w:val="24"/>
          <w:lang w:eastAsia="en-US"/>
        </w:rPr>
        <w:tab/>
        <w:t>Om granskningsyttrandet är negativt för en eller flera medlemsstater bör de respektive behöriga nationella myndigheterna avslå ansökan i enlighet med tillämpliga nationella regler.</w:t>
      </w:r>
    </w:p>
    <w:p w14:paraId="08BD51B1" w14:textId="14952952" w:rsidR="00EB5AC1" w:rsidRPr="00EB5AC1" w:rsidRDefault="00EB5AC1" w:rsidP="00EB5AC1">
      <w:pPr>
        <w:spacing w:before="120" w:after="120" w:line="360" w:lineRule="auto"/>
        <w:ind w:left="850" w:hanging="850"/>
        <w:rPr>
          <w:szCs w:val="24"/>
          <w:lang w:eastAsia="en-US"/>
        </w:rPr>
      </w:pPr>
      <w:r w:rsidRPr="00EB5AC1">
        <w:rPr>
          <w:szCs w:val="24"/>
          <w:lang w:eastAsia="en-US"/>
        </w:rPr>
        <w:t>(36)</w:t>
      </w:r>
      <w:r w:rsidRPr="00EB5AC1">
        <w:rPr>
          <w:szCs w:val="24"/>
          <w:lang w:eastAsia="en-US"/>
        </w:rPr>
        <w:tab/>
        <w:t xml:space="preserve">För samstämmighetens och rättssäkerhetens skull bör samma materiella bestämmelser gälla för nationella ansökningar och </w:t>
      </w:r>
      <w:r w:rsidR="00FD106D">
        <w:rPr>
          <w:szCs w:val="24"/>
          <w:lang w:eastAsia="en-US"/>
        </w:rPr>
        <w:t>centraliserade ansökningar</w:t>
      </w:r>
      <w:r w:rsidRPr="00EB5AC1">
        <w:rPr>
          <w:szCs w:val="24"/>
          <w:lang w:eastAsia="en-US"/>
        </w:rPr>
        <w:t>, särskilt när det gäller tillämpningsområde, villkor för erhållande av tilläggsskydd, föremålet för skyddet och tilläggsskyddens verkan, samt deras offentliggörande. Det centraliserade förfarandet leder då till beviljande av nationella tilläggsskydd som är helt identiska med dem som beviljas på grundval av nationella ansökningar.</w:t>
      </w:r>
    </w:p>
    <w:p w14:paraId="61F39E3C"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(37)</w:t>
      </w:r>
      <w:r w:rsidRPr="00EB5AC1">
        <w:rPr>
          <w:szCs w:val="24"/>
          <w:lang w:eastAsia="en-US"/>
        </w:rPr>
        <w:tab/>
        <w:t>Eftersom vissa behöriga nationella myndigheter kan ha begränsad administrativ kapacitet att genomföra en fullständig materiell granskning av ansökningar om tilläggsskydd bör det fortfarande vara godtagbart att de behöriga nationella myndigheterna inte kontrollerar alla villkor för att bevilja ett tilläggsskydd på grundval av en nationell ansökan. För att säkerställa kvaliteten och enhetligheten hos de tilläggsskydd som beviljas enligt det centraliserade förfarandet bör immaterialrättsmyndigheten dock granska alla villkor för beviljande av ett tilläggsskydd enligt det centraliserade förfarandet.</w:t>
      </w:r>
    </w:p>
    <w:p w14:paraId="5A0A40B5" w14:textId="395EE14B" w:rsidR="00EB5AC1" w:rsidRPr="00EB5AC1" w:rsidRDefault="00EB5AC1" w:rsidP="00EB5AC1">
      <w:pPr>
        <w:spacing w:before="120" w:after="120" w:line="360" w:lineRule="auto"/>
        <w:ind w:left="850" w:hanging="850"/>
        <w:rPr>
          <w:b/>
          <w:szCs w:val="24"/>
          <w:lang w:eastAsia="en-US"/>
        </w:rPr>
      </w:pPr>
      <w:r w:rsidRPr="00EB5AC1">
        <w:rPr>
          <w:szCs w:val="24"/>
          <w:lang w:eastAsia="en-US"/>
        </w:rPr>
        <w:t>(38)</w:t>
      </w:r>
      <w:r w:rsidRPr="00EB5AC1">
        <w:rPr>
          <w:szCs w:val="24"/>
          <w:lang w:eastAsia="en-US"/>
        </w:rPr>
        <w:tab/>
      </w:r>
      <w:r w:rsidRPr="00EB5AC1">
        <w:rPr>
          <w:strike/>
          <w:szCs w:val="24"/>
          <w:lang w:eastAsia="en-US"/>
        </w:rPr>
        <w:t>Om</w:t>
      </w:r>
      <w:r w:rsidRPr="00EB5AC1">
        <w:rPr>
          <w:b/>
          <w:i/>
          <w:szCs w:val="24"/>
          <w:lang w:eastAsia="en-US"/>
        </w:rPr>
        <w:t>För att skydda processuella rättigheter och säkerställa ett fullständigt system med rättsmedel bör</w:t>
      </w:r>
      <w:r w:rsidRPr="00EB5AC1">
        <w:rPr>
          <w:szCs w:val="24"/>
          <w:lang w:eastAsia="en-US"/>
        </w:rPr>
        <w:t xml:space="preserve"> sökanden eller någon annan part</w:t>
      </w:r>
      <w:r w:rsidRPr="00EB5AC1">
        <w:rPr>
          <w:b/>
          <w:i/>
          <w:szCs w:val="24"/>
          <w:lang w:eastAsia="en-US"/>
        </w:rPr>
        <w:t xml:space="preserve"> som</w:t>
      </w:r>
      <w:r w:rsidRPr="00EB5AC1">
        <w:rPr>
          <w:szCs w:val="24"/>
          <w:lang w:eastAsia="en-US"/>
        </w:rPr>
        <w:t xml:space="preserve"> påverkas negativt av ett beslut av immaterialrättsmyndigheten</w:t>
      </w:r>
      <w:r w:rsidRPr="00EB5AC1">
        <w:rPr>
          <w:strike/>
          <w:szCs w:val="24"/>
          <w:lang w:eastAsia="en-US"/>
        </w:rPr>
        <w:t xml:space="preserve"> bör sökanden eller den parten</w:t>
      </w:r>
      <w:r w:rsidRPr="00EB5AC1">
        <w:rPr>
          <w:szCs w:val="24"/>
          <w:lang w:eastAsia="en-US"/>
        </w:rPr>
        <w:t xml:space="preserve"> ha rätt att inom två månader och mot en avgift överklaga beslutet till en överklagandenämnd vid immaterialrättsmyndigheten. Detta gäller även för granskningsyttrandet, som får överklagas av sökanden. Beslut fattade av överklagandenämnden bör i sin tur kunna överklagas till tribunalen, som har behörighet att ogiltigförklara eller ändra det överklagade beslutet. Vid en kombinerad ansökan som omfattar en begäran om ett enhetligt tilläggsskydd kan ett gemensamt överklagande lämnas in.</w:t>
      </w:r>
      <w:r w:rsidRPr="00EB5AC1">
        <w:rPr>
          <w:b/>
          <w:szCs w:val="24"/>
          <w:lang w:eastAsia="en-US"/>
        </w:rPr>
        <w:t xml:space="preserve"> [</w:t>
      </w:r>
      <w:r w:rsidR="001734ED">
        <w:rPr>
          <w:b/>
          <w:szCs w:val="24"/>
          <w:lang w:eastAsia="en-US"/>
        </w:rPr>
        <w:t>Ändr.</w:t>
      </w:r>
      <w:r w:rsidRPr="00EB5AC1">
        <w:rPr>
          <w:b/>
          <w:szCs w:val="24"/>
          <w:lang w:eastAsia="en-US"/>
        </w:rPr>
        <w:t> 10]</w:t>
      </w:r>
    </w:p>
    <w:p w14:paraId="56614295" w14:textId="798907AF" w:rsidR="00EB5AC1" w:rsidRPr="00EB5AC1" w:rsidRDefault="00EB5AC1" w:rsidP="00EB5AC1">
      <w:pPr>
        <w:spacing w:before="120" w:after="120" w:line="360" w:lineRule="auto"/>
        <w:ind w:left="850" w:hanging="850"/>
        <w:rPr>
          <w:b/>
          <w:szCs w:val="24"/>
          <w:lang w:eastAsia="en-US"/>
        </w:rPr>
      </w:pPr>
      <w:r w:rsidRPr="00EB5AC1">
        <w:rPr>
          <w:szCs w:val="24"/>
          <w:lang w:eastAsia="en-US"/>
        </w:rPr>
        <w:br w:type="page"/>
      </w:r>
      <w:r w:rsidRPr="00EB5AC1">
        <w:rPr>
          <w:szCs w:val="24"/>
          <w:lang w:eastAsia="en-US"/>
        </w:rPr>
        <w:lastRenderedPageBreak/>
        <w:t>(39)</w:t>
      </w:r>
      <w:r w:rsidRPr="00EB5AC1">
        <w:rPr>
          <w:szCs w:val="24"/>
          <w:lang w:eastAsia="en-US"/>
        </w:rPr>
        <w:tab/>
        <w:t xml:space="preserve">När ledamöter i överklagandenämnderna utses i frågor som rör </w:t>
      </w:r>
      <w:r w:rsidR="00FD106D">
        <w:rPr>
          <w:szCs w:val="24"/>
          <w:lang w:eastAsia="en-US"/>
        </w:rPr>
        <w:t>centraliserade ansökningar</w:t>
      </w:r>
      <w:r w:rsidRPr="00EB5AC1">
        <w:rPr>
          <w:szCs w:val="24"/>
          <w:lang w:eastAsia="en-US"/>
        </w:rPr>
        <w:t xml:space="preserve"> om tilläggsskydd bör deras </w:t>
      </w:r>
      <w:r w:rsidRPr="00EB5AC1">
        <w:rPr>
          <w:b/>
          <w:i/>
          <w:szCs w:val="24"/>
          <w:lang w:eastAsia="en-US"/>
        </w:rPr>
        <w:t xml:space="preserve">relevanta sakkunskap, oberoende och tillräckliga </w:t>
      </w:r>
      <w:r w:rsidRPr="00EB5AC1">
        <w:rPr>
          <w:szCs w:val="24"/>
          <w:lang w:eastAsia="en-US"/>
        </w:rPr>
        <w:t>tidigare erfarenhet av tilläggsskydd eller patentfrågor beaktas.</w:t>
      </w:r>
      <w:r w:rsidRPr="00EB5AC1">
        <w:rPr>
          <w:b/>
          <w:szCs w:val="24"/>
          <w:lang w:eastAsia="en-US"/>
        </w:rPr>
        <w:t xml:space="preserve"> [</w:t>
      </w:r>
      <w:r w:rsidR="001734ED">
        <w:rPr>
          <w:b/>
          <w:szCs w:val="24"/>
          <w:lang w:eastAsia="en-US"/>
        </w:rPr>
        <w:t>Ändr.</w:t>
      </w:r>
      <w:r w:rsidRPr="00EB5AC1">
        <w:rPr>
          <w:b/>
          <w:szCs w:val="24"/>
          <w:lang w:eastAsia="en-US"/>
        </w:rPr>
        <w:t> 11]</w:t>
      </w:r>
    </w:p>
    <w:p w14:paraId="6C443E5E"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(40)</w:t>
      </w:r>
      <w:r w:rsidRPr="00EB5AC1">
        <w:rPr>
          <w:szCs w:val="24"/>
          <w:lang w:eastAsia="en-US"/>
        </w:rPr>
        <w:tab/>
        <w:t>Var och en bör kunna bestrida giltigheten av ett tilläggsskydd som beviljats efter det centraliserade förfarandet vid en behörig domstol i en medlemsstat, vilket inbegriper den enhetliga patentdomstolen om villkoren är uppfyllda.</w:t>
      </w:r>
    </w:p>
    <w:p w14:paraId="1119A01A"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(41)</w:t>
      </w:r>
      <w:r w:rsidRPr="00EB5AC1">
        <w:rPr>
          <w:szCs w:val="24"/>
          <w:lang w:eastAsia="en-US"/>
        </w:rPr>
        <w:tab/>
        <w:t>För att minska den administrativa bördan och kostnaderna för innehavare av tilläggsskydd bör det centraliserade förfarandet utgöra ett snabbt sätt att ansöka om och bevilja en förlängning av giltighetstiden för en uppsättning likvärdiga tilläggsskydd för ett visst läkemedel som beviljats enligt det nya centraliserade förfarandet, i enlighet med förordning (EG) nr 1901/2006. När det gäller tilläggsskydd bör sådana förlängningar beviljas av behöriga nationella myndigheter, efter en positiv granskning av den centraliserade ansökan om förlängning av giltighetstiden.</w:t>
      </w:r>
    </w:p>
    <w:p w14:paraId="1F1FB3FA" w14:textId="18F8B44C" w:rsidR="00EB5AC1" w:rsidRPr="00EB5AC1" w:rsidRDefault="00EB5AC1" w:rsidP="00EB5AC1">
      <w:pPr>
        <w:spacing w:before="120" w:after="120" w:line="360" w:lineRule="auto"/>
        <w:ind w:left="850" w:hanging="850"/>
        <w:rPr>
          <w:b/>
          <w:szCs w:val="24"/>
          <w:lang w:eastAsia="en-US"/>
        </w:rPr>
      </w:pPr>
      <w:r w:rsidRPr="00EB5AC1">
        <w:rPr>
          <w:b/>
          <w:i/>
          <w:szCs w:val="24"/>
          <w:lang w:eastAsia="en-US"/>
        </w:rPr>
        <w:br w:type="page"/>
      </w:r>
      <w:r w:rsidRPr="00EB5AC1">
        <w:rPr>
          <w:b/>
          <w:i/>
          <w:szCs w:val="24"/>
          <w:lang w:eastAsia="en-US"/>
        </w:rPr>
        <w:lastRenderedPageBreak/>
        <w:t>(41a)</w:t>
      </w:r>
      <w:r w:rsidRPr="00EB5AC1">
        <w:rPr>
          <w:szCs w:val="24"/>
          <w:lang w:eastAsia="en-US"/>
        </w:rPr>
        <w:tab/>
      </w:r>
      <w:r w:rsidRPr="00EB5AC1">
        <w:rPr>
          <w:b/>
          <w:i/>
          <w:szCs w:val="24"/>
          <w:lang w:eastAsia="en-US"/>
        </w:rPr>
        <w:t>Ett snabbt inträde på unionsmarknaden för generiska läkemedel och biosimilarer är viktigt i synnerhet för att öka konkurrensen, sänka priserna och säkerställa såväl hållbara nationella hälso- och sjukvårdssystem som bättre tillgång på läkemedel till överkomligt pris för patienter i unionen. Vikten av ett sådant snabbt inträde underströks av rådet i dess slutsatser av den 17 juni 2016 om att stärka balansen i läkemedelssystemen i unionen och dess medlemsstater. Å andra sidan bör man komma ihåg att immateriella rättigheter förblir en av hörnstenarna för innovation, konkurrenskraft och tillväxt på den inre marknaden.</w:t>
      </w:r>
      <w:r w:rsidRPr="00EB5AC1">
        <w:rPr>
          <w:b/>
          <w:szCs w:val="24"/>
          <w:lang w:eastAsia="en-US"/>
        </w:rPr>
        <w:t xml:space="preserve"> [</w:t>
      </w:r>
      <w:r w:rsidR="001734ED">
        <w:rPr>
          <w:b/>
          <w:szCs w:val="24"/>
          <w:lang w:eastAsia="en-US"/>
        </w:rPr>
        <w:t>Ändr.</w:t>
      </w:r>
      <w:r w:rsidRPr="00EB5AC1">
        <w:rPr>
          <w:b/>
          <w:szCs w:val="24"/>
          <w:lang w:eastAsia="en-US"/>
        </w:rPr>
        <w:t> 12]</w:t>
      </w:r>
    </w:p>
    <w:p w14:paraId="1E484FF2"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(42)</w:t>
      </w:r>
      <w:r w:rsidRPr="00EB5AC1">
        <w:rPr>
          <w:szCs w:val="24"/>
          <w:lang w:eastAsia="en-US"/>
        </w:rPr>
        <w:tab/>
        <w:t>År 2019 införde unionen i Europaparlamentets och rådets förordning (EU) 2019/933</w:t>
      </w:r>
      <w:r w:rsidRPr="00EB5AC1">
        <w:rPr>
          <w:szCs w:val="24"/>
          <w:vertAlign w:val="superscript"/>
          <w:lang w:val="en-GB" w:eastAsia="en-US"/>
        </w:rPr>
        <w:footnoteReference w:id="12"/>
      </w:r>
      <w:r w:rsidRPr="00EB5AC1">
        <w:rPr>
          <w:szCs w:val="24"/>
          <w:lang w:eastAsia="en-US"/>
        </w:rPr>
        <w:t xml:space="preserve"> ett undantag från det skydd som ett tilläggsskydd för läkemedel ger innehavaren av tilläggsskyddet. I den förordningen konstaterades att avsaknaden av undantag från det skydd som tilläggsskyddet ger oavsiktligt har lett till att de tillverkare av generiska läkemedel och biosimilarer som är etablerade i unionen förhindras att tillverka generiska läkemedel och biosimilarer inom unionen, även för export till marknader i tredjeländer där det inte finns något skydd eller där skyddet inte längre gäller eller för lagring för inträde dag ett på unionsmarknaden. Dessa omständigheter försätter tillverkare av generiska läkemedel och biosimilarer som är etablerade i unionen i ett avsevärt sämre konkurrensläge jämfört med tillverkare som är etablerade i tredjeländer som erbjuder ett sämre eller inget skydd. Skälen till att undantaget infördes och villkoren för undantagets tillämpning fortsätter att gälla.</w:t>
      </w:r>
    </w:p>
    <w:p w14:paraId="572FAD63"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(43)</w:t>
      </w:r>
      <w:r w:rsidRPr="00EB5AC1">
        <w:rPr>
          <w:szCs w:val="24"/>
          <w:lang w:eastAsia="en-US"/>
        </w:rPr>
        <w:tab/>
        <w:t>En avvägning bör göras mellan att återupprätta lika villkor mellan tillverkare av generiska läkemedel och biosimilarer som är etablerade i unionen och tillverkare som är etablerade i tredjeländer som erbjuder ett sämre eller inget skydd och att säkerställa att det väsentliga innehållet i ensamrätten för innehavare av tilläggsskydd garanteras på unionsmarknaden.</w:t>
      </w:r>
    </w:p>
    <w:p w14:paraId="5B1B8AD3"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(44)</w:t>
      </w:r>
      <w:r w:rsidRPr="00EB5AC1">
        <w:rPr>
          <w:szCs w:val="24"/>
          <w:lang w:eastAsia="en-US"/>
        </w:rPr>
        <w:tab/>
        <w:t>Tillverkare av generiska läkemedel och biosimilarer som är etablerade i unionen bör ges tillåtelse att tillverka och lagra produkter, eller läkemedel som innehåller dessa produkter, i en medlemsstat under en bestämd period fram till dess att motsvarande tilläggsskydd upphör att gälla, för att ta sig in på marknaden i en medlemsstat när detta tilläggsskydd upphört att gälla och därigenom hjälpa dessa tillverkare att effektivt konkurrera i unionen omedelbart efter det att skyddet har upphört att gälla (EU-inträde dag ett).</w:t>
      </w:r>
    </w:p>
    <w:p w14:paraId="4AA9B504" w14:textId="1829747F" w:rsidR="00EB5AC1" w:rsidRPr="00EB5AC1" w:rsidRDefault="00EB5AC1" w:rsidP="00EB5AC1">
      <w:pPr>
        <w:spacing w:before="120" w:after="120" w:line="360" w:lineRule="auto"/>
        <w:ind w:left="850" w:hanging="850"/>
        <w:rPr>
          <w:b/>
          <w:szCs w:val="24"/>
          <w:lang w:eastAsia="en-US"/>
        </w:rPr>
      </w:pPr>
      <w:r w:rsidRPr="00EB5AC1">
        <w:rPr>
          <w:szCs w:val="24"/>
          <w:lang w:eastAsia="en-US"/>
        </w:rPr>
        <w:br w:type="page"/>
      </w:r>
      <w:r w:rsidRPr="00EB5AC1">
        <w:rPr>
          <w:szCs w:val="24"/>
          <w:lang w:eastAsia="en-US"/>
        </w:rPr>
        <w:lastRenderedPageBreak/>
        <w:t>(45)</w:t>
      </w:r>
      <w:r w:rsidRPr="00EB5AC1">
        <w:rPr>
          <w:szCs w:val="24"/>
          <w:lang w:eastAsia="en-US"/>
        </w:rPr>
        <w:tab/>
        <w:t>Under dessa specifika och begränsade omständigheter</w:t>
      </w:r>
      <w:r w:rsidRPr="00EB5AC1">
        <w:rPr>
          <w:b/>
          <w:i/>
          <w:szCs w:val="24"/>
          <w:lang w:eastAsia="en-US"/>
        </w:rPr>
        <w:t>,</w:t>
      </w:r>
      <w:r w:rsidRPr="00EB5AC1">
        <w:rPr>
          <w:szCs w:val="24"/>
          <w:lang w:eastAsia="en-US"/>
        </w:rPr>
        <w:t xml:space="preserve"> och för att skapa lika </w:t>
      </w:r>
      <w:r w:rsidRPr="00EB5AC1">
        <w:rPr>
          <w:strike/>
          <w:szCs w:val="24"/>
          <w:lang w:eastAsia="en-US"/>
        </w:rPr>
        <w:t>konkurrensvillkor</w:t>
      </w:r>
      <w:r w:rsidRPr="00EB5AC1">
        <w:rPr>
          <w:b/>
          <w:i/>
          <w:szCs w:val="24"/>
          <w:lang w:eastAsia="en-US"/>
        </w:rPr>
        <w:t>villkor</w:t>
      </w:r>
      <w:r w:rsidRPr="00EB5AC1">
        <w:rPr>
          <w:szCs w:val="24"/>
          <w:lang w:eastAsia="en-US"/>
        </w:rPr>
        <w:t xml:space="preserve"> mellan</w:t>
      </w:r>
      <w:r w:rsidRPr="00EB5AC1">
        <w:rPr>
          <w:b/>
          <w:i/>
          <w:szCs w:val="24"/>
          <w:lang w:eastAsia="en-US"/>
        </w:rPr>
        <w:t xml:space="preserve"> unionsbaserade</w:t>
      </w:r>
      <w:r w:rsidRPr="00EB5AC1">
        <w:rPr>
          <w:szCs w:val="24"/>
          <w:lang w:eastAsia="en-US"/>
        </w:rPr>
        <w:t xml:space="preserve"> tillverkare</w:t>
      </w:r>
      <w:r w:rsidRPr="00EB5AC1">
        <w:rPr>
          <w:strike/>
          <w:szCs w:val="24"/>
          <w:lang w:eastAsia="en-US"/>
        </w:rPr>
        <w:t xml:space="preserve"> som är etablerade i unionen</w:t>
      </w:r>
      <w:r w:rsidRPr="00EB5AC1">
        <w:rPr>
          <w:szCs w:val="24"/>
          <w:lang w:eastAsia="en-US"/>
        </w:rPr>
        <w:t xml:space="preserve"> och tillverkare i tredjeländer, </w:t>
      </w:r>
      <w:r w:rsidRPr="00EB5AC1">
        <w:rPr>
          <w:strike/>
          <w:szCs w:val="24"/>
          <w:lang w:eastAsia="en-US"/>
        </w:rPr>
        <w:t>är det lämpligt att föreskriva ett undantag från</w:t>
      </w:r>
      <w:r w:rsidRPr="00EB5AC1">
        <w:rPr>
          <w:b/>
          <w:i/>
          <w:szCs w:val="24"/>
          <w:lang w:eastAsia="en-US"/>
        </w:rPr>
        <w:t>bör</w:t>
      </w:r>
      <w:r w:rsidRPr="00EB5AC1">
        <w:rPr>
          <w:szCs w:val="24"/>
          <w:lang w:eastAsia="en-US"/>
        </w:rPr>
        <w:t xml:space="preserve"> det skydd som ett tilläggsskydd ger </w:t>
      </w:r>
      <w:r w:rsidRPr="00EB5AC1">
        <w:rPr>
          <w:strike/>
          <w:szCs w:val="24"/>
          <w:lang w:eastAsia="en-US"/>
        </w:rPr>
        <w:t>genom att tillåta</w:t>
      </w:r>
      <w:r w:rsidRPr="00EB5AC1">
        <w:rPr>
          <w:b/>
          <w:i/>
          <w:szCs w:val="24"/>
          <w:lang w:eastAsia="en-US"/>
        </w:rPr>
        <w:t>i enlighet med förordning (EU) 2019/933 begränsas så att</w:t>
      </w:r>
      <w:r w:rsidRPr="00EB5AC1">
        <w:rPr>
          <w:szCs w:val="24"/>
          <w:lang w:eastAsia="en-US"/>
        </w:rPr>
        <w:t xml:space="preserve"> tillverkning </w:t>
      </w:r>
      <w:r w:rsidRPr="00EB5AC1">
        <w:rPr>
          <w:strike/>
          <w:szCs w:val="24"/>
          <w:lang w:eastAsia="en-US"/>
        </w:rPr>
        <w:t>av en produkt eller läkemedel som innehåller den produkten,</w:t>
      </w:r>
      <w:r w:rsidRPr="00EB5AC1">
        <w:rPr>
          <w:b/>
          <w:i/>
          <w:szCs w:val="24"/>
          <w:lang w:eastAsia="en-US"/>
        </w:rPr>
        <w:t>tillåts uteslutande</w:t>
      </w:r>
      <w:r w:rsidRPr="00EB5AC1">
        <w:rPr>
          <w:szCs w:val="24"/>
          <w:lang w:eastAsia="en-US"/>
        </w:rPr>
        <w:t xml:space="preserve"> för export till tredjeländer </w:t>
      </w:r>
      <w:r w:rsidRPr="00EB5AC1">
        <w:rPr>
          <w:strike/>
          <w:szCs w:val="24"/>
          <w:lang w:eastAsia="en-US"/>
        </w:rPr>
        <w:t>eller för lagring och andra</w:t>
      </w:r>
      <w:r w:rsidRPr="00EB5AC1">
        <w:rPr>
          <w:b/>
          <w:i/>
          <w:szCs w:val="24"/>
          <w:lang w:eastAsia="en-US"/>
        </w:rPr>
        <w:t>och alla</w:t>
      </w:r>
      <w:r w:rsidRPr="00EB5AC1">
        <w:rPr>
          <w:szCs w:val="24"/>
          <w:lang w:eastAsia="en-US"/>
        </w:rPr>
        <w:t xml:space="preserve"> relaterade handlingar i unionen som är absolut nödvändiga för </w:t>
      </w:r>
      <w:r w:rsidRPr="00EB5AC1">
        <w:rPr>
          <w:strike/>
          <w:szCs w:val="24"/>
          <w:lang w:eastAsia="en-US"/>
        </w:rPr>
        <w:t>denna tillverkning</w:t>
      </w:r>
      <w:r w:rsidRPr="00EB5AC1">
        <w:rPr>
          <w:b/>
          <w:i/>
          <w:szCs w:val="24"/>
          <w:lang w:eastAsia="en-US"/>
        </w:rPr>
        <w:t>tillverkningen</w:t>
      </w:r>
      <w:r w:rsidRPr="00EB5AC1">
        <w:rPr>
          <w:szCs w:val="24"/>
          <w:lang w:eastAsia="en-US"/>
        </w:rPr>
        <w:t xml:space="preserve"> eller för </w:t>
      </w:r>
      <w:r w:rsidRPr="00EB5AC1">
        <w:rPr>
          <w:b/>
          <w:i/>
          <w:szCs w:val="24"/>
          <w:lang w:eastAsia="en-US"/>
        </w:rPr>
        <w:t xml:space="preserve">själva </w:t>
      </w:r>
      <w:r w:rsidRPr="00EB5AC1">
        <w:rPr>
          <w:szCs w:val="24"/>
          <w:lang w:eastAsia="en-US"/>
        </w:rPr>
        <w:t>exporten</w:t>
      </w:r>
      <w:r w:rsidRPr="00EB5AC1">
        <w:rPr>
          <w:strike/>
          <w:szCs w:val="24"/>
          <w:lang w:eastAsia="en-US"/>
        </w:rPr>
        <w:t xml:space="preserve"> eller faktiska lagringen  (relaterade handlingar)  </w:t>
      </w:r>
      <w:r w:rsidRPr="00EB5AC1">
        <w:rPr>
          <w:b/>
          <w:i/>
          <w:szCs w:val="24"/>
          <w:lang w:eastAsia="en-US"/>
        </w:rPr>
        <w:t xml:space="preserve">, </w:t>
      </w:r>
      <w:r w:rsidRPr="00EB5AC1">
        <w:rPr>
          <w:szCs w:val="24"/>
          <w:lang w:eastAsia="en-US"/>
        </w:rPr>
        <w:t xml:space="preserve">om det i annat fall skulle krävas att sådana handlingar godkänns av </w:t>
      </w:r>
      <w:r w:rsidRPr="00EB5AC1">
        <w:rPr>
          <w:strike/>
          <w:szCs w:val="24"/>
          <w:lang w:eastAsia="en-US"/>
        </w:rPr>
        <w:t>innehavaren</w:t>
      </w:r>
      <w:r w:rsidRPr="00EB5AC1">
        <w:rPr>
          <w:b/>
          <w:i/>
          <w:szCs w:val="24"/>
          <w:lang w:eastAsia="en-US"/>
        </w:rPr>
        <w:t>en innehavare</w:t>
      </w:r>
      <w:r w:rsidRPr="00EB5AC1">
        <w:rPr>
          <w:szCs w:val="24"/>
          <w:lang w:eastAsia="en-US"/>
        </w:rPr>
        <w:t xml:space="preserve"> av ett tilläggsskydd</w:t>
      </w:r>
      <w:r w:rsidRPr="00EB5AC1">
        <w:rPr>
          <w:strike/>
          <w:szCs w:val="24"/>
          <w:lang w:eastAsia="en-US"/>
        </w:rPr>
        <w:t>. Sådana</w:t>
      </w:r>
      <w:r w:rsidRPr="00EB5AC1">
        <w:rPr>
          <w:b/>
          <w:i/>
          <w:szCs w:val="24"/>
          <w:lang w:eastAsia="en-US"/>
        </w:rPr>
        <w:t xml:space="preserve"> (relaterade handlingar).</w:t>
      </w:r>
      <w:r w:rsidRPr="00EB5AC1">
        <w:rPr>
          <w:szCs w:val="24"/>
          <w:lang w:eastAsia="en-US"/>
        </w:rPr>
        <w:t xml:space="preserve"> Relaterade handlingar skulle kunna innefatta innehav, </w:t>
      </w:r>
      <w:r w:rsidRPr="00EB5AC1">
        <w:rPr>
          <w:b/>
          <w:i/>
          <w:szCs w:val="24"/>
          <w:lang w:eastAsia="en-US"/>
        </w:rPr>
        <w:t xml:space="preserve">tillhandahållande, </w:t>
      </w:r>
      <w:r w:rsidRPr="00EB5AC1">
        <w:rPr>
          <w:szCs w:val="24"/>
          <w:lang w:eastAsia="en-US"/>
        </w:rPr>
        <w:t>utbjudande till försäljning</w:t>
      </w:r>
      <w:r w:rsidRPr="00EB5AC1">
        <w:rPr>
          <w:strike/>
          <w:szCs w:val="24"/>
          <w:lang w:eastAsia="en-US"/>
        </w:rPr>
        <w:t>, tillhandahållande</w:t>
      </w:r>
      <w:r w:rsidRPr="00EB5AC1">
        <w:rPr>
          <w:szCs w:val="24"/>
          <w:lang w:eastAsia="en-US"/>
        </w:rPr>
        <w:t>, import, användning eller syntes av en aktiv ingrediens för tillverkning av ett läkemedel</w:t>
      </w:r>
      <w:r w:rsidRPr="00EB5AC1">
        <w:rPr>
          <w:strike/>
          <w:szCs w:val="24"/>
          <w:lang w:eastAsia="en-US"/>
        </w:rPr>
        <w:t xml:space="preserve">.   De skulle också kunna innefatta  </w:t>
      </w:r>
      <w:r w:rsidRPr="00EB5AC1">
        <w:rPr>
          <w:b/>
          <w:i/>
          <w:szCs w:val="24"/>
          <w:lang w:eastAsia="en-US"/>
        </w:rPr>
        <w:t xml:space="preserve"> som innehåller produkten, eller </w:t>
      </w:r>
      <w:r w:rsidRPr="00EB5AC1">
        <w:rPr>
          <w:szCs w:val="24"/>
          <w:lang w:eastAsia="en-US"/>
        </w:rPr>
        <w:t>tillfällig lagring</w:t>
      </w:r>
      <w:r w:rsidRPr="00EB5AC1">
        <w:rPr>
          <w:b/>
          <w:i/>
          <w:szCs w:val="24"/>
          <w:lang w:eastAsia="en-US"/>
        </w:rPr>
        <w:t xml:space="preserve"> av produkten</w:t>
      </w:r>
      <w:r w:rsidRPr="00EB5AC1">
        <w:rPr>
          <w:szCs w:val="24"/>
          <w:lang w:eastAsia="en-US"/>
        </w:rPr>
        <w:t xml:space="preserve"> eller marknadsföring</w:t>
      </w:r>
      <w:r w:rsidRPr="00EB5AC1">
        <w:rPr>
          <w:strike/>
          <w:szCs w:val="24"/>
          <w:lang w:eastAsia="en-US"/>
        </w:rPr>
        <w:t xml:space="preserve">  av produkten  </w:t>
      </w:r>
      <w:r w:rsidRPr="00EB5AC1">
        <w:rPr>
          <w:szCs w:val="24"/>
          <w:lang w:eastAsia="en-US"/>
        </w:rPr>
        <w:t>uteslutande för export till tredjeländer.</w:t>
      </w:r>
      <w:r w:rsidR="00595561">
        <w:rPr>
          <w:szCs w:val="24"/>
          <w:lang w:eastAsia="en-US"/>
        </w:rPr>
        <w:t xml:space="preserve"> </w:t>
      </w:r>
      <w:r w:rsidRPr="00EB5AC1">
        <w:rPr>
          <w:szCs w:val="24"/>
          <w:lang w:eastAsia="en-US"/>
        </w:rPr>
        <w:t>Undantaget</w:t>
      </w:r>
      <w:r w:rsidR="00595561">
        <w:rPr>
          <w:szCs w:val="24"/>
          <w:lang w:eastAsia="en-US"/>
        </w:rPr>
        <w:t xml:space="preserve"> </w:t>
      </w:r>
      <w:r w:rsidRPr="00EB5AC1">
        <w:rPr>
          <w:szCs w:val="24"/>
          <w:lang w:eastAsia="en-US"/>
        </w:rPr>
        <w:t>bör även gälla relaterade handlingar som utförs av</w:t>
      </w:r>
      <w:r w:rsidR="00595561">
        <w:rPr>
          <w:szCs w:val="24"/>
          <w:lang w:eastAsia="en-US"/>
        </w:rPr>
        <w:t xml:space="preserve"> </w:t>
      </w:r>
      <w:r w:rsidRPr="00EB5AC1">
        <w:rPr>
          <w:szCs w:val="24"/>
          <w:lang w:eastAsia="en-US"/>
        </w:rPr>
        <w:t>tredje parter</w:t>
      </w:r>
      <w:r w:rsidR="00595561">
        <w:rPr>
          <w:szCs w:val="24"/>
          <w:lang w:eastAsia="en-US"/>
        </w:rPr>
        <w:t xml:space="preserve"> </w:t>
      </w:r>
      <w:r w:rsidRPr="00EB5AC1">
        <w:rPr>
          <w:szCs w:val="24"/>
          <w:lang w:eastAsia="en-US"/>
        </w:rPr>
        <w:t>som har ett avtalsförhållande med tillverkaren.</w:t>
      </w:r>
      <w:r w:rsidRPr="00EB5AC1">
        <w:rPr>
          <w:b/>
          <w:szCs w:val="24"/>
          <w:lang w:eastAsia="en-US"/>
        </w:rPr>
        <w:t xml:space="preserve"> [</w:t>
      </w:r>
      <w:r w:rsidR="001734ED">
        <w:rPr>
          <w:b/>
          <w:szCs w:val="24"/>
          <w:lang w:eastAsia="en-US"/>
        </w:rPr>
        <w:t>Ändr.</w:t>
      </w:r>
      <w:r w:rsidRPr="00EB5AC1">
        <w:rPr>
          <w:b/>
          <w:szCs w:val="24"/>
          <w:lang w:eastAsia="en-US"/>
        </w:rPr>
        <w:t> 13]</w:t>
      </w:r>
    </w:p>
    <w:p w14:paraId="6B9237A9"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(46)</w:t>
      </w:r>
      <w:r w:rsidRPr="00EB5AC1">
        <w:rPr>
          <w:szCs w:val="24"/>
          <w:lang w:eastAsia="en-US"/>
        </w:rPr>
        <w:tab/>
        <w:t>Undantaget bör gälla för en produkt, eller ett läkemedel som innehåller produkten, som skyddas av ett tilläggsskydd och bör omfatta tillverkningen av den produkt som skyddas av tilläggsskyddet på en medlemsstats territorium och tillverkningen av det läkemedel som innehåller den produkten.</w:t>
      </w:r>
    </w:p>
    <w:p w14:paraId="636E4D19"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(47)</w:t>
      </w:r>
      <w:r w:rsidRPr="00EB5AC1">
        <w:rPr>
          <w:szCs w:val="24"/>
          <w:lang w:eastAsia="en-US"/>
        </w:rPr>
        <w:tab/>
        <w:t>Undantaget bör inte omfatta saluföring av en produkt eller ett läkemedel som innehåller produkten, som tillverkats för export till tredjeländer eller för lagring för EU-inträde dag ett på marknaden i en medlemsstat där ett tilläggsskydd gäller, antingen direkt eller indirekt efter export, och det bör inte heller omfatta återimport av produkter, eller läkemedel som innehåller dessa produkter, till marknaden i en medlemsstat där ett tilläggsskydd gäller. Det bör inte heller omfatta någon handling eller verksamhet i syfte att importera produkter, eller läkemedel som innehåller dessa produkter, till unionen enbart för ompackning eller återexport. Dessutom bör undantaget inte heller omfatta någon lagring av produkten eller det läkemedel som innehåller produkten för andra syften än de som fastställs i denna förordning.</w:t>
      </w:r>
    </w:p>
    <w:p w14:paraId="199097EB"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(48)</w:t>
      </w:r>
      <w:r w:rsidRPr="00EB5AC1">
        <w:rPr>
          <w:szCs w:val="24"/>
          <w:lang w:eastAsia="en-US"/>
        </w:rPr>
        <w:tab/>
        <w:t>Eftersom undantaget endast omfattar tillverkning av en produkt, eller ett läkemedel som innehåller den produkten, för export utanför unionen eller tillverkning för lagring och handlingar som är absolut nödvändiga för sådan tillverkning eller för själva exporten eller lagringen, kommer undantaget inte att strida mot ett normalt utnyttjande av produkten eller det läkemedel som innehåller produkten i den medlemsstat där tilläggsskyddet gäller, i synnerhet inte mot den centrala ensamrätt som innehavaren av tilläggsskyddet har för att tillverka denna produkt för saluföring på unionsmarknaden under tilläggsskyddets giltighetstid. Undantaget bör vidare inte otillbörligt skada tilläggsskyddsinnehavarens legitima intressen, samtidigt som tredje parters legitima intressen beaktas.</w:t>
      </w:r>
    </w:p>
    <w:p w14:paraId="5B20D20F"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(49)</w:t>
      </w:r>
      <w:r w:rsidRPr="00EB5AC1">
        <w:rPr>
          <w:szCs w:val="24"/>
          <w:lang w:eastAsia="en-US"/>
        </w:rPr>
        <w:tab/>
        <w:t>Effektiva och proportionella skyddsåtgärder bör gälla i förhållande till undantaget för att öka öppenheten, hjälpa innehavaren av ett tilläggsskydd att se till att skyddet efterlevs i unionen och kontrollera efterlevnaden av denna förordning samt minska risken för olaglig avledning till unionsmarknaden under tilläggsskyddets giltighetstid.</w:t>
      </w:r>
    </w:p>
    <w:p w14:paraId="1527726D"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(50)</w:t>
      </w:r>
      <w:r w:rsidRPr="00EB5AC1">
        <w:rPr>
          <w:szCs w:val="24"/>
          <w:lang w:eastAsia="en-US"/>
        </w:rPr>
        <w:tab/>
        <w:t>För att säkerställa ökad öppenhet och rättssäkerhet är det nödvändigt att ålägga tillverkaren, dvs. den person som är etablerad i unionen, för vars räkning produkten, eller ett läkemedel som innehåller produkten, tillverkas för export eller lagring, en informationsskyldighet. Denna skyldighet bör också gälla när tillverkningen utförs direkt av tillverkaren .</w:t>
      </w:r>
    </w:p>
    <w:p w14:paraId="255D856F"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(51)</w:t>
      </w:r>
      <w:r w:rsidRPr="00EB5AC1">
        <w:rPr>
          <w:szCs w:val="24"/>
          <w:lang w:eastAsia="en-US"/>
        </w:rPr>
        <w:tab/>
        <w:t>Det bör åligga den tillverkare som är etablerad i unionen att kontrollera att det inte finns något skydd i ett exportland, eller huruvida skyddet upphört att gälla, eller om det skyddet är föremål för begränsningar eller undantag i det berörda landet.</w:t>
      </w:r>
    </w:p>
    <w:p w14:paraId="0FD4B1E5"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(52)</w:t>
      </w:r>
      <w:r w:rsidRPr="00EB5AC1">
        <w:rPr>
          <w:szCs w:val="24"/>
          <w:lang w:eastAsia="en-US"/>
        </w:rPr>
        <w:tab/>
        <w:t>Det bör, som ett villkor för undantagets funktion, ställas krav på att tillverkaren visar tillbörlig aktsamhet för att säkerställa ökad öppenhet och rättssäkerhet. Innehavaren av det berörda tilläggsskyddet kommer därför att ha rätt att göra sina rättigheter enligt tilläggsskyddet gällande, och samtidigt ta vederbörlig hänsyn till den allmänna skyldighet som fastställs i Europaparlamentets och rådets direktiv 2004/48/EG</w:t>
      </w:r>
      <w:r w:rsidRPr="00EB5AC1">
        <w:rPr>
          <w:szCs w:val="24"/>
          <w:vertAlign w:val="superscript"/>
          <w:lang w:val="en-GB" w:eastAsia="en-US"/>
        </w:rPr>
        <w:footnoteReference w:id="13"/>
      </w:r>
      <w:r w:rsidRPr="00EB5AC1">
        <w:rPr>
          <w:szCs w:val="24"/>
          <w:lang w:eastAsia="en-US"/>
        </w:rPr>
        <w:t xml:space="preserve"> att inte medverka till rättegångsmissbruk.</w:t>
      </w:r>
    </w:p>
    <w:p w14:paraId="6DB94500"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(53)</w:t>
      </w:r>
      <w:r w:rsidRPr="00EB5AC1">
        <w:rPr>
          <w:szCs w:val="24"/>
          <w:lang w:eastAsia="en-US"/>
        </w:rPr>
        <w:tab/>
        <w:t>Märkning enligt denna förordning bör inte påverka tredjeländers märkningskrav.</w:t>
      </w:r>
    </w:p>
    <w:p w14:paraId="779914A5"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(54)</w:t>
      </w:r>
      <w:r w:rsidRPr="00EB5AC1">
        <w:rPr>
          <w:szCs w:val="24"/>
          <w:lang w:eastAsia="en-US"/>
        </w:rPr>
        <w:tab/>
        <w:t>Handlingar som inte omfattas av det undantag som fastställs genom denna förordning bör även fortsättningsvis omfattas av det skydd som ett tilläggsskydd ger. All avledning till unionsmarknaden under tilläggsskyddets giltighetstid av en produkt, eller ett läkemedel som innehåller produkten, och som tillverkas enligt villkoren för undantaget, bör även fortsättningsvis vara förbjuden.</w:t>
      </w:r>
    </w:p>
    <w:p w14:paraId="46BA03B0"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(55)</w:t>
      </w:r>
      <w:r w:rsidRPr="00EB5AC1">
        <w:rPr>
          <w:szCs w:val="24"/>
          <w:lang w:eastAsia="en-US"/>
        </w:rPr>
        <w:tab/>
        <w:t>Undantaget påverkar inte andra immateriella rättigheter som kan skydda andra aspekter av en produkt, eller ett läkemedel som innehåller produkten. Undantaget påverkar inte tillämpningen av unionsakter som syftar till att förhindra intrång i och säkerställa skydd för immateriella rättigheter, däribland Europaparlamentets och rådets direktiv 2004/48/EG och förordning (EU) nr 608/2013</w:t>
      </w:r>
      <w:r w:rsidRPr="00EB5AC1">
        <w:rPr>
          <w:szCs w:val="24"/>
          <w:vertAlign w:val="superscript"/>
          <w:lang w:val="en-GB" w:eastAsia="en-US"/>
        </w:rPr>
        <w:footnoteReference w:id="14"/>
      </w:r>
      <w:r w:rsidRPr="00EB5AC1">
        <w:rPr>
          <w:szCs w:val="24"/>
          <w:lang w:eastAsia="en-US"/>
        </w:rPr>
        <w:t>.</w:t>
      </w:r>
    </w:p>
    <w:p w14:paraId="692C599E"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(56)</w:t>
      </w:r>
      <w:r w:rsidRPr="00EB5AC1">
        <w:rPr>
          <w:szCs w:val="24"/>
          <w:lang w:eastAsia="en-US"/>
        </w:rPr>
        <w:tab/>
        <w:t>Undantaget påverkar inte bestämmelserna om den unika identitetsbeteckning som fastställs i Europaparlamentets och rådets direktiv 2001/83/EG</w:t>
      </w:r>
      <w:r w:rsidRPr="00EB5AC1">
        <w:rPr>
          <w:szCs w:val="24"/>
          <w:vertAlign w:val="superscript"/>
          <w:lang w:val="en-GB" w:eastAsia="en-US"/>
        </w:rPr>
        <w:footnoteReference w:id="15"/>
      </w:r>
      <w:r w:rsidRPr="00EB5AC1">
        <w:rPr>
          <w:szCs w:val="24"/>
          <w:lang w:eastAsia="en-US"/>
        </w:rPr>
        <w:t>. Tillverkaren bör säkerställa att ett läkemedel som tillverkats för export inte är försett med en aktiv unik identitetsbeteckning i den mening som avses i kommissionens delegerade förordning (EU) 2016/161</w:t>
      </w:r>
      <w:r w:rsidRPr="00EB5AC1">
        <w:rPr>
          <w:szCs w:val="24"/>
          <w:vertAlign w:val="superscript"/>
          <w:lang w:val="en-GB" w:eastAsia="en-US"/>
        </w:rPr>
        <w:footnoteReference w:id="16"/>
      </w:r>
      <w:r w:rsidRPr="00EB5AC1">
        <w:rPr>
          <w:szCs w:val="24"/>
          <w:lang w:eastAsia="en-US"/>
        </w:rPr>
        <w:t xml:space="preserve"> för att säkerställa att ett sådant läkemedel kan identifieras om det återimporteras till unionen olagligt . Kravet på en aktiv unik identitetsbeteckning gäller emellertid, i enlighet med den delegerade förordningen, för läkemedel avsedda att släppas ut på marknaden i en medlemsstat när motsvarande tilläggsskydd har upphört att gälla. Följaktligen gäller förbudet mot en unik identitetsbeteckning inte för sådana läkemedel .</w:t>
      </w:r>
    </w:p>
    <w:p w14:paraId="6576E4B4"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(57)</w:t>
      </w:r>
      <w:r w:rsidRPr="00EB5AC1">
        <w:rPr>
          <w:szCs w:val="24"/>
          <w:lang w:eastAsia="en-US"/>
        </w:rPr>
        <w:tab/>
        <w:t>Undantaget påverkar inte tillämpningen av direktiv 2001/83/EG och förordning (EU) 2019/6, särskilt inte kraven avseende tillverkningstillstånd för läkemedel som tillverkas för export. Detta innebär bl.a. iakttagande av principerna och riktlinjerna för god tillverkningssed för läkemedel och användning av endast aktiva substanser som har tillverkats i enlighet med god tillverkningssed och distribuerats i enlighet med god distributionssed för aktiva substanser.</w:t>
      </w:r>
    </w:p>
    <w:p w14:paraId="1D30B338"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(58)</w:t>
      </w:r>
      <w:r w:rsidRPr="00EB5AC1">
        <w:rPr>
          <w:szCs w:val="24"/>
          <w:lang w:eastAsia="en-US"/>
        </w:rPr>
        <w:tab/>
        <w:t>För att skydda de rättigheter som innehavare av tilläggsskydd har, bör det undantag som föreskrivs i denna förordning inte gälla för ett tilläggsskydd som redan börjat gälla den dag då Europaparlamentets och rådets förordning (EU) 2019/933  trädde i kraft. För att säkerställa att de rättigheter som innehavare av tilläggsskydd har inte onödigtvis begränsas bör undantaget tillämpas på tilläggsskydd för vilka ansökan gjorts  den dag förordning (EU) 2019/933 trädde i kraft eller senare. Mot bakgrund av att tilläggsskydd börjar gälla vid utgången av grundpatentets giltighetstid, vilket kan vara relativt långt efter den dag då ansökan om tilläggsskydd lämnades in, är det motiverat att  undantaget i denna förordning under en viss tid även omfattar tilläggsskydd som ansökts om före den dag då förordning (EU) 2019/933 trädde i kraft, men som ännu inte hade börjat gälla före det datumet, oberoende av om detta tilläggsskydd beviljats före det datumet. Undantaget tillämpas därför, från och med den 2 juli 2022 på tilläggsskydd som börjat gälla från den dag då förordning (EU) 2019/933 trädde i kraft. Begreppet en viss tid bör för varje enskilt tilläggsskydd som börjat gälla efter det att  den förordningen     trädde  i kraft  säkerställa att undantaget gradvis tillämpas på ett sådant tilläggsskydd, beroende på vilken dag det börjat gälla och dess varaktighet. En sådan tillämpning av undantaget skulle ge innehavaren av ett tilläggsskydd som   hade  beviljats men som inte   hade  börjat gälla den dag som  förordning  (EU) 2019/933    trädde  i kraft en rimlig övergångsperiod för att anpassa sig till de ändrade bestämmelserna, samtidigt som det säkerställs att tillverkare av generiska läkemedel och biosimilarer effektivt kan dra nytta av undantaget, utan onödigt dröjsmål.</w:t>
      </w:r>
    </w:p>
    <w:p w14:paraId="70583F69"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(59)</w:t>
      </w:r>
      <w:r w:rsidRPr="00EB5AC1">
        <w:rPr>
          <w:szCs w:val="24"/>
          <w:lang w:eastAsia="en-US"/>
        </w:rPr>
        <w:tab/>
        <w:t>Undantaget  bör tillämpas  på grundval av den dag då ansökan om ett tilläggsskydd lämnades in   för att  främja enhetlighet och begränsa risken för skillnader.</w:t>
      </w:r>
    </w:p>
    <w:p w14:paraId="048597B5" w14:textId="0966D80C" w:rsidR="00EB5AC1" w:rsidRPr="00EB5AC1" w:rsidRDefault="00EB5AC1" w:rsidP="00EB5AC1">
      <w:pPr>
        <w:spacing w:before="120" w:after="120" w:line="360" w:lineRule="auto"/>
        <w:ind w:left="850" w:hanging="850"/>
        <w:rPr>
          <w:b/>
          <w:szCs w:val="24"/>
          <w:lang w:eastAsia="en-US"/>
        </w:rPr>
      </w:pPr>
      <w:r w:rsidRPr="00EB5AC1">
        <w:rPr>
          <w:szCs w:val="24"/>
          <w:lang w:eastAsia="en-US"/>
        </w:rPr>
        <w:t>(60)</w:t>
      </w:r>
      <w:r w:rsidRPr="00EB5AC1">
        <w:rPr>
          <w:szCs w:val="24"/>
          <w:lang w:eastAsia="en-US"/>
        </w:rPr>
        <w:tab/>
        <w:t>För att säkerställa öppenhet bör det upprättas ett register som kan fungera som en enda åtkomstpunkt med information om ansökningar om tilläggsskydd enligt det centraliserade förfarandet, inbegripet om tilläggsskydd som på sådant sätt beviljats av behöriga nationella myndigheter, som bör dela all relaterad information med immaterialrättsmyndigheten. Registret bör vara tillgängligt på unionens alla officiella språk.</w:t>
      </w:r>
      <w:r w:rsidRPr="00EB5AC1">
        <w:rPr>
          <w:b/>
          <w:i/>
          <w:szCs w:val="24"/>
          <w:lang w:eastAsia="en-US"/>
        </w:rPr>
        <w:t xml:space="preserve"> Den information som anges i registret bör dock inte användas i samband med patentkopplingar, och inga reglerings- eller förvaltningsbeslut som rör generiska läkemedel eller biosimilarer, såsom godkännanden för försäljning, beslut om prissättning och ersättning eller anbud som rör förekomsten av tilläggsskydd, bör baseras på information som finns i registret.</w:t>
      </w:r>
      <w:r w:rsidRPr="00EB5AC1">
        <w:rPr>
          <w:b/>
          <w:szCs w:val="24"/>
          <w:lang w:eastAsia="en-US"/>
        </w:rPr>
        <w:t xml:space="preserve"> [</w:t>
      </w:r>
      <w:r w:rsidR="001734ED">
        <w:rPr>
          <w:b/>
          <w:szCs w:val="24"/>
          <w:lang w:eastAsia="en-US"/>
        </w:rPr>
        <w:t>Ändr.</w:t>
      </w:r>
      <w:r w:rsidRPr="00EB5AC1">
        <w:rPr>
          <w:b/>
          <w:szCs w:val="24"/>
          <w:lang w:eastAsia="en-US"/>
        </w:rPr>
        <w:t> 14]</w:t>
      </w:r>
    </w:p>
    <w:p w14:paraId="1419B846"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(61)</w:t>
      </w:r>
      <w:r w:rsidRPr="00EB5AC1">
        <w:rPr>
          <w:szCs w:val="24"/>
          <w:lang w:eastAsia="en-US"/>
        </w:rPr>
        <w:tab/>
        <w:t>Genom förordning [COM(2023) 222]</w:t>
      </w:r>
      <w:r w:rsidRPr="00EB5AC1">
        <w:rPr>
          <w:szCs w:val="24"/>
          <w:vertAlign w:val="superscript"/>
          <w:lang w:val="en-GB" w:eastAsia="en-US"/>
        </w:rPr>
        <w:footnoteReference w:id="17"/>
      </w:r>
      <w:r w:rsidRPr="00EB5AC1">
        <w:rPr>
          <w:szCs w:val="24"/>
          <w:lang w:eastAsia="en-US"/>
        </w:rPr>
        <w:t xml:space="preserve"> införs ett enhetligt tilläggsskydd för läkemedel, som kan begäras i de medlemsstater där grundpatentet har enhetlig verkan. Ansökan om ett sådant enhetligt tilläggsskydd bör kunna göras i en kombinerad ansökan om ett tilläggsskydd enligt det centraliserade förfarande som omfattas av den här förordningen. I sådana fall bör den kombinerade ansökan som inbegriper båda ansökningarna omfattas av ett enda centraliserat granskningsförfarande. Dubbelt skydd genom både ett enhetligt tilläggsskydd och ett tilläggsskydd som beviljats i enlighet med denna förordning bör uteslutas.</w:t>
      </w:r>
    </w:p>
    <w:p w14:paraId="39BF0DC7"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(62)</w:t>
      </w:r>
      <w:r w:rsidRPr="00EB5AC1">
        <w:rPr>
          <w:szCs w:val="24"/>
          <w:lang w:eastAsia="en-US"/>
        </w:rPr>
        <w:tab/>
        <w:t>För de uppgifter som tilldelas immaterialrättsmyndigheten enligt denna förordning bör immaterialrättsmyndighetens språk vara unionens samtliga officiella språk. Immaterialrättsmyndigheten bör godta verifierade översättningar av handlingar och information till ett av unionens officiella språk. Om så är lämpligt bör immaterialrättsmyndigheten kunna använda verifierade maskinöversättningar.</w:t>
      </w:r>
    </w:p>
    <w:p w14:paraId="7180558B"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(63)</w:t>
      </w:r>
      <w:r w:rsidRPr="00EB5AC1">
        <w:rPr>
          <w:szCs w:val="24"/>
          <w:lang w:eastAsia="en-US"/>
        </w:rPr>
        <w:tab/>
        <w:t>Ekonomiska medel bör reserveras för att säkerställa att de behöriga nationella myndigheter som deltar i det centraliserade förfarandet får tillräcklig ersättning för deltagandet.</w:t>
      </w:r>
    </w:p>
    <w:p w14:paraId="635EB5EC"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(64)</w:t>
      </w:r>
      <w:r w:rsidRPr="00EB5AC1">
        <w:rPr>
          <w:szCs w:val="24"/>
          <w:lang w:eastAsia="en-US"/>
        </w:rPr>
        <w:tab/>
        <w:t>De nödvändiga etableringskostnaderna i samband med de uppgifter som tilldelas immaterialrättsmyndigheten, inbegripet kostnaderna för nya digitala system, bör finansieras genom immaterialrättsmyndighetens ackumulerade budgetöverskott.</w:t>
      </w:r>
    </w:p>
    <w:p w14:paraId="43760576"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(65)</w:t>
      </w:r>
      <w:r w:rsidRPr="00EB5AC1">
        <w:rPr>
          <w:szCs w:val="24"/>
          <w:lang w:eastAsia="en-US"/>
        </w:rPr>
        <w:tab/>
        <w:t>I syfte att komplettera vissa icke väsentliga delar av denna förordning bör befogenheten att anta akter i enlighet med artikel 290 i fördraget om Europeiska unionens funktionssätt delegeras till kommissionen när det gäller i) att specificera innehållet i och formen för överklagandeskrivelsen samt innehållet i och formen för överklagandenämndernas beslut, ii) att närmare fastställa överklagandenämndernas organisation i förfaranden som rör tilläggsskydd, iii) att fastställa bestämmelser om de kommunikationsmedel, inbegripet elektroniska kommunikationsmedel, som ska användas av parterna i förfaranden inför immaterialrättsmyndigheten samt de blanketter som immaterialrättsmyndigheten ska tillgängliggöra, iv) att fastställa närmare förfaranden för muntliga förhandlingar, v) att fastställa närmare förfaranden för bevisupptagning, vi) att fastställa närmare förfaranden för underrättelse, vii) att fastställa närmare uppgifter om beräkning och varaktighet av tidsfrister samt viii) att fastställa närmare förfaranden för återupptagande av förfarandet. Det är särskilt viktigt att kommissionen genomför lämpliga samråd under sitt förberedande arbete, inklusive på expertnivå, och att dessa samråd genomförs i enlighet med principerna i det interinstitutionella avtalet om bättre lagstiftning av den 13 april 2016</w:t>
      </w:r>
      <w:r w:rsidRPr="00EB5AC1">
        <w:rPr>
          <w:szCs w:val="24"/>
          <w:vertAlign w:val="superscript"/>
          <w:lang w:val="en-GB" w:eastAsia="en-US"/>
        </w:rPr>
        <w:footnoteReference w:id="18"/>
      </w:r>
      <w:r w:rsidRPr="00EB5AC1">
        <w:rPr>
          <w:szCs w:val="24"/>
          <w:lang w:eastAsia="en-US"/>
        </w:rPr>
        <w:t>. För att säkerställa lika stor delaktighet i förberedelsen av delegerade akter erhåller Europaparlamentet och rådet alla handlingar samtidigt som medlemsstaternas experter, och deras experter ges systematiskt tillträde till möten i kommissionens expertgrupper som arbetar med förberedelse av delegerade akter.</w:t>
      </w:r>
    </w:p>
    <w:p w14:paraId="21BC5AD5" w14:textId="100C4131"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(66)</w:t>
      </w:r>
      <w:r w:rsidRPr="00EB5AC1">
        <w:rPr>
          <w:szCs w:val="24"/>
          <w:lang w:eastAsia="en-US"/>
        </w:rPr>
        <w:tab/>
        <w:t xml:space="preserve">För att enhetliga villkor för genomförandet av denna förordning ska säkerställas, bör kommissionen tilldelas genomförandebefogenheter med avseende på i) de ansökningsformulär som ska användas, ii) regler om förfaranden för inlämning och förfaranden för det sätt på vilket granskningspanelerna granskar </w:t>
      </w:r>
      <w:r w:rsidR="00FD106D">
        <w:rPr>
          <w:szCs w:val="24"/>
          <w:lang w:eastAsia="en-US"/>
        </w:rPr>
        <w:t>centraliserade ansökningar</w:t>
      </w:r>
      <w:r w:rsidRPr="00EB5AC1">
        <w:rPr>
          <w:szCs w:val="24"/>
          <w:lang w:eastAsia="en-US"/>
        </w:rPr>
        <w:t xml:space="preserve"> och utarbetar granskningsyttranden samt för utfärdande av granskningsyttranden från immaterialrättsmyndigheten, iii) kriterierna för hur granskningspanelerna ska inrättas och kriterierna för val av granskare, iv) beloppen för de avgifter som ska betalas till immaterialrättsmyndigheten, v) fastställande av maximinivåerna för de kostnader som är nödvändiga för förfarandet och som faktiskt uppkommit för den vinnande parten, och vi) regler om finansiella överföringar mellan immaterialrättsmyndigheten och medlemsstaterna, beloppen för dessa överföringar och den ersättning som ska betalas av immaterialrättsmyndigheten när det gäller deltagande av de behöriga nationella myndigheterna. Dessa befogenheter bör utövas i enlighet med Europaparlamentets och rådets förordning (EU) nr 182/2011</w:t>
      </w:r>
      <w:r w:rsidRPr="00EB5AC1">
        <w:rPr>
          <w:szCs w:val="24"/>
          <w:vertAlign w:val="superscript"/>
          <w:lang w:val="en-GB" w:eastAsia="en-US"/>
        </w:rPr>
        <w:footnoteReference w:id="19"/>
      </w:r>
      <w:r w:rsidRPr="00EB5AC1">
        <w:rPr>
          <w:szCs w:val="24"/>
          <w:lang w:eastAsia="en-US"/>
        </w:rPr>
        <w:t>.</w:t>
      </w:r>
    </w:p>
    <w:p w14:paraId="51F5647C"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(67)</w:t>
      </w:r>
      <w:r w:rsidRPr="00EB5AC1">
        <w:rPr>
          <w:szCs w:val="24"/>
          <w:lang w:eastAsia="en-US"/>
        </w:rPr>
        <w:tab/>
        <w:t>Kommissionen bör göra en regelbunden utvärdering av denna förordning , särskilt för att bedöma hur undantaget påverkar konkurrenskraften i unionens läkemedelssektor.  Utvärderingen bör både beakta export utanför unionen och vilken effekt lagringen har för att   så snart som möjligt  få ut generiska läkemedel och i synnerhet biosimilarer på   marknaderna i unionen  efter att ett tilläggsskydd har upphört att gälla. En sådan regelbunden utvärdering bör även omfatta   undantagets  effekter på tillverkningen av generiska läkemedel och biosimilarer i unionen av tillverkare av generiska läkemedel och biosimilarer som är etablerade i unionen. I detta sammanhang  är  det viktigt att kontrollera om tillverkning som tidigare bedrivits utanför unionen flyttas till unionens territorium. Utvärderingen bör särskilt granska undantagets effektivitet med avseende på syftet att upprätta lika villkor internationellt för företag i unionen som tillverkar generiska läkemedel och biosimilarer.  Utvärderingen  bör också studera undantagets konsekvenser för den forskning om och produktion av innovativa läkemedel i unionen som bedrivs av innehavare av tilläggsskydd och beakta jämvikten mellan olika berörda intressen, i synnerhet avseende folkhälsan, offentliga utgifter och, i detta sammanhang, tillgång till läkemedel inom unionen. Den bör också studera huruvida den föreskrivna perioden med avseende på tillverkning av generiska läkemedel och biosimilarer för lagring är tillräcklig för att uppnå målet EU-inträde dag ett, inbegripet dess effekter på folkhälsan.  Kommissionen bör också regelbundet utvärdera det centraliserade förfarandet.</w:t>
      </w:r>
    </w:p>
    <w:p w14:paraId="4E1CD159" w14:textId="48583495"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(68)</w:t>
      </w:r>
      <w:r w:rsidRPr="00EB5AC1">
        <w:rPr>
          <w:szCs w:val="24"/>
          <w:lang w:eastAsia="en-US"/>
        </w:rPr>
        <w:tab/>
        <w:t>Denna förordning är förenlig med de grundläggande rättigheter och de principer som erkänns i Europeiska unionens stadga om de grundläggande rättigheterna (stadgan).  Bestämmelserna i denna förordning bör tolkas och tillämpas i enlighet med dessa rättigheter och principer. Denna förordning syftar särskilt till att säkerställa att rätten till egendom, rätten till hälso- och sjukvård  och rätten till ett effektivt rättsmedel i artiklarna 17, 35 och 47 i stadgan respekteras fullt ut. Denna förordning bör upprätthålla tilläggsskyddets centrala rättigheter genom att begränsa det undantag som föreskrivs i denna förordning till tillverkning av en produkt, eller ett läkemedel som innehåller produkten, endast för export utanför unionen eller för lagring under en begränsad tidsperiod för inträde på unionsmarknaden, när tilläggsskyddet har upphört att gälla, och för de handlingar som är absolut nödvändiga för sådan tillverkning eller för själva exporten eller faktiska lagringen. I ljuset av dessa grundläggande rättigheter och principer går detta undantag inte utöver vad som är nödvändigt och lämpligt med tanke på det övergripande målet för denna förordning, nämligen att främja unionens konkurrenskraft genom att undvika omlokaliseringar och göra det möjligt för tillverkare av generiska läkemedel och biosimilarer som är etablerade i unionen att konkurrera både på snabbväxande, globala marknader där det inte finns något tilläggsskydd eller där skyddet inte längre gäller och på unionsmarknaden när tilläggsskyddet upphör att gälla.   Dessutom är avskaffandet av möjligheten att lämna in en nationell ansökan om tilläggsskydd till en behörig nationell myndighet om kraven för att använda det centraliserade förfarandet är uppfyllda, proportionerligt mot bakgrund av risken för avvikelser. Om kraven inte är tillämpliga får nationella ansökningar fortfarande lämnas in.</w:t>
      </w:r>
    </w:p>
    <w:p w14:paraId="4298172D"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(69)</w:t>
      </w:r>
      <w:r w:rsidRPr="00EB5AC1">
        <w:rPr>
          <w:szCs w:val="24"/>
          <w:lang w:eastAsia="en-US"/>
        </w:rPr>
        <w:tab/>
        <w:t>Inrättandet av ett centraliserat förfarande för beviljande av tilläggsskydd bör inte på något sätt påverka de nationella ansökningar om tilläggsskydd som fortfarande behandlas av behöriga nationella myndigheter eller de tilläggsskydd som beviljas på grundval av nationella ansökningar.</w:t>
      </w:r>
    </w:p>
    <w:p w14:paraId="5FBDFD00"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(70)</w:t>
      </w:r>
      <w:r w:rsidRPr="00EB5AC1">
        <w:rPr>
          <w:szCs w:val="24"/>
          <w:lang w:eastAsia="en-US"/>
        </w:rPr>
        <w:tab/>
        <w:t>Eftersom målen för denna förordning inte i tillräcklig utsträckning kan uppnås av medlemsstaterna utan snarare, i syfte att säkerställa att tillämpliga regler och förfaranden är enhetliga i hela unionen, kan uppnås bättre på unionsnivå, kan unionen vidta åtgärder i enlighet med subsidiaritetsprincipen i artikel 5 i fördraget om Europeiska unionen. I enlighet med proportionalitetsprincipen i samma artikel går denna förordning inte utöver vad som är nödvändigt för att uppnå dessa mål.</w:t>
      </w:r>
    </w:p>
    <w:p w14:paraId="169FD92C"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(71)</w:t>
      </w:r>
      <w:r w:rsidRPr="00EB5AC1">
        <w:rPr>
          <w:szCs w:val="24"/>
          <w:lang w:eastAsia="en-US"/>
        </w:rPr>
        <w:tab/>
        <w:t>Europeiska datatillsynsmannen har hörts i enlighet med artikel 42.1 i Europaparlamentets och rådets förordning (EU) 2018/1725</w:t>
      </w:r>
      <w:r w:rsidRPr="00EB5AC1">
        <w:rPr>
          <w:szCs w:val="24"/>
          <w:vertAlign w:val="superscript"/>
          <w:lang w:val="en-GB" w:eastAsia="en-US"/>
        </w:rPr>
        <w:footnoteReference w:id="20"/>
      </w:r>
      <w:r w:rsidRPr="00EB5AC1">
        <w:rPr>
          <w:szCs w:val="24"/>
          <w:lang w:eastAsia="en-US"/>
        </w:rPr>
        <w:t xml:space="preserve"> och avgav ett yttrande den XXX [Publikationsbyrån: Lägg till hänvisning när den finns tillgänglig.].</w:t>
      </w:r>
    </w:p>
    <w:p w14:paraId="0D5B1D3E" w14:textId="7AE61051"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(72)</w:t>
      </w:r>
      <w:r w:rsidRPr="00EB5AC1">
        <w:rPr>
          <w:szCs w:val="24"/>
          <w:lang w:eastAsia="en-US"/>
        </w:rPr>
        <w:tab/>
        <w:t xml:space="preserve">Lämpliga arrangemang bör föreskrivas för att underlätta en smidig övergång från bestämmelserna i förordning (EG) nr 469/2009 till bestämmelserna i den här förordningen. För att ge immaterialrättsmyndigheten tillräckligt med tid för att inrätta och genomföra det centraliserade förfarandet bör bestämmelserna om </w:t>
      </w:r>
      <w:r w:rsidR="00FD106D">
        <w:rPr>
          <w:szCs w:val="24"/>
          <w:lang w:eastAsia="en-US"/>
        </w:rPr>
        <w:t>centraliserade ansökningar</w:t>
      </w:r>
      <w:r w:rsidRPr="00EB5AC1">
        <w:rPr>
          <w:szCs w:val="24"/>
          <w:lang w:eastAsia="en-US"/>
        </w:rPr>
        <w:t xml:space="preserve"> tillämpas från och med den [Publikationsbyrån: för in datumet – ett år efter denna förordnings ikraftträdande].</w:t>
      </w:r>
    </w:p>
    <w:p w14:paraId="7B7D8619" w14:textId="77777777" w:rsidR="00EB5AC1" w:rsidRPr="00EB5AC1" w:rsidRDefault="00EB5AC1" w:rsidP="00EB5AC1">
      <w:pPr>
        <w:keepNext/>
        <w:widowControl/>
        <w:spacing w:before="120" w:after="120" w:line="360" w:lineRule="auto"/>
        <w:rPr>
          <w:szCs w:val="24"/>
          <w:lang w:eastAsia="en-US"/>
        </w:rPr>
      </w:pPr>
      <w:r w:rsidRPr="00EB5AC1">
        <w:rPr>
          <w:szCs w:val="24"/>
          <w:lang w:eastAsia="en-US"/>
        </w:rPr>
        <w:t>HÄRIGENOM FÖRESKRIVS FÖLJANDE.</w:t>
      </w:r>
    </w:p>
    <w:p w14:paraId="198E5E3A" w14:textId="77777777" w:rsidR="00662D5B" w:rsidRDefault="00662D5B">
      <w:pPr>
        <w:widowControl/>
        <w:rPr>
          <w:szCs w:val="24"/>
          <w:lang w:eastAsia="en-US"/>
        </w:rPr>
      </w:pPr>
      <w:r>
        <w:rPr>
          <w:szCs w:val="24"/>
          <w:lang w:eastAsia="en-US"/>
        </w:rPr>
        <w:br w:type="page"/>
      </w:r>
    </w:p>
    <w:p w14:paraId="05C19557" w14:textId="75B7A6FF" w:rsidR="00EB5AC1" w:rsidRPr="00EB5AC1" w:rsidRDefault="00EB5AC1" w:rsidP="00EB5AC1">
      <w:pPr>
        <w:spacing w:before="120" w:after="120" w:line="360" w:lineRule="auto"/>
        <w:jc w:val="center"/>
        <w:rPr>
          <w:szCs w:val="24"/>
          <w:lang w:eastAsia="en-US"/>
        </w:rPr>
      </w:pPr>
      <w:r w:rsidRPr="00EB5AC1">
        <w:rPr>
          <w:szCs w:val="24"/>
          <w:lang w:eastAsia="en-US"/>
        </w:rPr>
        <w:lastRenderedPageBreak/>
        <w:t>Kapitel I</w:t>
      </w:r>
      <w:r w:rsidRPr="00EB5AC1">
        <w:rPr>
          <w:szCs w:val="24"/>
          <w:lang w:eastAsia="en-US"/>
        </w:rPr>
        <w:br/>
      </w:r>
      <w:r w:rsidR="00650901">
        <w:rPr>
          <w:szCs w:val="24"/>
          <w:lang w:eastAsia="en-US"/>
        </w:rPr>
        <w:t>A</w:t>
      </w:r>
      <w:r w:rsidR="00650901" w:rsidRPr="00EB5AC1">
        <w:rPr>
          <w:szCs w:val="24"/>
          <w:lang w:eastAsia="en-US"/>
        </w:rPr>
        <w:t>llmänna bestämmelser</w:t>
      </w:r>
    </w:p>
    <w:p w14:paraId="6E8ADBE8" w14:textId="77777777" w:rsidR="00EB5AC1" w:rsidRPr="00EB5AC1" w:rsidRDefault="00EB5AC1" w:rsidP="00EB5AC1">
      <w:pPr>
        <w:spacing w:before="120" w:after="120" w:line="360" w:lineRule="auto"/>
        <w:jc w:val="center"/>
        <w:rPr>
          <w:szCs w:val="24"/>
          <w:lang w:eastAsia="en-US"/>
        </w:rPr>
      </w:pPr>
      <w:r w:rsidRPr="00EB5AC1">
        <w:rPr>
          <w:szCs w:val="24"/>
          <w:lang w:eastAsia="en-US"/>
        </w:rPr>
        <w:t>Artikel 1</w:t>
      </w:r>
      <w:r w:rsidRPr="00EB5AC1">
        <w:rPr>
          <w:szCs w:val="24"/>
          <w:lang w:eastAsia="en-US"/>
        </w:rPr>
        <w:br/>
        <w:t>Innehåll</w:t>
      </w:r>
    </w:p>
    <w:p w14:paraId="6023410D" w14:textId="598099FF" w:rsidR="00EB5AC1" w:rsidRPr="00EB5AC1" w:rsidRDefault="00EB5AC1" w:rsidP="00EB5AC1">
      <w:pPr>
        <w:spacing w:before="120" w:after="120" w:line="360" w:lineRule="auto"/>
        <w:rPr>
          <w:szCs w:val="24"/>
          <w:lang w:eastAsia="en-US"/>
        </w:rPr>
      </w:pPr>
      <w:r w:rsidRPr="00EB5AC1">
        <w:rPr>
          <w:szCs w:val="24"/>
          <w:lang w:eastAsia="en-US"/>
        </w:rPr>
        <w:t>I denna förordning fastställs bestämmelser om tilläggsskydd för läkemedel  som skyddas av patent i någon medlemsstats territorium och som innan det får saluföras som läkemedel ska undergå ett sådant administrativt godkännandeförfarande som fastställs i direktiv 2001/83/EG, förordning (EG) nr 726/2004  eller  förordning (EU) 2019/6.</w:t>
      </w:r>
    </w:p>
    <w:p w14:paraId="43836D9C" w14:textId="35A0B297" w:rsidR="00EB5AC1" w:rsidRPr="00EB5AC1" w:rsidRDefault="00EB5AC1" w:rsidP="00EB5AC1">
      <w:pPr>
        <w:spacing w:before="120" w:after="120" w:line="360" w:lineRule="auto"/>
        <w:jc w:val="center"/>
        <w:rPr>
          <w:szCs w:val="24"/>
          <w:lang w:eastAsia="en-US"/>
        </w:rPr>
      </w:pPr>
      <w:r w:rsidRPr="00EB5AC1">
        <w:rPr>
          <w:szCs w:val="24"/>
          <w:lang w:eastAsia="en-US"/>
        </w:rPr>
        <w:br w:type="page"/>
      </w:r>
      <w:r w:rsidRPr="00EB5AC1">
        <w:rPr>
          <w:szCs w:val="24"/>
          <w:lang w:eastAsia="en-US"/>
        </w:rPr>
        <w:lastRenderedPageBreak/>
        <w:t>Artikel 2</w:t>
      </w:r>
      <w:r w:rsidRPr="00EB5AC1">
        <w:rPr>
          <w:szCs w:val="24"/>
          <w:lang w:eastAsia="en-US"/>
        </w:rPr>
        <w:br/>
        <w:t>Definitioner</w:t>
      </w:r>
    </w:p>
    <w:p w14:paraId="2410C401" w14:textId="77777777" w:rsidR="00EB5AC1" w:rsidRPr="00EB5AC1" w:rsidRDefault="00EB5AC1" w:rsidP="00EB5AC1">
      <w:pPr>
        <w:spacing w:before="120" w:after="120" w:line="360" w:lineRule="auto"/>
        <w:rPr>
          <w:szCs w:val="24"/>
          <w:lang w:eastAsia="en-US"/>
        </w:rPr>
      </w:pPr>
      <w:r w:rsidRPr="00EB5AC1">
        <w:rPr>
          <w:szCs w:val="24"/>
          <w:lang w:eastAsia="en-US"/>
        </w:rPr>
        <w:t>I denna förordning gäller följande definitioner:</w:t>
      </w:r>
    </w:p>
    <w:p w14:paraId="323C1509"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w:t>
      </w:r>
      <w:r w:rsidRPr="00EB5AC1">
        <w:rPr>
          <w:szCs w:val="24"/>
          <w:lang w:eastAsia="en-US"/>
        </w:rPr>
        <w:tab/>
      </w:r>
      <w:r w:rsidRPr="00277D77">
        <w:rPr>
          <w:i/>
          <w:szCs w:val="24"/>
          <w:lang w:eastAsia="en-US"/>
        </w:rPr>
        <w:t>läkemedel</w:t>
      </w:r>
      <w:r w:rsidRPr="00EB5AC1">
        <w:rPr>
          <w:szCs w:val="24"/>
          <w:lang w:eastAsia="en-US"/>
        </w:rPr>
        <w:t>: substans eller kombination av substanser som tillhandahålls för att behandla eller förebygga sjukdom hos människor eller djur och likaså en substans eller en kombination av substanser avsedda att ges till människor eller djur i syfte att ställa medicinsk diagnos eller att återställa, korrigera eller modifiera fysiologiska funktioner hos människor eller djur.</w:t>
      </w:r>
    </w:p>
    <w:p w14:paraId="45FFB65D"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(2)</w:t>
      </w:r>
      <w:r w:rsidRPr="00EB5AC1">
        <w:rPr>
          <w:szCs w:val="24"/>
          <w:lang w:eastAsia="en-US"/>
        </w:rPr>
        <w:tab/>
      </w:r>
      <w:r w:rsidRPr="00277D77">
        <w:rPr>
          <w:i/>
          <w:szCs w:val="24"/>
          <w:lang w:eastAsia="en-US"/>
        </w:rPr>
        <w:t>produkt</w:t>
      </w:r>
      <w:r w:rsidRPr="00EB5AC1">
        <w:rPr>
          <w:szCs w:val="24"/>
          <w:lang w:eastAsia="en-US"/>
        </w:rPr>
        <w:t>: den aktiva ingrediensen eller kombinationen av aktiva ingredienser i ett läkemedel.</w:t>
      </w:r>
    </w:p>
    <w:p w14:paraId="7E03DB2F"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(3)</w:t>
      </w:r>
      <w:r w:rsidRPr="00EB5AC1">
        <w:rPr>
          <w:szCs w:val="24"/>
          <w:lang w:eastAsia="en-US"/>
        </w:rPr>
        <w:tab/>
      </w:r>
      <w:r w:rsidRPr="00277D77">
        <w:rPr>
          <w:i/>
          <w:szCs w:val="24"/>
          <w:lang w:eastAsia="en-US"/>
        </w:rPr>
        <w:t>grundpatent</w:t>
      </w:r>
      <w:r w:rsidRPr="00EB5AC1">
        <w:rPr>
          <w:szCs w:val="24"/>
          <w:lang w:eastAsia="en-US"/>
        </w:rPr>
        <w:t>: patent som skyddar en produkt som sådan, en metod att framställa en produkt eller en användning av en produkt och som av innehavaren åberopas som grund för   beviljande  av tilläggsskydd.</w:t>
      </w:r>
    </w:p>
    <w:p w14:paraId="74FC8C43"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(4)</w:t>
      </w:r>
      <w:r w:rsidRPr="00EB5AC1">
        <w:rPr>
          <w:szCs w:val="24"/>
          <w:lang w:eastAsia="en-US"/>
        </w:rPr>
        <w:tab/>
      </w:r>
      <w:r w:rsidRPr="00277D77">
        <w:rPr>
          <w:i/>
          <w:szCs w:val="24"/>
          <w:lang w:eastAsia="en-US"/>
        </w:rPr>
        <w:t>ansökan om förlängning av giltighetstiden</w:t>
      </w:r>
      <w:r w:rsidRPr="00EB5AC1">
        <w:rPr>
          <w:szCs w:val="24"/>
          <w:lang w:eastAsia="en-US"/>
        </w:rPr>
        <w:t xml:space="preserve">:  ansökan om förlängning av giltighetstiden för ett tilläggsskydd enligt artikel 13.3 i den här förordningen och artikel 36 i förordning (EG) nr 1901/2006 </w:t>
      </w:r>
      <w:r w:rsidRPr="00EB5AC1">
        <w:rPr>
          <w:szCs w:val="24"/>
          <w:vertAlign w:val="superscript"/>
          <w:lang w:val="en-GB" w:eastAsia="en-US"/>
        </w:rPr>
        <w:footnoteReference w:id="21"/>
      </w:r>
      <w:r w:rsidRPr="00EB5AC1">
        <w:rPr>
          <w:szCs w:val="24"/>
          <w:lang w:eastAsia="en-US"/>
        </w:rPr>
        <w:t>.</w:t>
      </w:r>
    </w:p>
    <w:p w14:paraId="179DDFA7"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(5)</w:t>
      </w:r>
      <w:r w:rsidRPr="00EB5AC1">
        <w:rPr>
          <w:szCs w:val="24"/>
          <w:lang w:eastAsia="en-US"/>
        </w:rPr>
        <w:tab/>
      </w:r>
      <w:r w:rsidRPr="00277D77">
        <w:rPr>
          <w:i/>
          <w:szCs w:val="24"/>
          <w:lang w:eastAsia="en-US"/>
        </w:rPr>
        <w:t>tillverkare</w:t>
      </w:r>
      <w:r w:rsidRPr="00EB5AC1">
        <w:rPr>
          <w:szCs w:val="24"/>
          <w:lang w:eastAsia="en-US"/>
        </w:rPr>
        <w:t>: person som är etablerad i unionen och för vars räkning en produkt, eller ett läkemedel som innehåller produkten, tillverkas, för export till tredjeländer eller för lagring.</w:t>
      </w:r>
    </w:p>
    <w:p w14:paraId="1E99C025"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(6)</w:t>
      </w:r>
      <w:r w:rsidRPr="00EB5AC1">
        <w:rPr>
          <w:szCs w:val="24"/>
          <w:lang w:eastAsia="en-US"/>
        </w:rPr>
        <w:tab/>
      </w:r>
      <w:r w:rsidRPr="00277D77">
        <w:rPr>
          <w:i/>
          <w:szCs w:val="24"/>
          <w:lang w:eastAsia="en-US"/>
        </w:rPr>
        <w:t>nationell ansökan</w:t>
      </w:r>
      <w:r w:rsidRPr="00EB5AC1">
        <w:rPr>
          <w:szCs w:val="24"/>
          <w:lang w:eastAsia="en-US"/>
        </w:rPr>
        <w:t>: ansökan om tilläggsskydd som lämnas till en behörig nationell myndighet i enlighet med artikel 9.</w:t>
      </w:r>
    </w:p>
    <w:p w14:paraId="0B6D00F2"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(7)</w:t>
      </w:r>
      <w:r w:rsidRPr="00EB5AC1">
        <w:rPr>
          <w:szCs w:val="24"/>
          <w:lang w:eastAsia="en-US"/>
        </w:rPr>
        <w:tab/>
      </w:r>
      <w:r w:rsidRPr="00277D77">
        <w:rPr>
          <w:i/>
          <w:szCs w:val="24"/>
          <w:lang w:eastAsia="en-US"/>
        </w:rPr>
        <w:t>centraliserad ansökan</w:t>
      </w:r>
      <w:r w:rsidRPr="00EB5AC1">
        <w:rPr>
          <w:szCs w:val="24"/>
          <w:lang w:eastAsia="en-US"/>
        </w:rPr>
        <w:t>: ansökan som lämnas till immaterialrättsmyndigheten i enlighet med artikel 20 i syfte att bevilja tilläggsskydd i angivna medlemsstater för den produkt som anges i ansökan.</w:t>
      </w:r>
    </w:p>
    <w:p w14:paraId="6FC9EB8C"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(8)</w:t>
      </w:r>
      <w:r w:rsidRPr="00EB5AC1">
        <w:rPr>
          <w:szCs w:val="24"/>
          <w:lang w:eastAsia="en-US"/>
        </w:rPr>
        <w:tab/>
      </w:r>
      <w:r w:rsidRPr="00277D77">
        <w:rPr>
          <w:i/>
          <w:szCs w:val="24"/>
          <w:lang w:eastAsia="en-US"/>
        </w:rPr>
        <w:t>centraliserad ansökan</w:t>
      </w:r>
      <w:r w:rsidRPr="00EB5AC1">
        <w:rPr>
          <w:szCs w:val="24"/>
          <w:lang w:eastAsia="en-US"/>
        </w:rPr>
        <w:t xml:space="preserve"> </w:t>
      </w:r>
      <w:r w:rsidRPr="00277D77">
        <w:rPr>
          <w:i/>
          <w:szCs w:val="24"/>
          <w:lang w:eastAsia="en-US"/>
        </w:rPr>
        <w:t>om förlängning av giltighetstiden</w:t>
      </w:r>
      <w:r w:rsidRPr="00EB5AC1">
        <w:rPr>
          <w:szCs w:val="24"/>
          <w:lang w:eastAsia="en-US"/>
        </w:rPr>
        <w:t>: ansökan om förlängning av giltighetstiden för ett tilläggsskydd i enlighet med artikel 30 i den här förordningen och artikel 36 i förordning (EG) nr 1901/2006.</w:t>
      </w:r>
    </w:p>
    <w:p w14:paraId="305E5D6F"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(9)</w:t>
      </w:r>
      <w:r w:rsidRPr="00EB5AC1">
        <w:rPr>
          <w:szCs w:val="24"/>
          <w:lang w:eastAsia="en-US"/>
        </w:rPr>
        <w:tab/>
      </w:r>
      <w:r w:rsidRPr="00277D77">
        <w:rPr>
          <w:i/>
          <w:szCs w:val="24"/>
          <w:lang w:eastAsia="en-US"/>
        </w:rPr>
        <w:t>angiven medlemsstat</w:t>
      </w:r>
      <w:r w:rsidRPr="00EB5AC1">
        <w:rPr>
          <w:szCs w:val="24"/>
          <w:lang w:eastAsia="en-US"/>
        </w:rPr>
        <w:t>: medlemsstat för vilken tilläggsskydd begärs enligt det centraliserade granskningsförfarandet i kapitel III, angiven i en centraliserad ansökan om tilläggsskydd.</w:t>
      </w:r>
    </w:p>
    <w:p w14:paraId="2F3343AB"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(10)</w:t>
      </w:r>
      <w:r w:rsidRPr="00EB5AC1">
        <w:rPr>
          <w:szCs w:val="24"/>
          <w:lang w:eastAsia="en-US"/>
        </w:rPr>
        <w:tab/>
      </w:r>
      <w:r w:rsidRPr="00277D77">
        <w:rPr>
          <w:i/>
          <w:szCs w:val="24"/>
          <w:lang w:eastAsia="en-US"/>
        </w:rPr>
        <w:t>europeiskt patent</w:t>
      </w:r>
      <w:r w:rsidRPr="00EB5AC1">
        <w:rPr>
          <w:szCs w:val="24"/>
          <w:lang w:eastAsia="en-US"/>
        </w:rPr>
        <w:t>: patent som beviljas av Europeiska patentverket (EPO) enligt de regler och förfaranden som fastställs i den europeiska patentkonventionen (EPC)</w:t>
      </w:r>
      <w:r w:rsidRPr="00EB5AC1">
        <w:rPr>
          <w:szCs w:val="24"/>
          <w:vertAlign w:val="superscript"/>
          <w:lang w:val="en-GB" w:eastAsia="en-US"/>
        </w:rPr>
        <w:footnoteReference w:id="22"/>
      </w:r>
      <w:r w:rsidRPr="00EB5AC1">
        <w:rPr>
          <w:szCs w:val="24"/>
          <w:lang w:eastAsia="en-US"/>
        </w:rPr>
        <w:t>.</w:t>
      </w:r>
    </w:p>
    <w:p w14:paraId="5CB7B084"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(11)</w:t>
      </w:r>
      <w:r w:rsidRPr="00EB5AC1">
        <w:rPr>
          <w:szCs w:val="24"/>
          <w:lang w:eastAsia="en-US"/>
        </w:rPr>
        <w:tab/>
      </w:r>
      <w:r w:rsidRPr="00277D77">
        <w:rPr>
          <w:i/>
          <w:szCs w:val="24"/>
          <w:lang w:eastAsia="en-US"/>
        </w:rPr>
        <w:t>enhetligt patent</w:t>
      </w:r>
      <w:r w:rsidRPr="00EB5AC1">
        <w:rPr>
          <w:szCs w:val="24"/>
          <w:lang w:eastAsia="en-US"/>
        </w:rPr>
        <w:t>: europeiskt patent som har enhetlig verkan i de medlemsstater som deltar i det fördjupade samarbete som fastställs i förordning (EU) nr 1257/2012.</w:t>
      </w:r>
    </w:p>
    <w:p w14:paraId="0DFB970A"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(12)</w:t>
      </w:r>
      <w:r w:rsidRPr="00EB5AC1">
        <w:rPr>
          <w:szCs w:val="24"/>
          <w:lang w:eastAsia="en-US"/>
        </w:rPr>
        <w:tab/>
      </w:r>
      <w:r w:rsidRPr="00277D77">
        <w:rPr>
          <w:i/>
          <w:szCs w:val="24"/>
          <w:lang w:eastAsia="en-US"/>
        </w:rPr>
        <w:t>behörig nationell myndighet</w:t>
      </w:r>
      <w:r w:rsidRPr="00EB5AC1">
        <w:rPr>
          <w:szCs w:val="24"/>
          <w:lang w:eastAsia="en-US"/>
        </w:rPr>
        <w:t>: nationell myndighet som i en viss medlemsstat är behörig att bevilja tilläggsskydd och avslå ansökan om tilläggsskydd i enlighet med artikel 9.1.</w:t>
      </w:r>
    </w:p>
    <w:p w14:paraId="07DE215E" w14:textId="70F0145C" w:rsidR="00EB5AC1" w:rsidRPr="00EB5AC1" w:rsidRDefault="00EB5AC1" w:rsidP="00EB5AC1">
      <w:pPr>
        <w:spacing w:before="120" w:after="120" w:line="360" w:lineRule="auto"/>
        <w:ind w:left="850" w:hanging="850"/>
        <w:rPr>
          <w:b/>
          <w:szCs w:val="24"/>
          <w:lang w:eastAsia="en-US"/>
        </w:rPr>
      </w:pPr>
      <w:r w:rsidRPr="00EB5AC1">
        <w:rPr>
          <w:b/>
          <w:i/>
          <w:szCs w:val="24"/>
          <w:lang w:eastAsia="en-US"/>
        </w:rPr>
        <w:t>12a.</w:t>
      </w:r>
      <w:r w:rsidRPr="00EB5AC1">
        <w:rPr>
          <w:szCs w:val="24"/>
          <w:lang w:eastAsia="en-US"/>
        </w:rPr>
        <w:tab/>
      </w:r>
      <w:r w:rsidRPr="00EB5AC1">
        <w:rPr>
          <w:b/>
          <w:i/>
          <w:szCs w:val="24"/>
          <w:lang w:eastAsia="en-US"/>
        </w:rPr>
        <w:t>ekonomiskt förbunden: när det gäller olika innehavare av två eller flera grundpatent som skyddar samma produkt, det faktum att en innehavare, direkt eller indirekt genom en eller flera mellanhänder, kontrollerar, kontrolleras av eller står under gemensam kontroll tillsammans med en annan innehavare.</w:t>
      </w:r>
      <w:r w:rsidRPr="00EB5AC1">
        <w:rPr>
          <w:b/>
          <w:szCs w:val="24"/>
          <w:lang w:eastAsia="en-US"/>
        </w:rPr>
        <w:t xml:space="preserve"> [</w:t>
      </w:r>
      <w:r w:rsidR="001734ED">
        <w:rPr>
          <w:b/>
          <w:szCs w:val="24"/>
          <w:lang w:eastAsia="en-US"/>
        </w:rPr>
        <w:t>Ändr.</w:t>
      </w:r>
      <w:r w:rsidRPr="00EB5AC1">
        <w:rPr>
          <w:b/>
          <w:szCs w:val="24"/>
          <w:lang w:eastAsia="en-US"/>
        </w:rPr>
        <w:t> 15]</w:t>
      </w:r>
    </w:p>
    <w:p w14:paraId="6FB2D89B" w14:textId="77777777" w:rsidR="00EB5AC1" w:rsidRPr="00EB5AC1" w:rsidRDefault="00EB5AC1" w:rsidP="00EB5AC1">
      <w:pPr>
        <w:spacing w:before="120" w:after="120" w:line="360" w:lineRule="auto"/>
        <w:jc w:val="center"/>
        <w:rPr>
          <w:szCs w:val="24"/>
          <w:lang w:eastAsia="en-US"/>
        </w:rPr>
      </w:pPr>
      <w:r w:rsidRPr="00EB5AC1">
        <w:rPr>
          <w:szCs w:val="24"/>
          <w:lang w:eastAsia="en-US"/>
        </w:rPr>
        <w:br w:type="page"/>
      </w:r>
      <w:r w:rsidRPr="00EB5AC1">
        <w:rPr>
          <w:szCs w:val="24"/>
          <w:lang w:eastAsia="en-US"/>
        </w:rPr>
        <w:lastRenderedPageBreak/>
        <w:t xml:space="preserve">Kapitel II </w:t>
      </w:r>
      <w:r w:rsidRPr="00EB5AC1">
        <w:rPr>
          <w:szCs w:val="24"/>
          <w:lang w:eastAsia="en-US"/>
        </w:rPr>
        <w:br/>
        <w:t>Nationell ansökan om tilläggsskydd</w:t>
      </w:r>
    </w:p>
    <w:p w14:paraId="3B2C9AC2" w14:textId="77777777" w:rsidR="00EB5AC1" w:rsidRPr="00EB5AC1" w:rsidRDefault="00EB5AC1" w:rsidP="00EB5AC1">
      <w:pPr>
        <w:spacing w:before="120" w:after="120" w:line="360" w:lineRule="auto"/>
        <w:jc w:val="center"/>
        <w:rPr>
          <w:szCs w:val="24"/>
          <w:lang w:eastAsia="en-US"/>
        </w:rPr>
      </w:pPr>
      <w:r w:rsidRPr="00EB5AC1">
        <w:rPr>
          <w:szCs w:val="24"/>
          <w:lang w:eastAsia="en-US"/>
        </w:rPr>
        <w:t>Artikel 3</w:t>
      </w:r>
      <w:r w:rsidRPr="00EB5AC1">
        <w:rPr>
          <w:szCs w:val="24"/>
          <w:lang w:eastAsia="en-US"/>
        </w:rPr>
        <w:br/>
        <w:t>Villkor för erhållande av tilläggsskydd</w:t>
      </w:r>
    </w:p>
    <w:p w14:paraId="3939E669"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w:t>
      </w:r>
      <w:r w:rsidRPr="00EB5AC1">
        <w:rPr>
          <w:szCs w:val="24"/>
          <w:lang w:eastAsia="en-US"/>
        </w:rPr>
        <w:tab/>
        <w:t>Tilläggsskydd   ska beviljas  om, i den medlemsstat där den ansökan som avses i artikel 7 görs och vid den tidpunkt då denna görs,  samtliga  följande villkor är uppfyllda:</w:t>
      </w:r>
    </w:p>
    <w:p w14:paraId="7D490D21"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(a)</w:t>
      </w:r>
      <w:r w:rsidRPr="00EB5AC1">
        <w:rPr>
          <w:szCs w:val="24"/>
          <w:lang w:eastAsia="en-US"/>
        </w:rPr>
        <w:tab/>
        <w:t>Produkten skyddas av ett gällande grundpatent.</w:t>
      </w:r>
    </w:p>
    <w:p w14:paraId="768993A9" w14:textId="4549EE87" w:rsidR="00EB5AC1" w:rsidRPr="00EB5AC1" w:rsidRDefault="00EB5AC1" w:rsidP="00EB5AC1">
      <w:pPr>
        <w:spacing w:before="120" w:after="120" w:line="360" w:lineRule="auto"/>
        <w:ind w:left="1416" w:hanging="566"/>
        <w:rPr>
          <w:b/>
          <w:szCs w:val="24"/>
          <w:lang w:eastAsia="en-US"/>
        </w:rPr>
      </w:pPr>
      <w:r w:rsidRPr="00EB5AC1">
        <w:rPr>
          <w:szCs w:val="24"/>
          <w:lang w:eastAsia="en-US"/>
        </w:rPr>
        <w:t>(b)</w:t>
      </w:r>
      <w:r w:rsidRPr="00EB5AC1">
        <w:rPr>
          <w:szCs w:val="24"/>
          <w:lang w:eastAsia="en-US"/>
        </w:rPr>
        <w:tab/>
        <w:t xml:space="preserve">Ett giltigt godkännande att saluföra produkten som läkemedel har lämnats i enlighet med direktiv </w:t>
      </w:r>
      <w:r w:rsidRPr="00EB5AC1">
        <w:rPr>
          <w:strike/>
          <w:szCs w:val="24"/>
          <w:lang w:eastAsia="en-US"/>
        </w:rPr>
        <w:t>2001/83/EG</w:t>
      </w:r>
      <w:r w:rsidRPr="00EB5AC1">
        <w:rPr>
          <w:b/>
          <w:i/>
          <w:szCs w:val="24"/>
          <w:lang w:eastAsia="en-US"/>
        </w:rPr>
        <w:t>.../... [2023/0132(COD)]</w:t>
      </w:r>
      <w:r w:rsidRPr="00EB5AC1">
        <w:rPr>
          <w:szCs w:val="24"/>
          <w:lang w:eastAsia="en-US"/>
        </w:rPr>
        <w:t>,förordning (EG) nr 726/2004</w:t>
      </w:r>
      <w:r w:rsidR="00A703A6">
        <w:rPr>
          <w:szCs w:val="24"/>
          <w:lang w:eastAsia="en-US"/>
        </w:rPr>
        <w:t xml:space="preserve"> </w:t>
      </w:r>
      <w:r w:rsidRPr="00EB5AC1">
        <w:rPr>
          <w:szCs w:val="24"/>
          <w:lang w:eastAsia="en-US"/>
        </w:rPr>
        <w:t>eller</w:t>
      </w:r>
      <w:r w:rsidR="00A703A6">
        <w:rPr>
          <w:szCs w:val="24"/>
          <w:lang w:eastAsia="en-US"/>
        </w:rPr>
        <w:t xml:space="preserve"> </w:t>
      </w:r>
      <w:r w:rsidRPr="00EB5AC1">
        <w:rPr>
          <w:szCs w:val="24"/>
          <w:lang w:eastAsia="en-US"/>
        </w:rPr>
        <w:t>förordning (EU) 2019/6, beroende på vad som är tillämpligt.</w:t>
      </w:r>
      <w:r w:rsidRPr="00EB5AC1">
        <w:rPr>
          <w:b/>
          <w:szCs w:val="24"/>
          <w:lang w:eastAsia="en-US"/>
        </w:rPr>
        <w:t xml:space="preserve"> [</w:t>
      </w:r>
      <w:r w:rsidR="001734ED">
        <w:rPr>
          <w:b/>
          <w:szCs w:val="24"/>
          <w:lang w:eastAsia="en-US"/>
        </w:rPr>
        <w:t>Ändr.</w:t>
      </w:r>
      <w:r w:rsidRPr="00EB5AC1">
        <w:rPr>
          <w:b/>
          <w:szCs w:val="24"/>
          <w:lang w:eastAsia="en-US"/>
        </w:rPr>
        <w:t> 16]</w:t>
      </w:r>
    </w:p>
    <w:p w14:paraId="16F2B129"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(c)</w:t>
      </w:r>
      <w:r w:rsidRPr="00EB5AC1">
        <w:rPr>
          <w:szCs w:val="24"/>
          <w:lang w:eastAsia="en-US"/>
        </w:rPr>
        <w:tab/>
        <w:t>Produkten har inte tidigare omfattats av ett tilläggsskydd.</w:t>
      </w:r>
    </w:p>
    <w:p w14:paraId="7783219F"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(d)</w:t>
      </w:r>
      <w:r w:rsidRPr="00EB5AC1">
        <w:rPr>
          <w:szCs w:val="24"/>
          <w:lang w:eastAsia="en-US"/>
        </w:rPr>
        <w:tab/>
        <w:t>Det godkännande som avses under led b är första godkännandet att saluföra produkten som läkemedel.</w:t>
      </w:r>
    </w:p>
    <w:p w14:paraId="7CADC5A5"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2.</w:t>
      </w:r>
      <w:r w:rsidRPr="00EB5AC1">
        <w:rPr>
          <w:szCs w:val="24"/>
          <w:lang w:eastAsia="en-US"/>
        </w:rPr>
        <w:tab/>
        <w:t>Genom undantag från punkt 1 får ett tilläggsskydd inte beviljas enligt detta kapitel i en medlemsstat på grundval av en nationell ansökan om kraven i artikel 20.1 är uppfyllda för inlämning av en centraliserad ansökan i vilken medlemsstaten anges.</w:t>
      </w:r>
    </w:p>
    <w:p w14:paraId="318458EF" w14:textId="40509A78" w:rsidR="00EB5AC1" w:rsidRPr="00EB5AC1" w:rsidRDefault="00EB5AC1" w:rsidP="00EB5AC1">
      <w:pPr>
        <w:spacing w:before="120" w:after="120" w:line="360" w:lineRule="auto"/>
        <w:ind w:left="850" w:hanging="850"/>
        <w:rPr>
          <w:b/>
          <w:szCs w:val="24"/>
          <w:lang w:eastAsia="en-US"/>
        </w:rPr>
      </w:pPr>
      <w:r w:rsidRPr="00EB5AC1">
        <w:rPr>
          <w:szCs w:val="24"/>
          <w:lang w:eastAsia="en-US"/>
        </w:rPr>
        <w:t>3.</w:t>
      </w:r>
      <w:r w:rsidRPr="00EB5AC1">
        <w:rPr>
          <w:szCs w:val="24"/>
          <w:lang w:eastAsia="en-US"/>
        </w:rPr>
        <w:tab/>
        <w:t>En innehavare av flera patent för samma produkt får inte beviljas flera tilläggsskydd för denna produkt. Om två eller flera ansökningar, som avser samma produkt och som härrör från två eller flera patentinnehavare av olika patent, fortfarande är föremål för granskning, får tilläggsskydd för denna produkt dock beviljas för var och en av dessa innehavare om de inte har någon ekonomisk anknytning.</w:t>
      </w:r>
      <w:r w:rsidRPr="00EB5AC1">
        <w:rPr>
          <w:b/>
          <w:i/>
          <w:szCs w:val="24"/>
          <w:lang w:eastAsia="en-US"/>
        </w:rPr>
        <w:t xml:space="preserve"> Samma princip ska gälla i tillämpliga delar för ansökningar från innehavaren avseende samma produkt för vilken ett eller flera tilläggsskydd eller enhetliga tilläggsskydd tidigare har beviljats olika andra innehavare av olika patent.</w:t>
      </w:r>
      <w:r w:rsidRPr="00EB5AC1">
        <w:rPr>
          <w:b/>
          <w:szCs w:val="24"/>
          <w:lang w:eastAsia="en-US"/>
        </w:rPr>
        <w:t xml:space="preserve"> [</w:t>
      </w:r>
      <w:r w:rsidR="001734ED">
        <w:rPr>
          <w:b/>
          <w:szCs w:val="24"/>
          <w:lang w:eastAsia="en-US"/>
        </w:rPr>
        <w:t>Ändr.</w:t>
      </w:r>
      <w:r w:rsidRPr="00EB5AC1">
        <w:rPr>
          <w:b/>
          <w:szCs w:val="24"/>
          <w:lang w:eastAsia="en-US"/>
        </w:rPr>
        <w:t> 17]</w:t>
      </w:r>
    </w:p>
    <w:p w14:paraId="3D548465" w14:textId="77777777" w:rsidR="00EB5AC1" w:rsidRPr="00EB5AC1" w:rsidRDefault="00EB5AC1" w:rsidP="00EB5AC1">
      <w:pPr>
        <w:spacing w:before="120" w:after="120" w:line="360" w:lineRule="auto"/>
        <w:jc w:val="center"/>
        <w:rPr>
          <w:szCs w:val="24"/>
          <w:lang w:eastAsia="en-US"/>
        </w:rPr>
      </w:pPr>
      <w:r w:rsidRPr="00EB5AC1">
        <w:rPr>
          <w:szCs w:val="24"/>
          <w:lang w:eastAsia="en-US"/>
        </w:rPr>
        <w:br w:type="page"/>
      </w:r>
      <w:r w:rsidRPr="00EB5AC1">
        <w:rPr>
          <w:szCs w:val="24"/>
          <w:lang w:eastAsia="en-US"/>
        </w:rPr>
        <w:lastRenderedPageBreak/>
        <w:t>Artikel 4</w:t>
      </w:r>
      <w:r w:rsidRPr="00EB5AC1">
        <w:rPr>
          <w:szCs w:val="24"/>
          <w:lang w:eastAsia="en-US"/>
        </w:rPr>
        <w:br/>
        <w:t>Skyddets omfattning</w:t>
      </w:r>
    </w:p>
    <w:p w14:paraId="6E67D9AD" w14:textId="77777777" w:rsidR="00EB5AC1" w:rsidRPr="00EB5AC1" w:rsidRDefault="00EB5AC1" w:rsidP="00EB5AC1">
      <w:pPr>
        <w:spacing w:before="120" w:after="120" w:line="360" w:lineRule="auto"/>
        <w:rPr>
          <w:szCs w:val="24"/>
          <w:lang w:eastAsia="en-US"/>
        </w:rPr>
      </w:pPr>
      <w:r w:rsidRPr="00EB5AC1">
        <w:rPr>
          <w:szCs w:val="24"/>
          <w:lang w:eastAsia="en-US"/>
        </w:rPr>
        <w:t>Inom ramen för det skydd som grundpatentet ger, ska ett tilläggsskydd ge ett skydd som sträcker sig endast så långt att det avser den produkt som omfattas av godkännandet att saluföra  motsvarande läkemedel på marknaden   och   varje  användning av produkten som läkemedel vilken godkänts före utgången av tilläggsskyddets giltighetstid.</w:t>
      </w:r>
    </w:p>
    <w:p w14:paraId="2116AA86" w14:textId="77777777" w:rsidR="00EB5AC1" w:rsidRPr="00EB5AC1" w:rsidRDefault="00EB5AC1" w:rsidP="00EB5AC1">
      <w:pPr>
        <w:spacing w:before="120" w:after="120" w:line="360" w:lineRule="auto"/>
        <w:jc w:val="center"/>
        <w:rPr>
          <w:szCs w:val="24"/>
          <w:lang w:eastAsia="en-US"/>
        </w:rPr>
      </w:pPr>
      <w:r w:rsidRPr="00EB5AC1">
        <w:rPr>
          <w:szCs w:val="24"/>
          <w:lang w:eastAsia="en-US"/>
        </w:rPr>
        <w:t>Artikel 5</w:t>
      </w:r>
      <w:r w:rsidRPr="00EB5AC1">
        <w:rPr>
          <w:szCs w:val="24"/>
          <w:lang w:eastAsia="en-US"/>
        </w:rPr>
        <w:br/>
        <w:t>Tilläggsskyddets verkan</w:t>
      </w:r>
    </w:p>
    <w:p w14:paraId="7D98A713"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w:t>
      </w:r>
      <w:r w:rsidRPr="00EB5AC1">
        <w:rPr>
          <w:szCs w:val="24"/>
          <w:lang w:eastAsia="en-US"/>
        </w:rPr>
        <w:tab/>
        <w:t>Ett tilläggsskydd ska ge samma rättigheter som grundpatentet gav och  ska ha samma begränsningar och medföra samma skyldigheter.</w:t>
      </w:r>
    </w:p>
    <w:p w14:paraId="644E8048" w14:textId="6F42B6DF" w:rsidR="00EB5AC1" w:rsidRPr="00EB5AC1" w:rsidRDefault="00EB5AC1" w:rsidP="00EB5AC1">
      <w:pPr>
        <w:spacing w:before="120" w:after="120" w:line="360" w:lineRule="auto"/>
        <w:ind w:left="850" w:hanging="850"/>
        <w:rPr>
          <w:b/>
          <w:szCs w:val="24"/>
          <w:lang w:eastAsia="en-US"/>
        </w:rPr>
      </w:pPr>
      <w:r w:rsidRPr="00EB5AC1">
        <w:rPr>
          <w:szCs w:val="24"/>
          <w:lang w:eastAsia="en-US"/>
        </w:rPr>
        <w:t>2.</w:t>
      </w:r>
      <w:r w:rsidRPr="00EB5AC1">
        <w:rPr>
          <w:szCs w:val="24"/>
          <w:lang w:eastAsia="en-US"/>
        </w:rPr>
        <w:tab/>
        <w:t xml:space="preserve">Genom undantag från punkt 1 </w:t>
      </w:r>
      <w:r w:rsidRPr="00EB5AC1">
        <w:rPr>
          <w:b/>
          <w:i/>
          <w:szCs w:val="24"/>
          <w:lang w:eastAsia="en-US"/>
        </w:rPr>
        <w:t xml:space="preserve">och i enlighet med förordning (EU) .../... [2023/0130(COD)] ska </w:t>
      </w:r>
      <w:proofErr w:type="gramStart"/>
      <w:r w:rsidRPr="00EB5AC1">
        <w:rPr>
          <w:strike/>
          <w:szCs w:val="24"/>
          <w:lang w:eastAsia="en-US"/>
        </w:rPr>
        <w:t>ska</w:t>
      </w:r>
      <w:proofErr w:type="gramEnd"/>
      <w:r w:rsidRPr="00EB5AC1">
        <w:rPr>
          <w:strike/>
          <w:szCs w:val="24"/>
          <w:lang w:eastAsia="en-US"/>
        </w:rPr>
        <w:t xml:space="preserve">   </w:t>
      </w:r>
      <w:r w:rsidRPr="00EB5AC1">
        <w:rPr>
          <w:szCs w:val="24"/>
          <w:lang w:eastAsia="en-US"/>
        </w:rPr>
        <w:t>tilläggsskyddet</w:t>
      </w:r>
      <w:r w:rsidR="00EB30C3">
        <w:rPr>
          <w:szCs w:val="24"/>
          <w:lang w:eastAsia="en-US"/>
        </w:rPr>
        <w:t xml:space="preserve"> </w:t>
      </w:r>
      <w:r w:rsidRPr="00EB5AC1">
        <w:rPr>
          <w:szCs w:val="24"/>
          <w:lang w:eastAsia="en-US"/>
        </w:rPr>
        <w:t>inte ge skydd mot vissa handlingar som annars skulle kräva samtycke från innehavaren av tilläggsskyddet om</w:t>
      </w:r>
      <w:r w:rsidR="00EB30C3">
        <w:rPr>
          <w:szCs w:val="24"/>
          <w:lang w:eastAsia="en-US"/>
        </w:rPr>
        <w:t xml:space="preserve"> </w:t>
      </w:r>
      <w:r w:rsidRPr="00EB5AC1">
        <w:rPr>
          <w:szCs w:val="24"/>
          <w:lang w:eastAsia="en-US"/>
        </w:rPr>
        <w:t>samtliga</w:t>
      </w:r>
      <w:r w:rsidR="00EB30C3">
        <w:rPr>
          <w:szCs w:val="24"/>
          <w:lang w:eastAsia="en-US"/>
        </w:rPr>
        <w:t xml:space="preserve"> </w:t>
      </w:r>
      <w:r w:rsidRPr="00EB5AC1">
        <w:rPr>
          <w:szCs w:val="24"/>
          <w:lang w:eastAsia="en-US"/>
        </w:rPr>
        <w:t>följande villkor är uppfyllda:</w:t>
      </w:r>
      <w:r w:rsidRPr="00EB5AC1">
        <w:rPr>
          <w:b/>
          <w:szCs w:val="24"/>
          <w:lang w:eastAsia="en-US"/>
        </w:rPr>
        <w:t xml:space="preserve"> [</w:t>
      </w:r>
      <w:r w:rsidR="001734ED">
        <w:rPr>
          <w:b/>
          <w:szCs w:val="24"/>
          <w:lang w:eastAsia="en-US"/>
        </w:rPr>
        <w:t>Ändr.</w:t>
      </w:r>
      <w:r w:rsidRPr="00EB5AC1">
        <w:rPr>
          <w:b/>
          <w:szCs w:val="24"/>
          <w:lang w:eastAsia="en-US"/>
        </w:rPr>
        <w:t> 18]</w:t>
      </w:r>
    </w:p>
    <w:p w14:paraId="329C3814"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(a)</w:t>
      </w:r>
      <w:r w:rsidRPr="00EB5AC1">
        <w:rPr>
          <w:szCs w:val="24"/>
          <w:lang w:eastAsia="en-US"/>
        </w:rPr>
        <w:tab/>
        <w:t>Handlingen omfattar  något av följande :</w:t>
      </w:r>
    </w:p>
    <w:p w14:paraId="2E201CA7" w14:textId="77777777" w:rsidR="00EB5AC1" w:rsidRPr="00277D77" w:rsidRDefault="00EB5AC1" w:rsidP="00EB5AC1">
      <w:pPr>
        <w:spacing w:before="120" w:after="120" w:line="360" w:lineRule="auto"/>
        <w:ind w:left="1982" w:hanging="566"/>
        <w:rPr>
          <w:b/>
          <w:szCs w:val="24"/>
          <w:lang w:eastAsia="en-US"/>
        </w:rPr>
      </w:pPr>
      <w:r w:rsidRPr="00EB5AC1">
        <w:rPr>
          <w:szCs w:val="24"/>
          <w:lang w:eastAsia="en-US"/>
        </w:rPr>
        <w:br w:type="page"/>
      </w:r>
      <w:r w:rsidRPr="00EB5AC1">
        <w:rPr>
          <w:szCs w:val="24"/>
          <w:lang w:eastAsia="en-US"/>
        </w:rPr>
        <w:lastRenderedPageBreak/>
        <w:t>i)</w:t>
      </w:r>
      <w:r w:rsidRPr="00EB5AC1">
        <w:rPr>
          <w:szCs w:val="24"/>
          <w:lang w:eastAsia="en-US"/>
        </w:rPr>
        <w:tab/>
        <w:t>Tillverkning av en produkt, eller ett läkemedel som innehåller produkten, för export till tredjeländer.</w:t>
      </w:r>
      <w:r w:rsidRPr="00EB5AC1">
        <w:rPr>
          <w:b/>
          <w:i/>
          <w:szCs w:val="24"/>
          <w:lang w:eastAsia="en-US"/>
        </w:rPr>
        <w:t>(Berör inte den svenska versionen.)</w:t>
      </w:r>
      <w:r w:rsidR="00662D5B">
        <w:rPr>
          <w:b/>
          <w:szCs w:val="24"/>
          <w:lang w:eastAsia="en-US"/>
        </w:rPr>
        <w:t xml:space="preserve"> [Ändr. 19]</w:t>
      </w:r>
    </w:p>
    <w:p w14:paraId="20F7EDCA" w14:textId="77777777" w:rsidR="00EB5AC1" w:rsidRPr="00277D77" w:rsidRDefault="00EB5AC1" w:rsidP="00EB5AC1">
      <w:pPr>
        <w:spacing w:before="120" w:after="120" w:line="360" w:lineRule="auto"/>
        <w:ind w:left="1982" w:hanging="566"/>
        <w:rPr>
          <w:b/>
          <w:szCs w:val="24"/>
          <w:lang w:eastAsia="en-US"/>
        </w:rPr>
      </w:pPr>
      <w:r w:rsidRPr="00EB5AC1">
        <w:rPr>
          <w:szCs w:val="24"/>
          <w:lang w:eastAsia="en-US"/>
        </w:rPr>
        <w:t>ii)</w:t>
      </w:r>
      <w:r w:rsidRPr="00EB5AC1">
        <w:rPr>
          <w:szCs w:val="24"/>
          <w:lang w:eastAsia="en-US"/>
        </w:rPr>
        <w:tab/>
        <w:t xml:space="preserve">Andra relaterade handlingar som är absolut nödvändiga för </w:t>
      </w:r>
      <w:r w:rsidRPr="00EB5AC1">
        <w:rPr>
          <w:strike/>
          <w:szCs w:val="24"/>
          <w:lang w:eastAsia="en-US"/>
        </w:rPr>
        <w:t>den</w:t>
      </w:r>
      <w:r w:rsidRPr="00EB5AC1">
        <w:rPr>
          <w:b/>
          <w:i/>
          <w:szCs w:val="24"/>
          <w:lang w:eastAsia="en-US"/>
        </w:rPr>
        <w:t>denna</w:t>
      </w:r>
      <w:r w:rsidRPr="00EB5AC1">
        <w:rPr>
          <w:szCs w:val="24"/>
          <w:lang w:eastAsia="en-US"/>
        </w:rPr>
        <w:t xml:space="preserve"> tillverkning i unionen</w:t>
      </w:r>
      <w:r w:rsidRPr="00EB5AC1">
        <w:rPr>
          <w:strike/>
          <w:szCs w:val="24"/>
          <w:lang w:eastAsia="en-US"/>
        </w:rPr>
        <w:t xml:space="preserve"> som avses i led i</w:t>
      </w:r>
      <w:r w:rsidRPr="00EB5AC1">
        <w:rPr>
          <w:szCs w:val="24"/>
          <w:lang w:eastAsia="en-US"/>
        </w:rPr>
        <w:t xml:space="preserve"> eller för själva exporten.</w:t>
      </w:r>
      <w:r w:rsidR="00662D5B">
        <w:rPr>
          <w:b/>
          <w:szCs w:val="24"/>
          <w:lang w:eastAsia="en-US"/>
        </w:rPr>
        <w:t xml:space="preserve"> [Ändr. 20]</w:t>
      </w:r>
    </w:p>
    <w:p w14:paraId="626A1DEC" w14:textId="77777777" w:rsidR="00EB5AC1" w:rsidRPr="00277D77" w:rsidRDefault="00EB5AC1" w:rsidP="00EB5AC1">
      <w:pPr>
        <w:spacing w:before="120" w:after="120" w:line="360" w:lineRule="auto"/>
        <w:ind w:left="1982" w:hanging="566"/>
        <w:rPr>
          <w:b/>
          <w:szCs w:val="24"/>
          <w:lang w:eastAsia="en-US"/>
        </w:rPr>
      </w:pPr>
      <w:r w:rsidRPr="00EB5AC1">
        <w:rPr>
          <w:szCs w:val="24"/>
          <w:lang w:eastAsia="en-US"/>
        </w:rPr>
        <w:t>iii)</w:t>
      </w:r>
      <w:r w:rsidRPr="00EB5AC1">
        <w:rPr>
          <w:szCs w:val="24"/>
          <w:lang w:eastAsia="en-US"/>
        </w:rPr>
        <w:tab/>
        <w:t xml:space="preserve">Tillverkning, tidigast sex månader innan tilläggsskyddet upphör att gälla, av en produkt, eller ett läkemedel som innehåller produkten, för lagring i den medlemsstat där tillverkningen sker </w:t>
      </w:r>
      <w:r w:rsidRPr="00EB5AC1">
        <w:rPr>
          <w:strike/>
          <w:szCs w:val="24"/>
          <w:lang w:eastAsia="en-US"/>
        </w:rPr>
        <w:t>och därefter saluföring av</w:t>
      </w:r>
      <w:r w:rsidRPr="00EB5AC1">
        <w:rPr>
          <w:b/>
          <w:i/>
          <w:szCs w:val="24"/>
          <w:lang w:eastAsia="en-US"/>
        </w:rPr>
        <w:t>i syfte att släppa ut</w:t>
      </w:r>
      <w:r w:rsidRPr="00EB5AC1">
        <w:rPr>
          <w:szCs w:val="24"/>
          <w:lang w:eastAsia="en-US"/>
        </w:rPr>
        <w:t xml:space="preserve"> produkten, eller ett läkemedel som innehåller produkten, på medlemsstaternas marknader efter det att </w:t>
      </w:r>
      <w:r w:rsidRPr="00EB5AC1">
        <w:rPr>
          <w:strike/>
          <w:szCs w:val="24"/>
          <w:lang w:eastAsia="en-US"/>
        </w:rPr>
        <w:t>motsvarande tilläggsskydd</w:t>
      </w:r>
      <w:r w:rsidRPr="00EB5AC1">
        <w:rPr>
          <w:b/>
          <w:i/>
          <w:szCs w:val="24"/>
          <w:lang w:eastAsia="en-US"/>
        </w:rPr>
        <w:t>tilläggsskyddet</w:t>
      </w:r>
      <w:r w:rsidRPr="00EB5AC1">
        <w:rPr>
          <w:szCs w:val="24"/>
          <w:lang w:eastAsia="en-US"/>
        </w:rPr>
        <w:t xml:space="preserve"> upphört att gälla.</w:t>
      </w:r>
      <w:r w:rsidR="00662D5B">
        <w:rPr>
          <w:b/>
          <w:szCs w:val="24"/>
          <w:lang w:eastAsia="en-US"/>
        </w:rPr>
        <w:t xml:space="preserve"> [Ändr. 21]</w:t>
      </w:r>
    </w:p>
    <w:p w14:paraId="1C0AC1C6" w14:textId="4287AC44" w:rsidR="00EB5AC1" w:rsidRPr="00EB5AC1" w:rsidRDefault="00EB5AC1" w:rsidP="00EB5AC1">
      <w:pPr>
        <w:spacing w:before="120" w:after="120" w:line="360" w:lineRule="auto"/>
        <w:ind w:left="1982" w:hanging="566"/>
        <w:rPr>
          <w:b/>
          <w:szCs w:val="24"/>
          <w:lang w:eastAsia="en-US"/>
        </w:rPr>
      </w:pPr>
      <w:r w:rsidRPr="00EB5AC1">
        <w:rPr>
          <w:szCs w:val="24"/>
          <w:lang w:eastAsia="en-US"/>
        </w:rPr>
        <w:t>iv)</w:t>
      </w:r>
      <w:r w:rsidRPr="00EB5AC1">
        <w:rPr>
          <w:szCs w:val="24"/>
          <w:lang w:eastAsia="en-US"/>
        </w:rPr>
        <w:tab/>
        <w:t>Andra relaterade handlingar som är absolut nödvändiga för</w:t>
      </w:r>
      <w:r w:rsidRPr="00EB5AC1">
        <w:rPr>
          <w:strike/>
          <w:szCs w:val="24"/>
          <w:lang w:eastAsia="en-US"/>
        </w:rPr>
        <w:t xml:space="preserve">  den  tillverkning</w:t>
      </w:r>
      <w:r w:rsidRPr="00EB5AC1">
        <w:rPr>
          <w:b/>
          <w:i/>
          <w:szCs w:val="24"/>
          <w:lang w:eastAsia="en-US"/>
        </w:rPr>
        <w:t xml:space="preserve"> tillverkningen</w:t>
      </w:r>
      <w:r w:rsidRPr="00EB5AC1">
        <w:rPr>
          <w:szCs w:val="24"/>
          <w:lang w:eastAsia="en-US"/>
        </w:rPr>
        <w:t xml:space="preserve"> i unionen</w:t>
      </w:r>
      <w:r w:rsidRPr="00EB5AC1">
        <w:rPr>
          <w:b/>
          <w:i/>
          <w:szCs w:val="24"/>
          <w:lang w:eastAsia="en-US"/>
        </w:rPr>
        <w:t xml:space="preserve"> enligt vad</w:t>
      </w:r>
      <w:r w:rsidRPr="00EB5AC1">
        <w:rPr>
          <w:szCs w:val="24"/>
          <w:lang w:eastAsia="en-US"/>
        </w:rPr>
        <w:t xml:space="preserve"> som avses i led iii, eller för själva lagringen, under förutsättning att en sådan relaterad handling inte utförs tidigare än sex månader innan tilläggsskyddet upphör att gälla.</w:t>
      </w:r>
      <w:r w:rsidRPr="00EB5AC1">
        <w:rPr>
          <w:b/>
          <w:szCs w:val="24"/>
          <w:lang w:eastAsia="en-US"/>
        </w:rPr>
        <w:t xml:space="preserve"> [</w:t>
      </w:r>
      <w:r w:rsidR="001734ED">
        <w:rPr>
          <w:b/>
          <w:szCs w:val="24"/>
          <w:lang w:eastAsia="en-US"/>
        </w:rPr>
        <w:t>Ändr.</w:t>
      </w:r>
      <w:r w:rsidRPr="00EB5AC1">
        <w:rPr>
          <w:b/>
          <w:szCs w:val="24"/>
          <w:lang w:eastAsia="en-US"/>
        </w:rPr>
        <w:t> 22]</w:t>
      </w:r>
    </w:p>
    <w:p w14:paraId="63B89701"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br w:type="page"/>
      </w:r>
      <w:r w:rsidRPr="00EB5AC1">
        <w:rPr>
          <w:szCs w:val="24"/>
          <w:lang w:eastAsia="en-US"/>
        </w:rPr>
        <w:lastRenderedPageBreak/>
        <w:t>(b)</w:t>
      </w:r>
      <w:r w:rsidRPr="00EB5AC1">
        <w:rPr>
          <w:szCs w:val="24"/>
          <w:lang w:eastAsia="en-US"/>
        </w:rPr>
        <w:tab/>
        <w:t>Tillverkaren underrättar, på lämpligt och dokumenterat sätt, den myndighet, som avses i artikel 9.1, i den medlemsstat där tillverkningen ska ske, och informerar innehavaren av tilläggsskyddet om de uppgifter som  avses   i punkt 5 i  senast tre månader före tillverkningens startdatum i den medlemsstaten eller senast tre månader före den första relaterade handlingen, före tillverkningsstarten, som i annat fall skulle vara förbjuden på grund av det skydd som tilläggsskyddet ger, beroende på vilket som infaller först.</w:t>
      </w:r>
    </w:p>
    <w:p w14:paraId="3B85E58B"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(c)</w:t>
      </w:r>
      <w:r w:rsidRPr="00EB5AC1">
        <w:rPr>
          <w:szCs w:val="24"/>
          <w:lang w:eastAsia="en-US"/>
        </w:rPr>
        <w:tab/>
        <w:t>Om de uppgifter som  avses   i punkt 5 i den här artikeln ändras ska tillverkaren underrätta den myndighet som avses i artikel 9.1 och informera innehavaren av tilläggsskyddet innan ändringarna börjar gälla.</w:t>
      </w:r>
    </w:p>
    <w:p w14:paraId="1AC3D9B8"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(d)</w:t>
      </w:r>
      <w:r w:rsidRPr="00EB5AC1">
        <w:rPr>
          <w:szCs w:val="24"/>
          <w:lang w:eastAsia="en-US"/>
        </w:rPr>
        <w:tab/>
        <w:t>I de fall produkter, eller läkemedel som innehåller dessa produkter, har tillverkats för export till tredjeländer ska tillverkaren säkerställa att en logotyp enligt bilaga  II anbringas på den yttre förpackningen för produkten, eller det läkemedel som innehåller produkten, som avses i led a i i   den här punkten , och, när så är möjligt, på läkemedelsbehållaren.</w:t>
      </w:r>
    </w:p>
    <w:p w14:paraId="6684219D"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(e)</w:t>
      </w:r>
      <w:r w:rsidRPr="00EB5AC1">
        <w:rPr>
          <w:szCs w:val="24"/>
          <w:lang w:eastAsia="en-US"/>
        </w:rPr>
        <w:tab/>
        <w:t>Tillverkaren följer punkt 9 i den här artikeln och, i förekommande fall, artikel 12.2.</w:t>
      </w:r>
    </w:p>
    <w:p w14:paraId="760A5F98"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3.</w:t>
      </w:r>
      <w:r w:rsidRPr="00EB5AC1">
        <w:rPr>
          <w:szCs w:val="24"/>
          <w:lang w:eastAsia="en-US"/>
        </w:rPr>
        <w:tab/>
        <w:t>Punkt 2 omfattar inte någon handling eller verksamhet som utförs för att importera produkter, eller läkemedel som innehåller dessa produkter, till unionen enbart för ompackning, återexport eller lagring.</w:t>
      </w:r>
    </w:p>
    <w:p w14:paraId="07024913"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4.</w:t>
      </w:r>
      <w:r w:rsidRPr="00EB5AC1">
        <w:rPr>
          <w:szCs w:val="24"/>
          <w:lang w:eastAsia="en-US"/>
        </w:rPr>
        <w:tab/>
        <w:t>De uppgifter som lämnats till innehavaren av tilläggsskyddet för tillämpningen av punkt 2 b och c ska endast användas i syfte att kontrollera om denna förordnings bestämmelser har efterlevts och, i förekommande fall, i syfte att vidta rättsliga åtgärder om bestämmelserna inte följts.</w:t>
      </w:r>
    </w:p>
    <w:p w14:paraId="7DBA254E"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5.</w:t>
      </w:r>
      <w:r w:rsidRPr="00EB5AC1">
        <w:rPr>
          <w:szCs w:val="24"/>
          <w:lang w:eastAsia="en-US"/>
        </w:rPr>
        <w:tab/>
        <w:t>För det ändamål som avses i punkt 2 b  ska tillverkaren tillhandahålla samtliga följande uppgifter  :</w:t>
      </w:r>
    </w:p>
    <w:p w14:paraId="69362582"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(a)</w:t>
      </w:r>
      <w:r w:rsidRPr="00EB5AC1">
        <w:rPr>
          <w:szCs w:val="24"/>
          <w:lang w:eastAsia="en-US"/>
        </w:rPr>
        <w:tab/>
        <w:t>Tillverkarens namn och adress.</w:t>
      </w:r>
    </w:p>
    <w:p w14:paraId="5D49D5F3"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(b)</w:t>
      </w:r>
      <w:r w:rsidRPr="00EB5AC1">
        <w:rPr>
          <w:szCs w:val="24"/>
          <w:lang w:eastAsia="en-US"/>
        </w:rPr>
        <w:tab/>
        <w:t>Uppgift om huruvida tillverkningen bedrivs för export eller lagring, eller för både export och lagring.</w:t>
      </w:r>
    </w:p>
    <w:p w14:paraId="74A1B06D"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(c)</w:t>
      </w:r>
      <w:r w:rsidRPr="00EB5AC1">
        <w:rPr>
          <w:szCs w:val="24"/>
          <w:lang w:eastAsia="en-US"/>
        </w:rPr>
        <w:tab/>
        <w:t>Den medlemsstat där tillverkningen och, i förekommande fall, även lagringen ska ske samt den medlemsstat där den första relaterade handlingen  , i förekommande fall, före den tillverkningen  ska ske.</w:t>
      </w:r>
    </w:p>
    <w:p w14:paraId="79FA4E0A"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br w:type="page"/>
      </w:r>
      <w:r w:rsidRPr="00EB5AC1">
        <w:rPr>
          <w:szCs w:val="24"/>
          <w:lang w:eastAsia="en-US"/>
        </w:rPr>
        <w:lastRenderedPageBreak/>
        <w:t>(d)</w:t>
      </w:r>
      <w:r w:rsidRPr="00EB5AC1">
        <w:rPr>
          <w:szCs w:val="24"/>
          <w:lang w:eastAsia="en-US"/>
        </w:rPr>
        <w:tab/>
        <w:t>Numret på det tilläggsskydd som beviljats i den medlemsstat där tillverkningen ska ske, och numret på det tilläggsskydd som beviljats i den medlemsstat där den första relaterade handlingen ska ske, om den relaterade handlingen utförs före tillverkningens startdatum.</w:t>
      </w:r>
    </w:p>
    <w:p w14:paraId="1290CCFF"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(e)</w:t>
      </w:r>
      <w:r w:rsidRPr="00EB5AC1">
        <w:rPr>
          <w:szCs w:val="24"/>
          <w:lang w:eastAsia="en-US"/>
        </w:rPr>
        <w:tab/>
        <w:t>För läkemedel som ska exporteras till tredjeländer, referensnumret på det godkännande för saluföring eller en handling som motsvarar ett sådant godkännande i varje tredjeland som läkemedlet ska exporteras till, så snart det finns allmänt tillgängligt.</w:t>
      </w:r>
    </w:p>
    <w:p w14:paraId="581513C0"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6.</w:t>
      </w:r>
      <w:r w:rsidRPr="00EB5AC1">
        <w:rPr>
          <w:szCs w:val="24"/>
          <w:lang w:eastAsia="en-US"/>
        </w:rPr>
        <w:tab/>
        <w:t>För underrättelse till den behöriga myndigheten enligt punkt 2 b och c ska tillverkaren använda standardformuläret för underrättelse i bilaga  III.</w:t>
      </w:r>
    </w:p>
    <w:p w14:paraId="3BA380AC"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7.</w:t>
      </w:r>
      <w:r w:rsidRPr="00EB5AC1">
        <w:rPr>
          <w:szCs w:val="24"/>
          <w:lang w:eastAsia="en-US"/>
        </w:rPr>
        <w:tab/>
        <w:t>Underlåtenhet att   tillhandahålla de uppgifter som avses i  punkt 5 e med avseende på ett tredjeland ska endast påverka exporten till det  tredjelandet  , och denna export ska  inte omfattas av undantaget  i punkt 2 .</w:t>
      </w:r>
    </w:p>
    <w:p w14:paraId="0A8C0ABF"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8.</w:t>
      </w:r>
      <w:r w:rsidRPr="00EB5AC1">
        <w:rPr>
          <w:szCs w:val="24"/>
          <w:lang w:eastAsia="en-US"/>
        </w:rPr>
        <w:tab/>
        <w:t>Tillverkaren ska säkerställa att läkemedel som tillverkats enligt punkt 2 a i inte har någon aktiv unik identitetsbeteckning i den mening som avses i  delegerad förordning (EU) 2016/161.</w:t>
      </w:r>
    </w:p>
    <w:p w14:paraId="39850712"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9.</w:t>
      </w:r>
      <w:r w:rsidRPr="00EB5AC1">
        <w:rPr>
          <w:szCs w:val="24"/>
          <w:lang w:eastAsia="en-US"/>
        </w:rPr>
        <w:tab/>
        <w:t>Tillverkaren ska på lämpligt och dokumenterat sätt säkerställa att den som har ett avtalsförhållande med tillverkaren och utför handlingar som omfattas av punkt 2 a är fullt informerad och medveten om  samtliga  följande  uppgifter :</w:t>
      </w:r>
    </w:p>
    <w:p w14:paraId="3F6D1488"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(a)</w:t>
      </w:r>
      <w:r w:rsidRPr="00EB5AC1">
        <w:rPr>
          <w:szCs w:val="24"/>
          <w:lang w:eastAsia="en-US"/>
        </w:rPr>
        <w:tab/>
        <w:t>Att dessa handlingar omfattas av punkt 2.</w:t>
      </w:r>
    </w:p>
    <w:p w14:paraId="56B97AD3"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(b)</w:t>
      </w:r>
      <w:r w:rsidRPr="00EB5AC1">
        <w:rPr>
          <w:szCs w:val="24"/>
          <w:lang w:eastAsia="en-US"/>
        </w:rPr>
        <w:tab/>
        <w:t>Att saluföring, import eller återimport av den produkt eller det läkemedel som innehåller den produkten och som avses i punkt 2 a i eller saluföring av den produkt eller det läkemedel som innehåller den produkten och som avses i punkt 2 a iii skulle kunna innebära ett intrång i det tilläggsskydd som avses i  den  punkten  om, och så länge som, tilläggsskyddet gäller.</w:t>
      </w:r>
    </w:p>
    <w:p w14:paraId="24A9CD31"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10.</w:t>
      </w:r>
      <w:r w:rsidRPr="00EB5AC1">
        <w:rPr>
          <w:szCs w:val="24"/>
          <w:lang w:eastAsia="en-US"/>
        </w:rPr>
        <w:tab/>
        <w:t>Punkt 2 ska tillämpas på tilläggsskydd för vilka ansökan görs den 1 juli 2019 eller senare.</w:t>
      </w:r>
    </w:p>
    <w:p w14:paraId="213190CB" w14:textId="77777777" w:rsidR="00EB5AC1" w:rsidRPr="00EB5AC1" w:rsidRDefault="00EB5AC1" w:rsidP="00EB5AC1">
      <w:pPr>
        <w:spacing w:before="120" w:after="120" w:line="360" w:lineRule="auto"/>
        <w:ind w:left="850"/>
        <w:rPr>
          <w:szCs w:val="24"/>
          <w:lang w:eastAsia="en-US"/>
        </w:rPr>
      </w:pPr>
      <w:r w:rsidRPr="00EB5AC1">
        <w:rPr>
          <w:szCs w:val="24"/>
          <w:lang w:eastAsia="en-US"/>
        </w:rPr>
        <w:t>Punkt 2 ska också tillämpas på tilläggsskydd för vilka ansökan görs före den 1 juli 2019 och som börjat gälla den dagen eller senare. Punkt 2 ska endast tillämpas på sådana tilläggsskydd från och med den 2 juli 2022.</w:t>
      </w:r>
    </w:p>
    <w:p w14:paraId="058C73DF" w14:textId="77777777" w:rsidR="00EB5AC1" w:rsidRPr="00EB5AC1" w:rsidRDefault="00EB5AC1" w:rsidP="00EB5AC1">
      <w:pPr>
        <w:spacing w:before="120" w:after="120" w:line="360" w:lineRule="auto"/>
        <w:ind w:left="850"/>
        <w:rPr>
          <w:szCs w:val="24"/>
          <w:lang w:eastAsia="en-US"/>
        </w:rPr>
      </w:pPr>
      <w:r w:rsidRPr="00EB5AC1">
        <w:rPr>
          <w:szCs w:val="24"/>
          <w:lang w:eastAsia="en-US"/>
        </w:rPr>
        <w:t>Punkt 2 ska inte tillämpas på tilläggsskydd som börjat gälla före den 1 juli 2019.</w:t>
      </w:r>
    </w:p>
    <w:p w14:paraId="7845E75C" w14:textId="77777777" w:rsidR="00EB5AC1" w:rsidRPr="00EB5AC1" w:rsidRDefault="00EB5AC1" w:rsidP="00EB5AC1">
      <w:pPr>
        <w:spacing w:before="120" w:after="120" w:line="360" w:lineRule="auto"/>
        <w:jc w:val="center"/>
        <w:rPr>
          <w:szCs w:val="24"/>
          <w:lang w:eastAsia="en-US"/>
        </w:rPr>
      </w:pPr>
      <w:r w:rsidRPr="00EB5AC1">
        <w:rPr>
          <w:szCs w:val="24"/>
          <w:lang w:eastAsia="en-US"/>
        </w:rPr>
        <w:br w:type="page"/>
      </w:r>
      <w:r w:rsidRPr="00EB5AC1">
        <w:rPr>
          <w:szCs w:val="24"/>
          <w:lang w:eastAsia="en-US"/>
        </w:rPr>
        <w:lastRenderedPageBreak/>
        <w:t>Artikel 6</w:t>
      </w:r>
      <w:r w:rsidRPr="00EB5AC1">
        <w:rPr>
          <w:szCs w:val="24"/>
          <w:lang w:eastAsia="en-US"/>
        </w:rPr>
        <w:br/>
        <w:t xml:space="preserve">Rätt till tilläggsskydd </w:t>
      </w:r>
    </w:p>
    <w:p w14:paraId="2CC99ADA"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w:t>
      </w:r>
      <w:r w:rsidRPr="00EB5AC1">
        <w:rPr>
          <w:szCs w:val="24"/>
          <w:lang w:eastAsia="en-US"/>
        </w:rPr>
        <w:tab/>
        <w:t>Tilläggsskydd ska beviljas innehavaren av grundpatentet eller den som har övertagit innehavarens  rättigheter.</w:t>
      </w:r>
    </w:p>
    <w:p w14:paraId="4D465C5C"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2.</w:t>
      </w:r>
      <w:r w:rsidRPr="00EB5AC1">
        <w:rPr>
          <w:szCs w:val="24"/>
          <w:lang w:eastAsia="en-US"/>
        </w:rPr>
        <w:tab/>
        <w:t>Utan hinder av punkt 1, om ett grundpatent har beviljats för en produkt som ingår i ett godkännande som innehas av en tredje part får ett tilläggsskydd för den produkten inte beviljas innehavaren av grundpatentet utan den tredje partens samtycke.</w:t>
      </w:r>
    </w:p>
    <w:p w14:paraId="1F5213FC" w14:textId="77777777" w:rsidR="00EB5AC1" w:rsidRPr="00EB5AC1" w:rsidRDefault="00EB5AC1" w:rsidP="00EB5AC1">
      <w:pPr>
        <w:spacing w:before="120" w:after="120" w:line="360" w:lineRule="auto"/>
        <w:jc w:val="center"/>
        <w:rPr>
          <w:szCs w:val="24"/>
          <w:lang w:eastAsia="en-US"/>
        </w:rPr>
      </w:pPr>
      <w:r w:rsidRPr="00EB5AC1">
        <w:rPr>
          <w:szCs w:val="24"/>
          <w:lang w:eastAsia="en-US"/>
        </w:rPr>
        <w:t>Artikel 7</w:t>
      </w:r>
      <w:r w:rsidRPr="00EB5AC1">
        <w:rPr>
          <w:szCs w:val="24"/>
          <w:lang w:eastAsia="en-US"/>
        </w:rPr>
        <w:br/>
        <w:t>Ansökan om tilläggsskydd</w:t>
      </w:r>
    </w:p>
    <w:p w14:paraId="2AD566DE"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w:t>
      </w:r>
      <w:r w:rsidRPr="00EB5AC1">
        <w:rPr>
          <w:szCs w:val="24"/>
          <w:lang w:eastAsia="en-US"/>
        </w:rPr>
        <w:tab/>
        <w:t>Ansökan om tilläggsskydd ska göras inom sex månader från den dag då det i artikel 3.1 b nämnda godkännandet  att saluföra produkten som läkemedel  beviljades .</w:t>
      </w:r>
    </w:p>
    <w:p w14:paraId="57D80E97"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2.</w:t>
      </w:r>
      <w:r w:rsidRPr="00EB5AC1">
        <w:rPr>
          <w:szCs w:val="24"/>
          <w:lang w:eastAsia="en-US"/>
        </w:rPr>
        <w:tab/>
        <w:t>Trots bestämmelsen i punkt 1 ska, i det fall då godkännande att saluföra produkten lämnats innan grundpatentet   beviljades , ansökan om tilläggsskydd göras inom sex månader från den dag då patentet   beviljades .</w:t>
      </w:r>
    </w:p>
    <w:p w14:paraId="16B49CB0"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3.</w:t>
      </w:r>
      <w:r w:rsidRPr="00EB5AC1">
        <w:rPr>
          <w:szCs w:val="24"/>
          <w:lang w:eastAsia="en-US"/>
        </w:rPr>
        <w:tab/>
        <w:t>Ansökan om förlängning av giltighetstiden får göras   i samband med att en ansökan om tilläggsskydd lämnas in eller när en ansökan om tilläggsskydd håller på att behandlas och de tillämpliga kraven i artikel 8.1 d respektive artikel 8.2 är uppfyllda.</w:t>
      </w:r>
    </w:p>
    <w:p w14:paraId="29EBB9A5"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4.</w:t>
      </w:r>
      <w:r w:rsidRPr="00EB5AC1">
        <w:rPr>
          <w:szCs w:val="24"/>
          <w:lang w:eastAsia="en-US"/>
        </w:rPr>
        <w:tab/>
        <w:t>Ansökan om förlängning av giltighetstiden för ett tilläggsskydd som redan har   beviljats  ska göras senast två år innan tilläggsskyddets giltighetstid löper ut.</w:t>
      </w:r>
    </w:p>
    <w:p w14:paraId="533DC123" w14:textId="77777777" w:rsidR="00EB5AC1" w:rsidRPr="00EB5AC1" w:rsidRDefault="00EB5AC1" w:rsidP="00EB5AC1">
      <w:pPr>
        <w:spacing w:before="120" w:after="120" w:line="360" w:lineRule="auto"/>
        <w:jc w:val="center"/>
        <w:rPr>
          <w:szCs w:val="24"/>
          <w:lang w:eastAsia="en-US"/>
        </w:rPr>
      </w:pPr>
      <w:r w:rsidRPr="00EB5AC1">
        <w:rPr>
          <w:szCs w:val="24"/>
          <w:lang w:eastAsia="en-US"/>
        </w:rPr>
        <w:t>Artikel 8</w:t>
      </w:r>
      <w:r w:rsidRPr="00EB5AC1">
        <w:rPr>
          <w:szCs w:val="24"/>
          <w:lang w:eastAsia="en-US"/>
        </w:rPr>
        <w:br/>
        <w:t>Innehållet i ansökan om tilläggsskydd</w:t>
      </w:r>
    </w:p>
    <w:p w14:paraId="03273F86"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w:t>
      </w:r>
      <w:r w:rsidRPr="00EB5AC1">
        <w:rPr>
          <w:szCs w:val="24"/>
          <w:lang w:eastAsia="en-US"/>
        </w:rPr>
        <w:tab/>
        <w:t>Ansökan om tilläggsskydd ska innehålla  följande :</w:t>
      </w:r>
    </w:p>
    <w:p w14:paraId="13BCA90F"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(a)</w:t>
      </w:r>
      <w:r w:rsidRPr="00EB5AC1">
        <w:rPr>
          <w:szCs w:val="24"/>
          <w:lang w:eastAsia="en-US"/>
        </w:rPr>
        <w:tab/>
        <w:t>En begäran att tilläggsskydd   beviljas , med uppgift om</w:t>
      </w:r>
    </w:p>
    <w:p w14:paraId="47AE72D4" w14:textId="77777777" w:rsidR="00EB5AC1" w:rsidRPr="00EB5AC1" w:rsidRDefault="00EB5AC1" w:rsidP="00EB5AC1">
      <w:pPr>
        <w:spacing w:before="120" w:after="120" w:line="360" w:lineRule="auto"/>
        <w:ind w:left="1982" w:hanging="566"/>
        <w:rPr>
          <w:szCs w:val="24"/>
          <w:lang w:eastAsia="en-US"/>
        </w:rPr>
      </w:pPr>
      <w:r w:rsidRPr="00EB5AC1">
        <w:rPr>
          <w:szCs w:val="24"/>
          <w:lang w:eastAsia="en-US"/>
        </w:rPr>
        <w:t>i)</w:t>
      </w:r>
      <w:r w:rsidRPr="00EB5AC1">
        <w:rPr>
          <w:szCs w:val="24"/>
          <w:lang w:eastAsia="en-US"/>
        </w:rPr>
        <w:tab/>
        <w:t>sökandens namn och adress,</w:t>
      </w:r>
    </w:p>
    <w:p w14:paraId="0A77F959" w14:textId="77777777" w:rsidR="00EB5AC1" w:rsidRPr="00EB5AC1" w:rsidRDefault="00EB5AC1" w:rsidP="00EB5AC1">
      <w:pPr>
        <w:spacing w:before="120" w:after="120" w:line="360" w:lineRule="auto"/>
        <w:ind w:left="1982" w:hanging="566"/>
        <w:rPr>
          <w:szCs w:val="24"/>
          <w:lang w:eastAsia="en-US"/>
        </w:rPr>
      </w:pPr>
      <w:r w:rsidRPr="00EB5AC1">
        <w:rPr>
          <w:szCs w:val="24"/>
          <w:lang w:eastAsia="en-US"/>
        </w:rPr>
        <w:t>ii)</w:t>
      </w:r>
      <w:r w:rsidRPr="00EB5AC1">
        <w:rPr>
          <w:szCs w:val="24"/>
          <w:lang w:eastAsia="en-US"/>
        </w:rPr>
        <w:tab/>
        <w:t>om sökanden utsett ett ombud, ombudets namn och adress,</w:t>
      </w:r>
    </w:p>
    <w:p w14:paraId="37A58600" w14:textId="77777777" w:rsidR="00EB5AC1" w:rsidRPr="00EB5AC1" w:rsidRDefault="00EB5AC1" w:rsidP="00EB5AC1">
      <w:pPr>
        <w:spacing w:before="120" w:after="120" w:line="360" w:lineRule="auto"/>
        <w:ind w:left="1982" w:hanging="566"/>
        <w:rPr>
          <w:szCs w:val="24"/>
          <w:lang w:eastAsia="en-US"/>
        </w:rPr>
      </w:pPr>
      <w:r w:rsidRPr="00EB5AC1">
        <w:rPr>
          <w:szCs w:val="24"/>
          <w:lang w:eastAsia="en-US"/>
        </w:rPr>
        <w:t>iii)</w:t>
      </w:r>
      <w:r w:rsidRPr="00EB5AC1">
        <w:rPr>
          <w:szCs w:val="24"/>
          <w:lang w:eastAsia="en-US"/>
        </w:rPr>
        <w:tab/>
        <w:t>grundpatentets nummer och uppfinningens benämning,</w:t>
      </w:r>
    </w:p>
    <w:p w14:paraId="64129074" w14:textId="77777777" w:rsidR="00EB5AC1" w:rsidRPr="00EB5AC1" w:rsidRDefault="00EB5AC1" w:rsidP="00EB5AC1">
      <w:pPr>
        <w:spacing w:before="120" w:after="120" w:line="360" w:lineRule="auto"/>
        <w:ind w:left="1982" w:hanging="566"/>
        <w:rPr>
          <w:szCs w:val="24"/>
          <w:lang w:eastAsia="en-US"/>
        </w:rPr>
      </w:pPr>
      <w:r w:rsidRPr="00EB5AC1">
        <w:rPr>
          <w:szCs w:val="24"/>
          <w:lang w:eastAsia="en-US"/>
        </w:rPr>
        <w:t>iv)</w:t>
      </w:r>
      <w:r w:rsidRPr="00EB5AC1">
        <w:rPr>
          <w:szCs w:val="24"/>
          <w:lang w:eastAsia="en-US"/>
        </w:rPr>
        <w:tab/>
        <w:t>numret på och datum för sådant första godkännande att saluföra produkten som avses i artikel 3 .1  b och, om detta godkännande inte är första godkännandet att saluföra produkten i  unionen  , numret på och datum för sådant godkännande.</w:t>
      </w:r>
    </w:p>
    <w:p w14:paraId="373CA5E8"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br w:type="page"/>
      </w:r>
      <w:r w:rsidRPr="00EB5AC1">
        <w:rPr>
          <w:szCs w:val="24"/>
          <w:lang w:eastAsia="en-US"/>
        </w:rPr>
        <w:lastRenderedPageBreak/>
        <w:t>(b)</w:t>
      </w:r>
      <w:r w:rsidRPr="00EB5AC1">
        <w:rPr>
          <w:szCs w:val="24"/>
          <w:lang w:eastAsia="en-US"/>
        </w:rPr>
        <w:tab/>
        <w:t>En kopia av det godkännande som avses i artikel 3.1 b att saluföra produkten, där produkten  anges  , med uppgift om nummer och datum för godkännandet och en sammanfattning av produktens kännetecken i enlighet med förteckningen i artikel 11 i direktiv 2001/83/EG eller artikel 35  i  förordning (EU) 2019/6.</w:t>
      </w:r>
    </w:p>
    <w:p w14:paraId="2CB5811C"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(c)</w:t>
      </w:r>
      <w:r w:rsidRPr="00EB5AC1">
        <w:rPr>
          <w:szCs w:val="24"/>
          <w:lang w:eastAsia="en-US"/>
        </w:rPr>
        <w:tab/>
        <w:t>Om det under b avsedda godkännandet inte är det första godkännandet att saluföra produkten som läkemedel i  unionen  ,  uppgifter som anger vilken produkt   som fått ett sådant godkännande och uppgift om  den rättsliga bestämmelse enligt vilken godkännandeförfarandet ägde rum  , jämte kopia av   underrättelsen  av godkännandet i officiell publikation  eller om sådan inte finns, handling som visar att godkännande beviljats, datum för detta och beteckningen på den godkända produkten .</w:t>
      </w:r>
    </w:p>
    <w:p w14:paraId="4A26E21E" w14:textId="77777777" w:rsidR="00EB5AC1" w:rsidRDefault="00EB5AC1" w:rsidP="00EB5AC1">
      <w:pPr>
        <w:spacing w:before="120" w:after="120" w:line="360" w:lineRule="auto"/>
        <w:ind w:left="1416" w:hanging="566"/>
        <w:rPr>
          <w:szCs w:val="24"/>
          <w:lang w:eastAsia="en-US"/>
        </w:rPr>
      </w:pPr>
      <w:r w:rsidRPr="00EB5AC1">
        <w:rPr>
          <w:szCs w:val="24"/>
          <w:lang w:eastAsia="en-US"/>
        </w:rPr>
        <w:br w:type="page"/>
      </w:r>
      <w:r w:rsidRPr="00EB5AC1">
        <w:rPr>
          <w:szCs w:val="24"/>
          <w:lang w:eastAsia="en-US"/>
        </w:rPr>
        <w:lastRenderedPageBreak/>
        <w:t>(d)</w:t>
      </w:r>
      <w:r w:rsidRPr="00EB5AC1">
        <w:rPr>
          <w:szCs w:val="24"/>
          <w:lang w:eastAsia="en-US"/>
        </w:rPr>
        <w:tab/>
        <w:t>Om ansökan om tilläggsskydd  för läkemedel  också omfattar en begäran om förlängning av giltighetstiden:</w:t>
      </w:r>
    </w:p>
    <w:p w14:paraId="50BD75A9" w14:textId="77777777" w:rsidR="00662D5B" w:rsidRDefault="00662D5B" w:rsidP="00277D77">
      <w:pPr>
        <w:spacing w:before="120" w:after="120" w:line="360" w:lineRule="auto"/>
        <w:ind w:left="1985" w:hanging="567"/>
        <w:rPr>
          <w:szCs w:val="24"/>
          <w:lang w:eastAsia="en-US"/>
        </w:rPr>
      </w:pPr>
      <w:r>
        <w:rPr>
          <w:szCs w:val="24"/>
          <w:lang w:eastAsia="en-US"/>
        </w:rPr>
        <w:t>i)</w:t>
      </w:r>
      <w:r>
        <w:rPr>
          <w:szCs w:val="24"/>
          <w:lang w:eastAsia="en-US"/>
        </w:rPr>
        <w:tab/>
      </w:r>
      <w:r w:rsidRPr="00662D5B">
        <w:rPr>
          <w:szCs w:val="24"/>
          <w:lang w:eastAsia="en-US"/>
        </w:rPr>
        <w:t>En kopia av det uttalande om överensstämmelse med ett godkänt och slutfört pediatriskt prövningsprogram som avses i artikel 36.1 i förordning (EG) nr 1901/2006.</w:t>
      </w:r>
    </w:p>
    <w:p w14:paraId="0F57A94B" w14:textId="77777777" w:rsidR="00662D5B" w:rsidRPr="00EB5AC1" w:rsidRDefault="00662D5B" w:rsidP="00277D77">
      <w:pPr>
        <w:spacing w:before="120" w:after="120" w:line="360" w:lineRule="auto"/>
        <w:ind w:left="1985" w:hanging="567"/>
        <w:rPr>
          <w:szCs w:val="24"/>
          <w:lang w:eastAsia="en-US"/>
        </w:rPr>
      </w:pPr>
      <w:r>
        <w:rPr>
          <w:szCs w:val="24"/>
          <w:lang w:eastAsia="en-US"/>
        </w:rPr>
        <w:t>ii)</w:t>
      </w:r>
      <w:r>
        <w:rPr>
          <w:szCs w:val="24"/>
          <w:lang w:eastAsia="en-US"/>
        </w:rPr>
        <w:tab/>
      </w:r>
      <w:r w:rsidRPr="00662D5B">
        <w:rPr>
          <w:szCs w:val="24"/>
          <w:lang w:eastAsia="en-US"/>
        </w:rPr>
        <w:t>Vid behov, utöver den kopia av godkännandet för att saluföra produkten som avses i led b, bevis på att sökanden har godkännanden att saluföra produkten i alla andra medlemsstater i enlighet med artikel 36.3 i förordning (EG) nr 1901/2006.</w:t>
      </w:r>
    </w:p>
    <w:p w14:paraId="31064E01" w14:textId="69E87BE6" w:rsidR="00EB5AC1" w:rsidRPr="00EB5AC1" w:rsidRDefault="00EB5AC1" w:rsidP="00EB5AC1">
      <w:pPr>
        <w:spacing w:before="120" w:after="120" w:line="360" w:lineRule="auto"/>
        <w:ind w:left="1416" w:hanging="566"/>
        <w:rPr>
          <w:b/>
          <w:szCs w:val="24"/>
          <w:lang w:eastAsia="en-US"/>
        </w:rPr>
      </w:pPr>
      <w:r w:rsidRPr="00EB5AC1">
        <w:rPr>
          <w:b/>
          <w:i/>
          <w:szCs w:val="24"/>
          <w:lang w:eastAsia="en-US"/>
        </w:rPr>
        <w:t>da)</w:t>
      </w:r>
      <w:r w:rsidRPr="00EB5AC1">
        <w:rPr>
          <w:szCs w:val="24"/>
          <w:lang w:eastAsia="en-US"/>
        </w:rPr>
        <w:tab/>
      </w:r>
      <w:r w:rsidRPr="00EB5AC1">
        <w:rPr>
          <w:b/>
          <w:i/>
          <w:szCs w:val="24"/>
          <w:lang w:eastAsia="en-US"/>
        </w:rPr>
        <w:t xml:space="preserve">I tillämpliga fall, </w:t>
      </w:r>
      <w:r w:rsidR="00A703A6">
        <w:rPr>
          <w:b/>
          <w:i/>
          <w:szCs w:val="24"/>
          <w:lang w:eastAsia="en-US"/>
        </w:rPr>
        <w:t xml:space="preserve">den </w:t>
      </w:r>
      <w:r w:rsidRPr="00EB5AC1">
        <w:rPr>
          <w:b/>
          <w:i/>
          <w:szCs w:val="24"/>
          <w:lang w:eastAsia="en-US"/>
        </w:rPr>
        <w:t>tredje partens samtycke enligt artikel 6.2 i denna förordning.</w:t>
      </w:r>
      <w:r w:rsidRPr="00EB5AC1">
        <w:rPr>
          <w:b/>
          <w:szCs w:val="24"/>
          <w:lang w:eastAsia="en-US"/>
        </w:rPr>
        <w:t xml:space="preserve"> [</w:t>
      </w:r>
      <w:r w:rsidR="001734ED">
        <w:rPr>
          <w:b/>
          <w:szCs w:val="24"/>
          <w:lang w:eastAsia="en-US"/>
        </w:rPr>
        <w:t>Ändr.</w:t>
      </w:r>
      <w:r w:rsidRPr="00EB5AC1">
        <w:rPr>
          <w:b/>
          <w:szCs w:val="24"/>
          <w:lang w:eastAsia="en-US"/>
        </w:rPr>
        <w:t> 23]</w:t>
      </w:r>
    </w:p>
    <w:p w14:paraId="59EB5933" w14:textId="16E62689" w:rsidR="00EB5AC1" w:rsidRPr="00EB5AC1" w:rsidRDefault="00EB5AC1" w:rsidP="00EB5AC1">
      <w:pPr>
        <w:spacing w:before="120" w:after="120" w:line="360" w:lineRule="auto"/>
        <w:ind w:left="1416" w:hanging="566"/>
        <w:rPr>
          <w:b/>
          <w:szCs w:val="24"/>
          <w:lang w:eastAsia="en-US"/>
        </w:rPr>
      </w:pPr>
      <w:r w:rsidRPr="00EB5AC1">
        <w:rPr>
          <w:b/>
          <w:i/>
          <w:szCs w:val="24"/>
          <w:lang w:eastAsia="en-US"/>
        </w:rPr>
        <w:t>db)</w:t>
      </w:r>
      <w:r w:rsidRPr="00EB5AC1">
        <w:rPr>
          <w:szCs w:val="24"/>
          <w:lang w:eastAsia="en-US"/>
        </w:rPr>
        <w:tab/>
      </w:r>
      <w:r w:rsidRPr="00EB5AC1">
        <w:rPr>
          <w:b/>
          <w:i/>
          <w:szCs w:val="24"/>
          <w:lang w:eastAsia="en-US"/>
        </w:rPr>
        <w:t>Information om allt direkt offentligt ekonomiskt stöd som erhållits för forskning som rör utvecklingen av produkten.</w:t>
      </w:r>
      <w:r w:rsidRPr="00EB5AC1">
        <w:rPr>
          <w:b/>
          <w:szCs w:val="24"/>
          <w:lang w:eastAsia="en-US"/>
        </w:rPr>
        <w:t xml:space="preserve"> [</w:t>
      </w:r>
      <w:r w:rsidR="001734ED">
        <w:rPr>
          <w:b/>
          <w:szCs w:val="24"/>
          <w:lang w:eastAsia="en-US"/>
        </w:rPr>
        <w:t>Ändr.</w:t>
      </w:r>
      <w:r w:rsidRPr="00EB5AC1">
        <w:rPr>
          <w:b/>
          <w:szCs w:val="24"/>
          <w:lang w:eastAsia="en-US"/>
        </w:rPr>
        <w:t> 24]</w:t>
      </w:r>
    </w:p>
    <w:p w14:paraId="34C9D564"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2.</w:t>
      </w:r>
      <w:r w:rsidRPr="00EB5AC1">
        <w:rPr>
          <w:szCs w:val="24"/>
          <w:lang w:eastAsia="en-US"/>
        </w:rPr>
        <w:tab/>
        <w:t>Om en ansökan om tilläggsskydd håller på att behandlas, ska en ansökan om förlängning av giltighetstiden i enlighet med artikel 7.3 innehålla de uppgifter som anges i punkt 1 d i denna artikel och en hänvisning till den ansökan om tilläggsskydd som redan har lämnats in.</w:t>
      </w:r>
    </w:p>
    <w:p w14:paraId="3E0C2B54"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3.</w:t>
      </w:r>
      <w:r w:rsidRPr="00EB5AC1">
        <w:rPr>
          <w:szCs w:val="24"/>
          <w:lang w:eastAsia="en-US"/>
        </w:rPr>
        <w:tab/>
        <w:t>En ansökan om förlängning av giltighetstiden för ett tilläggsskydd som redan   beviljats  ska innehålla de uppgifter som anges i punkt 1 d och en kopia av det tilläggsskydd som redan   beviljats .</w:t>
      </w:r>
    </w:p>
    <w:p w14:paraId="73E712B9"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4.</w:t>
      </w:r>
      <w:r w:rsidRPr="00EB5AC1">
        <w:rPr>
          <w:szCs w:val="24"/>
          <w:lang w:eastAsia="en-US"/>
        </w:rPr>
        <w:tab/>
        <w:t>Medlemsstaterna får föreskriva att en avgift ska betalas vid ansökan om tilläggsskydd och vid ansökan om förlängning av giltighetstiden för ett tilläggsskydd.</w:t>
      </w:r>
    </w:p>
    <w:p w14:paraId="02C641EA" w14:textId="1661128A" w:rsidR="00EB5AC1" w:rsidRPr="00EB5AC1" w:rsidRDefault="00EB5AC1" w:rsidP="00EB5AC1">
      <w:pPr>
        <w:spacing w:before="120" w:after="120" w:line="360" w:lineRule="auto"/>
        <w:jc w:val="center"/>
        <w:rPr>
          <w:szCs w:val="24"/>
          <w:lang w:eastAsia="en-US"/>
        </w:rPr>
      </w:pPr>
      <w:r w:rsidRPr="00EB5AC1">
        <w:rPr>
          <w:szCs w:val="24"/>
          <w:lang w:eastAsia="en-US"/>
        </w:rPr>
        <w:t>Artikel 9</w:t>
      </w:r>
      <w:r w:rsidRPr="00EB5AC1">
        <w:rPr>
          <w:szCs w:val="24"/>
          <w:lang w:eastAsia="en-US"/>
        </w:rPr>
        <w:br/>
        <w:t xml:space="preserve"> Inlämnande  av ansökan om tilläggsskydd</w:t>
      </w:r>
    </w:p>
    <w:p w14:paraId="0ADB677B"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w:t>
      </w:r>
      <w:r w:rsidRPr="00EB5AC1">
        <w:rPr>
          <w:szCs w:val="24"/>
          <w:lang w:eastAsia="en-US"/>
        </w:rPr>
        <w:tab/>
        <w:t>Ansökan om tilläggsskydd ska göras till den behöriga patentmyndigheten i den medlemsstat som   beviljade  grundpatentet eller för vars räkning detta   beviljades  och där det i artikel 3.1 b avsedda godkännandet att saluföra produkten erhölls, såvida medlemsstaten icke utser någon annan myndighet för detta ändamål.</w:t>
      </w:r>
    </w:p>
    <w:p w14:paraId="1E1D9961" w14:textId="77777777" w:rsidR="00EB5AC1" w:rsidRPr="00EB5AC1" w:rsidRDefault="00EB5AC1" w:rsidP="00EB5AC1">
      <w:pPr>
        <w:spacing w:before="120" w:after="120" w:line="360" w:lineRule="auto"/>
        <w:ind w:left="850"/>
        <w:rPr>
          <w:szCs w:val="24"/>
          <w:lang w:eastAsia="en-US"/>
        </w:rPr>
      </w:pPr>
      <w:r w:rsidRPr="00EB5AC1">
        <w:rPr>
          <w:szCs w:val="24"/>
          <w:lang w:eastAsia="en-US"/>
        </w:rPr>
        <w:t>Ansökan om förlängning av giltighetstiden för ett tilläggsskydd ska göras till den behöriga myndigheten i den berörda medlemsstaten.</w:t>
      </w:r>
    </w:p>
    <w:p w14:paraId="7091D17A"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2.</w:t>
      </w:r>
      <w:r w:rsidRPr="00EB5AC1">
        <w:rPr>
          <w:szCs w:val="24"/>
          <w:lang w:eastAsia="en-US"/>
        </w:rPr>
        <w:tab/>
        <w:t>Underrättelse om ansökan om tilläggsskydd ska offentliggöras av den myndighet som avses i punkt 1. Underrättelsen ska innehålla   samtliga  följande uppgifter:</w:t>
      </w:r>
    </w:p>
    <w:p w14:paraId="251E2F91"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(a)</w:t>
      </w:r>
      <w:r w:rsidRPr="00EB5AC1">
        <w:rPr>
          <w:szCs w:val="24"/>
          <w:lang w:eastAsia="en-US"/>
        </w:rPr>
        <w:tab/>
        <w:t>Sökandens namn och adress.</w:t>
      </w:r>
    </w:p>
    <w:p w14:paraId="1213A1AC"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(b)</w:t>
      </w:r>
      <w:r w:rsidRPr="00EB5AC1">
        <w:rPr>
          <w:szCs w:val="24"/>
          <w:lang w:eastAsia="en-US"/>
        </w:rPr>
        <w:tab/>
        <w:t>Grundpatentets nummer.</w:t>
      </w:r>
    </w:p>
    <w:p w14:paraId="162E0EB7"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(c)</w:t>
      </w:r>
      <w:r w:rsidRPr="00EB5AC1">
        <w:rPr>
          <w:szCs w:val="24"/>
          <w:lang w:eastAsia="en-US"/>
        </w:rPr>
        <w:tab/>
        <w:t>Uppfinningens benämning.</w:t>
      </w:r>
    </w:p>
    <w:p w14:paraId="7FF7440A"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(d)</w:t>
      </w:r>
      <w:r w:rsidRPr="00EB5AC1">
        <w:rPr>
          <w:szCs w:val="24"/>
          <w:lang w:eastAsia="en-US"/>
        </w:rPr>
        <w:tab/>
        <w:t>Numret på och dagen för utfärdande av det i artikel 3.1 b avsedda godkännandet att saluföra produkten och den produkt som   anges i  godkännandet.</w:t>
      </w:r>
    </w:p>
    <w:p w14:paraId="4BFA315D"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(e)</w:t>
      </w:r>
      <w:r w:rsidRPr="00EB5AC1">
        <w:rPr>
          <w:szCs w:val="24"/>
          <w:lang w:eastAsia="en-US"/>
        </w:rPr>
        <w:tab/>
        <w:t>I tillämpliga fall numret på och datum för första godkännande att saluföra produkten i  unionen  .</w:t>
      </w:r>
    </w:p>
    <w:p w14:paraId="58448ED5"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(f)</w:t>
      </w:r>
      <w:r w:rsidRPr="00EB5AC1">
        <w:rPr>
          <w:szCs w:val="24"/>
          <w:lang w:eastAsia="en-US"/>
        </w:rPr>
        <w:tab/>
        <w:t>I tillämpliga fall en uppgift om att ansökan också omfattar förlängning av giltighetstiden.</w:t>
      </w:r>
    </w:p>
    <w:p w14:paraId="5928573F"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3.</w:t>
      </w:r>
      <w:r w:rsidRPr="00EB5AC1">
        <w:rPr>
          <w:szCs w:val="24"/>
          <w:lang w:eastAsia="en-US"/>
        </w:rPr>
        <w:tab/>
        <w:t>Punkt 2 ska tillämpas på en underrättelse om en ansökan om förlängning av giltighetstiden för ett tilläggsskydd som redan   beviljats  eller håller på att behandlas. Underrättelsen ska dessutom innehålla en uppgift om ansökan om förlängning av giltighetstiden för tilläggsskyddet.</w:t>
      </w:r>
    </w:p>
    <w:p w14:paraId="7BA7EBDE" w14:textId="77777777" w:rsidR="00EB5AC1" w:rsidRPr="00EB5AC1" w:rsidRDefault="00EB5AC1" w:rsidP="00EB5AC1">
      <w:pPr>
        <w:spacing w:before="120" w:after="120" w:line="360" w:lineRule="auto"/>
        <w:jc w:val="center"/>
        <w:rPr>
          <w:szCs w:val="24"/>
          <w:lang w:eastAsia="en-US"/>
        </w:rPr>
      </w:pPr>
      <w:r w:rsidRPr="00EB5AC1">
        <w:rPr>
          <w:szCs w:val="24"/>
          <w:lang w:eastAsia="en-US"/>
        </w:rPr>
        <w:t>Artikel 10</w:t>
      </w:r>
      <w:r w:rsidRPr="00EB5AC1">
        <w:rPr>
          <w:szCs w:val="24"/>
          <w:lang w:eastAsia="en-US"/>
        </w:rPr>
        <w:br/>
        <w:t xml:space="preserve">  Beviljande  av tilläggsskydd och avslag på ansökan därom</w:t>
      </w:r>
    </w:p>
    <w:p w14:paraId="741097A2"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w:t>
      </w:r>
      <w:r w:rsidRPr="00EB5AC1">
        <w:rPr>
          <w:szCs w:val="24"/>
          <w:lang w:eastAsia="en-US"/>
        </w:rPr>
        <w:tab/>
        <w:t>Om ansökan om tilläggsskydd och den produkt som ansökan avser uppfyller de  villkor   som fastställs i detta kapitel, ska den myndighet som avses i artikel 9.1   bevilja  tilläggsskydd.</w:t>
      </w:r>
    </w:p>
    <w:p w14:paraId="3B9628F3"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2.</w:t>
      </w:r>
      <w:r w:rsidRPr="00EB5AC1">
        <w:rPr>
          <w:szCs w:val="24"/>
          <w:lang w:eastAsia="en-US"/>
        </w:rPr>
        <w:tab/>
        <w:t>Den myndighet som avses i artikel 9.1 ska, om inte annat följer av punkt 3  i den här artikeln , avslå ansökan om tilläggsskydd om ansökan eller den produkt den avser inte uppfyller de krav som fastställs i detta kapitel.</w:t>
      </w:r>
    </w:p>
    <w:p w14:paraId="0AADB8F0"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3.</w:t>
      </w:r>
      <w:r w:rsidRPr="00EB5AC1">
        <w:rPr>
          <w:szCs w:val="24"/>
          <w:lang w:eastAsia="en-US"/>
        </w:rPr>
        <w:tab/>
        <w:t>Om ansökan om tilläggsskydd inte uppfyller de krav som anges i artikel 8, ska den myndighet som avses i artikel 9.1 förelägga sökanden att avhjälpa bristen eller erlägga avgiften inom viss tid.</w:t>
      </w:r>
    </w:p>
    <w:p w14:paraId="459C8DAD"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4.</w:t>
      </w:r>
      <w:r w:rsidRPr="00EB5AC1">
        <w:rPr>
          <w:szCs w:val="24"/>
          <w:lang w:eastAsia="en-US"/>
        </w:rPr>
        <w:tab/>
        <w:t>Om inte bristen avhjälps eller avgiften betalas inom föreskriven tid efter föreläggande i enlighet med punkt 3, ska myndigheten avslå ansökan.</w:t>
      </w:r>
    </w:p>
    <w:p w14:paraId="21F4126C"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5.</w:t>
      </w:r>
      <w:r w:rsidRPr="00EB5AC1">
        <w:rPr>
          <w:szCs w:val="24"/>
          <w:lang w:eastAsia="en-US"/>
        </w:rPr>
        <w:tab/>
        <w:t>Medlemsstaterna får föreskriva att den myndighet som avses i artikel 9.1   får bevilja  tilläggsskydd utan att förvissa sig om att kraven enligt artikel 3.1 c och d är uppfyllda.</w:t>
      </w:r>
    </w:p>
    <w:p w14:paraId="2B737448"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6.</w:t>
      </w:r>
      <w:r w:rsidRPr="00EB5AC1">
        <w:rPr>
          <w:szCs w:val="24"/>
          <w:lang w:eastAsia="en-US"/>
        </w:rPr>
        <w:tab/>
        <w:t>Punkterna 1–4 ska gälla i tillämpliga delar på ansökningar om förlängning av giltighetstiden.</w:t>
      </w:r>
    </w:p>
    <w:p w14:paraId="0740A6BB" w14:textId="77777777" w:rsidR="00EB5AC1" w:rsidRPr="00EB5AC1" w:rsidRDefault="00EB5AC1" w:rsidP="00EB5AC1">
      <w:pPr>
        <w:spacing w:before="120" w:after="120" w:line="360" w:lineRule="auto"/>
        <w:jc w:val="center"/>
        <w:rPr>
          <w:szCs w:val="24"/>
          <w:lang w:eastAsia="en-US"/>
        </w:rPr>
      </w:pPr>
      <w:r w:rsidRPr="00EB5AC1">
        <w:rPr>
          <w:szCs w:val="24"/>
          <w:lang w:eastAsia="en-US"/>
        </w:rPr>
        <w:br w:type="page"/>
      </w:r>
      <w:r w:rsidRPr="00EB5AC1">
        <w:rPr>
          <w:szCs w:val="24"/>
          <w:lang w:eastAsia="en-US"/>
        </w:rPr>
        <w:lastRenderedPageBreak/>
        <w:t>Artikel 11</w:t>
      </w:r>
      <w:r w:rsidRPr="00EB5AC1">
        <w:rPr>
          <w:szCs w:val="24"/>
          <w:lang w:eastAsia="en-US"/>
        </w:rPr>
        <w:br/>
        <w:t>Offentliggörande</w:t>
      </w:r>
    </w:p>
    <w:p w14:paraId="56490CBA" w14:textId="2510F786" w:rsidR="00EB5AC1" w:rsidRPr="00EB5AC1" w:rsidRDefault="00EB5AC1" w:rsidP="00EB5AC1">
      <w:pPr>
        <w:spacing w:before="120" w:after="120" w:line="360" w:lineRule="auto"/>
        <w:ind w:left="850" w:hanging="850"/>
        <w:rPr>
          <w:b/>
          <w:szCs w:val="24"/>
          <w:lang w:eastAsia="en-US"/>
        </w:rPr>
      </w:pPr>
      <w:r w:rsidRPr="00EB5AC1">
        <w:rPr>
          <w:szCs w:val="24"/>
          <w:lang w:eastAsia="en-US"/>
        </w:rPr>
        <w:t>1.</w:t>
      </w:r>
      <w:r w:rsidRPr="00EB5AC1">
        <w:rPr>
          <w:szCs w:val="24"/>
          <w:lang w:eastAsia="en-US"/>
        </w:rPr>
        <w:tab/>
        <w:t xml:space="preserve">Den myndighet som avses i artikel 9.1 ska </w:t>
      </w:r>
      <w:r w:rsidRPr="00EB5AC1">
        <w:rPr>
          <w:strike/>
          <w:szCs w:val="24"/>
          <w:lang w:eastAsia="en-US"/>
        </w:rPr>
        <w:t>så snart som möjligt</w:t>
      </w:r>
      <w:r w:rsidRPr="00EB5AC1">
        <w:rPr>
          <w:b/>
          <w:i/>
          <w:szCs w:val="24"/>
          <w:lang w:eastAsia="en-US"/>
        </w:rPr>
        <w:t>utan oskäligt dröjsmål</w:t>
      </w:r>
      <w:r w:rsidRPr="00EB5AC1">
        <w:rPr>
          <w:szCs w:val="24"/>
          <w:lang w:eastAsia="en-US"/>
        </w:rPr>
        <w:t xml:space="preserve"> offentliggöra en underrättelse om att tilläggsskydd har beviljats. Underrättelsen ska innehålla samtliga följande uppgifter:</w:t>
      </w:r>
      <w:r w:rsidRPr="00EB5AC1">
        <w:rPr>
          <w:b/>
          <w:szCs w:val="24"/>
          <w:lang w:eastAsia="en-US"/>
        </w:rPr>
        <w:t xml:space="preserve"> [</w:t>
      </w:r>
      <w:r w:rsidR="001734ED">
        <w:rPr>
          <w:b/>
          <w:szCs w:val="24"/>
          <w:lang w:eastAsia="en-US"/>
        </w:rPr>
        <w:t>Ändr.</w:t>
      </w:r>
      <w:r w:rsidRPr="00EB5AC1">
        <w:rPr>
          <w:b/>
          <w:szCs w:val="24"/>
          <w:lang w:eastAsia="en-US"/>
        </w:rPr>
        <w:t> 25]</w:t>
      </w:r>
    </w:p>
    <w:p w14:paraId="4B7A2FA2"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(a)</w:t>
      </w:r>
      <w:r w:rsidRPr="00EB5AC1">
        <w:rPr>
          <w:szCs w:val="24"/>
          <w:lang w:eastAsia="en-US"/>
        </w:rPr>
        <w:tab/>
        <w:t>Namn på och adress till innehavaren av tilläggsskydd.</w:t>
      </w:r>
    </w:p>
    <w:p w14:paraId="2982418E"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(b)</w:t>
      </w:r>
      <w:r w:rsidRPr="00EB5AC1">
        <w:rPr>
          <w:szCs w:val="24"/>
          <w:lang w:eastAsia="en-US"/>
        </w:rPr>
        <w:tab/>
        <w:t>Grundpatentets nummer.</w:t>
      </w:r>
    </w:p>
    <w:p w14:paraId="0519A70D"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(c)</w:t>
      </w:r>
      <w:r w:rsidRPr="00EB5AC1">
        <w:rPr>
          <w:szCs w:val="24"/>
          <w:lang w:eastAsia="en-US"/>
        </w:rPr>
        <w:tab/>
        <w:t>Uppfinningens benämning.</w:t>
      </w:r>
    </w:p>
    <w:p w14:paraId="442A559F"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(d)</w:t>
      </w:r>
      <w:r w:rsidRPr="00EB5AC1">
        <w:rPr>
          <w:szCs w:val="24"/>
          <w:lang w:eastAsia="en-US"/>
        </w:rPr>
        <w:tab/>
        <w:t>Numret på och datum för det godkännande att saluföra produkten som avses i artikel 3.1 b och den produkt som anges i det godkännandet.</w:t>
      </w:r>
    </w:p>
    <w:p w14:paraId="27237B92"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(e)</w:t>
      </w:r>
      <w:r w:rsidRPr="00EB5AC1">
        <w:rPr>
          <w:szCs w:val="24"/>
          <w:lang w:eastAsia="en-US"/>
        </w:rPr>
        <w:tab/>
        <w:t>I tillämpliga fall numret på och datum för första godkännande att saluföra produkten i  unionen  .</w:t>
      </w:r>
    </w:p>
    <w:p w14:paraId="17485C78"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(f)</w:t>
      </w:r>
      <w:r w:rsidRPr="00EB5AC1">
        <w:rPr>
          <w:szCs w:val="24"/>
          <w:lang w:eastAsia="en-US"/>
        </w:rPr>
        <w:tab/>
        <w:t>Tilläggsskyddets giltighetstid.</w:t>
      </w:r>
    </w:p>
    <w:p w14:paraId="4E10258F" w14:textId="16F49CC9" w:rsidR="00EB5AC1" w:rsidRPr="00EB5AC1" w:rsidRDefault="00EB5AC1" w:rsidP="00EB5AC1">
      <w:pPr>
        <w:spacing w:before="120" w:after="120" w:line="360" w:lineRule="auto"/>
        <w:ind w:left="1416" w:hanging="566"/>
        <w:rPr>
          <w:b/>
          <w:szCs w:val="24"/>
          <w:lang w:eastAsia="en-US"/>
        </w:rPr>
      </w:pPr>
      <w:r w:rsidRPr="00EB5AC1">
        <w:rPr>
          <w:b/>
          <w:i/>
          <w:szCs w:val="24"/>
          <w:lang w:eastAsia="en-US"/>
        </w:rPr>
        <w:t>fa)</w:t>
      </w:r>
      <w:r w:rsidRPr="00EB5AC1">
        <w:rPr>
          <w:szCs w:val="24"/>
          <w:lang w:eastAsia="en-US"/>
        </w:rPr>
        <w:tab/>
      </w:r>
      <w:r w:rsidRPr="00EB5AC1">
        <w:rPr>
          <w:b/>
          <w:i/>
          <w:szCs w:val="24"/>
          <w:lang w:eastAsia="en-US"/>
        </w:rPr>
        <w:t>Information om allt direkt offentligt ekonomiskt stöd som erhållits för forskning som rör utvecklingen av produkten.</w:t>
      </w:r>
      <w:r w:rsidRPr="00EB5AC1">
        <w:rPr>
          <w:b/>
          <w:szCs w:val="24"/>
          <w:lang w:eastAsia="en-US"/>
        </w:rPr>
        <w:t xml:space="preserve"> [</w:t>
      </w:r>
      <w:r w:rsidR="001734ED">
        <w:rPr>
          <w:b/>
          <w:szCs w:val="24"/>
          <w:lang w:eastAsia="en-US"/>
        </w:rPr>
        <w:t>Ändr.</w:t>
      </w:r>
      <w:r w:rsidRPr="00EB5AC1">
        <w:rPr>
          <w:b/>
          <w:szCs w:val="24"/>
          <w:lang w:eastAsia="en-US"/>
        </w:rPr>
        <w:t> 26]</w:t>
      </w:r>
    </w:p>
    <w:p w14:paraId="5C7DC11B"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2.</w:t>
      </w:r>
      <w:r w:rsidRPr="00EB5AC1">
        <w:rPr>
          <w:szCs w:val="24"/>
          <w:lang w:eastAsia="en-US"/>
        </w:rPr>
        <w:tab/>
        <w:t>Den myndighet som avses i artikel 9.1 ska så snart som möjligt offentliggöra en  underrättelse om att en ansökan om tilläggsskydd har avslagits. Underrättelsen ska innehålla minst de uppgifter som anges i artikel 9.2.</w:t>
      </w:r>
    </w:p>
    <w:p w14:paraId="5F6600B3"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3.</w:t>
      </w:r>
      <w:r w:rsidRPr="00EB5AC1">
        <w:rPr>
          <w:szCs w:val="24"/>
          <w:lang w:eastAsia="en-US"/>
        </w:rPr>
        <w:tab/>
        <w:t>Punkterna 1 och 2 ska tillämpas på en underrättelse om att en förlängning av giltighetstiden har beviljats eller om att en ansökan om en förlängning har avslagits</w:t>
      </w:r>
    </w:p>
    <w:p w14:paraId="6735AF56"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4.</w:t>
      </w:r>
      <w:r w:rsidRPr="00EB5AC1">
        <w:rPr>
          <w:szCs w:val="24"/>
          <w:lang w:eastAsia="en-US"/>
        </w:rPr>
        <w:tab/>
        <w:t>Den myndighet som avses i artikel 9.1 ska så snart som möjligt offentliggöra de uppgifter som anges i artikel 5.5 samt dagen för underrättelsen om dessa uppgifter. Myndigheten ska också så snart som möjligt offentliggöra alla ändringar av dessa uppgifter som meddelats i enlighet med artikel 5.2 c.</w:t>
      </w:r>
    </w:p>
    <w:p w14:paraId="11946E0E" w14:textId="77777777" w:rsidR="00EB5AC1" w:rsidRPr="00EB5AC1" w:rsidRDefault="00EB5AC1" w:rsidP="00EB5AC1">
      <w:pPr>
        <w:spacing w:before="120" w:after="120" w:line="360" w:lineRule="auto"/>
        <w:jc w:val="center"/>
        <w:rPr>
          <w:szCs w:val="24"/>
          <w:lang w:eastAsia="en-US"/>
        </w:rPr>
      </w:pPr>
      <w:r w:rsidRPr="00EB5AC1">
        <w:rPr>
          <w:szCs w:val="24"/>
          <w:lang w:eastAsia="en-US"/>
        </w:rPr>
        <w:t>Artikel 12</w:t>
      </w:r>
      <w:r w:rsidRPr="00EB5AC1">
        <w:rPr>
          <w:szCs w:val="24"/>
          <w:lang w:eastAsia="en-US"/>
        </w:rPr>
        <w:br/>
        <w:t>Avgifter</w:t>
      </w:r>
    </w:p>
    <w:p w14:paraId="064ED393"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w:t>
      </w:r>
      <w:r w:rsidRPr="00EB5AC1">
        <w:rPr>
          <w:szCs w:val="24"/>
          <w:lang w:eastAsia="en-US"/>
        </w:rPr>
        <w:tab/>
        <w:t>Medlemsstaterna får föreskriva att årsavgifter ska betalas för tilläggsskydd.</w:t>
      </w:r>
    </w:p>
    <w:p w14:paraId="191762A1"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2.</w:t>
      </w:r>
      <w:r w:rsidRPr="00EB5AC1">
        <w:rPr>
          <w:szCs w:val="24"/>
          <w:lang w:eastAsia="en-US"/>
        </w:rPr>
        <w:tab/>
        <w:t>Medlemsstaterna får föreskriva att en avgift ska betalas för de underrättelser som avses i artikel 5.2 b och c.</w:t>
      </w:r>
    </w:p>
    <w:p w14:paraId="312F851E" w14:textId="77777777" w:rsidR="00EB5AC1" w:rsidRPr="00EB5AC1" w:rsidRDefault="00EB5AC1" w:rsidP="00EB5AC1">
      <w:pPr>
        <w:spacing w:before="120" w:after="120" w:line="360" w:lineRule="auto"/>
        <w:jc w:val="center"/>
        <w:rPr>
          <w:szCs w:val="24"/>
          <w:lang w:eastAsia="en-US"/>
        </w:rPr>
      </w:pPr>
      <w:r w:rsidRPr="00EB5AC1">
        <w:rPr>
          <w:szCs w:val="24"/>
          <w:lang w:eastAsia="en-US"/>
        </w:rPr>
        <w:br w:type="page"/>
      </w:r>
      <w:r w:rsidRPr="00EB5AC1">
        <w:rPr>
          <w:szCs w:val="24"/>
          <w:lang w:eastAsia="en-US"/>
        </w:rPr>
        <w:lastRenderedPageBreak/>
        <w:t>Artikel 13</w:t>
      </w:r>
      <w:r w:rsidRPr="00EB5AC1">
        <w:rPr>
          <w:szCs w:val="24"/>
          <w:lang w:eastAsia="en-US"/>
        </w:rPr>
        <w:br/>
        <w:t>Tilläggsskyddets giltighetstid</w:t>
      </w:r>
    </w:p>
    <w:p w14:paraId="0712A672"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w:t>
      </w:r>
      <w:r w:rsidRPr="00EB5AC1">
        <w:rPr>
          <w:szCs w:val="24"/>
          <w:lang w:eastAsia="en-US"/>
        </w:rPr>
        <w:tab/>
        <w:t>Med början vid utgången av grundpatentets giltighetstid gäller tilläggsskyddet under en tidsrymd som är lika med den tid som förflöt från den dag då ansökan om grundpatentet gjordes till den dag då godkännande först gavs att saluföra produkten i  unionen  , minskad med fem år.</w:t>
      </w:r>
    </w:p>
    <w:p w14:paraId="71880F05"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2.</w:t>
      </w:r>
      <w:r w:rsidRPr="00EB5AC1">
        <w:rPr>
          <w:szCs w:val="24"/>
          <w:lang w:eastAsia="en-US"/>
        </w:rPr>
        <w:tab/>
        <w:t>Utan hinder av punkt 1   får  tilläggsskyddets giltighetstid   inte vara  längre än fem år räknat från det datum då det får verkan.</w:t>
      </w:r>
    </w:p>
    <w:p w14:paraId="0BB52815"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3.</w:t>
      </w:r>
      <w:r w:rsidRPr="00EB5AC1">
        <w:rPr>
          <w:szCs w:val="24"/>
          <w:lang w:eastAsia="en-US"/>
        </w:rPr>
        <w:tab/>
        <w:t>De perioder som fastställs i punkterna 1 och 2  i den här artikeln  ska förlängas med sex månader när artikel 36 i förordning (EG) nr 1901/2006  tillämpas. I ett sådant fall får den period som fastställs i punkt 1  i den artikeln  förlängas endast en gång.</w:t>
      </w:r>
    </w:p>
    <w:p w14:paraId="3FCF6B72" w14:textId="77777777" w:rsidR="00EB5AC1" w:rsidRPr="00EB5AC1" w:rsidRDefault="00EB5AC1" w:rsidP="00EB5AC1">
      <w:pPr>
        <w:spacing w:before="120" w:after="120" w:line="360" w:lineRule="auto"/>
        <w:jc w:val="center"/>
        <w:rPr>
          <w:szCs w:val="24"/>
          <w:lang w:eastAsia="en-US"/>
        </w:rPr>
      </w:pPr>
      <w:r w:rsidRPr="00EB5AC1">
        <w:rPr>
          <w:szCs w:val="24"/>
          <w:lang w:eastAsia="en-US"/>
        </w:rPr>
        <w:br w:type="page"/>
      </w:r>
      <w:r w:rsidRPr="00EB5AC1">
        <w:rPr>
          <w:szCs w:val="24"/>
          <w:lang w:eastAsia="en-US"/>
        </w:rPr>
        <w:lastRenderedPageBreak/>
        <w:t>Artikel 14</w:t>
      </w:r>
      <w:r w:rsidRPr="00EB5AC1">
        <w:rPr>
          <w:szCs w:val="24"/>
          <w:lang w:eastAsia="en-US"/>
        </w:rPr>
        <w:br/>
        <w:t>Tilläggsskyddets upphörande</w:t>
      </w:r>
    </w:p>
    <w:p w14:paraId="1359C8A3" w14:textId="77777777" w:rsidR="00EB5AC1" w:rsidRPr="00EB5AC1" w:rsidRDefault="00EB5AC1" w:rsidP="00EB5AC1">
      <w:pPr>
        <w:spacing w:before="120" w:after="120" w:line="360" w:lineRule="auto"/>
        <w:rPr>
          <w:szCs w:val="24"/>
          <w:lang w:eastAsia="en-US"/>
        </w:rPr>
      </w:pPr>
      <w:r w:rsidRPr="00EB5AC1">
        <w:rPr>
          <w:szCs w:val="24"/>
          <w:lang w:eastAsia="en-US"/>
        </w:rPr>
        <w:t>Tilläggsskyddet ska upphöra att gälla i något av följande fall:</w:t>
      </w:r>
    </w:p>
    <w:p w14:paraId="7672CEFB"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(a)</w:t>
      </w:r>
      <w:r w:rsidRPr="00EB5AC1">
        <w:rPr>
          <w:szCs w:val="24"/>
          <w:lang w:eastAsia="en-US"/>
        </w:rPr>
        <w:tab/>
        <w:t>Vid utgången av den tid som anges i artikel 13.</w:t>
      </w:r>
    </w:p>
    <w:p w14:paraId="2D7B751C"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(b)</w:t>
      </w:r>
      <w:r w:rsidRPr="00EB5AC1">
        <w:rPr>
          <w:szCs w:val="24"/>
          <w:lang w:eastAsia="en-US"/>
        </w:rPr>
        <w:tab/>
        <w:t>Om innehavaren avstår från detta.</w:t>
      </w:r>
    </w:p>
    <w:p w14:paraId="74488BCF"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(c)</w:t>
      </w:r>
      <w:r w:rsidRPr="00EB5AC1">
        <w:rPr>
          <w:szCs w:val="24"/>
          <w:lang w:eastAsia="en-US"/>
        </w:rPr>
        <w:tab/>
        <w:t>Om en årsavgift som fastställts i enlighet med artikel 12 inte har erlagts i tid.</w:t>
      </w:r>
    </w:p>
    <w:p w14:paraId="1E287FD5"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(d)</w:t>
      </w:r>
      <w:r w:rsidRPr="00EB5AC1">
        <w:rPr>
          <w:szCs w:val="24"/>
          <w:lang w:eastAsia="en-US"/>
        </w:rPr>
        <w:tab/>
        <w:t>Om och så länge som den produkt som omfattas av tilläggsskyddet inte längre får saluföras på grund av att ifrågavarande godkännande eller godkännanden återkallats i enlighet med direktiv 2001/83/EG eller  förordning (EU) 2019/6.</w:t>
      </w:r>
    </w:p>
    <w:p w14:paraId="12BCDD22" w14:textId="77777777" w:rsidR="00EB5AC1" w:rsidRPr="00EB5AC1" w:rsidRDefault="00EB5AC1" w:rsidP="00EB5AC1">
      <w:pPr>
        <w:spacing w:before="120" w:after="120" w:line="360" w:lineRule="auto"/>
        <w:rPr>
          <w:szCs w:val="24"/>
          <w:lang w:eastAsia="en-US"/>
        </w:rPr>
      </w:pPr>
      <w:r w:rsidRPr="00EB5AC1">
        <w:rPr>
          <w:szCs w:val="24"/>
          <w:lang w:eastAsia="en-US"/>
        </w:rPr>
        <w:t>Vid tillämpningen av led d får den myndighet som avses i artikel 9.1  antingen på eget initiativ eller på tredje parts begäran fatta beslut om att ett tilläggsskydd upphör att gälla .</w:t>
      </w:r>
    </w:p>
    <w:p w14:paraId="727C1127" w14:textId="77777777" w:rsidR="00EB5AC1" w:rsidRPr="00EB5AC1" w:rsidRDefault="00EB5AC1" w:rsidP="00EB5AC1">
      <w:pPr>
        <w:spacing w:before="120" w:after="120" w:line="360" w:lineRule="auto"/>
        <w:jc w:val="center"/>
        <w:rPr>
          <w:szCs w:val="24"/>
          <w:lang w:eastAsia="en-US"/>
        </w:rPr>
      </w:pPr>
      <w:r w:rsidRPr="00EB5AC1">
        <w:rPr>
          <w:szCs w:val="24"/>
          <w:lang w:eastAsia="en-US"/>
        </w:rPr>
        <w:br w:type="page"/>
      </w:r>
      <w:r w:rsidRPr="00EB5AC1">
        <w:rPr>
          <w:szCs w:val="24"/>
          <w:lang w:eastAsia="en-US"/>
        </w:rPr>
        <w:lastRenderedPageBreak/>
        <w:t>Artikel 15</w:t>
      </w:r>
      <w:r w:rsidRPr="00EB5AC1">
        <w:rPr>
          <w:szCs w:val="24"/>
          <w:lang w:eastAsia="en-US"/>
        </w:rPr>
        <w:br/>
        <w:t>Ogiltighet</w:t>
      </w:r>
    </w:p>
    <w:p w14:paraId="1CAB0107" w14:textId="315630BB" w:rsidR="00EB5AC1" w:rsidRPr="00EB5AC1" w:rsidRDefault="00EB5AC1" w:rsidP="00EB5AC1">
      <w:pPr>
        <w:spacing w:before="120" w:after="120" w:line="360" w:lineRule="auto"/>
        <w:ind w:left="850" w:hanging="850"/>
        <w:rPr>
          <w:szCs w:val="24"/>
          <w:lang w:eastAsia="en-US"/>
        </w:rPr>
      </w:pPr>
      <w:r w:rsidRPr="00EB5AC1">
        <w:rPr>
          <w:szCs w:val="24"/>
          <w:lang w:eastAsia="en-US"/>
        </w:rPr>
        <w:t>1.</w:t>
      </w:r>
      <w:r w:rsidRPr="00EB5AC1">
        <w:rPr>
          <w:szCs w:val="24"/>
          <w:lang w:eastAsia="en-US"/>
        </w:rPr>
        <w:tab/>
        <w:t>Tilläggsskyddet ska vara ogiltigt i något av följande fall:</w:t>
      </w:r>
    </w:p>
    <w:p w14:paraId="675326C2" w14:textId="5298328D" w:rsidR="00EB5AC1" w:rsidRPr="00EB5AC1" w:rsidRDefault="00EB5AC1" w:rsidP="00EB5AC1">
      <w:pPr>
        <w:spacing w:before="120" w:after="120" w:line="360" w:lineRule="auto"/>
        <w:ind w:left="1416" w:hanging="566"/>
        <w:rPr>
          <w:b/>
          <w:szCs w:val="24"/>
          <w:lang w:eastAsia="en-US"/>
        </w:rPr>
      </w:pPr>
      <w:r w:rsidRPr="00EB5AC1">
        <w:rPr>
          <w:szCs w:val="24"/>
          <w:lang w:eastAsia="en-US"/>
        </w:rPr>
        <w:t>(a)</w:t>
      </w:r>
      <w:r w:rsidRPr="00EB5AC1">
        <w:rPr>
          <w:szCs w:val="24"/>
          <w:lang w:eastAsia="en-US"/>
        </w:rPr>
        <w:tab/>
        <w:t>Tilläggsskyddet</w:t>
      </w:r>
      <w:r w:rsidRPr="00EB5AC1">
        <w:rPr>
          <w:strike/>
          <w:szCs w:val="24"/>
          <w:lang w:eastAsia="en-US"/>
        </w:rPr>
        <w:t xml:space="preserve">   </w:t>
      </w:r>
      <w:proofErr w:type="gramStart"/>
      <w:r w:rsidRPr="00EB5AC1">
        <w:rPr>
          <w:strike/>
          <w:szCs w:val="24"/>
          <w:lang w:eastAsia="en-US"/>
        </w:rPr>
        <w:t>har</w:t>
      </w:r>
      <w:proofErr w:type="gramEnd"/>
      <w:r w:rsidRPr="00EB5AC1">
        <w:rPr>
          <w:strike/>
          <w:szCs w:val="24"/>
          <w:lang w:eastAsia="en-US"/>
        </w:rPr>
        <w:t xml:space="preserve">   </w:t>
      </w:r>
      <w:r w:rsidRPr="00EB5AC1">
        <w:rPr>
          <w:b/>
          <w:i/>
          <w:szCs w:val="24"/>
          <w:lang w:eastAsia="en-US"/>
        </w:rPr>
        <w:t xml:space="preserve"> </w:t>
      </w:r>
      <w:proofErr w:type="gramStart"/>
      <w:r w:rsidRPr="00EB5AC1">
        <w:rPr>
          <w:b/>
          <w:i/>
          <w:szCs w:val="24"/>
          <w:lang w:eastAsia="en-US"/>
        </w:rPr>
        <w:t>har</w:t>
      </w:r>
      <w:proofErr w:type="gramEnd"/>
      <w:r w:rsidRPr="00EB5AC1">
        <w:rPr>
          <w:b/>
          <w:i/>
          <w:szCs w:val="24"/>
          <w:lang w:eastAsia="en-US"/>
        </w:rPr>
        <w:t xml:space="preserve"> </w:t>
      </w:r>
      <w:r w:rsidRPr="00EB5AC1">
        <w:rPr>
          <w:szCs w:val="24"/>
          <w:lang w:eastAsia="en-US"/>
        </w:rPr>
        <w:t>beviljats</w:t>
      </w:r>
      <w:r w:rsidR="00A703A6">
        <w:rPr>
          <w:szCs w:val="24"/>
          <w:lang w:eastAsia="en-US"/>
        </w:rPr>
        <w:t xml:space="preserve"> </w:t>
      </w:r>
      <w:r w:rsidRPr="00EB5AC1">
        <w:rPr>
          <w:szCs w:val="24"/>
          <w:lang w:eastAsia="en-US"/>
        </w:rPr>
        <w:t>i strid med artikel 3</w:t>
      </w:r>
      <w:r w:rsidRPr="00EB5AC1">
        <w:rPr>
          <w:b/>
          <w:i/>
          <w:szCs w:val="24"/>
          <w:lang w:eastAsia="en-US"/>
        </w:rPr>
        <w:t xml:space="preserve"> eller 6.2</w:t>
      </w:r>
      <w:r w:rsidRPr="00EB5AC1">
        <w:rPr>
          <w:szCs w:val="24"/>
          <w:lang w:eastAsia="en-US"/>
        </w:rPr>
        <w:t>.</w:t>
      </w:r>
      <w:r w:rsidRPr="00EB5AC1">
        <w:rPr>
          <w:b/>
          <w:szCs w:val="24"/>
          <w:lang w:eastAsia="en-US"/>
        </w:rPr>
        <w:t xml:space="preserve"> [</w:t>
      </w:r>
      <w:r w:rsidR="001734ED">
        <w:rPr>
          <w:b/>
          <w:szCs w:val="24"/>
          <w:lang w:eastAsia="en-US"/>
        </w:rPr>
        <w:t>Ändr.</w:t>
      </w:r>
      <w:r w:rsidRPr="00EB5AC1">
        <w:rPr>
          <w:b/>
          <w:szCs w:val="24"/>
          <w:lang w:eastAsia="en-US"/>
        </w:rPr>
        <w:t> 27]</w:t>
      </w:r>
    </w:p>
    <w:p w14:paraId="7C02C9AC"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(b)</w:t>
      </w:r>
      <w:r w:rsidRPr="00EB5AC1">
        <w:rPr>
          <w:szCs w:val="24"/>
          <w:lang w:eastAsia="en-US"/>
        </w:rPr>
        <w:tab/>
        <w:t>Grundpatentet har upphört att gälla före utgången av dess lagenliga giltighetstid.</w:t>
      </w:r>
    </w:p>
    <w:p w14:paraId="11FFCC97" w14:textId="61BD49DF" w:rsidR="00EB5AC1" w:rsidRPr="00EB5AC1" w:rsidRDefault="00EB5AC1" w:rsidP="00EB5AC1">
      <w:pPr>
        <w:spacing w:before="120" w:after="120" w:line="360" w:lineRule="auto"/>
        <w:ind w:left="1416" w:hanging="566"/>
        <w:rPr>
          <w:szCs w:val="24"/>
          <w:lang w:eastAsia="en-US"/>
        </w:rPr>
      </w:pPr>
      <w:r w:rsidRPr="00EB5AC1">
        <w:rPr>
          <w:szCs w:val="24"/>
          <w:lang w:eastAsia="en-US"/>
        </w:rPr>
        <w:t>(c)</w:t>
      </w:r>
      <w:r w:rsidRPr="00EB5AC1">
        <w:rPr>
          <w:szCs w:val="24"/>
          <w:lang w:eastAsia="en-US"/>
        </w:rPr>
        <w:tab/>
        <w:t>Grundpatentet upphävs eller begränsas till sitt skyddsomfång på så sätt att den produkt för vilken tilläggsskydd har beviljats inte längre skyddas av patentkraven i grundpatentet eller om det efter det att grundpatentet har upphört att gälla föreligger någon omständighet som  skulle ha givit rätt till ett sådant upphävande eller en sådan begränsning.</w:t>
      </w:r>
    </w:p>
    <w:p w14:paraId="1D586F23" w14:textId="7EC03AFE" w:rsidR="00EB5AC1" w:rsidRPr="00EB5AC1" w:rsidRDefault="00EB5AC1" w:rsidP="00EB5AC1">
      <w:pPr>
        <w:spacing w:before="120" w:after="120" w:line="360" w:lineRule="auto"/>
        <w:ind w:left="850" w:hanging="850"/>
        <w:rPr>
          <w:szCs w:val="24"/>
          <w:lang w:eastAsia="en-US"/>
        </w:rPr>
      </w:pPr>
      <w:r w:rsidRPr="00EB5AC1">
        <w:rPr>
          <w:szCs w:val="24"/>
          <w:lang w:eastAsia="en-US"/>
        </w:rPr>
        <w:t>2.</w:t>
      </w:r>
      <w:r w:rsidRPr="00EB5AC1">
        <w:rPr>
          <w:szCs w:val="24"/>
          <w:lang w:eastAsia="en-US"/>
        </w:rPr>
        <w:tab/>
        <w:t>Var och en får ansöka eller föra talan om ogiltigförklaring av ett tilläggsskydd hos den myndighet som enligt nationell lag är behörig att upphäva  motsvarande grundpatent, eller hos en behörig domstol i en medlemsstat.</w:t>
      </w:r>
    </w:p>
    <w:p w14:paraId="64AC409E" w14:textId="77777777" w:rsidR="00EB5AC1" w:rsidRPr="00EB5AC1" w:rsidRDefault="00EB5AC1" w:rsidP="00EB5AC1">
      <w:pPr>
        <w:spacing w:before="120" w:after="120" w:line="360" w:lineRule="auto"/>
        <w:jc w:val="center"/>
        <w:rPr>
          <w:szCs w:val="24"/>
          <w:lang w:eastAsia="en-US"/>
        </w:rPr>
      </w:pPr>
      <w:r w:rsidRPr="00EB5AC1">
        <w:rPr>
          <w:szCs w:val="24"/>
          <w:lang w:eastAsia="en-US"/>
        </w:rPr>
        <w:br w:type="page"/>
      </w:r>
      <w:r w:rsidRPr="00EB5AC1">
        <w:rPr>
          <w:szCs w:val="24"/>
          <w:lang w:eastAsia="en-US"/>
        </w:rPr>
        <w:lastRenderedPageBreak/>
        <w:t>Artikel 16</w:t>
      </w:r>
      <w:r w:rsidRPr="00EB5AC1">
        <w:rPr>
          <w:szCs w:val="24"/>
          <w:lang w:eastAsia="en-US"/>
        </w:rPr>
        <w:br/>
        <w:t>Ogiltighetsförklaring av en förlängning av giltighetstiden</w:t>
      </w:r>
    </w:p>
    <w:p w14:paraId="3F37E25D" w14:textId="2FA42E51" w:rsidR="00EB5AC1" w:rsidRPr="00EB5AC1" w:rsidRDefault="00EB5AC1" w:rsidP="00EB5AC1">
      <w:pPr>
        <w:spacing w:before="120" w:after="120" w:line="360" w:lineRule="auto"/>
        <w:ind w:left="850" w:hanging="850"/>
        <w:rPr>
          <w:szCs w:val="24"/>
          <w:lang w:eastAsia="en-US"/>
        </w:rPr>
      </w:pPr>
      <w:r w:rsidRPr="00EB5AC1">
        <w:rPr>
          <w:szCs w:val="24"/>
          <w:lang w:eastAsia="en-US"/>
        </w:rPr>
        <w:t>1.</w:t>
      </w:r>
      <w:r w:rsidRPr="00EB5AC1">
        <w:rPr>
          <w:szCs w:val="24"/>
          <w:lang w:eastAsia="en-US"/>
        </w:rPr>
        <w:tab/>
        <w:t>En förlängning av giltighetstiden får upphävas  om den har   beviljats  i strid med  artikel 36 i förordning (EG) nr 1901/2006.</w:t>
      </w:r>
    </w:p>
    <w:p w14:paraId="5DF3D204" w14:textId="48919FA2" w:rsidR="00EB5AC1" w:rsidRPr="00EB5AC1" w:rsidRDefault="00EB5AC1" w:rsidP="00EB5AC1">
      <w:pPr>
        <w:spacing w:before="120" w:after="120" w:line="360" w:lineRule="auto"/>
        <w:ind w:left="850" w:hanging="850"/>
        <w:rPr>
          <w:b/>
          <w:szCs w:val="24"/>
          <w:lang w:eastAsia="en-US"/>
        </w:rPr>
      </w:pPr>
      <w:r w:rsidRPr="00EB5AC1">
        <w:rPr>
          <w:szCs w:val="24"/>
          <w:lang w:eastAsia="en-US"/>
        </w:rPr>
        <w:t>2.</w:t>
      </w:r>
      <w:r w:rsidRPr="00EB5AC1">
        <w:rPr>
          <w:szCs w:val="24"/>
          <w:lang w:eastAsia="en-US"/>
        </w:rPr>
        <w:tab/>
        <w:t>Var och en får ansöka om</w:t>
      </w:r>
      <w:r w:rsidR="00A703A6">
        <w:rPr>
          <w:szCs w:val="24"/>
          <w:lang w:eastAsia="en-US"/>
        </w:rPr>
        <w:t xml:space="preserve"> </w:t>
      </w:r>
      <w:r w:rsidRPr="00EB5AC1">
        <w:rPr>
          <w:szCs w:val="24"/>
          <w:lang w:eastAsia="en-US"/>
        </w:rPr>
        <w:t>upphävande</w:t>
      </w:r>
      <w:r w:rsidR="00A703A6">
        <w:rPr>
          <w:szCs w:val="24"/>
          <w:lang w:eastAsia="en-US"/>
        </w:rPr>
        <w:t xml:space="preserve"> </w:t>
      </w:r>
      <w:r w:rsidRPr="00EB5AC1">
        <w:rPr>
          <w:szCs w:val="24"/>
          <w:lang w:eastAsia="en-US"/>
        </w:rPr>
        <w:t>av en</w:t>
      </w:r>
      <w:r w:rsidR="00A703A6">
        <w:rPr>
          <w:szCs w:val="24"/>
          <w:lang w:eastAsia="en-US"/>
        </w:rPr>
        <w:t xml:space="preserve"> </w:t>
      </w:r>
      <w:r w:rsidRPr="00EB5AC1">
        <w:rPr>
          <w:szCs w:val="24"/>
          <w:lang w:eastAsia="en-US"/>
        </w:rPr>
        <w:t>i enlighet med detta kapitel beviljad</w:t>
      </w:r>
      <w:r w:rsidR="00A703A6">
        <w:rPr>
          <w:szCs w:val="24"/>
          <w:lang w:eastAsia="en-US"/>
        </w:rPr>
        <w:t xml:space="preserve"> </w:t>
      </w:r>
      <w:r w:rsidRPr="00EB5AC1">
        <w:rPr>
          <w:szCs w:val="24"/>
          <w:lang w:eastAsia="en-US"/>
        </w:rPr>
        <w:t>förlängning av ett tilläggsskydd hos den myndighet som enligt nationell lag är behörig att</w:t>
      </w:r>
      <w:r w:rsidR="00A703A6">
        <w:rPr>
          <w:szCs w:val="24"/>
          <w:lang w:eastAsia="en-US"/>
        </w:rPr>
        <w:t xml:space="preserve"> </w:t>
      </w:r>
      <w:r w:rsidRPr="00EB5AC1">
        <w:rPr>
          <w:szCs w:val="24"/>
          <w:lang w:eastAsia="en-US"/>
        </w:rPr>
        <w:t>upphäva</w:t>
      </w:r>
      <w:r w:rsidR="00A703A6">
        <w:rPr>
          <w:szCs w:val="24"/>
          <w:lang w:eastAsia="en-US"/>
        </w:rPr>
        <w:t xml:space="preserve"> </w:t>
      </w:r>
      <w:r w:rsidRPr="00EB5AC1">
        <w:rPr>
          <w:szCs w:val="24"/>
          <w:lang w:eastAsia="en-US"/>
        </w:rPr>
        <w:t>motsvarande grundpatent</w:t>
      </w:r>
      <w:r w:rsidRPr="00EB5AC1">
        <w:rPr>
          <w:b/>
          <w:i/>
          <w:szCs w:val="24"/>
          <w:lang w:eastAsia="en-US"/>
        </w:rPr>
        <w:t xml:space="preserve"> eller hos en behörig domstol i en medlemsstat</w:t>
      </w:r>
      <w:r w:rsidRPr="00EB5AC1">
        <w:rPr>
          <w:szCs w:val="24"/>
          <w:lang w:eastAsia="en-US"/>
        </w:rPr>
        <w:t>.</w:t>
      </w:r>
      <w:r w:rsidRPr="00EB5AC1">
        <w:rPr>
          <w:b/>
          <w:szCs w:val="24"/>
          <w:lang w:eastAsia="en-US"/>
        </w:rPr>
        <w:t xml:space="preserve"> [</w:t>
      </w:r>
      <w:r w:rsidR="001734ED">
        <w:rPr>
          <w:b/>
          <w:szCs w:val="24"/>
          <w:lang w:eastAsia="en-US"/>
        </w:rPr>
        <w:t>Ändr.</w:t>
      </w:r>
      <w:r w:rsidRPr="00EB5AC1">
        <w:rPr>
          <w:b/>
          <w:szCs w:val="24"/>
          <w:lang w:eastAsia="en-US"/>
        </w:rPr>
        <w:t> 28]</w:t>
      </w:r>
    </w:p>
    <w:p w14:paraId="6DCCC130" w14:textId="77777777" w:rsidR="00EB5AC1" w:rsidRPr="00EB5AC1" w:rsidRDefault="00EB5AC1" w:rsidP="00EB5AC1">
      <w:pPr>
        <w:spacing w:before="120" w:after="120" w:line="360" w:lineRule="auto"/>
        <w:jc w:val="center"/>
        <w:rPr>
          <w:szCs w:val="24"/>
          <w:lang w:eastAsia="en-US"/>
        </w:rPr>
      </w:pPr>
      <w:r w:rsidRPr="00EB5AC1">
        <w:rPr>
          <w:szCs w:val="24"/>
          <w:lang w:eastAsia="en-US"/>
        </w:rPr>
        <w:t>Artikel 17</w:t>
      </w:r>
      <w:r w:rsidRPr="00EB5AC1">
        <w:rPr>
          <w:szCs w:val="24"/>
          <w:lang w:eastAsia="en-US"/>
        </w:rPr>
        <w:br/>
        <w:t xml:space="preserve">  Underrättelse  om upphörande eller ogiltighet</w:t>
      </w:r>
    </w:p>
    <w:p w14:paraId="631C3131"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w:t>
      </w:r>
      <w:r w:rsidRPr="00EB5AC1">
        <w:rPr>
          <w:szCs w:val="24"/>
          <w:lang w:eastAsia="en-US"/>
        </w:rPr>
        <w:tab/>
        <w:t>Om tilläggsskyddet upphör att gälla i enlighet med artikel 14 b, c eller d eller är ogiltigt i enlighet med artikel 15, ska  den myndighet som avses i artikel 9.1  offentliggöra en underrättelse om detta .</w:t>
      </w:r>
    </w:p>
    <w:p w14:paraId="4B980E39"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2.</w:t>
      </w:r>
      <w:r w:rsidRPr="00EB5AC1">
        <w:rPr>
          <w:szCs w:val="24"/>
          <w:lang w:eastAsia="en-US"/>
        </w:rPr>
        <w:tab/>
        <w:t>Om en förlängning av giltighetstiden   upphävs  i enlighet med artikel 16, ska detta offentliggöras av den myndighet som avses i artikel 9.1.</w:t>
      </w:r>
    </w:p>
    <w:p w14:paraId="2366905A" w14:textId="77777777" w:rsidR="00EB5AC1" w:rsidRPr="00EB5AC1" w:rsidRDefault="00EB5AC1" w:rsidP="00EB5AC1">
      <w:pPr>
        <w:spacing w:before="120" w:after="120" w:line="360" w:lineRule="auto"/>
        <w:jc w:val="center"/>
        <w:rPr>
          <w:szCs w:val="24"/>
          <w:lang w:eastAsia="en-US"/>
        </w:rPr>
      </w:pPr>
      <w:r w:rsidRPr="00EB5AC1">
        <w:rPr>
          <w:szCs w:val="24"/>
          <w:lang w:eastAsia="en-US"/>
        </w:rPr>
        <w:br w:type="page"/>
      </w:r>
      <w:r w:rsidRPr="00EB5AC1">
        <w:rPr>
          <w:szCs w:val="24"/>
          <w:lang w:eastAsia="en-US"/>
        </w:rPr>
        <w:lastRenderedPageBreak/>
        <w:t>Artikel 18</w:t>
      </w:r>
      <w:r w:rsidRPr="00EB5AC1">
        <w:rPr>
          <w:szCs w:val="24"/>
          <w:lang w:eastAsia="en-US"/>
        </w:rPr>
        <w:br/>
        <w:t>Överklagande</w:t>
      </w:r>
    </w:p>
    <w:p w14:paraId="30BC98E6"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w:t>
      </w:r>
      <w:r w:rsidRPr="00EB5AC1">
        <w:rPr>
          <w:szCs w:val="24"/>
          <w:lang w:eastAsia="en-US"/>
        </w:rPr>
        <w:tab/>
        <w:t>Ett beslut som har fattats i enlighet med  detta kapitel av den myndighet som avses i artikel 9.1 eller de myndigheter som avses i artiklarna 15.2 och 16.2 ska kunna överklagas i samma ordning som nationell lag föreskriver beträffande ett liknande beslut som fattats avseende nationella patent.</w:t>
      </w:r>
    </w:p>
    <w:p w14:paraId="4E427EFA"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2.</w:t>
      </w:r>
      <w:r w:rsidRPr="00EB5AC1">
        <w:rPr>
          <w:szCs w:val="24"/>
          <w:lang w:eastAsia="en-US"/>
        </w:rPr>
        <w:tab/>
        <w:t>Ett beslut om beviljande av tilläggsskydd får överklagas i syfte att rätta tilläggsskyddets giltighetstid om tidpunkten för det första godkännandet att saluföra produkten inom unionen, som angivits i ansökan om tilläggsskydd enligt artikel 8, är oriktig.</w:t>
      </w:r>
    </w:p>
    <w:p w14:paraId="680E2B56" w14:textId="15A5EB43" w:rsidR="00EB5AC1" w:rsidRPr="00EB5AC1" w:rsidRDefault="00EB5AC1" w:rsidP="00EB5AC1">
      <w:pPr>
        <w:spacing w:before="120" w:after="120" w:line="360" w:lineRule="auto"/>
        <w:ind w:left="850" w:hanging="850"/>
        <w:rPr>
          <w:b/>
          <w:szCs w:val="24"/>
          <w:lang w:eastAsia="en-US"/>
        </w:rPr>
      </w:pPr>
      <w:r w:rsidRPr="00EB5AC1">
        <w:rPr>
          <w:b/>
          <w:i/>
          <w:szCs w:val="24"/>
          <w:lang w:eastAsia="en-US"/>
        </w:rPr>
        <w:t>2a.</w:t>
      </w:r>
      <w:r w:rsidRPr="00EB5AC1">
        <w:rPr>
          <w:szCs w:val="24"/>
          <w:lang w:eastAsia="en-US"/>
        </w:rPr>
        <w:tab/>
      </w:r>
      <w:r w:rsidRPr="00EB5AC1">
        <w:rPr>
          <w:b/>
          <w:i/>
          <w:szCs w:val="24"/>
          <w:lang w:eastAsia="en-US"/>
        </w:rPr>
        <w:t>Full insyn ska säkerställas under hela överklagandeförfarandet, som om möjligt ska vara öppet för allmänhetens deltagande.</w:t>
      </w:r>
      <w:r w:rsidRPr="00EB5AC1">
        <w:rPr>
          <w:b/>
          <w:szCs w:val="24"/>
          <w:lang w:eastAsia="en-US"/>
        </w:rPr>
        <w:t xml:space="preserve"> [</w:t>
      </w:r>
      <w:r w:rsidR="001734ED">
        <w:rPr>
          <w:b/>
          <w:szCs w:val="24"/>
          <w:lang w:eastAsia="en-US"/>
        </w:rPr>
        <w:t>Ändr.</w:t>
      </w:r>
      <w:r w:rsidRPr="00EB5AC1">
        <w:rPr>
          <w:b/>
          <w:szCs w:val="24"/>
          <w:lang w:eastAsia="en-US"/>
        </w:rPr>
        <w:t> 29]</w:t>
      </w:r>
    </w:p>
    <w:p w14:paraId="02A17F60" w14:textId="77777777" w:rsidR="00EB5AC1" w:rsidRPr="00EB5AC1" w:rsidRDefault="00EB5AC1" w:rsidP="00EB5AC1">
      <w:pPr>
        <w:spacing w:before="120" w:after="120" w:line="360" w:lineRule="auto"/>
        <w:jc w:val="center"/>
        <w:rPr>
          <w:szCs w:val="24"/>
          <w:lang w:eastAsia="en-US"/>
        </w:rPr>
      </w:pPr>
      <w:r w:rsidRPr="00EB5AC1">
        <w:rPr>
          <w:szCs w:val="24"/>
          <w:lang w:eastAsia="en-US"/>
        </w:rPr>
        <w:br w:type="page"/>
      </w:r>
      <w:r w:rsidRPr="00EB5AC1">
        <w:rPr>
          <w:szCs w:val="24"/>
          <w:lang w:eastAsia="en-US"/>
        </w:rPr>
        <w:lastRenderedPageBreak/>
        <w:t>Artikel 19</w:t>
      </w:r>
      <w:r w:rsidRPr="00EB5AC1">
        <w:rPr>
          <w:szCs w:val="24"/>
          <w:lang w:eastAsia="en-US"/>
        </w:rPr>
        <w:br/>
        <w:t>Förfarande</w:t>
      </w:r>
    </w:p>
    <w:p w14:paraId="08A04664"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w:t>
      </w:r>
      <w:r w:rsidRPr="00EB5AC1">
        <w:rPr>
          <w:szCs w:val="24"/>
          <w:lang w:eastAsia="en-US"/>
        </w:rPr>
        <w:tab/>
        <w:t>Där denna förordning inte föreskriver något visst förfarande ska de föreskrifter om förfarande som enligt nationell lag gäller för grundpatentet tillämpas på tilläggsskydd, såvida det inte i nationell lag finns särskilda föreskrifter om förfarande för tilläggsskydd.</w:t>
      </w:r>
    </w:p>
    <w:p w14:paraId="07B92CDF"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2.</w:t>
      </w:r>
      <w:r w:rsidRPr="00EB5AC1">
        <w:rPr>
          <w:szCs w:val="24"/>
          <w:lang w:eastAsia="en-US"/>
        </w:rPr>
        <w:tab/>
        <w:t>Förfarandet för invändning mot beviljande av tilläggsskydd ska inte omfattas av bestämmelserna i punkt 1.</w:t>
      </w:r>
    </w:p>
    <w:p w14:paraId="65FB1681" w14:textId="77777777" w:rsidR="00EB5AC1" w:rsidRPr="00EB5AC1" w:rsidRDefault="00EB5AC1" w:rsidP="00EB5AC1">
      <w:pPr>
        <w:spacing w:before="120" w:after="120" w:line="360" w:lineRule="auto"/>
        <w:jc w:val="center"/>
        <w:rPr>
          <w:szCs w:val="24"/>
          <w:lang w:eastAsia="en-US"/>
        </w:rPr>
      </w:pPr>
      <w:r w:rsidRPr="00EB5AC1">
        <w:rPr>
          <w:szCs w:val="24"/>
          <w:lang w:eastAsia="en-US"/>
        </w:rPr>
        <w:t xml:space="preserve">Kapitel III </w:t>
      </w:r>
      <w:r w:rsidRPr="00EB5AC1">
        <w:rPr>
          <w:szCs w:val="24"/>
          <w:lang w:eastAsia="en-US"/>
        </w:rPr>
        <w:br/>
        <w:t>Centraliserat förfarande för tilläggsskydd</w:t>
      </w:r>
    </w:p>
    <w:p w14:paraId="6C9B49F3" w14:textId="77777777" w:rsidR="00EB5AC1" w:rsidRPr="00EB5AC1" w:rsidRDefault="00EB5AC1" w:rsidP="00EB5AC1">
      <w:pPr>
        <w:spacing w:before="120" w:after="120" w:line="360" w:lineRule="auto"/>
        <w:jc w:val="center"/>
        <w:rPr>
          <w:szCs w:val="24"/>
          <w:lang w:eastAsia="en-US"/>
        </w:rPr>
      </w:pPr>
      <w:r w:rsidRPr="00EB5AC1">
        <w:rPr>
          <w:szCs w:val="24"/>
          <w:lang w:eastAsia="en-US"/>
        </w:rPr>
        <w:t>Artikel 20</w:t>
      </w:r>
      <w:r w:rsidRPr="00EB5AC1">
        <w:rPr>
          <w:szCs w:val="24"/>
          <w:lang w:eastAsia="en-US"/>
        </w:rPr>
        <w:br/>
        <w:t>Den centraliserade ansökans omfattning</w:t>
      </w:r>
    </w:p>
    <w:p w14:paraId="1C70E897" w14:textId="193F21EA" w:rsidR="00EB5AC1" w:rsidRPr="00EB5AC1" w:rsidRDefault="00EB5AC1" w:rsidP="00EB5AC1">
      <w:pPr>
        <w:spacing w:before="120" w:after="120" w:line="360" w:lineRule="auto"/>
        <w:ind w:left="850" w:hanging="850"/>
        <w:rPr>
          <w:b/>
          <w:szCs w:val="24"/>
          <w:lang w:eastAsia="en-US"/>
        </w:rPr>
      </w:pPr>
      <w:r w:rsidRPr="00EB5AC1">
        <w:rPr>
          <w:szCs w:val="24"/>
          <w:lang w:eastAsia="en-US"/>
        </w:rPr>
        <w:t>1.</w:t>
      </w:r>
      <w:r w:rsidRPr="00EB5AC1">
        <w:rPr>
          <w:szCs w:val="24"/>
          <w:lang w:eastAsia="en-US"/>
        </w:rPr>
        <w:tab/>
        <w:t>Om grundpatentet är ett europeiskt patent, inbegripet ett enhetligt patent, och godkännandet att saluföra produkten har beviljats</w:t>
      </w:r>
      <w:r w:rsidRPr="00EB5AC1">
        <w:rPr>
          <w:b/>
          <w:i/>
          <w:szCs w:val="24"/>
          <w:lang w:eastAsia="en-US"/>
        </w:rPr>
        <w:t>, i förekommande fall, i enlighet med direktiv .../... [2023/0132(COD)]</w:t>
      </w:r>
      <w:r w:rsidRPr="00EB5AC1">
        <w:rPr>
          <w:szCs w:val="24"/>
          <w:lang w:eastAsia="en-US"/>
        </w:rPr>
        <w:t xml:space="preserve"> genom det centraliserade förfarandet enligt förordning (EG) nr 726/2004 eller förordning (EU) 2019/6, ska förfarandet i detta kapitel tillämpas.</w:t>
      </w:r>
      <w:r w:rsidRPr="00EB5AC1">
        <w:rPr>
          <w:b/>
          <w:szCs w:val="24"/>
          <w:lang w:eastAsia="en-US"/>
        </w:rPr>
        <w:t xml:space="preserve"> [</w:t>
      </w:r>
      <w:r w:rsidR="001734ED">
        <w:rPr>
          <w:b/>
          <w:szCs w:val="24"/>
          <w:lang w:eastAsia="en-US"/>
        </w:rPr>
        <w:t>Ändr.</w:t>
      </w:r>
      <w:r w:rsidRPr="00EB5AC1">
        <w:rPr>
          <w:b/>
          <w:szCs w:val="24"/>
          <w:lang w:eastAsia="en-US"/>
        </w:rPr>
        <w:t> 30]</w:t>
      </w:r>
    </w:p>
    <w:p w14:paraId="32979F54"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2.</w:t>
      </w:r>
      <w:r w:rsidRPr="00EB5AC1">
        <w:rPr>
          <w:szCs w:val="24"/>
          <w:lang w:eastAsia="en-US"/>
        </w:rPr>
        <w:tab/>
        <w:t>Om villkoren i punkt 1 är uppfyllda ska det vara förbjudet att lämna in nationella ansökningar för samma produkt i de medlemsstater där grundpatentet är gällande.</w:t>
      </w:r>
    </w:p>
    <w:p w14:paraId="7DC83560"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3.</w:t>
      </w:r>
      <w:r w:rsidRPr="00EB5AC1">
        <w:rPr>
          <w:szCs w:val="24"/>
          <w:lang w:eastAsia="en-US"/>
        </w:rPr>
        <w:tab/>
        <w:t>En centraliserad ansökan ska lämnas in till Europeiska unionens immaterialrättsmyndighet, som inrättats genom artikel 2 i förordning (EU) 2017/1001 (immaterialrättsmyndigheten).</w:t>
      </w:r>
    </w:p>
    <w:p w14:paraId="04B4983E" w14:textId="2604C6CE" w:rsidR="00EB5AC1" w:rsidRPr="00EB5AC1" w:rsidRDefault="00EB5AC1" w:rsidP="00EB5AC1">
      <w:pPr>
        <w:spacing w:before="120" w:after="120" w:line="360" w:lineRule="auto"/>
        <w:ind w:left="850" w:hanging="850"/>
        <w:rPr>
          <w:szCs w:val="24"/>
          <w:lang w:eastAsia="en-US"/>
        </w:rPr>
      </w:pPr>
      <w:r w:rsidRPr="00EB5AC1">
        <w:rPr>
          <w:szCs w:val="24"/>
          <w:lang w:eastAsia="en-US"/>
        </w:rPr>
        <w:t>4.</w:t>
      </w:r>
      <w:r w:rsidRPr="00EB5AC1">
        <w:rPr>
          <w:szCs w:val="24"/>
          <w:lang w:eastAsia="en-US"/>
        </w:rPr>
        <w:tab/>
        <w:t xml:space="preserve">Artiklarna 1–7 och 13–18 ska gälla för </w:t>
      </w:r>
      <w:r w:rsidR="00FD106D">
        <w:rPr>
          <w:szCs w:val="24"/>
          <w:lang w:eastAsia="en-US"/>
        </w:rPr>
        <w:t>centraliserade ansökningar</w:t>
      </w:r>
      <w:r w:rsidRPr="00EB5AC1">
        <w:rPr>
          <w:szCs w:val="24"/>
          <w:lang w:eastAsia="en-US"/>
        </w:rPr>
        <w:t>.</w:t>
      </w:r>
    </w:p>
    <w:p w14:paraId="1F413973"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5.</w:t>
      </w:r>
      <w:r w:rsidRPr="00EB5AC1">
        <w:rPr>
          <w:szCs w:val="24"/>
          <w:lang w:eastAsia="en-US"/>
        </w:rPr>
        <w:tab/>
        <w:t>Den centraliserade ansökan ska lämnas in med hjälp av ett särskilt ansökningsformulär.</w:t>
      </w:r>
    </w:p>
    <w:p w14:paraId="2445A9BA" w14:textId="77777777" w:rsidR="00EB5AC1" w:rsidRPr="00EB5AC1" w:rsidRDefault="00EB5AC1" w:rsidP="00EB5AC1">
      <w:pPr>
        <w:spacing w:before="120" w:after="120" w:line="360" w:lineRule="auto"/>
        <w:ind w:left="850"/>
        <w:rPr>
          <w:szCs w:val="24"/>
          <w:lang w:eastAsia="en-US"/>
        </w:rPr>
      </w:pPr>
      <w:r w:rsidRPr="00EB5AC1">
        <w:rPr>
          <w:szCs w:val="24"/>
          <w:lang w:eastAsia="en-US"/>
        </w:rPr>
        <w:t>Kommissionen ges befogenhet att anta genomförandeakter för att fastställa bestämmelser för det ansökningsformulär som ska användas för att lämna in en centraliserad ansökan. Dessa genomförandeakter ska antas i enlighet med det granskningsförfarande som avses i artikel 56.</w:t>
      </w:r>
    </w:p>
    <w:p w14:paraId="1F8CF9D9" w14:textId="77777777" w:rsidR="00EB5AC1" w:rsidRPr="00EB5AC1" w:rsidRDefault="00EB5AC1" w:rsidP="00EB5AC1">
      <w:pPr>
        <w:spacing w:before="120" w:after="120" w:line="360" w:lineRule="auto"/>
        <w:jc w:val="center"/>
        <w:rPr>
          <w:szCs w:val="24"/>
          <w:lang w:eastAsia="en-US"/>
        </w:rPr>
      </w:pPr>
      <w:r w:rsidRPr="00EB5AC1">
        <w:rPr>
          <w:szCs w:val="24"/>
          <w:lang w:eastAsia="en-US"/>
        </w:rPr>
        <w:br w:type="page"/>
      </w:r>
      <w:r w:rsidRPr="00EB5AC1">
        <w:rPr>
          <w:szCs w:val="24"/>
          <w:lang w:eastAsia="en-US"/>
        </w:rPr>
        <w:lastRenderedPageBreak/>
        <w:t>Artikel 21</w:t>
      </w:r>
      <w:r w:rsidRPr="00EB5AC1">
        <w:rPr>
          <w:szCs w:val="24"/>
          <w:lang w:eastAsia="en-US"/>
        </w:rPr>
        <w:br/>
        <w:t xml:space="preserve">Den centraliserade ansökans innehåll </w:t>
      </w:r>
    </w:p>
    <w:p w14:paraId="7E59B2ED" w14:textId="77777777" w:rsidR="00EB5AC1" w:rsidRPr="00EB5AC1" w:rsidRDefault="00EB5AC1" w:rsidP="00EB5AC1">
      <w:pPr>
        <w:spacing w:before="120" w:after="120" w:line="360" w:lineRule="auto"/>
        <w:rPr>
          <w:szCs w:val="24"/>
          <w:lang w:eastAsia="en-US"/>
        </w:rPr>
      </w:pPr>
      <w:r w:rsidRPr="00EB5AC1">
        <w:rPr>
          <w:szCs w:val="24"/>
          <w:lang w:eastAsia="en-US"/>
        </w:rPr>
        <w:t>Den centraliserade ansökan ska innehålla följande:</w:t>
      </w:r>
    </w:p>
    <w:p w14:paraId="523217AC"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(a)</w:t>
      </w:r>
      <w:r w:rsidRPr="00EB5AC1">
        <w:rPr>
          <w:szCs w:val="24"/>
          <w:lang w:eastAsia="en-US"/>
        </w:rPr>
        <w:tab/>
        <w:t>Angivna medlemsstater i vilka tilläggsskydd söks enligt det centraliserade förfarandet.</w:t>
      </w:r>
    </w:p>
    <w:p w14:paraId="66C2F8C6"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(b)</w:t>
      </w:r>
      <w:r w:rsidRPr="00EB5AC1">
        <w:rPr>
          <w:szCs w:val="24"/>
          <w:lang w:eastAsia="en-US"/>
        </w:rPr>
        <w:tab/>
        <w:t>Den information som avses i artikel 8.1.</w:t>
      </w:r>
    </w:p>
    <w:p w14:paraId="60CEB538" w14:textId="77777777" w:rsidR="00EB5AC1" w:rsidRPr="00EB5AC1" w:rsidRDefault="00EB5AC1" w:rsidP="00EB5AC1">
      <w:pPr>
        <w:spacing w:before="120" w:after="120" w:line="360" w:lineRule="auto"/>
        <w:jc w:val="center"/>
        <w:rPr>
          <w:szCs w:val="24"/>
          <w:lang w:eastAsia="en-US"/>
        </w:rPr>
      </w:pPr>
      <w:r w:rsidRPr="00EB5AC1">
        <w:rPr>
          <w:szCs w:val="24"/>
          <w:lang w:eastAsia="en-US"/>
        </w:rPr>
        <w:t>Artikel 22</w:t>
      </w:r>
      <w:r w:rsidRPr="00EB5AC1">
        <w:rPr>
          <w:szCs w:val="24"/>
          <w:lang w:eastAsia="en-US"/>
        </w:rPr>
        <w:br/>
        <w:t>Kontroll av en centraliserad ansökans godtagbarhet</w:t>
      </w:r>
    </w:p>
    <w:p w14:paraId="750B17C2"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w:t>
      </w:r>
      <w:r w:rsidRPr="00EB5AC1">
        <w:rPr>
          <w:szCs w:val="24"/>
          <w:lang w:eastAsia="en-US"/>
        </w:rPr>
        <w:tab/>
        <w:t>Immaterialrättsmyndigheten ska kontrollera följande:</w:t>
      </w:r>
    </w:p>
    <w:p w14:paraId="459B5554"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(a)</w:t>
      </w:r>
      <w:r w:rsidRPr="00EB5AC1">
        <w:rPr>
          <w:szCs w:val="24"/>
          <w:lang w:eastAsia="en-US"/>
        </w:rPr>
        <w:tab/>
        <w:t>Huruvida den centraliserade ansökan uppfyller kraven i artikel 21.</w:t>
      </w:r>
    </w:p>
    <w:p w14:paraId="73254810"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(b)</w:t>
      </w:r>
      <w:r w:rsidRPr="00EB5AC1">
        <w:rPr>
          <w:szCs w:val="24"/>
          <w:lang w:eastAsia="en-US"/>
        </w:rPr>
        <w:tab/>
        <w:t>Huruvida den centraliserade ansökan uppfyller kraven i artikel 7.</w:t>
      </w:r>
    </w:p>
    <w:p w14:paraId="784A71C4"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(c)</w:t>
      </w:r>
      <w:r w:rsidRPr="00EB5AC1">
        <w:rPr>
          <w:szCs w:val="24"/>
          <w:lang w:eastAsia="en-US"/>
        </w:rPr>
        <w:tab/>
        <w:t>Huruvida den ansökningsavgift som avses i artikel 34.1 har betalats inom föreskriven tid.</w:t>
      </w:r>
    </w:p>
    <w:p w14:paraId="5AFB5208"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2.</w:t>
      </w:r>
      <w:r w:rsidRPr="00EB5AC1">
        <w:rPr>
          <w:szCs w:val="24"/>
          <w:lang w:eastAsia="en-US"/>
        </w:rPr>
        <w:tab/>
        <w:t>Om den centraliserade ansökan inte uppfyller de krav som avses i punkt 1 ska immaterialrättsmyndigheten begära att sökanden vidtar de åtgärder som krävs för att uppfylla kraven och fastställa en tidsfrist för detta.</w:t>
      </w:r>
    </w:p>
    <w:p w14:paraId="7686D10C"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3.</w:t>
      </w:r>
      <w:r w:rsidRPr="00EB5AC1">
        <w:rPr>
          <w:szCs w:val="24"/>
          <w:lang w:eastAsia="en-US"/>
        </w:rPr>
        <w:tab/>
        <w:t>Om den avgift som avses i punkt 1 c inte har betalats eller inte har betalats i sin helhet ska immaterialrättsmyndigheten informera sökanden om detta.</w:t>
      </w:r>
    </w:p>
    <w:p w14:paraId="2D0EB8E4"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4.</w:t>
      </w:r>
      <w:r w:rsidRPr="00EB5AC1">
        <w:rPr>
          <w:szCs w:val="24"/>
          <w:lang w:eastAsia="en-US"/>
        </w:rPr>
        <w:tab/>
        <w:t>Om sökanden inte uppfyller de krav som avses i punkt 1 inom den tidsfrist som avses i punkt 2 ska immaterialrättsmyndigheten avslå ansökan.</w:t>
      </w:r>
    </w:p>
    <w:p w14:paraId="28D7BC4D" w14:textId="77777777" w:rsidR="00EB5AC1" w:rsidRPr="00EB5AC1" w:rsidRDefault="00EB5AC1" w:rsidP="00EB5AC1">
      <w:pPr>
        <w:spacing w:before="120" w:after="120" w:line="360" w:lineRule="auto"/>
        <w:jc w:val="center"/>
        <w:rPr>
          <w:szCs w:val="24"/>
          <w:lang w:eastAsia="en-US"/>
        </w:rPr>
      </w:pPr>
      <w:r w:rsidRPr="00EB5AC1">
        <w:rPr>
          <w:szCs w:val="24"/>
          <w:lang w:eastAsia="en-US"/>
        </w:rPr>
        <w:t>Artikel 23</w:t>
      </w:r>
      <w:r w:rsidRPr="00EB5AC1">
        <w:rPr>
          <w:szCs w:val="24"/>
          <w:lang w:eastAsia="en-US"/>
        </w:rPr>
        <w:br/>
        <w:t>Offentliggörande av den centraliserade ansökan</w:t>
      </w:r>
    </w:p>
    <w:p w14:paraId="775F95A9" w14:textId="0F746179" w:rsidR="00EB5AC1" w:rsidRPr="00EB5AC1" w:rsidRDefault="00EB5AC1" w:rsidP="00EB5AC1">
      <w:pPr>
        <w:spacing w:before="120" w:after="120" w:line="360" w:lineRule="auto"/>
        <w:rPr>
          <w:b/>
          <w:szCs w:val="24"/>
          <w:lang w:eastAsia="en-US"/>
        </w:rPr>
      </w:pPr>
      <w:r w:rsidRPr="00EB5AC1">
        <w:rPr>
          <w:szCs w:val="24"/>
          <w:lang w:eastAsia="en-US"/>
        </w:rPr>
        <w:t>Om den centraliserade ansökan uppfyller kraven i artikel 22, eller om en ansökan om förlängning av tilläggsskyddets giltighetstid uppfyller kraven i artikel 33.2, ska immaterialrättsmyndigheten utan onödigt dröjsmål offentliggöra ansökan i registret</w:t>
      </w:r>
      <w:r w:rsidRPr="00EB5AC1">
        <w:rPr>
          <w:b/>
          <w:i/>
          <w:szCs w:val="24"/>
          <w:lang w:eastAsia="en-US"/>
        </w:rPr>
        <w:t xml:space="preserve">, senast fem arbetsdagar </w:t>
      </w:r>
      <w:r w:rsidR="00055FB5">
        <w:rPr>
          <w:b/>
          <w:i/>
          <w:szCs w:val="24"/>
          <w:lang w:eastAsia="en-US"/>
        </w:rPr>
        <w:t>där</w:t>
      </w:r>
      <w:r w:rsidRPr="00EB5AC1">
        <w:rPr>
          <w:b/>
          <w:i/>
          <w:szCs w:val="24"/>
          <w:lang w:eastAsia="en-US"/>
        </w:rPr>
        <w:t>efter</w:t>
      </w:r>
      <w:r w:rsidRPr="00EB5AC1">
        <w:rPr>
          <w:szCs w:val="24"/>
          <w:lang w:eastAsia="en-US"/>
        </w:rPr>
        <w:t>.</w:t>
      </w:r>
      <w:r w:rsidRPr="00EB5AC1">
        <w:rPr>
          <w:b/>
          <w:szCs w:val="24"/>
          <w:lang w:eastAsia="en-US"/>
        </w:rPr>
        <w:t xml:space="preserve"> [</w:t>
      </w:r>
      <w:r w:rsidR="001734ED">
        <w:rPr>
          <w:b/>
          <w:szCs w:val="24"/>
          <w:lang w:eastAsia="en-US"/>
        </w:rPr>
        <w:t>Ändr.</w:t>
      </w:r>
      <w:r w:rsidRPr="00EB5AC1">
        <w:rPr>
          <w:b/>
          <w:szCs w:val="24"/>
          <w:lang w:eastAsia="en-US"/>
        </w:rPr>
        <w:t> 31]</w:t>
      </w:r>
    </w:p>
    <w:p w14:paraId="28FD5D5F" w14:textId="77777777" w:rsidR="00EB5AC1" w:rsidRPr="00EB5AC1" w:rsidRDefault="00EB5AC1" w:rsidP="00EB5AC1">
      <w:pPr>
        <w:spacing w:before="120" w:after="120" w:line="360" w:lineRule="auto"/>
        <w:jc w:val="center"/>
        <w:rPr>
          <w:szCs w:val="24"/>
          <w:lang w:eastAsia="en-US"/>
        </w:rPr>
      </w:pPr>
      <w:r w:rsidRPr="00EB5AC1">
        <w:rPr>
          <w:szCs w:val="24"/>
          <w:lang w:eastAsia="en-US"/>
        </w:rPr>
        <w:br w:type="page"/>
      </w:r>
      <w:r w:rsidRPr="00EB5AC1">
        <w:rPr>
          <w:szCs w:val="24"/>
          <w:lang w:eastAsia="en-US"/>
        </w:rPr>
        <w:lastRenderedPageBreak/>
        <w:t>Artikel 24</w:t>
      </w:r>
      <w:r w:rsidRPr="00EB5AC1">
        <w:rPr>
          <w:szCs w:val="24"/>
          <w:lang w:eastAsia="en-US"/>
        </w:rPr>
        <w:br/>
        <w:t>Granskning av den centraliserade ansökan</w:t>
      </w:r>
    </w:p>
    <w:p w14:paraId="1AF3CB6C" w14:textId="7ECC216A" w:rsidR="00EB5AC1" w:rsidRPr="00EB5AC1" w:rsidRDefault="00EB5AC1" w:rsidP="00EB5AC1">
      <w:pPr>
        <w:spacing w:before="120" w:after="120" w:line="360" w:lineRule="auto"/>
        <w:ind w:left="850" w:hanging="850"/>
        <w:rPr>
          <w:b/>
          <w:szCs w:val="24"/>
          <w:lang w:eastAsia="en-US"/>
        </w:rPr>
      </w:pPr>
      <w:r w:rsidRPr="00EB5AC1">
        <w:rPr>
          <w:szCs w:val="24"/>
          <w:lang w:eastAsia="en-US"/>
        </w:rPr>
        <w:t>1.</w:t>
      </w:r>
      <w:r w:rsidRPr="00EB5AC1">
        <w:rPr>
          <w:szCs w:val="24"/>
          <w:lang w:eastAsia="en-US"/>
        </w:rPr>
        <w:tab/>
        <w:t xml:space="preserve">Immaterialrättsmyndigheten ska bedöma ansökan på grundval av alla villkor i artikel 3.1 </w:t>
      </w:r>
      <w:r w:rsidRPr="00EB5AC1">
        <w:rPr>
          <w:b/>
          <w:i/>
          <w:szCs w:val="24"/>
          <w:lang w:eastAsia="en-US"/>
        </w:rPr>
        <w:t xml:space="preserve">och 3.3 samt artikel 6.2 </w:t>
      </w:r>
      <w:r w:rsidRPr="00EB5AC1">
        <w:rPr>
          <w:szCs w:val="24"/>
          <w:lang w:eastAsia="en-US"/>
        </w:rPr>
        <w:t>för var och en av de angivna medlemsstaterna.</w:t>
      </w:r>
      <w:r w:rsidRPr="00EB5AC1">
        <w:rPr>
          <w:b/>
          <w:szCs w:val="24"/>
          <w:lang w:eastAsia="en-US"/>
        </w:rPr>
        <w:t xml:space="preserve"> [</w:t>
      </w:r>
      <w:r w:rsidR="001734ED">
        <w:rPr>
          <w:b/>
          <w:szCs w:val="24"/>
          <w:lang w:eastAsia="en-US"/>
        </w:rPr>
        <w:t>Ändr.</w:t>
      </w:r>
      <w:r w:rsidRPr="00EB5AC1">
        <w:rPr>
          <w:b/>
          <w:szCs w:val="24"/>
          <w:lang w:eastAsia="en-US"/>
        </w:rPr>
        <w:t> 32]</w:t>
      </w:r>
    </w:p>
    <w:p w14:paraId="15CFB3C5" w14:textId="782AE421" w:rsidR="00EB5AC1" w:rsidRPr="00EB5AC1" w:rsidRDefault="00EB5AC1" w:rsidP="00EB5AC1">
      <w:pPr>
        <w:spacing w:before="120" w:after="120" w:line="360" w:lineRule="auto"/>
        <w:ind w:left="850" w:hanging="850"/>
        <w:rPr>
          <w:b/>
          <w:szCs w:val="24"/>
          <w:lang w:eastAsia="en-US"/>
        </w:rPr>
      </w:pPr>
      <w:r w:rsidRPr="00EB5AC1">
        <w:rPr>
          <w:szCs w:val="24"/>
          <w:lang w:eastAsia="en-US"/>
        </w:rPr>
        <w:t>2.</w:t>
      </w:r>
      <w:r w:rsidRPr="00EB5AC1">
        <w:rPr>
          <w:szCs w:val="24"/>
          <w:lang w:eastAsia="en-US"/>
        </w:rPr>
        <w:tab/>
        <w:t>Om den centraliserade ansökan om tilläggsskydd och den produkt som ansökan avser uppfyller villkoren i artikel 3.1</w:t>
      </w:r>
      <w:r w:rsidRPr="00EB5AC1">
        <w:rPr>
          <w:b/>
          <w:i/>
          <w:szCs w:val="24"/>
          <w:lang w:eastAsia="en-US"/>
        </w:rPr>
        <w:t xml:space="preserve"> och 3.3 samt artikel 6.2</w:t>
      </w:r>
      <w:r w:rsidRPr="00EB5AC1">
        <w:rPr>
          <w:szCs w:val="24"/>
          <w:lang w:eastAsia="en-US"/>
        </w:rPr>
        <w:t xml:space="preserve"> för alla eller vissa av de angivna medlemsstaterna, ska immaterialrättsmyndigheten avge ett motiverat positivt granskningsyttrande med avseende på dessa medlemsstater. Immaterialrättsmyndigheten ska </w:t>
      </w:r>
      <w:r w:rsidRPr="00EB5AC1">
        <w:rPr>
          <w:b/>
          <w:i/>
          <w:szCs w:val="24"/>
          <w:lang w:eastAsia="en-US"/>
        </w:rPr>
        <w:t xml:space="preserve">utan oskäligt dröjsmål </w:t>
      </w:r>
      <w:r w:rsidRPr="00EB5AC1">
        <w:rPr>
          <w:szCs w:val="24"/>
          <w:lang w:eastAsia="en-US"/>
        </w:rPr>
        <w:t>underrätta sökanden om yttrandet</w:t>
      </w:r>
      <w:r w:rsidRPr="00EB5AC1">
        <w:rPr>
          <w:b/>
          <w:i/>
          <w:szCs w:val="24"/>
          <w:lang w:eastAsia="en-US"/>
        </w:rPr>
        <w:t xml:space="preserve"> och offentliggöra det i registret</w:t>
      </w:r>
      <w:r w:rsidRPr="00EB5AC1">
        <w:rPr>
          <w:szCs w:val="24"/>
          <w:lang w:eastAsia="en-US"/>
        </w:rPr>
        <w:t>.</w:t>
      </w:r>
      <w:r w:rsidRPr="00EB5AC1">
        <w:rPr>
          <w:b/>
          <w:szCs w:val="24"/>
          <w:lang w:eastAsia="en-US"/>
        </w:rPr>
        <w:t xml:space="preserve"> [</w:t>
      </w:r>
      <w:r w:rsidR="001734ED">
        <w:rPr>
          <w:b/>
          <w:szCs w:val="24"/>
          <w:lang w:eastAsia="en-US"/>
        </w:rPr>
        <w:t>Ändr.</w:t>
      </w:r>
      <w:r w:rsidRPr="00EB5AC1">
        <w:rPr>
          <w:b/>
          <w:szCs w:val="24"/>
          <w:lang w:eastAsia="en-US"/>
        </w:rPr>
        <w:t> 33]</w:t>
      </w:r>
    </w:p>
    <w:p w14:paraId="5C30559F" w14:textId="207EB350" w:rsidR="00EB5AC1" w:rsidRPr="00EB5AC1" w:rsidRDefault="00EB5AC1" w:rsidP="00EB5AC1">
      <w:pPr>
        <w:spacing w:before="120" w:after="120" w:line="360" w:lineRule="auto"/>
        <w:ind w:left="850" w:hanging="850"/>
        <w:rPr>
          <w:b/>
          <w:szCs w:val="24"/>
          <w:lang w:eastAsia="en-US"/>
        </w:rPr>
      </w:pPr>
      <w:r w:rsidRPr="00EB5AC1">
        <w:rPr>
          <w:szCs w:val="24"/>
          <w:lang w:eastAsia="en-US"/>
        </w:rPr>
        <w:t>3.</w:t>
      </w:r>
      <w:r w:rsidRPr="00EB5AC1">
        <w:rPr>
          <w:szCs w:val="24"/>
          <w:lang w:eastAsia="en-US"/>
        </w:rPr>
        <w:tab/>
        <w:t xml:space="preserve">Om den centraliserade ansökan om tilläggsskydd och den produkt som ansökan avser inte uppfyller villkoren i artikel </w:t>
      </w:r>
      <w:r w:rsidRPr="00EB5AC1">
        <w:rPr>
          <w:strike/>
          <w:szCs w:val="24"/>
          <w:lang w:eastAsia="en-US"/>
        </w:rPr>
        <w:t>3.1</w:t>
      </w:r>
      <w:r w:rsidRPr="00EB5AC1">
        <w:rPr>
          <w:b/>
          <w:i/>
          <w:szCs w:val="24"/>
          <w:lang w:eastAsia="en-US"/>
        </w:rPr>
        <w:t>3.1och 3.3 samt artikel 6.2</w:t>
      </w:r>
      <w:r w:rsidRPr="00EB5AC1">
        <w:rPr>
          <w:szCs w:val="24"/>
          <w:lang w:eastAsia="en-US"/>
        </w:rPr>
        <w:t xml:space="preserve"> för alla eller vissa av de angivna medlemsstaterna, ska immaterialrättsmyndigheten avge ett motiverat negativt granskningsyttrande med avseende på dessa medlemsstater. Immaterialrättsmyndigheten ska </w:t>
      </w:r>
      <w:r w:rsidRPr="00EB5AC1">
        <w:rPr>
          <w:b/>
          <w:i/>
          <w:szCs w:val="24"/>
          <w:lang w:eastAsia="en-US"/>
        </w:rPr>
        <w:t xml:space="preserve">utan oskäligt dröjsmål </w:t>
      </w:r>
      <w:r w:rsidRPr="00EB5AC1">
        <w:rPr>
          <w:szCs w:val="24"/>
          <w:lang w:eastAsia="en-US"/>
        </w:rPr>
        <w:t>underrätta sökanden om yttrandet</w:t>
      </w:r>
      <w:r w:rsidRPr="00EB5AC1">
        <w:rPr>
          <w:b/>
          <w:i/>
          <w:szCs w:val="24"/>
          <w:lang w:eastAsia="en-US"/>
        </w:rPr>
        <w:t xml:space="preserve"> och offentliggöra det i registret</w:t>
      </w:r>
      <w:r w:rsidRPr="00EB5AC1">
        <w:rPr>
          <w:szCs w:val="24"/>
          <w:lang w:eastAsia="en-US"/>
        </w:rPr>
        <w:t>.</w:t>
      </w:r>
      <w:r w:rsidRPr="00EB5AC1">
        <w:rPr>
          <w:b/>
          <w:szCs w:val="24"/>
          <w:lang w:eastAsia="en-US"/>
        </w:rPr>
        <w:t xml:space="preserve"> [</w:t>
      </w:r>
      <w:r w:rsidR="001734ED">
        <w:rPr>
          <w:b/>
          <w:szCs w:val="24"/>
          <w:lang w:eastAsia="en-US"/>
        </w:rPr>
        <w:t>Ändr.</w:t>
      </w:r>
      <w:r w:rsidRPr="00EB5AC1">
        <w:rPr>
          <w:b/>
          <w:szCs w:val="24"/>
          <w:lang w:eastAsia="en-US"/>
        </w:rPr>
        <w:t> 34]</w:t>
      </w:r>
    </w:p>
    <w:p w14:paraId="4551926C"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4.</w:t>
      </w:r>
      <w:r w:rsidRPr="00EB5AC1">
        <w:rPr>
          <w:szCs w:val="24"/>
          <w:lang w:eastAsia="en-US"/>
        </w:rPr>
        <w:tab/>
        <w:t>Immaterialrättsmyndigheten ska översätta granskningsyttrandet till de officiella språken i alla angivna medlemsstater. Immaterialrättsmyndigheten får använda verifierade maskinöversättningar för detta ändamål.</w:t>
      </w:r>
    </w:p>
    <w:p w14:paraId="656B1505" w14:textId="37B1B823" w:rsidR="00EB5AC1" w:rsidRPr="00EB5AC1" w:rsidRDefault="00EB5AC1" w:rsidP="00EB5AC1">
      <w:pPr>
        <w:spacing w:before="120" w:after="120" w:line="360" w:lineRule="auto"/>
        <w:ind w:left="850" w:hanging="850"/>
        <w:rPr>
          <w:szCs w:val="24"/>
          <w:lang w:eastAsia="en-US"/>
        </w:rPr>
      </w:pPr>
      <w:r w:rsidRPr="00EB5AC1">
        <w:rPr>
          <w:szCs w:val="24"/>
          <w:lang w:eastAsia="en-US"/>
        </w:rPr>
        <w:t>5.</w:t>
      </w:r>
      <w:r w:rsidRPr="00EB5AC1">
        <w:rPr>
          <w:szCs w:val="24"/>
          <w:lang w:eastAsia="en-US"/>
        </w:rPr>
        <w:tab/>
        <w:t xml:space="preserve">Kommissionen ges befogenhet att anta genomförandeakter för att fastställa regler om förfaranden för inlämning och förfaranden för det sätt på vilket granskningspanelerna behandlar </w:t>
      </w:r>
      <w:r w:rsidR="00FD106D">
        <w:rPr>
          <w:szCs w:val="24"/>
          <w:lang w:eastAsia="en-US"/>
        </w:rPr>
        <w:t>centraliserade ansökningar</w:t>
      </w:r>
      <w:r w:rsidRPr="00EB5AC1">
        <w:rPr>
          <w:szCs w:val="24"/>
          <w:lang w:eastAsia="en-US"/>
        </w:rPr>
        <w:t xml:space="preserve"> och utarbetar granskningsyttranden samt för utfärdande av granskningsyttranden från immaterialrättsmyndigheten. Dessa genomförandeakter ska antas i enlighet med det granskningsförfarande som avses i artikel 56.</w:t>
      </w:r>
    </w:p>
    <w:p w14:paraId="58124E36" w14:textId="37F1F9C5" w:rsidR="00EB5AC1" w:rsidRPr="00EB5AC1" w:rsidRDefault="00EB5AC1" w:rsidP="00EB5AC1">
      <w:pPr>
        <w:spacing w:before="120" w:after="120" w:line="360" w:lineRule="auto"/>
        <w:ind w:left="850" w:hanging="850"/>
        <w:rPr>
          <w:b/>
          <w:szCs w:val="24"/>
          <w:lang w:eastAsia="en-US"/>
        </w:rPr>
      </w:pPr>
      <w:r w:rsidRPr="00EB5AC1">
        <w:rPr>
          <w:b/>
          <w:i/>
          <w:szCs w:val="24"/>
          <w:lang w:eastAsia="en-US"/>
        </w:rPr>
        <w:t>5a.</w:t>
      </w:r>
      <w:r w:rsidRPr="00EB5AC1">
        <w:rPr>
          <w:szCs w:val="24"/>
          <w:lang w:eastAsia="en-US"/>
        </w:rPr>
        <w:tab/>
      </w:r>
      <w:r w:rsidRPr="00EB5AC1">
        <w:rPr>
          <w:b/>
          <w:i/>
          <w:szCs w:val="24"/>
          <w:lang w:eastAsia="en-US"/>
        </w:rPr>
        <w:t>Immaterialrättsmyndigheten ska anta ett granskningsyttrande inom sex månader efter offentliggörandet av den centraliserade ansökan i registret. Utan att det påverkar tillämpningen av artiklarna 25, 26 och 28 i denna förordning får sökanden, när det är vederbörligen motiverat av brådskande skäl, lämna in en begäran om ett påskyndat förfarande. Om begäran om ett påskyndat prövningsförfarande anses motiverad ska immaterialrättsmyndigheten anta ett granskningsyttrande inom fyra månader efter offentliggörandet av ansökan om enhetligt tilläggsskydd.</w:t>
      </w:r>
      <w:r w:rsidRPr="00EB5AC1">
        <w:rPr>
          <w:b/>
          <w:szCs w:val="24"/>
          <w:lang w:eastAsia="en-US"/>
        </w:rPr>
        <w:t xml:space="preserve"> [</w:t>
      </w:r>
      <w:r w:rsidR="001734ED">
        <w:rPr>
          <w:b/>
          <w:szCs w:val="24"/>
          <w:lang w:eastAsia="en-US"/>
        </w:rPr>
        <w:t>Ändr.</w:t>
      </w:r>
      <w:r w:rsidRPr="00EB5AC1">
        <w:rPr>
          <w:b/>
          <w:szCs w:val="24"/>
          <w:lang w:eastAsia="en-US"/>
        </w:rPr>
        <w:t> 35]</w:t>
      </w:r>
    </w:p>
    <w:p w14:paraId="514F4EF3" w14:textId="77777777" w:rsidR="00EB5AC1" w:rsidRPr="00EB5AC1" w:rsidRDefault="00EB5AC1" w:rsidP="00EB5AC1">
      <w:pPr>
        <w:spacing w:before="120" w:after="120" w:line="360" w:lineRule="auto"/>
        <w:jc w:val="center"/>
        <w:rPr>
          <w:szCs w:val="24"/>
          <w:lang w:eastAsia="en-US"/>
        </w:rPr>
      </w:pPr>
      <w:r w:rsidRPr="00EB5AC1">
        <w:rPr>
          <w:szCs w:val="24"/>
          <w:lang w:eastAsia="en-US"/>
        </w:rPr>
        <w:br w:type="page"/>
      </w:r>
      <w:r w:rsidRPr="00EB5AC1">
        <w:rPr>
          <w:szCs w:val="24"/>
          <w:lang w:eastAsia="en-US"/>
        </w:rPr>
        <w:lastRenderedPageBreak/>
        <w:t>Artikel 25</w:t>
      </w:r>
      <w:r w:rsidRPr="00EB5AC1">
        <w:rPr>
          <w:szCs w:val="24"/>
          <w:lang w:eastAsia="en-US"/>
        </w:rPr>
        <w:br/>
        <w:t>Synpunkter från tredje parter</w:t>
      </w:r>
    </w:p>
    <w:p w14:paraId="6A94983E"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w:t>
      </w:r>
      <w:r w:rsidRPr="00EB5AC1">
        <w:rPr>
          <w:szCs w:val="24"/>
          <w:lang w:eastAsia="en-US"/>
        </w:rPr>
        <w:tab/>
        <w:t>Varje fysisk eller juridisk person får lämna skriftliga synpunkter till immaterialrättsmyndigheten om huruvida den produkt som ansökan gäller är berättigad till tilläggsskydd i en eller flera av de i ansökan angivna medlemsstaterna.</w:t>
      </w:r>
    </w:p>
    <w:p w14:paraId="61A165CD"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2.</w:t>
      </w:r>
      <w:r w:rsidRPr="00EB5AC1">
        <w:rPr>
          <w:szCs w:val="24"/>
          <w:lang w:eastAsia="en-US"/>
        </w:rPr>
        <w:tab/>
        <w:t>En fysisk eller juridisk person som har inkommit med skriftliga synpunkter i enlighet med punkt 1 ska inte anses vara part i ärendet.</w:t>
      </w:r>
    </w:p>
    <w:p w14:paraId="07CB5D2A"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3.</w:t>
      </w:r>
      <w:r w:rsidRPr="00EB5AC1">
        <w:rPr>
          <w:szCs w:val="24"/>
          <w:lang w:eastAsia="en-US"/>
        </w:rPr>
        <w:tab/>
        <w:t>Synpunkter från tredje part ska lämnas inom tre månader från det att den centraliserade ansökan har offentliggjorts i registret.</w:t>
      </w:r>
    </w:p>
    <w:p w14:paraId="1FC1D91F" w14:textId="5907D959" w:rsidR="00EB5AC1" w:rsidRPr="00EB5AC1" w:rsidRDefault="00EB5AC1" w:rsidP="00EB5AC1">
      <w:pPr>
        <w:spacing w:before="120" w:after="120" w:line="360" w:lineRule="auto"/>
        <w:ind w:left="850" w:hanging="850"/>
        <w:rPr>
          <w:b/>
          <w:szCs w:val="24"/>
          <w:lang w:eastAsia="en-US"/>
        </w:rPr>
      </w:pPr>
      <w:r w:rsidRPr="00EB5AC1">
        <w:rPr>
          <w:b/>
          <w:i/>
          <w:szCs w:val="24"/>
          <w:lang w:eastAsia="en-US"/>
        </w:rPr>
        <w:t>3a.</w:t>
      </w:r>
      <w:r w:rsidRPr="00EB5AC1">
        <w:rPr>
          <w:szCs w:val="24"/>
          <w:lang w:eastAsia="en-US"/>
        </w:rPr>
        <w:tab/>
      </w:r>
      <w:r w:rsidRPr="00EB5AC1">
        <w:rPr>
          <w:b/>
          <w:i/>
          <w:szCs w:val="24"/>
          <w:lang w:eastAsia="en-US"/>
        </w:rPr>
        <w:t>När det påskyndade förfarandet är tillämpligt i enlighet med artikel 24.5a ska synpunkter lämnas inom sex veckor efter det att ansökan har offentliggjorts i registret.</w:t>
      </w:r>
      <w:r w:rsidRPr="00EB5AC1">
        <w:rPr>
          <w:b/>
          <w:szCs w:val="24"/>
          <w:lang w:eastAsia="en-US"/>
        </w:rPr>
        <w:t xml:space="preserve"> [</w:t>
      </w:r>
      <w:r w:rsidR="001734ED">
        <w:rPr>
          <w:b/>
          <w:szCs w:val="24"/>
          <w:lang w:eastAsia="en-US"/>
        </w:rPr>
        <w:t>Ändr.</w:t>
      </w:r>
      <w:r w:rsidRPr="00EB5AC1">
        <w:rPr>
          <w:b/>
          <w:szCs w:val="24"/>
          <w:lang w:eastAsia="en-US"/>
        </w:rPr>
        <w:t> 36]</w:t>
      </w:r>
    </w:p>
    <w:p w14:paraId="6AB32AF6"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4.</w:t>
      </w:r>
      <w:r w:rsidRPr="00EB5AC1">
        <w:rPr>
          <w:szCs w:val="24"/>
          <w:lang w:eastAsia="en-US"/>
        </w:rPr>
        <w:tab/>
        <w:t>Eventuella synpunkter från tredje part ska motiveras och lämnas skriftligen på något av unionens officiella språk.</w:t>
      </w:r>
    </w:p>
    <w:p w14:paraId="7684221D"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5.</w:t>
      </w:r>
      <w:r w:rsidRPr="00EB5AC1">
        <w:rPr>
          <w:szCs w:val="24"/>
          <w:lang w:eastAsia="en-US"/>
        </w:rPr>
        <w:tab/>
        <w:t>Eventuella synpunkter från tredje part ska underrättas sökanden. Sökanden får kommentera synpunkterna inom en tidsfrist som fastställs av immaterialrättsmyndigheten.</w:t>
      </w:r>
    </w:p>
    <w:p w14:paraId="461DB150" w14:textId="77777777" w:rsidR="00EB5AC1" w:rsidRPr="00EB5AC1" w:rsidRDefault="00EB5AC1" w:rsidP="00EB5AC1">
      <w:pPr>
        <w:spacing w:before="120" w:after="120" w:line="360" w:lineRule="auto"/>
        <w:jc w:val="center"/>
        <w:rPr>
          <w:szCs w:val="24"/>
          <w:lang w:eastAsia="en-US"/>
        </w:rPr>
      </w:pPr>
      <w:r w:rsidRPr="00EB5AC1">
        <w:rPr>
          <w:szCs w:val="24"/>
          <w:lang w:eastAsia="en-US"/>
        </w:rPr>
        <w:br w:type="page"/>
      </w:r>
      <w:r w:rsidRPr="00EB5AC1">
        <w:rPr>
          <w:szCs w:val="24"/>
          <w:lang w:eastAsia="en-US"/>
        </w:rPr>
        <w:lastRenderedPageBreak/>
        <w:t>Artikel 26</w:t>
      </w:r>
      <w:r w:rsidRPr="00EB5AC1">
        <w:rPr>
          <w:szCs w:val="24"/>
          <w:lang w:eastAsia="en-US"/>
        </w:rPr>
        <w:br/>
        <w:t>Invändning</w:t>
      </w:r>
    </w:p>
    <w:p w14:paraId="7C2830C9"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w:t>
      </w:r>
      <w:r w:rsidRPr="00EB5AC1">
        <w:rPr>
          <w:szCs w:val="24"/>
          <w:lang w:eastAsia="en-US"/>
        </w:rPr>
        <w:tab/>
        <w:t>Inom två månader efter offentliggörandet av granskningsyttrandet om en centraliserad ansökan får varje person (invändaren) till immaterialrättsmyndigheten lämna in ett meddelande om invändning mot yttrandet.</w:t>
      </w:r>
    </w:p>
    <w:p w14:paraId="2CE49059" w14:textId="7CAA4F03" w:rsidR="00EB5AC1" w:rsidRPr="00EB5AC1" w:rsidRDefault="00EB5AC1" w:rsidP="00EB5AC1">
      <w:pPr>
        <w:spacing w:before="120" w:after="120" w:line="360" w:lineRule="auto"/>
        <w:ind w:left="850" w:hanging="850"/>
        <w:rPr>
          <w:b/>
          <w:szCs w:val="24"/>
          <w:lang w:eastAsia="en-US"/>
        </w:rPr>
      </w:pPr>
      <w:r w:rsidRPr="00EB5AC1">
        <w:rPr>
          <w:szCs w:val="24"/>
          <w:lang w:eastAsia="en-US"/>
        </w:rPr>
        <w:t>2.</w:t>
      </w:r>
      <w:r w:rsidRPr="00EB5AC1">
        <w:rPr>
          <w:szCs w:val="24"/>
          <w:lang w:eastAsia="en-US"/>
        </w:rPr>
        <w:tab/>
        <w:t xml:space="preserve">En invändning får </w:t>
      </w:r>
      <w:r w:rsidRPr="00EB5AC1">
        <w:rPr>
          <w:strike/>
          <w:szCs w:val="24"/>
          <w:lang w:eastAsia="en-US"/>
        </w:rPr>
        <w:t xml:space="preserve">endast </w:t>
      </w:r>
      <w:r w:rsidR="00FD106D" w:rsidRPr="00277D77">
        <w:rPr>
          <w:b/>
          <w:i/>
          <w:szCs w:val="24"/>
          <w:lang w:eastAsia="en-US"/>
        </w:rPr>
        <w:t xml:space="preserve">endast </w:t>
      </w:r>
      <w:r w:rsidRPr="00EB5AC1">
        <w:rPr>
          <w:szCs w:val="24"/>
          <w:lang w:eastAsia="en-US"/>
        </w:rPr>
        <w:t>lämnas</w:t>
      </w:r>
      <w:r w:rsidRPr="00EB5AC1">
        <w:rPr>
          <w:b/>
          <w:i/>
          <w:szCs w:val="24"/>
          <w:lang w:eastAsia="en-US"/>
        </w:rPr>
        <w:t xml:space="preserve"> </w:t>
      </w:r>
      <w:r w:rsidRPr="00EB5AC1">
        <w:rPr>
          <w:szCs w:val="24"/>
          <w:lang w:eastAsia="en-US"/>
        </w:rPr>
        <w:t xml:space="preserve">på grunden att ett eller flera av de villkor som anges i artikel 3 </w:t>
      </w:r>
      <w:r w:rsidRPr="00EB5AC1">
        <w:rPr>
          <w:b/>
          <w:i/>
          <w:szCs w:val="24"/>
          <w:lang w:eastAsia="en-US"/>
        </w:rPr>
        <w:t xml:space="preserve">eller 6 </w:t>
      </w:r>
      <w:r w:rsidRPr="00EB5AC1">
        <w:rPr>
          <w:szCs w:val="24"/>
          <w:lang w:eastAsia="en-US"/>
        </w:rPr>
        <w:t>inte är uppfyllda för en eller flera av de angivna medlemsstaterna.</w:t>
      </w:r>
      <w:r w:rsidRPr="00EB5AC1">
        <w:rPr>
          <w:b/>
          <w:szCs w:val="24"/>
          <w:lang w:eastAsia="en-US"/>
        </w:rPr>
        <w:t xml:space="preserve"> [</w:t>
      </w:r>
      <w:r w:rsidR="001734ED">
        <w:rPr>
          <w:b/>
          <w:szCs w:val="24"/>
          <w:lang w:eastAsia="en-US"/>
        </w:rPr>
        <w:t>Ändr.</w:t>
      </w:r>
      <w:r w:rsidRPr="00EB5AC1">
        <w:rPr>
          <w:b/>
          <w:szCs w:val="24"/>
          <w:lang w:eastAsia="en-US"/>
        </w:rPr>
        <w:t> 37]</w:t>
      </w:r>
    </w:p>
    <w:p w14:paraId="57826D96"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3.</w:t>
      </w:r>
      <w:r w:rsidRPr="00EB5AC1">
        <w:rPr>
          <w:szCs w:val="24"/>
          <w:lang w:eastAsia="en-US"/>
        </w:rPr>
        <w:tab/>
        <w:t>En invändning ska lämnas skriftligen och ska närmare ange vilka grunder som åberopas. Den ska inte betraktas som vederbörligen lämnad förrän invändningsavgiften har betalats.</w:t>
      </w:r>
    </w:p>
    <w:p w14:paraId="41B309BB"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4.</w:t>
      </w:r>
      <w:r w:rsidRPr="00EB5AC1">
        <w:rPr>
          <w:szCs w:val="24"/>
          <w:lang w:eastAsia="en-US"/>
        </w:rPr>
        <w:tab/>
        <w:t>Meddelandet om invändning ska innehålla följande:</w:t>
      </w:r>
    </w:p>
    <w:p w14:paraId="0C89168A"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(a)</w:t>
      </w:r>
      <w:r w:rsidRPr="00EB5AC1">
        <w:rPr>
          <w:szCs w:val="24"/>
          <w:lang w:eastAsia="en-US"/>
        </w:rPr>
        <w:tab/>
        <w:t>Hänvisningar till den centraliserade ansökan mot vilken invändning lämnas, innehavarens namn och produktens beteckning.</w:t>
      </w:r>
    </w:p>
    <w:p w14:paraId="02326A2D"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(b)</w:t>
      </w:r>
      <w:r w:rsidRPr="00EB5AC1">
        <w:rPr>
          <w:szCs w:val="24"/>
          <w:lang w:eastAsia="en-US"/>
        </w:rPr>
        <w:tab/>
        <w:t>Uppgifter om invändaren och, i förekommande fall, dennes ombud.</w:t>
      </w:r>
    </w:p>
    <w:p w14:paraId="6320031B"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(c)</w:t>
      </w:r>
      <w:r w:rsidRPr="00EB5AC1">
        <w:rPr>
          <w:szCs w:val="24"/>
          <w:lang w:eastAsia="en-US"/>
        </w:rPr>
        <w:tab/>
        <w:t>En redogörelse för i vilken utsträckning granskningsyttrandet bestrids och de skäl som invändningen grundar sig på.</w:t>
      </w:r>
    </w:p>
    <w:p w14:paraId="5E241CF1" w14:textId="2CA6161C" w:rsidR="00EB5AC1" w:rsidRPr="00EB5AC1" w:rsidRDefault="00EB5AC1" w:rsidP="00EB5AC1">
      <w:pPr>
        <w:spacing w:before="120" w:after="120" w:line="360" w:lineRule="auto"/>
        <w:ind w:left="1416" w:hanging="566"/>
        <w:rPr>
          <w:b/>
          <w:szCs w:val="24"/>
          <w:lang w:eastAsia="en-US"/>
        </w:rPr>
      </w:pPr>
      <w:r w:rsidRPr="00EB5AC1">
        <w:rPr>
          <w:b/>
          <w:i/>
          <w:szCs w:val="24"/>
          <w:lang w:eastAsia="en-US"/>
        </w:rPr>
        <w:t>ca)</w:t>
      </w:r>
      <w:r w:rsidRPr="00EB5AC1">
        <w:rPr>
          <w:szCs w:val="24"/>
          <w:lang w:eastAsia="en-US"/>
        </w:rPr>
        <w:tab/>
      </w:r>
      <w:r w:rsidRPr="00EB5AC1">
        <w:rPr>
          <w:b/>
          <w:i/>
          <w:szCs w:val="24"/>
          <w:lang w:eastAsia="en-US"/>
        </w:rPr>
        <w:t>All bevisning som invändaren åberopar till stöd för invändningen.</w:t>
      </w:r>
      <w:r w:rsidRPr="00EB5AC1">
        <w:rPr>
          <w:b/>
          <w:szCs w:val="24"/>
          <w:lang w:eastAsia="en-US"/>
        </w:rPr>
        <w:t xml:space="preserve"> [</w:t>
      </w:r>
      <w:r w:rsidR="001734ED">
        <w:rPr>
          <w:b/>
          <w:szCs w:val="24"/>
          <w:lang w:eastAsia="en-US"/>
        </w:rPr>
        <w:t>Ändr.</w:t>
      </w:r>
      <w:r w:rsidRPr="00EB5AC1">
        <w:rPr>
          <w:b/>
          <w:szCs w:val="24"/>
          <w:lang w:eastAsia="en-US"/>
        </w:rPr>
        <w:t> 38]</w:t>
      </w:r>
    </w:p>
    <w:p w14:paraId="2A773D3E"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5.</w:t>
      </w:r>
      <w:r w:rsidRPr="00EB5AC1">
        <w:rPr>
          <w:szCs w:val="24"/>
          <w:lang w:eastAsia="en-US"/>
        </w:rPr>
        <w:tab/>
        <w:t>Invändningen ska granskas av en invändningspanel som inrättats av immaterialrättsmyndigheten i enlighet med de regler som gäller för granskningspaneler enligt artikel 28. Invändningspanelen får dock inte inbegripa någon granskare som tidigare varit involverad i den granskningspanel som granskade den centraliserade ansökan.</w:t>
      </w:r>
    </w:p>
    <w:p w14:paraId="3B753862" w14:textId="77777777" w:rsidR="00EB5AC1" w:rsidRPr="00277D77" w:rsidRDefault="00EB5AC1" w:rsidP="00EB5AC1">
      <w:pPr>
        <w:spacing w:before="120" w:after="120" w:line="360" w:lineRule="auto"/>
        <w:ind w:left="850" w:hanging="850"/>
        <w:rPr>
          <w:b/>
          <w:szCs w:val="24"/>
          <w:lang w:eastAsia="en-US"/>
        </w:rPr>
      </w:pPr>
      <w:r w:rsidRPr="00EB5AC1">
        <w:rPr>
          <w:szCs w:val="24"/>
          <w:lang w:eastAsia="en-US"/>
        </w:rPr>
        <w:t>6.</w:t>
      </w:r>
      <w:r w:rsidRPr="00EB5AC1">
        <w:rPr>
          <w:szCs w:val="24"/>
          <w:lang w:eastAsia="en-US"/>
        </w:rPr>
        <w:tab/>
        <w:t xml:space="preserve">Om invändningspanelen konstaterar att meddelandet om invändning inte uppfyller kraven i punkt 2, 3 eller 4 ska den avvisa invändningen och underrätta invändaren om </w:t>
      </w:r>
      <w:r w:rsidRPr="00EB5AC1">
        <w:rPr>
          <w:b/>
          <w:i/>
          <w:szCs w:val="24"/>
          <w:lang w:eastAsia="en-US"/>
        </w:rPr>
        <w:t xml:space="preserve">sitt beslut och skälen för </w:t>
      </w:r>
      <w:r w:rsidRPr="00EB5AC1">
        <w:rPr>
          <w:szCs w:val="24"/>
          <w:lang w:eastAsia="en-US"/>
        </w:rPr>
        <w:t>detta, såvida inte bristerna har åtgärdats före utgången av den invändningsperiod som avses i punkt 1.</w:t>
      </w:r>
      <w:r w:rsidR="008943CD">
        <w:rPr>
          <w:b/>
          <w:szCs w:val="24"/>
          <w:lang w:eastAsia="en-US"/>
        </w:rPr>
        <w:t xml:space="preserve"> [Ändr. 39]</w:t>
      </w:r>
    </w:p>
    <w:p w14:paraId="1B00DEAC"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7.</w:t>
      </w:r>
      <w:r w:rsidRPr="00EB5AC1">
        <w:rPr>
          <w:szCs w:val="24"/>
          <w:lang w:eastAsia="en-US"/>
        </w:rPr>
        <w:tab/>
        <w:t>Innehavaren av den centraliserade ansökan ska underrättas om beslutet att avvisa en invändning, tillsammans med en kopia av meddelandet om invändning.</w:t>
      </w:r>
    </w:p>
    <w:p w14:paraId="0B6B2283" w14:textId="77777777" w:rsidR="00EB5AC1" w:rsidRPr="00EB5AC1" w:rsidRDefault="00EB5AC1" w:rsidP="00EB5AC1">
      <w:pPr>
        <w:spacing w:before="120" w:after="120" w:line="360" w:lineRule="auto"/>
        <w:ind w:left="850"/>
        <w:rPr>
          <w:szCs w:val="24"/>
          <w:lang w:eastAsia="en-US"/>
        </w:rPr>
      </w:pPr>
      <w:r w:rsidRPr="00EB5AC1">
        <w:rPr>
          <w:szCs w:val="24"/>
          <w:lang w:eastAsia="en-US"/>
        </w:rPr>
        <w:t>Ett meddelande om invändning ska avvisas om ett tidigare överklagande rörande samma sakförhållande och orsak har prövats i sak av immaterialrättsmyndigheten och immaterialrättsmyndighetens beslut om överklagandet har vunnit laga kraft.</w:t>
      </w:r>
    </w:p>
    <w:p w14:paraId="2817ADA5"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8.</w:t>
      </w:r>
      <w:r w:rsidRPr="00EB5AC1">
        <w:rPr>
          <w:szCs w:val="24"/>
          <w:lang w:eastAsia="en-US"/>
        </w:rPr>
        <w:tab/>
        <w:t>Om invändningen inte avvisas ska immaterialrättsmyndigheten utan dröjsmål översända meddelandet om invändning till sökanden och offentliggöra det i registret. Om flera meddelanden om invändning har lämnats in ska immaterialrättsmyndigheten utan dröjsmål vidarebefordra dem till de övriga invändarna.</w:t>
      </w:r>
    </w:p>
    <w:p w14:paraId="2F6D534E" w14:textId="7AAAF8ED" w:rsidR="00EB5AC1" w:rsidRPr="00EB5AC1" w:rsidRDefault="00EB5AC1" w:rsidP="00EB5AC1">
      <w:pPr>
        <w:spacing w:before="120" w:after="120" w:line="360" w:lineRule="auto"/>
        <w:ind w:left="850" w:hanging="850"/>
        <w:rPr>
          <w:b/>
          <w:szCs w:val="24"/>
          <w:lang w:eastAsia="en-US"/>
        </w:rPr>
      </w:pPr>
      <w:r w:rsidRPr="00EB5AC1">
        <w:rPr>
          <w:szCs w:val="24"/>
          <w:lang w:eastAsia="en-US"/>
        </w:rPr>
        <w:t>9.</w:t>
      </w:r>
      <w:r w:rsidRPr="00EB5AC1">
        <w:rPr>
          <w:szCs w:val="24"/>
          <w:lang w:eastAsia="en-US"/>
        </w:rPr>
        <w:tab/>
        <w:t>Immaterialrättsmyndigheten ska fatta ett beslut om invändningen</w:t>
      </w:r>
      <w:r w:rsidRPr="00EB5AC1">
        <w:rPr>
          <w:b/>
          <w:i/>
          <w:szCs w:val="24"/>
          <w:lang w:eastAsia="en-US"/>
        </w:rPr>
        <w:t xml:space="preserve"> och ange de närmare skälen för detta</w:t>
      </w:r>
      <w:r w:rsidRPr="00EB5AC1">
        <w:rPr>
          <w:szCs w:val="24"/>
          <w:lang w:eastAsia="en-US"/>
        </w:rPr>
        <w:t xml:space="preserve"> inom sex månader, såvida det inte krävs en längre tidsperiod på grund av ärendets komplexitet.</w:t>
      </w:r>
      <w:r w:rsidRPr="00EB5AC1">
        <w:rPr>
          <w:b/>
          <w:szCs w:val="24"/>
          <w:lang w:eastAsia="en-US"/>
        </w:rPr>
        <w:t xml:space="preserve"> [</w:t>
      </w:r>
      <w:r w:rsidR="001734ED">
        <w:rPr>
          <w:b/>
          <w:szCs w:val="24"/>
          <w:lang w:eastAsia="en-US"/>
        </w:rPr>
        <w:t>Ändr.</w:t>
      </w:r>
      <w:r w:rsidRPr="00EB5AC1">
        <w:rPr>
          <w:b/>
          <w:szCs w:val="24"/>
          <w:lang w:eastAsia="en-US"/>
        </w:rPr>
        <w:t> 40]</w:t>
      </w:r>
    </w:p>
    <w:p w14:paraId="1021B24D" w14:textId="0C1C8440" w:rsidR="00EB5AC1" w:rsidRPr="00EB5AC1" w:rsidRDefault="00EB5AC1" w:rsidP="00EB5AC1">
      <w:pPr>
        <w:spacing w:before="120" w:after="120" w:line="360" w:lineRule="auto"/>
        <w:ind w:left="850" w:hanging="850"/>
        <w:rPr>
          <w:b/>
          <w:szCs w:val="24"/>
          <w:lang w:eastAsia="en-US"/>
        </w:rPr>
      </w:pPr>
      <w:r w:rsidRPr="00EB5AC1">
        <w:rPr>
          <w:b/>
          <w:i/>
          <w:szCs w:val="24"/>
          <w:lang w:eastAsia="en-US"/>
        </w:rPr>
        <w:t>9a.</w:t>
      </w:r>
      <w:r w:rsidRPr="00EB5AC1">
        <w:rPr>
          <w:szCs w:val="24"/>
          <w:lang w:eastAsia="en-US"/>
        </w:rPr>
        <w:tab/>
      </w:r>
      <w:r w:rsidRPr="00EB5AC1">
        <w:rPr>
          <w:b/>
          <w:i/>
          <w:szCs w:val="24"/>
          <w:lang w:eastAsia="en-US"/>
        </w:rPr>
        <w:t>Om flera invändningar har lämnats in mot ett granskningsyttrande ska immaterialrättsmyndigheten behandla invändningarna tillsammans och utfärda ett enda beslut för alla invändningar som lämnats in.</w:t>
      </w:r>
      <w:r w:rsidRPr="00EB5AC1">
        <w:rPr>
          <w:b/>
          <w:szCs w:val="24"/>
          <w:lang w:eastAsia="en-US"/>
        </w:rPr>
        <w:t xml:space="preserve"> [</w:t>
      </w:r>
      <w:r w:rsidR="001734ED">
        <w:rPr>
          <w:b/>
          <w:szCs w:val="24"/>
          <w:lang w:eastAsia="en-US"/>
        </w:rPr>
        <w:t>Ändr.</w:t>
      </w:r>
      <w:r w:rsidRPr="00EB5AC1">
        <w:rPr>
          <w:b/>
          <w:szCs w:val="24"/>
          <w:lang w:eastAsia="en-US"/>
        </w:rPr>
        <w:t> 41]</w:t>
      </w:r>
    </w:p>
    <w:p w14:paraId="77C1FB14" w14:textId="3D0A514F" w:rsidR="00EB5AC1" w:rsidRPr="00EB5AC1" w:rsidRDefault="00EB5AC1" w:rsidP="00EB5AC1">
      <w:pPr>
        <w:spacing w:before="120" w:after="120" w:line="360" w:lineRule="auto"/>
        <w:ind w:left="850" w:hanging="850"/>
        <w:rPr>
          <w:b/>
          <w:szCs w:val="24"/>
          <w:lang w:eastAsia="en-US"/>
        </w:rPr>
      </w:pPr>
      <w:r w:rsidRPr="00EB5AC1">
        <w:rPr>
          <w:szCs w:val="24"/>
          <w:lang w:eastAsia="en-US"/>
        </w:rPr>
        <w:t>10.</w:t>
      </w:r>
      <w:r w:rsidRPr="00EB5AC1">
        <w:rPr>
          <w:szCs w:val="24"/>
          <w:lang w:eastAsia="en-US"/>
        </w:rPr>
        <w:tab/>
        <w:t xml:space="preserve">Om invändningspanelen anser att det inte finns någon grund för invändning som hindrar bibehållandet av granskningsyttrandet ska den avslå invändningen och </w:t>
      </w:r>
      <w:r w:rsidRPr="00EB5AC1">
        <w:rPr>
          <w:b/>
          <w:i/>
          <w:szCs w:val="24"/>
          <w:lang w:eastAsia="en-US"/>
        </w:rPr>
        <w:t xml:space="preserve">underrätta invändaren om sitt beslut, och </w:t>
      </w:r>
      <w:r w:rsidRPr="00EB5AC1">
        <w:rPr>
          <w:szCs w:val="24"/>
          <w:lang w:eastAsia="en-US"/>
        </w:rPr>
        <w:t>immaterialrättsmyndigheten ska ange detta i registret.</w:t>
      </w:r>
      <w:r w:rsidRPr="00EB5AC1">
        <w:rPr>
          <w:b/>
          <w:szCs w:val="24"/>
          <w:lang w:eastAsia="en-US"/>
        </w:rPr>
        <w:t xml:space="preserve"> [</w:t>
      </w:r>
      <w:r w:rsidR="001734ED">
        <w:rPr>
          <w:b/>
          <w:szCs w:val="24"/>
          <w:lang w:eastAsia="en-US"/>
        </w:rPr>
        <w:t>Ändr.</w:t>
      </w:r>
      <w:r w:rsidRPr="00EB5AC1">
        <w:rPr>
          <w:b/>
          <w:szCs w:val="24"/>
          <w:lang w:eastAsia="en-US"/>
        </w:rPr>
        <w:t> 42]</w:t>
      </w:r>
    </w:p>
    <w:p w14:paraId="67CA1690"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11.</w:t>
      </w:r>
      <w:r w:rsidRPr="00EB5AC1">
        <w:rPr>
          <w:szCs w:val="24"/>
          <w:lang w:eastAsia="en-US"/>
        </w:rPr>
        <w:tab/>
        <w:t>Om invändningspanelen anser att minst en grund för invändning hindrar bibehållandet av granskningsyttrandet ska den lämna ett ändrat yttrande och immaterialrättsmyndigheten ska ange detta i registret.</w:t>
      </w:r>
    </w:p>
    <w:p w14:paraId="4ED08C85"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12.</w:t>
      </w:r>
      <w:r w:rsidRPr="00EB5AC1">
        <w:rPr>
          <w:szCs w:val="24"/>
          <w:lang w:eastAsia="en-US"/>
        </w:rPr>
        <w:tab/>
        <w:t>Kommissionen ges befogenhet att anta delegerade akter i enlighet med artikel 55 för att komplettera denna förordning genom att närmare fastställa förfarandet för att lämna och granska en invändning.</w:t>
      </w:r>
    </w:p>
    <w:p w14:paraId="31ABADF9" w14:textId="4FDE172B" w:rsidR="00EB5AC1" w:rsidRPr="00EB5AC1" w:rsidRDefault="00EB5AC1" w:rsidP="00EB5AC1">
      <w:pPr>
        <w:spacing w:before="120" w:after="120" w:line="360" w:lineRule="auto"/>
        <w:ind w:left="850" w:hanging="850"/>
        <w:rPr>
          <w:b/>
          <w:szCs w:val="24"/>
          <w:lang w:eastAsia="en-US"/>
        </w:rPr>
      </w:pPr>
      <w:r w:rsidRPr="00EB5AC1">
        <w:rPr>
          <w:b/>
          <w:i/>
          <w:szCs w:val="24"/>
          <w:lang w:eastAsia="en-US"/>
        </w:rPr>
        <w:t>12a.</w:t>
      </w:r>
      <w:r w:rsidRPr="00EB5AC1">
        <w:rPr>
          <w:szCs w:val="24"/>
          <w:lang w:eastAsia="en-US"/>
        </w:rPr>
        <w:tab/>
      </w:r>
      <w:r w:rsidRPr="00EB5AC1">
        <w:rPr>
          <w:b/>
          <w:i/>
          <w:szCs w:val="24"/>
          <w:lang w:eastAsia="en-US"/>
        </w:rPr>
        <w:t>Full insyn ska säkerställas under hela invändningsförfarandet, som om möjligt ska vara öppet för allmänhetens deltagande.</w:t>
      </w:r>
      <w:r w:rsidRPr="00EB5AC1">
        <w:rPr>
          <w:b/>
          <w:szCs w:val="24"/>
          <w:lang w:eastAsia="en-US"/>
        </w:rPr>
        <w:t xml:space="preserve"> [</w:t>
      </w:r>
      <w:r w:rsidR="001734ED">
        <w:rPr>
          <w:b/>
          <w:szCs w:val="24"/>
          <w:lang w:eastAsia="en-US"/>
        </w:rPr>
        <w:t>Ändr.</w:t>
      </w:r>
      <w:r w:rsidRPr="00EB5AC1">
        <w:rPr>
          <w:b/>
          <w:szCs w:val="24"/>
          <w:lang w:eastAsia="en-US"/>
        </w:rPr>
        <w:t> 43]</w:t>
      </w:r>
    </w:p>
    <w:p w14:paraId="223DF343" w14:textId="77777777" w:rsidR="00EB5AC1" w:rsidRPr="00EB5AC1" w:rsidRDefault="00EB5AC1" w:rsidP="00EB5AC1">
      <w:pPr>
        <w:spacing w:before="120" w:after="120" w:line="360" w:lineRule="auto"/>
        <w:jc w:val="center"/>
        <w:rPr>
          <w:szCs w:val="24"/>
          <w:lang w:eastAsia="en-US"/>
        </w:rPr>
      </w:pPr>
      <w:r w:rsidRPr="00EB5AC1">
        <w:rPr>
          <w:szCs w:val="24"/>
          <w:lang w:eastAsia="en-US"/>
        </w:rPr>
        <w:t>Artikel 27</w:t>
      </w:r>
      <w:r w:rsidRPr="00EB5AC1">
        <w:rPr>
          <w:szCs w:val="24"/>
          <w:lang w:eastAsia="en-US"/>
        </w:rPr>
        <w:br/>
        <w:t>De behöriga nationella myndigheternas roll</w:t>
      </w:r>
    </w:p>
    <w:p w14:paraId="3DAA27F5" w14:textId="259D7785" w:rsidR="00EB5AC1" w:rsidRPr="00EB5AC1" w:rsidRDefault="00EB5AC1" w:rsidP="00EB5AC1">
      <w:pPr>
        <w:spacing w:before="120" w:after="120" w:line="360" w:lineRule="auto"/>
        <w:ind w:left="850" w:hanging="850"/>
        <w:rPr>
          <w:b/>
          <w:szCs w:val="24"/>
          <w:lang w:eastAsia="en-US"/>
        </w:rPr>
      </w:pPr>
      <w:r w:rsidRPr="00EB5AC1">
        <w:rPr>
          <w:szCs w:val="24"/>
          <w:lang w:eastAsia="en-US"/>
        </w:rPr>
        <w:t>1.</w:t>
      </w:r>
      <w:r w:rsidRPr="00EB5AC1">
        <w:rPr>
          <w:szCs w:val="24"/>
          <w:lang w:eastAsia="en-US"/>
        </w:rPr>
        <w:tab/>
        <w:t xml:space="preserve">På begäran till immaterialrättsmyndigheten får immaterialrättsmyndigheten utse en behörig nationell myndighet till deltagande myndighet i granskningsförfarandet. När en behörig nationell myndighet har utsetts i enlighet med denna artikel ska den myndigheten utse en eller flera granskare som ska delta i granskningen av en eller flera </w:t>
      </w:r>
      <w:r w:rsidR="00FD106D">
        <w:rPr>
          <w:szCs w:val="24"/>
          <w:lang w:eastAsia="en-US"/>
        </w:rPr>
        <w:t>centraliserade ansökningar</w:t>
      </w:r>
      <w:r w:rsidRPr="00EB5AC1">
        <w:rPr>
          <w:b/>
          <w:i/>
          <w:szCs w:val="24"/>
          <w:lang w:eastAsia="en-US"/>
        </w:rPr>
        <w:t>, på grundval av deras relevanta sakkunskap och deras erfarenhet på området</w:t>
      </w:r>
      <w:r w:rsidRPr="00EB5AC1">
        <w:rPr>
          <w:szCs w:val="24"/>
          <w:lang w:eastAsia="en-US"/>
        </w:rPr>
        <w:t>.</w:t>
      </w:r>
      <w:r w:rsidRPr="00EB5AC1">
        <w:rPr>
          <w:b/>
          <w:szCs w:val="24"/>
          <w:lang w:eastAsia="en-US"/>
        </w:rPr>
        <w:t xml:space="preserve"> [</w:t>
      </w:r>
      <w:r w:rsidR="001734ED">
        <w:rPr>
          <w:b/>
          <w:szCs w:val="24"/>
          <w:lang w:eastAsia="en-US"/>
        </w:rPr>
        <w:t>Ändr.</w:t>
      </w:r>
      <w:r w:rsidRPr="00EB5AC1">
        <w:rPr>
          <w:b/>
          <w:szCs w:val="24"/>
          <w:lang w:eastAsia="en-US"/>
        </w:rPr>
        <w:t> 44]</w:t>
      </w:r>
    </w:p>
    <w:p w14:paraId="43CBBAF2"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2.</w:t>
      </w:r>
      <w:r w:rsidRPr="00EB5AC1">
        <w:rPr>
          <w:szCs w:val="24"/>
          <w:lang w:eastAsia="en-US"/>
        </w:rPr>
        <w:tab/>
        <w:t>Immaterialrättsmyndigheten och den behöriga nationella myndigheten ska ingå ett administrativt avtal innan den behöriga nationella myndigheten utses till deltagande myndighet enligt punkt 1.</w:t>
      </w:r>
    </w:p>
    <w:p w14:paraId="79CFA0B0" w14:textId="77777777" w:rsidR="00EB5AC1" w:rsidRPr="00EB5AC1" w:rsidRDefault="00EB5AC1" w:rsidP="00EB5AC1">
      <w:pPr>
        <w:spacing w:before="120" w:after="120" w:line="360" w:lineRule="auto"/>
        <w:ind w:left="850"/>
        <w:rPr>
          <w:szCs w:val="24"/>
          <w:lang w:eastAsia="en-US"/>
        </w:rPr>
      </w:pPr>
      <w:r w:rsidRPr="00EB5AC1">
        <w:rPr>
          <w:szCs w:val="24"/>
          <w:lang w:eastAsia="en-US"/>
        </w:rPr>
        <w:t>I avtalet ska parternas rättigheter och skyldigheter anges, särskilt den berörda behöriga nationella myndighetens formella åtagande att följa denna förordning när det gäller det centraliserade granskningsförfarandet.</w:t>
      </w:r>
    </w:p>
    <w:p w14:paraId="2D548AC8"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3.</w:t>
      </w:r>
      <w:r w:rsidRPr="00EB5AC1">
        <w:rPr>
          <w:szCs w:val="24"/>
          <w:lang w:eastAsia="en-US"/>
        </w:rPr>
        <w:tab/>
        <w:t>Immaterialrättsmyndigheten får utse en behörig nationell myndighet till deltagande myndighet enligt punkt 1 för en period på fem år. Detta utseende kan förlängas med ytterligare perioder på fem år.</w:t>
      </w:r>
    </w:p>
    <w:p w14:paraId="1F5CE477"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4.</w:t>
      </w:r>
      <w:r w:rsidRPr="00EB5AC1">
        <w:rPr>
          <w:szCs w:val="24"/>
          <w:lang w:eastAsia="en-US"/>
        </w:rPr>
        <w:tab/>
        <w:t>Innan immaterialrättsmyndigheten utser en behörig nationell myndighet, förlänger utseendet eller innan ett sådant utseende löper ut ska immaterialrättsmyndigheten samråda med den berörda behöriga nationella myndigheten.</w:t>
      </w:r>
    </w:p>
    <w:p w14:paraId="49B5597C"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5.</w:t>
      </w:r>
      <w:r w:rsidRPr="00EB5AC1">
        <w:rPr>
          <w:szCs w:val="24"/>
          <w:lang w:eastAsia="en-US"/>
        </w:rPr>
        <w:tab/>
        <w:t>Varje behörig nationell myndighet som utsetts enligt denna artikel ska förse immaterialrättsmyndigheten med en förteckning över de enskilda granskare som är tillgängliga för deltagande i gransknings- och invändningsförfaranden. Varje sådan behörig nationell myndighet ska uppdatera förteckningen i händelse av en ändring.</w:t>
      </w:r>
    </w:p>
    <w:p w14:paraId="4D36C2FC" w14:textId="77777777" w:rsidR="00EB5AC1" w:rsidRPr="00EB5AC1" w:rsidRDefault="00EB5AC1" w:rsidP="00EB5AC1">
      <w:pPr>
        <w:spacing w:before="120" w:after="120" w:line="360" w:lineRule="auto"/>
        <w:jc w:val="center"/>
        <w:rPr>
          <w:szCs w:val="24"/>
          <w:lang w:eastAsia="en-US"/>
        </w:rPr>
      </w:pPr>
      <w:r w:rsidRPr="00EB5AC1">
        <w:rPr>
          <w:szCs w:val="24"/>
          <w:lang w:eastAsia="en-US"/>
        </w:rPr>
        <w:br w:type="page"/>
      </w:r>
      <w:r w:rsidRPr="00EB5AC1">
        <w:rPr>
          <w:szCs w:val="24"/>
          <w:lang w:eastAsia="en-US"/>
        </w:rPr>
        <w:lastRenderedPageBreak/>
        <w:t>Artikel 28</w:t>
      </w:r>
      <w:r w:rsidRPr="00EB5AC1">
        <w:rPr>
          <w:szCs w:val="24"/>
          <w:lang w:eastAsia="en-US"/>
        </w:rPr>
        <w:br/>
        <w:t>Granskningspaneler</w:t>
      </w:r>
    </w:p>
    <w:p w14:paraId="48E32EB0"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w:t>
      </w:r>
      <w:r w:rsidRPr="00EB5AC1">
        <w:rPr>
          <w:szCs w:val="24"/>
          <w:lang w:eastAsia="en-US"/>
        </w:rPr>
        <w:tab/>
        <w:t>Bedömningarna enligt artiklarna 24, 26 och 33 ska utföras av en granskningspanel med en ledamot från immaterialrättsmyndigheten och två granskare i enlighet med artikel 27.1 från två olika deltagande behöriga nationella myndigheter.</w:t>
      </w:r>
    </w:p>
    <w:p w14:paraId="4E82FA6A"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2.</w:t>
      </w:r>
      <w:r w:rsidRPr="00EB5AC1">
        <w:rPr>
          <w:szCs w:val="24"/>
          <w:lang w:eastAsia="en-US"/>
        </w:rPr>
        <w:tab/>
        <w:t>Granskare ska vara opartiska i utförandet av sina uppgifter och ska då de utses uppge eventuella verkliga eller förmodade intressekonflikter till immaterialrättsmyndigheten.</w:t>
      </w:r>
    </w:p>
    <w:p w14:paraId="11CDA49B"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3.</w:t>
      </w:r>
      <w:r w:rsidRPr="00EB5AC1">
        <w:rPr>
          <w:szCs w:val="24"/>
          <w:lang w:eastAsia="en-US"/>
        </w:rPr>
        <w:tab/>
        <w:t>När immaterialrättsmyndigheten inrättar en granskningspanel ska den säkerställa följande:</w:t>
      </w:r>
    </w:p>
    <w:p w14:paraId="19307799" w14:textId="24FEFE10" w:rsidR="00EB5AC1" w:rsidRPr="00EB5AC1" w:rsidRDefault="00EB5AC1" w:rsidP="00EB5AC1">
      <w:pPr>
        <w:spacing w:before="120" w:after="120" w:line="360" w:lineRule="auto"/>
        <w:ind w:left="1416" w:hanging="566"/>
        <w:rPr>
          <w:b/>
          <w:szCs w:val="24"/>
          <w:lang w:eastAsia="en-US"/>
        </w:rPr>
      </w:pPr>
      <w:r w:rsidRPr="00EB5AC1">
        <w:rPr>
          <w:szCs w:val="24"/>
          <w:lang w:eastAsia="en-US"/>
        </w:rPr>
        <w:t>(a)</w:t>
      </w:r>
      <w:r w:rsidRPr="00EB5AC1">
        <w:rPr>
          <w:szCs w:val="24"/>
          <w:lang w:eastAsia="en-US"/>
        </w:rPr>
        <w:tab/>
      </w:r>
      <w:r w:rsidRPr="00EB5AC1">
        <w:rPr>
          <w:strike/>
          <w:szCs w:val="24"/>
          <w:lang w:eastAsia="en-US"/>
        </w:rPr>
        <w:t>Den geografiska balansen mellan deltagande myndigheter</w:t>
      </w:r>
      <w:r w:rsidRPr="00EB5AC1">
        <w:rPr>
          <w:b/>
          <w:i/>
          <w:szCs w:val="24"/>
          <w:lang w:eastAsia="en-US"/>
        </w:rPr>
        <w:t>Relevant sakkunskap och tillräcklig erfarenhet av att granska patent och tilläggsskydd, särskilt genom att säkerställa att minst en granskare har minst fem års erfarenhet av granskning av patent och tilläggsskydd</w:t>
      </w:r>
      <w:r w:rsidRPr="00EB5AC1">
        <w:rPr>
          <w:szCs w:val="24"/>
          <w:lang w:eastAsia="en-US"/>
        </w:rPr>
        <w:t>.</w:t>
      </w:r>
      <w:r w:rsidRPr="00EB5AC1">
        <w:rPr>
          <w:b/>
          <w:szCs w:val="24"/>
          <w:lang w:eastAsia="en-US"/>
        </w:rPr>
        <w:t xml:space="preserve"> [</w:t>
      </w:r>
      <w:r w:rsidR="001734ED">
        <w:rPr>
          <w:b/>
          <w:szCs w:val="24"/>
          <w:lang w:eastAsia="en-US"/>
        </w:rPr>
        <w:t>Ändr.</w:t>
      </w:r>
      <w:r w:rsidRPr="00EB5AC1">
        <w:rPr>
          <w:b/>
          <w:szCs w:val="24"/>
          <w:lang w:eastAsia="en-US"/>
        </w:rPr>
        <w:t> 45]</w:t>
      </w:r>
    </w:p>
    <w:p w14:paraId="7368DF47" w14:textId="7F866EB6" w:rsidR="00EB5AC1" w:rsidRPr="00EB5AC1" w:rsidRDefault="00EB5AC1" w:rsidP="00EB5AC1">
      <w:pPr>
        <w:spacing w:before="120" w:after="120" w:line="360" w:lineRule="auto"/>
        <w:ind w:left="1416" w:hanging="566"/>
        <w:rPr>
          <w:b/>
          <w:szCs w:val="24"/>
          <w:lang w:eastAsia="en-US"/>
        </w:rPr>
      </w:pPr>
      <w:r w:rsidRPr="00EB5AC1">
        <w:rPr>
          <w:b/>
          <w:i/>
          <w:szCs w:val="24"/>
          <w:lang w:eastAsia="en-US"/>
        </w:rPr>
        <w:t>aa)</w:t>
      </w:r>
      <w:r w:rsidRPr="00EB5AC1">
        <w:rPr>
          <w:szCs w:val="24"/>
          <w:lang w:eastAsia="en-US"/>
        </w:rPr>
        <w:tab/>
      </w:r>
      <w:r w:rsidRPr="00EB5AC1">
        <w:rPr>
          <w:b/>
          <w:i/>
          <w:szCs w:val="24"/>
          <w:lang w:eastAsia="en-US"/>
        </w:rPr>
        <w:t xml:space="preserve">Om möjligt, </w:t>
      </w:r>
      <w:r w:rsidR="00FD106D">
        <w:rPr>
          <w:b/>
          <w:i/>
          <w:szCs w:val="24"/>
          <w:lang w:eastAsia="en-US"/>
        </w:rPr>
        <w:t>geografisk jämvikt</w:t>
      </w:r>
      <w:r w:rsidRPr="00EB5AC1">
        <w:rPr>
          <w:b/>
          <w:i/>
          <w:szCs w:val="24"/>
          <w:lang w:eastAsia="en-US"/>
        </w:rPr>
        <w:t xml:space="preserve"> mellan deltagande myndigheter.</w:t>
      </w:r>
      <w:r w:rsidRPr="00EB5AC1">
        <w:rPr>
          <w:b/>
          <w:szCs w:val="24"/>
          <w:lang w:eastAsia="en-US"/>
        </w:rPr>
        <w:t xml:space="preserve"> [</w:t>
      </w:r>
      <w:r w:rsidR="001734ED">
        <w:rPr>
          <w:b/>
          <w:szCs w:val="24"/>
          <w:lang w:eastAsia="en-US"/>
        </w:rPr>
        <w:t>Ändr.</w:t>
      </w:r>
      <w:r w:rsidRPr="00EB5AC1">
        <w:rPr>
          <w:b/>
          <w:szCs w:val="24"/>
          <w:lang w:eastAsia="en-US"/>
        </w:rPr>
        <w:t> 46]</w:t>
      </w:r>
    </w:p>
    <w:p w14:paraId="194A9790" w14:textId="63523D97" w:rsidR="00EB5AC1" w:rsidRPr="00EB5AC1" w:rsidRDefault="00EB5AC1" w:rsidP="00EB5AC1">
      <w:pPr>
        <w:spacing w:before="120" w:after="120" w:line="360" w:lineRule="auto"/>
        <w:ind w:left="1416" w:hanging="566"/>
        <w:rPr>
          <w:szCs w:val="24"/>
          <w:lang w:eastAsia="en-US"/>
        </w:rPr>
      </w:pPr>
      <w:r w:rsidRPr="00EB5AC1">
        <w:rPr>
          <w:szCs w:val="24"/>
          <w:lang w:eastAsia="en-US"/>
        </w:rPr>
        <w:br w:type="page"/>
      </w:r>
      <w:r w:rsidRPr="00EB5AC1">
        <w:rPr>
          <w:szCs w:val="24"/>
          <w:lang w:eastAsia="en-US"/>
        </w:rPr>
        <w:lastRenderedPageBreak/>
        <w:t>(b)</w:t>
      </w:r>
      <w:r w:rsidRPr="00EB5AC1">
        <w:rPr>
          <w:szCs w:val="24"/>
          <w:lang w:eastAsia="en-US"/>
        </w:rPr>
        <w:tab/>
      </w:r>
      <w:r w:rsidR="00FD106D">
        <w:rPr>
          <w:szCs w:val="24"/>
          <w:lang w:eastAsia="en-US"/>
        </w:rPr>
        <w:t>Beaktande av granskarnas respektive arbetsbörda.</w:t>
      </w:r>
    </w:p>
    <w:p w14:paraId="5DA53106" w14:textId="75C97B65" w:rsidR="00EB5AC1" w:rsidRPr="00EB5AC1" w:rsidRDefault="00EB5AC1" w:rsidP="00EB5AC1">
      <w:pPr>
        <w:spacing w:before="120" w:after="120" w:line="360" w:lineRule="auto"/>
        <w:ind w:left="1416" w:hanging="566"/>
        <w:rPr>
          <w:b/>
          <w:szCs w:val="24"/>
          <w:lang w:eastAsia="en-US"/>
        </w:rPr>
      </w:pPr>
      <w:r w:rsidRPr="00EB5AC1">
        <w:rPr>
          <w:szCs w:val="24"/>
          <w:lang w:eastAsia="en-US"/>
        </w:rPr>
        <w:t>(c)</w:t>
      </w:r>
      <w:r w:rsidRPr="00EB5AC1">
        <w:rPr>
          <w:szCs w:val="24"/>
          <w:lang w:eastAsia="en-US"/>
        </w:rPr>
        <w:tab/>
        <w:t xml:space="preserve">Att </w:t>
      </w:r>
      <w:r w:rsidRPr="00EB5AC1">
        <w:rPr>
          <w:strike/>
          <w:szCs w:val="24"/>
          <w:lang w:eastAsia="en-US"/>
        </w:rPr>
        <w:t>inte fler än en</w:t>
      </w:r>
      <w:r w:rsidRPr="00EB5AC1">
        <w:rPr>
          <w:b/>
          <w:i/>
          <w:szCs w:val="24"/>
          <w:lang w:eastAsia="en-US"/>
        </w:rPr>
        <w:t>ingen</w:t>
      </w:r>
      <w:r w:rsidRPr="00EB5AC1">
        <w:rPr>
          <w:szCs w:val="24"/>
          <w:lang w:eastAsia="en-US"/>
        </w:rPr>
        <w:t xml:space="preserve"> granskare är anställd av en behörig nationell myndighet som </w:t>
      </w:r>
      <w:r w:rsidR="00FD106D">
        <w:rPr>
          <w:szCs w:val="24"/>
          <w:lang w:eastAsia="en-US"/>
        </w:rPr>
        <w:t>tillämpar</w:t>
      </w:r>
      <w:r w:rsidRPr="00EB5AC1">
        <w:rPr>
          <w:strike/>
          <w:szCs w:val="24"/>
          <w:lang w:eastAsia="en-US"/>
        </w:rPr>
        <w:t>undantaget</w:t>
      </w:r>
      <w:r w:rsidRPr="00EB5AC1">
        <w:rPr>
          <w:b/>
          <w:i/>
          <w:szCs w:val="24"/>
          <w:lang w:eastAsia="en-US"/>
        </w:rPr>
        <w:t>det undantag som fastställs</w:t>
      </w:r>
      <w:r w:rsidRPr="00EB5AC1">
        <w:rPr>
          <w:szCs w:val="24"/>
          <w:lang w:eastAsia="en-US"/>
        </w:rPr>
        <w:t xml:space="preserve"> i artikel 10.5</w:t>
      </w:r>
      <w:r w:rsidRPr="00EB5AC1">
        <w:rPr>
          <w:b/>
          <w:i/>
          <w:szCs w:val="24"/>
          <w:lang w:eastAsia="en-US"/>
        </w:rPr>
        <w:t xml:space="preserve"> i denna förordning</w:t>
      </w:r>
      <w:r w:rsidRPr="00EB5AC1">
        <w:rPr>
          <w:szCs w:val="24"/>
          <w:lang w:eastAsia="en-US"/>
        </w:rPr>
        <w:t>.</w:t>
      </w:r>
      <w:r w:rsidRPr="00EB5AC1">
        <w:rPr>
          <w:b/>
          <w:szCs w:val="24"/>
          <w:lang w:eastAsia="en-US"/>
        </w:rPr>
        <w:t xml:space="preserve"> [</w:t>
      </w:r>
      <w:r w:rsidR="001734ED">
        <w:rPr>
          <w:b/>
          <w:szCs w:val="24"/>
          <w:lang w:eastAsia="en-US"/>
        </w:rPr>
        <w:t>Ändr.</w:t>
      </w:r>
      <w:r w:rsidRPr="00EB5AC1">
        <w:rPr>
          <w:b/>
          <w:szCs w:val="24"/>
          <w:lang w:eastAsia="en-US"/>
        </w:rPr>
        <w:t> 47]</w:t>
      </w:r>
    </w:p>
    <w:p w14:paraId="2556987C"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4.</w:t>
      </w:r>
      <w:r w:rsidRPr="00EB5AC1">
        <w:rPr>
          <w:szCs w:val="24"/>
          <w:lang w:eastAsia="en-US"/>
        </w:rPr>
        <w:tab/>
        <w:t>Immaterialrättsmyndigheten ska offentliggöra en årlig översikt över antalet förfaranden, inklusive granskningar, invändningar och överklaganden, som varje behörig nationell myndighet har deltagit i.</w:t>
      </w:r>
    </w:p>
    <w:p w14:paraId="062496B5"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5.</w:t>
      </w:r>
      <w:r w:rsidRPr="00EB5AC1">
        <w:rPr>
          <w:szCs w:val="24"/>
          <w:lang w:eastAsia="en-US"/>
        </w:rPr>
        <w:tab/>
        <w:t>Kommissionen ges befogenhet att anta genomförandeakter för att fastställa kriterierna för hur panelerna ska inrättas och kriterierna för val av granskare. Dessa genomförandeakter ska antas i enlighet med det granskningsförfarande som avses i artikel 56.</w:t>
      </w:r>
    </w:p>
    <w:p w14:paraId="44B64012" w14:textId="77777777" w:rsidR="00EB5AC1" w:rsidRPr="00EB5AC1" w:rsidRDefault="00EB5AC1" w:rsidP="00EB5AC1">
      <w:pPr>
        <w:spacing w:before="120" w:after="120" w:line="360" w:lineRule="auto"/>
        <w:jc w:val="center"/>
        <w:rPr>
          <w:szCs w:val="24"/>
          <w:lang w:eastAsia="en-US"/>
        </w:rPr>
      </w:pPr>
      <w:r w:rsidRPr="00EB5AC1">
        <w:rPr>
          <w:szCs w:val="24"/>
          <w:lang w:eastAsia="en-US"/>
        </w:rPr>
        <w:t>Artikel 29</w:t>
      </w:r>
      <w:r w:rsidRPr="00EB5AC1">
        <w:rPr>
          <w:szCs w:val="24"/>
          <w:lang w:eastAsia="en-US"/>
        </w:rPr>
        <w:br/>
        <w:t>Överklagande</w:t>
      </w:r>
    </w:p>
    <w:p w14:paraId="1EC4D3B9"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w:t>
      </w:r>
      <w:r w:rsidRPr="00EB5AC1">
        <w:rPr>
          <w:szCs w:val="24"/>
          <w:lang w:eastAsia="en-US"/>
        </w:rPr>
        <w:tab/>
        <w:t>Varje part i förfaranden enligt detta kapitel som påverkas negativt av ett av immaterialrättsmyndighetens beslut, inbegripet lämnandet av ett granskningsyttrande, får överklaga beslutet till överklagandenämnderna.</w:t>
      </w:r>
    </w:p>
    <w:p w14:paraId="7FFB2A3C"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2.</w:t>
      </w:r>
      <w:r w:rsidRPr="00EB5AC1">
        <w:rPr>
          <w:szCs w:val="24"/>
          <w:lang w:eastAsia="en-US"/>
        </w:rPr>
        <w:tab/>
        <w:t>Inlämningen av överklagandet ska ha suspensiv verkan. Ett beslut av immaterialrättsmyndigheten som inte har överklagats ska få verkan dagen efter utgången av den överklagandeperiod som avses i punkt 3.</w:t>
      </w:r>
    </w:p>
    <w:p w14:paraId="61902B51" w14:textId="4D8FCCA6" w:rsidR="00EB5AC1" w:rsidRPr="00EB5AC1" w:rsidRDefault="00EB5AC1" w:rsidP="00EB5AC1">
      <w:pPr>
        <w:spacing w:before="120" w:after="120" w:line="360" w:lineRule="auto"/>
        <w:ind w:left="850" w:hanging="850"/>
        <w:rPr>
          <w:b/>
          <w:szCs w:val="24"/>
          <w:lang w:eastAsia="en-US"/>
        </w:rPr>
      </w:pPr>
      <w:r w:rsidRPr="00EB5AC1">
        <w:rPr>
          <w:szCs w:val="24"/>
          <w:lang w:eastAsia="en-US"/>
        </w:rPr>
        <w:t>3.</w:t>
      </w:r>
      <w:r w:rsidRPr="00EB5AC1">
        <w:rPr>
          <w:szCs w:val="24"/>
          <w:lang w:eastAsia="en-US"/>
        </w:rPr>
        <w:tab/>
        <w:t>Ett överklagande ska lämnas in skriftligen till immaterialrättsmyndigheten inom två månader från dagen för underrättelse av beslutet. Överklagandet ska inte anses ha lämnats in förrän överklagandeavgiften har betalats. Vid överklagande ska grunderna för överklagandet</w:t>
      </w:r>
      <w:r w:rsidRPr="00EB5AC1">
        <w:rPr>
          <w:b/>
          <w:i/>
          <w:szCs w:val="24"/>
          <w:lang w:eastAsia="en-US"/>
        </w:rPr>
        <w:t>, inklusive den bevisning som åberopas,</w:t>
      </w:r>
      <w:r w:rsidRPr="00EB5AC1">
        <w:rPr>
          <w:szCs w:val="24"/>
          <w:lang w:eastAsia="en-US"/>
        </w:rPr>
        <w:t xml:space="preserve"> lämnas in skriftligen inom </w:t>
      </w:r>
      <w:r w:rsidRPr="00EB5AC1">
        <w:rPr>
          <w:strike/>
          <w:szCs w:val="24"/>
          <w:lang w:eastAsia="en-US"/>
        </w:rPr>
        <w:t>fyra</w:t>
      </w:r>
      <w:r w:rsidRPr="00EB5AC1">
        <w:rPr>
          <w:b/>
          <w:i/>
          <w:szCs w:val="24"/>
          <w:lang w:eastAsia="en-US"/>
        </w:rPr>
        <w:t>tre</w:t>
      </w:r>
      <w:r w:rsidRPr="00EB5AC1">
        <w:rPr>
          <w:szCs w:val="24"/>
          <w:lang w:eastAsia="en-US"/>
        </w:rPr>
        <w:t xml:space="preserve"> månader från dagen för underrättelse av beslutet.</w:t>
      </w:r>
      <w:r w:rsidRPr="00EB5AC1">
        <w:rPr>
          <w:b/>
          <w:szCs w:val="24"/>
          <w:lang w:eastAsia="en-US"/>
        </w:rPr>
        <w:t xml:space="preserve"> [</w:t>
      </w:r>
      <w:r w:rsidR="001734ED">
        <w:rPr>
          <w:b/>
          <w:szCs w:val="24"/>
          <w:lang w:eastAsia="en-US"/>
        </w:rPr>
        <w:t>Ändr.</w:t>
      </w:r>
      <w:r w:rsidRPr="00EB5AC1">
        <w:rPr>
          <w:b/>
          <w:szCs w:val="24"/>
          <w:lang w:eastAsia="en-US"/>
        </w:rPr>
        <w:t> 48]</w:t>
      </w:r>
    </w:p>
    <w:p w14:paraId="72DAB570" w14:textId="791EB8C4" w:rsidR="00EB5AC1" w:rsidRPr="00EB5AC1" w:rsidRDefault="00EB5AC1" w:rsidP="00EB5AC1">
      <w:pPr>
        <w:spacing w:before="120" w:after="120" w:line="360" w:lineRule="auto"/>
        <w:ind w:left="850" w:hanging="850"/>
        <w:rPr>
          <w:b/>
          <w:szCs w:val="24"/>
          <w:lang w:eastAsia="en-US"/>
        </w:rPr>
      </w:pPr>
      <w:r w:rsidRPr="00EB5AC1">
        <w:rPr>
          <w:b/>
          <w:i/>
          <w:szCs w:val="24"/>
          <w:lang w:eastAsia="en-US"/>
        </w:rPr>
        <w:t>3a.</w:t>
      </w:r>
      <w:r w:rsidRPr="00EB5AC1">
        <w:rPr>
          <w:szCs w:val="24"/>
          <w:lang w:eastAsia="en-US"/>
        </w:rPr>
        <w:tab/>
      </w:r>
      <w:r w:rsidRPr="00EB5AC1">
        <w:rPr>
          <w:b/>
          <w:i/>
          <w:szCs w:val="24"/>
          <w:lang w:eastAsia="en-US"/>
        </w:rPr>
        <w:t>E</w:t>
      </w:r>
      <w:r w:rsidR="00FD106D">
        <w:rPr>
          <w:b/>
          <w:i/>
          <w:szCs w:val="24"/>
          <w:lang w:eastAsia="en-US"/>
        </w:rPr>
        <w:t>ventuella</w:t>
      </w:r>
      <w:r w:rsidRPr="00EB5AC1">
        <w:rPr>
          <w:b/>
          <w:i/>
          <w:szCs w:val="24"/>
          <w:lang w:eastAsia="en-US"/>
        </w:rPr>
        <w:t xml:space="preserve"> svar på de inlämnade grunderna för överklagandet ska inges skriftligen </w:t>
      </w:r>
      <w:r w:rsidR="00FD106D">
        <w:rPr>
          <w:b/>
          <w:i/>
          <w:szCs w:val="24"/>
          <w:lang w:eastAsia="en-US"/>
        </w:rPr>
        <w:t>inom</w:t>
      </w:r>
      <w:r w:rsidR="00FD106D" w:rsidRPr="00EB5AC1">
        <w:rPr>
          <w:b/>
          <w:i/>
          <w:szCs w:val="24"/>
          <w:lang w:eastAsia="en-US"/>
        </w:rPr>
        <w:t xml:space="preserve"> </w:t>
      </w:r>
      <w:r w:rsidRPr="00EB5AC1">
        <w:rPr>
          <w:b/>
          <w:i/>
          <w:szCs w:val="24"/>
          <w:lang w:eastAsia="en-US"/>
        </w:rPr>
        <w:t>tre månader efter det att grunderna för överklagandet lämnades in. Immaterialrättsmyndigheten ska i tillämpliga fall fastställa ett datum för muntliga förhandlingar inom tre månader efter det att svaret på grunderna för överklagandet ingavs eller inom sex månader efter det att grunderna för överklagandet lämnades in, beroende på vilket som inträffar först. Immaterialrättsmyndigheten ska utfärda ett skriftligt beslut inom tre månader efter de muntliga förhandlingarna eller efter det att svaret på de inlämnade grunderna för överklagandet ingavs, beroende på vad som är tillämpligt.</w:t>
      </w:r>
      <w:r w:rsidRPr="00EB5AC1">
        <w:rPr>
          <w:b/>
          <w:szCs w:val="24"/>
          <w:lang w:eastAsia="en-US"/>
        </w:rPr>
        <w:t xml:space="preserve"> [</w:t>
      </w:r>
      <w:r w:rsidR="001734ED">
        <w:rPr>
          <w:b/>
          <w:szCs w:val="24"/>
          <w:lang w:eastAsia="en-US"/>
        </w:rPr>
        <w:t>Ändr.</w:t>
      </w:r>
      <w:r w:rsidRPr="00EB5AC1">
        <w:rPr>
          <w:b/>
          <w:szCs w:val="24"/>
          <w:lang w:eastAsia="en-US"/>
        </w:rPr>
        <w:t> 49]</w:t>
      </w:r>
    </w:p>
    <w:p w14:paraId="4B6F82EC"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4.</w:t>
      </w:r>
      <w:r w:rsidRPr="00EB5AC1">
        <w:rPr>
          <w:szCs w:val="24"/>
          <w:lang w:eastAsia="en-US"/>
        </w:rPr>
        <w:tab/>
        <w:t>Efter en kontroll av huruvida överklagandet är godtagbart ska överklagandenämnderna avgöra huruvida överklagandet är välgrundat.</w:t>
      </w:r>
    </w:p>
    <w:p w14:paraId="0FFE6DAE" w14:textId="2AA33A08" w:rsidR="00EB5AC1" w:rsidRPr="00EB5AC1" w:rsidRDefault="00EB5AC1" w:rsidP="00EB5AC1">
      <w:pPr>
        <w:spacing w:before="120" w:after="120" w:line="360" w:lineRule="auto"/>
        <w:ind w:left="850" w:hanging="850"/>
        <w:rPr>
          <w:b/>
          <w:szCs w:val="24"/>
          <w:lang w:eastAsia="en-US"/>
        </w:rPr>
      </w:pPr>
      <w:r w:rsidRPr="00EB5AC1">
        <w:rPr>
          <w:szCs w:val="24"/>
          <w:lang w:eastAsia="en-US"/>
        </w:rPr>
        <w:t>5.</w:t>
      </w:r>
      <w:r w:rsidRPr="00EB5AC1">
        <w:rPr>
          <w:szCs w:val="24"/>
          <w:lang w:eastAsia="en-US"/>
        </w:rPr>
        <w:tab/>
        <w:t xml:space="preserve">Om ett överklagande till immaterialrättsmyndighetens överklagandenämnder leder till ett beslut som inte är i linje med granskningsyttrandet och överlämnas till immaterialrättsmyndigheten, </w:t>
      </w:r>
      <w:r w:rsidRPr="00EB5AC1">
        <w:rPr>
          <w:strike/>
          <w:szCs w:val="24"/>
          <w:lang w:eastAsia="en-US"/>
        </w:rPr>
        <w:t>får</w:t>
      </w:r>
      <w:r w:rsidRPr="00EB5AC1">
        <w:rPr>
          <w:b/>
          <w:i/>
          <w:szCs w:val="24"/>
          <w:lang w:eastAsia="en-US"/>
        </w:rPr>
        <w:t>ska</w:t>
      </w:r>
      <w:r w:rsidRPr="00EB5AC1">
        <w:rPr>
          <w:szCs w:val="24"/>
          <w:lang w:eastAsia="en-US"/>
        </w:rPr>
        <w:t xml:space="preserve"> överklagandenämndernas beslut upphäva eller ändra yttrandet innan det översänds till de behöriga nationella myndigheterna i de angivna medlemsstaterna.</w:t>
      </w:r>
      <w:r w:rsidRPr="00EB5AC1">
        <w:rPr>
          <w:b/>
          <w:szCs w:val="24"/>
          <w:lang w:eastAsia="en-US"/>
        </w:rPr>
        <w:t xml:space="preserve"> [</w:t>
      </w:r>
      <w:r w:rsidR="001734ED">
        <w:rPr>
          <w:b/>
          <w:szCs w:val="24"/>
          <w:lang w:eastAsia="en-US"/>
        </w:rPr>
        <w:t>Ändr.</w:t>
      </w:r>
      <w:r w:rsidRPr="00EB5AC1">
        <w:rPr>
          <w:b/>
          <w:szCs w:val="24"/>
          <w:lang w:eastAsia="en-US"/>
        </w:rPr>
        <w:t> 50]</w:t>
      </w:r>
    </w:p>
    <w:p w14:paraId="2EC26CCD"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6.</w:t>
      </w:r>
      <w:r w:rsidRPr="00EB5AC1">
        <w:rPr>
          <w:szCs w:val="24"/>
          <w:lang w:eastAsia="en-US"/>
        </w:rPr>
        <w:tab/>
        <w:t>Talan mot överklagandenämndernas beslut i fråga om överklaganden får väckas inför Europeiska unionens tribunal inom två månader från dagen för underrättelse av beslutet, rörande åsidosättande av väsentliga formföreskrifter, åsidosättande av fördraget om Europeiska unionens funktionssätt, åsidosättande av denna förordning eller av någon rättsregel som gäller deras tillämpning eller maktmissbruk. Var och en som varit part i förfarandet vid överklagandenämnden ska ha rätt att överklaga beslut som gått denne emot. Tribunalen ska vara behörig att undanröja eller ändra ett överklagat beslut.</w:t>
      </w:r>
    </w:p>
    <w:p w14:paraId="73D4BDF9"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7.</w:t>
      </w:r>
      <w:r w:rsidRPr="00EB5AC1">
        <w:rPr>
          <w:szCs w:val="24"/>
          <w:lang w:eastAsia="en-US"/>
        </w:rPr>
        <w:tab/>
        <w:t>Beslut av överklagandenämnderna ska få verkan dagen efter utgången av den tidsfrist som avses i punkt 6 eller, om talan har väckts inför tribunalen inom denna tidsfrist, från dagen efter den dag då sådan talan eller då eventuella överklaganden av tribunalens beslut till Europeiska unionens domstol avvisats. Immaterialrättsmyndigheten ska vidta de åtgärder som krävs för att följa tribunalens dom eller, vid överklagande av den domen, domstolens dom.</w:t>
      </w:r>
    </w:p>
    <w:p w14:paraId="438900ED"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8.</w:t>
      </w:r>
      <w:r w:rsidRPr="00EB5AC1">
        <w:rPr>
          <w:szCs w:val="24"/>
          <w:lang w:eastAsia="en-US"/>
        </w:rPr>
        <w:tab/>
        <w:t>Kommissionen ges befogenhet att anta delegerade akter i enlighet med artikel 55 för att komplettera denna förordning genom att specificera innehållet i och formen för det skriftliga överklagande som avses i punkt 3, förfarandet för inlämning och granskning av ett överklagande samt innehållet i och formen för överklagandenämndernas beslut enligt punkt 4.</w:t>
      </w:r>
    </w:p>
    <w:p w14:paraId="79F56D85" w14:textId="77777777" w:rsidR="00EB5AC1" w:rsidRPr="00EB5AC1" w:rsidRDefault="00EB5AC1" w:rsidP="00EB5AC1">
      <w:pPr>
        <w:spacing w:before="120" w:after="120" w:line="360" w:lineRule="auto"/>
        <w:jc w:val="center"/>
        <w:rPr>
          <w:szCs w:val="24"/>
          <w:lang w:eastAsia="en-US"/>
        </w:rPr>
      </w:pPr>
      <w:r w:rsidRPr="00EB5AC1">
        <w:rPr>
          <w:szCs w:val="24"/>
          <w:lang w:eastAsia="en-US"/>
        </w:rPr>
        <w:br w:type="page"/>
      </w:r>
      <w:r w:rsidRPr="00EB5AC1">
        <w:rPr>
          <w:szCs w:val="24"/>
          <w:lang w:eastAsia="en-US"/>
        </w:rPr>
        <w:lastRenderedPageBreak/>
        <w:t>Artikel 30</w:t>
      </w:r>
      <w:r w:rsidRPr="00EB5AC1">
        <w:rPr>
          <w:szCs w:val="24"/>
          <w:lang w:eastAsia="en-US"/>
        </w:rPr>
        <w:br/>
        <w:t>Överklagandenämnder</w:t>
      </w:r>
    </w:p>
    <w:p w14:paraId="577776F5"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w:t>
      </w:r>
      <w:r w:rsidRPr="00EB5AC1">
        <w:rPr>
          <w:szCs w:val="24"/>
          <w:lang w:eastAsia="en-US"/>
        </w:rPr>
        <w:tab/>
        <w:t>Utöver de befogenheter som de tilldelas genom artikel 165 i förordning (EU) 2017/1001 ska de överklagandenämnder som inrättas genom den förordningen ansvara för att besluta om överklaganden av beslut som fattats av immaterialrättsmyndigheten på grundval av artikel 29.1.</w:t>
      </w:r>
    </w:p>
    <w:p w14:paraId="1D1B87B9" w14:textId="52F5FE13" w:rsidR="00EB5AC1" w:rsidRPr="00EB5AC1" w:rsidRDefault="00EB5AC1" w:rsidP="00EB5AC1">
      <w:pPr>
        <w:spacing w:before="120" w:after="120" w:line="360" w:lineRule="auto"/>
        <w:ind w:left="850" w:hanging="850"/>
        <w:rPr>
          <w:szCs w:val="24"/>
          <w:lang w:eastAsia="en-US"/>
        </w:rPr>
      </w:pPr>
      <w:r w:rsidRPr="00EB5AC1">
        <w:rPr>
          <w:szCs w:val="24"/>
          <w:lang w:eastAsia="en-US"/>
        </w:rPr>
        <w:t>2.</w:t>
      </w:r>
      <w:r w:rsidRPr="00EB5AC1">
        <w:rPr>
          <w:szCs w:val="24"/>
          <w:lang w:eastAsia="en-US"/>
        </w:rPr>
        <w:tab/>
        <w:t xml:space="preserve">En överklagandenämnd i frågor som rör </w:t>
      </w:r>
      <w:r w:rsidR="00FD106D">
        <w:rPr>
          <w:szCs w:val="24"/>
          <w:lang w:eastAsia="en-US"/>
        </w:rPr>
        <w:t>centraliserade ansökningar</w:t>
      </w:r>
      <w:r w:rsidRPr="00EB5AC1">
        <w:rPr>
          <w:szCs w:val="24"/>
          <w:lang w:eastAsia="en-US"/>
        </w:rPr>
        <w:t xml:space="preserve"> om tilläggsskydd ska bestå av tre ledamöter, varav minst två ska vara jurister. Överklagandenämnden får kalla in ytterligare två ledamöter om den anser att ett överklagande kräver detta.</w:t>
      </w:r>
    </w:p>
    <w:p w14:paraId="44327B34" w14:textId="42210F72" w:rsidR="00EB5AC1" w:rsidRPr="00EB5AC1" w:rsidRDefault="00EB5AC1" w:rsidP="00EB5AC1">
      <w:pPr>
        <w:spacing w:before="120" w:after="120" w:line="360" w:lineRule="auto"/>
        <w:ind w:left="850" w:hanging="850"/>
        <w:rPr>
          <w:szCs w:val="24"/>
          <w:lang w:eastAsia="en-US"/>
        </w:rPr>
      </w:pPr>
      <w:r w:rsidRPr="00EB5AC1">
        <w:rPr>
          <w:szCs w:val="24"/>
          <w:lang w:eastAsia="en-US"/>
        </w:rPr>
        <w:t>3.</w:t>
      </w:r>
      <w:r w:rsidRPr="00EB5AC1">
        <w:rPr>
          <w:szCs w:val="24"/>
          <w:lang w:eastAsia="en-US"/>
        </w:rPr>
        <w:tab/>
        <w:t xml:space="preserve">Den besvärskammare som det hänvisas till i artiklarna 165.2, 165.3, 165.4 och 167.2 i förordning (EU) 2017/1001 får inte förekomma i frågor som rör </w:t>
      </w:r>
      <w:r w:rsidR="00FD106D">
        <w:rPr>
          <w:szCs w:val="24"/>
          <w:lang w:eastAsia="en-US"/>
        </w:rPr>
        <w:t>centraliserade ansökningar</w:t>
      </w:r>
      <w:r w:rsidRPr="00EB5AC1">
        <w:rPr>
          <w:szCs w:val="24"/>
          <w:lang w:eastAsia="en-US"/>
        </w:rPr>
        <w:t xml:space="preserve"> om tilläggsskydd. Beslut fattade av en enda ledamot i enlighet med artikel 165.2 i förordning (EU) 2017/1001 får inte förekomma.</w:t>
      </w:r>
    </w:p>
    <w:p w14:paraId="5FAD602B" w14:textId="0072BCA0" w:rsidR="00EB5AC1" w:rsidRPr="00EB5AC1" w:rsidRDefault="00EB5AC1" w:rsidP="00EB5AC1">
      <w:pPr>
        <w:spacing w:before="120" w:after="120" w:line="360" w:lineRule="auto"/>
        <w:ind w:left="850" w:hanging="850"/>
        <w:rPr>
          <w:b/>
          <w:szCs w:val="24"/>
          <w:lang w:eastAsia="en-US"/>
        </w:rPr>
      </w:pPr>
      <w:r w:rsidRPr="00EB5AC1">
        <w:rPr>
          <w:szCs w:val="24"/>
          <w:lang w:eastAsia="en-US"/>
        </w:rPr>
        <w:br w:type="page"/>
      </w:r>
      <w:r w:rsidRPr="00EB5AC1">
        <w:rPr>
          <w:szCs w:val="24"/>
          <w:lang w:eastAsia="en-US"/>
        </w:rPr>
        <w:lastRenderedPageBreak/>
        <w:t>4.</w:t>
      </w:r>
      <w:r w:rsidRPr="00EB5AC1">
        <w:rPr>
          <w:szCs w:val="24"/>
          <w:lang w:eastAsia="en-US"/>
        </w:rPr>
        <w:tab/>
        <w:t xml:space="preserve">Ledamöter i överklagandenämnderna i frågor som rör </w:t>
      </w:r>
      <w:r w:rsidR="00FD106D">
        <w:rPr>
          <w:szCs w:val="24"/>
          <w:lang w:eastAsia="en-US"/>
        </w:rPr>
        <w:t>centraliserade ansökningar</w:t>
      </w:r>
      <w:r w:rsidRPr="00EB5AC1">
        <w:rPr>
          <w:szCs w:val="24"/>
          <w:lang w:eastAsia="en-US"/>
        </w:rPr>
        <w:t xml:space="preserve"> om tilläggsskydd ska utnämnas i enlighet med artikel 166.5 i förordning (EU) 2017/1001.</w:t>
      </w:r>
      <w:r w:rsidRPr="00EB5AC1">
        <w:rPr>
          <w:b/>
          <w:i/>
          <w:szCs w:val="24"/>
          <w:lang w:eastAsia="en-US"/>
        </w:rPr>
        <w:t xml:space="preserve"> När ledamöter i överklagandenämnderna utses i frågor som rör </w:t>
      </w:r>
      <w:r w:rsidR="00FD106D">
        <w:rPr>
          <w:b/>
          <w:i/>
          <w:szCs w:val="24"/>
          <w:lang w:eastAsia="en-US"/>
        </w:rPr>
        <w:t>centraliserade ansökningar</w:t>
      </w:r>
      <w:r w:rsidRPr="00EB5AC1">
        <w:rPr>
          <w:b/>
          <w:i/>
          <w:szCs w:val="24"/>
          <w:lang w:eastAsia="en-US"/>
        </w:rPr>
        <w:t xml:space="preserve"> om tilläggsskydd bör deras tidigare erfarenhet av tilläggsskydd eller patentfrågor beaktas.</w:t>
      </w:r>
      <w:r w:rsidRPr="00EB5AC1">
        <w:rPr>
          <w:b/>
          <w:szCs w:val="24"/>
          <w:lang w:eastAsia="en-US"/>
        </w:rPr>
        <w:t xml:space="preserve"> [</w:t>
      </w:r>
      <w:r w:rsidR="001734ED">
        <w:rPr>
          <w:b/>
          <w:szCs w:val="24"/>
          <w:lang w:eastAsia="en-US"/>
        </w:rPr>
        <w:t>Ändr.</w:t>
      </w:r>
      <w:r w:rsidRPr="00EB5AC1">
        <w:rPr>
          <w:b/>
          <w:szCs w:val="24"/>
          <w:lang w:eastAsia="en-US"/>
        </w:rPr>
        <w:t> 51]</w:t>
      </w:r>
    </w:p>
    <w:p w14:paraId="194F2924" w14:textId="3B6B219A" w:rsidR="00EB5AC1" w:rsidRPr="00EB5AC1" w:rsidRDefault="00EB5AC1" w:rsidP="00EB5AC1">
      <w:pPr>
        <w:spacing w:before="120" w:after="120" w:line="360" w:lineRule="auto"/>
        <w:ind w:left="850" w:hanging="850"/>
        <w:rPr>
          <w:b/>
          <w:szCs w:val="24"/>
          <w:lang w:eastAsia="en-US"/>
        </w:rPr>
      </w:pPr>
      <w:r w:rsidRPr="00EB5AC1">
        <w:rPr>
          <w:b/>
          <w:i/>
          <w:szCs w:val="24"/>
          <w:lang w:eastAsia="en-US"/>
        </w:rPr>
        <w:t>4a.</w:t>
      </w:r>
      <w:r w:rsidRPr="00EB5AC1">
        <w:rPr>
          <w:szCs w:val="24"/>
          <w:lang w:eastAsia="en-US"/>
        </w:rPr>
        <w:tab/>
      </w:r>
      <w:r w:rsidRPr="00EB5AC1">
        <w:rPr>
          <w:b/>
          <w:i/>
          <w:szCs w:val="24"/>
          <w:lang w:eastAsia="en-US"/>
        </w:rPr>
        <w:t xml:space="preserve">Artikel 166.9 i förordning (EU) 2017/1001 ska tillämpas på överklagandenämnderna i frågor som rör </w:t>
      </w:r>
      <w:r w:rsidR="00FD106D">
        <w:rPr>
          <w:b/>
          <w:i/>
          <w:szCs w:val="24"/>
          <w:lang w:eastAsia="en-US"/>
        </w:rPr>
        <w:t>centraliserade ansökningar</w:t>
      </w:r>
      <w:r w:rsidRPr="00EB5AC1">
        <w:rPr>
          <w:b/>
          <w:i/>
          <w:szCs w:val="24"/>
          <w:lang w:eastAsia="en-US"/>
        </w:rPr>
        <w:t xml:space="preserve"> om tilläggsskydd.</w:t>
      </w:r>
      <w:r w:rsidRPr="00EB5AC1">
        <w:rPr>
          <w:b/>
          <w:szCs w:val="24"/>
          <w:lang w:eastAsia="en-US"/>
        </w:rPr>
        <w:t xml:space="preserve"> [</w:t>
      </w:r>
      <w:r w:rsidR="001734ED">
        <w:rPr>
          <w:b/>
          <w:szCs w:val="24"/>
          <w:lang w:eastAsia="en-US"/>
        </w:rPr>
        <w:t>Ändr.</w:t>
      </w:r>
      <w:r w:rsidRPr="00EB5AC1">
        <w:rPr>
          <w:b/>
          <w:szCs w:val="24"/>
          <w:lang w:eastAsia="en-US"/>
        </w:rPr>
        <w:t> 52]</w:t>
      </w:r>
    </w:p>
    <w:p w14:paraId="0CEA038D" w14:textId="77777777" w:rsidR="00EB5AC1" w:rsidRPr="00EB5AC1" w:rsidRDefault="00EB5AC1" w:rsidP="00EB5AC1">
      <w:pPr>
        <w:spacing w:before="120" w:after="120" w:line="360" w:lineRule="auto"/>
        <w:jc w:val="center"/>
        <w:rPr>
          <w:szCs w:val="24"/>
          <w:lang w:eastAsia="en-US"/>
        </w:rPr>
      </w:pPr>
      <w:r w:rsidRPr="00EB5AC1">
        <w:rPr>
          <w:szCs w:val="24"/>
          <w:lang w:eastAsia="en-US"/>
        </w:rPr>
        <w:t>Artikel 31</w:t>
      </w:r>
      <w:r w:rsidRPr="00EB5AC1">
        <w:rPr>
          <w:szCs w:val="24"/>
          <w:lang w:eastAsia="en-US"/>
        </w:rPr>
        <w:br/>
        <w:t>Delegering av befogenheter vad gäller överklagandenämnderna</w:t>
      </w:r>
    </w:p>
    <w:p w14:paraId="0896F7EA" w14:textId="77777777" w:rsidR="00EB5AC1" w:rsidRPr="00EB5AC1" w:rsidRDefault="00EB5AC1" w:rsidP="00EB5AC1">
      <w:pPr>
        <w:spacing w:before="120" w:after="120" w:line="360" w:lineRule="auto"/>
        <w:rPr>
          <w:szCs w:val="24"/>
          <w:lang w:eastAsia="en-US"/>
        </w:rPr>
      </w:pPr>
      <w:r w:rsidRPr="00EB5AC1">
        <w:rPr>
          <w:szCs w:val="24"/>
          <w:lang w:eastAsia="en-US"/>
        </w:rPr>
        <w:t>Kommissionen ges befogenhet att anta delegerade akter i enlighet med artikel 55 för att komplettera denna förordning genom att närmare fastställa överklagandenämndernas organisation i förfaranden som rör tilläggsskydd enligt denna förordning.</w:t>
      </w:r>
    </w:p>
    <w:p w14:paraId="22B18E9F" w14:textId="77777777" w:rsidR="00EB5AC1" w:rsidRPr="00EB5AC1" w:rsidRDefault="00EB5AC1" w:rsidP="00EB5AC1">
      <w:pPr>
        <w:spacing w:before="120" w:after="120" w:line="360" w:lineRule="auto"/>
        <w:jc w:val="center"/>
        <w:rPr>
          <w:szCs w:val="24"/>
          <w:lang w:eastAsia="en-US"/>
        </w:rPr>
      </w:pPr>
      <w:r w:rsidRPr="00EB5AC1">
        <w:rPr>
          <w:szCs w:val="24"/>
          <w:lang w:eastAsia="en-US"/>
        </w:rPr>
        <w:br w:type="page"/>
      </w:r>
      <w:r w:rsidRPr="00EB5AC1">
        <w:rPr>
          <w:szCs w:val="24"/>
          <w:lang w:eastAsia="en-US"/>
        </w:rPr>
        <w:lastRenderedPageBreak/>
        <w:t>Artikel 32</w:t>
      </w:r>
      <w:r w:rsidRPr="00EB5AC1">
        <w:rPr>
          <w:szCs w:val="24"/>
          <w:lang w:eastAsia="en-US"/>
        </w:rPr>
        <w:br/>
        <w:t>Nationellt genomförande av ett centralt granskningsyttrande</w:t>
      </w:r>
    </w:p>
    <w:p w14:paraId="10B92F99"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w:t>
      </w:r>
      <w:r w:rsidRPr="00EB5AC1">
        <w:rPr>
          <w:szCs w:val="24"/>
          <w:lang w:eastAsia="en-US"/>
        </w:rPr>
        <w:tab/>
        <w:t>Efter det att den period under vilken ett överklagande eller en invändning får lämnas in har löpt ut utan att något överklagande eller någon invändning har lämnats in, eller efter det att ett slutligt beslut i sakfrågan har utfärdats, ska immaterialrättsmyndigheten översända granskningsyttrandet och dess översättningar till den behöriga nationella myndigheten i varje angiven medlemsstat.</w:t>
      </w:r>
    </w:p>
    <w:p w14:paraId="2B63BF26" w14:textId="2A614CE0" w:rsidR="00EB5AC1" w:rsidRPr="00EB5AC1" w:rsidRDefault="00EB5AC1" w:rsidP="00EB5AC1">
      <w:pPr>
        <w:spacing w:before="120" w:after="120" w:line="360" w:lineRule="auto"/>
        <w:ind w:left="850" w:hanging="850"/>
        <w:rPr>
          <w:b/>
          <w:szCs w:val="24"/>
          <w:lang w:eastAsia="en-US"/>
        </w:rPr>
      </w:pPr>
      <w:r w:rsidRPr="00EB5AC1">
        <w:rPr>
          <w:szCs w:val="24"/>
          <w:lang w:eastAsia="en-US"/>
        </w:rPr>
        <w:tab/>
      </w:r>
      <w:r w:rsidRPr="00EB5AC1">
        <w:rPr>
          <w:b/>
          <w:i/>
          <w:szCs w:val="24"/>
          <w:lang w:eastAsia="en-US"/>
        </w:rPr>
        <w:t>Översändandet ska ske utan oskäligt dröjsmål inom en tidsram som gör det möjligt för de behöriga nationella myndigheterna i varje utsedd medlemsstat att bevilja eller avslå ett tilläggsskydd, beroende på vad som är tillämpligt, enligt tillämpliga nationella förfaranden, innan grundpatentet löper ut.</w:t>
      </w:r>
      <w:r w:rsidRPr="00EB5AC1">
        <w:rPr>
          <w:b/>
          <w:szCs w:val="24"/>
          <w:lang w:eastAsia="en-US"/>
        </w:rPr>
        <w:t xml:space="preserve"> [</w:t>
      </w:r>
      <w:r w:rsidR="001734ED">
        <w:rPr>
          <w:b/>
          <w:szCs w:val="24"/>
          <w:lang w:eastAsia="en-US"/>
        </w:rPr>
        <w:t>Ändr.</w:t>
      </w:r>
      <w:r w:rsidRPr="00EB5AC1">
        <w:rPr>
          <w:b/>
          <w:szCs w:val="24"/>
          <w:lang w:eastAsia="en-US"/>
        </w:rPr>
        <w:t> 53]</w:t>
      </w:r>
    </w:p>
    <w:p w14:paraId="2CA8E1FB"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2.</w:t>
      </w:r>
      <w:r w:rsidRPr="00EB5AC1">
        <w:rPr>
          <w:szCs w:val="24"/>
          <w:lang w:eastAsia="en-US"/>
        </w:rPr>
        <w:tab/>
        <w:t>Om, när det gäller en centraliserad ansökan, ett positivt granskningsyttrande har avgetts för en eller flera angivna medlemsstater ska den behöriga nationella myndigheten i var och en av dessa medlemsstater bevilja ett tilläggsskydd i enlighet med tillämpliga nationella regler och förfaranden.</w:t>
      </w:r>
    </w:p>
    <w:p w14:paraId="65F23778"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3.</w:t>
      </w:r>
      <w:r w:rsidRPr="00EB5AC1">
        <w:rPr>
          <w:szCs w:val="24"/>
          <w:lang w:eastAsia="en-US"/>
        </w:rPr>
        <w:tab/>
        <w:t>Genom undantag från punkt 2 får en medlemsstat besluta att inte bevilja ett tilläggsskydd om de materiella omständigheterna i den medlemsstaten har förändrats sedan den centraliserade ansökan lämnades in med avseende på ett eller flera av de villkor som anges i artikel 15.1 b eller c eller artikel 14 första stycket d. I sådana fall ska den medlemsstaten avslå ansökan i den mån den medlemsstaten berörs.</w:t>
      </w:r>
    </w:p>
    <w:p w14:paraId="1846D5E8"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4.</w:t>
      </w:r>
      <w:r w:rsidRPr="00EB5AC1">
        <w:rPr>
          <w:szCs w:val="24"/>
          <w:lang w:eastAsia="en-US"/>
        </w:rPr>
        <w:tab/>
        <w:t>Ett tilläggsskydd som beviljas av en behörig nationell myndighet enligt denna artikel ska omfattas av artiklarna 4, 5, 11 och 12–19 och av tillämplig nationell lagstiftning.</w:t>
      </w:r>
    </w:p>
    <w:p w14:paraId="7088DA8D"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5.</w:t>
      </w:r>
      <w:r w:rsidRPr="00EB5AC1">
        <w:rPr>
          <w:szCs w:val="24"/>
          <w:lang w:eastAsia="en-US"/>
        </w:rPr>
        <w:tab/>
        <w:t>Om ett negativt granskningsyttrande har avgetts för en eller flera angivna medlemsstater ska den behöriga nationella myndigheten i var och en av dessa medlemsstater utfärda ett beslut om att avslå ansökan i enlighet med tillämpliga nationella regler och förfaranden.</w:t>
      </w:r>
    </w:p>
    <w:p w14:paraId="4D35590B" w14:textId="71CEE6C4" w:rsidR="00EB5AC1" w:rsidRPr="00EB5AC1" w:rsidRDefault="00EB5AC1" w:rsidP="00EB5AC1">
      <w:pPr>
        <w:spacing w:before="120" w:after="120" w:line="360" w:lineRule="auto"/>
        <w:ind w:left="850" w:hanging="850"/>
        <w:rPr>
          <w:b/>
          <w:szCs w:val="24"/>
          <w:lang w:eastAsia="en-US"/>
        </w:rPr>
      </w:pPr>
      <w:r w:rsidRPr="00EB5AC1">
        <w:rPr>
          <w:b/>
          <w:i/>
          <w:szCs w:val="24"/>
          <w:lang w:eastAsia="en-US"/>
        </w:rPr>
        <w:t>5a.</w:t>
      </w:r>
      <w:r w:rsidRPr="00EB5AC1">
        <w:rPr>
          <w:szCs w:val="24"/>
          <w:lang w:eastAsia="en-US"/>
        </w:rPr>
        <w:tab/>
      </w:r>
      <w:r w:rsidRPr="00EB5AC1">
        <w:rPr>
          <w:b/>
          <w:i/>
          <w:szCs w:val="24"/>
          <w:lang w:eastAsia="en-US"/>
        </w:rPr>
        <w:t>Den behöriga nationella myndigheten ska utan oskäligt dröjsmål underrätta sökanden om sitt beslut.</w:t>
      </w:r>
      <w:r w:rsidRPr="00EB5AC1">
        <w:rPr>
          <w:b/>
          <w:szCs w:val="24"/>
          <w:lang w:eastAsia="en-US"/>
        </w:rPr>
        <w:t xml:space="preserve"> [</w:t>
      </w:r>
      <w:r w:rsidR="001734ED">
        <w:rPr>
          <w:b/>
          <w:szCs w:val="24"/>
          <w:lang w:eastAsia="en-US"/>
        </w:rPr>
        <w:t>Ändr.</w:t>
      </w:r>
      <w:r w:rsidRPr="00EB5AC1">
        <w:rPr>
          <w:b/>
          <w:szCs w:val="24"/>
          <w:lang w:eastAsia="en-US"/>
        </w:rPr>
        <w:t> 54]</w:t>
      </w:r>
    </w:p>
    <w:p w14:paraId="12A5E4B9" w14:textId="77777777" w:rsidR="00EB5AC1" w:rsidRPr="00EB5AC1" w:rsidRDefault="00EB5AC1" w:rsidP="00EB5AC1">
      <w:pPr>
        <w:spacing w:before="120" w:after="120" w:line="360" w:lineRule="auto"/>
        <w:jc w:val="center"/>
        <w:rPr>
          <w:szCs w:val="24"/>
          <w:lang w:eastAsia="en-US"/>
        </w:rPr>
      </w:pPr>
      <w:r w:rsidRPr="00EB5AC1">
        <w:rPr>
          <w:szCs w:val="24"/>
          <w:lang w:eastAsia="en-US"/>
        </w:rPr>
        <w:br w:type="page"/>
      </w:r>
      <w:r w:rsidRPr="00EB5AC1">
        <w:rPr>
          <w:szCs w:val="24"/>
          <w:lang w:eastAsia="en-US"/>
        </w:rPr>
        <w:lastRenderedPageBreak/>
        <w:t>Artikel 33</w:t>
      </w:r>
      <w:r w:rsidRPr="00EB5AC1">
        <w:rPr>
          <w:szCs w:val="24"/>
          <w:lang w:eastAsia="en-US"/>
        </w:rPr>
        <w:br/>
        <w:t>Centraliserad ansökan om förlängning av tilläggsskyddens giltighetstid</w:t>
      </w:r>
    </w:p>
    <w:p w14:paraId="01444C00"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w:t>
      </w:r>
      <w:r w:rsidRPr="00EB5AC1">
        <w:rPr>
          <w:szCs w:val="24"/>
          <w:lang w:eastAsia="en-US"/>
        </w:rPr>
        <w:tab/>
        <w:t>Om tilläggsskydd för ett visst läkemedel har beviljats genom det centraliserade förfarandet får innehavaren av dessa tilläggsskydd begära en förlängning av tilläggsskyddets giltighetstid genom att lämna in en centraliserad ansökan om förlängning av giltighetstiden för dessa tilläggsskydd till immaterialrättsmyndigheten. I den centraliserade ansökan ska det anges för vilka medlemsstater förlängningen begärs.</w:t>
      </w:r>
    </w:p>
    <w:p w14:paraId="342457B8"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2.</w:t>
      </w:r>
      <w:r w:rsidRPr="00EB5AC1">
        <w:rPr>
          <w:szCs w:val="24"/>
          <w:lang w:eastAsia="en-US"/>
        </w:rPr>
        <w:tab/>
        <w:t>Den centraliserade ansökan om förlängning av tilläggsskyddens giltighetstid ska lämnas in i enlighet med artiklarna 7.3, 7.4, 8.1 d, 8.2, 8.3 och 8.4.</w:t>
      </w:r>
    </w:p>
    <w:p w14:paraId="7145FEC4"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3.</w:t>
      </w:r>
      <w:r w:rsidRPr="00EB5AC1">
        <w:rPr>
          <w:szCs w:val="24"/>
          <w:lang w:eastAsia="en-US"/>
        </w:rPr>
        <w:tab/>
        <w:t>Artiklarna 10, 11 och 17 ska tillämpas, varvid hänvisningar till ”den myndighet som avses i artikel 9.1” ska förstås som hänvisningar till immaterialrättsmyndigheten.</w:t>
      </w:r>
    </w:p>
    <w:p w14:paraId="254B9124" w14:textId="2977F2A7" w:rsidR="00EB5AC1" w:rsidRPr="00EB5AC1" w:rsidRDefault="00EB5AC1" w:rsidP="00EB5AC1">
      <w:pPr>
        <w:spacing w:before="120" w:after="120" w:line="360" w:lineRule="auto"/>
        <w:ind w:left="850" w:hanging="850"/>
        <w:rPr>
          <w:b/>
          <w:szCs w:val="24"/>
          <w:lang w:eastAsia="en-US"/>
        </w:rPr>
      </w:pPr>
      <w:r w:rsidRPr="00EB5AC1">
        <w:rPr>
          <w:szCs w:val="24"/>
          <w:lang w:eastAsia="en-US"/>
        </w:rPr>
        <w:t>4.</w:t>
      </w:r>
      <w:r w:rsidRPr="00EB5AC1">
        <w:rPr>
          <w:szCs w:val="24"/>
          <w:lang w:eastAsia="en-US"/>
        </w:rPr>
        <w:tab/>
        <w:t>Tredje parter får också lämna synpunkter på</w:t>
      </w:r>
      <w:r w:rsidRPr="00EB5AC1">
        <w:rPr>
          <w:b/>
          <w:i/>
          <w:szCs w:val="24"/>
          <w:lang w:eastAsia="en-US"/>
        </w:rPr>
        <w:t xml:space="preserve"> eller en invändning mot</w:t>
      </w:r>
      <w:r w:rsidRPr="00EB5AC1">
        <w:rPr>
          <w:szCs w:val="24"/>
          <w:lang w:eastAsia="en-US"/>
        </w:rPr>
        <w:t xml:space="preserve"> en centraliserad ansökan om förlängning av tilläggsskyddens giltighetstid.</w:t>
      </w:r>
      <w:r w:rsidRPr="00EB5AC1">
        <w:rPr>
          <w:b/>
          <w:szCs w:val="24"/>
          <w:lang w:eastAsia="en-US"/>
        </w:rPr>
        <w:t xml:space="preserve"> [</w:t>
      </w:r>
      <w:r w:rsidR="001734ED">
        <w:rPr>
          <w:b/>
          <w:szCs w:val="24"/>
          <w:lang w:eastAsia="en-US"/>
        </w:rPr>
        <w:t>Ändr.</w:t>
      </w:r>
      <w:r w:rsidRPr="00EB5AC1">
        <w:rPr>
          <w:b/>
          <w:szCs w:val="24"/>
          <w:lang w:eastAsia="en-US"/>
        </w:rPr>
        <w:t> 55]</w:t>
      </w:r>
    </w:p>
    <w:p w14:paraId="5F0BCB8C" w14:textId="77777777" w:rsidR="00EB5AC1" w:rsidRPr="00EB5AC1" w:rsidRDefault="00EB5AC1" w:rsidP="00EB5AC1">
      <w:pPr>
        <w:spacing w:before="120" w:after="120" w:line="360" w:lineRule="auto"/>
        <w:jc w:val="center"/>
        <w:rPr>
          <w:szCs w:val="24"/>
          <w:lang w:eastAsia="en-US"/>
        </w:rPr>
      </w:pPr>
      <w:r w:rsidRPr="00EB5AC1">
        <w:rPr>
          <w:szCs w:val="24"/>
          <w:lang w:eastAsia="en-US"/>
        </w:rPr>
        <w:br w:type="page"/>
      </w:r>
      <w:r w:rsidRPr="00EB5AC1">
        <w:rPr>
          <w:szCs w:val="24"/>
          <w:lang w:eastAsia="en-US"/>
        </w:rPr>
        <w:lastRenderedPageBreak/>
        <w:t>Artikel 34</w:t>
      </w:r>
      <w:r w:rsidRPr="00EB5AC1">
        <w:rPr>
          <w:szCs w:val="24"/>
          <w:lang w:eastAsia="en-US"/>
        </w:rPr>
        <w:br/>
        <w:t>Avgifter</w:t>
      </w:r>
    </w:p>
    <w:p w14:paraId="628C9FE9" w14:textId="3F1F8FBF" w:rsidR="00EB5AC1" w:rsidRPr="00EB5AC1" w:rsidRDefault="00EB5AC1" w:rsidP="00EB5AC1">
      <w:pPr>
        <w:spacing w:before="120" w:after="120" w:line="360" w:lineRule="auto"/>
        <w:ind w:left="850" w:hanging="850"/>
        <w:rPr>
          <w:szCs w:val="24"/>
          <w:lang w:eastAsia="en-US"/>
        </w:rPr>
      </w:pPr>
      <w:r w:rsidRPr="00EB5AC1">
        <w:rPr>
          <w:szCs w:val="24"/>
          <w:lang w:eastAsia="en-US"/>
        </w:rPr>
        <w:t>1.</w:t>
      </w:r>
      <w:r w:rsidRPr="00EB5AC1">
        <w:rPr>
          <w:szCs w:val="24"/>
          <w:lang w:eastAsia="en-US"/>
        </w:rPr>
        <w:tab/>
        <w:t xml:space="preserve">Immaterialrättsmyndigheten ska ta ut en avgift för </w:t>
      </w:r>
      <w:r w:rsidR="00FD106D">
        <w:rPr>
          <w:szCs w:val="24"/>
          <w:lang w:eastAsia="en-US"/>
        </w:rPr>
        <w:t>centraliserade ansökningar</w:t>
      </w:r>
      <w:r w:rsidRPr="00EB5AC1">
        <w:rPr>
          <w:szCs w:val="24"/>
          <w:lang w:eastAsia="en-US"/>
        </w:rPr>
        <w:t xml:space="preserve"> om tilläggsskydd och för </w:t>
      </w:r>
      <w:r w:rsidR="00FD106D">
        <w:rPr>
          <w:szCs w:val="24"/>
          <w:lang w:eastAsia="en-US"/>
        </w:rPr>
        <w:t>centraliserade ansökningar</w:t>
      </w:r>
      <w:r w:rsidRPr="00EB5AC1">
        <w:rPr>
          <w:szCs w:val="24"/>
          <w:lang w:eastAsia="en-US"/>
        </w:rPr>
        <w:t xml:space="preserve"> om förlängning av tilläggsskyddens giltighetstid.</w:t>
      </w:r>
    </w:p>
    <w:p w14:paraId="47DF969E"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2.</w:t>
      </w:r>
      <w:r w:rsidRPr="00EB5AC1">
        <w:rPr>
          <w:szCs w:val="24"/>
          <w:lang w:eastAsia="en-US"/>
        </w:rPr>
        <w:tab/>
        <w:t>Immaterialrättsmyndigheten ska ta ut en avgift för överklaganden och för invändningar.</w:t>
      </w:r>
    </w:p>
    <w:p w14:paraId="67A21798"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3.</w:t>
      </w:r>
      <w:r w:rsidRPr="00EB5AC1">
        <w:rPr>
          <w:szCs w:val="24"/>
          <w:lang w:eastAsia="en-US"/>
        </w:rPr>
        <w:tab/>
        <w:t>Kommissionen ges befogenhet att anta genomförandeakter för att fastställa beloppen för de avgifter som immaterialrättsmyndigheten tar ut, de tidsfrister som gäller för betalning och hur avgifterna ska betalas. Dessa genomförandeakter ska antas i enlighet med det granskningsförfarande som avses i artikel 56.</w:t>
      </w:r>
    </w:p>
    <w:p w14:paraId="50700725"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4.</w:t>
      </w:r>
      <w:r w:rsidRPr="00EB5AC1">
        <w:rPr>
          <w:szCs w:val="24"/>
          <w:lang w:eastAsia="en-US"/>
        </w:rPr>
        <w:tab/>
        <w:t>Artikel 12 ska tillämpas på tilläggsskydd som beviljas enligt detta kapitel.</w:t>
      </w:r>
    </w:p>
    <w:p w14:paraId="74CF09FA" w14:textId="77777777" w:rsidR="00EB5AC1" w:rsidRPr="00EB5AC1" w:rsidRDefault="00EB5AC1" w:rsidP="00EB5AC1">
      <w:pPr>
        <w:spacing w:before="120" w:after="120" w:line="360" w:lineRule="auto"/>
        <w:jc w:val="center"/>
        <w:rPr>
          <w:szCs w:val="24"/>
          <w:lang w:eastAsia="en-US"/>
        </w:rPr>
      </w:pPr>
      <w:r w:rsidRPr="00EB5AC1">
        <w:rPr>
          <w:szCs w:val="24"/>
          <w:lang w:eastAsia="en-US"/>
        </w:rPr>
        <w:t>Artikel 35</w:t>
      </w:r>
      <w:r w:rsidRPr="00EB5AC1">
        <w:rPr>
          <w:szCs w:val="24"/>
          <w:lang w:eastAsia="en-US"/>
        </w:rPr>
        <w:br/>
        <w:t>Register</w:t>
      </w:r>
    </w:p>
    <w:p w14:paraId="45BEBF78" w14:textId="6B02411A" w:rsidR="00EB5AC1" w:rsidRPr="00EB5AC1" w:rsidRDefault="00EB5AC1" w:rsidP="00EB5AC1">
      <w:pPr>
        <w:spacing w:before="120" w:after="120" w:line="360" w:lineRule="auto"/>
        <w:ind w:left="850" w:hanging="850"/>
        <w:rPr>
          <w:b/>
          <w:szCs w:val="24"/>
          <w:lang w:eastAsia="en-US"/>
        </w:rPr>
      </w:pPr>
      <w:r w:rsidRPr="00EB5AC1">
        <w:rPr>
          <w:szCs w:val="24"/>
          <w:lang w:eastAsia="en-US"/>
        </w:rPr>
        <w:t>1.</w:t>
      </w:r>
      <w:r w:rsidRPr="00EB5AC1">
        <w:rPr>
          <w:szCs w:val="24"/>
          <w:lang w:eastAsia="en-US"/>
        </w:rPr>
        <w:tab/>
        <w:t>Immaterialrättsmyndigheten ska utveckla, föra och underhålla ett elektroniskt</w:t>
      </w:r>
      <w:r w:rsidRPr="00EB5AC1">
        <w:rPr>
          <w:b/>
          <w:i/>
          <w:szCs w:val="24"/>
          <w:lang w:eastAsia="en-US"/>
        </w:rPr>
        <w:t>, sökbart och offentligt</w:t>
      </w:r>
      <w:r w:rsidRPr="00EB5AC1">
        <w:rPr>
          <w:szCs w:val="24"/>
          <w:lang w:eastAsia="en-US"/>
        </w:rPr>
        <w:t xml:space="preserve"> register med aktuell information om statusen för alla offentliggjorda </w:t>
      </w:r>
      <w:r w:rsidR="00FD106D">
        <w:rPr>
          <w:szCs w:val="24"/>
          <w:lang w:eastAsia="en-US"/>
        </w:rPr>
        <w:t>centraliserade ansökningar</w:t>
      </w:r>
      <w:r w:rsidRPr="00EB5AC1">
        <w:rPr>
          <w:szCs w:val="24"/>
          <w:lang w:eastAsia="en-US"/>
        </w:rPr>
        <w:t xml:space="preserve"> och för alla </w:t>
      </w:r>
      <w:r w:rsidR="00FD106D">
        <w:rPr>
          <w:szCs w:val="24"/>
          <w:lang w:eastAsia="en-US"/>
        </w:rPr>
        <w:t>centraliserade ansökningar</w:t>
      </w:r>
      <w:r w:rsidRPr="00EB5AC1">
        <w:rPr>
          <w:szCs w:val="24"/>
          <w:lang w:eastAsia="en-US"/>
        </w:rPr>
        <w:t xml:space="preserve"> om förlängning av tilläggsskyddens giltighetstid.</w:t>
      </w:r>
      <w:r w:rsidRPr="00EB5AC1">
        <w:rPr>
          <w:b/>
          <w:szCs w:val="24"/>
          <w:lang w:eastAsia="en-US"/>
        </w:rPr>
        <w:t xml:space="preserve"> [</w:t>
      </w:r>
      <w:r w:rsidR="001734ED">
        <w:rPr>
          <w:b/>
          <w:szCs w:val="24"/>
          <w:lang w:eastAsia="en-US"/>
        </w:rPr>
        <w:t>Ändr.</w:t>
      </w:r>
      <w:r w:rsidRPr="00EB5AC1">
        <w:rPr>
          <w:b/>
          <w:szCs w:val="24"/>
          <w:lang w:eastAsia="en-US"/>
        </w:rPr>
        <w:t> 56]</w:t>
      </w:r>
    </w:p>
    <w:p w14:paraId="41C43DFA"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2.</w:t>
      </w:r>
      <w:r w:rsidRPr="00EB5AC1">
        <w:rPr>
          <w:szCs w:val="24"/>
          <w:lang w:eastAsia="en-US"/>
        </w:rPr>
        <w:tab/>
        <w:t>Registret ska för varje centraliserad ansökan eller tilläggsskydd innehålla samtliga följande uppgifter:</w:t>
      </w:r>
    </w:p>
    <w:p w14:paraId="208A826E"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(a)</w:t>
      </w:r>
      <w:r w:rsidRPr="00EB5AC1">
        <w:rPr>
          <w:szCs w:val="24"/>
          <w:lang w:eastAsia="en-US"/>
        </w:rPr>
        <w:tab/>
        <w:t>Sökandens eller innehavarens namn och adress.</w:t>
      </w:r>
    </w:p>
    <w:p w14:paraId="7CBA6AEF"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(b)</w:t>
      </w:r>
      <w:r w:rsidRPr="00EB5AC1">
        <w:rPr>
          <w:szCs w:val="24"/>
          <w:lang w:eastAsia="en-US"/>
        </w:rPr>
        <w:tab/>
        <w:t>Ombudets namn och tjänsteadress, utom för ett ombud som avses i artikel 37.3.</w:t>
      </w:r>
    </w:p>
    <w:p w14:paraId="16A53CC7"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(c)</w:t>
      </w:r>
      <w:r w:rsidRPr="00EB5AC1">
        <w:rPr>
          <w:szCs w:val="24"/>
          <w:lang w:eastAsia="en-US"/>
        </w:rPr>
        <w:tab/>
        <w:t>Ansökan med dess inlämningsdatum och datum för offentliggörande.</w:t>
      </w:r>
    </w:p>
    <w:p w14:paraId="5C194BC6"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(d)</w:t>
      </w:r>
      <w:r w:rsidRPr="00EB5AC1">
        <w:rPr>
          <w:szCs w:val="24"/>
          <w:lang w:eastAsia="en-US"/>
        </w:rPr>
        <w:tab/>
        <w:t>Huruvida ansökan avser ett läkemedel eller ett växtskyddsmedel.</w:t>
      </w:r>
    </w:p>
    <w:p w14:paraId="517CCE95"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(e)</w:t>
      </w:r>
      <w:r w:rsidRPr="00EB5AC1">
        <w:rPr>
          <w:szCs w:val="24"/>
          <w:lang w:eastAsia="en-US"/>
        </w:rPr>
        <w:tab/>
        <w:t>I tillämpliga fall en uppgift om att ansökan också omfattar förlängning av giltighetstiden.</w:t>
      </w:r>
    </w:p>
    <w:p w14:paraId="3C0E1A4C" w14:textId="77777777" w:rsidR="00EB5AC1" w:rsidRPr="00EB5AC1" w:rsidRDefault="00EB5AC1" w:rsidP="00EB5AC1">
      <w:pPr>
        <w:spacing w:before="120" w:after="120" w:line="360" w:lineRule="auto"/>
        <w:ind w:left="1416" w:hanging="566"/>
        <w:rPr>
          <w:szCs w:val="24"/>
          <w:lang w:val="da-DK" w:eastAsia="en-US"/>
        </w:rPr>
      </w:pPr>
      <w:r w:rsidRPr="00EB5AC1">
        <w:rPr>
          <w:szCs w:val="24"/>
          <w:lang w:val="da-DK" w:eastAsia="en-US"/>
        </w:rPr>
        <w:t>(f)</w:t>
      </w:r>
      <w:r w:rsidRPr="00EB5AC1">
        <w:rPr>
          <w:szCs w:val="24"/>
          <w:lang w:val="da-DK" w:eastAsia="en-US"/>
        </w:rPr>
        <w:tab/>
        <w:t>Angivna medlemsstater.</w:t>
      </w:r>
    </w:p>
    <w:p w14:paraId="0413AC3B" w14:textId="77777777" w:rsidR="00EB5AC1" w:rsidRPr="00EB5AC1" w:rsidRDefault="00EB5AC1" w:rsidP="00EB5AC1">
      <w:pPr>
        <w:spacing w:before="120" w:after="120" w:line="360" w:lineRule="auto"/>
        <w:ind w:left="1416" w:hanging="566"/>
        <w:rPr>
          <w:szCs w:val="24"/>
          <w:lang w:val="da-DK" w:eastAsia="en-US"/>
        </w:rPr>
      </w:pPr>
      <w:r w:rsidRPr="00EB5AC1">
        <w:rPr>
          <w:szCs w:val="24"/>
          <w:lang w:val="da-DK" w:eastAsia="en-US"/>
        </w:rPr>
        <w:t>(g)</w:t>
      </w:r>
      <w:r w:rsidRPr="00EB5AC1">
        <w:rPr>
          <w:szCs w:val="24"/>
          <w:lang w:val="da-DK" w:eastAsia="en-US"/>
        </w:rPr>
        <w:tab/>
        <w:t>Grundpatentets nummer.</w:t>
      </w:r>
    </w:p>
    <w:p w14:paraId="01C30604"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(h)</w:t>
      </w:r>
      <w:r w:rsidRPr="00EB5AC1">
        <w:rPr>
          <w:szCs w:val="24"/>
          <w:lang w:eastAsia="en-US"/>
        </w:rPr>
        <w:tab/>
        <w:t>Beteckning för den produkt för vilken tilläggsskydd begärs.</w:t>
      </w:r>
    </w:p>
    <w:p w14:paraId="31CA6BDF"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br w:type="page"/>
      </w:r>
      <w:r w:rsidRPr="00EB5AC1">
        <w:rPr>
          <w:szCs w:val="24"/>
          <w:lang w:eastAsia="en-US"/>
        </w:rPr>
        <w:lastRenderedPageBreak/>
        <w:t>(i)</w:t>
      </w:r>
      <w:r w:rsidRPr="00EB5AC1">
        <w:rPr>
          <w:szCs w:val="24"/>
          <w:lang w:eastAsia="en-US"/>
        </w:rPr>
        <w:tab/>
        <w:t>Numret på och datum för det godkännande att saluföra produkten som avses i artikel 3.1 b och beteckningen för den produkt som angavs i det godkännandet.</w:t>
      </w:r>
    </w:p>
    <w:p w14:paraId="3D990821"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(j)</w:t>
      </w:r>
      <w:r w:rsidRPr="00EB5AC1">
        <w:rPr>
          <w:szCs w:val="24"/>
          <w:lang w:eastAsia="en-US"/>
        </w:rPr>
        <w:tab/>
        <w:t>Numret på och datum för första godkännande att saluföra produkten i unionen.</w:t>
      </w:r>
    </w:p>
    <w:p w14:paraId="32D9BAB9" w14:textId="5088851F" w:rsidR="00EB5AC1" w:rsidRPr="00EB5AC1" w:rsidRDefault="00EB5AC1" w:rsidP="00EB5AC1">
      <w:pPr>
        <w:spacing w:before="120" w:after="120" w:line="360" w:lineRule="auto"/>
        <w:ind w:left="1416" w:hanging="566"/>
        <w:rPr>
          <w:b/>
          <w:szCs w:val="24"/>
          <w:lang w:eastAsia="en-US"/>
        </w:rPr>
      </w:pPr>
      <w:r w:rsidRPr="00EB5AC1">
        <w:rPr>
          <w:b/>
          <w:i/>
          <w:szCs w:val="24"/>
          <w:lang w:eastAsia="en-US"/>
        </w:rPr>
        <w:t>ja)</w:t>
      </w:r>
      <w:r w:rsidRPr="00EB5AC1">
        <w:rPr>
          <w:szCs w:val="24"/>
          <w:lang w:eastAsia="en-US"/>
        </w:rPr>
        <w:tab/>
      </w:r>
      <w:r w:rsidRPr="00EB5AC1">
        <w:rPr>
          <w:b/>
          <w:i/>
          <w:szCs w:val="24"/>
          <w:lang w:eastAsia="en-US"/>
        </w:rPr>
        <w:t>Information om allt direkt offentligt ekonomiskt stöd som erhållits för forskning som rör utvecklingen av produkten.</w:t>
      </w:r>
      <w:r w:rsidRPr="00EB5AC1">
        <w:rPr>
          <w:b/>
          <w:szCs w:val="24"/>
          <w:lang w:eastAsia="en-US"/>
        </w:rPr>
        <w:t xml:space="preserve"> [</w:t>
      </w:r>
      <w:r w:rsidR="001734ED">
        <w:rPr>
          <w:b/>
          <w:szCs w:val="24"/>
          <w:lang w:eastAsia="en-US"/>
        </w:rPr>
        <w:t>Ändr.</w:t>
      </w:r>
      <w:r w:rsidRPr="00EB5AC1">
        <w:rPr>
          <w:b/>
          <w:szCs w:val="24"/>
          <w:lang w:eastAsia="en-US"/>
        </w:rPr>
        <w:t> 57]</w:t>
      </w:r>
    </w:p>
    <w:p w14:paraId="65DD11CA" w14:textId="2067C7B6" w:rsidR="00EB5AC1" w:rsidRPr="00EB5AC1" w:rsidRDefault="00EB5AC1" w:rsidP="00EB5AC1">
      <w:pPr>
        <w:spacing w:before="120" w:after="120" w:line="360" w:lineRule="auto"/>
        <w:ind w:left="1416" w:hanging="566"/>
        <w:rPr>
          <w:b/>
          <w:szCs w:val="24"/>
          <w:lang w:eastAsia="en-US"/>
        </w:rPr>
      </w:pPr>
      <w:r w:rsidRPr="00EB5AC1">
        <w:rPr>
          <w:szCs w:val="24"/>
          <w:lang w:eastAsia="en-US"/>
        </w:rPr>
        <w:t>(k)</w:t>
      </w:r>
      <w:r w:rsidRPr="00EB5AC1">
        <w:rPr>
          <w:szCs w:val="24"/>
          <w:lang w:eastAsia="en-US"/>
        </w:rPr>
        <w:tab/>
        <w:t xml:space="preserve">Datum </w:t>
      </w:r>
      <w:r w:rsidRPr="00EB5AC1">
        <w:rPr>
          <w:strike/>
          <w:szCs w:val="24"/>
          <w:lang w:eastAsia="en-US"/>
        </w:rPr>
        <w:t>för och sammanfattning av</w:t>
      </w:r>
      <w:r w:rsidRPr="00EB5AC1">
        <w:rPr>
          <w:b/>
          <w:i/>
          <w:szCs w:val="24"/>
          <w:lang w:eastAsia="en-US"/>
        </w:rPr>
        <w:t>och</w:t>
      </w:r>
      <w:r w:rsidRPr="00EB5AC1">
        <w:rPr>
          <w:szCs w:val="24"/>
          <w:lang w:eastAsia="en-US"/>
        </w:rPr>
        <w:t xml:space="preserve"> granskningsyttrandet för var och en av de angivna medlemsstaterna.</w:t>
      </w:r>
      <w:r w:rsidRPr="00EB5AC1">
        <w:rPr>
          <w:b/>
          <w:szCs w:val="24"/>
          <w:lang w:eastAsia="en-US"/>
        </w:rPr>
        <w:t xml:space="preserve"> [</w:t>
      </w:r>
      <w:r w:rsidR="001734ED">
        <w:rPr>
          <w:b/>
          <w:szCs w:val="24"/>
          <w:lang w:eastAsia="en-US"/>
        </w:rPr>
        <w:t>Ändr.</w:t>
      </w:r>
      <w:r w:rsidRPr="00EB5AC1">
        <w:rPr>
          <w:b/>
          <w:szCs w:val="24"/>
          <w:lang w:eastAsia="en-US"/>
        </w:rPr>
        <w:t> 58]</w:t>
      </w:r>
    </w:p>
    <w:p w14:paraId="6D005044"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(l)</w:t>
      </w:r>
      <w:r w:rsidRPr="00EB5AC1">
        <w:rPr>
          <w:szCs w:val="24"/>
          <w:lang w:eastAsia="en-US"/>
        </w:rPr>
        <w:tab/>
        <w:t>I tillämpliga fall giltighetstiden för de tilläggsskydd som ska beviljas.</w:t>
      </w:r>
    </w:p>
    <w:p w14:paraId="40143165"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(m)</w:t>
      </w:r>
      <w:r w:rsidRPr="00EB5AC1">
        <w:rPr>
          <w:szCs w:val="24"/>
          <w:lang w:eastAsia="en-US"/>
        </w:rPr>
        <w:tab/>
        <w:t>I tillämpliga fall datum för och sammanfattning av granskningsyttrandet om en ansökan om förlängning av giltighetstiden för ett tilläggsskydd.</w:t>
      </w:r>
    </w:p>
    <w:p w14:paraId="61B7D0B9" w14:textId="4865559A" w:rsidR="00EB5AC1" w:rsidRPr="00EB5AC1" w:rsidRDefault="00EB5AC1" w:rsidP="00EB5AC1">
      <w:pPr>
        <w:spacing w:before="120" w:after="120" w:line="360" w:lineRule="auto"/>
        <w:ind w:left="1416" w:hanging="566"/>
        <w:rPr>
          <w:b/>
          <w:szCs w:val="24"/>
          <w:lang w:eastAsia="en-US"/>
        </w:rPr>
      </w:pPr>
      <w:r w:rsidRPr="00EB5AC1">
        <w:rPr>
          <w:szCs w:val="24"/>
          <w:lang w:eastAsia="en-US"/>
        </w:rPr>
        <w:t>(n)</w:t>
      </w:r>
      <w:r w:rsidRPr="00EB5AC1">
        <w:rPr>
          <w:szCs w:val="24"/>
          <w:lang w:eastAsia="en-US"/>
        </w:rPr>
        <w:tab/>
        <w:t>I tillämpliga fall inlämning av en invändning</w:t>
      </w:r>
      <w:r w:rsidRPr="00EB5AC1">
        <w:rPr>
          <w:b/>
          <w:i/>
          <w:szCs w:val="24"/>
          <w:lang w:eastAsia="en-US"/>
        </w:rPr>
        <w:t>, dess status</w:t>
      </w:r>
      <w:r w:rsidRPr="00EB5AC1">
        <w:rPr>
          <w:szCs w:val="24"/>
          <w:lang w:eastAsia="en-US"/>
        </w:rPr>
        <w:t xml:space="preserve"> och dess resultat, i tillämpliga fall inbegripet en sammanfattning av det reviderade granskningsyttrandet.</w:t>
      </w:r>
      <w:r w:rsidRPr="00EB5AC1">
        <w:rPr>
          <w:b/>
          <w:szCs w:val="24"/>
          <w:lang w:eastAsia="en-US"/>
        </w:rPr>
        <w:t xml:space="preserve"> [</w:t>
      </w:r>
      <w:r w:rsidR="001734ED">
        <w:rPr>
          <w:b/>
          <w:szCs w:val="24"/>
          <w:lang w:eastAsia="en-US"/>
        </w:rPr>
        <w:t>Ändr.</w:t>
      </w:r>
      <w:r w:rsidRPr="00EB5AC1">
        <w:rPr>
          <w:b/>
          <w:szCs w:val="24"/>
          <w:lang w:eastAsia="en-US"/>
        </w:rPr>
        <w:t> 59]</w:t>
      </w:r>
    </w:p>
    <w:p w14:paraId="63CF2BA9" w14:textId="7291CF88" w:rsidR="00EB5AC1" w:rsidRPr="00EB5AC1" w:rsidRDefault="00EB5AC1" w:rsidP="00EB5AC1">
      <w:pPr>
        <w:spacing w:before="120" w:after="120" w:line="360" w:lineRule="auto"/>
        <w:ind w:left="1416" w:hanging="566"/>
        <w:rPr>
          <w:b/>
          <w:szCs w:val="24"/>
          <w:lang w:eastAsia="en-US"/>
        </w:rPr>
      </w:pPr>
      <w:r w:rsidRPr="00EB5AC1">
        <w:rPr>
          <w:szCs w:val="24"/>
          <w:lang w:eastAsia="en-US"/>
        </w:rPr>
        <w:br w:type="page"/>
      </w:r>
      <w:r w:rsidRPr="00EB5AC1">
        <w:rPr>
          <w:szCs w:val="24"/>
          <w:lang w:eastAsia="en-US"/>
        </w:rPr>
        <w:lastRenderedPageBreak/>
        <w:t>(o)</w:t>
      </w:r>
      <w:r w:rsidRPr="00EB5AC1">
        <w:rPr>
          <w:szCs w:val="24"/>
          <w:lang w:eastAsia="en-US"/>
        </w:rPr>
        <w:tab/>
        <w:t>I tillämpliga fall inlämning av ett överklagande</w:t>
      </w:r>
      <w:r w:rsidRPr="00EB5AC1">
        <w:rPr>
          <w:b/>
          <w:i/>
          <w:szCs w:val="24"/>
          <w:lang w:eastAsia="en-US"/>
        </w:rPr>
        <w:t>, dess status</w:t>
      </w:r>
      <w:r w:rsidRPr="00EB5AC1">
        <w:rPr>
          <w:szCs w:val="24"/>
          <w:lang w:eastAsia="en-US"/>
        </w:rPr>
        <w:t xml:space="preserve"> och överklagandeförfarandets resultat, i tillämpliga fall inbegripet en sammanfattning av det reviderade granskningsyttrandet.</w:t>
      </w:r>
      <w:r w:rsidRPr="00EB5AC1">
        <w:rPr>
          <w:b/>
          <w:szCs w:val="24"/>
          <w:lang w:eastAsia="en-US"/>
        </w:rPr>
        <w:t xml:space="preserve"> [</w:t>
      </w:r>
      <w:r w:rsidR="001734ED">
        <w:rPr>
          <w:b/>
          <w:szCs w:val="24"/>
          <w:lang w:eastAsia="en-US"/>
        </w:rPr>
        <w:t>Ändr.</w:t>
      </w:r>
      <w:r w:rsidRPr="00EB5AC1">
        <w:rPr>
          <w:b/>
          <w:szCs w:val="24"/>
          <w:lang w:eastAsia="en-US"/>
        </w:rPr>
        <w:t> 60]</w:t>
      </w:r>
    </w:p>
    <w:p w14:paraId="1DCAE629"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(p)</w:t>
      </w:r>
      <w:r w:rsidRPr="00EB5AC1">
        <w:rPr>
          <w:szCs w:val="24"/>
          <w:lang w:eastAsia="en-US"/>
        </w:rPr>
        <w:tab/>
        <w:t>I tillämpliga och förekommande fall uppgifter om de tilläggsskydd som beviljats i var och en av de angivna medlemsstaterna.</w:t>
      </w:r>
    </w:p>
    <w:p w14:paraId="0BEC7EBA"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(q)</w:t>
      </w:r>
      <w:r w:rsidRPr="00EB5AC1">
        <w:rPr>
          <w:szCs w:val="24"/>
          <w:lang w:eastAsia="en-US"/>
        </w:rPr>
        <w:tab/>
        <w:t>I tillämpliga fall uppgift om att den centraliserade ansökan har avslagits i en eller flera av de angivna medlemsstaterna.</w:t>
      </w:r>
    </w:p>
    <w:p w14:paraId="0AC65228"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(r)</w:t>
      </w:r>
      <w:r w:rsidRPr="00EB5AC1">
        <w:rPr>
          <w:szCs w:val="24"/>
          <w:lang w:eastAsia="en-US"/>
        </w:rPr>
        <w:tab/>
        <w:t>I tillämpliga fall uppgift om att ett tilläggsskydd har upphört att gälla eller förklarats ogiltigt.</w:t>
      </w:r>
    </w:p>
    <w:p w14:paraId="754A7EED"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(s)</w:t>
      </w:r>
      <w:r w:rsidRPr="00EB5AC1">
        <w:rPr>
          <w:szCs w:val="24"/>
          <w:lang w:eastAsia="en-US"/>
        </w:rPr>
        <w:tab/>
        <w:t>Uppgifter om betalning av de årsavgifter som tillhandahålls av de berörda behöriga nationella myndigheterna.</w:t>
      </w:r>
    </w:p>
    <w:p w14:paraId="45F4455B"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3.</w:t>
      </w:r>
      <w:r w:rsidRPr="00EB5AC1">
        <w:rPr>
          <w:szCs w:val="24"/>
          <w:lang w:eastAsia="en-US"/>
        </w:rPr>
        <w:tab/>
        <w:t>Registret ska innehålla ändringar av uppgifterna i punkt 2, inklusive överföringar, tillsammans med datumet för registrering av sådana poster.</w:t>
      </w:r>
    </w:p>
    <w:p w14:paraId="47158641"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4.</w:t>
      </w:r>
      <w:r w:rsidRPr="00EB5AC1">
        <w:rPr>
          <w:szCs w:val="24"/>
          <w:lang w:eastAsia="en-US"/>
        </w:rPr>
        <w:tab/>
        <w:t>Registret och de uppgifter som avses i punkterna 2 och 3 ska finnas tillgängliga på unionens samtliga officiella språk. Immaterialrättsmyndigheten får använda verifierade maskinöversättningar för de uppgifter som ska offentliggöras i registret.</w:t>
      </w:r>
    </w:p>
    <w:p w14:paraId="1FCC4F6C"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5.</w:t>
      </w:r>
      <w:r w:rsidRPr="00EB5AC1">
        <w:rPr>
          <w:szCs w:val="24"/>
          <w:lang w:eastAsia="en-US"/>
        </w:rPr>
        <w:tab/>
        <w:t>De behöriga nationella myndigheterna ska utan dröjsmål delge immaterialrättsmyndigheten uppgifter om beviljande, upphörande, ogiltighet eller överföring av tilläggsskydd, avslag på ansökningar enligt kapitlen II och III och betalning av därtill hörande årsavgifter.</w:t>
      </w:r>
    </w:p>
    <w:p w14:paraId="7C0F939C"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6.</w:t>
      </w:r>
      <w:r w:rsidRPr="00EB5AC1">
        <w:rPr>
          <w:szCs w:val="24"/>
          <w:lang w:eastAsia="en-US"/>
        </w:rPr>
        <w:tab/>
        <w:t>Immaterialrättsmyndighetens verkställande direktör får besluta att andra uppgifter än de som avses i punkterna 2 och 3 ska föras in i registret.</w:t>
      </w:r>
    </w:p>
    <w:p w14:paraId="7C9EBC68"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7.</w:t>
      </w:r>
      <w:r w:rsidRPr="00EB5AC1">
        <w:rPr>
          <w:szCs w:val="24"/>
          <w:lang w:eastAsia="en-US"/>
        </w:rPr>
        <w:tab/>
        <w:t>Immaterialrättsmyndigheten ska samla in, organisera, offentliggöra och lagra de uppgifter som avses i punkterna 2 och 3, inklusive eventuella personuppgifter, för de syften som anges i punkt 10. Immaterialrättsmyndigheten ska se till att registret är lättillgängligt för allmän granskning.</w:t>
      </w:r>
    </w:p>
    <w:p w14:paraId="70AEE1FB"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8.</w:t>
      </w:r>
      <w:r w:rsidRPr="00EB5AC1">
        <w:rPr>
          <w:szCs w:val="24"/>
          <w:lang w:eastAsia="en-US"/>
        </w:rPr>
        <w:tab/>
        <w:t>Immaterialrättsmyndigheten ska på begäran och mot betalning av en avgift tillhandahålla bestyrkta eller obestyrkta utdrag ur registret.</w:t>
      </w:r>
    </w:p>
    <w:p w14:paraId="0020524C"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9.</w:t>
      </w:r>
      <w:r w:rsidRPr="00EB5AC1">
        <w:rPr>
          <w:szCs w:val="24"/>
          <w:lang w:eastAsia="en-US"/>
        </w:rPr>
        <w:tab/>
        <w:t>Behandling av data rörande de uppgifter som anges i punkterna 2 och 3, inklusive eventuella personuppgifter, ska ske i följande syften:</w:t>
      </w:r>
    </w:p>
    <w:p w14:paraId="7301E7AD"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(a)</w:t>
      </w:r>
      <w:r w:rsidRPr="00EB5AC1">
        <w:rPr>
          <w:szCs w:val="24"/>
          <w:lang w:eastAsia="en-US"/>
        </w:rPr>
        <w:tab/>
        <w:t>Administrera ansökningarna i enlighet med detta kapitel och med de akter som antas i enlighet med det.</w:t>
      </w:r>
    </w:p>
    <w:p w14:paraId="2B21CF49"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br w:type="page"/>
      </w:r>
      <w:r w:rsidRPr="00EB5AC1">
        <w:rPr>
          <w:szCs w:val="24"/>
          <w:lang w:eastAsia="en-US"/>
        </w:rPr>
        <w:lastRenderedPageBreak/>
        <w:t>(b)</w:t>
      </w:r>
      <w:r w:rsidRPr="00EB5AC1">
        <w:rPr>
          <w:szCs w:val="24"/>
          <w:lang w:eastAsia="en-US"/>
        </w:rPr>
        <w:tab/>
        <w:t>Underhålla registret och tillgängliggöra det för myndigheter och ekonomiska aktörer.</w:t>
      </w:r>
    </w:p>
    <w:p w14:paraId="4B19F9E9"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(c)</w:t>
      </w:r>
      <w:r w:rsidRPr="00EB5AC1">
        <w:rPr>
          <w:szCs w:val="24"/>
          <w:lang w:eastAsia="en-US"/>
        </w:rPr>
        <w:tab/>
        <w:t>Framställa rapporter och statistik så att immaterialrättsmyndigheten kan optimera sin verksamhet och förbättra systemets funktionssätt.</w:t>
      </w:r>
    </w:p>
    <w:p w14:paraId="3E954A0B"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10.</w:t>
      </w:r>
      <w:r w:rsidRPr="00EB5AC1">
        <w:rPr>
          <w:szCs w:val="24"/>
          <w:lang w:eastAsia="en-US"/>
        </w:rPr>
        <w:tab/>
        <w:t>Samtliga data, inklusive personuppgifter, rörande uppgifterna i punkterna 2 och 3 ska anses vara av allmänintresse och ska vara tillgängliga för tredje part utan kostnad. För rättssäkerhetens skull ska uppgifterna i registret bevaras på obestämd tid.</w:t>
      </w:r>
    </w:p>
    <w:p w14:paraId="00465F24"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11.</w:t>
      </w:r>
      <w:r w:rsidRPr="00EB5AC1">
        <w:rPr>
          <w:szCs w:val="24"/>
          <w:lang w:eastAsia="en-US"/>
        </w:rPr>
        <w:tab/>
        <w:t>Det register som inrättas enligt denna artikel ska också användas för att offentliggöra information om tilläggsskydd för växtskyddsmedel enligt förordning [COM(2023) 223] och om enhetliga tilläggsskydd enligt förordning [COM(2023) 222] och förordning [COM(2023) 221].</w:t>
      </w:r>
    </w:p>
    <w:p w14:paraId="26BCA512" w14:textId="5ED38566" w:rsidR="00EB5AC1" w:rsidRPr="00EB5AC1" w:rsidRDefault="00EB5AC1" w:rsidP="00EB5AC1">
      <w:pPr>
        <w:spacing w:before="120" w:after="120" w:line="360" w:lineRule="auto"/>
        <w:ind w:left="850" w:hanging="850"/>
        <w:rPr>
          <w:b/>
          <w:szCs w:val="24"/>
          <w:lang w:eastAsia="en-US"/>
        </w:rPr>
      </w:pPr>
      <w:r w:rsidRPr="00EB5AC1">
        <w:rPr>
          <w:b/>
          <w:i/>
          <w:szCs w:val="24"/>
          <w:lang w:eastAsia="en-US"/>
        </w:rPr>
        <w:br w:type="page"/>
      </w:r>
      <w:r w:rsidRPr="00EB5AC1">
        <w:rPr>
          <w:b/>
          <w:i/>
          <w:szCs w:val="24"/>
          <w:lang w:eastAsia="en-US"/>
        </w:rPr>
        <w:lastRenderedPageBreak/>
        <w:t>11a.</w:t>
      </w:r>
      <w:r w:rsidRPr="00EB5AC1">
        <w:rPr>
          <w:szCs w:val="24"/>
          <w:lang w:eastAsia="en-US"/>
        </w:rPr>
        <w:tab/>
      </w:r>
      <w:r w:rsidRPr="00EB5AC1">
        <w:rPr>
          <w:b/>
          <w:i/>
          <w:szCs w:val="24"/>
          <w:lang w:eastAsia="en-US"/>
        </w:rPr>
        <w:t>Genom undantag från artikel 35.9 b får offentliga myndigheter inte använda den information som anges i registret i samband med patentkopplingar, och inga reglerings- eller förvaltningsbeslut som rör generiska läkemedel eller biosimilarer ska baseras på information som finns i registret och användas för avslag, tillfälligt återkallande, försening, återkallande eller upphävande av godkännanden för försäljning, prissättnings- och ersättningsbeslut eller anbud.</w:t>
      </w:r>
      <w:r w:rsidRPr="00EB5AC1">
        <w:rPr>
          <w:b/>
          <w:szCs w:val="24"/>
          <w:lang w:eastAsia="en-US"/>
        </w:rPr>
        <w:t xml:space="preserve"> [</w:t>
      </w:r>
      <w:r w:rsidR="001734ED">
        <w:rPr>
          <w:b/>
          <w:szCs w:val="24"/>
          <w:lang w:eastAsia="en-US"/>
        </w:rPr>
        <w:t>Ändr.</w:t>
      </w:r>
      <w:r w:rsidRPr="00EB5AC1">
        <w:rPr>
          <w:b/>
          <w:szCs w:val="24"/>
          <w:lang w:eastAsia="en-US"/>
        </w:rPr>
        <w:t> 61]</w:t>
      </w:r>
    </w:p>
    <w:p w14:paraId="2E1577D6" w14:textId="77777777" w:rsidR="00EB5AC1" w:rsidRPr="00EB5AC1" w:rsidRDefault="00EB5AC1" w:rsidP="00EB5AC1">
      <w:pPr>
        <w:spacing w:before="120" w:after="120" w:line="360" w:lineRule="auto"/>
        <w:jc w:val="center"/>
        <w:rPr>
          <w:szCs w:val="24"/>
          <w:lang w:eastAsia="en-US"/>
        </w:rPr>
      </w:pPr>
      <w:r w:rsidRPr="00EB5AC1">
        <w:rPr>
          <w:szCs w:val="24"/>
          <w:lang w:eastAsia="en-US"/>
        </w:rPr>
        <w:t>Artikel 36</w:t>
      </w:r>
      <w:r w:rsidRPr="00EB5AC1">
        <w:rPr>
          <w:szCs w:val="24"/>
          <w:lang w:eastAsia="en-US"/>
        </w:rPr>
        <w:br/>
        <w:t>Databas</w:t>
      </w:r>
    </w:p>
    <w:p w14:paraId="08A31BDF"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w:t>
      </w:r>
      <w:r w:rsidRPr="00EB5AC1">
        <w:rPr>
          <w:szCs w:val="24"/>
          <w:lang w:eastAsia="en-US"/>
        </w:rPr>
        <w:tab/>
        <w:t>Utöver skyldigheten att föra ett register ska immaterialrättsmyndigheten samla in och i en elektronisk databas lagra samtliga uppgifter som lämnas in av sökande eller andra synpunkter från tredje part inom ramen för denna förordning eller akter som antas i enlighet därmed.</w:t>
      </w:r>
    </w:p>
    <w:p w14:paraId="7470E64B"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2.</w:t>
      </w:r>
      <w:r w:rsidRPr="00EB5AC1">
        <w:rPr>
          <w:szCs w:val="24"/>
          <w:lang w:eastAsia="en-US"/>
        </w:rPr>
        <w:tab/>
        <w:t>Den elektroniska databasen får innehålla personuppgifter, utöver sådana som införs i registret, i den mån sådana uppgifter krävs enligt denna förordning eller akter som antas i enlighet därmed. Insamlingen, lagringen och behandlingen av sådana uppgifter ska ske i följande syften:</w:t>
      </w:r>
    </w:p>
    <w:p w14:paraId="2A3FB280"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(a)</w:t>
      </w:r>
      <w:r w:rsidRPr="00EB5AC1">
        <w:rPr>
          <w:szCs w:val="24"/>
          <w:lang w:eastAsia="en-US"/>
        </w:rPr>
        <w:tab/>
        <w:t>Administrering av ansökningarna och/eller registreringarna av tilläggsskydd enligt vad som anges i denna förordning och i akter som antas i enlighet med den.</w:t>
      </w:r>
    </w:p>
    <w:p w14:paraId="68AF97AA"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(b)</w:t>
      </w:r>
      <w:r w:rsidRPr="00EB5AC1">
        <w:rPr>
          <w:szCs w:val="24"/>
          <w:lang w:eastAsia="en-US"/>
        </w:rPr>
        <w:tab/>
        <w:t>Tillgång till den information som krävs för att de berörda förfarandena ska kunna genomföras lättare och mer effektivt.</w:t>
      </w:r>
    </w:p>
    <w:p w14:paraId="335A3352"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(c)</w:t>
      </w:r>
      <w:r w:rsidRPr="00EB5AC1">
        <w:rPr>
          <w:szCs w:val="24"/>
          <w:lang w:eastAsia="en-US"/>
        </w:rPr>
        <w:tab/>
        <w:t>Kommunikation med sökande och andra tredje parter.</w:t>
      </w:r>
    </w:p>
    <w:p w14:paraId="266F8D1C"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(d)</w:t>
      </w:r>
      <w:r w:rsidRPr="00EB5AC1">
        <w:rPr>
          <w:szCs w:val="24"/>
          <w:lang w:eastAsia="en-US"/>
        </w:rPr>
        <w:tab/>
        <w:t>Framställning av rapporter och statistik så att immaterialrättsmyndigheten kan optimera sin verksamhet och förbättra systemets funktionssätt.</w:t>
      </w:r>
    </w:p>
    <w:p w14:paraId="2085271E"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3.</w:t>
      </w:r>
      <w:r w:rsidRPr="00EB5AC1">
        <w:rPr>
          <w:szCs w:val="24"/>
          <w:lang w:eastAsia="en-US"/>
        </w:rPr>
        <w:tab/>
        <w:t>Den verkställande direktören ska fastställa villkoren för tillgång till den elektroniska databasen och på vilket sätt dess innehåll, exklusive de personuppgifter som avses i punkt 2 i denna artikel men inklusive de som förtecknas i artikel 35.3, kan göras tillgängligt i maskinläsbar form, inbegripet avgiften för sådan tillgång.</w:t>
      </w:r>
    </w:p>
    <w:p w14:paraId="2F3A695D"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4.</w:t>
      </w:r>
      <w:r w:rsidRPr="00EB5AC1">
        <w:rPr>
          <w:szCs w:val="24"/>
          <w:lang w:eastAsia="en-US"/>
        </w:rPr>
        <w:tab/>
        <w:t>Tillgången till de personuppgifter som avses i punkt 2 ska begränsas och sådana uppgifter får inte göras tillgängliga för allmänheten såvida inte den berörda parten har gett sitt uttryckliga samtycke.</w:t>
      </w:r>
    </w:p>
    <w:p w14:paraId="6EE8E8DA"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5.</w:t>
      </w:r>
      <w:r w:rsidRPr="00EB5AC1">
        <w:rPr>
          <w:szCs w:val="24"/>
          <w:lang w:eastAsia="en-US"/>
        </w:rPr>
        <w:tab/>
        <w:t>Alla uppgifter ska bevaras på obestämd tid. Den berörda parten får dock begära att personuppgifter tas bort från databasen när det har gått 18 månader från utgången av tilläggsskyddet eller i förekommande fall avslutandet av det relevanta förfarandet mellan parter. Den berörda parten ska alltid ha rätt att få oriktiga eller felaktiga uppgifter rättade.</w:t>
      </w:r>
    </w:p>
    <w:p w14:paraId="7839EBC0" w14:textId="77777777" w:rsidR="00EB5AC1" w:rsidRPr="00EB5AC1" w:rsidRDefault="00EB5AC1" w:rsidP="00EB5AC1">
      <w:pPr>
        <w:spacing w:before="120" w:after="120" w:line="360" w:lineRule="auto"/>
        <w:jc w:val="center"/>
        <w:rPr>
          <w:szCs w:val="24"/>
          <w:lang w:eastAsia="en-US"/>
        </w:rPr>
      </w:pPr>
      <w:r w:rsidRPr="00EB5AC1">
        <w:rPr>
          <w:szCs w:val="24"/>
          <w:lang w:eastAsia="en-US"/>
        </w:rPr>
        <w:t>Artikel 37</w:t>
      </w:r>
      <w:r w:rsidRPr="00EB5AC1">
        <w:rPr>
          <w:szCs w:val="24"/>
          <w:lang w:eastAsia="en-US"/>
        </w:rPr>
        <w:br/>
        <w:t xml:space="preserve">Insyn </w:t>
      </w:r>
    </w:p>
    <w:p w14:paraId="61162EFE"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w:t>
      </w:r>
      <w:r w:rsidRPr="00EB5AC1">
        <w:rPr>
          <w:szCs w:val="24"/>
          <w:lang w:eastAsia="en-US"/>
        </w:rPr>
        <w:tab/>
        <w:t>Europaparlamentets och rådets förordning (EG) nr 1049/2001</w:t>
      </w:r>
      <w:r w:rsidRPr="00EB5AC1">
        <w:rPr>
          <w:szCs w:val="24"/>
          <w:vertAlign w:val="superscript"/>
          <w:lang w:val="en-GB" w:eastAsia="en-US"/>
        </w:rPr>
        <w:footnoteReference w:id="23"/>
      </w:r>
      <w:r w:rsidRPr="00EB5AC1">
        <w:rPr>
          <w:szCs w:val="24"/>
          <w:lang w:eastAsia="en-US"/>
        </w:rPr>
        <w:t xml:space="preserve"> ska tillämpas på de handlingar som innehas av immaterialrättsmyndigheten.</w:t>
      </w:r>
    </w:p>
    <w:p w14:paraId="2B15A50F"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2.</w:t>
      </w:r>
      <w:r w:rsidRPr="00EB5AC1">
        <w:rPr>
          <w:szCs w:val="24"/>
          <w:lang w:eastAsia="en-US"/>
        </w:rPr>
        <w:tab/>
        <w:t>Immaterialrättsmyndighetens styrelse ska anta tillämpningsföreskrifter för förordning (EG) nr 1049/2001 inom ramen för den här förordningen.</w:t>
      </w:r>
    </w:p>
    <w:p w14:paraId="786A01AB"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3.</w:t>
      </w:r>
      <w:r w:rsidRPr="00EB5AC1">
        <w:rPr>
          <w:szCs w:val="24"/>
          <w:lang w:eastAsia="en-US"/>
        </w:rPr>
        <w:tab/>
        <w:t>De beslut som fattas av immaterialrättsmyndigheten inom ramen för artikel 8 i förordning (EG) nr 1049/2001 får överklagas hos Europeiska ombudsmannen eller ligga till grund för en talan inför Europeiska unionens domstol på de villkor som anges i artikel 228 respektive 263 i EUF-fördraget.</w:t>
      </w:r>
    </w:p>
    <w:p w14:paraId="15CEF96E"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4.</w:t>
      </w:r>
      <w:r w:rsidRPr="00EB5AC1">
        <w:rPr>
          <w:szCs w:val="24"/>
          <w:lang w:eastAsia="en-US"/>
        </w:rPr>
        <w:tab/>
        <w:t>Immaterialrättsmyndighetens behandling av personuppgifter ska ske i enlighet med Europaparlamentets och rådets förordning (EG) nr 45/2001</w:t>
      </w:r>
      <w:r w:rsidRPr="00EB5AC1">
        <w:rPr>
          <w:szCs w:val="24"/>
          <w:vertAlign w:val="superscript"/>
          <w:lang w:val="en-GB" w:eastAsia="en-US"/>
        </w:rPr>
        <w:footnoteReference w:id="24"/>
      </w:r>
      <w:r w:rsidRPr="00EB5AC1">
        <w:rPr>
          <w:szCs w:val="24"/>
          <w:lang w:eastAsia="en-US"/>
        </w:rPr>
        <w:t>.</w:t>
      </w:r>
    </w:p>
    <w:p w14:paraId="4043B1A0" w14:textId="77777777" w:rsidR="00EB5AC1" w:rsidRPr="00EB5AC1" w:rsidRDefault="00EB5AC1" w:rsidP="00EB5AC1">
      <w:pPr>
        <w:spacing w:before="120" w:after="120" w:line="360" w:lineRule="auto"/>
        <w:jc w:val="center"/>
        <w:rPr>
          <w:szCs w:val="24"/>
          <w:lang w:eastAsia="en-US"/>
        </w:rPr>
      </w:pPr>
      <w:r w:rsidRPr="00EB5AC1">
        <w:rPr>
          <w:szCs w:val="24"/>
          <w:lang w:eastAsia="en-US"/>
        </w:rPr>
        <w:t>Artikel 38</w:t>
      </w:r>
      <w:r w:rsidRPr="00EB5AC1">
        <w:rPr>
          <w:szCs w:val="24"/>
          <w:lang w:eastAsia="en-US"/>
        </w:rPr>
        <w:br/>
        <w:t>Företrädare</w:t>
      </w:r>
    </w:p>
    <w:p w14:paraId="0002179A"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w:t>
      </w:r>
      <w:r w:rsidRPr="00EB5AC1">
        <w:rPr>
          <w:szCs w:val="24"/>
          <w:lang w:eastAsia="en-US"/>
        </w:rPr>
        <w:tab/>
        <w:t>En fysisk eller juridisk person som varken har sin hemvist eller sin huvudsakliga verksamhet i Europeiska ekonomiska samarbetsområdet eller där bedriver verklig och faktisk industriell eller kommersiell verksamhet ska vara företrädd inför immaterialrättsmyndigheten i enlighet med denna artikel vid alla förfaranden som föreskrivs i kapitel III i denna förordning, utom vid inlämning av en centraliserad ansökan.</w:t>
      </w:r>
    </w:p>
    <w:p w14:paraId="6B502591"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2.</w:t>
      </w:r>
      <w:r w:rsidRPr="00EB5AC1">
        <w:rPr>
          <w:szCs w:val="24"/>
          <w:lang w:eastAsia="en-US"/>
        </w:rPr>
        <w:tab/>
        <w:t>En fysisk eller juridisk person som har sin hemvist eller sin huvudsakliga verksamhet i Europeiska ekonomiska samarbetsområdet eller där bedriver verklig och faktisk industriell eller kommersiell verksamhet får inför immaterialrättsmyndigheten låta sig företrädas av en anställd.</w:t>
      </w:r>
    </w:p>
    <w:p w14:paraId="7CBE1579" w14:textId="77777777" w:rsidR="00EB5AC1" w:rsidRPr="00EB5AC1" w:rsidRDefault="00EB5AC1" w:rsidP="00EB5AC1">
      <w:pPr>
        <w:spacing w:before="120" w:after="120" w:line="360" w:lineRule="auto"/>
        <w:ind w:left="850"/>
        <w:rPr>
          <w:szCs w:val="24"/>
          <w:lang w:eastAsia="en-US"/>
        </w:rPr>
      </w:pPr>
      <w:r w:rsidRPr="00EB5AC1">
        <w:rPr>
          <w:szCs w:val="24"/>
          <w:lang w:eastAsia="en-US"/>
        </w:rPr>
        <w:t>En anställd hos en juridisk person får även företräda andra juridiska personer som har ekonomisk anknytning till den juridiska person som företräds av den anställde.</w:t>
      </w:r>
    </w:p>
    <w:p w14:paraId="234ABD04" w14:textId="77777777" w:rsidR="00EB5AC1" w:rsidRPr="00EB5AC1" w:rsidRDefault="00EB5AC1" w:rsidP="00EB5AC1">
      <w:pPr>
        <w:spacing w:before="120" w:after="120" w:line="360" w:lineRule="auto"/>
        <w:ind w:left="850"/>
        <w:rPr>
          <w:szCs w:val="24"/>
          <w:lang w:eastAsia="en-US"/>
        </w:rPr>
      </w:pPr>
      <w:r w:rsidRPr="00EB5AC1">
        <w:rPr>
          <w:szCs w:val="24"/>
          <w:lang w:eastAsia="en-US"/>
        </w:rPr>
        <w:t>Andra stycket gäller även när dessa andra juridiska personer varken har sin hemvist eller sin huvudsakliga verksamhet inom unionen eller där bedriver verklig och faktisk industriell eller kommersiell verksamhet.</w:t>
      </w:r>
    </w:p>
    <w:p w14:paraId="05421840" w14:textId="77777777" w:rsidR="00EB5AC1" w:rsidRPr="00EB5AC1" w:rsidRDefault="00EB5AC1" w:rsidP="00EB5AC1">
      <w:pPr>
        <w:spacing w:before="120" w:after="120" w:line="360" w:lineRule="auto"/>
        <w:ind w:left="850"/>
        <w:rPr>
          <w:szCs w:val="24"/>
          <w:lang w:eastAsia="en-US"/>
        </w:rPr>
      </w:pPr>
      <w:r w:rsidRPr="00EB5AC1">
        <w:rPr>
          <w:szCs w:val="24"/>
          <w:lang w:eastAsia="en-US"/>
        </w:rPr>
        <w:t>Anställda som företräder fysiska eller juridiska personer ska, på begäran av immaterialrättsmyndigheten eller i tillämpliga fall av parten i förfarandet, lämna in en undertecknad fullmakt till immaterialrättsmyndigheten för införande i handlingarna.</w:t>
      </w:r>
    </w:p>
    <w:p w14:paraId="53A901E7"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3.</w:t>
      </w:r>
      <w:r w:rsidRPr="00EB5AC1">
        <w:rPr>
          <w:szCs w:val="24"/>
          <w:lang w:eastAsia="en-US"/>
        </w:rPr>
        <w:tab/>
        <w:t>Ett gemensamt ombud ska utses om det finns fler än en sökande eller fler än en tredje part som agerar gemensamt.</w:t>
      </w:r>
    </w:p>
    <w:p w14:paraId="15BACCAB"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4.</w:t>
      </w:r>
      <w:r w:rsidRPr="00EB5AC1">
        <w:rPr>
          <w:szCs w:val="24"/>
          <w:lang w:eastAsia="en-US"/>
        </w:rPr>
        <w:tab/>
        <w:t>Endast en yrkesutövare som är etablerad i unionen och som har rätt att uppträda som professionellt ombud i patentfrågor inför en nationell patentmyndighet eller Europeiska patentverket, eller en advokat som är behörig att uppträda inför domstol i en medlemsstat, får företräda fysiska eller juridiska personer inför immaterialrättsmyndigheten.</w:t>
      </w:r>
    </w:p>
    <w:p w14:paraId="3A4A761E" w14:textId="77777777" w:rsidR="00EB5AC1" w:rsidRPr="00EB5AC1" w:rsidRDefault="00EB5AC1" w:rsidP="00EB5AC1">
      <w:pPr>
        <w:spacing w:before="120" w:after="120" w:line="360" w:lineRule="auto"/>
        <w:jc w:val="center"/>
        <w:rPr>
          <w:szCs w:val="24"/>
          <w:lang w:eastAsia="en-US"/>
        </w:rPr>
      </w:pPr>
      <w:r w:rsidRPr="00EB5AC1">
        <w:rPr>
          <w:szCs w:val="24"/>
          <w:lang w:eastAsia="en-US"/>
        </w:rPr>
        <w:t>Artikel 39</w:t>
      </w:r>
      <w:r w:rsidRPr="00EB5AC1">
        <w:rPr>
          <w:szCs w:val="24"/>
          <w:lang w:eastAsia="en-US"/>
        </w:rPr>
        <w:br/>
        <w:t>Kombinerad ansökan</w:t>
      </w:r>
    </w:p>
    <w:p w14:paraId="55A22700"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w:t>
      </w:r>
      <w:r w:rsidRPr="00EB5AC1">
        <w:rPr>
          <w:szCs w:val="24"/>
          <w:lang w:eastAsia="en-US"/>
        </w:rPr>
        <w:tab/>
        <w:t>En centraliserad ansökan får också innehålla en begäran om beviljande av ett enhetligt tilläggsskydd enligt definitionen i förordning [COM(2023) 222]</w:t>
      </w:r>
      <w:r w:rsidRPr="00EB5AC1">
        <w:rPr>
          <w:szCs w:val="24"/>
          <w:vertAlign w:val="superscript"/>
          <w:lang w:val="en-GB" w:eastAsia="en-US"/>
        </w:rPr>
        <w:footnoteReference w:id="25"/>
      </w:r>
      <w:r w:rsidRPr="00EB5AC1">
        <w:rPr>
          <w:szCs w:val="24"/>
          <w:lang w:eastAsia="en-US"/>
        </w:rPr>
        <w:t xml:space="preserve"> (kombinerad ansökan).</w:t>
      </w:r>
    </w:p>
    <w:p w14:paraId="48BF1D7D"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2.</w:t>
      </w:r>
      <w:r w:rsidRPr="00EB5AC1">
        <w:rPr>
          <w:szCs w:val="24"/>
          <w:lang w:eastAsia="en-US"/>
        </w:rPr>
        <w:tab/>
        <w:t>Den kombinerade ansökan ska genomgå ett enda centraliserat granskningsförfarande samt ett enda invändnings- eller överklagandeförfarande om det har lämnats in mot ett yttrande eller beslut om både den centraliserade ansökan och ansökan om enhetligt tilläggsskydd.</w:t>
      </w:r>
    </w:p>
    <w:p w14:paraId="66DB333A"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3.</w:t>
      </w:r>
      <w:r w:rsidRPr="00EB5AC1">
        <w:rPr>
          <w:szCs w:val="24"/>
          <w:lang w:eastAsia="en-US"/>
        </w:rPr>
        <w:tab/>
        <w:t>De medlemsstater för vilka grundpatentet har enhetlig verkan får inte anges i den kombinerade ansökan om parallellt beviljande av nationella tilläggsskydd. Vid granskningen av den kombinerade ansökan ska varje angiven medlemsstat för vilken grundpatentet har enhetlig verkan inte beaktas.</w:t>
      </w:r>
    </w:p>
    <w:p w14:paraId="02492AB7" w14:textId="77777777" w:rsidR="00EB5AC1" w:rsidRPr="00EB5AC1" w:rsidRDefault="00EB5AC1" w:rsidP="00EB5AC1">
      <w:pPr>
        <w:spacing w:before="120" w:after="120" w:line="360" w:lineRule="auto"/>
        <w:jc w:val="center"/>
        <w:rPr>
          <w:szCs w:val="24"/>
          <w:lang w:eastAsia="en-US"/>
        </w:rPr>
      </w:pPr>
      <w:r w:rsidRPr="00EB5AC1">
        <w:rPr>
          <w:szCs w:val="24"/>
          <w:lang w:eastAsia="en-US"/>
        </w:rPr>
        <w:br w:type="page"/>
      </w:r>
      <w:r w:rsidRPr="00EB5AC1">
        <w:rPr>
          <w:szCs w:val="24"/>
          <w:lang w:eastAsia="en-US"/>
        </w:rPr>
        <w:lastRenderedPageBreak/>
        <w:t>Artikel 40</w:t>
      </w:r>
      <w:r w:rsidRPr="00EB5AC1">
        <w:rPr>
          <w:szCs w:val="24"/>
          <w:lang w:eastAsia="en-US"/>
        </w:rPr>
        <w:br/>
        <w:t>Enhet för tilläggsskydd</w:t>
      </w:r>
    </w:p>
    <w:p w14:paraId="4BF85E82" w14:textId="77777777" w:rsidR="00EB5AC1" w:rsidRPr="00EB5AC1" w:rsidRDefault="00EB5AC1" w:rsidP="00EB5AC1">
      <w:pPr>
        <w:spacing w:before="120" w:after="120" w:line="360" w:lineRule="auto"/>
        <w:rPr>
          <w:szCs w:val="24"/>
          <w:lang w:eastAsia="en-US"/>
        </w:rPr>
      </w:pPr>
      <w:r w:rsidRPr="00EB5AC1">
        <w:rPr>
          <w:szCs w:val="24"/>
          <w:lang w:eastAsia="en-US"/>
        </w:rPr>
        <w:t>En enhet för tilläggsskydd (tilläggsskyddsenheten) ska inrättas inom immaterialrättsmyndigheten och ska ansvara för genomförandet av de uppgifter som anges i kapitel III i denna förordning och i kapitel III i förordning [COM(2023) 223] samt i förordningarna [COM(2023) 222] och [COM(2023) 221], särskilt med avseende på att</w:t>
      </w:r>
    </w:p>
    <w:p w14:paraId="124E8BA1" w14:textId="2B7969A3" w:rsidR="00EB5AC1" w:rsidRPr="00EB5AC1" w:rsidRDefault="00EB5AC1" w:rsidP="00EB5AC1">
      <w:pPr>
        <w:spacing w:before="120" w:after="120" w:line="360" w:lineRule="auto"/>
        <w:ind w:left="850" w:hanging="850"/>
        <w:rPr>
          <w:szCs w:val="24"/>
          <w:lang w:eastAsia="en-US"/>
        </w:rPr>
      </w:pPr>
      <w:r w:rsidRPr="00EB5AC1">
        <w:rPr>
          <w:szCs w:val="24"/>
          <w:lang w:eastAsia="en-US"/>
        </w:rPr>
        <w:t>(a)</w:t>
      </w:r>
      <w:r w:rsidRPr="00EB5AC1">
        <w:rPr>
          <w:szCs w:val="24"/>
          <w:lang w:eastAsia="en-US"/>
        </w:rPr>
        <w:tab/>
        <w:t xml:space="preserve">ta emot och övervaka granskningen av </w:t>
      </w:r>
      <w:r w:rsidR="00FD106D">
        <w:rPr>
          <w:szCs w:val="24"/>
          <w:lang w:eastAsia="en-US"/>
        </w:rPr>
        <w:t>centraliserade ansökningar</w:t>
      </w:r>
      <w:r w:rsidRPr="00EB5AC1">
        <w:rPr>
          <w:szCs w:val="24"/>
          <w:lang w:eastAsia="en-US"/>
        </w:rPr>
        <w:t xml:space="preserve"> om tilläggsskydd, </w:t>
      </w:r>
      <w:r w:rsidR="00FD106D">
        <w:rPr>
          <w:szCs w:val="24"/>
          <w:lang w:eastAsia="en-US"/>
        </w:rPr>
        <w:t>centraliserade ansökningar</w:t>
      </w:r>
      <w:r w:rsidRPr="00EB5AC1">
        <w:rPr>
          <w:szCs w:val="24"/>
          <w:lang w:eastAsia="en-US"/>
        </w:rPr>
        <w:t xml:space="preserve"> om förlängning av giltighetstiden för tilläggsskydd, överklaganden och synpunkter från tredje parter,</w:t>
      </w:r>
    </w:p>
    <w:p w14:paraId="6A4F6744" w14:textId="19DFBF13" w:rsidR="00EB5AC1" w:rsidRPr="00EB5AC1" w:rsidRDefault="00EB5AC1" w:rsidP="00EB5AC1">
      <w:pPr>
        <w:spacing w:before="120" w:after="120" w:line="360" w:lineRule="auto"/>
        <w:ind w:left="850" w:hanging="850"/>
        <w:rPr>
          <w:szCs w:val="24"/>
          <w:lang w:eastAsia="en-US"/>
        </w:rPr>
      </w:pPr>
      <w:r w:rsidRPr="00EB5AC1">
        <w:rPr>
          <w:szCs w:val="24"/>
          <w:lang w:eastAsia="en-US"/>
        </w:rPr>
        <w:t>(b)</w:t>
      </w:r>
      <w:r w:rsidRPr="00EB5AC1">
        <w:rPr>
          <w:szCs w:val="24"/>
          <w:lang w:eastAsia="en-US"/>
        </w:rPr>
        <w:tab/>
        <w:t xml:space="preserve">anta granskningsyttranden på immaterialrättsmyndighetens vägnar i samband med </w:t>
      </w:r>
      <w:r w:rsidR="00FD106D">
        <w:rPr>
          <w:szCs w:val="24"/>
          <w:lang w:eastAsia="en-US"/>
        </w:rPr>
        <w:t>centraliserade ansökningar</w:t>
      </w:r>
      <w:r w:rsidRPr="00EB5AC1">
        <w:rPr>
          <w:szCs w:val="24"/>
          <w:lang w:eastAsia="en-US"/>
        </w:rPr>
        <w:t xml:space="preserve"> om tilläggsskydd och i samband med </w:t>
      </w:r>
      <w:r w:rsidR="00FD106D">
        <w:rPr>
          <w:szCs w:val="24"/>
          <w:lang w:eastAsia="en-US"/>
        </w:rPr>
        <w:t>centraliserade ansökningar</w:t>
      </w:r>
      <w:r w:rsidRPr="00EB5AC1">
        <w:rPr>
          <w:szCs w:val="24"/>
          <w:lang w:eastAsia="en-US"/>
        </w:rPr>
        <w:t xml:space="preserve"> om förlängning av giltighetstiden för tilläggsskydd,</w:t>
      </w:r>
    </w:p>
    <w:p w14:paraId="03399C5C"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(c)</w:t>
      </w:r>
      <w:r w:rsidRPr="00EB5AC1">
        <w:rPr>
          <w:szCs w:val="24"/>
          <w:lang w:eastAsia="en-US"/>
        </w:rPr>
        <w:tab/>
        <w:t>fatta beslut om invändningar mot granskningsyttranden,</w:t>
      </w:r>
    </w:p>
    <w:p w14:paraId="5430242D"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(d)</w:t>
      </w:r>
      <w:r w:rsidRPr="00EB5AC1">
        <w:rPr>
          <w:szCs w:val="24"/>
          <w:lang w:eastAsia="en-US"/>
        </w:rPr>
        <w:tab/>
        <w:t>underhålla registret och databasen.</w:t>
      </w:r>
    </w:p>
    <w:p w14:paraId="55E8B960" w14:textId="77777777" w:rsidR="00EB5AC1" w:rsidRPr="00EB5AC1" w:rsidRDefault="00EB5AC1" w:rsidP="00EB5AC1">
      <w:pPr>
        <w:spacing w:before="120" w:after="120" w:line="360" w:lineRule="auto"/>
        <w:jc w:val="center"/>
        <w:rPr>
          <w:szCs w:val="24"/>
          <w:lang w:eastAsia="en-US"/>
        </w:rPr>
      </w:pPr>
      <w:r w:rsidRPr="00EB5AC1">
        <w:rPr>
          <w:szCs w:val="24"/>
          <w:lang w:eastAsia="en-US"/>
        </w:rPr>
        <w:br w:type="page"/>
      </w:r>
      <w:r w:rsidRPr="00EB5AC1">
        <w:rPr>
          <w:szCs w:val="24"/>
          <w:lang w:eastAsia="en-US"/>
        </w:rPr>
        <w:lastRenderedPageBreak/>
        <w:t>Artikel 41</w:t>
      </w:r>
      <w:r w:rsidRPr="00EB5AC1">
        <w:rPr>
          <w:szCs w:val="24"/>
          <w:lang w:eastAsia="en-US"/>
        </w:rPr>
        <w:br/>
        <w:t>Språk</w:t>
      </w:r>
    </w:p>
    <w:p w14:paraId="5C1C7F59"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w:t>
      </w:r>
      <w:r w:rsidRPr="00EB5AC1">
        <w:rPr>
          <w:szCs w:val="24"/>
          <w:lang w:eastAsia="en-US"/>
        </w:rPr>
        <w:tab/>
        <w:t>Alla handlingar och all information som skickas till immaterialrättsmyndigheten i samband med förfarandena enligt denna förordning ska vara avfattade på ett av unionens officiella språk.</w:t>
      </w:r>
    </w:p>
    <w:p w14:paraId="4C4E739D"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2.</w:t>
      </w:r>
      <w:r w:rsidRPr="00EB5AC1">
        <w:rPr>
          <w:szCs w:val="24"/>
          <w:lang w:eastAsia="en-US"/>
        </w:rPr>
        <w:tab/>
        <w:t>För de uppgifter som tilldelas immaterialrättsmyndigheten enligt denna förordning ska unionens samtliga officiella språk vara immaterialrättsmyndighetens språk i enlighet med rådets förordning nr 1</w:t>
      </w:r>
      <w:r w:rsidRPr="00EB5AC1">
        <w:rPr>
          <w:szCs w:val="24"/>
          <w:vertAlign w:val="superscript"/>
          <w:lang w:val="en-GB" w:eastAsia="en-US"/>
        </w:rPr>
        <w:footnoteReference w:id="26"/>
      </w:r>
      <w:r w:rsidRPr="00EB5AC1">
        <w:rPr>
          <w:szCs w:val="24"/>
          <w:lang w:eastAsia="en-US"/>
        </w:rPr>
        <w:t>.</w:t>
      </w:r>
    </w:p>
    <w:p w14:paraId="78B638A8" w14:textId="77777777" w:rsidR="00EB5AC1" w:rsidRPr="00EB5AC1" w:rsidRDefault="00EB5AC1" w:rsidP="00EB5AC1">
      <w:pPr>
        <w:spacing w:before="120" w:after="120" w:line="360" w:lineRule="auto"/>
        <w:jc w:val="center"/>
        <w:rPr>
          <w:szCs w:val="24"/>
          <w:lang w:eastAsia="en-US"/>
        </w:rPr>
      </w:pPr>
      <w:r w:rsidRPr="00EB5AC1">
        <w:rPr>
          <w:szCs w:val="24"/>
          <w:lang w:eastAsia="en-US"/>
        </w:rPr>
        <w:t>Artikel 42</w:t>
      </w:r>
      <w:r w:rsidRPr="00EB5AC1">
        <w:rPr>
          <w:szCs w:val="24"/>
          <w:lang w:eastAsia="en-US"/>
        </w:rPr>
        <w:br/>
        <w:t>Kommunikation med immaterialrättsmyndigheten</w:t>
      </w:r>
    </w:p>
    <w:p w14:paraId="01A87115"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w:t>
      </w:r>
      <w:r w:rsidRPr="00EB5AC1">
        <w:rPr>
          <w:szCs w:val="24"/>
          <w:lang w:eastAsia="en-US"/>
        </w:rPr>
        <w:tab/>
        <w:t>Kommunikation med immaterialrättsmyndigheten får genomföras på elektronisk väg. Den verkställande direktören ska fastställa i vilken utsträckning och på vilka tekniska villkor denna kommunikation får lämnas in elektroniskt.</w:t>
      </w:r>
    </w:p>
    <w:p w14:paraId="3606E368"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2.</w:t>
      </w:r>
      <w:r w:rsidRPr="00EB5AC1">
        <w:rPr>
          <w:szCs w:val="24"/>
          <w:lang w:eastAsia="en-US"/>
        </w:rPr>
        <w:tab/>
        <w:t>Kommissionen ges befogenhet att anta delegerade akter i enlighet med artikel 55 för att komplettera denna förordning genom att fastställa bestämmelser om de kommunikationsmedel, inbegripet elektroniska kommunikationsmedel, som ska användas av parterna i förfaranden inför immaterialrättsmyndigheten samt de formulär som immaterialrättsmyndigheten ska tillgängliggöra.</w:t>
      </w:r>
    </w:p>
    <w:p w14:paraId="414EF023" w14:textId="77777777" w:rsidR="00EB5AC1" w:rsidRPr="00EB5AC1" w:rsidRDefault="00EB5AC1" w:rsidP="00EB5AC1">
      <w:pPr>
        <w:spacing w:before="120" w:after="120" w:line="360" w:lineRule="auto"/>
        <w:jc w:val="center"/>
        <w:rPr>
          <w:szCs w:val="24"/>
          <w:lang w:eastAsia="en-US"/>
        </w:rPr>
      </w:pPr>
      <w:r w:rsidRPr="00EB5AC1">
        <w:rPr>
          <w:szCs w:val="24"/>
          <w:lang w:eastAsia="en-US"/>
        </w:rPr>
        <w:t>Artikel 43</w:t>
      </w:r>
      <w:r w:rsidRPr="00EB5AC1">
        <w:rPr>
          <w:szCs w:val="24"/>
          <w:lang w:eastAsia="en-US"/>
        </w:rPr>
        <w:br/>
        <w:t xml:space="preserve">Beslut och meddelanden från immaterialrättsmyndigheten </w:t>
      </w:r>
    </w:p>
    <w:p w14:paraId="0C5F4E7A"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w:t>
      </w:r>
      <w:r w:rsidRPr="00EB5AC1">
        <w:rPr>
          <w:szCs w:val="24"/>
          <w:lang w:eastAsia="en-US"/>
        </w:rPr>
        <w:tab/>
        <w:t>Immaterialrättsmyndighetens beslut enligt detta kapitel ska omfatta granskningsyttranden och ska ange de skäl som ligger till grund för besluten. Beslut får endast grunda sig på skäl eller bevis som de berörda parterna har haft tillfälle att yttra sig över. När muntliga förhandlingar hålls vid immaterialrättsmyndigheten får beslutet avges muntligen. Beslutet eller yttrandet ska senare underrättas parterna skriftligen.</w:t>
      </w:r>
    </w:p>
    <w:p w14:paraId="3F52570B"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2.</w:t>
      </w:r>
      <w:r w:rsidRPr="00EB5AC1">
        <w:rPr>
          <w:szCs w:val="24"/>
          <w:lang w:eastAsia="en-US"/>
        </w:rPr>
        <w:tab/>
        <w:t>Alla beslut, yttranden, underrättelser eller meddelanden från immaterialrättsmyndigheten enligt detta kapitel ska innehålla uppgifter om tilläggsskyddsenheten och den berörda panelen samt namnet eller namnen på de ansvariga granskarna. De ska antingen undertecknas av granskarna eller vara försedda med immaterialrättsmyndighetens tryckta eller stämplade sigill. Den verkställande direktören får fastställa att andra metoder för att identifiera tilläggsskyddsenheten och namnet på de ansvariga granskarna, eller en annan identifiering än ett sigill, får användas när beslut eller andra underrättelser överförs via ett tekniskt kommunikationsmedel.</w:t>
      </w:r>
    </w:p>
    <w:p w14:paraId="54E207BA"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3.</w:t>
      </w:r>
      <w:r w:rsidRPr="00EB5AC1">
        <w:rPr>
          <w:szCs w:val="24"/>
          <w:lang w:eastAsia="en-US"/>
        </w:rPr>
        <w:tab/>
        <w:t>Beslut av immaterialrättsmyndigheten enligt detta kapitel som kan överklagas ska åtföljas av ett skriftligt meddelande om att ett överklagande ska inlämnas skriftligen till immaterialrättsmyndigheten inom två månader från dagen för underrättelse av beslutet i fråga. Meddelandet ska även rikta parternas uppmärksamhet på bestämmelserna i artikel 29. Parterna får inte som grund för överklagandet åberopa den omständigheten att immaterialrättsmyndigheten underlåtit att informera om möjligheten att överklaga.</w:t>
      </w:r>
    </w:p>
    <w:p w14:paraId="7E4F5663" w14:textId="77777777" w:rsidR="00EB5AC1" w:rsidRPr="00EB5AC1" w:rsidRDefault="00EB5AC1" w:rsidP="00EB5AC1">
      <w:pPr>
        <w:spacing w:before="120" w:after="120" w:line="360" w:lineRule="auto"/>
        <w:jc w:val="center"/>
        <w:rPr>
          <w:szCs w:val="24"/>
          <w:lang w:eastAsia="en-US"/>
        </w:rPr>
      </w:pPr>
      <w:r w:rsidRPr="00EB5AC1">
        <w:rPr>
          <w:szCs w:val="24"/>
          <w:lang w:eastAsia="en-US"/>
        </w:rPr>
        <w:br w:type="page"/>
      </w:r>
      <w:r w:rsidRPr="00EB5AC1">
        <w:rPr>
          <w:szCs w:val="24"/>
          <w:lang w:eastAsia="en-US"/>
        </w:rPr>
        <w:lastRenderedPageBreak/>
        <w:t>Artikel 44</w:t>
      </w:r>
      <w:r w:rsidRPr="00EB5AC1">
        <w:rPr>
          <w:szCs w:val="24"/>
          <w:lang w:eastAsia="en-US"/>
        </w:rPr>
        <w:br/>
        <w:t>Muntliga förhandlingar</w:t>
      </w:r>
    </w:p>
    <w:p w14:paraId="44B222C7"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w:t>
      </w:r>
      <w:r w:rsidRPr="00EB5AC1">
        <w:rPr>
          <w:szCs w:val="24"/>
          <w:lang w:eastAsia="en-US"/>
        </w:rPr>
        <w:tab/>
        <w:t>Under förutsättning att den anser att det är lämpligt ska immaterialrättsmyndigheten hålla muntliga förhandlingar antingen på eget initiativ eller om en part yrkar det.</w:t>
      </w:r>
    </w:p>
    <w:p w14:paraId="00ED0E3A" w14:textId="37B1F692" w:rsidR="00EB5AC1" w:rsidRPr="00EB5AC1" w:rsidRDefault="00EB5AC1" w:rsidP="00EB5AC1">
      <w:pPr>
        <w:spacing w:before="120" w:after="120" w:line="360" w:lineRule="auto"/>
        <w:ind w:left="850" w:hanging="850"/>
        <w:rPr>
          <w:szCs w:val="24"/>
          <w:lang w:eastAsia="en-US"/>
        </w:rPr>
      </w:pPr>
      <w:r w:rsidRPr="00EB5AC1">
        <w:rPr>
          <w:strike/>
          <w:szCs w:val="24"/>
          <w:lang w:eastAsia="en-US"/>
        </w:rPr>
        <w:t>2.</w:t>
      </w:r>
      <w:r w:rsidRPr="00EB5AC1">
        <w:rPr>
          <w:szCs w:val="24"/>
          <w:lang w:eastAsia="en-US"/>
        </w:rPr>
        <w:tab/>
      </w:r>
      <w:r w:rsidRPr="00EB5AC1">
        <w:rPr>
          <w:strike/>
          <w:szCs w:val="24"/>
          <w:lang w:eastAsia="en-US"/>
        </w:rPr>
        <w:t>Muntliga förhandlingar inför en granskningspanel eller invändningspanel ska inte vara offentliga.</w:t>
      </w:r>
      <w:r w:rsidRPr="00EB5AC1">
        <w:rPr>
          <w:b/>
          <w:szCs w:val="24"/>
          <w:lang w:eastAsia="en-US"/>
        </w:rPr>
        <w:t xml:space="preserve"> [</w:t>
      </w:r>
      <w:r w:rsidR="001734ED">
        <w:rPr>
          <w:b/>
          <w:szCs w:val="24"/>
          <w:lang w:eastAsia="en-US"/>
        </w:rPr>
        <w:t>Ändr.</w:t>
      </w:r>
      <w:r w:rsidRPr="00EB5AC1">
        <w:rPr>
          <w:b/>
          <w:szCs w:val="24"/>
          <w:lang w:eastAsia="en-US"/>
        </w:rPr>
        <w:t> 62]</w:t>
      </w:r>
    </w:p>
    <w:p w14:paraId="21478A0F" w14:textId="414D217F" w:rsidR="00EB5AC1" w:rsidRPr="00EB5AC1" w:rsidRDefault="00EB5AC1" w:rsidP="00EB5AC1">
      <w:pPr>
        <w:spacing w:before="120" w:after="120" w:line="360" w:lineRule="auto"/>
        <w:ind w:left="850" w:hanging="850"/>
        <w:rPr>
          <w:b/>
          <w:szCs w:val="24"/>
          <w:lang w:eastAsia="en-US"/>
        </w:rPr>
      </w:pPr>
      <w:r w:rsidRPr="00EB5AC1">
        <w:rPr>
          <w:szCs w:val="24"/>
          <w:lang w:eastAsia="en-US"/>
        </w:rPr>
        <w:t>3.</w:t>
      </w:r>
      <w:r w:rsidRPr="00EB5AC1">
        <w:rPr>
          <w:szCs w:val="24"/>
          <w:lang w:eastAsia="en-US"/>
        </w:rPr>
        <w:tab/>
        <w:t>Muntliga förhandlingar inför</w:t>
      </w:r>
      <w:r w:rsidRPr="00EB5AC1">
        <w:rPr>
          <w:b/>
          <w:i/>
          <w:szCs w:val="24"/>
          <w:lang w:eastAsia="en-US"/>
        </w:rPr>
        <w:t xml:space="preserve"> en granskningspanel, en invändningspanel eller</w:t>
      </w:r>
      <w:r w:rsidRPr="00EB5AC1">
        <w:rPr>
          <w:szCs w:val="24"/>
          <w:lang w:eastAsia="en-US"/>
        </w:rPr>
        <w:t xml:space="preserve"> överklagandenämnderna, inbegripet meddelande av beslutet och, i förekommande fall, ett reviderat yttrande</w:t>
      </w:r>
      <w:r w:rsidRPr="00EB5AC1">
        <w:rPr>
          <w:b/>
          <w:i/>
          <w:szCs w:val="24"/>
          <w:lang w:eastAsia="en-US"/>
        </w:rPr>
        <w:t>,</w:t>
      </w:r>
      <w:r w:rsidRPr="00EB5AC1">
        <w:rPr>
          <w:szCs w:val="24"/>
          <w:lang w:eastAsia="en-US"/>
        </w:rPr>
        <w:t xml:space="preserve"> ska vara offentliga, såvida inte</w:t>
      </w:r>
      <w:r w:rsidRPr="00EB5AC1">
        <w:rPr>
          <w:b/>
          <w:i/>
          <w:szCs w:val="24"/>
          <w:lang w:eastAsia="en-US"/>
        </w:rPr>
        <w:t xml:space="preserve"> granskningspanelen, invändningspanelen eller</w:t>
      </w:r>
      <w:r w:rsidRPr="00EB5AC1">
        <w:rPr>
          <w:szCs w:val="24"/>
          <w:lang w:eastAsia="en-US"/>
        </w:rPr>
        <w:t xml:space="preserve"> överklagandenämnderna beslutar något annat i fall </w:t>
      </w:r>
      <w:r w:rsidRPr="00EB5AC1">
        <w:rPr>
          <w:strike/>
          <w:szCs w:val="24"/>
          <w:lang w:eastAsia="en-US"/>
        </w:rPr>
        <w:t>då</w:t>
      </w:r>
      <w:r w:rsidRPr="00EB5AC1">
        <w:rPr>
          <w:b/>
          <w:i/>
          <w:szCs w:val="24"/>
          <w:lang w:eastAsia="en-US"/>
        </w:rPr>
        <w:t>där</w:t>
      </w:r>
      <w:r w:rsidRPr="00EB5AC1">
        <w:rPr>
          <w:szCs w:val="24"/>
          <w:lang w:eastAsia="en-US"/>
        </w:rPr>
        <w:t xml:space="preserve"> allmänhetens </w:t>
      </w:r>
      <w:r w:rsidRPr="00EB5AC1">
        <w:rPr>
          <w:strike/>
          <w:szCs w:val="24"/>
          <w:lang w:eastAsia="en-US"/>
        </w:rPr>
        <w:t>deltagande</w:t>
      </w:r>
      <w:r w:rsidRPr="00EB5AC1">
        <w:rPr>
          <w:b/>
          <w:i/>
          <w:szCs w:val="24"/>
          <w:lang w:eastAsia="en-US"/>
        </w:rPr>
        <w:t>tillträde till hela eller en del av de muntliga förhandlingarna</w:t>
      </w:r>
      <w:r w:rsidRPr="00EB5AC1">
        <w:rPr>
          <w:szCs w:val="24"/>
          <w:lang w:eastAsia="en-US"/>
        </w:rPr>
        <w:t xml:space="preserve"> skulle kunna medföra allvarliga och oskäliga olägenheter, särskilt för någon part i förfarandet.</w:t>
      </w:r>
      <w:r w:rsidRPr="00EB5AC1">
        <w:rPr>
          <w:b/>
          <w:szCs w:val="24"/>
          <w:lang w:eastAsia="en-US"/>
        </w:rPr>
        <w:t xml:space="preserve"> [</w:t>
      </w:r>
      <w:r w:rsidR="001734ED">
        <w:rPr>
          <w:b/>
          <w:szCs w:val="24"/>
          <w:lang w:eastAsia="en-US"/>
        </w:rPr>
        <w:t>Ändr.</w:t>
      </w:r>
      <w:r w:rsidRPr="00EB5AC1">
        <w:rPr>
          <w:b/>
          <w:szCs w:val="24"/>
          <w:lang w:eastAsia="en-US"/>
        </w:rPr>
        <w:t> 63]</w:t>
      </w:r>
    </w:p>
    <w:p w14:paraId="508823C3"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4.</w:t>
      </w:r>
      <w:r w:rsidRPr="00EB5AC1">
        <w:rPr>
          <w:szCs w:val="24"/>
          <w:lang w:eastAsia="en-US"/>
        </w:rPr>
        <w:tab/>
        <w:t>Kommissionen ges befogenhet att anta delegerade akter i enlighet med artikel 55 för att komplettera denna förordning genom att fastställa närmare förfaranden för muntliga förhandlingar.</w:t>
      </w:r>
    </w:p>
    <w:p w14:paraId="11D0CBAB" w14:textId="77777777" w:rsidR="00EB5AC1" w:rsidRPr="00EB5AC1" w:rsidRDefault="00EB5AC1" w:rsidP="00EB5AC1">
      <w:pPr>
        <w:spacing w:before="120" w:after="120" w:line="360" w:lineRule="auto"/>
        <w:jc w:val="center"/>
        <w:rPr>
          <w:szCs w:val="24"/>
          <w:lang w:eastAsia="en-US"/>
        </w:rPr>
      </w:pPr>
      <w:r w:rsidRPr="00EB5AC1">
        <w:rPr>
          <w:szCs w:val="24"/>
          <w:lang w:eastAsia="en-US"/>
        </w:rPr>
        <w:br w:type="page"/>
      </w:r>
      <w:r w:rsidRPr="00EB5AC1">
        <w:rPr>
          <w:szCs w:val="24"/>
          <w:lang w:eastAsia="en-US"/>
        </w:rPr>
        <w:lastRenderedPageBreak/>
        <w:t>Artikel 45</w:t>
      </w:r>
      <w:r w:rsidRPr="00EB5AC1">
        <w:rPr>
          <w:szCs w:val="24"/>
          <w:lang w:eastAsia="en-US"/>
        </w:rPr>
        <w:br/>
        <w:t>Bevisupptagning</w:t>
      </w:r>
    </w:p>
    <w:p w14:paraId="1222166C"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w:t>
      </w:r>
      <w:r w:rsidRPr="00EB5AC1">
        <w:rPr>
          <w:szCs w:val="24"/>
          <w:lang w:eastAsia="en-US"/>
        </w:rPr>
        <w:tab/>
        <w:t>Vid förfarande inför immaterialrättsmyndigheten ska bland annat följande bevismedel vara tillåtna:</w:t>
      </w:r>
    </w:p>
    <w:p w14:paraId="40C2E2A9"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(a)</w:t>
      </w:r>
      <w:r w:rsidRPr="00EB5AC1">
        <w:rPr>
          <w:szCs w:val="24"/>
          <w:lang w:eastAsia="en-US"/>
        </w:rPr>
        <w:tab/>
        <w:t>Hörande av part.</w:t>
      </w:r>
    </w:p>
    <w:p w14:paraId="0F7E346E"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(b)</w:t>
      </w:r>
      <w:r w:rsidRPr="00EB5AC1">
        <w:rPr>
          <w:szCs w:val="24"/>
          <w:lang w:eastAsia="en-US"/>
        </w:rPr>
        <w:tab/>
        <w:t>Begäran om upplysningar.</w:t>
      </w:r>
    </w:p>
    <w:p w14:paraId="77AE1AED"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(c)</w:t>
      </w:r>
      <w:r w:rsidRPr="00EB5AC1">
        <w:rPr>
          <w:szCs w:val="24"/>
          <w:lang w:eastAsia="en-US"/>
        </w:rPr>
        <w:tab/>
        <w:t>Företeende av handlingar och bevis.</w:t>
      </w:r>
    </w:p>
    <w:p w14:paraId="6D4BF46D"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(d)</w:t>
      </w:r>
      <w:r w:rsidRPr="00EB5AC1">
        <w:rPr>
          <w:szCs w:val="24"/>
          <w:lang w:eastAsia="en-US"/>
        </w:rPr>
        <w:tab/>
        <w:t>Hörande av vittnen.</w:t>
      </w:r>
    </w:p>
    <w:p w14:paraId="15ECDD08"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(e)</w:t>
      </w:r>
      <w:r w:rsidRPr="00EB5AC1">
        <w:rPr>
          <w:szCs w:val="24"/>
          <w:lang w:eastAsia="en-US"/>
        </w:rPr>
        <w:tab/>
        <w:t>Sakkunnigutlåtanden.</w:t>
      </w:r>
    </w:p>
    <w:p w14:paraId="3AE830E2"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(f)</w:t>
      </w:r>
      <w:r w:rsidRPr="00EB5AC1">
        <w:rPr>
          <w:szCs w:val="24"/>
          <w:lang w:eastAsia="en-US"/>
        </w:rPr>
        <w:tab/>
        <w:t>Beedigat eller intygat skriftligt utlåtande eller annat skriftligt utlåtande som har liknande rättsverkan enligt lagstiftningen i den medlemsstat där utlåtandet upprättades.</w:t>
      </w:r>
    </w:p>
    <w:p w14:paraId="78A811AF"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2.</w:t>
      </w:r>
      <w:r w:rsidRPr="00EB5AC1">
        <w:rPr>
          <w:szCs w:val="24"/>
          <w:lang w:eastAsia="en-US"/>
        </w:rPr>
        <w:tab/>
        <w:t>Den berörda panelen får uppdra åt en av sina ledamöter att granska den åberopade bevisningen.</w:t>
      </w:r>
    </w:p>
    <w:p w14:paraId="62BB60A1" w14:textId="470AD28A" w:rsidR="00EB5AC1" w:rsidRPr="00EB5AC1" w:rsidRDefault="00EB5AC1" w:rsidP="00EB5AC1">
      <w:pPr>
        <w:spacing w:before="120" w:after="120" w:line="360" w:lineRule="auto"/>
        <w:ind w:left="850" w:hanging="850"/>
        <w:rPr>
          <w:b/>
          <w:szCs w:val="24"/>
          <w:lang w:eastAsia="en-US"/>
        </w:rPr>
      </w:pPr>
      <w:r w:rsidRPr="00EB5AC1">
        <w:rPr>
          <w:szCs w:val="24"/>
          <w:lang w:eastAsia="en-US"/>
        </w:rPr>
        <w:br w:type="page"/>
      </w:r>
      <w:r w:rsidRPr="00EB5AC1">
        <w:rPr>
          <w:szCs w:val="24"/>
          <w:lang w:eastAsia="en-US"/>
        </w:rPr>
        <w:lastRenderedPageBreak/>
        <w:t>3.</w:t>
      </w:r>
      <w:r w:rsidRPr="00EB5AC1">
        <w:rPr>
          <w:szCs w:val="24"/>
          <w:lang w:eastAsia="en-US"/>
        </w:rPr>
        <w:tab/>
        <w:t xml:space="preserve">Om immaterialrättsmyndigheten eller den berörda panelen anser att det är nödvändigt att muntligt höra en part, ett vittne eller en sakkunnig, ska denne kallas att inställa sig. </w:t>
      </w:r>
      <w:r w:rsidRPr="00EB5AC1">
        <w:rPr>
          <w:b/>
          <w:i/>
          <w:szCs w:val="24"/>
          <w:lang w:eastAsia="en-US"/>
        </w:rPr>
        <w:t xml:space="preserve">Om en sakkunnig kallas ska immaterialrättsmyndigheten eller berörd panel, beroende på vad som är tillämpligt, kontrollera att vederbörande inte befinner sig i någon intressekonflikt. </w:t>
      </w:r>
      <w:r w:rsidRPr="00EB5AC1">
        <w:rPr>
          <w:szCs w:val="24"/>
          <w:lang w:eastAsia="en-US"/>
        </w:rPr>
        <w:t>Tidsfristen i en sådan kallelse ska vara minst en månad såvida inte de berörda personerna samtycker till en kortare tid.</w:t>
      </w:r>
      <w:r w:rsidRPr="00EB5AC1">
        <w:rPr>
          <w:b/>
          <w:szCs w:val="24"/>
          <w:lang w:eastAsia="en-US"/>
        </w:rPr>
        <w:t xml:space="preserve"> [</w:t>
      </w:r>
      <w:r w:rsidR="001734ED">
        <w:rPr>
          <w:b/>
          <w:szCs w:val="24"/>
          <w:lang w:eastAsia="en-US"/>
        </w:rPr>
        <w:t>Ändr.</w:t>
      </w:r>
      <w:r w:rsidRPr="00EB5AC1">
        <w:rPr>
          <w:b/>
          <w:szCs w:val="24"/>
          <w:lang w:eastAsia="en-US"/>
        </w:rPr>
        <w:t> 64]</w:t>
      </w:r>
    </w:p>
    <w:p w14:paraId="4976FCA5"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4.</w:t>
      </w:r>
      <w:r w:rsidRPr="00EB5AC1">
        <w:rPr>
          <w:szCs w:val="24"/>
          <w:lang w:eastAsia="en-US"/>
        </w:rPr>
        <w:tab/>
        <w:t>Parterna ska underrättas om hörandet av ett vittne eller en sakkunnig vid immaterialrättsmyndigheten. De ska ha rätt att vara närvarande och att ställa frågor till vittnet eller den sakkunnige.</w:t>
      </w:r>
    </w:p>
    <w:p w14:paraId="74C71EF4"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5.</w:t>
      </w:r>
      <w:r w:rsidRPr="00EB5AC1">
        <w:rPr>
          <w:szCs w:val="24"/>
          <w:lang w:eastAsia="en-US"/>
        </w:rPr>
        <w:tab/>
        <w:t>Den verkställande direktören ska bestämma de belopp för omkostnader, inklusive förskott, som ska betalas med avseende på kostnaderna för sådan bevisupptagning som avses i denna artikel.</w:t>
      </w:r>
    </w:p>
    <w:p w14:paraId="15FB6EC1"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6.</w:t>
      </w:r>
      <w:r w:rsidRPr="00EB5AC1">
        <w:rPr>
          <w:szCs w:val="24"/>
          <w:lang w:eastAsia="en-US"/>
        </w:rPr>
        <w:tab/>
        <w:t>Kommissionen ges befogenhet att anta delegerade akter i enlighet med artikel 55 för att komplettera denna förordning genom att fastställa närmare förfaranden för bevisupptagning.</w:t>
      </w:r>
    </w:p>
    <w:p w14:paraId="69D49C2E" w14:textId="77777777" w:rsidR="00EB5AC1" w:rsidRPr="00EB5AC1" w:rsidRDefault="00EB5AC1" w:rsidP="00EB5AC1">
      <w:pPr>
        <w:spacing w:before="120" w:after="120" w:line="360" w:lineRule="auto"/>
        <w:jc w:val="center"/>
        <w:rPr>
          <w:szCs w:val="24"/>
          <w:lang w:eastAsia="en-US"/>
        </w:rPr>
      </w:pPr>
      <w:r w:rsidRPr="00EB5AC1">
        <w:rPr>
          <w:szCs w:val="24"/>
          <w:lang w:eastAsia="en-US"/>
        </w:rPr>
        <w:br w:type="page"/>
      </w:r>
      <w:r w:rsidRPr="00EB5AC1">
        <w:rPr>
          <w:szCs w:val="24"/>
          <w:lang w:eastAsia="en-US"/>
        </w:rPr>
        <w:lastRenderedPageBreak/>
        <w:t>Artikel 46</w:t>
      </w:r>
      <w:r w:rsidRPr="00EB5AC1">
        <w:rPr>
          <w:szCs w:val="24"/>
          <w:lang w:eastAsia="en-US"/>
        </w:rPr>
        <w:br/>
        <w:t>Underrättelse</w:t>
      </w:r>
    </w:p>
    <w:p w14:paraId="1C788826"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w:t>
      </w:r>
      <w:r w:rsidRPr="00EB5AC1">
        <w:rPr>
          <w:szCs w:val="24"/>
          <w:lang w:eastAsia="en-US"/>
        </w:rPr>
        <w:tab/>
        <w:t>Immaterialrättsmyndigheten ska rutinmässigt underrätta de berörda om alla beslut (inklusive yttranden), kallelser och förelägganden eller andra underrättelser från vilka en tidsfrist ska räknas samt alla underrättelser som de berörda ska underrättas enligt andra bestämmelser i detta kapitel eller i akter som antagits i enlighet med detta kapitel, eller enligt beslut av den verkställande direktören.</w:t>
      </w:r>
    </w:p>
    <w:p w14:paraId="570BE1CF"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2.</w:t>
      </w:r>
      <w:r w:rsidRPr="00EB5AC1">
        <w:rPr>
          <w:szCs w:val="24"/>
          <w:lang w:eastAsia="en-US"/>
        </w:rPr>
        <w:tab/>
        <w:t>Underrättelse får ske via olika medel, bland annat elektroniska medel. Närmare bestämmelser om elektroniska medel ska fastställas av den verkställande direktören.</w:t>
      </w:r>
    </w:p>
    <w:p w14:paraId="7DE2B164"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3.</w:t>
      </w:r>
      <w:r w:rsidRPr="00EB5AC1">
        <w:rPr>
          <w:szCs w:val="24"/>
          <w:lang w:eastAsia="en-US"/>
        </w:rPr>
        <w:tab/>
        <w:t>Om underrättelse ska ske genom offentliggörande ska den verkställande direktören bestämma hur offentliggörandet ska ske och bestämma början av den period på en månad efter vilken dokumentet ska anses ha underrättats.</w:t>
      </w:r>
    </w:p>
    <w:p w14:paraId="7CBC3872"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4.</w:t>
      </w:r>
      <w:r w:rsidRPr="00EB5AC1">
        <w:rPr>
          <w:szCs w:val="24"/>
          <w:lang w:eastAsia="en-US"/>
        </w:rPr>
        <w:tab/>
        <w:t>Kommissionen ges befogenhet att anta delegerade akter i enlighet med artikel 55 för att komplettera denna förordning genom att fastställa närmare förfaranden för underrättelse.</w:t>
      </w:r>
    </w:p>
    <w:p w14:paraId="5BCE55A3" w14:textId="77777777" w:rsidR="00EB5AC1" w:rsidRPr="00EB5AC1" w:rsidRDefault="00EB5AC1" w:rsidP="00EB5AC1">
      <w:pPr>
        <w:spacing w:before="120" w:after="120" w:line="360" w:lineRule="auto"/>
        <w:jc w:val="center"/>
        <w:rPr>
          <w:szCs w:val="24"/>
          <w:lang w:eastAsia="en-US"/>
        </w:rPr>
      </w:pPr>
      <w:r w:rsidRPr="00EB5AC1">
        <w:rPr>
          <w:szCs w:val="24"/>
          <w:lang w:eastAsia="en-US"/>
        </w:rPr>
        <w:br w:type="page"/>
      </w:r>
      <w:r w:rsidRPr="00EB5AC1">
        <w:rPr>
          <w:szCs w:val="24"/>
          <w:lang w:eastAsia="en-US"/>
        </w:rPr>
        <w:lastRenderedPageBreak/>
        <w:t>Artikel 47</w:t>
      </w:r>
      <w:r w:rsidRPr="00EB5AC1">
        <w:rPr>
          <w:szCs w:val="24"/>
          <w:lang w:eastAsia="en-US"/>
        </w:rPr>
        <w:br/>
        <w:t>Tidsfrister</w:t>
      </w:r>
    </w:p>
    <w:p w14:paraId="15B84188"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w:t>
      </w:r>
      <w:r w:rsidRPr="00EB5AC1">
        <w:rPr>
          <w:szCs w:val="24"/>
          <w:lang w:eastAsia="en-US"/>
        </w:rPr>
        <w:tab/>
        <w:t>Tidsfrister ska fastställas som hela år, månader, veckor eller dagar. Beräkningen ska börja dagen efter den dag då den relevanta händelsen inträffade. Tidsfristerna får inte vara kortare än en månad och inte längre än sex månader.</w:t>
      </w:r>
    </w:p>
    <w:p w14:paraId="58B6C6C9"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2.</w:t>
      </w:r>
      <w:r w:rsidRPr="00EB5AC1">
        <w:rPr>
          <w:szCs w:val="24"/>
          <w:lang w:eastAsia="en-US"/>
        </w:rPr>
        <w:tab/>
        <w:t>Den verkställande direktören ska före början av varje kalenderår fastställa de dagar då immaterialrättsmyndigheten inte är öppen för mottagande av handlingar eller då reguljärpost inte delas ut på den ort där immaterialrättsmyndigheten har sitt säte.</w:t>
      </w:r>
    </w:p>
    <w:p w14:paraId="76F4F8B0"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3.</w:t>
      </w:r>
      <w:r w:rsidRPr="00EB5AC1">
        <w:rPr>
          <w:szCs w:val="24"/>
          <w:lang w:eastAsia="en-US"/>
        </w:rPr>
        <w:tab/>
        <w:t>Den verkställande direktören ska fastställa avbrottsperiodens varaktighet i fall av ett allmänt avbrott i postgången i den medlemsstat där immaterialrättsmyndigheten har sitt säte eller i fråga om ett faktiskt avbrott i immaterialrättsmyndighetens anslutning till tillåtna elektroniska kommunikationsmedel.</w:t>
      </w:r>
    </w:p>
    <w:p w14:paraId="2EF578D1"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4.</w:t>
      </w:r>
      <w:r w:rsidRPr="00EB5AC1">
        <w:rPr>
          <w:szCs w:val="24"/>
          <w:lang w:eastAsia="en-US"/>
        </w:rPr>
        <w:tab/>
        <w:t>Om den normala kommunikationen från parterna i förfarandet till immaterialrättsmyndigheten, eller vice versa, avbryts eller störs av exceptionella händelser, som en naturkatastrof eller en strejk, får den verkställande direktören fastställa att, för de parter i förfarandet som har sin bostad eller sitt säte i den berörda medlemsstaten eller som har utsett ett ombud med verksamhet i den berörda medlemsstaten, alla tidsfrister som annars skulle löpa ut den dag eller efter den dag då en sådan händelse inträffade på den verkställande direktörens beslut ska förlängas till ett datum som fastställs av den verkställande direktören. När detta datum fastställs ska den verkställande direktören bedöma när den exceptionella händelsen upphör. Om händelsen berör immaterialrättsmyndighetens säte ska det av den verkställande direktörens fastställande framgå att det är tillämpligt på samtliga parter i förfarandet.</w:t>
      </w:r>
    </w:p>
    <w:p w14:paraId="1A28AD97"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5.</w:t>
      </w:r>
      <w:r w:rsidRPr="00EB5AC1">
        <w:rPr>
          <w:szCs w:val="24"/>
          <w:lang w:eastAsia="en-US"/>
        </w:rPr>
        <w:tab/>
        <w:t>Kommissionen ges befogenhet att anta delegerade akter i enlighet med artikel 55 för att komplettera denna förordning genom att fastställa närmare uppgifter om beräkning och varaktighet av tidsfrister.</w:t>
      </w:r>
    </w:p>
    <w:p w14:paraId="25982E28" w14:textId="77777777" w:rsidR="00EB5AC1" w:rsidRPr="00EB5AC1" w:rsidRDefault="00EB5AC1" w:rsidP="00EB5AC1">
      <w:pPr>
        <w:spacing w:before="120" w:after="120" w:line="360" w:lineRule="auto"/>
        <w:jc w:val="center"/>
        <w:rPr>
          <w:szCs w:val="24"/>
          <w:lang w:eastAsia="en-US"/>
        </w:rPr>
      </w:pPr>
      <w:r w:rsidRPr="00EB5AC1">
        <w:rPr>
          <w:szCs w:val="24"/>
          <w:lang w:eastAsia="en-US"/>
        </w:rPr>
        <w:br w:type="page"/>
      </w:r>
      <w:r w:rsidRPr="00EB5AC1">
        <w:rPr>
          <w:szCs w:val="24"/>
          <w:lang w:eastAsia="en-US"/>
        </w:rPr>
        <w:lastRenderedPageBreak/>
        <w:t>Artikel 48</w:t>
      </w:r>
      <w:r w:rsidRPr="00EB5AC1">
        <w:rPr>
          <w:szCs w:val="24"/>
          <w:lang w:eastAsia="en-US"/>
        </w:rPr>
        <w:br/>
        <w:t>Rättelse av fel och uppenbara förbiseenden</w:t>
      </w:r>
    </w:p>
    <w:p w14:paraId="5A2F8620"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w:t>
      </w:r>
      <w:r w:rsidRPr="00EB5AC1">
        <w:rPr>
          <w:szCs w:val="24"/>
          <w:lang w:eastAsia="en-US"/>
        </w:rPr>
        <w:tab/>
        <w:t>Immaterialrättsmyndigheten ska, på eget initiativ eller på begäran av en part, rätta till språkfel, skrivfel och uppenbara förbiseenden i sina beslut, inbegripet yttranden, eller tekniska fel vid offentliggörandet av information i registret.</w:t>
      </w:r>
    </w:p>
    <w:p w14:paraId="6C397268"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2.</w:t>
      </w:r>
      <w:r w:rsidRPr="00EB5AC1">
        <w:rPr>
          <w:szCs w:val="24"/>
          <w:lang w:eastAsia="en-US"/>
        </w:rPr>
        <w:tab/>
        <w:t>Om immaterialrättsmyndigheten har fört in en uppgift i registret eller fattat ett beslut som är behäftat med ett uppenbart fel som immaterialrättsmyndigheten har gjort, ska den säkerställa att den införda uppgiften tas bort eller att beslutet återkallas. Borttagande av en uppgift i registret eller återkallelse av beslutet ska ske inom ett år från den dag då uppgiften infördes i registret eller beslutet fattades, sedan parterna i ärendet har hörts.</w:t>
      </w:r>
    </w:p>
    <w:p w14:paraId="72E6F87D"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3.</w:t>
      </w:r>
      <w:r w:rsidRPr="00EB5AC1">
        <w:rPr>
          <w:szCs w:val="24"/>
          <w:lang w:eastAsia="en-US"/>
        </w:rPr>
        <w:tab/>
        <w:t>Immaterialrättsmyndigheten ska föra protokoll över sådana rättelser eller borttaganden.</w:t>
      </w:r>
    </w:p>
    <w:p w14:paraId="21D7C53A"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4.</w:t>
      </w:r>
      <w:r w:rsidRPr="00EB5AC1">
        <w:rPr>
          <w:szCs w:val="24"/>
          <w:lang w:eastAsia="en-US"/>
        </w:rPr>
        <w:tab/>
        <w:t>Rättelser och borttaganden ska offentliggöras av immaterialrättsmyndigheten.</w:t>
      </w:r>
    </w:p>
    <w:p w14:paraId="6DB6189C" w14:textId="77777777" w:rsidR="00EB5AC1" w:rsidRPr="00EB5AC1" w:rsidRDefault="00EB5AC1" w:rsidP="00EB5AC1">
      <w:pPr>
        <w:spacing w:before="120" w:after="120" w:line="360" w:lineRule="auto"/>
        <w:jc w:val="center"/>
        <w:rPr>
          <w:szCs w:val="24"/>
          <w:lang w:eastAsia="en-US"/>
        </w:rPr>
      </w:pPr>
      <w:r w:rsidRPr="00EB5AC1">
        <w:rPr>
          <w:szCs w:val="24"/>
          <w:lang w:eastAsia="en-US"/>
        </w:rPr>
        <w:br w:type="page"/>
      </w:r>
      <w:r w:rsidRPr="00EB5AC1">
        <w:rPr>
          <w:szCs w:val="24"/>
          <w:lang w:eastAsia="en-US"/>
        </w:rPr>
        <w:lastRenderedPageBreak/>
        <w:t>Artikel 49</w:t>
      </w:r>
      <w:r w:rsidRPr="00EB5AC1">
        <w:rPr>
          <w:szCs w:val="24"/>
          <w:lang w:eastAsia="en-US"/>
        </w:rPr>
        <w:br/>
        <w:t>Återställande av försutten tid</w:t>
      </w:r>
    </w:p>
    <w:p w14:paraId="7DDB1101"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w:t>
      </w:r>
      <w:r w:rsidRPr="00EB5AC1">
        <w:rPr>
          <w:szCs w:val="24"/>
          <w:lang w:eastAsia="en-US"/>
        </w:rPr>
        <w:tab/>
        <w:t>En sökande eller annan part i ett förfarande vid immaterialrättsmyndigheten enligt detta kapitel som, trots att denne har iakttagit all omsorg som har betingats av omständigheterna, inte har kunnat iaktta en frist i förhållande till immaterialrättsmyndigheten, ska på ansökan därom få sin rätt återställd, om underlåtenheten enligt detta kapitel har haft till omedelbar följd att en rättighet eller rätt att överklaga gått förlorad.</w:t>
      </w:r>
    </w:p>
    <w:p w14:paraId="582848C6"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2.</w:t>
      </w:r>
      <w:r w:rsidRPr="00EB5AC1">
        <w:rPr>
          <w:szCs w:val="24"/>
          <w:lang w:eastAsia="en-US"/>
        </w:rPr>
        <w:tab/>
        <w:t>Ansökan om återställande ska lämnas in skriftligen inom två månader från det att hindret för tidsfristens iakttagande avlägsnats. Den åtgärd som försummats ska vidtas inom denna frist. Ansökan ska endast vara godtagbar inom ett år från utgången av den frist som inte iakttagits.</w:t>
      </w:r>
    </w:p>
    <w:p w14:paraId="1C7CC60C"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3.</w:t>
      </w:r>
      <w:r w:rsidRPr="00EB5AC1">
        <w:rPr>
          <w:szCs w:val="24"/>
          <w:lang w:eastAsia="en-US"/>
        </w:rPr>
        <w:tab/>
        <w:t>I ansökan om återställande ska de skäl som ligger till grund för ansökan och de omständigheter som åberopas till stöd för densamma anges. Den ska inte anses inlämnad förrän avgiften för återställande av rättigheter har betalats.</w:t>
      </w:r>
    </w:p>
    <w:p w14:paraId="79C68655"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4.</w:t>
      </w:r>
      <w:r w:rsidRPr="00EB5AC1">
        <w:rPr>
          <w:szCs w:val="24"/>
          <w:lang w:eastAsia="en-US"/>
        </w:rPr>
        <w:tab/>
        <w:t>Tilläggsskyddsenheten, eller i förekommande fall överklagandenämnderna, ska fatta beslut om ansökan.</w:t>
      </w:r>
    </w:p>
    <w:p w14:paraId="501C7220"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5.</w:t>
      </w:r>
      <w:r w:rsidRPr="00EB5AC1">
        <w:rPr>
          <w:szCs w:val="24"/>
          <w:lang w:eastAsia="en-US"/>
        </w:rPr>
        <w:tab/>
        <w:t>Denna artikel ska inte gälla i fråga om de tidsfrister som anges i punkt 2 i denna artikel eller de som anges i artikel 26.1 och 26.3.</w:t>
      </w:r>
    </w:p>
    <w:p w14:paraId="6E530A37" w14:textId="77777777" w:rsidR="00EB5AC1" w:rsidRPr="00EB5AC1" w:rsidRDefault="00EB5AC1" w:rsidP="00EB5AC1">
      <w:pPr>
        <w:spacing w:before="120" w:after="120" w:line="360" w:lineRule="auto"/>
        <w:jc w:val="center"/>
        <w:rPr>
          <w:szCs w:val="24"/>
          <w:lang w:eastAsia="en-US"/>
        </w:rPr>
      </w:pPr>
      <w:r w:rsidRPr="00EB5AC1">
        <w:rPr>
          <w:szCs w:val="24"/>
          <w:lang w:eastAsia="en-US"/>
        </w:rPr>
        <w:t>Artikel 50</w:t>
      </w:r>
      <w:r w:rsidRPr="00EB5AC1">
        <w:rPr>
          <w:szCs w:val="24"/>
          <w:lang w:eastAsia="en-US"/>
        </w:rPr>
        <w:br/>
        <w:t>Avbrott i förfarandet</w:t>
      </w:r>
    </w:p>
    <w:p w14:paraId="02BBE2F6"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w:t>
      </w:r>
      <w:r w:rsidRPr="00EB5AC1">
        <w:rPr>
          <w:szCs w:val="24"/>
          <w:lang w:eastAsia="en-US"/>
        </w:rPr>
        <w:tab/>
        <w:t>Förfarandet vid immaterialrättsmyndigheten enligt detta kapitel ska avbrytas i följande fall:</w:t>
      </w:r>
    </w:p>
    <w:p w14:paraId="7CFE97F5"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(a)</w:t>
      </w:r>
      <w:r w:rsidRPr="00EB5AC1">
        <w:rPr>
          <w:szCs w:val="24"/>
          <w:lang w:eastAsia="en-US"/>
        </w:rPr>
        <w:tab/>
        <w:t>I händelse av dödsfall eller förlust av den rättsliga handlingsförmågan för sökanden eller för den person som enligt nationell rätt är bemyndigad att agera för dennes räkning. I den utsträckning som dödsfall eller förlust inte påverkar behörigheten för ett sådant ombud som utsetts enligt artikel 38, ska förfarandet avbrytas endast på anmodan av ett sådant ombud.</w:t>
      </w:r>
    </w:p>
    <w:p w14:paraId="4E1892BC"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t>(b)</w:t>
      </w:r>
      <w:r w:rsidRPr="00EB5AC1">
        <w:rPr>
          <w:szCs w:val="24"/>
          <w:lang w:eastAsia="en-US"/>
        </w:rPr>
        <w:tab/>
        <w:t>I händelse av att sökanden förhindras att fortsätta förfarandet vid immaterialrättsmyndigheten på grund av att rättsliga åtgärder har vidtagits mot dennes egendom.</w:t>
      </w:r>
    </w:p>
    <w:p w14:paraId="1FC2031A" w14:textId="77777777" w:rsidR="00EB5AC1" w:rsidRPr="00EB5AC1" w:rsidRDefault="00EB5AC1" w:rsidP="00EB5AC1">
      <w:pPr>
        <w:spacing w:before="120" w:after="120" w:line="360" w:lineRule="auto"/>
        <w:ind w:left="1416" w:hanging="566"/>
        <w:rPr>
          <w:szCs w:val="24"/>
          <w:lang w:eastAsia="en-US"/>
        </w:rPr>
      </w:pPr>
      <w:r w:rsidRPr="00EB5AC1">
        <w:rPr>
          <w:szCs w:val="24"/>
          <w:lang w:eastAsia="en-US"/>
        </w:rPr>
        <w:br w:type="page"/>
      </w:r>
      <w:r w:rsidRPr="00EB5AC1">
        <w:rPr>
          <w:szCs w:val="24"/>
          <w:lang w:eastAsia="en-US"/>
        </w:rPr>
        <w:lastRenderedPageBreak/>
        <w:t>(c)</w:t>
      </w:r>
      <w:r w:rsidRPr="00EB5AC1">
        <w:rPr>
          <w:szCs w:val="24"/>
          <w:lang w:eastAsia="en-US"/>
        </w:rPr>
        <w:tab/>
        <w:t>I händelse av dödsfall eller förlust av den rättsliga handlingsförmågan för ombudet för en sökande eller om ombudet förhindras att fortsätta förfarandet vid immaterialrättsmyndigheten på grund av att rättsliga åtgärder har vidtagits mot ombudets egendom.</w:t>
      </w:r>
    </w:p>
    <w:p w14:paraId="70FDB6E3"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2.</w:t>
      </w:r>
      <w:r w:rsidRPr="00EB5AC1">
        <w:rPr>
          <w:szCs w:val="24"/>
          <w:lang w:eastAsia="en-US"/>
        </w:rPr>
        <w:tab/>
        <w:t>Förfarandet vid immaterialrättsmyndigheten ska återupptas så snart identiteten på den person som är bemyndigad att fortsätta förfarandet har fastställts.</w:t>
      </w:r>
    </w:p>
    <w:p w14:paraId="505E1661"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3.</w:t>
      </w:r>
      <w:r w:rsidRPr="00EB5AC1">
        <w:rPr>
          <w:szCs w:val="24"/>
          <w:lang w:eastAsia="en-US"/>
        </w:rPr>
        <w:tab/>
        <w:t>Kommissionen ges befogenhet att anta delegerade akter i enlighet med artikel 55 för att komplettera denna förordning genom att fastställa närmare förfaranden för återupptagande av förfaranden vid immaterialrättsmyndigheten.</w:t>
      </w:r>
    </w:p>
    <w:p w14:paraId="448D6114" w14:textId="77777777" w:rsidR="00EB5AC1" w:rsidRPr="00EB5AC1" w:rsidRDefault="00EB5AC1" w:rsidP="00EB5AC1">
      <w:pPr>
        <w:spacing w:before="120" w:after="120" w:line="360" w:lineRule="auto"/>
        <w:jc w:val="center"/>
        <w:rPr>
          <w:szCs w:val="24"/>
          <w:lang w:eastAsia="en-US"/>
        </w:rPr>
      </w:pPr>
      <w:r w:rsidRPr="00EB5AC1">
        <w:rPr>
          <w:szCs w:val="24"/>
          <w:lang w:eastAsia="en-US"/>
        </w:rPr>
        <w:br w:type="page"/>
      </w:r>
      <w:r w:rsidRPr="00EB5AC1">
        <w:rPr>
          <w:szCs w:val="24"/>
          <w:lang w:eastAsia="en-US"/>
        </w:rPr>
        <w:lastRenderedPageBreak/>
        <w:t>Artikel 51</w:t>
      </w:r>
      <w:r w:rsidRPr="00EB5AC1">
        <w:rPr>
          <w:szCs w:val="24"/>
          <w:lang w:eastAsia="en-US"/>
        </w:rPr>
        <w:br/>
        <w:t>Kostnader</w:t>
      </w:r>
    </w:p>
    <w:p w14:paraId="7ED20DEF"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w:t>
      </w:r>
      <w:r w:rsidRPr="00EB5AC1">
        <w:rPr>
          <w:szCs w:val="24"/>
          <w:lang w:eastAsia="en-US"/>
        </w:rPr>
        <w:tab/>
        <w:t>Den förlorande parten i invändningsförfaranden, inbegripet i relaterade överklagandeförfaranden, ska bära den andra partens avgifter. Den förlorande parten ska även bära alla den andra partens kostnader som är nödvändiga för förfarandet, däribland kostnader för resor och uppehälle samt ersättning till ett ombud, inom ramen för de maximibelopp som fastställs för varje kostnadskategori i den genomförandeakt som antas i enlighet med punkt 7. De avgifter som ska bäras av den förlorande parten ska begränsas till de avgifter som betalas av den andra parten i dessa förfaranden.</w:t>
      </w:r>
    </w:p>
    <w:p w14:paraId="5B6D8993"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2.</w:t>
      </w:r>
      <w:r w:rsidRPr="00EB5AC1">
        <w:rPr>
          <w:szCs w:val="24"/>
          <w:lang w:eastAsia="en-US"/>
        </w:rPr>
        <w:tab/>
        <w:t>Tilläggsskyddsenheten eller överklagandenämnden ska, om parterna förlorar på vissa punkter och vinner på andra eller om det är motiverat av rättviseskäl, fatta beslut om en annan fördelning av kostnaderna.</w:t>
      </w:r>
    </w:p>
    <w:p w14:paraId="1443C112"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3.</w:t>
      </w:r>
      <w:r w:rsidRPr="00EB5AC1">
        <w:rPr>
          <w:szCs w:val="24"/>
          <w:lang w:eastAsia="en-US"/>
        </w:rPr>
        <w:tab/>
        <w:t>Om förfarandet avslutas ska kostnaderna fördelas efter vad tilläggsskyddsenheten eller överklagandenämnden finner skäligt.</w:t>
      </w:r>
    </w:p>
    <w:p w14:paraId="06527BE7"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4.</w:t>
      </w:r>
      <w:r w:rsidRPr="00EB5AC1">
        <w:rPr>
          <w:szCs w:val="24"/>
          <w:lang w:eastAsia="en-US"/>
        </w:rPr>
        <w:tab/>
        <w:t>Om parterna inför tilläggsskyddsenheten eller överklagandenämnden kommer överens om en annan fördelning av kostnaderna än den som följer av punkterna 1–3, ska den berörda enheten beakta denna överenskommelse.</w:t>
      </w:r>
    </w:p>
    <w:p w14:paraId="2567EE6A"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5.</w:t>
      </w:r>
      <w:r w:rsidRPr="00EB5AC1">
        <w:rPr>
          <w:szCs w:val="24"/>
          <w:lang w:eastAsia="en-US"/>
        </w:rPr>
        <w:tab/>
        <w:t>Tilläggsskyddsenheten eller överklagandenämnden ska fastställa det belopp som ska betalas i enlighet med punkterna 1–3 i denna artikel om de kostnader som ska betalas endast omfattar avgifter till immaterialrättsmyndigheten och kostnader för företrädarna. I alla andra fall ska registratorn vid överklagandenämnden eller tilläggsskyddsenheten på begäran fastställa det belopp som ska återbetalas. Begäran får inte göras senare än två månader från det datum då det beslut för vilket ansökan om fastställande av kostnaderna gjorts har vunnit laga kraft och ska åtföljas av en faktura och styrkande underlag. När det gäller kostnader för ombud ska det räcka med en försäkran från ombudet att kostnaderna har uppkommit. För övriga kostnader ska det vara tillräckligt att de fastställs som rimliga. Om beloppet fastställs enligt första meningen i denna punkt ska kostnaderna för företrädarna utgå på den nivå som fastställs i den genomförandeakt som antagits enligt punkt 7 i den här artikeln, oavsett om de verkligen har uppkommit.</w:t>
      </w:r>
    </w:p>
    <w:p w14:paraId="1F321367"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6.</w:t>
      </w:r>
      <w:r w:rsidRPr="00EB5AC1">
        <w:rPr>
          <w:szCs w:val="24"/>
          <w:lang w:eastAsia="en-US"/>
        </w:rPr>
        <w:tab/>
        <w:t>Beslut om fastställande av kostnader som antas i enlighet med punkt 5 ska ange de skäl som ligger till grund för beslutet och får omprövas efter beslut av tilläggsskyddsenheten eller överklagandenämnden efter en begäran som ska lämnas in inom en månad från datumet för underrättelse om ersättning för kostnader. Begäran ska inte anses ha lämnats in förrän avgiften för omprövning av kostnadsbeloppet har betalats. Tilläggsskyddsenheten eller överklagandenämnden, beroende på vad som är tillämpligt, ska fatta beslut om begäran om omprövning av beslutet om fastställande av kostnader utan muntliga förhandlingar.</w:t>
      </w:r>
    </w:p>
    <w:p w14:paraId="5F1F276A"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7.</w:t>
      </w:r>
      <w:r w:rsidRPr="00EB5AC1">
        <w:rPr>
          <w:szCs w:val="24"/>
          <w:lang w:eastAsia="en-US"/>
        </w:rPr>
        <w:tab/>
        <w:t>Kommissionen ska anta genomförandeakter som fastställer maximinivåerna för de kostnader som är nödvändiga för förfarandet och som faktiskt uppkommit för den vinnande parten. Dessa genomförandeakter ska antas i enlighet med det granskningsförfarande som avses i artikel 56.</w:t>
      </w:r>
    </w:p>
    <w:p w14:paraId="4937F4E9"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8.</w:t>
      </w:r>
      <w:r w:rsidRPr="00EB5AC1">
        <w:rPr>
          <w:szCs w:val="24"/>
          <w:lang w:eastAsia="en-US"/>
        </w:rPr>
        <w:tab/>
        <w:t>Kommissionen ska då den fastställer sådana maximibelopp för kostnader för resor och uppehälle ta hänsyn till avståndet mellan partens, ombudets, vittnets eller den sakkunniges bostad eller driftställe och den plats där den muntliga förhandlingen hålls samt i vilket skede av förfarandet kostnaderna har uppkommit samt, när det gäller kostnader för ombud, behovet av att säkerställa att den andra parten inte av taktiska skäl missbrukar skyldigheten att bära kostnaderna. Kostnader för uppehälle ska dessutom beräknas i enlighet med tjänsteföreskrifterna för tjänstemännen i unionen och anställningsvillkoren för övriga anställda i unionen som fastställs i rådets förordning (EEG, Euratom, EKSG) nr 259/68</w:t>
      </w:r>
      <w:r w:rsidRPr="00EB5AC1">
        <w:rPr>
          <w:szCs w:val="24"/>
          <w:vertAlign w:val="superscript"/>
          <w:lang w:val="en-GB" w:eastAsia="en-US"/>
        </w:rPr>
        <w:footnoteReference w:id="27"/>
      </w:r>
      <w:r w:rsidRPr="00EB5AC1">
        <w:rPr>
          <w:szCs w:val="24"/>
          <w:lang w:eastAsia="en-US"/>
        </w:rPr>
        <w:t>. Den förlorande parten ska bära kostnaderna för en enda part i förfarandet och, i förekommande fall, ett enda ombud.</w:t>
      </w:r>
    </w:p>
    <w:p w14:paraId="02BB5B9A" w14:textId="77777777" w:rsidR="00EB5AC1" w:rsidRPr="00EB5AC1" w:rsidRDefault="00EB5AC1" w:rsidP="00EB5AC1">
      <w:pPr>
        <w:spacing w:before="120" w:after="120" w:line="360" w:lineRule="auto"/>
        <w:jc w:val="center"/>
        <w:rPr>
          <w:szCs w:val="24"/>
          <w:lang w:eastAsia="en-US"/>
        </w:rPr>
      </w:pPr>
      <w:r w:rsidRPr="00EB5AC1">
        <w:rPr>
          <w:szCs w:val="24"/>
          <w:lang w:eastAsia="en-US"/>
        </w:rPr>
        <w:t>Artikel 52</w:t>
      </w:r>
      <w:r w:rsidRPr="00EB5AC1">
        <w:rPr>
          <w:szCs w:val="24"/>
          <w:lang w:eastAsia="en-US"/>
        </w:rPr>
        <w:br/>
        <w:t>Verkställighet av beslut om kostnadsbelopp</w:t>
      </w:r>
    </w:p>
    <w:p w14:paraId="68B5C4F6"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w:t>
      </w:r>
      <w:r w:rsidRPr="00EB5AC1">
        <w:rPr>
          <w:szCs w:val="24"/>
          <w:lang w:eastAsia="en-US"/>
        </w:rPr>
        <w:tab/>
        <w:t>Ett slutligt beslut av immaterialrättsmyndigheten om fastställande av kostnadsbelopp ska verkställas.</w:t>
      </w:r>
    </w:p>
    <w:p w14:paraId="2051FD0B"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2.</w:t>
      </w:r>
      <w:r w:rsidRPr="00EB5AC1">
        <w:rPr>
          <w:szCs w:val="24"/>
          <w:lang w:eastAsia="en-US"/>
        </w:rPr>
        <w:tab/>
        <w:t>Verkställighet ska regleras av de civilrättsliga bestämmelser som gäller i den medlemsstat på vars territorium den äger rum. Varje medlemsstat ska utse en enda myndighet som ansvarar för att pröva äktheten i det beslut som avses i punkt 1 och lämna myndighetens kontaktuppgifter till immaterialrättsmyndigheten, domstolen och kommissionen. Beslutet om verkställighet ska av den myndigheten fogas till beslutet, utan andra formaliteter än prövningen av beslutets äkthet.</w:t>
      </w:r>
    </w:p>
    <w:p w14:paraId="04655A27"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3.</w:t>
      </w:r>
      <w:r w:rsidRPr="00EB5AC1">
        <w:rPr>
          <w:szCs w:val="24"/>
          <w:lang w:eastAsia="en-US"/>
        </w:rPr>
        <w:tab/>
        <w:t>När dessa formkrav har uppfyllts får den berörda parten, efter ansökan, begära verkställighet i enlighet med nationell lagstiftning genom att ansöka direkt hos den behöriga myndigheten.</w:t>
      </w:r>
    </w:p>
    <w:p w14:paraId="3F4044C3"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4.</w:t>
      </w:r>
      <w:r w:rsidRPr="00EB5AC1">
        <w:rPr>
          <w:szCs w:val="24"/>
          <w:lang w:eastAsia="en-US"/>
        </w:rPr>
        <w:tab/>
        <w:t>Verkställigheten får endast skjutas upp genom beslut av domstolen. Domstolarna i den berörda medlemsstaten ska dock vara behöriga beträffande klagomål om att verkställigheten inte genomförs på ett regelrätt sätt.</w:t>
      </w:r>
    </w:p>
    <w:p w14:paraId="1F9AC854" w14:textId="77777777" w:rsidR="00EB5AC1" w:rsidRPr="00EB5AC1" w:rsidRDefault="00EB5AC1" w:rsidP="00EB5AC1">
      <w:pPr>
        <w:spacing w:before="120" w:after="120" w:line="360" w:lineRule="auto"/>
        <w:jc w:val="center"/>
        <w:rPr>
          <w:szCs w:val="24"/>
          <w:lang w:eastAsia="en-US"/>
        </w:rPr>
      </w:pPr>
      <w:r w:rsidRPr="00EB5AC1">
        <w:rPr>
          <w:szCs w:val="24"/>
          <w:lang w:eastAsia="en-US"/>
        </w:rPr>
        <w:br w:type="page"/>
      </w:r>
      <w:r w:rsidRPr="00EB5AC1">
        <w:rPr>
          <w:szCs w:val="24"/>
          <w:lang w:eastAsia="en-US"/>
        </w:rPr>
        <w:lastRenderedPageBreak/>
        <w:t>Artikel 53</w:t>
      </w:r>
      <w:r w:rsidRPr="00EB5AC1">
        <w:rPr>
          <w:szCs w:val="24"/>
          <w:lang w:eastAsia="en-US"/>
        </w:rPr>
        <w:br/>
        <w:t xml:space="preserve">Finansiella bestämmelser </w:t>
      </w:r>
    </w:p>
    <w:p w14:paraId="1004100A"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w:t>
      </w:r>
      <w:r w:rsidRPr="00EB5AC1">
        <w:rPr>
          <w:szCs w:val="24"/>
          <w:lang w:eastAsia="en-US"/>
        </w:rPr>
        <w:tab/>
        <w:t>De utgifter som immaterialrättsmyndigheten har för att utföra de ytterligare arbetsuppgifter som den har i uppdrag att utföra i enlighet med denna förordning ska finansieras med de förfarandeavgifter som ska betalas till immaterialrättsmyndigheten av sökande och vid behov med en andel av de årsavgifter som betalas till behöriga nationella myndigheter av innehavarna av de tilläggsskydd som beviljats enligt kapitel III. Andelen ska inledningsvis ligga på en viss nivå men ska ses över var femte år i syfte att uppnå finansiell hållbarhet för de aktiviteter som utförs av immaterialrättsmyndigheten enligt denna förordning samt förordningarna [COM(2023) 223], [COM(2023) 222] och [COM(2023) 221], i den utsträckning immaterialrättsmyndighetens utgifter inte finansieras av avgifterna i enlighet med dessa förordningar.</w:t>
      </w:r>
    </w:p>
    <w:p w14:paraId="06E81B17"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2.</w:t>
      </w:r>
      <w:r w:rsidRPr="00EB5AC1">
        <w:rPr>
          <w:szCs w:val="24"/>
          <w:lang w:eastAsia="en-US"/>
        </w:rPr>
        <w:tab/>
        <w:t>För tillämpningen av punkt 1 ska varje behörig nationell myndighet bokföra de årsavgifter som innehavarna av de tilläggsskydd som beviljats enligt detta kapitel har betalat till den behöriga nationella myndigheten.</w:t>
      </w:r>
    </w:p>
    <w:p w14:paraId="1163F176"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3.</w:t>
      </w:r>
      <w:r w:rsidRPr="00EB5AC1">
        <w:rPr>
          <w:szCs w:val="24"/>
          <w:lang w:eastAsia="en-US"/>
        </w:rPr>
        <w:tab/>
        <w:t>Kostnaderna för en behörig nationell myndighet som deltar i förfaranden enligt detta kapitel ska täckas av immaterialrättsmyndigheten och ska betalas årsvis utifrån det antal förfaranden som den behöriga nationella myndigheten varit involverad i under det föregående året.</w:t>
      </w:r>
    </w:p>
    <w:p w14:paraId="423306DF"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4.</w:t>
      </w:r>
      <w:r w:rsidRPr="00EB5AC1">
        <w:rPr>
          <w:szCs w:val="24"/>
          <w:lang w:eastAsia="en-US"/>
        </w:rPr>
        <w:tab/>
        <w:t>Kommissionen ges befogenhet att anta genomförandeakter för att fastställa regler om finansiella överföringar mellan immaterialrättsmyndigheten och medlemsstaterna, beloppen för dessa överföringar och den ersättning som ska betalas av immaterialrättsmyndigheten när det gäller deltagande av de behöriga nationella myndigheter som avses i punkt 3. Dessa genomförandeakter ska antas i enlighet med det granskningsförfarande som avses i artikel 56.</w:t>
      </w:r>
    </w:p>
    <w:p w14:paraId="3A9B6C08" w14:textId="77777777" w:rsidR="00EB5AC1" w:rsidRPr="00EB5AC1" w:rsidRDefault="00EB5AC1" w:rsidP="00EB5AC1">
      <w:pPr>
        <w:spacing w:before="120" w:after="120" w:line="360" w:lineRule="auto"/>
        <w:jc w:val="center"/>
        <w:rPr>
          <w:szCs w:val="24"/>
          <w:lang w:eastAsia="en-US"/>
        </w:rPr>
      </w:pPr>
      <w:r w:rsidRPr="00EB5AC1">
        <w:rPr>
          <w:szCs w:val="24"/>
          <w:lang w:eastAsia="en-US"/>
        </w:rPr>
        <w:t>Artikel 54</w:t>
      </w:r>
      <w:r w:rsidRPr="00EB5AC1">
        <w:rPr>
          <w:szCs w:val="24"/>
          <w:lang w:eastAsia="en-US"/>
        </w:rPr>
        <w:br/>
        <w:t>Övergångsbestämmelser</w:t>
      </w:r>
    </w:p>
    <w:p w14:paraId="778C52A2" w14:textId="77777777" w:rsidR="00EB5AC1" w:rsidRPr="00EB5AC1" w:rsidRDefault="00EB5AC1" w:rsidP="00EB5AC1">
      <w:pPr>
        <w:spacing w:before="120" w:after="120" w:line="360" w:lineRule="auto"/>
        <w:rPr>
          <w:szCs w:val="24"/>
          <w:lang w:eastAsia="en-US"/>
        </w:rPr>
      </w:pPr>
      <w:r w:rsidRPr="00EB5AC1">
        <w:rPr>
          <w:szCs w:val="24"/>
          <w:lang w:eastAsia="en-US"/>
        </w:rPr>
        <w:t xml:space="preserve"> Denna förordning ska tillämpas på tilläggsskydd som   beviljats  i enlighet med den nationella lagstiftningen i  Cypern, Estland, Kroatien, Lettland, Litauen, Malta, Polen, Rumänien, Slovakien, Slovenien och Tjeckien  före deras respektive anslutningsdag.</w:t>
      </w:r>
    </w:p>
    <w:p w14:paraId="5D4B07FC" w14:textId="77777777" w:rsidR="00EB5AC1" w:rsidRPr="00EB5AC1" w:rsidRDefault="00EB5AC1" w:rsidP="00EB5AC1">
      <w:pPr>
        <w:spacing w:before="120" w:after="120" w:line="360" w:lineRule="auto"/>
        <w:jc w:val="center"/>
        <w:rPr>
          <w:szCs w:val="24"/>
          <w:lang w:eastAsia="en-US"/>
        </w:rPr>
      </w:pPr>
      <w:r w:rsidRPr="00EB5AC1">
        <w:rPr>
          <w:szCs w:val="24"/>
          <w:lang w:eastAsia="en-US"/>
        </w:rPr>
        <w:br w:type="page"/>
      </w:r>
      <w:r w:rsidRPr="00EB5AC1">
        <w:rPr>
          <w:szCs w:val="24"/>
          <w:lang w:eastAsia="en-US"/>
        </w:rPr>
        <w:lastRenderedPageBreak/>
        <w:t xml:space="preserve">Kapitel IV </w:t>
      </w:r>
      <w:r w:rsidRPr="00EB5AC1">
        <w:rPr>
          <w:szCs w:val="24"/>
          <w:lang w:eastAsia="en-US"/>
        </w:rPr>
        <w:br/>
        <w:t>Slutbestämmelser</w:t>
      </w:r>
    </w:p>
    <w:p w14:paraId="227E478F" w14:textId="77777777" w:rsidR="00EB5AC1" w:rsidRPr="00EB5AC1" w:rsidRDefault="00EB5AC1" w:rsidP="00EB5AC1">
      <w:pPr>
        <w:spacing w:before="120" w:after="120" w:line="360" w:lineRule="auto"/>
        <w:jc w:val="center"/>
        <w:rPr>
          <w:szCs w:val="24"/>
          <w:lang w:eastAsia="en-US"/>
        </w:rPr>
      </w:pPr>
      <w:r w:rsidRPr="00EB5AC1">
        <w:rPr>
          <w:szCs w:val="24"/>
          <w:lang w:eastAsia="en-US"/>
        </w:rPr>
        <w:t>Artikel 55</w:t>
      </w:r>
      <w:r w:rsidRPr="00EB5AC1">
        <w:rPr>
          <w:szCs w:val="24"/>
          <w:lang w:eastAsia="en-US"/>
        </w:rPr>
        <w:br/>
        <w:t>Utövande av delegeringen</w:t>
      </w:r>
    </w:p>
    <w:p w14:paraId="618BF9D6"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w:t>
      </w:r>
      <w:r w:rsidRPr="00EB5AC1">
        <w:rPr>
          <w:szCs w:val="24"/>
          <w:lang w:eastAsia="en-US"/>
        </w:rPr>
        <w:tab/>
        <w:t>Befogenheten att anta delegerade akter ges till kommissionen med förbehåll för de villkor som anges i denna artikel.</w:t>
      </w:r>
    </w:p>
    <w:p w14:paraId="51FC6C1F"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2.</w:t>
      </w:r>
      <w:r w:rsidRPr="00EB5AC1">
        <w:rPr>
          <w:szCs w:val="24"/>
          <w:lang w:eastAsia="en-US"/>
        </w:rPr>
        <w:tab/>
        <w:t>Den befogenhet att anta delegerade akter som avses i artiklarna 26.13, 29.8, 31, 42.2, 44.4, 45.6, 46.4, 47.5 och 50.3 ska ges till kommissionen tills vidare från och med den dag då denna förordning träder i kraft.</w:t>
      </w:r>
    </w:p>
    <w:p w14:paraId="5BCCB1E2"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3.</w:t>
      </w:r>
      <w:r w:rsidRPr="00EB5AC1">
        <w:rPr>
          <w:szCs w:val="24"/>
          <w:lang w:eastAsia="en-US"/>
        </w:rPr>
        <w:tab/>
        <w:t xml:space="preserve">Den delegering av befogenhet som avses i artiklarna 26.13, 29.8, 31, 42.2, 44.4, 45.6, 46.4, 47.5 och 50.3 får när som helst återkallas av Europaparlamentet eller rådet. Ett beslut om återkallelse innebär att delegeringen av den befogenhet som anges i beslutet upphör att gälla. Beslutet får verkan dagen efter det att det offentliggörs i </w:t>
      </w:r>
      <w:r w:rsidRPr="00541BCD">
        <w:rPr>
          <w:i/>
          <w:szCs w:val="24"/>
          <w:lang w:eastAsia="en-US"/>
        </w:rPr>
        <w:t>Europeiska unionens officiella tidning</w:t>
      </w:r>
      <w:r w:rsidRPr="00EB5AC1">
        <w:rPr>
          <w:szCs w:val="24"/>
          <w:lang w:eastAsia="en-US"/>
        </w:rPr>
        <w:t>, eller vid ett senare i beslutet angivet datum. Det påverka</w:t>
      </w:r>
      <w:bookmarkStart w:id="8" w:name="_GoBack"/>
      <w:bookmarkEnd w:id="8"/>
      <w:r w:rsidRPr="00EB5AC1">
        <w:rPr>
          <w:szCs w:val="24"/>
          <w:lang w:eastAsia="en-US"/>
        </w:rPr>
        <w:t>r inte giltigheten av delegerade akter som redan har trätt i kraft.</w:t>
      </w:r>
    </w:p>
    <w:p w14:paraId="56D11606"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4.</w:t>
      </w:r>
      <w:r w:rsidRPr="00EB5AC1">
        <w:rPr>
          <w:szCs w:val="24"/>
          <w:lang w:eastAsia="en-US"/>
        </w:rPr>
        <w:tab/>
        <w:t>Innan kommissionen antar en delegerad akt ska den samråda med experter som utsetts av varje medlemsstat i enlighet med principerna i det interinstitutionella avtalet av den 13 april 2016 om bättre lagstiftning.</w:t>
      </w:r>
    </w:p>
    <w:p w14:paraId="2E46C5BD"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5.</w:t>
      </w:r>
      <w:r w:rsidRPr="00EB5AC1">
        <w:rPr>
          <w:szCs w:val="24"/>
          <w:lang w:eastAsia="en-US"/>
        </w:rPr>
        <w:tab/>
        <w:t>Så snart kommissionen antar en delegerad akt ska den samtidigt underrätta Europaparlamentet och rådet om denna.</w:t>
      </w:r>
    </w:p>
    <w:p w14:paraId="6C1CAA2A"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6.</w:t>
      </w:r>
      <w:r w:rsidRPr="00EB5AC1">
        <w:rPr>
          <w:szCs w:val="24"/>
          <w:lang w:eastAsia="en-US"/>
        </w:rPr>
        <w:tab/>
        <w:t>En delegerad akt som antas enligt artiklarna 26.13, 29.8, 31, 42.2, 44.4, 45.6, 46.4, 47.5 och 50.3 ska träda i kraft endast om varken Europaparlamentet eller rådet har gjort invändningar mot den delegerade akten inom en period på två månader från den dag då akten delgavs Europaparlamentet och rådet, eller om både Europaparlamentet och rådet, före utgången av den perioden, har underrättat kommissionen om att de inte kommer att invända. Denna period ska förlängas med två månader på Europaparlamentets eller rådets initiativ.</w:t>
      </w:r>
    </w:p>
    <w:p w14:paraId="22B90A8A" w14:textId="77777777" w:rsidR="00EB5AC1" w:rsidRPr="00EB5AC1" w:rsidRDefault="00EB5AC1" w:rsidP="00EB5AC1">
      <w:pPr>
        <w:spacing w:before="120" w:after="120" w:line="360" w:lineRule="auto"/>
        <w:jc w:val="center"/>
        <w:rPr>
          <w:szCs w:val="24"/>
          <w:lang w:eastAsia="en-US"/>
        </w:rPr>
      </w:pPr>
      <w:r w:rsidRPr="00EB5AC1">
        <w:rPr>
          <w:szCs w:val="24"/>
          <w:lang w:eastAsia="en-US"/>
        </w:rPr>
        <w:t>Artikel 56</w:t>
      </w:r>
      <w:r w:rsidRPr="00EB5AC1">
        <w:rPr>
          <w:szCs w:val="24"/>
          <w:lang w:eastAsia="en-US"/>
        </w:rPr>
        <w:br/>
        <w:t xml:space="preserve">Kommittéförfarande </w:t>
      </w:r>
    </w:p>
    <w:p w14:paraId="2FD61E96"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w:t>
      </w:r>
      <w:r w:rsidRPr="00EB5AC1">
        <w:rPr>
          <w:szCs w:val="24"/>
          <w:lang w:eastAsia="en-US"/>
        </w:rPr>
        <w:tab/>
        <w:t>Kommissionen ska biträdas av en kommitté för tilläggsskydd. Denna kommitté ska vara en kommitté i den mening som avses i förordning (EU) nr 182/2011.</w:t>
      </w:r>
    </w:p>
    <w:p w14:paraId="44601AC9"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br w:type="page"/>
      </w:r>
      <w:r w:rsidRPr="00EB5AC1">
        <w:rPr>
          <w:szCs w:val="24"/>
          <w:lang w:eastAsia="en-US"/>
        </w:rPr>
        <w:lastRenderedPageBreak/>
        <w:t>2.</w:t>
      </w:r>
      <w:r w:rsidRPr="00EB5AC1">
        <w:rPr>
          <w:szCs w:val="24"/>
          <w:lang w:eastAsia="en-US"/>
        </w:rPr>
        <w:tab/>
        <w:t>När det hänvisas till denna punkt ska artikel 5 i förordning (EU) nr 182/2011 tillämpas.</w:t>
      </w:r>
    </w:p>
    <w:p w14:paraId="35F076FF" w14:textId="77777777" w:rsidR="00EB5AC1" w:rsidRPr="00EB5AC1" w:rsidRDefault="00EB5AC1" w:rsidP="00EB5AC1">
      <w:pPr>
        <w:spacing w:before="120" w:after="120" w:line="360" w:lineRule="auto"/>
        <w:jc w:val="center"/>
        <w:rPr>
          <w:szCs w:val="24"/>
          <w:lang w:eastAsia="en-US"/>
        </w:rPr>
      </w:pPr>
      <w:r w:rsidRPr="00EB5AC1">
        <w:rPr>
          <w:szCs w:val="24"/>
          <w:lang w:eastAsia="en-US"/>
        </w:rPr>
        <w:t>Artikel 57</w:t>
      </w:r>
      <w:r w:rsidRPr="00EB5AC1">
        <w:rPr>
          <w:szCs w:val="24"/>
          <w:lang w:eastAsia="en-US"/>
        </w:rPr>
        <w:br/>
        <w:t>Utvärdering</w:t>
      </w:r>
    </w:p>
    <w:p w14:paraId="6511F6A4" w14:textId="77777777" w:rsidR="00EB5AC1" w:rsidRPr="00EB5AC1" w:rsidRDefault="00EB5AC1" w:rsidP="00EB5AC1">
      <w:pPr>
        <w:spacing w:before="120" w:after="120" w:line="360" w:lineRule="auto"/>
        <w:ind w:left="850" w:hanging="850"/>
        <w:rPr>
          <w:szCs w:val="24"/>
          <w:lang w:eastAsia="en-US"/>
        </w:rPr>
      </w:pPr>
      <w:r w:rsidRPr="00EB5AC1">
        <w:rPr>
          <w:szCs w:val="24"/>
          <w:lang w:eastAsia="en-US"/>
        </w:rPr>
        <w:t>1.</w:t>
      </w:r>
      <w:r w:rsidRPr="00EB5AC1">
        <w:rPr>
          <w:szCs w:val="24"/>
          <w:lang w:eastAsia="en-US"/>
        </w:rPr>
        <w:tab/>
        <w:t>Senast fem år efter det datum som avses i artikel 5.10 och vart femte år därefter ska kommissionen göra en utvärdering av artikel 5.2–5.9 och artikel 11 för att bedöma huruvida målen för dessa bestämmelser har uppnåtts, och lägga fram en rapport om de viktigaste resultaten för Europaparlamentet, rådet och Europeiska ekonomiska och sociala kommittén. Förutom att utvärdera inverkan av undantaget för tillverkning i exportsyfte, ska särskild uppmärksamhet ägnas effekterna av tillverkning för lagring i syfte att saluföra produkten eller det läkemedel som innehåller produkten på medlemsstaternas marknad efter utgången av motsvarande tilläggsskydd, för tillgång till läkemedel och offentliga hälso- och sjukvårdsutgifter samt huruvida undantaget och i synnerhet den period som föreskrivs i artikel 5.2 a iii är tillräcklig för att uppnå de mål som avses i artikel 5, inbegripet folkhälsan.</w:t>
      </w:r>
    </w:p>
    <w:p w14:paraId="7D2FE1E4" w14:textId="053BC3F7" w:rsidR="00EB5AC1" w:rsidRPr="00EB5AC1" w:rsidRDefault="00EB5AC1" w:rsidP="00EB5AC1">
      <w:pPr>
        <w:spacing w:before="120" w:after="120" w:line="360" w:lineRule="auto"/>
        <w:ind w:left="850" w:hanging="850"/>
        <w:rPr>
          <w:b/>
          <w:szCs w:val="24"/>
          <w:lang w:eastAsia="en-US"/>
        </w:rPr>
      </w:pPr>
      <w:r w:rsidRPr="00EB5AC1">
        <w:rPr>
          <w:szCs w:val="24"/>
          <w:lang w:eastAsia="en-US"/>
        </w:rPr>
        <w:br w:type="page"/>
      </w:r>
      <w:r w:rsidRPr="00EB5AC1">
        <w:rPr>
          <w:szCs w:val="24"/>
          <w:lang w:eastAsia="en-US"/>
        </w:rPr>
        <w:lastRenderedPageBreak/>
        <w:t>2.</w:t>
      </w:r>
      <w:r w:rsidRPr="00EB5AC1">
        <w:rPr>
          <w:szCs w:val="24"/>
          <w:lang w:eastAsia="en-US"/>
        </w:rPr>
        <w:tab/>
        <w:t xml:space="preserve">Senast den [Publikationsbyrån: för in datum: fem år efter det att denna förordning börjar tillämpas] och vart femte år därefter ska kommissionen </w:t>
      </w:r>
      <w:r w:rsidRPr="00EB5AC1">
        <w:rPr>
          <w:b/>
          <w:i/>
          <w:szCs w:val="24"/>
          <w:lang w:eastAsia="en-US"/>
        </w:rPr>
        <w:t xml:space="preserve">också </w:t>
      </w:r>
      <w:r w:rsidRPr="00EB5AC1">
        <w:rPr>
          <w:szCs w:val="24"/>
          <w:lang w:eastAsia="en-US"/>
        </w:rPr>
        <w:t>utvärdera tillämpningen av kapitel III</w:t>
      </w:r>
      <w:r w:rsidRPr="00EB5AC1">
        <w:rPr>
          <w:b/>
          <w:i/>
          <w:szCs w:val="24"/>
          <w:lang w:eastAsia="en-US"/>
        </w:rPr>
        <w:t xml:space="preserve"> och förelägga Europaparlamentet, rådet och Europeiska ekonomiska och sociala kommittén en rapport om de viktigaste resultaten</w:t>
      </w:r>
      <w:r w:rsidRPr="00EB5AC1">
        <w:rPr>
          <w:szCs w:val="24"/>
          <w:lang w:eastAsia="en-US"/>
        </w:rPr>
        <w:t>.</w:t>
      </w:r>
      <w:r w:rsidRPr="00EB5AC1">
        <w:rPr>
          <w:b/>
          <w:i/>
          <w:szCs w:val="24"/>
          <w:lang w:eastAsia="en-US"/>
        </w:rPr>
        <w:t xml:space="preserve"> Utvärderingen bör särskilt bedöma om målen för bestämmelserna i det kapitlet har uppnåtts.</w:t>
      </w:r>
      <w:r w:rsidRPr="00EB5AC1">
        <w:rPr>
          <w:b/>
          <w:szCs w:val="24"/>
          <w:lang w:eastAsia="en-US"/>
        </w:rPr>
        <w:t xml:space="preserve"> [</w:t>
      </w:r>
      <w:r w:rsidR="001734ED">
        <w:rPr>
          <w:b/>
          <w:szCs w:val="24"/>
          <w:lang w:eastAsia="en-US"/>
        </w:rPr>
        <w:t>Ändr.</w:t>
      </w:r>
      <w:r w:rsidRPr="00EB5AC1">
        <w:rPr>
          <w:b/>
          <w:szCs w:val="24"/>
          <w:lang w:eastAsia="en-US"/>
        </w:rPr>
        <w:t> 65]</w:t>
      </w:r>
    </w:p>
    <w:p w14:paraId="30F9F2BF" w14:textId="77777777" w:rsidR="00EB5AC1" w:rsidRPr="00EB5AC1" w:rsidRDefault="00EB5AC1" w:rsidP="00EB5AC1">
      <w:pPr>
        <w:spacing w:before="120" w:after="120" w:line="360" w:lineRule="auto"/>
        <w:jc w:val="center"/>
        <w:rPr>
          <w:szCs w:val="24"/>
          <w:lang w:eastAsia="en-US"/>
        </w:rPr>
      </w:pPr>
      <w:r w:rsidRPr="00EB5AC1">
        <w:rPr>
          <w:szCs w:val="24"/>
          <w:lang w:eastAsia="en-US"/>
        </w:rPr>
        <w:t>Artikel 58</w:t>
      </w:r>
      <w:r w:rsidRPr="00EB5AC1">
        <w:rPr>
          <w:szCs w:val="24"/>
          <w:lang w:eastAsia="en-US"/>
        </w:rPr>
        <w:br/>
        <w:t>Övergångsbestämmelser om pågående ansökningar</w:t>
      </w:r>
    </w:p>
    <w:p w14:paraId="7FE25A3B" w14:textId="77777777" w:rsidR="00EB5AC1" w:rsidRPr="00EB5AC1" w:rsidRDefault="00EB5AC1" w:rsidP="00EB5AC1">
      <w:pPr>
        <w:spacing w:before="120" w:after="120" w:line="360" w:lineRule="auto"/>
        <w:rPr>
          <w:szCs w:val="24"/>
          <w:lang w:eastAsia="en-US"/>
        </w:rPr>
      </w:pPr>
      <w:r w:rsidRPr="00EB5AC1">
        <w:rPr>
          <w:szCs w:val="24"/>
          <w:lang w:eastAsia="en-US"/>
        </w:rPr>
        <w:t>Artikel 20.2 ska inte vara tillämplig på de nationella ansökningar om tilläggsskydd vid behöriga nationella myndigheter som håller på att behandlas den xxxxxx [Publikationsbyrån – för in datum: den dag då denna förordning börjar tillämpas] och som uppfyller villkoren i artikel 20.1.</w:t>
      </w:r>
    </w:p>
    <w:p w14:paraId="29AC8943" w14:textId="77777777" w:rsidR="00EB5AC1" w:rsidRPr="00EB5AC1" w:rsidRDefault="00EB5AC1" w:rsidP="00EB5AC1">
      <w:pPr>
        <w:spacing w:before="120" w:after="120" w:line="360" w:lineRule="auto"/>
        <w:jc w:val="center"/>
        <w:rPr>
          <w:szCs w:val="24"/>
          <w:lang w:eastAsia="en-US"/>
        </w:rPr>
      </w:pPr>
      <w:r w:rsidRPr="00EB5AC1">
        <w:rPr>
          <w:szCs w:val="24"/>
          <w:lang w:eastAsia="en-US"/>
        </w:rPr>
        <w:br w:type="page"/>
      </w:r>
      <w:r w:rsidRPr="00EB5AC1">
        <w:rPr>
          <w:szCs w:val="24"/>
          <w:lang w:eastAsia="en-US"/>
        </w:rPr>
        <w:lastRenderedPageBreak/>
        <w:t>Artikel 59</w:t>
      </w:r>
      <w:r w:rsidRPr="00EB5AC1">
        <w:rPr>
          <w:szCs w:val="24"/>
          <w:lang w:eastAsia="en-US"/>
        </w:rPr>
        <w:br/>
        <w:t>Upphävande</w:t>
      </w:r>
    </w:p>
    <w:p w14:paraId="5B1AA4AF" w14:textId="77777777" w:rsidR="00EB5AC1" w:rsidRPr="00EB5AC1" w:rsidRDefault="00EB5AC1" w:rsidP="00EB5AC1">
      <w:pPr>
        <w:spacing w:before="120" w:after="120" w:line="360" w:lineRule="auto"/>
        <w:rPr>
          <w:szCs w:val="24"/>
          <w:lang w:eastAsia="en-US"/>
        </w:rPr>
      </w:pPr>
      <w:r w:rsidRPr="00EB5AC1">
        <w:rPr>
          <w:szCs w:val="24"/>
          <w:lang w:eastAsia="en-US"/>
        </w:rPr>
        <w:t>Förordning  (EG) nr 469/2009   ska upphöra att gälla.</w:t>
      </w:r>
    </w:p>
    <w:p w14:paraId="282CA325" w14:textId="77777777" w:rsidR="00EB5AC1" w:rsidRPr="00EB5AC1" w:rsidRDefault="00EB5AC1" w:rsidP="00EB5AC1">
      <w:pPr>
        <w:spacing w:before="120" w:after="120" w:line="360" w:lineRule="auto"/>
        <w:rPr>
          <w:szCs w:val="24"/>
          <w:lang w:eastAsia="en-US"/>
        </w:rPr>
      </w:pPr>
      <w:r w:rsidRPr="00EB5AC1">
        <w:rPr>
          <w:szCs w:val="24"/>
          <w:lang w:eastAsia="en-US"/>
        </w:rPr>
        <w:t>Hänvisningar till den upphävda förordningen ska anses som hänvisningar till den här förordningen och ska läsas i enlighet med jämförelsetabellen i bilaga IV.</w:t>
      </w:r>
    </w:p>
    <w:p w14:paraId="537B868D" w14:textId="77777777" w:rsidR="00EB5AC1" w:rsidRPr="00EB5AC1" w:rsidRDefault="00EB5AC1" w:rsidP="00EB5AC1">
      <w:pPr>
        <w:spacing w:before="120" w:after="120" w:line="360" w:lineRule="auto"/>
        <w:jc w:val="center"/>
        <w:rPr>
          <w:szCs w:val="24"/>
          <w:lang w:eastAsia="en-US"/>
        </w:rPr>
      </w:pPr>
      <w:r w:rsidRPr="00EB5AC1">
        <w:rPr>
          <w:szCs w:val="24"/>
          <w:lang w:eastAsia="en-US"/>
        </w:rPr>
        <w:t>Artikel 60</w:t>
      </w:r>
      <w:r w:rsidRPr="00EB5AC1">
        <w:rPr>
          <w:szCs w:val="24"/>
          <w:lang w:eastAsia="en-US"/>
        </w:rPr>
        <w:br/>
        <w:t>Ikraftträdande  och tillämpning</w:t>
      </w:r>
    </w:p>
    <w:p w14:paraId="44E5AD55" w14:textId="77777777" w:rsidR="00EB5AC1" w:rsidRPr="00EB5AC1" w:rsidRDefault="00EB5AC1" w:rsidP="00EB5AC1">
      <w:pPr>
        <w:spacing w:before="120" w:after="120" w:line="360" w:lineRule="auto"/>
        <w:rPr>
          <w:szCs w:val="24"/>
          <w:lang w:eastAsia="en-US"/>
        </w:rPr>
      </w:pPr>
      <w:r w:rsidRPr="00EB5AC1">
        <w:rPr>
          <w:szCs w:val="24"/>
          <w:lang w:eastAsia="en-US"/>
        </w:rPr>
        <w:t xml:space="preserve">Denna förordning träder i kraft den tjugonde dagen efter det att den har offentliggjorts i </w:t>
      </w:r>
      <w:r w:rsidRPr="00541BCD">
        <w:rPr>
          <w:i/>
          <w:szCs w:val="24"/>
          <w:lang w:eastAsia="en-US"/>
        </w:rPr>
        <w:t>Europeiska unionens officiella tidning</w:t>
      </w:r>
      <w:r w:rsidRPr="00EB5AC1">
        <w:rPr>
          <w:szCs w:val="24"/>
          <w:lang w:eastAsia="en-US"/>
        </w:rPr>
        <w:t>.</w:t>
      </w:r>
    </w:p>
    <w:p w14:paraId="3A37751D" w14:textId="77777777" w:rsidR="00EB5AC1" w:rsidRPr="00EB5AC1" w:rsidRDefault="00EB5AC1" w:rsidP="00EB5AC1">
      <w:pPr>
        <w:spacing w:before="120" w:after="120" w:line="360" w:lineRule="auto"/>
        <w:rPr>
          <w:szCs w:val="24"/>
          <w:lang w:eastAsia="en-US"/>
        </w:rPr>
      </w:pPr>
      <w:r w:rsidRPr="00EB5AC1">
        <w:rPr>
          <w:szCs w:val="24"/>
          <w:lang w:eastAsia="en-US"/>
        </w:rPr>
        <w:t>Artiklarna 20–53 och 55–57 ska tillämpas från och med den xxxxx [Publikationsbyrån: för in datum: första dagen i den tolfte månaden efter ikraftträdandet].</w:t>
      </w:r>
    </w:p>
    <w:p w14:paraId="7C94AE33" w14:textId="77777777" w:rsidR="00EB5AC1" w:rsidRPr="00EB5AC1" w:rsidRDefault="00EB5AC1" w:rsidP="00EB5AC1">
      <w:pPr>
        <w:spacing w:before="120" w:after="120" w:line="360" w:lineRule="auto"/>
        <w:rPr>
          <w:szCs w:val="24"/>
          <w:lang w:eastAsia="en-US"/>
        </w:rPr>
      </w:pPr>
      <w:r w:rsidRPr="00EB5AC1">
        <w:rPr>
          <w:szCs w:val="24"/>
          <w:lang w:eastAsia="en-US"/>
        </w:rPr>
        <w:t>Denna förordning är till alla delar bindande och direkt tillämplig i alla medlemsstater.</w:t>
      </w:r>
    </w:p>
    <w:p w14:paraId="6EEBE478" w14:textId="7CED1133" w:rsidR="00EB5AC1" w:rsidRPr="00EB5AC1" w:rsidRDefault="00EB5AC1" w:rsidP="00EB5AC1">
      <w:pPr>
        <w:keepNext/>
        <w:widowControl/>
        <w:spacing w:before="120" w:line="360" w:lineRule="auto"/>
        <w:rPr>
          <w:szCs w:val="24"/>
          <w:lang w:eastAsia="en-US"/>
        </w:rPr>
      </w:pPr>
      <w:r w:rsidRPr="00EB5AC1">
        <w:rPr>
          <w:szCs w:val="24"/>
          <w:lang w:eastAsia="en-US"/>
        </w:rPr>
        <w:t xml:space="preserve">Utfärdad i </w:t>
      </w:r>
      <w:r w:rsidR="00541BCD">
        <w:rPr>
          <w:szCs w:val="24"/>
          <w:lang w:eastAsia="en-US"/>
        </w:rPr>
        <w:t>…</w:t>
      </w:r>
      <w:r w:rsidRPr="00EB5AC1">
        <w:rPr>
          <w:szCs w:val="24"/>
          <w:lang w:eastAsia="en-US"/>
        </w:rPr>
        <w:t xml:space="preserve"> den</w:t>
      </w:r>
    </w:p>
    <w:p w14:paraId="6AA8B8DE" w14:textId="77777777" w:rsidR="00EB5AC1" w:rsidRPr="00EB5AC1" w:rsidRDefault="00EB5AC1" w:rsidP="00EB5AC1">
      <w:pPr>
        <w:keepNext/>
        <w:widowControl/>
        <w:tabs>
          <w:tab w:val="left" w:pos="4252"/>
        </w:tabs>
        <w:spacing w:before="720" w:after="100" w:line="360" w:lineRule="auto"/>
        <w:jc w:val="both"/>
        <w:rPr>
          <w:i/>
          <w:szCs w:val="24"/>
          <w:lang w:eastAsia="en-US"/>
        </w:rPr>
      </w:pPr>
      <w:r w:rsidRPr="00EB5AC1">
        <w:rPr>
          <w:i/>
          <w:szCs w:val="24"/>
          <w:lang w:eastAsia="en-US"/>
        </w:rPr>
        <w:t>På Europaparlamentets vägnar</w:t>
      </w:r>
      <w:r w:rsidRPr="00EB5AC1">
        <w:rPr>
          <w:i/>
          <w:szCs w:val="24"/>
          <w:lang w:eastAsia="en-US"/>
        </w:rPr>
        <w:tab/>
        <w:t>På rådets vägnar</w:t>
      </w:r>
    </w:p>
    <w:p w14:paraId="65C8FE6E" w14:textId="77777777" w:rsidR="00EB5AC1" w:rsidRPr="00EB5AC1" w:rsidRDefault="00EB5AC1" w:rsidP="00EB5AC1">
      <w:pPr>
        <w:widowControl/>
        <w:tabs>
          <w:tab w:val="left" w:pos="4252"/>
        </w:tabs>
        <w:spacing w:line="360" w:lineRule="auto"/>
        <w:rPr>
          <w:i/>
          <w:szCs w:val="24"/>
          <w:lang w:eastAsia="en-US"/>
        </w:rPr>
      </w:pPr>
      <w:r w:rsidRPr="00EB5AC1">
        <w:rPr>
          <w:i/>
          <w:szCs w:val="24"/>
          <w:lang w:eastAsia="en-US"/>
        </w:rPr>
        <w:t>Ordförande</w:t>
      </w:r>
      <w:r w:rsidRPr="00EB5AC1">
        <w:rPr>
          <w:i/>
          <w:szCs w:val="24"/>
          <w:lang w:eastAsia="en-US"/>
        </w:rPr>
        <w:tab/>
        <w:t>Ordförande</w:t>
      </w:r>
    </w:p>
    <w:p w14:paraId="6AD59D5F" w14:textId="77777777" w:rsidR="00EB5AC1" w:rsidRPr="00EB5AC1" w:rsidRDefault="00EB5AC1" w:rsidP="00EB5AC1">
      <w:pPr>
        <w:spacing w:before="120" w:after="120" w:line="360" w:lineRule="auto"/>
        <w:rPr>
          <w:szCs w:val="24"/>
          <w:lang w:eastAsia="en-US"/>
        </w:rPr>
        <w:sectPr w:rsidR="00EB5AC1" w:rsidRPr="00EB5AC1">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14:paraId="2003366E" w14:textId="77777777" w:rsidR="00EB5AC1" w:rsidRPr="00EB5AC1" w:rsidRDefault="00EB5AC1" w:rsidP="00EB5AC1">
      <w:pPr>
        <w:spacing w:before="120" w:after="120" w:line="360" w:lineRule="auto"/>
        <w:rPr>
          <w:szCs w:val="24"/>
          <w:lang w:eastAsia="en-US"/>
        </w:rPr>
      </w:pPr>
    </w:p>
    <w:p w14:paraId="364BE99C" w14:textId="77777777" w:rsidR="00EB5AC1" w:rsidRPr="00EB5AC1" w:rsidRDefault="00EB5AC1" w:rsidP="00EB5AC1">
      <w:pPr>
        <w:spacing w:before="120" w:after="120" w:line="360" w:lineRule="auto"/>
        <w:jc w:val="center"/>
        <w:rPr>
          <w:lang w:eastAsia="en-US"/>
        </w:rPr>
      </w:pPr>
      <w:r w:rsidRPr="00EB5AC1">
        <w:rPr>
          <w:lang w:eastAsia="en-US"/>
        </w:rPr>
        <w:t>BILAGA I</w:t>
      </w:r>
    </w:p>
    <w:p w14:paraId="194DE2BC" w14:textId="77777777" w:rsidR="00EB5AC1" w:rsidRPr="00EB5AC1" w:rsidRDefault="00EB5AC1" w:rsidP="00EB5AC1">
      <w:pPr>
        <w:spacing w:before="120" w:after="120" w:line="360" w:lineRule="auto"/>
        <w:rPr>
          <w:szCs w:val="24"/>
          <w:lang w:eastAsia="en-US"/>
        </w:rPr>
      </w:pPr>
      <w:r w:rsidRPr="00EB5AC1">
        <w:rPr>
          <w:szCs w:val="24"/>
          <w:lang w:eastAsia="en-US"/>
        </w:rPr>
        <w:t>Upphävd förordning och   ändringen av denna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328"/>
        <w:gridCol w:w="2737"/>
      </w:tblGrid>
      <w:tr w:rsidR="00EB5AC1" w:rsidRPr="00EB5AC1" w14:paraId="161B69E1" w14:textId="77777777" w:rsidTr="00EB5AC1">
        <w:trPr>
          <w:tblHeader/>
        </w:trPr>
        <w:tc>
          <w:tcPr>
            <w:tcW w:w="0" w:type="auto"/>
          </w:tcPr>
          <w:p w14:paraId="5C0010B3" w14:textId="77777777" w:rsidR="00EB5AC1" w:rsidRPr="00EB5AC1" w:rsidRDefault="00EB5AC1" w:rsidP="00EB5AC1">
            <w:pPr>
              <w:spacing w:before="120" w:after="120" w:line="360" w:lineRule="auto"/>
              <w:rPr>
                <w:szCs w:val="24"/>
                <w:lang w:eastAsia="en-US"/>
              </w:rPr>
            </w:pPr>
            <w:r w:rsidRPr="00EB5AC1">
              <w:rPr>
                <w:szCs w:val="24"/>
                <w:lang w:eastAsia="en-US"/>
              </w:rPr>
              <w:t>Europaparlamentets och rådets förordning (EG) nr 469/2009 (EUT L 152, 16.6.2009, s. 1)</w:t>
            </w:r>
          </w:p>
        </w:tc>
        <w:tc>
          <w:tcPr>
            <w:tcW w:w="0" w:type="auto"/>
          </w:tcPr>
          <w:p w14:paraId="098D8B08" w14:textId="77777777" w:rsidR="00EB5AC1" w:rsidRPr="00EB5AC1" w:rsidRDefault="00EB5AC1" w:rsidP="00EB5AC1">
            <w:pPr>
              <w:spacing w:before="120" w:after="120" w:line="360" w:lineRule="auto"/>
              <w:rPr>
                <w:szCs w:val="24"/>
                <w:lang w:eastAsia="en-US"/>
              </w:rPr>
            </w:pPr>
          </w:p>
        </w:tc>
      </w:tr>
      <w:tr w:rsidR="00EB5AC1" w:rsidRPr="00EB5AC1" w14:paraId="199392AF" w14:textId="77777777" w:rsidTr="00EB5AC1">
        <w:tc>
          <w:tcPr>
            <w:tcW w:w="0" w:type="auto"/>
          </w:tcPr>
          <w:p w14:paraId="34B9AA84" w14:textId="77777777" w:rsidR="00EB5AC1" w:rsidRPr="00EB5AC1" w:rsidRDefault="00EB5AC1" w:rsidP="00EB5AC1">
            <w:pPr>
              <w:spacing w:before="120" w:after="120" w:line="360" w:lineRule="auto"/>
              <w:rPr>
                <w:szCs w:val="24"/>
                <w:lang w:eastAsia="en-US"/>
              </w:rPr>
            </w:pPr>
            <w:r w:rsidRPr="00EB5AC1">
              <w:rPr>
                <w:szCs w:val="24"/>
                <w:lang w:eastAsia="en-US"/>
              </w:rPr>
              <w:t>Europaparlamentets och rådets förordning (EU) 2019/933 (EUT L 153, 11.6.2019, s. 1)</w:t>
            </w:r>
          </w:p>
        </w:tc>
        <w:tc>
          <w:tcPr>
            <w:tcW w:w="0" w:type="auto"/>
          </w:tcPr>
          <w:p w14:paraId="51CF5242" w14:textId="77777777" w:rsidR="00EB5AC1" w:rsidRPr="00EB5AC1" w:rsidRDefault="00EB5AC1" w:rsidP="00EB5AC1">
            <w:pPr>
              <w:spacing w:before="120" w:after="120" w:line="360" w:lineRule="auto"/>
              <w:rPr>
                <w:szCs w:val="24"/>
                <w:lang w:eastAsia="en-US"/>
              </w:rPr>
            </w:pPr>
          </w:p>
        </w:tc>
      </w:tr>
      <w:tr w:rsidR="00EB5AC1" w:rsidRPr="00EB5AC1" w14:paraId="33A69816" w14:textId="77777777" w:rsidTr="00EB5AC1">
        <w:tc>
          <w:tcPr>
            <w:tcW w:w="0" w:type="auto"/>
          </w:tcPr>
          <w:p w14:paraId="4D6EFBD8" w14:textId="77777777" w:rsidR="00EB5AC1" w:rsidRPr="00EB5AC1" w:rsidRDefault="00EB5AC1" w:rsidP="00EB5AC1">
            <w:pPr>
              <w:spacing w:before="120" w:after="120" w:line="360" w:lineRule="auto"/>
              <w:rPr>
                <w:szCs w:val="24"/>
                <w:lang w:val="en-GB" w:eastAsia="en-US"/>
              </w:rPr>
            </w:pPr>
            <w:r w:rsidRPr="00EB5AC1">
              <w:rPr>
                <w:szCs w:val="24"/>
                <w:lang w:val="en-GB" w:eastAsia="en-US"/>
              </w:rPr>
              <w:t>2012 års anslutningsakt (EUT L 112, 24.2.2012, s. 21)</w:t>
            </w:r>
          </w:p>
        </w:tc>
        <w:tc>
          <w:tcPr>
            <w:tcW w:w="0" w:type="auto"/>
          </w:tcPr>
          <w:p w14:paraId="35C0771E" w14:textId="77777777" w:rsidR="00EB5AC1" w:rsidRPr="00EB5AC1" w:rsidRDefault="00EB5AC1" w:rsidP="00EB5AC1">
            <w:pPr>
              <w:spacing w:before="120" w:after="120" w:line="360" w:lineRule="auto"/>
              <w:rPr>
                <w:szCs w:val="24"/>
                <w:lang w:val="en-GB" w:eastAsia="en-US"/>
              </w:rPr>
            </w:pPr>
            <w:r w:rsidRPr="00EB5AC1">
              <w:rPr>
                <w:szCs w:val="24"/>
                <w:lang w:val="en-GB" w:eastAsia="en-US"/>
              </w:rPr>
              <w:t xml:space="preserve"> Endast punkt 1.2.II.2 i bilaga III</w:t>
            </w:r>
          </w:p>
        </w:tc>
      </w:tr>
    </w:tbl>
    <w:p w14:paraId="192543D5" w14:textId="77777777" w:rsidR="00EB5AC1" w:rsidRPr="00EB5AC1" w:rsidRDefault="00EB5AC1" w:rsidP="00EB5AC1">
      <w:pPr>
        <w:spacing w:before="120" w:after="120" w:line="360" w:lineRule="auto"/>
        <w:rPr>
          <w:szCs w:val="24"/>
          <w:lang w:val="en-GB" w:eastAsia="en-US"/>
        </w:rPr>
        <w:sectPr w:rsidR="00EB5AC1" w:rsidRPr="00EB5AC1">
          <w:pgSz w:w="11909" w:h="16834"/>
          <w:pgMar w:top="1134" w:right="1417" w:bottom="1417" w:left="1417" w:header="1134" w:footer="567" w:gutter="0"/>
          <w:cols w:space="720"/>
        </w:sectPr>
      </w:pPr>
    </w:p>
    <w:p w14:paraId="45A812ED" w14:textId="77777777" w:rsidR="00EB5AC1" w:rsidRPr="00EB5AC1" w:rsidRDefault="00EB5AC1" w:rsidP="00EB5AC1">
      <w:pPr>
        <w:spacing w:before="120" w:after="120" w:line="360" w:lineRule="auto"/>
        <w:rPr>
          <w:szCs w:val="24"/>
          <w:lang w:val="en-GB" w:eastAsia="en-US"/>
        </w:rPr>
      </w:pPr>
    </w:p>
    <w:p w14:paraId="5BEAF20D" w14:textId="77777777" w:rsidR="00EB5AC1" w:rsidRPr="00EB5AC1" w:rsidRDefault="00EB5AC1" w:rsidP="00EB5AC1">
      <w:pPr>
        <w:spacing w:before="120" w:after="120" w:line="360" w:lineRule="auto"/>
        <w:jc w:val="center"/>
        <w:rPr>
          <w:lang w:val="en-GB" w:eastAsia="en-US"/>
        </w:rPr>
      </w:pPr>
      <w:r w:rsidRPr="00EB5AC1">
        <w:rPr>
          <w:lang w:val="en-GB" w:eastAsia="en-US"/>
        </w:rPr>
        <w:t>BILAGA II</w:t>
      </w:r>
    </w:p>
    <w:p w14:paraId="5F54C266" w14:textId="77777777" w:rsidR="00EB5AC1" w:rsidRPr="00EB5AC1" w:rsidRDefault="00EB5AC1" w:rsidP="00EB5AC1">
      <w:pPr>
        <w:spacing w:before="120" w:after="120" w:line="360" w:lineRule="auto"/>
        <w:rPr>
          <w:szCs w:val="24"/>
          <w:lang w:val="en-GB" w:eastAsia="en-US"/>
        </w:rPr>
      </w:pPr>
      <w:r w:rsidRPr="00EB5AC1">
        <w:rPr>
          <w:szCs w:val="24"/>
          <w:lang w:val="en-GB" w:eastAsia="en-US"/>
        </w:rPr>
        <w:t>Logotyp</w:t>
      </w:r>
    </w:p>
    <w:p w14:paraId="51B2AF8D" w14:textId="77777777" w:rsidR="00EB5AC1" w:rsidRPr="00EB5AC1" w:rsidRDefault="00EB5AC1" w:rsidP="00EB5AC1">
      <w:pPr>
        <w:spacing w:before="120" w:after="120" w:line="360" w:lineRule="auto"/>
        <w:rPr>
          <w:szCs w:val="24"/>
          <w:lang w:eastAsia="en-US"/>
        </w:rPr>
      </w:pPr>
      <w:r w:rsidRPr="00EB5AC1">
        <w:rPr>
          <w:szCs w:val="24"/>
          <w:lang w:eastAsia="en-US"/>
        </w:rPr>
        <w:t>Denna logotyp ska tryckas i svart och i en storlek så att den är tillräckligt synlig.</w:t>
      </w:r>
    </w:p>
    <w:p w14:paraId="4F058EA9" w14:textId="77777777" w:rsidR="00EB5AC1" w:rsidRDefault="007348B1" w:rsidP="00277D77">
      <w:pPr>
        <w:spacing w:before="120" w:after="120" w:line="360" w:lineRule="auto"/>
        <w:jc w:val="center"/>
        <w:rPr>
          <w:szCs w:val="24"/>
          <w:lang w:eastAsia="en-US"/>
        </w:rPr>
      </w:pPr>
      <w:r w:rsidRPr="00B70430">
        <w:rPr>
          <w:noProof/>
          <w:lang w:val="en-GB"/>
        </w:rPr>
        <w:drawing>
          <wp:inline distT="0" distB="0" distL="0" distR="0" wp14:anchorId="197BE8A3" wp14:editId="41987DE5">
            <wp:extent cx="2208864" cy="1462087"/>
            <wp:effectExtent l="0" t="0" r="127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2357" t="8235" r="13767" b="4838"/>
                    <a:stretch/>
                  </pic:blipFill>
                  <pic:spPr bwMode="auto">
                    <a:xfrm>
                      <a:off x="0" y="0"/>
                      <a:ext cx="2208864" cy="1462087"/>
                    </a:xfrm>
                    <a:prstGeom prst="rect">
                      <a:avLst/>
                    </a:prstGeom>
                    <a:ln>
                      <a:noFill/>
                    </a:ln>
                    <a:extLst>
                      <a:ext uri="{53640926-AAD7-44D8-BBD7-CCE9431645EC}">
                        <a14:shadowObscured xmlns:a14="http://schemas.microsoft.com/office/drawing/2010/main"/>
                      </a:ext>
                    </a:extLst>
                  </pic:spPr>
                </pic:pic>
              </a:graphicData>
            </a:graphic>
          </wp:inline>
        </w:drawing>
      </w:r>
    </w:p>
    <w:p w14:paraId="233ECC74" w14:textId="77777777" w:rsidR="007348B1" w:rsidRDefault="007348B1" w:rsidP="00EB5AC1">
      <w:pPr>
        <w:spacing w:before="120" w:after="120" w:line="360" w:lineRule="auto"/>
        <w:rPr>
          <w:szCs w:val="24"/>
          <w:lang w:eastAsia="en-US"/>
        </w:rPr>
      </w:pPr>
    </w:p>
    <w:p w14:paraId="3B363690" w14:textId="77777777" w:rsidR="007348B1" w:rsidRPr="00EB5AC1" w:rsidRDefault="007348B1" w:rsidP="00EB5AC1">
      <w:pPr>
        <w:spacing w:before="120" w:after="120" w:line="360" w:lineRule="auto"/>
        <w:rPr>
          <w:szCs w:val="24"/>
          <w:lang w:eastAsia="en-US"/>
        </w:rPr>
        <w:sectPr w:rsidR="007348B1" w:rsidRPr="00EB5AC1">
          <w:pgSz w:w="11909" w:h="16834"/>
          <w:pgMar w:top="1134" w:right="1417" w:bottom="1417" w:left="1417" w:header="1134" w:footer="567" w:gutter="0"/>
          <w:cols w:space="720"/>
        </w:sectPr>
      </w:pPr>
    </w:p>
    <w:p w14:paraId="29D80389" w14:textId="77777777" w:rsidR="00EB5AC1" w:rsidRPr="00EB5AC1" w:rsidRDefault="00EB5AC1" w:rsidP="00EB5AC1">
      <w:pPr>
        <w:spacing w:before="120" w:after="120" w:line="360" w:lineRule="auto"/>
        <w:rPr>
          <w:szCs w:val="24"/>
          <w:lang w:eastAsia="en-US"/>
        </w:rPr>
      </w:pPr>
    </w:p>
    <w:p w14:paraId="5F0C74B6" w14:textId="77777777" w:rsidR="00EB5AC1" w:rsidRPr="00EB5AC1" w:rsidRDefault="00EB5AC1" w:rsidP="00EB5AC1">
      <w:pPr>
        <w:spacing w:before="120" w:after="120" w:line="360" w:lineRule="auto"/>
        <w:jc w:val="center"/>
        <w:rPr>
          <w:lang w:eastAsia="en-US"/>
        </w:rPr>
      </w:pPr>
      <w:r w:rsidRPr="00EB5AC1">
        <w:rPr>
          <w:lang w:eastAsia="en-US"/>
        </w:rPr>
        <w:t>BILAGA III</w:t>
      </w:r>
    </w:p>
    <w:p w14:paraId="7BE65111" w14:textId="77777777" w:rsidR="00EB5AC1" w:rsidRPr="00EB5AC1" w:rsidRDefault="00EB5AC1" w:rsidP="00EB5AC1">
      <w:pPr>
        <w:spacing w:before="120" w:after="120" w:line="360" w:lineRule="auto"/>
        <w:rPr>
          <w:szCs w:val="24"/>
          <w:lang w:eastAsia="en-US"/>
        </w:rPr>
      </w:pPr>
      <w:r w:rsidRPr="00EB5AC1">
        <w:rPr>
          <w:szCs w:val="24"/>
          <w:lang w:eastAsia="en-US"/>
        </w:rPr>
        <w:t>Standardformulär för underrättelse enligt artikel 5.2 b och 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156"/>
        <w:gridCol w:w="3223"/>
        <w:gridCol w:w="686"/>
      </w:tblGrid>
      <w:tr w:rsidR="00EB5AC1" w:rsidRPr="00EB5AC1" w14:paraId="66E0AABD" w14:textId="77777777" w:rsidTr="00EB5AC1">
        <w:trPr>
          <w:tblHeader/>
        </w:trPr>
        <w:tc>
          <w:tcPr>
            <w:tcW w:w="0" w:type="auto"/>
          </w:tcPr>
          <w:p w14:paraId="4DC0E90B" w14:textId="77777777" w:rsidR="00EB5AC1" w:rsidRPr="00EB5AC1" w:rsidRDefault="00EB5AC1" w:rsidP="00EB5AC1">
            <w:pPr>
              <w:spacing w:before="120" w:after="120" w:line="360" w:lineRule="auto"/>
              <w:rPr>
                <w:szCs w:val="24"/>
                <w:lang w:eastAsia="en-US"/>
              </w:rPr>
            </w:pPr>
            <w:r w:rsidRPr="00EB5AC1">
              <w:rPr>
                <w:szCs w:val="24"/>
                <w:lang w:eastAsia="en-US"/>
              </w:rPr>
              <w:t>Kryssa för i lämplig ruta.</w:t>
            </w:r>
          </w:p>
        </w:tc>
        <w:tc>
          <w:tcPr>
            <w:tcW w:w="0" w:type="auto"/>
            <w:gridSpan w:val="2"/>
          </w:tcPr>
          <w:p w14:paraId="7CB92C2D" w14:textId="77777777" w:rsidR="00EB5AC1" w:rsidRPr="00EB5AC1" w:rsidRDefault="00EB5AC1" w:rsidP="00EB5AC1">
            <w:pPr>
              <w:spacing w:before="120" w:after="120" w:line="360" w:lineRule="auto"/>
              <w:rPr>
                <w:szCs w:val="24"/>
                <w:lang w:eastAsia="en-US"/>
              </w:rPr>
            </w:pPr>
            <w:r w:rsidRPr="00EB5AC1">
              <w:rPr>
                <w:szCs w:val="24"/>
                <w:lang w:eastAsia="en-US"/>
              </w:rPr>
              <w:t>□ Ny underrättelse □ Uppdatering av en befintlig underrättelse</w:t>
            </w:r>
          </w:p>
        </w:tc>
      </w:tr>
      <w:tr w:rsidR="00EB5AC1" w:rsidRPr="00EB5AC1" w14:paraId="109FED93" w14:textId="77777777" w:rsidTr="00EB5AC1">
        <w:tc>
          <w:tcPr>
            <w:tcW w:w="0" w:type="auto"/>
          </w:tcPr>
          <w:p w14:paraId="5403002E" w14:textId="77777777" w:rsidR="00EB5AC1" w:rsidRPr="00EB5AC1" w:rsidRDefault="00EB5AC1" w:rsidP="00EB5AC1">
            <w:pPr>
              <w:spacing w:before="120" w:after="120" w:line="360" w:lineRule="auto"/>
              <w:rPr>
                <w:szCs w:val="24"/>
                <w:lang w:eastAsia="en-US"/>
              </w:rPr>
            </w:pPr>
            <w:r w:rsidRPr="00EB5AC1">
              <w:rPr>
                <w:szCs w:val="24"/>
                <w:lang w:eastAsia="en-US"/>
              </w:rPr>
              <w:t>(a) Tillverkarens namn och adress</w:t>
            </w:r>
          </w:p>
        </w:tc>
        <w:tc>
          <w:tcPr>
            <w:tcW w:w="0" w:type="auto"/>
            <w:gridSpan w:val="2"/>
          </w:tcPr>
          <w:p w14:paraId="122AD7A7" w14:textId="77777777" w:rsidR="00EB5AC1" w:rsidRPr="00EB5AC1" w:rsidRDefault="00EB5AC1" w:rsidP="00EB5AC1">
            <w:pPr>
              <w:spacing w:before="120" w:after="120" w:line="360" w:lineRule="auto"/>
              <w:rPr>
                <w:szCs w:val="24"/>
                <w:lang w:val="en-GB" w:eastAsia="en-US"/>
              </w:rPr>
            </w:pPr>
            <w:r w:rsidRPr="00EB5AC1">
              <w:rPr>
                <w:szCs w:val="24"/>
                <w:lang w:val="en-GB" w:eastAsia="en-US"/>
              </w:rPr>
              <w:t>…</w:t>
            </w:r>
          </w:p>
        </w:tc>
      </w:tr>
      <w:tr w:rsidR="00EB5AC1" w:rsidRPr="00EB5AC1" w14:paraId="247E6F6D" w14:textId="77777777" w:rsidTr="00EB5AC1">
        <w:tc>
          <w:tcPr>
            <w:tcW w:w="0" w:type="auto"/>
          </w:tcPr>
          <w:p w14:paraId="6269D3F4" w14:textId="77777777" w:rsidR="00EB5AC1" w:rsidRPr="00EB5AC1" w:rsidRDefault="00EB5AC1" w:rsidP="00EB5AC1">
            <w:pPr>
              <w:spacing w:before="120" w:after="120" w:line="360" w:lineRule="auto"/>
              <w:rPr>
                <w:szCs w:val="24"/>
                <w:lang w:val="en-GB" w:eastAsia="en-US"/>
              </w:rPr>
            </w:pPr>
            <w:r w:rsidRPr="00EB5AC1">
              <w:rPr>
                <w:szCs w:val="24"/>
                <w:lang w:val="en-GB" w:eastAsia="en-US"/>
              </w:rPr>
              <w:t>(b) Syftet med tillverkningen</w:t>
            </w:r>
          </w:p>
        </w:tc>
        <w:tc>
          <w:tcPr>
            <w:tcW w:w="0" w:type="auto"/>
            <w:gridSpan w:val="2"/>
          </w:tcPr>
          <w:p w14:paraId="10F51049" w14:textId="77777777" w:rsidR="00EB5AC1" w:rsidRPr="00EB5AC1" w:rsidRDefault="00EB5AC1" w:rsidP="00EB5AC1">
            <w:pPr>
              <w:spacing w:before="120" w:after="120" w:line="360" w:lineRule="auto"/>
              <w:rPr>
                <w:szCs w:val="24"/>
                <w:lang w:eastAsia="en-US"/>
              </w:rPr>
            </w:pPr>
            <w:r w:rsidRPr="00EB5AC1">
              <w:rPr>
                <w:szCs w:val="24"/>
                <w:lang w:eastAsia="en-US"/>
              </w:rPr>
              <w:t>□ Export □ Lagring □ Export och lagring</w:t>
            </w:r>
          </w:p>
        </w:tc>
      </w:tr>
      <w:tr w:rsidR="00EB5AC1" w:rsidRPr="00EB5AC1" w14:paraId="1F494960" w14:textId="77777777" w:rsidTr="00EB5AC1">
        <w:tc>
          <w:tcPr>
            <w:tcW w:w="0" w:type="auto"/>
            <w:vMerge w:val="restart"/>
          </w:tcPr>
          <w:p w14:paraId="21857733" w14:textId="77777777" w:rsidR="00EB5AC1" w:rsidRPr="00EB5AC1" w:rsidRDefault="00EB5AC1" w:rsidP="00EB5AC1">
            <w:pPr>
              <w:spacing w:before="120" w:after="120" w:line="360" w:lineRule="auto"/>
              <w:rPr>
                <w:szCs w:val="24"/>
                <w:lang w:eastAsia="en-US"/>
              </w:rPr>
            </w:pPr>
            <w:r w:rsidRPr="00EB5AC1">
              <w:rPr>
                <w:szCs w:val="24"/>
                <w:lang w:eastAsia="en-US"/>
              </w:rPr>
              <w:t>(c) Den medlemsstat där tillverkningen ska ske och den medlemsstat där den första relaterade handlingen (i förekommande fall) ska ske före tillverkningens startdatum</w:t>
            </w:r>
          </w:p>
        </w:tc>
        <w:tc>
          <w:tcPr>
            <w:tcW w:w="0" w:type="auto"/>
          </w:tcPr>
          <w:p w14:paraId="183AA7C3" w14:textId="77777777" w:rsidR="00EB5AC1" w:rsidRPr="00EB5AC1" w:rsidRDefault="00EB5AC1" w:rsidP="00EB5AC1">
            <w:pPr>
              <w:spacing w:before="120" w:after="120" w:line="360" w:lineRule="auto"/>
              <w:rPr>
                <w:szCs w:val="24"/>
                <w:lang w:eastAsia="en-US"/>
              </w:rPr>
            </w:pPr>
            <w:r w:rsidRPr="00EB5AC1">
              <w:rPr>
                <w:szCs w:val="24"/>
                <w:lang w:eastAsia="en-US"/>
              </w:rPr>
              <w:t>Den medlemsstat där tillverkningen ska ske</w:t>
            </w:r>
          </w:p>
        </w:tc>
        <w:tc>
          <w:tcPr>
            <w:tcW w:w="0" w:type="auto"/>
          </w:tcPr>
          <w:p w14:paraId="1D429B37" w14:textId="77777777" w:rsidR="00EB5AC1" w:rsidRPr="00EB5AC1" w:rsidRDefault="00EB5AC1" w:rsidP="00EB5AC1">
            <w:pPr>
              <w:spacing w:before="120" w:after="120" w:line="360" w:lineRule="auto"/>
              <w:rPr>
                <w:szCs w:val="24"/>
                <w:lang w:eastAsia="en-US"/>
              </w:rPr>
            </w:pPr>
          </w:p>
        </w:tc>
      </w:tr>
      <w:tr w:rsidR="00EB5AC1" w:rsidRPr="00EB5AC1" w14:paraId="79F51E20" w14:textId="77777777" w:rsidTr="00EB5AC1">
        <w:tc>
          <w:tcPr>
            <w:tcW w:w="0" w:type="auto"/>
            <w:vMerge/>
          </w:tcPr>
          <w:p w14:paraId="5990AAC9" w14:textId="77777777" w:rsidR="00EB5AC1" w:rsidRPr="00EB5AC1" w:rsidRDefault="00EB5AC1" w:rsidP="00EB5AC1">
            <w:pPr>
              <w:spacing w:before="120" w:after="120" w:line="360" w:lineRule="auto"/>
              <w:rPr>
                <w:szCs w:val="24"/>
                <w:lang w:eastAsia="en-US"/>
              </w:rPr>
            </w:pPr>
          </w:p>
        </w:tc>
        <w:tc>
          <w:tcPr>
            <w:tcW w:w="0" w:type="auto"/>
          </w:tcPr>
          <w:p w14:paraId="1DF4C2BA" w14:textId="77777777" w:rsidR="00EB5AC1" w:rsidRPr="00EB5AC1" w:rsidRDefault="00EB5AC1" w:rsidP="00EB5AC1">
            <w:pPr>
              <w:spacing w:before="120" w:after="120" w:line="360" w:lineRule="auto"/>
              <w:rPr>
                <w:szCs w:val="24"/>
                <w:lang w:eastAsia="en-US"/>
              </w:rPr>
            </w:pPr>
            <w:r w:rsidRPr="00EB5AC1">
              <w:rPr>
                <w:szCs w:val="24"/>
                <w:lang w:eastAsia="en-US"/>
              </w:rPr>
              <w:t>(Den medlemsstat där den första relaterade handlingen ska ske (i förekommande fall))</w:t>
            </w:r>
          </w:p>
        </w:tc>
        <w:tc>
          <w:tcPr>
            <w:tcW w:w="0" w:type="auto"/>
          </w:tcPr>
          <w:p w14:paraId="51DF2E04" w14:textId="77777777" w:rsidR="00EB5AC1" w:rsidRPr="00EB5AC1" w:rsidRDefault="00EB5AC1" w:rsidP="00EB5AC1">
            <w:pPr>
              <w:spacing w:before="120" w:after="120" w:line="360" w:lineRule="auto"/>
              <w:rPr>
                <w:szCs w:val="24"/>
                <w:lang w:eastAsia="en-US"/>
              </w:rPr>
            </w:pPr>
          </w:p>
        </w:tc>
      </w:tr>
      <w:tr w:rsidR="00EB5AC1" w:rsidRPr="00EB5AC1" w14:paraId="3EA141D7" w14:textId="77777777" w:rsidTr="00EB5AC1">
        <w:tc>
          <w:tcPr>
            <w:tcW w:w="0" w:type="auto"/>
            <w:vMerge w:val="restart"/>
          </w:tcPr>
          <w:p w14:paraId="4B91A730" w14:textId="1760CAFA" w:rsidR="00EB5AC1" w:rsidRPr="00EB5AC1" w:rsidRDefault="00EB5AC1">
            <w:pPr>
              <w:spacing w:before="120" w:after="120" w:line="360" w:lineRule="auto"/>
              <w:rPr>
                <w:szCs w:val="24"/>
                <w:lang w:eastAsia="en-US"/>
              </w:rPr>
            </w:pPr>
            <w:r w:rsidRPr="00EB5AC1">
              <w:rPr>
                <w:szCs w:val="24"/>
                <w:lang w:eastAsia="en-US"/>
              </w:rPr>
              <w:t>(</w:t>
            </w:r>
            <w:r w:rsidR="00553CE1">
              <w:rPr>
                <w:szCs w:val="24"/>
                <w:lang w:eastAsia="en-US"/>
              </w:rPr>
              <w:t>d</w:t>
            </w:r>
            <w:r w:rsidRPr="00EB5AC1">
              <w:rPr>
                <w:szCs w:val="24"/>
                <w:lang w:eastAsia="en-US"/>
              </w:rPr>
              <w:t>) Numret på det tilläggsskydd som beviljats i den medlemsstat där tillverkningen ska ske, och numret på det tilläggsskydd som beviljats i den medlemsstat där den första relaterade handlingen (i förekommande fall) ska ske före tillverkningens startdatum</w:t>
            </w:r>
          </w:p>
        </w:tc>
        <w:tc>
          <w:tcPr>
            <w:tcW w:w="0" w:type="auto"/>
          </w:tcPr>
          <w:p w14:paraId="2DC7B621" w14:textId="77777777" w:rsidR="00EB5AC1" w:rsidRPr="00EB5AC1" w:rsidRDefault="00EB5AC1" w:rsidP="00EB5AC1">
            <w:pPr>
              <w:spacing w:before="120" w:after="120" w:line="360" w:lineRule="auto"/>
              <w:rPr>
                <w:szCs w:val="24"/>
                <w:lang w:eastAsia="en-US"/>
              </w:rPr>
            </w:pPr>
            <w:r w:rsidRPr="00EB5AC1">
              <w:rPr>
                <w:szCs w:val="24"/>
                <w:lang w:eastAsia="en-US"/>
              </w:rPr>
              <w:t>Tilläggsskydd i den medlemsstat där tillverkningen ska ske</w:t>
            </w:r>
          </w:p>
        </w:tc>
        <w:tc>
          <w:tcPr>
            <w:tcW w:w="0" w:type="auto"/>
          </w:tcPr>
          <w:p w14:paraId="61A2D3B9" w14:textId="77777777" w:rsidR="00EB5AC1" w:rsidRPr="00EB5AC1" w:rsidRDefault="00EB5AC1" w:rsidP="00EB5AC1">
            <w:pPr>
              <w:spacing w:before="120" w:after="120" w:line="360" w:lineRule="auto"/>
              <w:rPr>
                <w:szCs w:val="24"/>
                <w:lang w:eastAsia="en-US"/>
              </w:rPr>
            </w:pPr>
          </w:p>
        </w:tc>
      </w:tr>
      <w:tr w:rsidR="00EB5AC1" w:rsidRPr="00EB5AC1" w14:paraId="392704DF" w14:textId="77777777" w:rsidTr="00EB5AC1">
        <w:tc>
          <w:tcPr>
            <w:tcW w:w="0" w:type="auto"/>
            <w:vMerge/>
          </w:tcPr>
          <w:p w14:paraId="4B67A295" w14:textId="77777777" w:rsidR="00EB5AC1" w:rsidRPr="00EB5AC1" w:rsidRDefault="00EB5AC1" w:rsidP="00EB5AC1">
            <w:pPr>
              <w:spacing w:before="120" w:after="120" w:line="360" w:lineRule="auto"/>
              <w:rPr>
                <w:szCs w:val="24"/>
                <w:lang w:eastAsia="en-US"/>
              </w:rPr>
            </w:pPr>
          </w:p>
        </w:tc>
        <w:tc>
          <w:tcPr>
            <w:tcW w:w="0" w:type="auto"/>
          </w:tcPr>
          <w:p w14:paraId="61D500EC" w14:textId="77777777" w:rsidR="00EB5AC1" w:rsidRPr="00EB5AC1" w:rsidRDefault="00EB5AC1" w:rsidP="00EB5AC1">
            <w:pPr>
              <w:spacing w:before="120" w:after="120" w:line="360" w:lineRule="auto"/>
              <w:rPr>
                <w:szCs w:val="24"/>
                <w:lang w:eastAsia="en-US"/>
              </w:rPr>
            </w:pPr>
            <w:r w:rsidRPr="00EB5AC1">
              <w:rPr>
                <w:szCs w:val="24"/>
                <w:lang w:eastAsia="en-US"/>
              </w:rPr>
              <w:t>(Tilläggsskydd i den medlemsstat där den första relaterade handlingen ska ske (i förekommande fall))</w:t>
            </w:r>
          </w:p>
        </w:tc>
        <w:tc>
          <w:tcPr>
            <w:tcW w:w="0" w:type="auto"/>
          </w:tcPr>
          <w:p w14:paraId="439152EC" w14:textId="77777777" w:rsidR="00EB5AC1" w:rsidRPr="00EB5AC1" w:rsidRDefault="00EB5AC1" w:rsidP="00EB5AC1">
            <w:pPr>
              <w:spacing w:before="120" w:after="120" w:line="360" w:lineRule="auto"/>
              <w:rPr>
                <w:szCs w:val="24"/>
                <w:lang w:eastAsia="en-US"/>
              </w:rPr>
            </w:pPr>
          </w:p>
        </w:tc>
      </w:tr>
      <w:tr w:rsidR="00EB5AC1" w:rsidRPr="00EB5AC1" w14:paraId="2E71E465" w14:textId="77777777" w:rsidTr="00EB5AC1">
        <w:tc>
          <w:tcPr>
            <w:tcW w:w="0" w:type="auto"/>
            <w:vMerge w:val="restart"/>
          </w:tcPr>
          <w:p w14:paraId="28F2B063" w14:textId="7757A492" w:rsidR="00EB5AC1" w:rsidRPr="00EB5AC1" w:rsidRDefault="00EB5AC1">
            <w:pPr>
              <w:spacing w:before="120" w:after="120" w:line="360" w:lineRule="auto"/>
              <w:rPr>
                <w:szCs w:val="24"/>
                <w:lang w:eastAsia="en-US"/>
              </w:rPr>
            </w:pPr>
            <w:r w:rsidRPr="00EB5AC1">
              <w:rPr>
                <w:szCs w:val="24"/>
                <w:lang w:eastAsia="en-US"/>
              </w:rPr>
              <w:t>(</w:t>
            </w:r>
            <w:r w:rsidR="00553CE1">
              <w:rPr>
                <w:szCs w:val="24"/>
                <w:lang w:eastAsia="en-US"/>
              </w:rPr>
              <w:t>e</w:t>
            </w:r>
            <w:r w:rsidRPr="00EB5AC1">
              <w:rPr>
                <w:szCs w:val="24"/>
                <w:lang w:eastAsia="en-US"/>
              </w:rPr>
              <w:t>) För läkemedel som ska exporteras till tredjeländer: referensnumret för godkännandet för försäljning eller motsvarande handling i varje tredjeland som läkemedlet exporteras till</w:t>
            </w:r>
          </w:p>
        </w:tc>
        <w:tc>
          <w:tcPr>
            <w:tcW w:w="0" w:type="auto"/>
            <w:gridSpan w:val="2"/>
          </w:tcPr>
          <w:p w14:paraId="0165837C" w14:textId="77777777" w:rsidR="00EB5AC1" w:rsidRPr="00EB5AC1" w:rsidRDefault="00EB5AC1" w:rsidP="00EB5AC1">
            <w:pPr>
              <w:spacing w:before="120" w:after="120" w:line="360" w:lineRule="auto"/>
              <w:rPr>
                <w:szCs w:val="24"/>
                <w:lang w:eastAsia="en-US"/>
              </w:rPr>
            </w:pPr>
          </w:p>
        </w:tc>
      </w:tr>
      <w:tr w:rsidR="00EB5AC1" w:rsidRPr="00EB5AC1" w14:paraId="1092E283" w14:textId="77777777" w:rsidTr="00EB5AC1">
        <w:tc>
          <w:tcPr>
            <w:tcW w:w="0" w:type="auto"/>
            <w:vMerge/>
          </w:tcPr>
          <w:p w14:paraId="6253C0F2" w14:textId="77777777" w:rsidR="00EB5AC1" w:rsidRPr="00EB5AC1" w:rsidRDefault="00EB5AC1" w:rsidP="00EB5AC1">
            <w:pPr>
              <w:spacing w:before="120" w:after="120" w:line="360" w:lineRule="auto"/>
              <w:rPr>
                <w:szCs w:val="24"/>
                <w:lang w:eastAsia="en-US"/>
              </w:rPr>
            </w:pPr>
          </w:p>
        </w:tc>
        <w:tc>
          <w:tcPr>
            <w:tcW w:w="0" w:type="auto"/>
            <w:gridSpan w:val="2"/>
          </w:tcPr>
          <w:p w14:paraId="421DE97B" w14:textId="77777777" w:rsidR="00EB5AC1" w:rsidRPr="00EB5AC1" w:rsidRDefault="00EB5AC1" w:rsidP="00EB5AC1">
            <w:pPr>
              <w:spacing w:before="120" w:after="120" w:line="360" w:lineRule="auto"/>
              <w:rPr>
                <w:szCs w:val="24"/>
                <w:lang w:eastAsia="en-US"/>
              </w:rPr>
            </w:pPr>
          </w:p>
        </w:tc>
      </w:tr>
      <w:tr w:rsidR="00EB5AC1" w:rsidRPr="00EB5AC1" w14:paraId="1B3C8190" w14:textId="77777777" w:rsidTr="00EB5AC1">
        <w:tc>
          <w:tcPr>
            <w:tcW w:w="0" w:type="auto"/>
            <w:vMerge/>
          </w:tcPr>
          <w:p w14:paraId="6E08725C" w14:textId="77777777" w:rsidR="00EB5AC1" w:rsidRPr="00EB5AC1" w:rsidRDefault="00EB5AC1" w:rsidP="00EB5AC1">
            <w:pPr>
              <w:spacing w:before="120" w:after="120" w:line="360" w:lineRule="auto"/>
              <w:rPr>
                <w:szCs w:val="24"/>
                <w:lang w:eastAsia="en-US"/>
              </w:rPr>
            </w:pPr>
          </w:p>
        </w:tc>
        <w:tc>
          <w:tcPr>
            <w:tcW w:w="0" w:type="auto"/>
            <w:gridSpan w:val="2"/>
          </w:tcPr>
          <w:p w14:paraId="55182B28" w14:textId="77777777" w:rsidR="00EB5AC1" w:rsidRPr="00EB5AC1" w:rsidRDefault="00EB5AC1" w:rsidP="00EB5AC1">
            <w:pPr>
              <w:spacing w:before="120" w:after="120" w:line="360" w:lineRule="auto"/>
              <w:rPr>
                <w:szCs w:val="24"/>
                <w:lang w:eastAsia="en-US"/>
              </w:rPr>
            </w:pPr>
          </w:p>
        </w:tc>
      </w:tr>
    </w:tbl>
    <w:p w14:paraId="7B433798" w14:textId="77777777" w:rsidR="00EB5AC1" w:rsidRPr="00EB5AC1" w:rsidRDefault="00EB5AC1" w:rsidP="00EB5AC1">
      <w:pPr>
        <w:spacing w:before="120" w:after="120" w:line="360" w:lineRule="auto"/>
        <w:rPr>
          <w:szCs w:val="24"/>
          <w:lang w:eastAsia="en-US"/>
        </w:rPr>
        <w:sectPr w:rsidR="00EB5AC1" w:rsidRPr="00EB5AC1">
          <w:pgSz w:w="11909" w:h="16834"/>
          <w:pgMar w:top="1134" w:right="1417" w:bottom="1417" w:left="1417" w:header="1134" w:footer="567" w:gutter="0"/>
          <w:cols w:space="720"/>
        </w:sectPr>
      </w:pPr>
    </w:p>
    <w:p w14:paraId="5CB8AA98" w14:textId="77777777" w:rsidR="00EB5AC1" w:rsidRPr="00EB5AC1" w:rsidRDefault="00EB5AC1" w:rsidP="00EB5AC1">
      <w:pPr>
        <w:spacing w:before="120" w:after="120" w:line="360" w:lineRule="auto"/>
        <w:rPr>
          <w:szCs w:val="24"/>
          <w:lang w:eastAsia="en-US"/>
        </w:rPr>
      </w:pPr>
    </w:p>
    <w:p w14:paraId="3375641C" w14:textId="77777777" w:rsidR="00EB5AC1" w:rsidRPr="00EB5AC1" w:rsidRDefault="00EB5AC1" w:rsidP="00EB5AC1">
      <w:pPr>
        <w:spacing w:before="120" w:after="120" w:line="360" w:lineRule="auto"/>
        <w:jc w:val="center"/>
        <w:rPr>
          <w:lang w:val="en-GB" w:eastAsia="en-US"/>
        </w:rPr>
      </w:pPr>
      <w:r w:rsidRPr="00EB5AC1">
        <w:rPr>
          <w:lang w:val="en-GB" w:eastAsia="en-US"/>
        </w:rPr>
        <w:t>BILAGA IV</w:t>
      </w:r>
    </w:p>
    <w:p w14:paraId="398E4650" w14:textId="77777777" w:rsidR="00EB5AC1" w:rsidRPr="00EB5AC1" w:rsidRDefault="00EB5AC1" w:rsidP="00EB5AC1">
      <w:pPr>
        <w:spacing w:before="120" w:after="120" w:line="360" w:lineRule="auto"/>
        <w:rPr>
          <w:szCs w:val="24"/>
          <w:lang w:val="en-GB" w:eastAsia="en-US"/>
        </w:rPr>
      </w:pPr>
      <w:r w:rsidRPr="00EB5AC1">
        <w:rPr>
          <w:szCs w:val="24"/>
          <w:lang w:val="en-GB" w:eastAsia="en-US"/>
        </w:rPr>
        <w:t>Jämförelsetabell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706"/>
        <w:gridCol w:w="4359"/>
      </w:tblGrid>
      <w:tr w:rsidR="00EB5AC1" w:rsidRPr="00EB5AC1" w14:paraId="0C30FE1D" w14:textId="77777777" w:rsidTr="00EB5AC1">
        <w:trPr>
          <w:tblHeader/>
        </w:trPr>
        <w:tc>
          <w:tcPr>
            <w:tcW w:w="0" w:type="auto"/>
          </w:tcPr>
          <w:p w14:paraId="222C311F" w14:textId="77777777" w:rsidR="00EB5AC1" w:rsidRPr="00EB5AC1" w:rsidRDefault="00EB5AC1" w:rsidP="00EB5AC1">
            <w:pPr>
              <w:spacing w:before="120" w:after="120" w:line="360" w:lineRule="auto"/>
              <w:rPr>
                <w:szCs w:val="24"/>
                <w:lang w:val="en-GB" w:eastAsia="en-US"/>
              </w:rPr>
            </w:pPr>
            <w:r w:rsidRPr="00EB5AC1">
              <w:rPr>
                <w:szCs w:val="24"/>
                <w:lang w:val="en-GB" w:eastAsia="en-US"/>
              </w:rPr>
              <w:t>Förordning (EG) nr 469/2009</w:t>
            </w:r>
          </w:p>
        </w:tc>
        <w:tc>
          <w:tcPr>
            <w:tcW w:w="0" w:type="auto"/>
          </w:tcPr>
          <w:p w14:paraId="146545BC" w14:textId="77777777" w:rsidR="00EB5AC1" w:rsidRPr="00EB5AC1" w:rsidRDefault="00EB5AC1" w:rsidP="00EB5AC1">
            <w:pPr>
              <w:spacing w:before="120" w:after="120" w:line="360" w:lineRule="auto"/>
              <w:rPr>
                <w:szCs w:val="24"/>
                <w:lang w:val="en-GB" w:eastAsia="en-US"/>
              </w:rPr>
            </w:pPr>
            <w:r w:rsidRPr="00EB5AC1">
              <w:rPr>
                <w:szCs w:val="24"/>
                <w:lang w:val="en-GB" w:eastAsia="en-US"/>
              </w:rPr>
              <w:t>Denna förordning</w:t>
            </w:r>
          </w:p>
        </w:tc>
      </w:tr>
      <w:tr w:rsidR="00EB5AC1" w:rsidRPr="00EB5AC1" w14:paraId="557E638F" w14:textId="77777777" w:rsidTr="00EB5AC1">
        <w:tc>
          <w:tcPr>
            <w:tcW w:w="0" w:type="auto"/>
          </w:tcPr>
          <w:p w14:paraId="4E915695"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1, inledningsfrasen</w:t>
            </w:r>
          </w:p>
        </w:tc>
        <w:tc>
          <w:tcPr>
            <w:tcW w:w="0" w:type="auto"/>
          </w:tcPr>
          <w:p w14:paraId="38B366E0"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2, inledningsfrasen</w:t>
            </w:r>
          </w:p>
        </w:tc>
      </w:tr>
      <w:tr w:rsidR="00EB5AC1" w:rsidRPr="00EB5AC1" w14:paraId="13870714" w14:textId="77777777" w:rsidTr="00EB5AC1">
        <w:tc>
          <w:tcPr>
            <w:tcW w:w="0" w:type="auto"/>
          </w:tcPr>
          <w:p w14:paraId="6CBE4A06"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1 a–c</w:t>
            </w:r>
          </w:p>
        </w:tc>
        <w:tc>
          <w:tcPr>
            <w:tcW w:w="0" w:type="auto"/>
          </w:tcPr>
          <w:p w14:paraId="5B2AC9A8"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2.1–2.3</w:t>
            </w:r>
          </w:p>
        </w:tc>
      </w:tr>
      <w:tr w:rsidR="00EB5AC1" w:rsidRPr="00EB5AC1" w14:paraId="22CFA1FB" w14:textId="77777777" w:rsidTr="00EB5AC1">
        <w:tc>
          <w:tcPr>
            <w:tcW w:w="0" w:type="auto"/>
          </w:tcPr>
          <w:p w14:paraId="3E2743F6"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1 d</w:t>
            </w:r>
          </w:p>
        </w:tc>
        <w:tc>
          <w:tcPr>
            <w:tcW w:w="0" w:type="auto"/>
          </w:tcPr>
          <w:p w14:paraId="036708F7" w14:textId="77777777" w:rsidR="00EB5AC1" w:rsidRPr="00EB5AC1" w:rsidRDefault="00EB5AC1" w:rsidP="00EB5AC1">
            <w:pPr>
              <w:spacing w:before="120" w:after="120" w:line="360" w:lineRule="auto"/>
              <w:rPr>
                <w:szCs w:val="24"/>
                <w:lang w:val="en-GB" w:eastAsia="en-US"/>
              </w:rPr>
            </w:pPr>
            <w:r w:rsidRPr="00EB5AC1">
              <w:rPr>
                <w:szCs w:val="24"/>
                <w:lang w:val="en-GB" w:eastAsia="en-US"/>
              </w:rPr>
              <w:t>—</w:t>
            </w:r>
          </w:p>
        </w:tc>
      </w:tr>
      <w:tr w:rsidR="00EB5AC1" w:rsidRPr="00EB5AC1" w14:paraId="67535723" w14:textId="77777777" w:rsidTr="00EB5AC1">
        <w:tc>
          <w:tcPr>
            <w:tcW w:w="0" w:type="auto"/>
          </w:tcPr>
          <w:p w14:paraId="1285E125"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1 e och f</w:t>
            </w:r>
          </w:p>
        </w:tc>
        <w:tc>
          <w:tcPr>
            <w:tcW w:w="0" w:type="auto"/>
          </w:tcPr>
          <w:p w14:paraId="351AFC71"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2.4 och 2.5</w:t>
            </w:r>
          </w:p>
        </w:tc>
      </w:tr>
      <w:tr w:rsidR="00EB5AC1" w:rsidRPr="00EB5AC1" w14:paraId="7FFD6A23" w14:textId="77777777" w:rsidTr="00EB5AC1">
        <w:tc>
          <w:tcPr>
            <w:tcW w:w="0" w:type="auto"/>
          </w:tcPr>
          <w:p w14:paraId="0342BCA0" w14:textId="77777777" w:rsidR="00EB5AC1" w:rsidRPr="00EB5AC1" w:rsidRDefault="00EB5AC1" w:rsidP="00EB5AC1">
            <w:pPr>
              <w:spacing w:before="120" w:after="120" w:line="360" w:lineRule="auto"/>
              <w:rPr>
                <w:szCs w:val="24"/>
                <w:lang w:val="en-GB" w:eastAsia="en-US"/>
              </w:rPr>
            </w:pPr>
            <w:r w:rsidRPr="00EB5AC1">
              <w:rPr>
                <w:szCs w:val="24"/>
                <w:lang w:val="en-GB" w:eastAsia="en-US"/>
              </w:rPr>
              <w:t>—</w:t>
            </w:r>
          </w:p>
        </w:tc>
        <w:tc>
          <w:tcPr>
            <w:tcW w:w="0" w:type="auto"/>
          </w:tcPr>
          <w:p w14:paraId="324AF09C"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2.6–2.12</w:t>
            </w:r>
          </w:p>
        </w:tc>
      </w:tr>
      <w:tr w:rsidR="00EB5AC1" w:rsidRPr="00EB5AC1" w14:paraId="6D431393" w14:textId="77777777" w:rsidTr="00EB5AC1">
        <w:tc>
          <w:tcPr>
            <w:tcW w:w="0" w:type="auto"/>
          </w:tcPr>
          <w:p w14:paraId="37DDACEA"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2</w:t>
            </w:r>
          </w:p>
        </w:tc>
        <w:tc>
          <w:tcPr>
            <w:tcW w:w="0" w:type="auto"/>
          </w:tcPr>
          <w:p w14:paraId="4E3F4B93"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1</w:t>
            </w:r>
          </w:p>
        </w:tc>
      </w:tr>
      <w:tr w:rsidR="00EB5AC1" w:rsidRPr="00EB5AC1" w14:paraId="37693A6A" w14:textId="77777777" w:rsidTr="00EB5AC1">
        <w:tc>
          <w:tcPr>
            <w:tcW w:w="0" w:type="auto"/>
          </w:tcPr>
          <w:p w14:paraId="4152F20D"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3</w:t>
            </w:r>
          </w:p>
        </w:tc>
        <w:tc>
          <w:tcPr>
            <w:tcW w:w="0" w:type="auto"/>
          </w:tcPr>
          <w:p w14:paraId="261CBC1C"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3.1</w:t>
            </w:r>
          </w:p>
        </w:tc>
      </w:tr>
      <w:tr w:rsidR="00EB5AC1" w:rsidRPr="00EB5AC1" w14:paraId="4FB78B91" w14:textId="77777777" w:rsidTr="00EB5AC1">
        <w:tc>
          <w:tcPr>
            <w:tcW w:w="0" w:type="auto"/>
          </w:tcPr>
          <w:p w14:paraId="5AF2CFD8" w14:textId="77777777" w:rsidR="00EB5AC1" w:rsidRPr="00EB5AC1" w:rsidRDefault="00EB5AC1" w:rsidP="00EB5AC1">
            <w:pPr>
              <w:spacing w:before="120" w:after="120" w:line="360" w:lineRule="auto"/>
              <w:rPr>
                <w:szCs w:val="24"/>
                <w:lang w:val="en-GB" w:eastAsia="en-US"/>
              </w:rPr>
            </w:pPr>
            <w:r w:rsidRPr="00EB5AC1">
              <w:rPr>
                <w:szCs w:val="24"/>
                <w:lang w:val="en-GB" w:eastAsia="en-US"/>
              </w:rPr>
              <w:t>—</w:t>
            </w:r>
          </w:p>
        </w:tc>
        <w:tc>
          <w:tcPr>
            <w:tcW w:w="0" w:type="auto"/>
          </w:tcPr>
          <w:p w14:paraId="301C7B6B"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3.2 och 3.3</w:t>
            </w:r>
          </w:p>
        </w:tc>
      </w:tr>
      <w:tr w:rsidR="00EB5AC1" w:rsidRPr="00EB5AC1" w14:paraId="61299387" w14:textId="77777777" w:rsidTr="00EB5AC1">
        <w:tc>
          <w:tcPr>
            <w:tcW w:w="0" w:type="auto"/>
          </w:tcPr>
          <w:p w14:paraId="4F720F65"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4</w:t>
            </w:r>
          </w:p>
        </w:tc>
        <w:tc>
          <w:tcPr>
            <w:tcW w:w="0" w:type="auto"/>
          </w:tcPr>
          <w:p w14:paraId="65C567BC"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4</w:t>
            </w:r>
          </w:p>
        </w:tc>
      </w:tr>
      <w:tr w:rsidR="00EB5AC1" w:rsidRPr="00EB5AC1" w14:paraId="6A0C965A" w14:textId="77777777" w:rsidTr="00EB5AC1">
        <w:tc>
          <w:tcPr>
            <w:tcW w:w="0" w:type="auto"/>
          </w:tcPr>
          <w:p w14:paraId="130D8207"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5</w:t>
            </w:r>
          </w:p>
        </w:tc>
        <w:tc>
          <w:tcPr>
            <w:tcW w:w="0" w:type="auto"/>
          </w:tcPr>
          <w:p w14:paraId="0842142C"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5</w:t>
            </w:r>
          </w:p>
        </w:tc>
      </w:tr>
      <w:tr w:rsidR="00EB5AC1" w:rsidRPr="00EB5AC1" w14:paraId="2E2F0BA3" w14:textId="77777777" w:rsidTr="00EB5AC1">
        <w:tc>
          <w:tcPr>
            <w:tcW w:w="0" w:type="auto"/>
          </w:tcPr>
          <w:p w14:paraId="7FF0E7A3"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6</w:t>
            </w:r>
          </w:p>
        </w:tc>
        <w:tc>
          <w:tcPr>
            <w:tcW w:w="0" w:type="auto"/>
          </w:tcPr>
          <w:p w14:paraId="57F35C76"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6.1</w:t>
            </w:r>
          </w:p>
        </w:tc>
      </w:tr>
      <w:tr w:rsidR="00EB5AC1" w:rsidRPr="00EB5AC1" w14:paraId="0AAC492F" w14:textId="77777777" w:rsidTr="00EB5AC1">
        <w:tc>
          <w:tcPr>
            <w:tcW w:w="0" w:type="auto"/>
          </w:tcPr>
          <w:p w14:paraId="5DDE2DDA" w14:textId="77777777" w:rsidR="00EB5AC1" w:rsidRPr="00EB5AC1" w:rsidRDefault="00EB5AC1" w:rsidP="00EB5AC1">
            <w:pPr>
              <w:spacing w:before="120" w:after="120" w:line="360" w:lineRule="auto"/>
              <w:rPr>
                <w:szCs w:val="24"/>
                <w:lang w:val="en-GB" w:eastAsia="en-US"/>
              </w:rPr>
            </w:pPr>
            <w:r w:rsidRPr="00EB5AC1">
              <w:rPr>
                <w:szCs w:val="24"/>
                <w:lang w:val="en-GB" w:eastAsia="en-US"/>
              </w:rPr>
              <w:t>—</w:t>
            </w:r>
          </w:p>
        </w:tc>
        <w:tc>
          <w:tcPr>
            <w:tcW w:w="0" w:type="auto"/>
          </w:tcPr>
          <w:p w14:paraId="2F91E288"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6.2</w:t>
            </w:r>
          </w:p>
        </w:tc>
      </w:tr>
      <w:tr w:rsidR="00EB5AC1" w:rsidRPr="00EB5AC1" w14:paraId="5212AD2F" w14:textId="77777777" w:rsidTr="00EB5AC1">
        <w:tc>
          <w:tcPr>
            <w:tcW w:w="0" w:type="auto"/>
          </w:tcPr>
          <w:p w14:paraId="0E805862"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7.1–7.4</w:t>
            </w:r>
          </w:p>
        </w:tc>
        <w:tc>
          <w:tcPr>
            <w:tcW w:w="0" w:type="auto"/>
          </w:tcPr>
          <w:p w14:paraId="6CCB65F1"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7.1–7.4</w:t>
            </w:r>
          </w:p>
        </w:tc>
      </w:tr>
      <w:tr w:rsidR="00EB5AC1" w:rsidRPr="00EB5AC1" w14:paraId="3FDF1C6C" w14:textId="77777777" w:rsidTr="00EB5AC1">
        <w:tc>
          <w:tcPr>
            <w:tcW w:w="0" w:type="auto"/>
          </w:tcPr>
          <w:p w14:paraId="318ACDCD"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7.5</w:t>
            </w:r>
          </w:p>
        </w:tc>
        <w:tc>
          <w:tcPr>
            <w:tcW w:w="0" w:type="auto"/>
          </w:tcPr>
          <w:p w14:paraId="3505F043" w14:textId="77777777" w:rsidR="00EB5AC1" w:rsidRPr="00EB5AC1" w:rsidRDefault="00EB5AC1" w:rsidP="00EB5AC1">
            <w:pPr>
              <w:spacing w:before="120" w:after="120" w:line="360" w:lineRule="auto"/>
              <w:rPr>
                <w:szCs w:val="24"/>
                <w:lang w:val="en-GB" w:eastAsia="en-US"/>
              </w:rPr>
            </w:pPr>
            <w:r w:rsidRPr="00EB5AC1">
              <w:rPr>
                <w:szCs w:val="24"/>
                <w:lang w:val="en-GB" w:eastAsia="en-US"/>
              </w:rPr>
              <w:t>—</w:t>
            </w:r>
          </w:p>
        </w:tc>
      </w:tr>
      <w:tr w:rsidR="00EB5AC1" w:rsidRPr="00EB5AC1" w14:paraId="120106E2" w14:textId="77777777" w:rsidTr="00EB5AC1">
        <w:tc>
          <w:tcPr>
            <w:tcW w:w="0" w:type="auto"/>
          </w:tcPr>
          <w:p w14:paraId="6D522C28"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8</w:t>
            </w:r>
          </w:p>
        </w:tc>
        <w:tc>
          <w:tcPr>
            <w:tcW w:w="0" w:type="auto"/>
          </w:tcPr>
          <w:p w14:paraId="0474DAF8"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8</w:t>
            </w:r>
          </w:p>
        </w:tc>
      </w:tr>
      <w:tr w:rsidR="00EB5AC1" w:rsidRPr="00EB5AC1" w14:paraId="331E41EF" w14:textId="77777777" w:rsidTr="00EB5AC1">
        <w:tc>
          <w:tcPr>
            <w:tcW w:w="0" w:type="auto"/>
          </w:tcPr>
          <w:p w14:paraId="4C71B4B6"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9</w:t>
            </w:r>
          </w:p>
        </w:tc>
        <w:tc>
          <w:tcPr>
            <w:tcW w:w="0" w:type="auto"/>
          </w:tcPr>
          <w:p w14:paraId="412E9531"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9</w:t>
            </w:r>
          </w:p>
        </w:tc>
      </w:tr>
      <w:tr w:rsidR="00EB5AC1" w:rsidRPr="00EB5AC1" w14:paraId="74071B95" w14:textId="77777777" w:rsidTr="00EB5AC1">
        <w:tc>
          <w:tcPr>
            <w:tcW w:w="0" w:type="auto"/>
          </w:tcPr>
          <w:p w14:paraId="2AD42C17"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10</w:t>
            </w:r>
          </w:p>
        </w:tc>
        <w:tc>
          <w:tcPr>
            <w:tcW w:w="0" w:type="auto"/>
          </w:tcPr>
          <w:p w14:paraId="28AC4606"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10</w:t>
            </w:r>
          </w:p>
        </w:tc>
      </w:tr>
      <w:tr w:rsidR="00EB5AC1" w:rsidRPr="00EB5AC1" w14:paraId="350EF7D1" w14:textId="77777777" w:rsidTr="00EB5AC1">
        <w:tc>
          <w:tcPr>
            <w:tcW w:w="0" w:type="auto"/>
          </w:tcPr>
          <w:p w14:paraId="4FBA274D"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11</w:t>
            </w:r>
          </w:p>
        </w:tc>
        <w:tc>
          <w:tcPr>
            <w:tcW w:w="0" w:type="auto"/>
          </w:tcPr>
          <w:p w14:paraId="33829EB3"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11</w:t>
            </w:r>
          </w:p>
        </w:tc>
      </w:tr>
      <w:tr w:rsidR="00EB5AC1" w:rsidRPr="00EB5AC1" w14:paraId="7492F0BC" w14:textId="77777777" w:rsidTr="00EB5AC1">
        <w:tc>
          <w:tcPr>
            <w:tcW w:w="0" w:type="auto"/>
          </w:tcPr>
          <w:p w14:paraId="1A45EF02" w14:textId="77777777" w:rsidR="00EB5AC1" w:rsidRPr="00EB5AC1" w:rsidRDefault="00EB5AC1" w:rsidP="00EB5AC1">
            <w:pPr>
              <w:spacing w:before="120" w:after="120" w:line="360" w:lineRule="auto"/>
              <w:rPr>
                <w:szCs w:val="24"/>
                <w:lang w:val="en-GB" w:eastAsia="en-US"/>
              </w:rPr>
            </w:pPr>
            <w:r w:rsidRPr="00EB5AC1">
              <w:rPr>
                <w:szCs w:val="24"/>
                <w:lang w:val="en-GB" w:eastAsia="en-US"/>
              </w:rPr>
              <w:lastRenderedPageBreak/>
              <w:t>Artikel 12</w:t>
            </w:r>
          </w:p>
        </w:tc>
        <w:tc>
          <w:tcPr>
            <w:tcW w:w="0" w:type="auto"/>
          </w:tcPr>
          <w:p w14:paraId="07EEF0A7"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12</w:t>
            </w:r>
          </w:p>
        </w:tc>
      </w:tr>
      <w:tr w:rsidR="00EB5AC1" w:rsidRPr="00EB5AC1" w14:paraId="3EB907E8" w14:textId="77777777" w:rsidTr="00EB5AC1">
        <w:tc>
          <w:tcPr>
            <w:tcW w:w="0" w:type="auto"/>
          </w:tcPr>
          <w:p w14:paraId="442A53BC"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13.1, 13.2 och 13.3</w:t>
            </w:r>
          </w:p>
        </w:tc>
        <w:tc>
          <w:tcPr>
            <w:tcW w:w="0" w:type="auto"/>
          </w:tcPr>
          <w:p w14:paraId="26DB1B74"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13.1, 13.2 och 13.3</w:t>
            </w:r>
          </w:p>
        </w:tc>
      </w:tr>
      <w:tr w:rsidR="00EB5AC1" w:rsidRPr="00EB5AC1" w14:paraId="6A06B230" w14:textId="77777777" w:rsidTr="00EB5AC1">
        <w:tc>
          <w:tcPr>
            <w:tcW w:w="0" w:type="auto"/>
          </w:tcPr>
          <w:p w14:paraId="5B713628"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13.4</w:t>
            </w:r>
          </w:p>
        </w:tc>
        <w:tc>
          <w:tcPr>
            <w:tcW w:w="0" w:type="auto"/>
          </w:tcPr>
          <w:p w14:paraId="2137856F" w14:textId="77777777" w:rsidR="00EB5AC1" w:rsidRPr="00EB5AC1" w:rsidRDefault="00EB5AC1" w:rsidP="00EB5AC1">
            <w:pPr>
              <w:spacing w:before="120" w:after="120" w:line="360" w:lineRule="auto"/>
              <w:rPr>
                <w:szCs w:val="24"/>
                <w:lang w:val="en-GB" w:eastAsia="en-US"/>
              </w:rPr>
            </w:pPr>
            <w:r w:rsidRPr="00EB5AC1">
              <w:rPr>
                <w:szCs w:val="24"/>
                <w:lang w:val="en-GB" w:eastAsia="en-US"/>
              </w:rPr>
              <w:t>—</w:t>
            </w:r>
          </w:p>
        </w:tc>
      </w:tr>
      <w:tr w:rsidR="00EB5AC1" w:rsidRPr="00EB5AC1" w14:paraId="26E5446D" w14:textId="77777777" w:rsidTr="00EB5AC1">
        <w:tc>
          <w:tcPr>
            <w:tcW w:w="0" w:type="auto"/>
          </w:tcPr>
          <w:p w14:paraId="1DEEC47D"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14</w:t>
            </w:r>
          </w:p>
        </w:tc>
        <w:tc>
          <w:tcPr>
            <w:tcW w:w="0" w:type="auto"/>
          </w:tcPr>
          <w:p w14:paraId="6BF4BC36"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14</w:t>
            </w:r>
          </w:p>
        </w:tc>
      </w:tr>
      <w:tr w:rsidR="00EB5AC1" w:rsidRPr="00EB5AC1" w14:paraId="06D2F9BF" w14:textId="77777777" w:rsidTr="00EB5AC1">
        <w:tc>
          <w:tcPr>
            <w:tcW w:w="0" w:type="auto"/>
          </w:tcPr>
          <w:p w14:paraId="447ED726"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15</w:t>
            </w:r>
          </w:p>
        </w:tc>
        <w:tc>
          <w:tcPr>
            <w:tcW w:w="0" w:type="auto"/>
          </w:tcPr>
          <w:p w14:paraId="5110A691"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15</w:t>
            </w:r>
          </w:p>
        </w:tc>
      </w:tr>
      <w:tr w:rsidR="00EB5AC1" w:rsidRPr="00EB5AC1" w14:paraId="1A77E70A" w14:textId="77777777" w:rsidTr="00EB5AC1">
        <w:tc>
          <w:tcPr>
            <w:tcW w:w="0" w:type="auto"/>
          </w:tcPr>
          <w:p w14:paraId="66C3CB88"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16</w:t>
            </w:r>
          </w:p>
        </w:tc>
        <w:tc>
          <w:tcPr>
            <w:tcW w:w="0" w:type="auto"/>
          </w:tcPr>
          <w:p w14:paraId="006414A0"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16</w:t>
            </w:r>
          </w:p>
        </w:tc>
      </w:tr>
      <w:tr w:rsidR="00EB5AC1" w:rsidRPr="00EB5AC1" w14:paraId="1A524639" w14:textId="77777777" w:rsidTr="00EB5AC1">
        <w:tc>
          <w:tcPr>
            <w:tcW w:w="0" w:type="auto"/>
          </w:tcPr>
          <w:p w14:paraId="04E724DC"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17</w:t>
            </w:r>
          </w:p>
        </w:tc>
        <w:tc>
          <w:tcPr>
            <w:tcW w:w="0" w:type="auto"/>
          </w:tcPr>
          <w:p w14:paraId="327DAC93"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17</w:t>
            </w:r>
          </w:p>
        </w:tc>
      </w:tr>
      <w:tr w:rsidR="00EB5AC1" w:rsidRPr="00EB5AC1" w14:paraId="7AF5D5FB" w14:textId="77777777" w:rsidTr="00EB5AC1">
        <w:tc>
          <w:tcPr>
            <w:tcW w:w="0" w:type="auto"/>
          </w:tcPr>
          <w:p w14:paraId="615CB4F3"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18</w:t>
            </w:r>
          </w:p>
        </w:tc>
        <w:tc>
          <w:tcPr>
            <w:tcW w:w="0" w:type="auto"/>
          </w:tcPr>
          <w:p w14:paraId="3C96A99E"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18.1</w:t>
            </w:r>
          </w:p>
        </w:tc>
      </w:tr>
      <w:tr w:rsidR="00EB5AC1" w:rsidRPr="00EB5AC1" w14:paraId="1C4B5471" w14:textId="77777777" w:rsidTr="00EB5AC1">
        <w:tc>
          <w:tcPr>
            <w:tcW w:w="0" w:type="auto"/>
          </w:tcPr>
          <w:p w14:paraId="441EF83E" w14:textId="77777777" w:rsidR="00EB5AC1" w:rsidRPr="00EB5AC1" w:rsidRDefault="00EB5AC1" w:rsidP="00EB5AC1">
            <w:pPr>
              <w:spacing w:before="120" w:after="120" w:line="360" w:lineRule="auto"/>
              <w:rPr>
                <w:szCs w:val="24"/>
                <w:lang w:val="en-GB" w:eastAsia="en-US"/>
              </w:rPr>
            </w:pPr>
            <w:r w:rsidRPr="00EB5AC1">
              <w:rPr>
                <w:szCs w:val="24"/>
                <w:lang w:val="en-GB" w:eastAsia="en-US"/>
              </w:rPr>
              <w:t>—</w:t>
            </w:r>
          </w:p>
        </w:tc>
        <w:tc>
          <w:tcPr>
            <w:tcW w:w="0" w:type="auto"/>
          </w:tcPr>
          <w:p w14:paraId="73263850"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18.2</w:t>
            </w:r>
          </w:p>
        </w:tc>
      </w:tr>
      <w:tr w:rsidR="00EB5AC1" w:rsidRPr="00EB5AC1" w14:paraId="110793B3" w14:textId="77777777" w:rsidTr="00EB5AC1">
        <w:tc>
          <w:tcPr>
            <w:tcW w:w="0" w:type="auto"/>
          </w:tcPr>
          <w:p w14:paraId="10F344CD"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19</w:t>
            </w:r>
          </w:p>
        </w:tc>
        <w:tc>
          <w:tcPr>
            <w:tcW w:w="0" w:type="auto"/>
          </w:tcPr>
          <w:p w14:paraId="5FA32677"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19</w:t>
            </w:r>
          </w:p>
        </w:tc>
      </w:tr>
      <w:tr w:rsidR="00EB5AC1" w:rsidRPr="00EB5AC1" w14:paraId="56E55A30" w14:textId="77777777" w:rsidTr="00EB5AC1">
        <w:tc>
          <w:tcPr>
            <w:tcW w:w="0" w:type="auto"/>
          </w:tcPr>
          <w:p w14:paraId="6ABA0627" w14:textId="77777777" w:rsidR="00EB5AC1" w:rsidRPr="00EB5AC1" w:rsidRDefault="00EB5AC1" w:rsidP="00EB5AC1">
            <w:pPr>
              <w:spacing w:before="120" w:after="120" w:line="360" w:lineRule="auto"/>
              <w:rPr>
                <w:szCs w:val="24"/>
                <w:lang w:val="en-GB" w:eastAsia="en-US"/>
              </w:rPr>
            </w:pPr>
            <w:r w:rsidRPr="00EB5AC1">
              <w:rPr>
                <w:szCs w:val="24"/>
                <w:lang w:val="en-GB" w:eastAsia="en-US"/>
              </w:rPr>
              <w:t>—</w:t>
            </w:r>
          </w:p>
        </w:tc>
        <w:tc>
          <w:tcPr>
            <w:tcW w:w="0" w:type="auto"/>
          </w:tcPr>
          <w:p w14:paraId="7D8AF4FC"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20</w:t>
            </w:r>
          </w:p>
        </w:tc>
      </w:tr>
      <w:tr w:rsidR="00EB5AC1" w:rsidRPr="00EB5AC1" w14:paraId="4C8E616E" w14:textId="77777777" w:rsidTr="00EB5AC1">
        <w:tc>
          <w:tcPr>
            <w:tcW w:w="0" w:type="auto"/>
          </w:tcPr>
          <w:p w14:paraId="37C1B9FB" w14:textId="77777777" w:rsidR="00EB5AC1" w:rsidRPr="00EB5AC1" w:rsidRDefault="00EB5AC1" w:rsidP="00EB5AC1">
            <w:pPr>
              <w:spacing w:before="120" w:after="120" w:line="360" w:lineRule="auto"/>
              <w:rPr>
                <w:szCs w:val="24"/>
                <w:lang w:val="en-GB" w:eastAsia="en-US"/>
              </w:rPr>
            </w:pPr>
            <w:r w:rsidRPr="00EB5AC1">
              <w:rPr>
                <w:szCs w:val="24"/>
                <w:lang w:val="en-GB" w:eastAsia="en-US"/>
              </w:rPr>
              <w:t>—</w:t>
            </w:r>
          </w:p>
        </w:tc>
        <w:tc>
          <w:tcPr>
            <w:tcW w:w="0" w:type="auto"/>
          </w:tcPr>
          <w:p w14:paraId="1E08A428"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21</w:t>
            </w:r>
          </w:p>
        </w:tc>
      </w:tr>
      <w:tr w:rsidR="00EB5AC1" w:rsidRPr="00EB5AC1" w14:paraId="7E66D3D9" w14:textId="77777777" w:rsidTr="00EB5AC1">
        <w:tc>
          <w:tcPr>
            <w:tcW w:w="0" w:type="auto"/>
          </w:tcPr>
          <w:p w14:paraId="0D3C9D12" w14:textId="77777777" w:rsidR="00EB5AC1" w:rsidRPr="00EB5AC1" w:rsidRDefault="00EB5AC1" w:rsidP="00EB5AC1">
            <w:pPr>
              <w:spacing w:before="120" w:after="120" w:line="360" w:lineRule="auto"/>
              <w:rPr>
                <w:szCs w:val="24"/>
                <w:lang w:val="en-GB" w:eastAsia="en-US"/>
              </w:rPr>
            </w:pPr>
            <w:r w:rsidRPr="00EB5AC1">
              <w:rPr>
                <w:szCs w:val="24"/>
                <w:lang w:val="en-GB" w:eastAsia="en-US"/>
              </w:rPr>
              <w:t>—</w:t>
            </w:r>
          </w:p>
        </w:tc>
        <w:tc>
          <w:tcPr>
            <w:tcW w:w="0" w:type="auto"/>
          </w:tcPr>
          <w:p w14:paraId="6962626D"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22</w:t>
            </w:r>
          </w:p>
        </w:tc>
      </w:tr>
      <w:tr w:rsidR="00EB5AC1" w:rsidRPr="00EB5AC1" w14:paraId="2D5116D8" w14:textId="77777777" w:rsidTr="00EB5AC1">
        <w:tc>
          <w:tcPr>
            <w:tcW w:w="0" w:type="auto"/>
          </w:tcPr>
          <w:p w14:paraId="49DA2D62" w14:textId="77777777" w:rsidR="00EB5AC1" w:rsidRPr="00EB5AC1" w:rsidRDefault="00EB5AC1" w:rsidP="00EB5AC1">
            <w:pPr>
              <w:spacing w:before="120" w:after="120" w:line="360" w:lineRule="auto"/>
              <w:rPr>
                <w:szCs w:val="24"/>
                <w:lang w:val="en-GB" w:eastAsia="en-US"/>
              </w:rPr>
            </w:pPr>
            <w:r w:rsidRPr="00EB5AC1">
              <w:rPr>
                <w:szCs w:val="24"/>
                <w:lang w:val="en-GB" w:eastAsia="en-US"/>
              </w:rPr>
              <w:t>—</w:t>
            </w:r>
          </w:p>
        </w:tc>
        <w:tc>
          <w:tcPr>
            <w:tcW w:w="0" w:type="auto"/>
          </w:tcPr>
          <w:p w14:paraId="520BE4B0"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23</w:t>
            </w:r>
          </w:p>
        </w:tc>
      </w:tr>
      <w:tr w:rsidR="00EB5AC1" w:rsidRPr="00EB5AC1" w14:paraId="499CE105" w14:textId="77777777" w:rsidTr="00EB5AC1">
        <w:tc>
          <w:tcPr>
            <w:tcW w:w="0" w:type="auto"/>
          </w:tcPr>
          <w:p w14:paraId="1AE62D52" w14:textId="77777777" w:rsidR="00EB5AC1" w:rsidRPr="00EB5AC1" w:rsidRDefault="00EB5AC1" w:rsidP="00EB5AC1">
            <w:pPr>
              <w:spacing w:before="120" w:after="120" w:line="360" w:lineRule="auto"/>
              <w:rPr>
                <w:szCs w:val="24"/>
                <w:lang w:val="en-GB" w:eastAsia="en-US"/>
              </w:rPr>
            </w:pPr>
            <w:r w:rsidRPr="00EB5AC1">
              <w:rPr>
                <w:szCs w:val="24"/>
                <w:lang w:val="en-GB" w:eastAsia="en-US"/>
              </w:rPr>
              <w:t>—</w:t>
            </w:r>
          </w:p>
        </w:tc>
        <w:tc>
          <w:tcPr>
            <w:tcW w:w="0" w:type="auto"/>
          </w:tcPr>
          <w:p w14:paraId="0B6555E5"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24</w:t>
            </w:r>
          </w:p>
        </w:tc>
      </w:tr>
      <w:tr w:rsidR="00EB5AC1" w:rsidRPr="00EB5AC1" w14:paraId="5D20E35E" w14:textId="77777777" w:rsidTr="00EB5AC1">
        <w:tc>
          <w:tcPr>
            <w:tcW w:w="0" w:type="auto"/>
          </w:tcPr>
          <w:p w14:paraId="22716AD0" w14:textId="77777777" w:rsidR="00EB5AC1" w:rsidRPr="00EB5AC1" w:rsidRDefault="00EB5AC1" w:rsidP="00EB5AC1">
            <w:pPr>
              <w:spacing w:before="120" w:after="120" w:line="360" w:lineRule="auto"/>
              <w:rPr>
                <w:szCs w:val="24"/>
                <w:lang w:val="en-GB" w:eastAsia="en-US"/>
              </w:rPr>
            </w:pPr>
            <w:r w:rsidRPr="00EB5AC1">
              <w:rPr>
                <w:szCs w:val="24"/>
                <w:lang w:val="en-GB" w:eastAsia="en-US"/>
              </w:rPr>
              <w:t>—</w:t>
            </w:r>
          </w:p>
        </w:tc>
        <w:tc>
          <w:tcPr>
            <w:tcW w:w="0" w:type="auto"/>
          </w:tcPr>
          <w:p w14:paraId="741B79E9"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25</w:t>
            </w:r>
          </w:p>
        </w:tc>
      </w:tr>
      <w:tr w:rsidR="00EB5AC1" w:rsidRPr="00EB5AC1" w14:paraId="7A1DB026" w14:textId="77777777" w:rsidTr="00EB5AC1">
        <w:tc>
          <w:tcPr>
            <w:tcW w:w="0" w:type="auto"/>
          </w:tcPr>
          <w:p w14:paraId="51BF7393" w14:textId="77777777" w:rsidR="00EB5AC1" w:rsidRPr="00EB5AC1" w:rsidRDefault="00EB5AC1" w:rsidP="00EB5AC1">
            <w:pPr>
              <w:spacing w:before="120" w:after="120" w:line="360" w:lineRule="auto"/>
              <w:rPr>
                <w:szCs w:val="24"/>
                <w:lang w:val="en-GB" w:eastAsia="en-US"/>
              </w:rPr>
            </w:pPr>
            <w:r w:rsidRPr="00EB5AC1">
              <w:rPr>
                <w:szCs w:val="24"/>
                <w:lang w:val="en-GB" w:eastAsia="en-US"/>
              </w:rPr>
              <w:t>—</w:t>
            </w:r>
          </w:p>
        </w:tc>
        <w:tc>
          <w:tcPr>
            <w:tcW w:w="0" w:type="auto"/>
          </w:tcPr>
          <w:p w14:paraId="38C1B3DB"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26</w:t>
            </w:r>
          </w:p>
        </w:tc>
      </w:tr>
      <w:tr w:rsidR="00EB5AC1" w:rsidRPr="00EB5AC1" w14:paraId="5B420182" w14:textId="77777777" w:rsidTr="00EB5AC1">
        <w:tc>
          <w:tcPr>
            <w:tcW w:w="0" w:type="auto"/>
          </w:tcPr>
          <w:p w14:paraId="5FFB889B" w14:textId="77777777" w:rsidR="00EB5AC1" w:rsidRPr="00EB5AC1" w:rsidRDefault="00EB5AC1" w:rsidP="00EB5AC1">
            <w:pPr>
              <w:spacing w:before="120" w:after="120" w:line="360" w:lineRule="auto"/>
              <w:rPr>
                <w:szCs w:val="24"/>
                <w:lang w:val="en-GB" w:eastAsia="en-US"/>
              </w:rPr>
            </w:pPr>
            <w:r w:rsidRPr="00EB5AC1">
              <w:rPr>
                <w:szCs w:val="24"/>
                <w:lang w:val="en-GB" w:eastAsia="en-US"/>
              </w:rPr>
              <w:t>—</w:t>
            </w:r>
          </w:p>
        </w:tc>
        <w:tc>
          <w:tcPr>
            <w:tcW w:w="0" w:type="auto"/>
          </w:tcPr>
          <w:p w14:paraId="4FB4843D"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27</w:t>
            </w:r>
          </w:p>
        </w:tc>
      </w:tr>
      <w:tr w:rsidR="00EB5AC1" w:rsidRPr="00EB5AC1" w14:paraId="443BCF93" w14:textId="77777777" w:rsidTr="00EB5AC1">
        <w:tc>
          <w:tcPr>
            <w:tcW w:w="0" w:type="auto"/>
          </w:tcPr>
          <w:p w14:paraId="0E40C0E8" w14:textId="77777777" w:rsidR="00EB5AC1" w:rsidRPr="00EB5AC1" w:rsidRDefault="00EB5AC1" w:rsidP="00EB5AC1">
            <w:pPr>
              <w:spacing w:before="120" w:after="120" w:line="360" w:lineRule="auto"/>
              <w:rPr>
                <w:szCs w:val="24"/>
                <w:lang w:val="en-GB" w:eastAsia="en-US"/>
              </w:rPr>
            </w:pPr>
            <w:r w:rsidRPr="00EB5AC1">
              <w:rPr>
                <w:szCs w:val="24"/>
                <w:lang w:val="en-GB" w:eastAsia="en-US"/>
              </w:rPr>
              <w:t>—</w:t>
            </w:r>
          </w:p>
        </w:tc>
        <w:tc>
          <w:tcPr>
            <w:tcW w:w="0" w:type="auto"/>
          </w:tcPr>
          <w:p w14:paraId="65352E3D"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28</w:t>
            </w:r>
          </w:p>
        </w:tc>
      </w:tr>
      <w:tr w:rsidR="00EB5AC1" w:rsidRPr="00EB5AC1" w14:paraId="69AB0A37" w14:textId="77777777" w:rsidTr="00EB5AC1">
        <w:tc>
          <w:tcPr>
            <w:tcW w:w="0" w:type="auto"/>
          </w:tcPr>
          <w:p w14:paraId="45970614" w14:textId="77777777" w:rsidR="00EB5AC1" w:rsidRPr="00EB5AC1" w:rsidRDefault="00EB5AC1" w:rsidP="00EB5AC1">
            <w:pPr>
              <w:spacing w:before="120" w:after="120" w:line="360" w:lineRule="auto"/>
              <w:rPr>
                <w:szCs w:val="24"/>
                <w:lang w:val="en-GB" w:eastAsia="en-US"/>
              </w:rPr>
            </w:pPr>
            <w:r w:rsidRPr="00EB5AC1">
              <w:rPr>
                <w:szCs w:val="24"/>
                <w:lang w:val="en-GB" w:eastAsia="en-US"/>
              </w:rPr>
              <w:t>—</w:t>
            </w:r>
          </w:p>
        </w:tc>
        <w:tc>
          <w:tcPr>
            <w:tcW w:w="0" w:type="auto"/>
          </w:tcPr>
          <w:p w14:paraId="4DD118A3"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29</w:t>
            </w:r>
          </w:p>
        </w:tc>
      </w:tr>
      <w:tr w:rsidR="00EB5AC1" w:rsidRPr="00EB5AC1" w14:paraId="49BBD516" w14:textId="77777777" w:rsidTr="00EB5AC1">
        <w:tc>
          <w:tcPr>
            <w:tcW w:w="0" w:type="auto"/>
          </w:tcPr>
          <w:p w14:paraId="61B3DA7D" w14:textId="77777777" w:rsidR="00EB5AC1" w:rsidRPr="00EB5AC1" w:rsidRDefault="00EB5AC1" w:rsidP="00EB5AC1">
            <w:pPr>
              <w:spacing w:before="120" w:after="120" w:line="360" w:lineRule="auto"/>
              <w:rPr>
                <w:szCs w:val="24"/>
                <w:lang w:val="en-GB" w:eastAsia="en-US"/>
              </w:rPr>
            </w:pPr>
            <w:r w:rsidRPr="00EB5AC1">
              <w:rPr>
                <w:szCs w:val="24"/>
                <w:lang w:val="en-GB" w:eastAsia="en-US"/>
              </w:rPr>
              <w:lastRenderedPageBreak/>
              <w:t>—</w:t>
            </w:r>
          </w:p>
        </w:tc>
        <w:tc>
          <w:tcPr>
            <w:tcW w:w="0" w:type="auto"/>
          </w:tcPr>
          <w:p w14:paraId="4BD1C693"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30</w:t>
            </w:r>
          </w:p>
        </w:tc>
      </w:tr>
      <w:tr w:rsidR="00EB5AC1" w:rsidRPr="00EB5AC1" w14:paraId="3A1B27A1" w14:textId="77777777" w:rsidTr="00EB5AC1">
        <w:tc>
          <w:tcPr>
            <w:tcW w:w="0" w:type="auto"/>
          </w:tcPr>
          <w:p w14:paraId="45EA851C" w14:textId="77777777" w:rsidR="00EB5AC1" w:rsidRPr="00EB5AC1" w:rsidRDefault="00EB5AC1" w:rsidP="00EB5AC1">
            <w:pPr>
              <w:spacing w:before="120" w:after="120" w:line="360" w:lineRule="auto"/>
              <w:rPr>
                <w:szCs w:val="24"/>
                <w:lang w:val="en-GB" w:eastAsia="en-US"/>
              </w:rPr>
            </w:pPr>
            <w:r w:rsidRPr="00EB5AC1">
              <w:rPr>
                <w:szCs w:val="24"/>
                <w:lang w:val="en-GB" w:eastAsia="en-US"/>
              </w:rPr>
              <w:t>—</w:t>
            </w:r>
          </w:p>
        </w:tc>
        <w:tc>
          <w:tcPr>
            <w:tcW w:w="0" w:type="auto"/>
          </w:tcPr>
          <w:p w14:paraId="51014E06"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31</w:t>
            </w:r>
          </w:p>
        </w:tc>
      </w:tr>
      <w:tr w:rsidR="00EB5AC1" w:rsidRPr="00EB5AC1" w14:paraId="0B15315A" w14:textId="77777777" w:rsidTr="00EB5AC1">
        <w:tc>
          <w:tcPr>
            <w:tcW w:w="0" w:type="auto"/>
          </w:tcPr>
          <w:p w14:paraId="3ECC1119" w14:textId="77777777" w:rsidR="00EB5AC1" w:rsidRPr="00EB5AC1" w:rsidRDefault="00EB5AC1" w:rsidP="00EB5AC1">
            <w:pPr>
              <w:spacing w:before="120" w:after="120" w:line="360" w:lineRule="auto"/>
              <w:rPr>
                <w:szCs w:val="24"/>
                <w:lang w:val="en-GB" w:eastAsia="en-US"/>
              </w:rPr>
            </w:pPr>
            <w:r w:rsidRPr="00EB5AC1">
              <w:rPr>
                <w:szCs w:val="24"/>
                <w:lang w:val="en-GB" w:eastAsia="en-US"/>
              </w:rPr>
              <w:t>—</w:t>
            </w:r>
          </w:p>
        </w:tc>
        <w:tc>
          <w:tcPr>
            <w:tcW w:w="0" w:type="auto"/>
          </w:tcPr>
          <w:p w14:paraId="35B8BC1B"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32</w:t>
            </w:r>
          </w:p>
        </w:tc>
      </w:tr>
      <w:tr w:rsidR="00EB5AC1" w:rsidRPr="00EB5AC1" w14:paraId="4301A308" w14:textId="77777777" w:rsidTr="00EB5AC1">
        <w:tc>
          <w:tcPr>
            <w:tcW w:w="0" w:type="auto"/>
          </w:tcPr>
          <w:p w14:paraId="4712FF7E" w14:textId="77777777" w:rsidR="00EB5AC1" w:rsidRPr="00EB5AC1" w:rsidRDefault="00EB5AC1" w:rsidP="00EB5AC1">
            <w:pPr>
              <w:spacing w:before="120" w:after="120" w:line="360" w:lineRule="auto"/>
              <w:rPr>
                <w:szCs w:val="24"/>
                <w:lang w:val="en-GB" w:eastAsia="en-US"/>
              </w:rPr>
            </w:pPr>
            <w:r w:rsidRPr="00EB5AC1">
              <w:rPr>
                <w:szCs w:val="24"/>
                <w:lang w:val="en-GB" w:eastAsia="en-US"/>
              </w:rPr>
              <w:t>—</w:t>
            </w:r>
          </w:p>
        </w:tc>
        <w:tc>
          <w:tcPr>
            <w:tcW w:w="0" w:type="auto"/>
          </w:tcPr>
          <w:p w14:paraId="3EE06EA6"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33</w:t>
            </w:r>
          </w:p>
        </w:tc>
      </w:tr>
      <w:tr w:rsidR="00EB5AC1" w:rsidRPr="00EB5AC1" w14:paraId="2026C0D7" w14:textId="77777777" w:rsidTr="00EB5AC1">
        <w:tc>
          <w:tcPr>
            <w:tcW w:w="0" w:type="auto"/>
          </w:tcPr>
          <w:p w14:paraId="30D843BF" w14:textId="77777777" w:rsidR="00EB5AC1" w:rsidRPr="00EB5AC1" w:rsidRDefault="00EB5AC1" w:rsidP="00EB5AC1">
            <w:pPr>
              <w:spacing w:before="120" w:after="120" w:line="360" w:lineRule="auto"/>
              <w:rPr>
                <w:szCs w:val="24"/>
                <w:lang w:val="en-GB" w:eastAsia="en-US"/>
              </w:rPr>
            </w:pPr>
            <w:r w:rsidRPr="00EB5AC1">
              <w:rPr>
                <w:szCs w:val="24"/>
                <w:lang w:val="en-GB" w:eastAsia="en-US"/>
              </w:rPr>
              <w:t>—</w:t>
            </w:r>
          </w:p>
        </w:tc>
        <w:tc>
          <w:tcPr>
            <w:tcW w:w="0" w:type="auto"/>
          </w:tcPr>
          <w:p w14:paraId="73ABC80E"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34</w:t>
            </w:r>
          </w:p>
        </w:tc>
      </w:tr>
      <w:tr w:rsidR="00EB5AC1" w:rsidRPr="00EB5AC1" w14:paraId="606B5AB8" w14:textId="77777777" w:rsidTr="00EB5AC1">
        <w:tc>
          <w:tcPr>
            <w:tcW w:w="0" w:type="auto"/>
          </w:tcPr>
          <w:p w14:paraId="09C0C669" w14:textId="77777777" w:rsidR="00EB5AC1" w:rsidRPr="00EB5AC1" w:rsidRDefault="00EB5AC1" w:rsidP="00EB5AC1">
            <w:pPr>
              <w:spacing w:before="120" w:after="120" w:line="360" w:lineRule="auto"/>
              <w:rPr>
                <w:szCs w:val="24"/>
                <w:lang w:val="en-GB" w:eastAsia="en-US"/>
              </w:rPr>
            </w:pPr>
            <w:r w:rsidRPr="00EB5AC1">
              <w:rPr>
                <w:szCs w:val="24"/>
                <w:lang w:val="en-GB" w:eastAsia="en-US"/>
              </w:rPr>
              <w:t>—</w:t>
            </w:r>
          </w:p>
        </w:tc>
        <w:tc>
          <w:tcPr>
            <w:tcW w:w="0" w:type="auto"/>
          </w:tcPr>
          <w:p w14:paraId="43885681"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35</w:t>
            </w:r>
          </w:p>
        </w:tc>
      </w:tr>
      <w:tr w:rsidR="00EB5AC1" w:rsidRPr="00EB5AC1" w14:paraId="1603CA74" w14:textId="77777777" w:rsidTr="00EB5AC1">
        <w:tc>
          <w:tcPr>
            <w:tcW w:w="0" w:type="auto"/>
          </w:tcPr>
          <w:p w14:paraId="1184261B" w14:textId="77777777" w:rsidR="00EB5AC1" w:rsidRPr="00EB5AC1" w:rsidRDefault="00EB5AC1" w:rsidP="00EB5AC1">
            <w:pPr>
              <w:spacing w:before="120" w:after="120" w:line="360" w:lineRule="auto"/>
              <w:rPr>
                <w:szCs w:val="24"/>
                <w:lang w:val="en-GB" w:eastAsia="en-US"/>
              </w:rPr>
            </w:pPr>
            <w:r w:rsidRPr="00EB5AC1">
              <w:rPr>
                <w:szCs w:val="24"/>
                <w:lang w:val="en-GB" w:eastAsia="en-US"/>
              </w:rPr>
              <w:t>—</w:t>
            </w:r>
          </w:p>
        </w:tc>
        <w:tc>
          <w:tcPr>
            <w:tcW w:w="0" w:type="auto"/>
          </w:tcPr>
          <w:p w14:paraId="15B68472"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36</w:t>
            </w:r>
          </w:p>
        </w:tc>
      </w:tr>
      <w:tr w:rsidR="00EB5AC1" w:rsidRPr="00EB5AC1" w14:paraId="64B2C0C1" w14:textId="77777777" w:rsidTr="00EB5AC1">
        <w:tc>
          <w:tcPr>
            <w:tcW w:w="0" w:type="auto"/>
          </w:tcPr>
          <w:p w14:paraId="2A7A9118" w14:textId="77777777" w:rsidR="00EB5AC1" w:rsidRPr="00EB5AC1" w:rsidRDefault="00EB5AC1" w:rsidP="00EB5AC1">
            <w:pPr>
              <w:spacing w:before="120" w:after="120" w:line="360" w:lineRule="auto"/>
              <w:rPr>
                <w:szCs w:val="24"/>
                <w:lang w:val="en-GB" w:eastAsia="en-US"/>
              </w:rPr>
            </w:pPr>
            <w:r w:rsidRPr="00EB5AC1">
              <w:rPr>
                <w:szCs w:val="24"/>
                <w:lang w:val="en-GB" w:eastAsia="en-US"/>
              </w:rPr>
              <w:t>—</w:t>
            </w:r>
          </w:p>
        </w:tc>
        <w:tc>
          <w:tcPr>
            <w:tcW w:w="0" w:type="auto"/>
          </w:tcPr>
          <w:p w14:paraId="3B1D0E1A"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37</w:t>
            </w:r>
          </w:p>
        </w:tc>
      </w:tr>
      <w:tr w:rsidR="00EB5AC1" w:rsidRPr="00EB5AC1" w14:paraId="33C99678" w14:textId="77777777" w:rsidTr="00EB5AC1">
        <w:tc>
          <w:tcPr>
            <w:tcW w:w="0" w:type="auto"/>
          </w:tcPr>
          <w:p w14:paraId="389986A1" w14:textId="77777777" w:rsidR="00EB5AC1" w:rsidRPr="00EB5AC1" w:rsidRDefault="00EB5AC1" w:rsidP="00EB5AC1">
            <w:pPr>
              <w:spacing w:before="120" w:after="120" w:line="360" w:lineRule="auto"/>
              <w:rPr>
                <w:szCs w:val="24"/>
                <w:lang w:val="en-GB" w:eastAsia="en-US"/>
              </w:rPr>
            </w:pPr>
            <w:r w:rsidRPr="00EB5AC1">
              <w:rPr>
                <w:szCs w:val="24"/>
                <w:lang w:val="en-GB" w:eastAsia="en-US"/>
              </w:rPr>
              <w:t>—</w:t>
            </w:r>
          </w:p>
        </w:tc>
        <w:tc>
          <w:tcPr>
            <w:tcW w:w="0" w:type="auto"/>
          </w:tcPr>
          <w:p w14:paraId="74CE9225"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38</w:t>
            </w:r>
          </w:p>
        </w:tc>
      </w:tr>
      <w:tr w:rsidR="00EB5AC1" w:rsidRPr="00EB5AC1" w14:paraId="69D955D5" w14:textId="77777777" w:rsidTr="00EB5AC1">
        <w:tc>
          <w:tcPr>
            <w:tcW w:w="0" w:type="auto"/>
          </w:tcPr>
          <w:p w14:paraId="579E4B57" w14:textId="77777777" w:rsidR="00EB5AC1" w:rsidRPr="00EB5AC1" w:rsidRDefault="00EB5AC1" w:rsidP="00EB5AC1">
            <w:pPr>
              <w:spacing w:before="120" w:after="120" w:line="360" w:lineRule="auto"/>
              <w:rPr>
                <w:szCs w:val="24"/>
                <w:lang w:val="en-GB" w:eastAsia="en-US"/>
              </w:rPr>
            </w:pPr>
            <w:r w:rsidRPr="00EB5AC1">
              <w:rPr>
                <w:szCs w:val="24"/>
                <w:lang w:val="en-GB" w:eastAsia="en-US"/>
              </w:rPr>
              <w:t>—</w:t>
            </w:r>
          </w:p>
        </w:tc>
        <w:tc>
          <w:tcPr>
            <w:tcW w:w="0" w:type="auto"/>
          </w:tcPr>
          <w:p w14:paraId="6EBD28F6"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39</w:t>
            </w:r>
          </w:p>
        </w:tc>
      </w:tr>
      <w:tr w:rsidR="00EB5AC1" w:rsidRPr="00EB5AC1" w14:paraId="07C8E6C4" w14:textId="77777777" w:rsidTr="00EB5AC1">
        <w:tc>
          <w:tcPr>
            <w:tcW w:w="0" w:type="auto"/>
          </w:tcPr>
          <w:p w14:paraId="51BEBEF2" w14:textId="77777777" w:rsidR="00EB5AC1" w:rsidRPr="00EB5AC1" w:rsidRDefault="00EB5AC1" w:rsidP="00EB5AC1">
            <w:pPr>
              <w:spacing w:before="120" w:after="120" w:line="360" w:lineRule="auto"/>
              <w:rPr>
                <w:szCs w:val="24"/>
                <w:lang w:val="en-GB" w:eastAsia="en-US"/>
              </w:rPr>
            </w:pPr>
            <w:r w:rsidRPr="00EB5AC1">
              <w:rPr>
                <w:szCs w:val="24"/>
                <w:lang w:val="en-GB" w:eastAsia="en-US"/>
              </w:rPr>
              <w:t>—</w:t>
            </w:r>
          </w:p>
        </w:tc>
        <w:tc>
          <w:tcPr>
            <w:tcW w:w="0" w:type="auto"/>
          </w:tcPr>
          <w:p w14:paraId="1DB01957"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40</w:t>
            </w:r>
          </w:p>
        </w:tc>
      </w:tr>
      <w:tr w:rsidR="00EB5AC1" w:rsidRPr="00EB5AC1" w14:paraId="12CF35FA" w14:textId="77777777" w:rsidTr="00EB5AC1">
        <w:tc>
          <w:tcPr>
            <w:tcW w:w="0" w:type="auto"/>
          </w:tcPr>
          <w:p w14:paraId="41499D9B" w14:textId="77777777" w:rsidR="00EB5AC1" w:rsidRPr="00EB5AC1" w:rsidRDefault="00EB5AC1" w:rsidP="00EB5AC1">
            <w:pPr>
              <w:spacing w:before="120" w:after="120" w:line="360" w:lineRule="auto"/>
              <w:rPr>
                <w:szCs w:val="24"/>
                <w:lang w:val="en-GB" w:eastAsia="en-US"/>
              </w:rPr>
            </w:pPr>
            <w:r w:rsidRPr="00EB5AC1">
              <w:rPr>
                <w:szCs w:val="24"/>
                <w:lang w:val="en-GB" w:eastAsia="en-US"/>
              </w:rPr>
              <w:t>—</w:t>
            </w:r>
          </w:p>
        </w:tc>
        <w:tc>
          <w:tcPr>
            <w:tcW w:w="0" w:type="auto"/>
          </w:tcPr>
          <w:p w14:paraId="40302A2F"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41</w:t>
            </w:r>
          </w:p>
        </w:tc>
      </w:tr>
      <w:tr w:rsidR="00EB5AC1" w:rsidRPr="00EB5AC1" w14:paraId="2C68C6EE" w14:textId="77777777" w:rsidTr="00EB5AC1">
        <w:tc>
          <w:tcPr>
            <w:tcW w:w="0" w:type="auto"/>
          </w:tcPr>
          <w:p w14:paraId="325676B0" w14:textId="77777777" w:rsidR="00EB5AC1" w:rsidRPr="00EB5AC1" w:rsidRDefault="00EB5AC1" w:rsidP="00EB5AC1">
            <w:pPr>
              <w:spacing w:before="120" w:after="120" w:line="360" w:lineRule="auto"/>
              <w:rPr>
                <w:szCs w:val="24"/>
                <w:lang w:val="en-GB" w:eastAsia="en-US"/>
              </w:rPr>
            </w:pPr>
            <w:r w:rsidRPr="00EB5AC1">
              <w:rPr>
                <w:szCs w:val="24"/>
                <w:lang w:val="en-GB" w:eastAsia="en-US"/>
              </w:rPr>
              <w:t>—</w:t>
            </w:r>
          </w:p>
        </w:tc>
        <w:tc>
          <w:tcPr>
            <w:tcW w:w="0" w:type="auto"/>
          </w:tcPr>
          <w:p w14:paraId="3A1400A0"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42</w:t>
            </w:r>
          </w:p>
        </w:tc>
      </w:tr>
      <w:tr w:rsidR="00EB5AC1" w:rsidRPr="00EB5AC1" w14:paraId="2488D425" w14:textId="77777777" w:rsidTr="00EB5AC1">
        <w:tc>
          <w:tcPr>
            <w:tcW w:w="0" w:type="auto"/>
          </w:tcPr>
          <w:p w14:paraId="4AA452E8" w14:textId="77777777" w:rsidR="00EB5AC1" w:rsidRPr="00EB5AC1" w:rsidRDefault="00EB5AC1" w:rsidP="00EB5AC1">
            <w:pPr>
              <w:spacing w:before="120" w:after="120" w:line="360" w:lineRule="auto"/>
              <w:rPr>
                <w:szCs w:val="24"/>
                <w:lang w:val="en-GB" w:eastAsia="en-US"/>
              </w:rPr>
            </w:pPr>
            <w:r w:rsidRPr="00EB5AC1">
              <w:rPr>
                <w:szCs w:val="24"/>
                <w:lang w:val="en-GB" w:eastAsia="en-US"/>
              </w:rPr>
              <w:t>—</w:t>
            </w:r>
          </w:p>
        </w:tc>
        <w:tc>
          <w:tcPr>
            <w:tcW w:w="0" w:type="auto"/>
          </w:tcPr>
          <w:p w14:paraId="1D0D5BD6"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43</w:t>
            </w:r>
          </w:p>
        </w:tc>
      </w:tr>
      <w:tr w:rsidR="00EB5AC1" w:rsidRPr="00EB5AC1" w14:paraId="7980D07D" w14:textId="77777777" w:rsidTr="00EB5AC1">
        <w:tc>
          <w:tcPr>
            <w:tcW w:w="0" w:type="auto"/>
          </w:tcPr>
          <w:p w14:paraId="303F5A25" w14:textId="77777777" w:rsidR="00EB5AC1" w:rsidRPr="00EB5AC1" w:rsidRDefault="00EB5AC1" w:rsidP="00EB5AC1">
            <w:pPr>
              <w:spacing w:before="120" w:after="120" w:line="360" w:lineRule="auto"/>
              <w:rPr>
                <w:szCs w:val="24"/>
                <w:lang w:val="en-GB" w:eastAsia="en-US"/>
              </w:rPr>
            </w:pPr>
            <w:r w:rsidRPr="00EB5AC1">
              <w:rPr>
                <w:szCs w:val="24"/>
                <w:lang w:val="en-GB" w:eastAsia="en-US"/>
              </w:rPr>
              <w:t>—</w:t>
            </w:r>
          </w:p>
        </w:tc>
        <w:tc>
          <w:tcPr>
            <w:tcW w:w="0" w:type="auto"/>
          </w:tcPr>
          <w:p w14:paraId="09721AF5"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44</w:t>
            </w:r>
          </w:p>
        </w:tc>
      </w:tr>
      <w:tr w:rsidR="00EB5AC1" w:rsidRPr="00EB5AC1" w14:paraId="4FA6414D" w14:textId="77777777" w:rsidTr="00EB5AC1">
        <w:tc>
          <w:tcPr>
            <w:tcW w:w="0" w:type="auto"/>
          </w:tcPr>
          <w:p w14:paraId="5DCB410C" w14:textId="77777777" w:rsidR="00EB5AC1" w:rsidRPr="00EB5AC1" w:rsidRDefault="00EB5AC1" w:rsidP="00EB5AC1">
            <w:pPr>
              <w:spacing w:before="120" w:after="120" w:line="360" w:lineRule="auto"/>
              <w:rPr>
                <w:szCs w:val="24"/>
                <w:lang w:val="en-GB" w:eastAsia="en-US"/>
              </w:rPr>
            </w:pPr>
            <w:r w:rsidRPr="00EB5AC1">
              <w:rPr>
                <w:szCs w:val="24"/>
                <w:lang w:val="en-GB" w:eastAsia="en-US"/>
              </w:rPr>
              <w:t>—</w:t>
            </w:r>
          </w:p>
        </w:tc>
        <w:tc>
          <w:tcPr>
            <w:tcW w:w="0" w:type="auto"/>
          </w:tcPr>
          <w:p w14:paraId="598B4A17"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45</w:t>
            </w:r>
          </w:p>
        </w:tc>
      </w:tr>
      <w:tr w:rsidR="00EB5AC1" w:rsidRPr="00EB5AC1" w14:paraId="6CBD1648" w14:textId="77777777" w:rsidTr="00EB5AC1">
        <w:tc>
          <w:tcPr>
            <w:tcW w:w="0" w:type="auto"/>
          </w:tcPr>
          <w:p w14:paraId="382404DC" w14:textId="77777777" w:rsidR="00EB5AC1" w:rsidRPr="00EB5AC1" w:rsidRDefault="00EB5AC1" w:rsidP="00EB5AC1">
            <w:pPr>
              <w:spacing w:before="120" w:after="120" w:line="360" w:lineRule="auto"/>
              <w:rPr>
                <w:szCs w:val="24"/>
                <w:lang w:val="en-GB" w:eastAsia="en-US"/>
              </w:rPr>
            </w:pPr>
            <w:r w:rsidRPr="00EB5AC1">
              <w:rPr>
                <w:szCs w:val="24"/>
                <w:lang w:val="en-GB" w:eastAsia="en-US"/>
              </w:rPr>
              <w:t>—</w:t>
            </w:r>
          </w:p>
        </w:tc>
        <w:tc>
          <w:tcPr>
            <w:tcW w:w="0" w:type="auto"/>
          </w:tcPr>
          <w:p w14:paraId="58DB3640"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46</w:t>
            </w:r>
          </w:p>
        </w:tc>
      </w:tr>
      <w:tr w:rsidR="00EB5AC1" w:rsidRPr="00EB5AC1" w14:paraId="6A415241" w14:textId="77777777" w:rsidTr="00EB5AC1">
        <w:tc>
          <w:tcPr>
            <w:tcW w:w="0" w:type="auto"/>
          </w:tcPr>
          <w:p w14:paraId="2D0CAA9D" w14:textId="77777777" w:rsidR="00EB5AC1" w:rsidRPr="00EB5AC1" w:rsidRDefault="00EB5AC1" w:rsidP="00EB5AC1">
            <w:pPr>
              <w:spacing w:before="120" w:after="120" w:line="360" w:lineRule="auto"/>
              <w:rPr>
                <w:szCs w:val="24"/>
                <w:lang w:val="en-GB" w:eastAsia="en-US"/>
              </w:rPr>
            </w:pPr>
            <w:r w:rsidRPr="00EB5AC1">
              <w:rPr>
                <w:szCs w:val="24"/>
                <w:lang w:val="en-GB" w:eastAsia="en-US"/>
              </w:rPr>
              <w:t>—</w:t>
            </w:r>
          </w:p>
        </w:tc>
        <w:tc>
          <w:tcPr>
            <w:tcW w:w="0" w:type="auto"/>
          </w:tcPr>
          <w:p w14:paraId="59FA1696"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47</w:t>
            </w:r>
          </w:p>
        </w:tc>
      </w:tr>
      <w:tr w:rsidR="00EB5AC1" w:rsidRPr="00EB5AC1" w14:paraId="4688EF0F" w14:textId="77777777" w:rsidTr="00EB5AC1">
        <w:tc>
          <w:tcPr>
            <w:tcW w:w="0" w:type="auto"/>
          </w:tcPr>
          <w:p w14:paraId="66FD78AE" w14:textId="77777777" w:rsidR="00EB5AC1" w:rsidRPr="00EB5AC1" w:rsidRDefault="00EB5AC1" w:rsidP="00EB5AC1">
            <w:pPr>
              <w:spacing w:before="120" w:after="120" w:line="360" w:lineRule="auto"/>
              <w:rPr>
                <w:szCs w:val="24"/>
                <w:lang w:val="en-GB" w:eastAsia="en-US"/>
              </w:rPr>
            </w:pPr>
            <w:r w:rsidRPr="00EB5AC1">
              <w:rPr>
                <w:szCs w:val="24"/>
                <w:lang w:val="en-GB" w:eastAsia="en-US"/>
              </w:rPr>
              <w:t>—</w:t>
            </w:r>
          </w:p>
        </w:tc>
        <w:tc>
          <w:tcPr>
            <w:tcW w:w="0" w:type="auto"/>
          </w:tcPr>
          <w:p w14:paraId="250B88B9"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48</w:t>
            </w:r>
          </w:p>
        </w:tc>
      </w:tr>
      <w:tr w:rsidR="00EB5AC1" w:rsidRPr="00EB5AC1" w14:paraId="262D6265" w14:textId="77777777" w:rsidTr="00EB5AC1">
        <w:tc>
          <w:tcPr>
            <w:tcW w:w="0" w:type="auto"/>
          </w:tcPr>
          <w:p w14:paraId="0E47E1BA" w14:textId="77777777" w:rsidR="00EB5AC1" w:rsidRPr="00EB5AC1" w:rsidRDefault="00EB5AC1" w:rsidP="00EB5AC1">
            <w:pPr>
              <w:spacing w:before="120" w:after="120" w:line="360" w:lineRule="auto"/>
              <w:rPr>
                <w:szCs w:val="24"/>
                <w:lang w:val="en-GB" w:eastAsia="en-US"/>
              </w:rPr>
            </w:pPr>
            <w:r w:rsidRPr="00EB5AC1">
              <w:rPr>
                <w:szCs w:val="24"/>
                <w:lang w:val="en-GB" w:eastAsia="en-US"/>
              </w:rPr>
              <w:t>—</w:t>
            </w:r>
          </w:p>
        </w:tc>
        <w:tc>
          <w:tcPr>
            <w:tcW w:w="0" w:type="auto"/>
          </w:tcPr>
          <w:p w14:paraId="76AB56C9"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49</w:t>
            </w:r>
          </w:p>
        </w:tc>
      </w:tr>
      <w:tr w:rsidR="00EB5AC1" w:rsidRPr="00EB5AC1" w14:paraId="6B7133B4" w14:textId="77777777" w:rsidTr="00EB5AC1">
        <w:tc>
          <w:tcPr>
            <w:tcW w:w="0" w:type="auto"/>
          </w:tcPr>
          <w:p w14:paraId="36247C75" w14:textId="77777777" w:rsidR="00EB5AC1" w:rsidRPr="00EB5AC1" w:rsidRDefault="00EB5AC1" w:rsidP="00EB5AC1">
            <w:pPr>
              <w:spacing w:before="120" w:after="120" w:line="360" w:lineRule="auto"/>
              <w:rPr>
                <w:szCs w:val="24"/>
                <w:lang w:val="en-GB" w:eastAsia="en-US"/>
              </w:rPr>
            </w:pPr>
            <w:r w:rsidRPr="00EB5AC1">
              <w:rPr>
                <w:szCs w:val="24"/>
                <w:lang w:val="en-GB" w:eastAsia="en-US"/>
              </w:rPr>
              <w:lastRenderedPageBreak/>
              <w:t>—</w:t>
            </w:r>
          </w:p>
        </w:tc>
        <w:tc>
          <w:tcPr>
            <w:tcW w:w="0" w:type="auto"/>
          </w:tcPr>
          <w:p w14:paraId="30C75E16"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50</w:t>
            </w:r>
          </w:p>
        </w:tc>
      </w:tr>
      <w:tr w:rsidR="00EB5AC1" w:rsidRPr="00EB5AC1" w14:paraId="49343D8B" w14:textId="77777777" w:rsidTr="00EB5AC1">
        <w:tc>
          <w:tcPr>
            <w:tcW w:w="0" w:type="auto"/>
          </w:tcPr>
          <w:p w14:paraId="70D965B1" w14:textId="77777777" w:rsidR="00EB5AC1" w:rsidRPr="00EB5AC1" w:rsidRDefault="00EB5AC1" w:rsidP="00EB5AC1">
            <w:pPr>
              <w:spacing w:before="120" w:after="120" w:line="360" w:lineRule="auto"/>
              <w:rPr>
                <w:szCs w:val="24"/>
                <w:lang w:val="en-GB" w:eastAsia="en-US"/>
              </w:rPr>
            </w:pPr>
            <w:r w:rsidRPr="00EB5AC1">
              <w:rPr>
                <w:szCs w:val="24"/>
                <w:lang w:val="en-GB" w:eastAsia="en-US"/>
              </w:rPr>
              <w:t>—</w:t>
            </w:r>
          </w:p>
        </w:tc>
        <w:tc>
          <w:tcPr>
            <w:tcW w:w="0" w:type="auto"/>
          </w:tcPr>
          <w:p w14:paraId="5F1F2751"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51</w:t>
            </w:r>
          </w:p>
        </w:tc>
      </w:tr>
      <w:tr w:rsidR="00EB5AC1" w:rsidRPr="00EB5AC1" w14:paraId="0C5C1E98" w14:textId="77777777" w:rsidTr="00EB5AC1">
        <w:tc>
          <w:tcPr>
            <w:tcW w:w="0" w:type="auto"/>
          </w:tcPr>
          <w:p w14:paraId="7429E5A5" w14:textId="77777777" w:rsidR="00EB5AC1" w:rsidRPr="00EB5AC1" w:rsidRDefault="00EB5AC1" w:rsidP="00EB5AC1">
            <w:pPr>
              <w:spacing w:before="120" w:after="120" w:line="360" w:lineRule="auto"/>
              <w:rPr>
                <w:szCs w:val="24"/>
                <w:lang w:val="en-GB" w:eastAsia="en-US"/>
              </w:rPr>
            </w:pPr>
            <w:r w:rsidRPr="00EB5AC1">
              <w:rPr>
                <w:szCs w:val="24"/>
                <w:lang w:val="en-GB" w:eastAsia="en-US"/>
              </w:rPr>
              <w:t>—</w:t>
            </w:r>
          </w:p>
        </w:tc>
        <w:tc>
          <w:tcPr>
            <w:tcW w:w="0" w:type="auto"/>
          </w:tcPr>
          <w:p w14:paraId="065BD737"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52</w:t>
            </w:r>
          </w:p>
        </w:tc>
      </w:tr>
      <w:tr w:rsidR="00EB5AC1" w:rsidRPr="00EB5AC1" w14:paraId="5C47B2F4" w14:textId="77777777" w:rsidTr="00EB5AC1">
        <w:tc>
          <w:tcPr>
            <w:tcW w:w="0" w:type="auto"/>
          </w:tcPr>
          <w:p w14:paraId="450E56E1" w14:textId="77777777" w:rsidR="00EB5AC1" w:rsidRPr="00EB5AC1" w:rsidRDefault="00EB5AC1" w:rsidP="00EB5AC1">
            <w:pPr>
              <w:spacing w:before="120" w:after="120" w:line="360" w:lineRule="auto"/>
              <w:rPr>
                <w:szCs w:val="24"/>
                <w:lang w:val="en-GB" w:eastAsia="en-US"/>
              </w:rPr>
            </w:pPr>
            <w:r w:rsidRPr="00EB5AC1">
              <w:rPr>
                <w:szCs w:val="24"/>
                <w:lang w:val="en-GB" w:eastAsia="en-US"/>
              </w:rPr>
              <w:t>—</w:t>
            </w:r>
          </w:p>
        </w:tc>
        <w:tc>
          <w:tcPr>
            <w:tcW w:w="0" w:type="auto"/>
          </w:tcPr>
          <w:p w14:paraId="5227CF47"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53</w:t>
            </w:r>
          </w:p>
        </w:tc>
      </w:tr>
      <w:tr w:rsidR="00EB5AC1" w:rsidRPr="00EB5AC1" w14:paraId="3955F50D" w14:textId="77777777" w:rsidTr="00EB5AC1">
        <w:tc>
          <w:tcPr>
            <w:tcW w:w="0" w:type="auto"/>
          </w:tcPr>
          <w:p w14:paraId="45A92484"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20</w:t>
            </w:r>
          </w:p>
        </w:tc>
        <w:tc>
          <w:tcPr>
            <w:tcW w:w="0" w:type="auto"/>
          </w:tcPr>
          <w:p w14:paraId="04EAA8AF" w14:textId="77777777" w:rsidR="00EB5AC1" w:rsidRPr="00EB5AC1" w:rsidRDefault="00EB5AC1" w:rsidP="00EB5AC1">
            <w:pPr>
              <w:spacing w:before="120" w:after="120" w:line="360" w:lineRule="auto"/>
              <w:rPr>
                <w:szCs w:val="24"/>
                <w:lang w:val="en-GB" w:eastAsia="en-US"/>
              </w:rPr>
            </w:pPr>
            <w:r w:rsidRPr="00EB5AC1">
              <w:rPr>
                <w:szCs w:val="24"/>
                <w:lang w:val="en-GB" w:eastAsia="en-US"/>
              </w:rPr>
              <w:t>—</w:t>
            </w:r>
          </w:p>
        </w:tc>
      </w:tr>
      <w:tr w:rsidR="00EB5AC1" w:rsidRPr="00EB5AC1" w14:paraId="32042CDB" w14:textId="77777777" w:rsidTr="00EB5AC1">
        <w:tc>
          <w:tcPr>
            <w:tcW w:w="0" w:type="auto"/>
          </w:tcPr>
          <w:p w14:paraId="31A6C565"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21.1</w:t>
            </w:r>
          </w:p>
        </w:tc>
        <w:tc>
          <w:tcPr>
            <w:tcW w:w="0" w:type="auto"/>
          </w:tcPr>
          <w:p w14:paraId="65EF8D14" w14:textId="77777777" w:rsidR="00EB5AC1" w:rsidRPr="00EB5AC1" w:rsidRDefault="00EB5AC1" w:rsidP="00EB5AC1">
            <w:pPr>
              <w:spacing w:before="120" w:after="120" w:line="360" w:lineRule="auto"/>
              <w:rPr>
                <w:szCs w:val="24"/>
                <w:lang w:val="en-GB" w:eastAsia="en-US"/>
              </w:rPr>
            </w:pPr>
            <w:r w:rsidRPr="00EB5AC1">
              <w:rPr>
                <w:szCs w:val="24"/>
                <w:lang w:val="en-GB" w:eastAsia="en-US"/>
              </w:rPr>
              <w:t>—</w:t>
            </w:r>
          </w:p>
        </w:tc>
      </w:tr>
      <w:tr w:rsidR="00EB5AC1" w:rsidRPr="00EB5AC1" w14:paraId="48138684" w14:textId="77777777" w:rsidTr="00EB5AC1">
        <w:tc>
          <w:tcPr>
            <w:tcW w:w="0" w:type="auto"/>
          </w:tcPr>
          <w:p w14:paraId="6539994F"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21.2</w:t>
            </w:r>
          </w:p>
        </w:tc>
        <w:tc>
          <w:tcPr>
            <w:tcW w:w="0" w:type="auto"/>
          </w:tcPr>
          <w:p w14:paraId="6DBB5E0A"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54</w:t>
            </w:r>
          </w:p>
        </w:tc>
      </w:tr>
      <w:tr w:rsidR="00EB5AC1" w:rsidRPr="00EB5AC1" w14:paraId="5B2C1DEA" w14:textId="77777777" w:rsidTr="00EB5AC1">
        <w:tc>
          <w:tcPr>
            <w:tcW w:w="0" w:type="auto"/>
          </w:tcPr>
          <w:p w14:paraId="301C4A8C" w14:textId="77777777" w:rsidR="00EB5AC1" w:rsidRPr="00EB5AC1" w:rsidRDefault="00EB5AC1" w:rsidP="00EB5AC1">
            <w:pPr>
              <w:spacing w:before="120" w:after="120" w:line="360" w:lineRule="auto"/>
              <w:rPr>
                <w:szCs w:val="24"/>
                <w:lang w:val="en-GB" w:eastAsia="en-US"/>
              </w:rPr>
            </w:pPr>
            <w:r w:rsidRPr="00EB5AC1">
              <w:rPr>
                <w:szCs w:val="24"/>
                <w:lang w:val="en-GB" w:eastAsia="en-US"/>
              </w:rPr>
              <w:t>—</w:t>
            </w:r>
          </w:p>
        </w:tc>
        <w:tc>
          <w:tcPr>
            <w:tcW w:w="0" w:type="auto"/>
          </w:tcPr>
          <w:p w14:paraId="4864B978"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55</w:t>
            </w:r>
          </w:p>
        </w:tc>
      </w:tr>
      <w:tr w:rsidR="00EB5AC1" w:rsidRPr="00EB5AC1" w14:paraId="2D2E9C7D" w14:textId="77777777" w:rsidTr="00EB5AC1">
        <w:tc>
          <w:tcPr>
            <w:tcW w:w="0" w:type="auto"/>
          </w:tcPr>
          <w:p w14:paraId="4684745F" w14:textId="77777777" w:rsidR="00EB5AC1" w:rsidRPr="00EB5AC1" w:rsidRDefault="00EB5AC1" w:rsidP="00EB5AC1">
            <w:pPr>
              <w:spacing w:before="120" w:after="120" w:line="360" w:lineRule="auto"/>
              <w:rPr>
                <w:szCs w:val="24"/>
                <w:lang w:val="en-GB" w:eastAsia="en-US"/>
              </w:rPr>
            </w:pPr>
            <w:r w:rsidRPr="00EB5AC1">
              <w:rPr>
                <w:szCs w:val="24"/>
                <w:lang w:val="en-GB" w:eastAsia="en-US"/>
              </w:rPr>
              <w:t>—</w:t>
            </w:r>
          </w:p>
        </w:tc>
        <w:tc>
          <w:tcPr>
            <w:tcW w:w="0" w:type="auto"/>
          </w:tcPr>
          <w:p w14:paraId="62713C99"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56</w:t>
            </w:r>
          </w:p>
        </w:tc>
      </w:tr>
      <w:tr w:rsidR="00EB5AC1" w:rsidRPr="00EB5AC1" w14:paraId="3C586565" w14:textId="77777777" w:rsidTr="00EB5AC1">
        <w:tc>
          <w:tcPr>
            <w:tcW w:w="0" w:type="auto"/>
          </w:tcPr>
          <w:p w14:paraId="70363841"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21a</w:t>
            </w:r>
          </w:p>
        </w:tc>
        <w:tc>
          <w:tcPr>
            <w:tcW w:w="0" w:type="auto"/>
          </w:tcPr>
          <w:p w14:paraId="6B191570"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57.1</w:t>
            </w:r>
          </w:p>
        </w:tc>
      </w:tr>
      <w:tr w:rsidR="00EB5AC1" w:rsidRPr="00EB5AC1" w14:paraId="35F10AC7" w14:textId="77777777" w:rsidTr="00EB5AC1">
        <w:tc>
          <w:tcPr>
            <w:tcW w:w="0" w:type="auto"/>
          </w:tcPr>
          <w:p w14:paraId="2636A956" w14:textId="77777777" w:rsidR="00EB5AC1" w:rsidRPr="00EB5AC1" w:rsidRDefault="00EB5AC1" w:rsidP="00EB5AC1">
            <w:pPr>
              <w:spacing w:before="120" w:after="120" w:line="360" w:lineRule="auto"/>
              <w:rPr>
                <w:szCs w:val="24"/>
                <w:lang w:val="en-GB" w:eastAsia="en-US"/>
              </w:rPr>
            </w:pPr>
            <w:r w:rsidRPr="00EB5AC1">
              <w:rPr>
                <w:szCs w:val="24"/>
                <w:lang w:val="en-GB" w:eastAsia="en-US"/>
              </w:rPr>
              <w:t>—</w:t>
            </w:r>
          </w:p>
        </w:tc>
        <w:tc>
          <w:tcPr>
            <w:tcW w:w="0" w:type="auto"/>
          </w:tcPr>
          <w:p w14:paraId="1A0B1353"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57.2</w:t>
            </w:r>
          </w:p>
        </w:tc>
      </w:tr>
      <w:tr w:rsidR="00EB5AC1" w:rsidRPr="00EB5AC1" w14:paraId="097BD93B" w14:textId="77777777" w:rsidTr="00EB5AC1">
        <w:tc>
          <w:tcPr>
            <w:tcW w:w="0" w:type="auto"/>
          </w:tcPr>
          <w:p w14:paraId="7B3753E6" w14:textId="77777777" w:rsidR="00EB5AC1" w:rsidRPr="00EB5AC1" w:rsidRDefault="00EB5AC1" w:rsidP="00EB5AC1">
            <w:pPr>
              <w:spacing w:before="120" w:after="120" w:line="360" w:lineRule="auto"/>
              <w:rPr>
                <w:szCs w:val="24"/>
                <w:lang w:val="en-GB" w:eastAsia="en-US"/>
              </w:rPr>
            </w:pPr>
            <w:r w:rsidRPr="00EB5AC1">
              <w:rPr>
                <w:szCs w:val="24"/>
                <w:lang w:val="en-GB" w:eastAsia="en-US"/>
              </w:rPr>
              <w:t>—</w:t>
            </w:r>
          </w:p>
        </w:tc>
        <w:tc>
          <w:tcPr>
            <w:tcW w:w="0" w:type="auto"/>
          </w:tcPr>
          <w:p w14:paraId="149A9611"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58</w:t>
            </w:r>
          </w:p>
        </w:tc>
      </w:tr>
      <w:tr w:rsidR="00EB5AC1" w:rsidRPr="00EB5AC1" w14:paraId="141AB28F" w14:textId="77777777" w:rsidTr="00EB5AC1">
        <w:tc>
          <w:tcPr>
            <w:tcW w:w="0" w:type="auto"/>
          </w:tcPr>
          <w:p w14:paraId="6F4951BF"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22</w:t>
            </w:r>
          </w:p>
        </w:tc>
        <w:tc>
          <w:tcPr>
            <w:tcW w:w="0" w:type="auto"/>
          </w:tcPr>
          <w:p w14:paraId="6AD1F7C2"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59</w:t>
            </w:r>
          </w:p>
        </w:tc>
      </w:tr>
      <w:tr w:rsidR="00EB5AC1" w:rsidRPr="00EB5AC1" w14:paraId="1E2A307D" w14:textId="77777777" w:rsidTr="00EB5AC1">
        <w:tc>
          <w:tcPr>
            <w:tcW w:w="0" w:type="auto"/>
          </w:tcPr>
          <w:p w14:paraId="5F40CCC6"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23</w:t>
            </w:r>
          </w:p>
        </w:tc>
        <w:tc>
          <w:tcPr>
            <w:tcW w:w="0" w:type="auto"/>
          </w:tcPr>
          <w:p w14:paraId="53FCA3F1" w14:textId="77777777" w:rsidR="00EB5AC1" w:rsidRPr="00EB5AC1" w:rsidRDefault="00EB5AC1" w:rsidP="00EB5AC1">
            <w:pPr>
              <w:spacing w:before="120" w:after="120" w:line="360" w:lineRule="auto"/>
              <w:rPr>
                <w:szCs w:val="24"/>
                <w:lang w:val="en-GB" w:eastAsia="en-US"/>
              </w:rPr>
            </w:pPr>
            <w:r w:rsidRPr="00EB5AC1">
              <w:rPr>
                <w:szCs w:val="24"/>
                <w:lang w:val="en-GB" w:eastAsia="en-US"/>
              </w:rPr>
              <w:t>Artikel 60</w:t>
            </w:r>
          </w:p>
        </w:tc>
      </w:tr>
      <w:tr w:rsidR="00EB5AC1" w:rsidRPr="00EB5AC1" w14:paraId="2A03093B" w14:textId="77777777" w:rsidTr="00EB5AC1">
        <w:tc>
          <w:tcPr>
            <w:tcW w:w="0" w:type="auto"/>
          </w:tcPr>
          <w:p w14:paraId="53930061" w14:textId="77777777" w:rsidR="00EB5AC1" w:rsidRPr="00EB5AC1" w:rsidRDefault="00EB5AC1" w:rsidP="00EB5AC1">
            <w:pPr>
              <w:spacing w:before="120" w:after="120" w:line="360" w:lineRule="auto"/>
              <w:rPr>
                <w:szCs w:val="24"/>
                <w:lang w:val="en-GB" w:eastAsia="en-US"/>
              </w:rPr>
            </w:pPr>
            <w:r w:rsidRPr="00EB5AC1">
              <w:rPr>
                <w:szCs w:val="24"/>
                <w:lang w:val="en-GB" w:eastAsia="en-US"/>
              </w:rPr>
              <w:t>Bilaga 1</w:t>
            </w:r>
          </w:p>
        </w:tc>
        <w:tc>
          <w:tcPr>
            <w:tcW w:w="0" w:type="auto"/>
          </w:tcPr>
          <w:p w14:paraId="49826254" w14:textId="77777777" w:rsidR="00EB5AC1" w:rsidRPr="00EB5AC1" w:rsidRDefault="00EB5AC1" w:rsidP="00EB5AC1">
            <w:pPr>
              <w:spacing w:before="120" w:after="120" w:line="360" w:lineRule="auto"/>
              <w:rPr>
                <w:szCs w:val="24"/>
                <w:lang w:val="en-GB" w:eastAsia="en-US"/>
              </w:rPr>
            </w:pPr>
            <w:r w:rsidRPr="00EB5AC1">
              <w:rPr>
                <w:szCs w:val="24"/>
                <w:lang w:val="en-GB" w:eastAsia="en-US"/>
              </w:rPr>
              <w:t>Bilaga I</w:t>
            </w:r>
          </w:p>
        </w:tc>
      </w:tr>
      <w:tr w:rsidR="00EB5AC1" w:rsidRPr="00EB5AC1" w14:paraId="23DBD457" w14:textId="77777777" w:rsidTr="00EB5AC1">
        <w:tc>
          <w:tcPr>
            <w:tcW w:w="0" w:type="auto"/>
          </w:tcPr>
          <w:p w14:paraId="5185F8AB" w14:textId="77777777" w:rsidR="00EB5AC1" w:rsidRPr="00EB5AC1" w:rsidRDefault="00EB5AC1" w:rsidP="00EB5AC1">
            <w:pPr>
              <w:spacing w:before="120" w:after="120" w:line="360" w:lineRule="auto"/>
              <w:rPr>
                <w:szCs w:val="24"/>
                <w:lang w:val="en-GB" w:eastAsia="en-US"/>
              </w:rPr>
            </w:pPr>
            <w:r w:rsidRPr="00EB5AC1">
              <w:rPr>
                <w:szCs w:val="24"/>
                <w:lang w:val="en-GB" w:eastAsia="en-US"/>
              </w:rPr>
              <w:t>Bilaga -I</w:t>
            </w:r>
          </w:p>
        </w:tc>
        <w:tc>
          <w:tcPr>
            <w:tcW w:w="0" w:type="auto"/>
          </w:tcPr>
          <w:p w14:paraId="1BA1A8F7" w14:textId="77777777" w:rsidR="00EB5AC1" w:rsidRPr="00EB5AC1" w:rsidRDefault="00EB5AC1" w:rsidP="00EB5AC1">
            <w:pPr>
              <w:spacing w:before="120" w:after="120" w:line="360" w:lineRule="auto"/>
              <w:rPr>
                <w:szCs w:val="24"/>
                <w:lang w:val="en-GB" w:eastAsia="en-US"/>
              </w:rPr>
            </w:pPr>
            <w:r w:rsidRPr="00EB5AC1">
              <w:rPr>
                <w:szCs w:val="24"/>
                <w:lang w:val="en-GB" w:eastAsia="en-US"/>
              </w:rPr>
              <w:t>Bilaga II</w:t>
            </w:r>
          </w:p>
        </w:tc>
      </w:tr>
      <w:tr w:rsidR="00EB5AC1" w:rsidRPr="00EB5AC1" w14:paraId="6D98B8D0" w14:textId="77777777" w:rsidTr="00EB5AC1">
        <w:tc>
          <w:tcPr>
            <w:tcW w:w="0" w:type="auto"/>
          </w:tcPr>
          <w:p w14:paraId="436DC175" w14:textId="77777777" w:rsidR="00EB5AC1" w:rsidRPr="00EB5AC1" w:rsidRDefault="00EB5AC1" w:rsidP="00EB5AC1">
            <w:pPr>
              <w:spacing w:before="120" w:after="120" w:line="360" w:lineRule="auto"/>
              <w:rPr>
                <w:szCs w:val="24"/>
                <w:lang w:val="en-GB" w:eastAsia="en-US"/>
              </w:rPr>
            </w:pPr>
            <w:r w:rsidRPr="00EB5AC1">
              <w:rPr>
                <w:szCs w:val="24"/>
                <w:lang w:val="en-GB" w:eastAsia="en-US"/>
              </w:rPr>
              <w:t>Bilaga -Ia</w:t>
            </w:r>
          </w:p>
        </w:tc>
        <w:tc>
          <w:tcPr>
            <w:tcW w:w="0" w:type="auto"/>
          </w:tcPr>
          <w:p w14:paraId="64A373A7" w14:textId="77777777" w:rsidR="00EB5AC1" w:rsidRPr="00EB5AC1" w:rsidRDefault="00EB5AC1" w:rsidP="00EB5AC1">
            <w:pPr>
              <w:spacing w:before="120" w:after="120" w:line="360" w:lineRule="auto"/>
              <w:rPr>
                <w:szCs w:val="24"/>
                <w:lang w:val="en-GB" w:eastAsia="en-US"/>
              </w:rPr>
            </w:pPr>
            <w:r w:rsidRPr="00EB5AC1">
              <w:rPr>
                <w:szCs w:val="24"/>
                <w:lang w:val="en-GB" w:eastAsia="en-US"/>
              </w:rPr>
              <w:t>Bilaga III</w:t>
            </w:r>
          </w:p>
        </w:tc>
      </w:tr>
      <w:tr w:rsidR="00EB5AC1" w:rsidRPr="00EB5AC1" w14:paraId="5F0B4FD9" w14:textId="77777777" w:rsidTr="00EB5AC1">
        <w:tc>
          <w:tcPr>
            <w:tcW w:w="0" w:type="auto"/>
          </w:tcPr>
          <w:p w14:paraId="16F6FA07" w14:textId="77777777" w:rsidR="00EB5AC1" w:rsidRPr="00EB5AC1" w:rsidRDefault="00EB5AC1" w:rsidP="00EB5AC1">
            <w:pPr>
              <w:spacing w:before="120" w:after="120" w:line="360" w:lineRule="auto"/>
              <w:rPr>
                <w:szCs w:val="24"/>
                <w:lang w:val="en-GB" w:eastAsia="en-US"/>
              </w:rPr>
            </w:pPr>
            <w:r w:rsidRPr="00EB5AC1">
              <w:rPr>
                <w:szCs w:val="24"/>
                <w:lang w:val="en-GB" w:eastAsia="en-US"/>
              </w:rPr>
              <w:t>—</w:t>
            </w:r>
          </w:p>
        </w:tc>
        <w:tc>
          <w:tcPr>
            <w:tcW w:w="0" w:type="auto"/>
          </w:tcPr>
          <w:p w14:paraId="1BE298C4" w14:textId="77777777" w:rsidR="00EB5AC1" w:rsidRPr="00EB5AC1" w:rsidRDefault="00EB5AC1" w:rsidP="00EB5AC1">
            <w:pPr>
              <w:spacing w:before="120" w:after="120" w:line="360" w:lineRule="auto"/>
              <w:rPr>
                <w:szCs w:val="24"/>
                <w:lang w:val="en-GB" w:eastAsia="en-US"/>
              </w:rPr>
            </w:pPr>
            <w:r w:rsidRPr="00EB5AC1">
              <w:rPr>
                <w:szCs w:val="24"/>
                <w:lang w:val="en-GB" w:eastAsia="en-US"/>
              </w:rPr>
              <w:t>Bilaga IV</w:t>
            </w:r>
          </w:p>
        </w:tc>
      </w:tr>
    </w:tbl>
    <w:p w14:paraId="50031DF5" w14:textId="77777777" w:rsidR="00EB5AC1" w:rsidRPr="00EB5AC1" w:rsidRDefault="00EB5AC1" w:rsidP="00EB5AC1">
      <w:pPr>
        <w:spacing w:before="120" w:after="120" w:line="360" w:lineRule="auto"/>
        <w:rPr>
          <w:szCs w:val="24"/>
          <w:lang w:val="en-GB" w:eastAsia="en-US"/>
        </w:rPr>
      </w:pPr>
    </w:p>
    <w:p w14:paraId="22A12FF3" w14:textId="77777777" w:rsidR="00BE35FB" w:rsidRPr="00870207" w:rsidRDefault="00BE35FB" w:rsidP="00BE35FB">
      <w:pPr>
        <w:pStyle w:val="NormalHanging12a"/>
        <w:widowControl/>
      </w:pPr>
    </w:p>
    <w:sectPr w:rsidR="00BE35FB" w:rsidRPr="00870207">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31CAC5" w14:textId="77777777" w:rsidR="001B2204" w:rsidRPr="00637380" w:rsidRDefault="001B2204">
      <w:r w:rsidRPr="00637380">
        <w:separator/>
      </w:r>
    </w:p>
  </w:endnote>
  <w:endnote w:type="continuationSeparator" w:id="0">
    <w:p w14:paraId="33D96ACC" w14:textId="77777777" w:rsidR="001B2204" w:rsidRPr="00637380" w:rsidRDefault="001B2204">
      <w:r w:rsidRPr="006373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B210D" w14:textId="77777777" w:rsidR="001B2204" w:rsidRDefault="001B2204">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3E434" w14:textId="77777777" w:rsidR="001B2204" w:rsidRDefault="001B2204">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393DF" w14:textId="77777777" w:rsidR="001B2204" w:rsidRDefault="001B2204">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83DFDE" w14:textId="77777777" w:rsidR="001B2204" w:rsidRPr="00637380" w:rsidRDefault="001B2204">
      <w:r w:rsidRPr="00637380">
        <w:separator/>
      </w:r>
    </w:p>
  </w:footnote>
  <w:footnote w:type="continuationSeparator" w:id="0">
    <w:p w14:paraId="4E09520B" w14:textId="77777777" w:rsidR="001B2204" w:rsidRPr="00637380" w:rsidRDefault="001B2204">
      <w:r w:rsidRPr="00637380">
        <w:continuationSeparator/>
      </w:r>
    </w:p>
  </w:footnote>
  <w:footnote w:id="1">
    <w:p w14:paraId="1E445931" w14:textId="77777777" w:rsidR="001B2204" w:rsidRPr="00870207" w:rsidRDefault="001B2204" w:rsidP="00637380">
      <w:pPr>
        <w:pStyle w:val="FootnoteText"/>
        <w:ind w:left="567" w:hanging="567"/>
        <w:rPr>
          <w:sz w:val="24"/>
          <w:lang w:val="fi-FI"/>
        </w:rPr>
      </w:pPr>
      <w:r w:rsidRPr="00870207">
        <w:rPr>
          <w:rStyle w:val="FootnoteReference"/>
          <w:sz w:val="24"/>
          <w:lang w:val="sv-SE"/>
        </w:rPr>
        <w:footnoteRef/>
      </w:r>
      <w:r w:rsidRPr="00870207">
        <w:rPr>
          <w:sz w:val="24"/>
          <w:lang w:val="fi-FI"/>
        </w:rPr>
        <w:t xml:space="preserve"> </w:t>
      </w:r>
      <w:r w:rsidRPr="00870207">
        <w:rPr>
          <w:sz w:val="24"/>
          <w:lang w:val="fi-FI"/>
        </w:rPr>
        <w:tab/>
        <w:t xml:space="preserve">EUT C, C/2023/865, 8.12.2023, ELI: </w:t>
      </w:r>
      <w:hyperlink r:id="rId1" w:history="1">
        <w:r w:rsidRPr="00870207">
          <w:rPr>
            <w:rStyle w:val="Hyperlink"/>
            <w:color w:val="auto"/>
            <w:sz w:val="24"/>
            <w:u w:val="none"/>
            <w:lang w:val="fi-FI"/>
          </w:rPr>
          <w:t>http://data.europa.eu/eli/C/2023/865/oj</w:t>
        </w:r>
      </w:hyperlink>
      <w:r w:rsidRPr="00870207">
        <w:rPr>
          <w:sz w:val="24"/>
          <w:lang w:val="fi-FI"/>
        </w:rPr>
        <w:t>.</w:t>
      </w:r>
    </w:p>
  </w:footnote>
  <w:footnote w:id="2">
    <w:p w14:paraId="3F1E6E37" w14:textId="77777777" w:rsidR="001B2204" w:rsidRPr="00277D77" w:rsidRDefault="001B2204" w:rsidP="00637380">
      <w:pPr>
        <w:pStyle w:val="FootnoteText"/>
        <w:ind w:left="567" w:hanging="567"/>
        <w:rPr>
          <w:sz w:val="24"/>
          <w:lang w:val="fi-FI"/>
        </w:rPr>
      </w:pPr>
      <w:r w:rsidRPr="00870207">
        <w:rPr>
          <w:rStyle w:val="FootnoteReference"/>
          <w:sz w:val="24"/>
          <w:lang w:val="sv-SE"/>
        </w:rPr>
        <w:footnoteRef/>
      </w:r>
      <w:r w:rsidRPr="00277D77">
        <w:rPr>
          <w:sz w:val="24"/>
          <w:lang w:val="fi-FI"/>
        </w:rPr>
        <w:t xml:space="preserve"> </w:t>
      </w:r>
      <w:r w:rsidRPr="00277D77">
        <w:rPr>
          <w:sz w:val="24"/>
          <w:lang w:val="fi-FI"/>
        </w:rPr>
        <w:tab/>
        <w:t>EGT C 77, 28.3.2002, s. 1.</w:t>
      </w:r>
    </w:p>
  </w:footnote>
  <w:footnote w:id="3">
    <w:p w14:paraId="0D76FD6A" w14:textId="78516760" w:rsidR="001B2204" w:rsidRPr="00277D77" w:rsidRDefault="001B2204" w:rsidP="00EB5AC1">
      <w:pPr>
        <w:pStyle w:val="FootnoteTextForceStyle"/>
        <w:rPr>
          <w:lang w:val="fi-FI"/>
        </w:rPr>
      </w:pPr>
      <w:r>
        <w:rPr>
          <w:vertAlign w:val="superscript"/>
        </w:rPr>
        <w:footnoteRef/>
      </w:r>
      <w:r w:rsidRPr="00277D77">
        <w:rPr>
          <w:lang w:val="fi-FI"/>
        </w:rPr>
        <w:tab/>
      </w:r>
      <w:r>
        <w:rPr>
          <w:lang w:val="fi-FI"/>
        </w:rPr>
        <w:t>EUT</w:t>
      </w:r>
      <w:r w:rsidRPr="00FD723E">
        <w:rPr>
          <w:lang w:val="fi-FI"/>
        </w:rPr>
        <w:t xml:space="preserve"> C, C/2023/865, 08.12.2023, ELI: </w:t>
      </w:r>
      <w:hyperlink r:id="rId2" w:history="1">
        <w:r w:rsidRPr="0004668C">
          <w:rPr>
            <w:rStyle w:val="Hyperlink"/>
            <w:lang w:val="fi-FI"/>
          </w:rPr>
          <w:t>http://data.europa.eu/eli/C/2023/865/oj</w:t>
        </w:r>
      </w:hyperlink>
      <w:r w:rsidRPr="00FD723E">
        <w:rPr>
          <w:lang w:val="fi-FI"/>
        </w:rPr>
        <w:t>.</w:t>
      </w:r>
    </w:p>
  </w:footnote>
  <w:footnote w:id="4">
    <w:p w14:paraId="28E47F49" w14:textId="77777777" w:rsidR="001B2204" w:rsidRPr="00277D77" w:rsidRDefault="001B2204" w:rsidP="00EB5AC1">
      <w:pPr>
        <w:pStyle w:val="FootnoteTextForceStyle"/>
        <w:rPr>
          <w:lang w:val="sv-SE"/>
        </w:rPr>
      </w:pPr>
      <w:r>
        <w:rPr>
          <w:vertAlign w:val="superscript"/>
        </w:rPr>
        <w:footnoteRef/>
      </w:r>
      <w:r w:rsidRPr="00277D77">
        <w:rPr>
          <w:lang w:val="sv-SE"/>
        </w:rPr>
        <w:tab/>
        <w:t>EUT C […], […], s. […].</w:t>
      </w:r>
    </w:p>
  </w:footnote>
  <w:footnote w:id="5">
    <w:p w14:paraId="60F3DAB3" w14:textId="77777777" w:rsidR="001B2204" w:rsidRPr="006E2D64" w:rsidRDefault="001B2204" w:rsidP="00EB5AC1">
      <w:pPr>
        <w:pStyle w:val="FootnoteTextForceStyle"/>
        <w:rPr>
          <w:lang w:val="sv-SE"/>
        </w:rPr>
      </w:pPr>
      <w:r>
        <w:rPr>
          <w:vertAlign w:val="superscript"/>
        </w:rPr>
        <w:footnoteRef/>
      </w:r>
      <w:r w:rsidRPr="006E2D64">
        <w:rPr>
          <w:lang w:val="sv-SE"/>
        </w:rPr>
        <w:tab/>
        <w:t>Europaparlamentets och rådets förordning (EG) nr 469/2009 av den 6 maj 2009 om tilläggsskydd för läkemedel (EUT L 152, 16.6.2009, s. 1).</w:t>
      </w:r>
    </w:p>
  </w:footnote>
  <w:footnote w:id="6">
    <w:p w14:paraId="0619F44D" w14:textId="77777777" w:rsidR="001B2204" w:rsidRPr="006E2D64" w:rsidRDefault="001B2204" w:rsidP="00EB5AC1">
      <w:pPr>
        <w:pStyle w:val="FootnoteTextForceStyle"/>
        <w:rPr>
          <w:lang w:val="sv-SE"/>
        </w:rPr>
      </w:pPr>
      <w:r>
        <w:rPr>
          <w:vertAlign w:val="superscript"/>
        </w:rPr>
        <w:footnoteRef/>
      </w:r>
      <w:r w:rsidRPr="006E2D64">
        <w:rPr>
          <w:lang w:val="sv-SE"/>
        </w:rPr>
        <w:tab/>
        <w:t>Se bilaga I.</w:t>
      </w:r>
    </w:p>
  </w:footnote>
  <w:footnote w:id="7">
    <w:p w14:paraId="2CBDD756" w14:textId="77777777" w:rsidR="001B2204" w:rsidRPr="006E2D64" w:rsidRDefault="001B2204" w:rsidP="00EB5AC1">
      <w:pPr>
        <w:pStyle w:val="FootnoteTextForceStyle"/>
        <w:rPr>
          <w:lang w:val="sv-SE"/>
        </w:rPr>
      </w:pPr>
      <w:r>
        <w:rPr>
          <w:vertAlign w:val="superscript"/>
        </w:rPr>
        <w:footnoteRef/>
      </w:r>
      <w:r w:rsidRPr="006E2D64">
        <w:rPr>
          <w:lang w:val="sv-SE"/>
        </w:rPr>
        <w:tab/>
        <w:t>Europaparlamentets och rådets förordning (EG) nr 1901/2006 av den 12 december 2006 om läkemedel för pediatrisk användning och om ändring av förordning (EEG) nr 1768/92, direktiv 2001/20/EG, direktiv 2001/83/EG och förordning (EG) nr 726/2004 (EUT L 378, 27.12.2006, s. 1).</w:t>
      </w:r>
    </w:p>
  </w:footnote>
  <w:footnote w:id="8">
    <w:p w14:paraId="09FABBE9" w14:textId="77777777" w:rsidR="001B2204" w:rsidRPr="006E2D64" w:rsidRDefault="001B2204" w:rsidP="00EB5AC1">
      <w:pPr>
        <w:pStyle w:val="FootnoteTextForceStyle"/>
        <w:rPr>
          <w:lang w:val="sv-SE"/>
        </w:rPr>
      </w:pPr>
      <w:r>
        <w:rPr>
          <w:vertAlign w:val="superscript"/>
        </w:rPr>
        <w:footnoteRef/>
      </w:r>
      <w:r w:rsidRPr="006E2D64">
        <w:rPr>
          <w:lang w:val="sv-SE"/>
        </w:rPr>
        <w:tab/>
        <w:t>Europaparlamentets och rådets förordning (EU) nr 1257/2012 av den 17 december 2012 om genomförande av ett fördjupat samarbete för att skapa ett enhetligt patentskydd (EUT L 361, 31.12.2012, s. 1).</w:t>
      </w:r>
    </w:p>
  </w:footnote>
  <w:footnote w:id="9">
    <w:p w14:paraId="73079FED" w14:textId="77777777" w:rsidR="001B2204" w:rsidRPr="006E2D64" w:rsidRDefault="001B2204" w:rsidP="00EB5AC1">
      <w:pPr>
        <w:pStyle w:val="FootnoteTextForceStyle"/>
        <w:rPr>
          <w:lang w:val="sv-SE"/>
        </w:rPr>
      </w:pPr>
      <w:r>
        <w:rPr>
          <w:vertAlign w:val="superscript"/>
        </w:rPr>
        <w:footnoteRef/>
      </w:r>
      <w:r w:rsidRPr="006E2D64">
        <w:rPr>
          <w:lang w:val="sv-SE"/>
        </w:rPr>
        <w:tab/>
        <w:t>Europaparlamentets och rådets förordning (EU) 2017/1001 av den 14 juni 2017 om EU-varumärken (EUT L 154, 16.6.2017, s. 1).</w:t>
      </w:r>
    </w:p>
  </w:footnote>
  <w:footnote w:id="10">
    <w:p w14:paraId="068F2F7A" w14:textId="77777777" w:rsidR="001B2204" w:rsidRPr="006E2D64" w:rsidRDefault="001B2204" w:rsidP="00EB5AC1">
      <w:pPr>
        <w:pStyle w:val="FootnoteTextForceStyle"/>
        <w:rPr>
          <w:lang w:val="sv-SE"/>
        </w:rPr>
      </w:pPr>
      <w:r>
        <w:rPr>
          <w:vertAlign w:val="superscript"/>
        </w:rPr>
        <w:footnoteRef/>
      </w:r>
      <w:r w:rsidRPr="006E2D64">
        <w:rPr>
          <w:lang w:val="sv-SE"/>
        </w:rPr>
        <w:tab/>
        <w:t>Europaparlamentets och rådets förordning (EG) nr 726/2004 av den 31 mars 2004 om inrättande av gemenskapsförfaranden för godkännande av och tillsyn över humanläkemedel och veterinärmedicinska läkemedel samt om inrättande av en europeisk läkemedelsmyndighet (EUT L 136, 30.4.2004, s. 1).</w:t>
      </w:r>
    </w:p>
  </w:footnote>
  <w:footnote w:id="11">
    <w:p w14:paraId="3E1D0FD8" w14:textId="77777777" w:rsidR="001B2204" w:rsidRPr="006E2D64" w:rsidRDefault="001B2204" w:rsidP="00EB5AC1">
      <w:pPr>
        <w:pStyle w:val="FootnoteTextForceStyle"/>
        <w:rPr>
          <w:lang w:val="sv-SE"/>
        </w:rPr>
      </w:pPr>
      <w:r>
        <w:rPr>
          <w:vertAlign w:val="superscript"/>
        </w:rPr>
        <w:footnoteRef/>
      </w:r>
      <w:r w:rsidRPr="006E2D64">
        <w:rPr>
          <w:lang w:val="sv-SE"/>
        </w:rPr>
        <w:tab/>
        <w:t>Europaparlamentets och rådets förordning (EU) 2019/6 av den 11 december 2018 om veterinärmedicinska läkemedel och om upphävande av direktiv 2001/82/EG (EUT L 4, 7.1.2019, s. 43).</w:t>
      </w:r>
    </w:p>
  </w:footnote>
  <w:footnote w:id="12">
    <w:p w14:paraId="7BF5B7F8" w14:textId="77777777" w:rsidR="001B2204" w:rsidRPr="006E2D64" w:rsidRDefault="001B2204" w:rsidP="00EB5AC1">
      <w:pPr>
        <w:pStyle w:val="FootnoteTextForceStyle"/>
        <w:rPr>
          <w:lang w:val="sv-SE"/>
        </w:rPr>
      </w:pPr>
      <w:r>
        <w:rPr>
          <w:vertAlign w:val="superscript"/>
        </w:rPr>
        <w:footnoteRef/>
      </w:r>
      <w:r w:rsidRPr="006E2D64">
        <w:rPr>
          <w:lang w:val="sv-SE"/>
        </w:rPr>
        <w:tab/>
        <w:t>Europaparlamentets och rådets förordning (EU) 2019/933 av den 20 maj 2019 om ändring av förordning (EG) nr 469/2009 om tilläggsskydd för läkemedel (EUT L 153, 11.6.2019, s. 1).</w:t>
      </w:r>
    </w:p>
  </w:footnote>
  <w:footnote w:id="13">
    <w:p w14:paraId="1C9F9184" w14:textId="77777777" w:rsidR="001B2204" w:rsidRPr="006E2D64" w:rsidRDefault="001B2204" w:rsidP="00EB5AC1">
      <w:pPr>
        <w:pStyle w:val="FootnoteTextForceStyle"/>
        <w:rPr>
          <w:lang w:val="sv-SE"/>
        </w:rPr>
      </w:pPr>
      <w:r>
        <w:rPr>
          <w:vertAlign w:val="superscript"/>
        </w:rPr>
        <w:footnoteRef/>
      </w:r>
      <w:r w:rsidRPr="006E2D64">
        <w:rPr>
          <w:lang w:val="sv-SE"/>
        </w:rPr>
        <w:tab/>
        <w:t>Europaparlamentets och rådets direktiv 2004/48/EG av den 29 april 2004 om säkerställande av skyddet för immateriella rättigheter (EUT L 157, 30.4.2004, s. 45).</w:t>
      </w:r>
    </w:p>
  </w:footnote>
  <w:footnote w:id="14">
    <w:p w14:paraId="309E4880" w14:textId="77777777" w:rsidR="001B2204" w:rsidRPr="006E2D64" w:rsidRDefault="001B2204" w:rsidP="00EB5AC1">
      <w:pPr>
        <w:pStyle w:val="FootnoteTextForceStyle"/>
        <w:rPr>
          <w:lang w:val="sv-SE"/>
        </w:rPr>
      </w:pPr>
      <w:r>
        <w:rPr>
          <w:vertAlign w:val="superscript"/>
        </w:rPr>
        <w:footnoteRef/>
      </w:r>
      <w:r w:rsidRPr="006E2D64">
        <w:rPr>
          <w:lang w:val="sv-SE"/>
        </w:rPr>
        <w:tab/>
        <w:t>Europaparlamentets och rådets förordning (EU) nr 608/2013 av den 12 juni 2013 om tullens säkerställande av skyddet för immateriella rättigheter och om upphävande av rådets förordning (EG) nr 1383/2003 (EUT L 181, 29.6.2013, s. 15).</w:t>
      </w:r>
    </w:p>
  </w:footnote>
  <w:footnote w:id="15">
    <w:p w14:paraId="43501E48" w14:textId="77777777" w:rsidR="001B2204" w:rsidRPr="006E2D64" w:rsidRDefault="001B2204" w:rsidP="00EB5AC1">
      <w:pPr>
        <w:pStyle w:val="FootnoteTextForceStyle"/>
        <w:rPr>
          <w:lang w:val="sv-SE"/>
        </w:rPr>
      </w:pPr>
      <w:r>
        <w:rPr>
          <w:vertAlign w:val="superscript"/>
        </w:rPr>
        <w:footnoteRef/>
      </w:r>
      <w:r w:rsidRPr="006E2D64">
        <w:rPr>
          <w:lang w:val="sv-SE"/>
        </w:rPr>
        <w:tab/>
        <w:t>Europaparlamentets och rådets direktiv 2001/83/EG av den 6 november 2001 om upprättande av gemenskapsregler för humanläkemedel (EGT L 311, 28.11.2001, s. 67).</w:t>
      </w:r>
    </w:p>
  </w:footnote>
  <w:footnote w:id="16">
    <w:p w14:paraId="73A68A71" w14:textId="77777777" w:rsidR="001B2204" w:rsidRPr="006E2D64" w:rsidRDefault="001B2204" w:rsidP="00EB5AC1">
      <w:pPr>
        <w:pStyle w:val="FootnoteTextForceStyle"/>
        <w:rPr>
          <w:lang w:val="sv-SE"/>
        </w:rPr>
      </w:pPr>
      <w:r>
        <w:rPr>
          <w:vertAlign w:val="superscript"/>
        </w:rPr>
        <w:footnoteRef/>
      </w:r>
      <w:r w:rsidRPr="006E2D64">
        <w:rPr>
          <w:lang w:val="sv-SE"/>
        </w:rPr>
        <w:tab/>
        <w:t>Kommissionens delegerade förordning (EU) 2016/161 av den 2 oktober 2015 om komplettering av Europaparlamentets och rådets direktiv 2001/83/EG genom fastställande av närmare bestämmelser om de säkerhetsdetaljer som anges på förpackningar för humanläkemedel (EUT L 32, 9.2.2016, s. 1).</w:t>
      </w:r>
    </w:p>
  </w:footnote>
  <w:footnote w:id="17">
    <w:p w14:paraId="571A0C88" w14:textId="77777777" w:rsidR="001B2204" w:rsidRPr="006E2D64" w:rsidRDefault="001B2204" w:rsidP="00EB5AC1">
      <w:pPr>
        <w:pStyle w:val="FootnoteTextForceStyle"/>
        <w:rPr>
          <w:lang w:val="sv-SE"/>
        </w:rPr>
      </w:pPr>
      <w:r>
        <w:rPr>
          <w:vertAlign w:val="superscript"/>
        </w:rPr>
        <w:footnoteRef/>
      </w:r>
      <w:r w:rsidRPr="006E2D64">
        <w:rPr>
          <w:lang w:val="sv-SE"/>
        </w:rPr>
        <w:tab/>
        <w:t>Europaparlamentets och rådets förordning om enhetligt tilläggsskydd för läkemedel [COM(2023) 222].</w:t>
      </w:r>
    </w:p>
  </w:footnote>
  <w:footnote w:id="18">
    <w:p w14:paraId="1D5FA46F" w14:textId="77777777" w:rsidR="001B2204" w:rsidRPr="006E2D64" w:rsidRDefault="001B2204" w:rsidP="00EB5AC1">
      <w:pPr>
        <w:pStyle w:val="FootnoteTextForceStyle"/>
        <w:rPr>
          <w:lang w:val="sv-SE"/>
        </w:rPr>
      </w:pPr>
      <w:r>
        <w:rPr>
          <w:vertAlign w:val="superscript"/>
        </w:rPr>
        <w:footnoteRef/>
      </w:r>
      <w:r w:rsidRPr="006E2D64">
        <w:rPr>
          <w:lang w:val="sv-SE"/>
        </w:rPr>
        <w:tab/>
        <w:t>Interinstitutionellt avtal mellan Europaparlamentet, Europeiska unionens råd och Europeiska kommissionen om bättre lagstiftning (EUT L 123, 12.5.2016, s. 1).</w:t>
      </w:r>
    </w:p>
  </w:footnote>
  <w:footnote w:id="19">
    <w:p w14:paraId="793406CB" w14:textId="77777777" w:rsidR="001B2204" w:rsidRPr="006E2D64" w:rsidRDefault="001B2204" w:rsidP="00EB5AC1">
      <w:pPr>
        <w:pStyle w:val="FootnoteTextForceStyle"/>
        <w:rPr>
          <w:lang w:val="sv-SE"/>
        </w:rPr>
      </w:pPr>
      <w:r>
        <w:rPr>
          <w:vertAlign w:val="superscript"/>
        </w:rPr>
        <w:footnoteRef/>
      </w:r>
      <w:r w:rsidRPr="006E2D64">
        <w:rPr>
          <w:lang w:val="sv-SE"/>
        </w:rPr>
        <w:tab/>
        <w:t>Europaparlamentets och rådets förordning (EU) nr 182/2011 av den 16 februari 2011 om fastställande av allmänna regler och principer för medlemsstaternas kontroll av kommissionens utövande av sina genomförandebefogenheter (EUT L 55, 28.2.2011, s. 13).</w:t>
      </w:r>
    </w:p>
  </w:footnote>
  <w:footnote w:id="20">
    <w:p w14:paraId="5BF59D18" w14:textId="77777777" w:rsidR="001B2204" w:rsidRPr="006E2D64" w:rsidRDefault="001B2204" w:rsidP="00EB5AC1">
      <w:pPr>
        <w:pStyle w:val="FootnoteTextForceStyle"/>
        <w:rPr>
          <w:lang w:val="sv-SE"/>
        </w:rPr>
      </w:pPr>
      <w:r>
        <w:rPr>
          <w:vertAlign w:val="superscript"/>
        </w:rPr>
        <w:footnoteRef/>
      </w:r>
      <w:r w:rsidRPr="006E2D64">
        <w:rPr>
          <w:lang w:val="sv-SE"/>
        </w:rPr>
        <w:tab/>
        <w:t>Europaparlamentets och rådets förordning (EU) 2018/1725 av den 23 oktober 2018 om skydd för fysiska personer med avseende på behandling av personuppgifter som utförs av unionens institutioner, organ och byråer och om det fria flödet av sådana uppgifter samt om upphävande av förordning (EG) nr 45/2001 och beslut nr 1247/2002/EG (EUT L 295, 21.11.2018, s. 39).</w:t>
      </w:r>
    </w:p>
  </w:footnote>
  <w:footnote w:id="21">
    <w:p w14:paraId="78988B97" w14:textId="77777777" w:rsidR="001B2204" w:rsidRPr="006E2D64" w:rsidRDefault="001B2204" w:rsidP="00EB5AC1">
      <w:pPr>
        <w:pStyle w:val="FootnoteTextForceStyle"/>
        <w:rPr>
          <w:lang w:val="sv-SE"/>
        </w:rPr>
      </w:pPr>
      <w:r>
        <w:rPr>
          <w:vertAlign w:val="superscript"/>
        </w:rPr>
        <w:footnoteRef/>
      </w:r>
      <w:r w:rsidRPr="006E2D64">
        <w:rPr>
          <w:lang w:val="sv-SE"/>
        </w:rPr>
        <w:tab/>
        <w:t>Europaparlamentets och rådets förordning (EG) nr 1901/2006 av den 12 december 2006 om läkemedel för pediatrisk användning och om ändring av förordning (EEG) nr 1768/92, direktiv 2001/20/EG, direktiv 2001/83/EG och förordning (EG) nr 726/2004 (EUT L 378, 27.12.2006, s. 1).</w:t>
      </w:r>
    </w:p>
  </w:footnote>
  <w:footnote w:id="22">
    <w:p w14:paraId="0F3012F3" w14:textId="77777777" w:rsidR="001B2204" w:rsidRPr="006E2D64" w:rsidRDefault="001B2204" w:rsidP="00EB5AC1">
      <w:pPr>
        <w:pStyle w:val="FootnoteTextForceStyle"/>
        <w:rPr>
          <w:lang w:val="sv-SE"/>
        </w:rPr>
      </w:pPr>
      <w:r>
        <w:rPr>
          <w:vertAlign w:val="superscript"/>
        </w:rPr>
        <w:footnoteRef/>
      </w:r>
      <w:r w:rsidRPr="006E2D64">
        <w:rPr>
          <w:lang w:val="sv-SE"/>
        </w:rPr>
        <w:tab/>
        <w:t>Konventionen om meddelande av europeiska patent av den 5 oktober 1973, reviderad den 17 december 1991 och den 29 november 2000.</w:t>
      </w:r>
    </w:p>
  </w:footnote>
  <w:footnote w:id="23">
    <w:p w14:paraId="4253A7C1" w14:textId="77777777" w:rsidR="001B2204" w:rsidRPr="006E2D64" w:rsidRDefault="001B2204" w:rsidP="00EB5AC1">
      <w:pPr>
        <w:pStyle w:val="FootnoteTextForceStyle"/>
        <w:rPr>
          <w:lang w:val="sv-SE"/>
        </w:rPr>
      </w:pPr>
      <w:r>
        <w:rPr>
          <w:vertAlign w:val="superscript"/>
        </w:rPr>
        <w:footnoteRef/>
      </w:r>
      <w:r w:rsidRPr="006E2D64">
        <w:rPr>
          <w:lang w:val="sv-SE"/>
        </w:rPr>
        <w:tab/>
        <w:t>Europaparlamentets och rådets förordning (EG) nr 1049/2001 av den 30 maj 2001 om allmänhetens tillgång till Europaparlamentets, rådets och kommissionens handlingar (EGT L 145, 31.5.2001, s. 43).</w:t>
      </w:r>
    </w:p>
  </w:footnote>
  <w:footnote w:id="24">
    <w:p w14:paraId="1E5768CA" w14:textId="77777777" w:rsidR="001B2204" w:rsidRPr="006E2D64" w:rsidRDefault="001B2204" w:rsidP="00EB5AC1">
      <w:pPr>
        <w:pStyle w:val="FootnoteTextForceStyle"/>
        <w:rPr>
          <w:lang w:val="sv-SE"/>
        </w:rPr>
      </w:pPr>
      <w:r>
        <w:rPr>
          <w:vertAlign w:val="superscript"/>
        </w:rPr>
        <w:footnoteRef/>
      </w:r>
      <w:r w:rsidRPr="006E2D64">
        <w:rPr>
          <w:lang w:val="sv-SE"/>
        </w:rPr>
        <w:tab/>
        <w:t>Europaparlamentets och rådets förordning (EG) nr 45/2001 av den 18 december 2000 om skydd för enskilda då gemenskapsinstitutionerna och gemenskapsorganen behandlar personuppgifter och om den fria rörligheten för sådana uppgifter (EGT L 8, 12.1.2001, s. 1).</w:t>
      </w:r>
    </w:p>
  </w:footnote>
  <w:footnote w:id="25">
    <w:p w14:paraId="1A5BC069" w14:textId="77777777" w:rsidR="001B2204" w:rsidRPr="006E2D64" w:rsidRDefault="001B2204" w:rsidP="00EB5AC1">
      <w:pPr>
        <w:pStyle w:val="FootnoteTextForceStyle"/>
        <w:rPr>
          <w:lang w:val="sv-SE"/>
        </w:rPr>
      </w:pPr>
      <w:r>
        <w:rPr>
          <w:vertAlign w:val="superscript"/>
        </w:rPr>
        <w:footnoteRef/>
      </w:r>
      <w:r w:rsidRPr="006E2D64">
        <w:rPr>
          <w:lang w:val="sv-SE"/>
        </w:rPr>
        <w:tab/>
        <w:t>Europaparlamentets och rådets förordning om enhetligt tilläggsskydd för läkemedel [COM(2023) 222].</w:t>
      </w:r>
    </w:p>
  </w:footnote>
  <w:footnote w:id="26">
    <w:p w14:paraId="4CF14A5F" w14:textId="77777777" w:rsidR="001B2204" w:rsidRPr="006E2D64" w:rsidRDefault="001B2204" w:rsidP="00EB5AC1">
      <w:pPr>
        <w:pStyle w:val="FootnoteTextForceStyle"/>
        <w:rPr>
          <w:lang w:val="sv-SE"/>
        </w:rPr>
      </w:pPr>
      <w:r>
        <w:rPr>
          <w:vertAlign w:val="superscript"/>
        </w:rPr>
        <w:footnoteRef/>
      </w:r>
      <w:r w:rsidRPr="006E2D64">
        <w:rPr>
          <w:lang w:val="sv-SE"/>
        </w:rPr>
        <w:tab/>
        <w:t>Rådets förordning nr 1 om vilka språk som skall användas i Europeiska ekonomiska gemenskapen (EGT 17, 6.10.1958, s. 385).</w:t>
      </w:r>
    </w:p>
  </w:footnote>
  <w:footnote w:id="27">
    <w:p w14:paraId="5FBEEA43" w14:textId="77777777" w:rsidR="001B2204" w:rsidRPr="006E2D64" w:rsidRDefault="001B2204" w:rsidP="00EB5AC1">
      <w:pPr>
        <w:pStyle w:val="FootnoteTextForceStyle"/>
        <w:rPr>
          <w:lang w:val="sv-SE"/>
        </w:rPr>
      </w:pPr>
      <w:r>
        <w:rPr>
          <w:vertAlign w:val="superscript"/>
        </w:rPr>
        <w:footnoteRef/>
      </w:r>
      <w:r w:rsidRPr="006E2D64">
        <w:rPr>
          <w:lang w:val="sv-SE"/>
        </w:rPr>
        <w:tab/>
        <w:t>Rådets förordning (EEG, Euratom, EKSG) nr 259/68 av den 29 februari 1968 om fastställande av tjänsteföreskrifter för tjänstemännen i Europeiska gemenskaperna och anställningsvillkor för övriga anställda i dessa gemenskaper samt om införande av särskilda tillfälliga åtgärder beträffande kommissionens tjänstemän (EGT L 56, 4.3.1968,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2/2024"/>
    <w:docVar w:name="dvlangue" w:val="SV"/>
    <w:docVar w:name="dvnumam" w:val="0"/>
    <w:docVar w:name="dvpe" w:val="753.704"/>
    <w:docVar w:name="dvrapporteur" w:val="Föredragande: "/>
    <w:docVar w:name="dvstar" w:val="***I"/>
    <w:docVar w:name="dvtitre" w:val="Europaparlamentets lagstiftningsresolution av den xx xx 2024 om förslaget till Europaparlamentets och rådets förordning om tilläggsskydd för läkemedel (omarbetning)(COM(2023)0231 – C9-0146/2023 – 2023/0130(COD))"/>
  </w:docVars>
  <w:rsids>
    <w:rsidRoot w:val="00AE1824"/>
    <w:rsid w:val="00002272"/>
    <w:rsid w:val="0004668C"/>
    <w:rsid w:val="00055FB5"/>
    <w:rsid w:val="00064002"/>
    <w:rsid w:val="000677B9"/>
    <w:rsid w:val="00082AC2"/>
    <w:rsid w:val="000831BA"/>
    <w:rsid w:val="000A42CC"/>
    <w:rsid w:val="000E7DD9"/>
    <w:rsid w:val="0010095E"/>
    <w:rsid w:val="00125B37"/>
    <w:rsid w:val="001734ED"/>
    <w:rsid w:val="00187494"/>
    <w:rsid w:val="001B2204"/>
    <w:rsid w:val="001B61A6"/>
    <w:rsid w:val="001D1A7E"/>
    <w:rsid w:val="001E2060"/>
    <w:rsid w:val="001F32AE"/>
    <w:rsid w:val="0023012E"/>
    <w:rsid w:val="002767FF"/>
    <w:rsid w:val="00277D77"/>
    <w:rsid w:val="002B18FE"/>
    <w:rsid w:val="002B5493"/>
    <w:rsid w:val="002F7B63"/>
    <w:rsid w:val="00343214"/>
    <w:rsid w:val="00361C00"/>
    <w:rsid w:val="003876C0"/>
    <w:rsid w:val="00394815"/>
    <w:rsid w:val="00395FA1"/>
    <w:rsid w:val="003E15D4"/>
    <w:rsid w:val="00411CCE"/>
    <w:rsid w:val="0041666E"/>
    <w:rsid w:val="00421060"/>
    <w:rsid w:val="00471C19"/>
    <w:rsid w:val="004867E3"/>
    <w:rsid w:val="00494A28"/>
    <w:rsid w:val="004C0004"/>
    <w:rsid w:val="004C5D52"/>
    <w:rsid w:val="0050519A"/>
    <w:rsid w:val="005072A1"/>
    <w:rsid w:val="00514517"/>
    <w:rsid w:val="00541BCD"/>
    <w:rsid w:val="00545827"/>
    <w:rsid w:val="00553CE1"/>
    <w:rsid w:val="00560270"/>
    <w:rsid w:val="00595561"/>
    <w:rsid w:val="005C0CBA"/>
    <w:rsid w:val="005C2568"/>
    <w:rsid w:val="006037C0"/>
    <w:rsid w:val="00627943"/>
    <w:rsid w:val="00637380"/>
    <w:rsid w:val="00650901"/>
    <w:rsid w:val="00662D5B"/>
    <w:rsid w:val="006631B6"/>
    <w:rsid w:val="00680577"/>
    <w:rsid w:val="006F74FA"/>
    <w:rsid w:val="00731ADD"/>
    <w:rsid w:val="00734777"/>
    <w:rsid w:val="007348B1"/>
    <w:rsid w:val="00747932"/>
    <w:rsid w:val="00751A4A"/>
    <w:rsid w:val="00756632"/>
    <w:rsid w:val="00762C74"/>
    <w:rsid w:val="00786EC0"/>
    <w:rsid w:val="007D1690"/>
    <w:rsid w:val="007E22AD"/>
    <w:rsid w:val="00817416"/>
    <w:rsid w:val="00842779"/>
    <w:rsid w:val="00865F67"/>
    <w:rsid w:val="00870207"/>
    <w:rsid w:val="00881A7B"/>
    <w:rsid w:val="008840E5"/>
    <w:rsid w:val="00887B3E"/>
    <w:rsid w:val="008943CD"/>
    <w:rsid w:val="008C2AC6"/>
    <w:rsid w:val="008C2FCF"/>
    <w:rsid w:val="008F1C77"/>
    <w:rsid w:val="00930C23"/>
    <w:rsid w:val="0093193B"/>
    <w:rsid w:val="009509D8"/>
    <w:rsid w:val="00950B64"/>
    <w:rsid w:val="00981893"/>
    <w:rsid w:val="009A6BD7"/>
    <w:rsid w:val="009C2481"/>
    <w:rsid w:val="00A1687D"/>
    <w:rsid w:val="00A43E52"/>
    <w:rsid w:val="00A4678D"/>
    <w:rsid w:val="00A703A6"/>
    <w:rsid w:val="00A778C7"/>
    <w:rsid w:val="00AB441E"/>
    <w:rsid w:val="00AB6293"/>
    <w:rsid w:val="00AE0928"/>
    <w:rsid w:val="00AE1824"/>
    <w:rsid w:val="00AF3B82"/>
    <w:rsid w:val="00B12E95"/>
    <w:rsid w:val="00B22876"/>
    <w:rsid w:val="00B558F0"/>
    <w:rsid w:val="00B74876"/>
    <w:rsid w:val="00BD48FE"/>
    <w:rsid w:val="00BD7BD8"/>
    <w:rsid w:val="00BE35FB"/>
    <w:rsid w:val="00BE6ADC"/>
    <w:rsid w:val="00C05BFE"/>
    <w:rsid w:val="00C23CD4"/>
    <w:rsid w:val="00C61C0C"/>
    <w:rsid w:val="00C941CB"/>
    <w:rsid w:val="00CC2357"/>
    <w:rsid w:val="00CF071A"/>
    <w:rsid w:val="00D058B8"/>
    <w:rsid w:val="00D22EA2"/>
    <w:rsid w:val="00D56C11"/>
    <w:rsid w:val="00D713C1"/>
    <w:rsid w:val="00D834A0"/>
    <w:rsid w:val="00D872DF"/>
    <w:rsid w:val="00D91E21"/>
    <w:rsid w:val="00DA7FCD"/>
    <w:rsid w:val="00DE279F"/>
    <w:rsid w:val="00E365E1"/>
    <w:rsid w:val="00E820A4"/>
    <w:rsid w:val="00EB006A"/>
    <w:rsid w:val="00EB30C3"/>
    <w:rsid w:val="00EB4772"/>
    <w:rsid w:val="00EB5AC1"/>
    <w:rsid w:val="00ED169E"/>
    <w:rsid w:val="00ED4235"/>
    <w:rsid w:val="00F04346"/>
    <w:rsid w:val="00F075DC"/>
    <w:rsid w:val="00F149E9"/>
    <w:rsid w:val="00F5134D"/>
    <w:rsid w:val="00F74202"/>
    <w:rsid w:val="00F87713"/>
    <w:rsid w:val="00FB4360"/>
    <w:rsid w:val="00FD0C70"/>
    <w:rsid w:val="00FD106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B8F323"/>
  <w15:chartTrackingRefBased/>
  <w15:docId w15:val="{87E9528B-F50C-49AF-8B42-8D32D1050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E35FB"/>
    <w:rPr>
      <w:b/>
      <w:kern w:val="28"/>
      <w:sz w:val="28"/>
      <w:lang w:val="fr-FR" w:eastAsia="fr-FR"/>
    </w:rPr>
  </w:style>
  <w:style w:type="character" w:customStyle="1" w:styleId="Heading2Char">
    <w:name w:val="Heading 2 Char"/>
    <w:basedOn w:val="DefaultParagraphFont"/>
    <w:link w:val="Heading2"/>
    <w:rsid w:val="00BE35FB"/>
    <w:rPr>
      <w:sz w:val="24"/>
      <w:lang w:val="fr-FR" w:eastAsia="fr-FR"/>
    </w:rPr>
  </w:style>
  <w:style w:type="character" w:customStyle="1" w:styleId="Heading3Char">
    <w:name w:val="Heading 3 Char"/>
    <w:basedOn w:val="DefaultParagraphFont"/>
    <w:link w:val="Heading3"/>
    <w:rsid w:val="00BE35FB"/>
    <w:rPr>
      <w:rFonts w:ascii="Arial" w:hAnsi="Arial"/>
      <w:sz w:val="24"/>
      <w:lang w:val="fr-FR" w:eastAsia="fr-FR"/>
    </w:rPr>
  </w:style>
  <w:style w:type="character" w:customStyle="1" w:styleId="Heading4Char">
    <w:name w:val="Heading 4 Char"/>
    <w:basedOn w:val="DefaultParagraphFont"/>
    <w:link w:val="Heading4"/>
    <w:rsid w:val="00BE35FB"/>
    <w:rPr>
      <w:sz w:val="24"/>
      <w:lang w:val="en-US" w:eastAsia="fr-FR"/>
    </w:rPr>
  </w:style>
  <w:style w:type="character" w:customStyle="1" w:styleId="Heading5Char">
    <w:name w:val="Heading 5 Char"/>
    <w:basedOn w:val="DefaultParagraphFont"/>
    <w:link w:val="Heading5"/>
    <w:semiHidden/>
    <w:rsid w:val="00BE35FB"/>
    <w:rPr>
      <w:sz w:val="24"/>
      <w:lang w:val="en-US" w:eastAsia="fr-FR"/>
    </w:rPr>
  </w:style>
  <w:style w:type="character" w:customStyle="1" w:styleId="Heading6Char">
    <w:name w:val="Heading 6 Char"/>
    <w:basedOn w:val="DefaultParagraphFont"/>
    <w:link w:val="Heading6"/>
    <w:semiHidden/>
    <w:rsid w:val="00BE35FB"/>
    <w:rPr>
      <w:i/>
      <w:sz w:val="22"/>
      <w:lang w:val="sv-SE"/>
    </w:rPr>
  </w:style>
  <w:style w:type="character" w:customStyle="1" w:styleId="Heading7Char">
    <w:name w:val="Heading 7 Char"/>
    <w:basedOn w:val="DefaultParagraphFont"/>
    <w:link w:val="Heading7"/>
    <w:semiHidden/>
    <w:rsid w:val="00BE35FB"/>
    <w:rPr>
      <w:rFonts w:ascii="Arial" w:hAnsi="Arial"/>
      <w:sz w:val="24"/>
      <w:lang w:val="sv-SE"/>
    </w:rPr>
  </w:style>
  <w:style w:type="character" w:customStyle="1" w:styleId="Heading8Char">
    <w:name w:val="Heading 8 Char"/>
    <w:basedOn w:val="DefaultParagraphFont"/>
    <w:link w:val="Heading8"/>
    <w:semiHidden/>
    <w:rsid w:val="00BE35FB"/>
    <w:rPr>
      <w:rFonts w:ascii="Arial" w:hAnsi="Arial"/>
      <w:i/>
      <w:sz w:val="24"/>
      <w:lang w:val="sv-SE"/>
    </w:rPr>
  </w:style>
  <w:style w:type="character" w:customStyle="1" w:styleId="Heading9Char">
    <w:name w:val="Heading 9 Char"/>
    <w:basedOn w:val="DefaultParagraphFont"/>
    <w:link w:val="Heading9"/>
    <w:semiHidden/>
    <w:rsid w:val="00BE35FB"/>
    <w:rPr>
      <w:rFonts w:ascii="Arial" w:hAnsi="Arial"/>
      <w:b/>
      <w:i/>
      <w:sz w:val="18"/>
      <w:lang w:val="sv-SE"/>
    </w:rPr>
  </w:style>
  <w:style w:type="paragraph" w:styleId="TOCHeading">
    <w:name w:val="TOC Heading"/>
    <w:basedOn w:val="Normal"/>
    <w:next w:val="Normal"/>
    <w:unhideWhenUsed/>
    <w:qFormat/>
    <w:rsid w:val="00BE35FB"/>
    <w:pPr>
      <w:widowControl/>
      <w:spacing w:after="240"/>
    </w:pPr>
    <w:rPr>
      <w:lang w:val="en-GB"/>
    </w:rPr>
  </w:style>
  <w:style w:type="paragraph" w:customStyle="1" w:styleId="PageHeading">
    <w:name w:val="PageHeading"/>
    <w:basedOn w:val="Normal"/>
    <w:rsid w:val="00BE35FB"/>
    <w:pPr>
      <w:keepNext/>
      <w:spacing w:after="480"/>
      <w:jc w:val="center"/>
    </w:pPr>
    <w:rPr>
      <w:rFonts w:ascii="Arial" w:hAnsi="Arial" w:cs="Arial"/>
      <w:b/>
    </w:rPr>
  </w:style>
  <w:style w:type="paragraph" w:customStyle="1" w:styleId="EPFooter2">
    <w:name w:val="EPFooter2"/>
    <w:basedOn w:val="Normal"/>
    <w:next w:val="Normal"/>
    <w:rsid w:val="00BE35FB"/>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BE35FB"/>
    <w:pPr>
      <w:spacing w:after="240"/>
    </w:pPr>
  </w:style>
  <w:style w:type="paragraph" w:customStyle="1" w:styleId="TOCPage">
    <w:name w:val="TOC Page"/>
    <w:basedOn w:val="Normal"/>
    <w:next w:val="TOC1"/>
    <w:rsid w:val="00BE35FB"/>
    <w:pPr>
      <w:keepNext/>
      <w:spacing w:after="240"/>
      <w:jc w:val="right"/>
    </w:pPr>
    <w:rPr>
      <w:rFonts w:ascii="Arial" w:hAnsi="Arial"/>
      <w:b/>
    </w:rPr>
  </w:style>
  <w:style w:type="paragraph" w:customStyle="1" w:styleId="Normal6a">
    <w:name w:val="Normal6a"/>
    <w:basedOn w:val="Normal"/>
    <w:rsid w:val="00BE35FB"/>
    <w:pPr>
      <w:spacing w:after="120"/>
    </w:pPr>
  </w:style>
  <w:style w:type="paragraph" w:customStyle="1" w:styleId="NormalBold">
    <w:name w:val="NormalBold"/>
    <w:basedOn w:val="Normal"/>
    <w:link w:val="NormalBoldChar"/>
    <w:rsid w:val="00BE35FB"/>
    <w:rPr>
      <w:b/>
    </w:rPr>
  </w:style>
  <w:style w:type="paragraph" w:customStyle="1" w:styleId="NormalBold12a">
    <w:name w:val="NormalBold12a"/>
    <w:basedOn w:val="Normal"/>
    <w:rsid w:val="00BE35FB"/>
    <w:pPr>
      <w:spacing w:after="240"/>
    </w:pPr>
    <w:rPr>
      <w:b/>
    </w:rPr>
  </w:style>
  <w:style w:type="paragraph" w:customStyle="1" w:styleId="NormalHanging12a">
    <w:name w:val="NormalHanging12a"/>
    <w:basedOn w:val="Normal"/>
    <w:rsid w:val="00BE35FB"/>
    <w:pPr>
      <w:spacing w:after="240"/>
      <w:ind w:left="567" w:hanging="567"/>
    </w:pPr>
  </w:style>
  <w:style w:type="paragraph" w:customStyle="1" w:styleId="CoverNormal24a">
    <w:name w:val="CoverNormal24a"/>
    <w:basedOn w:val="Normal"/>
    <w:rsid w:val="00BE35FB"/>
    <w:pPr>
      <w:spacing w:after="480"/>
      <w:ind w:left="1417"/>
    </w:pPr>
  </w:style>
  <w:style w:type="paragraph" w:customStyle="1" w:styleId="CoverNormal">
    <w:name w:val="CoverNormal"/>
    <w:basedOn w:val="Normal"/>
    <w:rsid w:val="00BE35FB"/>
    <w:pPr>
      <w:ind w:left="1418"/>
    </w:pPr>
  </w:style>
  <w:style w:type="paragraph" w:customStyle="1" w:styleId="CoverReference">
    <w:name w:val="CoverReference"/>
    <w:basedOn w:val="Normal"/>
    <w:rsid w:val="00BE35FB"/>
    <w:pPr>
      <w:spacing w:before="1080"/>
      <w:jc w:val="right"/>
    </w:pPr>
    <w:rPr>
      <w:rFonts w:ascii="Arial" w:hAnsi="Arial" w:cs="Arial"/>
      <w:b/>
    </w:rPr>
  </w:style>
  <w:style w:type="paragraph" w:customStyle="1" w:styleId="CoverDocType">
    <w:name w:val="CoverDocType"/>
    <w:basedOn w:val="Normal"/>
    <w:rsid w:val="00BE35FB"/>
    <w:pPr>
      <w:ind w:left="1418"/>
    </w:pPr>
    <w:rPr>
      <w:rFonts w:ascii="Arial" w:hAnsi="Arial"/>
      <w:b/>
      <w:sz w:val="48"/>
    </w:rPr>
  </w:style>
  <w:style w:type="paragraph" w:customStyle="1" w:styleId="CoverDocType24a">
    <w:name w:val="CoverDocType24a"/>
    <w:basedOn w:val="Normal"/>
    <w:rsid w:val="00BE35FB"/>
    <w:pPr>
      <w:spacing w:after="480"/>
      <w:ind w:left="1418"/>
    </w:pPr>
    <w:rPr>
      <w:rFonts w:ascii="Arial" w:hAnsi="Arial"/>
      <w:b/>
      <w:sz w:val="48"/>
    </w:rPr>
  </w:style>
  <w:style w:type="paragraph" w:customStyle="1" w:styleId="CoverDate">
    <w:name w:val="CoverDate"/>
    <w:basedOn w:val="Normal"/>
    <w:rsid w:val="00BE35FB"/>
    <w:pPr>
      <w:spacing w:before="240" w:after="1200"/>
    </w:pPr>
  </w:style>
  <w:style w:type="paragraph" w:styleId="Header">
    <w:name w:val="header"/>
    <w:basedOn w:val="Normal"/>
    <w:link w:val="HeaderChar"/>
    <w:rsid w:val="00BE35FB"/>
    <w:pPr>
      <w:tabs>
        <w:tab w:val="center" w:pos="4513"/>
        <w:tab w:val="right" w:pos="9026"/>
      </w:tabs>
    </w:pPr>
  </w:style>
  <w:style w:type="character" w:customStyle="1" w:styleId="HeaderChar">
    <w:name w:val="Header Char"/>
    <w:basedOn w:val="DefaultParagraphFont"/>
    <w:link w:val="Header"/>
    <w:rsid w:val="00BE35FB"/>
    <w:rPr>
      <w:sz w:val="24"/>
      <w:lang w:val="sv-SE"/>
    </w:rPr>
  </w:style>
  <w:style w:type="paragraph" w:customStyle="1" w:styleId="AnnexWPTabs">
    <w:name w:val="AnnexWPTabs"/>
    <w:basedOn w:val="Normal"/>
    <w:rsid w:val="00BE35FB"/>
    <w:pPr>
      <w:tabs>
        <w:tab w:val="right" w:pos="3686"/>
        <w:tab w:val="left" w:pos="3827"/>
      </w:tabs>
    </w:pPr>
    <w:rPr>
      <w:b/>
    </w:rPr>
  </w:style>
  <w:style w:type="paragraph" w:customStyle="1" w:styleId="AnnexWPDate">
    <w:name w:val="AnnexWPDate"/>
    <w:basedOn w:val="Normal"/>
    <w:rsid w:val="00BE35FB"/>
    <w:pPr>
      <w:spacing w:before="240" w:after="480"/>
      <w:jc w:val="right"/>
    </w:pPr>
  </w:style>
  <w:style w:type="paragraph" w:customStyle="1" w:styleId="AnnexWPSmall">
    <w:name w:val="AnnexWPSmall"/>
    <w:basedOn w:val="Normal"/>
    <w:rsid w:val="00BE35FB"/>
    <w:rPr>
      <w:smallCaps/>
      <w:sz w:val="20"/>
    </w:rPr>
  </w:style>
  <w:style w:type="paragraph" w:customStyle="1" w:styleId="AnnexWPDocType">
    <w:name w:val="AnnexWPDocType"/>
    <w:basedOn w:val="Normal"/>
    <w:rsid w:val="00BE35FB"/>
    <w:pPr>
      <w:spacing w:after="240"/>
      <w:jc w:val="center"/>
    </w:pPr>
    <w:rPr>
      <w:b/>
    </w:rPr>
  </w:style>
  <w:style w:type="paragraph" w:customStyle="1" w:styleId="AnnexWPTitle">
    <w:name w:val="AnnexWPTitle"/>
    <w:basedOn w:val="Normal"/>
    <w:rsid w:val="00BE35FB"/>
    <w:pPr>
      <w:spacing w:before="480"/>
    </w:pPr>
    <w:rPr>
      <w:b/>
    </w:rPr>
  </w:style>
  <w:style w:type="paragraph" w:customStyle="1" w:styleId="AmJustText">
    <w:name w:val="AmJustText"/>
    <w:basedOn w:val="Normal"/>
    <w:rsid w:val="00BE35FB"/>
    <w:pPr>
      <w:spacing w:after="240"/>
    </w:pPr>
    <w:rPr>
      <w:i/>
    </w:rPr>
  </w:style>
  <w:style w:type="paragraph" w:customStyle="1" w:styleId="AmCrossRef">
    <w:name w:val="AmCrossRef"/>
    <w:basedOn w:val="Normal"/>
    <w:rsid w:val="00BE35FB"/>
    <w:pPr>
      <w:spacing w:before="240" w:after="240"/>
      <w:jc w:val="center"/>
    </w:pPr>
    <w:rPr>
      <w:i/>
    </w:rPr>
  </w:style>
  <w:style w:type="paragraph" w:customStyle="1" w:styleId="AmJustTitle">
    <w:name w:val="AmJustTitle"/>
    <w:basedOn w:val="Normal"/>
    <w:next w:val="AmJustText"/>
    <w:rsid w:val="00BE35FB"/>
    <w:pPr>
      <w:keepNext/>
      <w:spacing w:before="240" w:after="240"/>
      <w:jc w:val="center"/>
    </w:pPr>
    <w:rPr>
      <w:i/>
    </w:rPr>
  </w:style>
  <w:style w:type="paragraph" w:customStyle="1" w:styleId="AmOrLang">
    <w:name w:val="AmOrLang"/>
    <w:basedOn w:val="Normal"/>
    <w:rsid w:val="00BE35FB"/>
    <w:pPr>
      <w:spacing w:before="240" w:after="240"/>
      <w:jc w:val="right"/>
    </w:pPr>
  </w:style>
  <w:style w:type="paragraph" w:customStyle="1" w:styleId="AmColumnHeading">
    <w:name w:val="AmColumnHeading"/>
    <w:basedOn w:val="Normal"/>
    <w:rsid w:val="00BE35FB"/>
    <w:pPr>
      <w:spacing w:after="240"/>
      <w:jc w:val="center"/>
    </w:pPr>
    <w:rPr>
      <w:i/>
    </w:rPr>
  </w:style>
  <w:style w:type="paragraph" w:customStyle="1" w:styleId="AmNumberTabs">
    <w:name w:val="AmNumberTabs"/>
    <w:basedOn w:val="Normal"/>
    <w:rsid w:val="00BE35F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E35FB"/>
    <w:pPr>
      <w:spacing w:before="240"/>
    </w:pPr>
    <w:rPr>
      <w:b/>
    </w:rPr>
  </w:style>
  <w:style w:type="paragraph" w:customStyle="1" w:styleId="EPBody">
    <w:name w:val="EPBody"/>
    <w:basedOn w:val="Normal"/>
    <w:rsid w:val="00BE35FB"/>
    <w:pPr>
      <w:jc w:val="center"/>
    </w:pPr>
    <w:rPr>
      <w:rFonts w:ascii="Arial" w:hAnsi="Arial" w:cs="Arial"/>
      <w:i/>
      <w:sz w:val="22"/>
      <w:szCs w:val="22"/>
    </w:rPr>
  </w:style>
  <w:style w:type="paragraph" w:customStyle="1" w:styleId="AnnexWPLogo">
    <w:name w:val="AnnexWPLogo"/>
    <w:basedOn w:val="Normal"/>
    <w:rsid w:val="00BE35FB"/>
    <w:pPr>
      <w:spacing w:before="120" w:after="120"/>
    </w:pPr>
  </w:style>
  <w:style w:type="paragraph" w:customStyle="1" w:styleId="EPFooter">
    <w:name w:val="EPFooter"/>
    <w:basedOn w:val="Normal"/>
    <w:rsid w:val="00BE35FB"/>
    <w:pPr>
      <w:tabs>
        <w:tab w:val="center" w:pos="4535"/>
        <w:tab w:val="right" w:pos="9071"/>
      </w:tabs>
      <w:spacing w:before="240" w:after="240"/>
    </w:pPr>
    <w:rPr>
      <w:color w:val="010000"/>
      <w:sz w:val="22"/>
    </w:rPr>
  </w:style>
  <w:style w:type="paragraph" w:customStyle="1" w:styleId="EPComma">
    <w:name w:val="EPComma"/>
    <w:basedOn w:val="Normal"/>
    <w:rsid w:val="00BE35FB"/>
    <w:pPr>
      <w:spacing w:before="480" w:after="240"/>
    </w:pPr>
  </w:style>
  <w:style w:type="paragraph" w:customStyle="1" w:styleId="Lgendesigne">
    <w:name w:val="Légende signe"/>
    <w:basedOn w:val="Normal"/>
    <w:rsid w:val="00BE35FB"/>
    <w:pPr>
      <w:tabs>
        <w:tab w:val="right" w:pos="454"/>
        <w:tab w:val="left" w:pos="737"/>
      </w:tabs>
      <w:ind w:left="737" w:hanging="737"/>
    </w:pPr>
    <w:rPr>
      <w:snapToGrid w:val="0"/>
      <w:sz w:val="18"/>
      <w:lang w:eastAsia="en-US"/>
    </w:rPr>
  </w:style>
  <w:style w:type="paragraph" w:customStyle="1" w:styleId="Lgendetitre">
    <w:name w:val="Légende titre"/>
    <w:basedOn w:val="Normal"/>
    <w:rsid w:val="00BE35FB"/>
    <w:pPr>
      <w:spacing w:before="240" w:after="240"/>
    </w:pPr>
    <w:rPr>
      <w:b/>
      <w:i/>
      <w:snapToGrid w:val="0"/>
      <w:lang w:eastAsia="en-US"/>
    </w:rPr>
  </w:style>
  <w:style w:type="paragraph" w:customStyle="1" w:styleId="Lgendestandard">
    <w:name w:val="Légende standard"/>
    <w:basedOn w:val="Normal"/>
    <w:rsid w:val="00BE35FB"/>
    <w:rPr>
      <w:sz w:val="18"/>
    </w:rPr>
  </w:style>
  <w:style w:type="paragraph" w:customStyle="1" w:styleId="msonormal0">
    <w:name w:val="msonormal"/>
    <w:basedOn w:val="Normal"/>
    <w:rsid w:val="00BE35FB"/>
    <w:pPr>
      <w:widowControl/>
      <w:spacing w:before="100" w:beforeAutospacing="1" w:after="100" w:afterAutospacing="1"/>
    </w:pPr>
    <w:rPr>
      <w:szCs w:val="24"/>
    </w:rPr>
  </w:style>
  <w:style w:type="character" w:customStyle="1" w:styleId="Normal12Char">
    <w:name w:val="Normal12 Char"/>
    <w:basedOn w:val="DefaultParagraphFont"/>
    <w:link w:val="Normal12"/>
    <w:locked/>
    <w:rsid w:val="00BE35FB"/>
    <w:rPr>
      <w:noProof/>
      <w:sz w:val="24"/>
    </w:rPr>
  </w:style>
  <w:style w:type="paragraph" w:customStyle="1" w:styleId="Normal12">
    <w:name w:val="Normal12"/>
    <w:basedOn w:val="Normal"/>
    <w:link w:val="Normal12Char"/>
    <w:rsid w:val="00BE35FB"/>
    <w:pPr>
      <w:spacing w:after="240"/>
    </w:pPr>
    <w:rPr>
      <w:noProof/>
      <w:lang w:val="en-GB"/>
    </w:rPr>
  </w:style>
  <w:style w:type="paragraph" w:customStyle="1" w:styleId="CommitteeAM">
    <w:name w:val="CommitteeAM"/>
    <w:basedOn w:val="Normal"/>
    <w:rsid w:val="00BE35FB"/>
    <w:pPr>
      <w:spacing w:before="240" w:after="600"/>
      <w:jc w:val="center"/>
    </w:pPr>
    <w:rPr>
      <w:i/>
    </w:rPr>
  </w:style>
  <w:style w:type="paragraph" w:customStyle="1" w:styleId="ZDateAM">
    <w:name w:val="ZDateAM"/>
    <w:basedOn w:val="Normal"/>
    <w:rsid w:val="00BE35FB"/>
    <w:pPr>
      <w:tabs>
        <w:tab w:val="right" w:pos="9356"/>
      </w:tabs>
      <w:spacing w:after="480"/>
    </w:pPr>
    <w:rPr>
      <w:noProof/>
    </w:rPr>
  </w:style>
  <w:style w:type="paragraph" w:customStyle="1" w:styleId="ProjRap">
    <w:name w:val="ProjRap"/>
    <w:basedOn w:val="Normal"/>
    <w:rsid w:val="00BE35FB"/>
    <w:pPr>
      <w:tabs>
        <w:tab w:val="right" w:pos="9356"/>
      </w:tabs>
    </w:pPr>
    <w:rPr>
      <w:b/>
      <w:noProof/>
    </w:rPr>
  </w:style>
  <w:style w:type="paragraph" w:customStyle="1" w:styleId="PELeft">
    <w:name w:val="PELeft"/>
    <w:basedOn w:val="Normal"/>
    <w:rsid w:val="00BE35FB"/>
    <w:pPr>
      <w:spacing w:before="40" w:after="40"/>
    </w:pPr>
    <w:rPr>
      <w:rFonts w:ascii="Arial" w:hAnsi="Arial" w:cs="Arial"/>
      <w:sz w:val="22"/>
      <w:szCs w:val="22"/>
    </w:rPr>
  </w:style>
  <w:style w:type="paragraph" w:customStyle="1" w:styleId="PERight">
    <w:name w:val="PERight"/>
    <w:basedOn w:val="Normal"/>
    <w:next w:val="Normal"/>
    <w:rsid w:val="00BE35FB"/>
    <w:pPr>
      <w:jc w:val="right"/>
    </w:pPr>
    <w:rPr>
      <w:rFonts w:ascii="Arial" w:hAnsi="Arial" w:cs="Arial"/>
      <w:sz w:val="22"/>
      <w:szCs w:val="22"/>
    </w:rPr>
  </w:style>
  <w:style w:type="character" w:customStyle="1" w:styleId="Normal6Char">
    <w:name w:val="Normal6 Char"/>
    <w:basedOn w:val="DefaultParagraphFont"/>
    <w:link w:val="Normal6"/>
    <w:locked/>
    <w:rsid w:val="00BE35FB"/>
    <w:rPr>
      <w:sz w:val="24"/>
      <w:lang w:val="sv-SE"/>
    </w:rPr>
  </w:style>
  <w:style w:type="paragraph" w:customStyle="1" w:styleId="Normal6">
    <w:name w:val="Normal6"/>
    <w:basedOn w:val="Normal"/>
    <w:link w:val="Normal6Char"/>
    <w:rsid w:val="00BE35FB"/>
    <w:pPr>
      <w:spacing w:after="120"/>
    </w:pPr>
  </w:style>
  <w:style w:type="character" w:customStyle="1" w:styleId="NormalBoldChar">
    <w:name w:val="NormalBold Char"/>
    <w:basedOn w:val="DefaultParagraphFont"/>
    <w:link w:val="NormalBold"/>
    <w:locked/>
    <w:rsid w:val="00BE35FB"/>
    <w:rPr>
      <w:b/>
      <w:sz w:val="24"/>
      <w:lang w:val="sv-SE"/>
    </w:rPr>
  </w:style>
  <w:style w:type="paragraph" w:customStyle="1" w:styleId="Normal12Italic">
    <w:name w:val="Normal12Italic"/>
    <w:basedOn w:val="Normal12"/>
    <w:rsid w:val="00BE35FB"/>
    <w:rPr>
      <w:i/>
    </w:rPr>
  </w:style>
  <w:style w:type="paragraph" w:customStyle="1" w:styleId="JustificationTitle">
    <w:name w:val="JustificationTitle"/>
    <w:basedOn w:val="Normal"/>
    <w:next w:val="Normal12"/>
    <w:rsid w:val="00BE35FB"/>
    <w:pPr>
      <w:keepNext/>
      <w:spacing w:before="240" w:after="240"/>
      <w:jc w:val="center"/>
    </w:pPr>
    <w:rPr>
      <w:i/>
      <w:noProof/>
    </w:rPr>
  </w:style>
  <w:style w:type="paragraph" w:customStyle="1" w:styleId="Olang">
    <w:name w:val="Olang"/>
    <w:basedOn w:val="Normal"/>
    <w:rsid w:val="00BE35FB"/>
    <w:pPr>
      <w:spacing w:before="240" w:after="240"/>
      <w:jc w:val="right"/>
    </w:pPr>
    <w:rPr>
      <w:noProof/>
      <w:szCs w:val="24"/>
    </w:rPr>
  </w:style>
  <w:style w:type="paragraph" w:customStyle="1" w:styleId="ColumnHeading">
    <w:name w:val="ColumnHeading"/>
    <w:basedOn w:val="Normal"/>
    <w:rsid w:val="00BE35FB"/>
    <w:pPr>
      <w:spacing w:after="240"/>
      <w:jc w:val="center"/>
    </w:pPr>
    <w:rPr>
      <w:i/>
    </w:rPr>
  </w:style>
  <w:style w:type="paragraph" w:customStyle="1" w:styleId="AMNumberTabs0">
    <w:name w:val="AMNumberTabs"/>
    <w:basedOn w:val="Normal"/>
    <w:rsid w:val="00BE35F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BE35FB"/>
    <w:pPr>
      <w:spacing w:before="240"/>
      <w:jc w:val="center"/>
    </w:pPr>
    <w:rPr>
      <w:i/>
    </w:rPr>
  </w:style>
  <w:style w:type="character" w:customStyle="1" w:styleId="Footer2Middle">
    <w:name w:val="Footer2Middle"/>
    <w:rsid w:val="00BE35FB"/>
    <w:rPr>
      <w:rFonts w:ascii="Arial" w:hAnsi="Arial" w:cs="Arial" w:hint="default"/>
      <w:b w:val="0"/>
      <w:bCs w:val="0"/>
      <w:i/>
      <w:iCs w:val="0"/>
      <w:color w:val="C0C0C0"/>
      <w:sz w:val="22"/>
    </w:rPr>
  </w:style>
  <w:style w:type="paragraph" w:customStyle="1" w:styleId="EntPE">
    <w:name w:val="EntPE"/>
    <w:basedOn w:val="Normal12"/>
    <w:rsid w:val="00BE35FB"/>
    <w:pPr>
      <w:jc w:val="center"/>
    </w:pPr>
    <w:rPr>
      <w:noProof w:val="0"/>
      <w:sz w:val="56"/>
    </w:rPr>
  </w:style>
  <w:style w:type="paragraph" w:styleId="BalloonText">
    <w:name w:val="Balloon Text"/>
    <w:basedOn w:val="Normal"/>
    <w:link w:val="BalloonTextChar"/>
    <w:unhideWhenUsed/>
    <w:rsid w:val="00BE35FB"/>
    <w:rPr>
      <w:rFonts w:ascii="Segoe UI" w:hAnsi="Segoe UI" w:cs="Segoe UI"/>
      <w:sz w:val="18"/>
      <w:szCs w:val="18"/>
    </w:rPr>
  </w:style>
  <w:style w:type="character" w:customStyle="1" w:styleId="BalloonTextChar">
    <w:name w:val="Balloon Text Char"/>
    <w:basedOn w:val="DefaultParagraphFont"/>
    <w:link w:val="BalloonText"/>
    <w:rsid w:val="00BE35FB"/>
    <w:rPr>
      <w:rFonts w:ascii="Segoe UI" w:hAnsi="Segoe UI" w:cs="Segoe UI"/>
      <w:sz w:val="18"/>
      <w:szCs w:val="18"/>
      <w:lang w:val="sv-SE"/>
    </w:rPr>
  </w:style>
  <w:style w:type="character" w:styleId="CommentReference">
    <w:name w:val="annotation reference"/>
    <w:basedOn w:val="DefaultParagraphFont"/>
    <w:rsid w:val="00BE35FB"/>
    <w:rPr>
      <w:sz w:val="16"/>
      <w:szCs w:val="16"/>
    </w:rPr>
  </w:style>
  <w:style w:type="paragraph" w:styleId="CommentText">
    <w:name w:val="annotation text"/>
    <w:basedOn w:val="Normal"/>
    <w:link w:val="CommentTextChar"/>
    <w:rsid w:val="00BE35FB"/>
    <w:rPr>
      <w:sz w:val="20"/>
    </w:rPr>
  </w:style>
  <w:style w:type="character" w:customStyle="1" w:styleId="CommentTextChar">
    <w:name w:val="Comment Text Char"/>
    <w:basedOn w:val="DefaultParagraphFont"/>
    <w:link w:val="CommentText"/>
    <w:rsid w:val="00BE35FB"/>
    <w:rPr>
      <w:lang w:val="sv-SE"/>
    </w:rPr>
  </w:style>
  <w:style w:type="paragraph" w:styleId="CommentSubject">
    <w:name w:val="annotation subject"/>
    <w:basedOn w:val="CommentText"/>
    <w:next w:val="CommentText"/>
    <w:link w:val="CommentSubjectChar"/>
    <w:unhideWhenUsed/>
    <w:rsid w:val="00BE35FB"/>
    <w:rPr>
      <w:b/>
      <w:bCs/>
    </w:rPr>
  </w:style>
  <w:style w:type="character" w:customStyle="1" w:styleId="CommentSubjectChar">
    <w:name w:val="Comment Subject Char"/>
    <w:basedOn w:val="CommentTextChar"/>
    <w:link w:val="CommentSubject"/>
    <w:rsid w:val="00BE35FB"/>
    <w:rPr>
      <w:b/>
      <w:bCs/>
      <w:lang w:val="sv-SE"/>
    </w:rPr>
  </w:style>
  <w:style w:type="paragraph" w:styleId="Revision">
    <w:name w:val="Revision"/>
    <w:hidden/>
    <w:uiPriority w:val="99"/>
    <w:semiHidden/>
    <w:rsid w:val="00BE35FB"/>
    <w:rPr>
      <w:sz w:val="24"/>
      <w:lang w:val="sv-SE"/>
    </w:rPr>
  </w:style>
  <w:style w:type="paragraph" w:customStyle="1" w:styleId="RollCallVotes">
    <w:name w:val="RollCallVotes"/>
    <w:basedOn w:val="Normal"/>
    <w:rsid w:val="00BE35FB"/>
    <w:pPr>
      <w:spacing w:before="120" w:after="120"/>
      <w:jc w:val="center"/>
    </w:pPr>
    <w:rPr>
      <w:b/>
      <w:bCs/>
      <w:snapToGrid w:val="0"/>
      <w:sz w:val="16"/>
      <w:lang w:eastAsia="en-US"/>
    </w:rPr>
  </w:style>
  <w:style w:type="paragraph" w:customStyle="1" w:styleId="RollCallTabs">
    <w:name w:val="RollCallTabs"/>
    <w:basedOn w:val="Normal"/>
    <w:qFormat/>
    <w:rsid w:val="00BE35FB"/>
    <w:pPr>
      <w:tabs>
        <w:tab w:val="center" w:pos="284"/>
        <w:tab w:val="left" w:pos="426"/>
      </w:tabs>
    </w:pPr>
    <w:rPr>
      <w:snapToGrid w:val="0"/>
      <w:lang w:eastAsia="en-US"/>
    </w:rPr>
  </w:style>
  <w:style w:type="paragraph" w:customStyle="1" w:styleId="RollCallSymbols14pt">
    <w:name w:val="RollCallSymbols14pt"/>
    <w:basedOn w:val="Normal"/>
    <w:rsid w:val="00BE35FB"/>
    <w:pPr>
      <w:spacing w:before="120" w:after="120"/>
      <w:jc w:val="center"/>
    </w:pPr>
    <w:rPr>
      <w:rFonts w:ascii="Arial" w:hAnsi="Arial"/>
      <w:b/>
      <w:bCs/>
      <w:snapToGrid w:val="0"/>
      <w:sz w:val="28"/>
      <w:lang w:eastAsia="en-US"/>
    </w:rPr>
  </w:style>
  <w:style w:type="paragraph" w:customStyle="1" w:styleId="RollCallTable">
    <w:name w:val="RollCallTable"/>
    <w:basedOn w:val="Normal"/>
    <w:rsid w:val="00BE35FB"/>
    <w:pPr>
      <w:spacing w:before="120" w:after="120"/>
    </w:pPr>
    <w:rPr>
      <w:snapToGrid w:val="0"/>
      <w:sz w:val="16"/>
      <w:lang w:eastAsia="en-US"/>
    </w:rPr>
  </w:style>
  <w:style w:type="character" w:customStyle="1" w:styleId="epname0">
    <w:name w:val="ep_name"/>
    <w:basedOn w:val="DefaultParagraphFont"/>
    <w:rsid w:val="00BE35FB"/>
  </w:style>
  <w:style w:type="paragraph" w:customStyle="1" w:styleId="LetterSalutation">
    <w:name w:val="LetterSalutation"/>
    <w:basedOn w:val="Normal"/>
    <w:rsid w:val="00BE35FB"/>
    <w:pPr>
      <w:spacing w:before="600" w:after="360"/>
    </w:pPr>
  </w:style>
  <w:style w:type="paragraph" w:customStyle="1" w:styleId="LetterSubject">
    <w:name w:val="LetterSubject"/>
    <w:basedOn w:val="Normal"/>
    <w:rsid w:val="00BE35FB"/>
    <w:pPr>
      <w:spacing w:before="480"/>
      <w:ind w:left="1134" w:hanging="1134"/>
    </w:pPr>
  </w:style>
  <w:style w:type="paragraph" w:customStyle="1" w:styleId="LetterSignature66b">
    <w:name w:val="LetterSignature66b"/>
    <w:basedOn w:val="Normal"/>
    <w:next w:val="Normal"/>
    <w:rsid w:val="00BE35FB"/>
    <w:pPr>
      <w:spacing w:before="1320"/>
    </w:pPr>
  </w:style>
  <w:style w:type="paragraph" w:customStyle="1" w:styleId="AnnexRight">
    <w:name w:val="AnnexRight"/>
    <w:basedOn w:val="Normal"/>
    <w:rsid w:val="00BE35FB"/>
    <w:pPr>
      <w:spacing w:after="480"/>
      <w:jc w:val="right"/>
    </w:pPr>
  </w:style>
  <w:style w:type="paragraph" w:customStyle="1" w:styleId="Normal24a">
    <w:name w:val="Normal24a"/>
    <w:basedOn w:val="Normal"/>
    <w:link w:val="Normal24aChar"/>
    <w:rsid w:val="00BE35FB"/>
    <w:pPr>
      <w:spacing w:after="480"/>
    </w:pPr>
  </w:style>
  <w:style w:type="character" w:customStyle="1" w:styleId="Normal24aChar">
    <w:name w:val="Normal24a Char"/>
    <w:basedOn w:val="DefaultParagraphFont"/>
    <w:link w:val="Normal24a"/>
    <w:rsid w:val="00BE35FB"/>
    <w:rPr>
      <w:sz w:val="24"/>
      <w:lang w:val="sv-SE"/>
    </w:rPr>
  </w:style>
  <w:style w:type="paragraph" w:customStyle="1" w:styleId="NormalBoldCenter">
    <w:name w:val="NormalBoldCenter"/>
    <w:basedOn w:val="Normal"/>
    <w:rsid w:val="00BE35FB"/>
    <w:pPr>
      <w:jc w:val="center"/>
    </w:pPr>
    <w:rPr>
      <w:b/>
    </w:rPr>
  </w:style>
  <w:style w:type="paragraph" w:styleId="Footer">
    <w:name w:val="footer"/>
    <w:basedOn w:val="Normal"/>
    <w:link w:val="FooterChar"/>
    <w:rsid w:val="00BE35FB"/>
    <w:pPr>
      <w:tabs>
        <w:tab w:val="center" w:pos="4513"/>
        <w:tab w:val="right" w:pos="9026"/>
      </w:tabs>
    </w:pPr>
  </w:style>
  <w:style w:type="character" w:customStyle="1" w:styleId="FooterChar">
    <w:name w:val="Footer Char"/>
    <w:basedOn w:val="DefaultParagraphFont"/>
    <w:link w:val="Footer"/>
    <w:rsid w:val="00BE35FB"/>
    <w:rPr>
      <w:sz w:val="24"/>
      <w:lang w:val="sv-SE"/>
    </w:rPr>
  </w:style>
  <w:style w:type="character" w:styleId="Hyperlink">
    <w:name w:val="Hyperlink"/>
    <w:basedOn w:val="DefaultParagraphFont"/>
    <w:rsid w:val="00DE279F"/>
    <w:rPr>
      <w:color w:val="0563C1" w:themeColor="hyperlink"/>
      <w:u w:val="single"/>
    </w:rPr>
  </w:style>
  <w:style w:type="numbering" w:customStyle="1" w:styleId="NoList1">
    <w:name w:val="No List1"/>
    <w:next w:val="NoList"/>
    <w:uiPriority w:val="99"/>
    <w:semiHidden/>
    <w:unhideWhenUsed/>
    <w:rsid w:val="00EB5AC1"/>
  </w:style>
  <w:style w:type="paragraph" w:customStyle="1" w:styleId="SignaturePersonne">
    <w:name w:val="Signature Personne"/>
    <w:basedOn w:val="Normal"/>
    <w:rsid w:val="00EB5AC1"/>
    <w:pPr>
      <w:widowControl/>
      <w:tabs>
        <w:tab w:val="left" w:pos="4252"/>
      </w:tabs>
      <w:spacing w:line="360" w:lineRule="auto"/>
    </w:pPr>
    <w:rPr>
      <w:i/>
      <w:szCs w:val="24"/>
      <w:lang w:val="en-GB" w:eastAsia="en-US"/>
    </w:rPr>
  </w:style>
  <w:style w:type="paragraph" w:customStyle="1" w:styleId="Considrant">
    <w:name w:val="Considérant"/>
    <w:basedOn w:val="Normal"/>
    <w:rsid w:val="00EB5AC1"/>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EB5AC1"/>
    <w:pPr>
      <w:keepNext/>
      <w:spacing w:before="600" w:after="120" w:line="360" w:lineRule="auto"/>
    </w:pPr>
    <w:rPr>
      <w:szCs w:val="24"/>
      <w:lang w:val="en-GB" w:eastAsia="en-US"/>
    </w:rPr>
  </w:style>
  <w:style w:type="paragraph" w:customStyle="1" w:styleId="Institutionquisigne">
    <w:name w:val="Institution qui signe"/>
    <w:basedOn w:val="Normal"/>
    <w:next w:val="Normal"/>
    <w:rsid w:val="00EB5AC1"/>
    <w:pPr>
      <w:keepNext/>
      <w:tabs>
        <w:tab w:val="left" w:pos="4252"/>
      </w:tabs>
      <w:spacing w:before="720" w:line="360" w:lineRule="auto"/>
    </w:pPr>
    <w:rPr>
      <w:i/>
      <w:szCs w:val="24"/>
      <w:lang w:val="en-GB" w:eastAsia="en-US"/>
    </w:rPr>
  </w:style>
  <w:style w:type="paragraph" w:customStyle="1" w:styleId="Fait">
    <w:name w:val="Fait à"/>
    <w:basedOn w:val="Normal"/>
    <w:rsid w:val="00EB5AC1"/>
    <w:pPr>
      <w:keepNext/>
      <w:widowControl/>
      <w:spacing w:before="120" w:line="360" w:lineRule="auto"/>
    </w:pPr>
    <w:rPr>
      <w:szCs w:val="24"/>
      <w:lang w:val="en-GB" w:eastAsia="en-US"/>
    </w:rPr>
  </w:style>
  <w:style w:type="paragraph" w:customStyle="1" w:styleId="FootnoteTextForceStyle">
    <w:name w:val="Footnote Text ForceStyle"/>
    <w:rsid w:val="00EB5AC1"/>
    <w:pPr>
      <w:keepLines/>
      <w:widowControl w:val="0"/>
      <w:ind w:left="850" w:hanging="850"/>
    </w:pPr>
    <w:rPr>
      <w:sz w:val="24"/>
      <w:lang w:eastAsia="en-US"/>
    </w:rPr>
  </w:style>
  <w:style w:type="character" w:customStyle="1" w:styleId="Footer2">
    <w:name w:val="Footer2"/>
    <w:rsid w:val="00EB5AC1"/>
    <w:rPr>
      <w:rFonts w:ascii="Arial" w:hAnsi="Arial"/>
      <w:b/>
      <w:sz w:val="48"/>
    </w:rPr>
  </w:style>
  <w:style w:type="paragraph" w:customStyle="1" w:styleId="Applicationdirecte">
    <w:name w:val="Application directe"/>
    <w:basedOn w:val="Normal"/>
    <w:next w:val="Normal"/>
    <w:rsid w:val="00EB5AC1"/>
    <w:pPr>
      <w:spacing w:before="120" w:after="120" w:line="360" w:lineRule="auto"/>
    </w:pPr>
    <w:rPr>
      <w:szCs w:val="24"/>
      <w:lang w:val="en-GB" w:eastAsia="en-US"/>
    </w:rPr>
  </w:style>
  <w:style w:type="paragraph" w:customStyle="1" w:styleId="Normale">
    <w:name w:val="Normale"/>
    <w:rsid w:val="00EB5AC1"/>
    <w:pPr>
      <w:widowControl w:val="0"/>
      <w:spacing w:before="120" w:after="120" w:line="360" w:lineRule="auto"/>
    </w:pPr>
    <w:rPr>
      <w:sz w:val="24"/>
      <w:lang w:eastAsia="en-US"/>
    </w:rPr>
  </w:style>
  <w:style w:type="paragraph" w:customStyle="1" w:styleId="Formuledadoption">
    <w:name w:val="Formule d'adoption"/>
    <w:basedOn w:val="Normal"/>
    <w:next w:val="Normal"/>
    <w:rsid w:val="00EB5AC1"/>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EB5AC1"/>
    <w:pPr>
      <w:widowControl/>
      <w:spacing w:after="240" w:line="360" w:lineRule="auto"/>
      <w:ind w:left="5102"/>
    </w:pPr>
    <w:rPr>
      <w:szCs w:val="24"/>
      <w:lang w:val="en-GB" w:eastAsia="en-US"/>
    </w:rPr>
  </w:style>
  <w:style w:type="paragraph" w:customStyle="1" w:styleId="Footer1">
    <w:name w:val="Footer1"/>
    <w:basedOn w:val="Normal"/>
    <w:rsid w:val="00EB5AC1"/>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EB5AC1"/>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EB5AC1"/>
    <w:pPr>
      <w:widowControl/>
      <w:spacing w:before="840" w:line="360" w:lineRule="auto"/>
      <w:jc w:val="center"/>
    </w:pPr>
    <w:rPr>
      <w:szCs w:val="24"/>
      <w:lang w:val="en-GB" w:eastAsia="en-US"/>
    </w:rPr>
  </w:style>
  <w:style w:type="paragraph" w:customStyle="1" w:styleId="Typedudocument">
    <w:name w:val="Type du document"/>
    <w:basedOn w:val="Normal"/>
    <w:next w:val="Normal"/>
    <w:rsid w:val="00EB5AC1"/>
    <w:pPr>
      <w:widowControl/>
      <w:spacing w:before="360" w:line="360" w:lineRule="auto"/>
      <w:jc w:val="center"/>
    </w:pPr>
    <w:rPr>
      <w:b/>
      <w:szCs w:val="24"/>
      <w:lang w:val="en-GB" w:eastAsia="en-US"/>
    </w:rPr>
  </w:style>
  <w:style w:type="paragraph" w:customStyle="1" w:styleId="Titreobjet">
    <w:name w:val="Titre objet"/>
    <w:basedOn w:val="Normal"/>
    <w:next w:val="Normal"/>
    <w:rsid w:val="00EB5AC1"/>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EB5AC1"/>
    <w:pPr>
      <w:widowControl/>
      <w:spacing w:before="360" w:after="240" w:line="360" w:lineRule="auto"/>
      <w:jc w:val="center"/>
    </w:pPr>
    <w:rPr>
      <w:szCs w:val="24"/>
      <w:lang w:val="en-GB" w:eastAsia="en-US"/>
    </w:rPr>
  </w:style>
  <w:style w:type="character" w:customStyle="1" w:styleId="CMissingStyle">
    <w:name w:val="C_MissingStyle"/>
    <w:rsid w:val="00EB5AC1"/>
    <w:rPr>
      <w:color w:val="FFFFFF"/>
      <w:sz w:val="22"/>
      <w:shd w:val="clear" w:color="000000" w:fill="000000"/>
    </w:rPr>
  </w:style>
  <w:style w:type="paragraph" w:customStyle="1" w:styleId="PMissingStyle">
    <w:name w:val="P_MissingStyle"/>
    <w:basedOn w:val="Normal"/>
    <w:rsid w:val="00EB5AC1"/>
    <w:pPr>
      <w:spacing w:before="120" w:after="120" w:line="360" w:lineRule="auto"/>
    </w:pPr>
    <w:rPr>
      <w:color w:val="FFFFFF"/>
      <w:szCs w:val="24"/>
      <w:shd w:val="clear" w:color="000000" w:fill="000000"/>
      <w:lang w:val="en-GB" w:eastAsia="en-US"/>
    </w:rPr>
  </w:style>
  <w:style w:type="character" w:styleId="FollowedHyperlink">
    <w:name w:val="FollowedHyperlink"/>
    <w:basedOn w:val="DefaultParagraphFont"/>
    <w:rsid w:val="0004668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3/865/oj" TargetMode="External"/><Relationship Id="rId1" Type="http://schemas.openxmlformats.org/officeDocument/2006/relationships/hyperlink" Target="http://data.europa.eu/eli/C/2023/8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2CF410-C985-4DB8-9F57-BF9717AFF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133</Pages>
  <Words>17967</Words>
  <Characters>110008</Characters>
  <Application>Microsoft Office Word</Application>
  <DocSecurity>0</DocSecurity>
  <Lines>916</Lines>
  <Paragraphs>255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127720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LUKSITE Marija</cp:lastModifiedBy>
  <cp:revision>2</cp:revision>
  <cp:lastPrinted>2004-11-19T15:42:00Z</cp:lastPrinted>
  <dcterms:created xsi:type="dcterms:W3CDTF">2024-11-26T12:06:00Z</dcterms:created>
  <dcterms:modified xsi:type="dcterms:W3CDTF">2024-11-26T12:06:00Z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P9_TA-PROV(2024)0000_A9-0022_2024_SV_r</vt:lpwstr>
  </property>
  <property fmtid="{D5CDD505-2E9C-101B-9397-08002B2CF9AE}" pid="4" name="&lt;Type&gt;">
    <vt:lpwstr>RR</vt:lpwstr>
  </property>
</Properties>
</file>