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84105" w14:paraId="3F6FDB06" w14:textId="77777777" w:rsidTr="0010095E">
        <w:trPr>
          <w:trHeight w:hRule="exact" w:val="1418"/>
        </w:trPr>
        <w:tc>
          <w:tcPr>
            <w:tcW w:w="6804" w:type="dxa"/>
            <w:shd w:val="clear" w:color="auto" w:fill="auto"/>
            <w:vAlign w:val="center"/>
          </w:tcPr>
          <w:p w14:paraId="47311F95" w14:textId="77777777" w:rsidR="00751A4A" w:rsidRPr="00084105" w:rsidRDefault="00BF3EC2" w:rsidP="0010095E">
            <w:pPr>
              <w:pStyle w:val="EPName"/>
            </w:pPr>
            <w:r w:rsidRPr="00084105">
              <w:t>Parlamento Europeu</w:t>
            </w:r>
          </w:p>
          <w:p w14:paraId="4295832D" w14:textId="77777777" w:rsidR="00751A4A" w:rsidRPr="00084105" w:rsidRDefault="00817416" w:rsidP="00756632">
            <w:pPr>
              <w:pStyle w:val="EPTerm"/>
              <w:rPr>
                <w:rStyle w:val="HideTWBExt"/>
                <w:noProof w:val="0"/>
                <w:vanish w:val="0"/>
                <w:color w:val="auto"/>
              </w:rPr>
            </w:pPr>
            <w:r w:rsidRPr="00084105">
              <w:t>2019-2024</w:t>
            </w:r>
          </w:p>
        </w:tc>
        <w:tc>
          <w:tcPr>
            <w:tcW w:w="2268" w:type="dxa"/>
            <w:shd w:val="clear" w:color="auto" w:fill="auto"/>
          </w:tcPr>
          <w:p w14:paraId="7CD62C56" w14:textId="77777777" w:rsidR="00751A4A" w:rsidRPr="00084105" w:rsidRDefault="00187494" w:rsidP="0010095E">
            <w:pPr>
              <w:pStyle w:val="EPLogo"/>
            </w:pPr>
            <w:r w:rsidRPr="00084105">
              <w:rPr>
                <w:noProof/>
                <w:lang w:val="en-GB"/>
              </w:rPr>
              <w:drawing>
                <wp:inline distT="0" distB="0" distL="0" distR="0" wp14:anchorId="596ED957" wp14:editId="0C94B34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3251B7" w14:textId="77777777" w:rsidR="00D058B8" w:rsidRPr="00084105" w:rsidRDefault="00D058B8" w:rsidP="004C5D52">
      <w:pPr>
        <w:pStyle w:val="LineTop"/>
      </w:pPr>
    </w:p>
    <w:p w14:paraId="4275BFD5" w14:textId="77777777" w:rsidR="00680577" w:rsidRPr="00084105" w:rsidRDefault="00BF3EC2" w:rsidP="00680577">
      <w:pPr>
        <w:pStyle w:val="EPBodyTA1"/>
      </w:pPr>
      <w:r w:rsidRPr="00084105">
        <w:t>TEXTOS APROVADOS</w:t>
      </w:r>
    </w:p>
    <w:p w14:paraId="3A4D2CDD" w14:textId="77777777" w:rsidR="00D058B8" w:rsidRPr="00084105" w:rsidRDefault="00D058B8" w:rsidP="00D058B8">
      <w:pPr>
        <w:pStyle w:val="LineBottom"/>
      </w:pPr>
    </w:p>
    <w:p w14:paraId="3DBEF5FF" w14:textId="77777777" w:rsidR="00BF3EC2" w:rsidRPr="00084105" w:rsidRDefault="00BF3EC2" w:rsidP="00BF3EC2">
      <w:pPr>
        <w:pStyle w:val="ATHeading1"/>
      </w:pPr>
      <w:bookmarkStart w:id="0" w:name="TANumber"/>
      <w:r w:rsidRPr="00084105">
        <w:t>P9_TA(2024)</w:t>
      </w:r>
      <w:bookmarkEnd w:id="0"/>
      <w:r w:rsidR="00515FDB" w:rsidRPr="00084105">
        <w:t>0100</w:t>
      </w:r>
    </w:p>
    <w:p w14:paraId="61F01E10" w14:textId="77777777" w:rsidR="00BF3EC2" w:rsidRPr="00084105" w:rsidRDefault="00BF3EC2" w:rsidP="00BF3EC2">
      <w:pPr>
        <w:pStyle w:val="ATHeading2"/>
      </w:pPr>
      <w:bookmarkStart w:id="1" w:name="title"/>
      <w:r w:rsidRPr="00084105">
        <w:t>Patentes essenciais a normas</w:t>
      </w:r>
      <w:bookmarkEnd w:id="1"/>
    </w:p>
    <w:p w14:paraId="53BE3144" w14:textId="77777777" w:rsidR="00BF3EC2" w:rsidRPr="00084105" w:rsidRDefault="00BF3EC2" w:rsidP="00BF3EC2">
      <w:pPr>
        <w:rPr>
          <w:i/>
          <w:vanish/>
        </w:rPr>
      </w:pPr>
      <w:r w:rsidRPr="00084105">
        <w:rPr>
          <w:i/>
        </w:rPr>
        <w:fldChar w:fldCharType="begin"/>
      </w:r>
      <w:r w:rsidRPr="00084105">
        <w:rPr>
          <w:i/>
        </w:rPr>
        <w:instrText xml:space="preserve"> TC"(</w:instrText>
      </w:r>
      <w:bookmarkStart w:id="2" w:name="DocNumber"/>
      <w:r w:rsidRPr="00084105">
        <w:rPr>
          <w:i/>
        </w:rPr>
        <w:instrText>A9-0016/2024</w:instrText>
      </w:r>
      <w:bookmarkEnd w:id="2"/>
      <w:r w:rsidRPr="00084105">
        <w:rPr>
          <w:i/>
        </w:rPr>
        <w:instrText xml:space="preserve"> - Relatora: </w:instrText>
      </w:r>
      <w:proofErr w:type="spellStart"/>
      <w:r w:rsidRPr="00084105">
        <w:rPr>
          <w:i/>
        </w:rPr>
        <w:instrText>Marion</w:instrText>
      </w:r>
      <w:proofErr w:type="spellEnd"/>
      <w:r w:rsidRPr="00084105">
        <w:rPr>
          <w:i/>
        </w:rPr>
        <w:instrText xml:space="preserve"> </w:instrText>
      </w:r>
      <w:proofErr w:type="spellStart"/>
      <w:r w:rsidRPr="00084105">
        <w:rPr>
          <w:i/>
        </w:rPr>
        <w:instrText>Walsmann</w:instrText>
      </w:r>
      <w:proofErr w:type="spellEnd"/>
      <w:r w:rsidRPr="00084105">
        <w:rPr>
          <w:i/>
        </w:rPr>
        <w:instrText xml:space="preserve">)"\l3 \n&gt; \* MERGEFORMAT </w:instrText>
      </w:r>
      <w:r w:rsidRPr="00084105">
        <w:rPr>
          <w:i/>
        </w:rPr>
        <w:fldChar w:fldCharType="end"/>
      </w:r>
    </w:p>
    <w:p w14:paraId="4274D54B" w14:textId="77777777" w:rsidR="00BF3EC2" w:rsidRPr="00084105" w:rsidRDefault="00BF3EC2" w:rsidP="00BF3EC2">
      <w:pPr>
        <w:rPr>
          <w:vanish/>
        </w:rPr>
      </w:pPr>
      <w:bookmarkStart w:id="3" w:name="Commission"/>
      <w:r w:rsidRPr="00084105">
        <w:rPr>
          <w:vanish/>
        </w:rPr>
        <w:t>Comissão dos Assuntos Jurídicos</w:t>
      </w:r>
      <w:bookmarkEnd w:id="3"/>
    </w:p>
    <w:p w14:paraId="1727850D" w14:textId="77777777" w:rsidR="00BF3EC2" w:rsidRPr="00084105" w:rsidRDefault="00BF3EC2" w:rsidP="00BF3EC2">
      <w:pPr>
        <w:rPr>
          <w:vanish/>
        </w:rPr>
      </w:pPr>
      <w:bookmarkStart w:id="4" w:name="PE"/>
      <w:r w:rsidRPr="00084105">
        <w:rPr>
          <w:vanish/>
        </w:rPr>
        <w:t>PE753.697</w:t>
      </w:r>
      <w:bookmarkEnd w:id="4"/>
    </w:p>
    <w:p w14:paraId="6227FF4A" w14:textId="77777777" w:rsidR="00BF3EC2" w:rsidRPr="00084105" w:rsidRDefault="00BF3EC2" w:rsidP="00BF3EC2">
      <w:pPr>
        <w:pStyle w:val="ATHeading3"/>
      </w:pPr>
      <w:bookmarkStart w:id="5" w:name="Sujet"/>
      <w:r w:rsidRPr="00084105">
        <w:t xml:space="preserve">Resolução legislativa do Parlamento Europeu, de </w:t>
      </w:r>
      <w:r w:rsidR="00515FDB" w:rsidRPr="00084105">
        <w:t xml:space="preserve">28 </w:t>
      </w:r>
      <w:r w:rsidRPr="00084105">
        <w:t xml:space="preserve">de </w:t>
      </w:r>
      <w:r w:rsidR="00921D26" w:rsidRPr="00084105">
        <w:t xml:space="preserve">fevereiro </w:t>
      </w:r>
      <w:r w:rsidRPr="00084105">
        <w:t>de 2024, sobre a proposta de regulamento do Parlamento Europeu e do Conselho relativo a patentes essenciais a normas que altera o Regulamento (UE) 2017/1001</w:t>
      </w:r>
      <w:bookmarkEnd w:id="5"/>
      <w:r w:rsidRPr="00084105">
        <w:t xml:space="preserve"> </w:t>
      </w:r>
      <w:bookmarkStart w:id="6" w:name="References"/>
      <w:r w:rsidR="00921D26" w:rsidRPr="00084105">
        <w:t>(COM(2023)0232 – C9</w:t>
      </w:r>
      <w:r w:rsidR="00921D26" w:rsidRPr="00084105">
        <w:noBreakHyphen/>
      </w:r>
      <w:r w:rsidRPr="00084105">
        <w:t>0147/2023 – 2023/0133(COD))</w:t>
      </w:r>
      <w:bookmarkEnd w:id="6"/>
    </w:p>
    <w:p w14:paraId="5C77F71B" w14:textId="77777777" w:rsidR="00686290" w:rsidRPr="00084105" w:rsidRDefault="00686290" w:rsidP="00686290">
      <w:pPr>
        <w:pStyle w:val="NormalBold"/>
      </w:pPr>
      <w:bookmarkStart w:id="7" w:name="TextBodyBegin"/>
      <w:bookmarkEnd w:id="7"/>
      <w:r w:rsidRPr="00084105">
        <w:t>(Processo legislativo ordinário: primeira leitura)</w:t>
      </w:r>
    </w:p>
    <w:p w14:paraId="014FBD80" w14:textId="77777777" w:rsidR="00686290" w:rsidRPr="00084105" w:rsidRDefault="00686290" w:rsidP="00686290">
      <w:pPr>
        <w:pStyle w:val="EPComma"/>
      </w:pPr>
      <w:r w:rsidRPr="00084105">
        <w:rPr>
          <w:i/>
          <w:iCs/>
        </w:rPr>
        <w:t>O Parlamento Europeu</w:t>
      </w:r>
      <w:r w:rsidRPr="00084105">
        <w:t>,</w:t>
      </w:r>
    </w:p>
    <w:p w14:paraId="6B25802F" w14:textId="77777777" w:rsidR="00686290" w:rsidRPr="00084105" w:rsidRDefault="00686290" w:rsidP="00686290">
      <w:pPr>
        <w:pStyle w:val="NormalHanging12a"/>
      </w:pPr>
      <w:r w:rsidRPr="00084105">
        <w:t>–</w:t>
      </w:r>
      <w:r w:rsidRPr="00084105">
        <w:tab/>
        <w:t>Tendo em conta a proposta da Comissão ao Parlamento e ao Conselho (COM(2023)0232),</w:t>
      </w:r>
    </w:p>
    <w:p w14:paraId="18B37D1E" w14:textId="77777777" w:rsidR="00686290" w:rsidRPr="00084105" w:rsidRDefault="00686290" w:rsidP="00686290">
      <w:pPr>
        <w:pStyle w:val="NormalHanging12a"/>
      </w:pPr>
      <w:r w:rsidRPr="00084105">
        <w:t>–</w:t>
      </w:r>
      <w:r w:rsidRPr="00084105">
        <w:tab/>
        <w:t>Tendo em conta o artigo 294.º, n.º 2, e o artigo 114.º do Tratado sobre o Funcionamento da União Europeia, nos termos dos quais a proposta lhe foi apresentada pela Comissão (C9</w:t>
      </w:r>
      <w:r w:rsidRPr="00084105">
        <w:noBreakHyphen/>
        <w:t>0147/2023),</w:t>
      </w:r>
    </w:p>
    <w:p w14:paraId="38D3B872" w14:textId="77777777" w:rsidR="00686290" w:rsidRPr="00084105" w:rsidRDefault="00686290" w:rsidP="00686290">
      <w:pPr>
        <w:pStyle w:val="NormalHanging12a"/>
      </w:pPr>
      <w:r w:rsidRPr="00084105">
        <w:t>–</w:t>
      </w:r>
      <w:r w:rsidRPr="00084105">
        <w:tab/>
        <w:t>Tendo em conta o artigo 294.º, n.º 3 do Tratado sobre o Funcionamento da União Europeia,</w:t>
      </w:r>
    </w:p>
    <w:p w14:paraId="2D57D15F" w14:textId="77777777" w:rsidR="00686290" w:rsidRPr="00084105" w:rsidRDefault="00686290" w:rsidP="00686290">
      <w:pPr>
        <w:pStyle w:val="NormalHanging12a"/>
      </w:pPr>
      <w:r w:rsidRPr="00084105">
        <w:t>–</w:t>
      </w:r>
      <w:r w:rsidRPr="00084105">
        <w:tab/>
        <w:t>Tendo em conta o parecer do Comité Económico e Social Europeu, de 20 de setembro de 2023</w:t>
      </w:r>
      <w:r w:rsidRPr="00084105">
        <w:rPr>
          <w:rStyle w:val="FootnoteReference"/>
          <w:szCs w:val="24"/>
        </w:rPr>
        <w:footnoteReference w:id="1"/>
      </w:r>
      <w:r w:rsidRPr="00084105">
        <w:t>,</w:t>
      </w:r>
    </w:p>
    <w:p w14:paraId="1D07E8D4" w14:textId="77777777" w:rsidR="00686290" w:rsidRPr="00084105" w:rsidRDefault="00686290" w:rsidP="00686290">
      <w:pPr>
        <w:pStyle w:val="NormalHanging12a"/>
      </w:pPr>
      <w:r w:rsidRPr="00084105">
        <w:t>–</w:t>
      </w:r>
      <w:r w:rsidRPr="00084105">
        <w:tab/>
        <w:t>Tendo em conta o artigo 59.º do seu Regimento,</w:t>
      </w:r>
    </w:p>
    <w:p w14:paraId="537BD326" w14:textId="77777777" w:rsidR="00686290" w:rsidRPr="00084105" w:rsidRDefault="00686290" w:rsidP="00686290">
      <w:pPr>
        <w:pStyle w:val="NormalHanging12a"/>
      </w:pPr>
      <w:r w:rsidRPr="00084105">
        <w:t>–</w:t>
      </w:r>
      <w:r w:rsidRPr="00084105">
        <w:tab/>
        <w:t>Tendo em conta os pareceres da Comissão do Comércio Internacional e da Comissão do Mercado Interno e da Proteção dos Consumidores,</w:t>
      </w:r>
    </w:p>
    <w:p w14:paraId="5060333E" w14:textId="77777777" w:rsidR="00686290" w:rsidRPr="00084105" w:rsidRDefault="00686290" w:rsidP="00686290">
      <w:pPr>
        <w:pStyle w:val="NormalHanging12a"/>
      </w:pPr>
      <w:r w:rsidRPr="00084105">
        <w:t>–</w:t>
      </w:r>
      <w:r w:rsidRPr="00084105">
        <w:tab/>
        <w:t>Tendo em conta o relatório da Comissão dos Assuntos Jurídicos (A9-0016/2024),</w:t>
      </w:r>
    </w:p>
    <w:p w14:paraId="159AB495" w14:textId="77777777" w:rsidR="00686290" w:rsidRPr="00084105" w:rsidRDefault="00686290" w:rsidP="00686290">
      <w:pPr>
        <w:pStyle w:val="NormalHanging12a"/>
      </w:pPr>
      <w:r w:rsidRPr="00084105">
        <w:t>1.</w:t>
      </w:r>
      <w:r w:rsidRPr="00084105">
        <w:tab/>
        <w:t>Aprova a posição em primeira leitura que se segue;</w:t>
      </w:r>
    </w:p>
    <w:p w14:paraId="6B0E708C" w14:textId="77777777" w:rsidR="00686290" w:rsidRPr="00084105" w:rsidRDefault="00686290" w:rsidP="00686290">
      <w:pPr>
        <w:pStyle w:val="NormalHanging12a"/>
      </w:pPr>
      <w:r w:rsidRPr="00084105">
        <w:t>2.</w:t>
      </w:r>
      <w:r w:rsidRPr="00084105">
        <w:tab/>
        <w:t xml:space="preserve">Requer à Comissão que lhe submeta de novo a sua proposta, se a substituir, se a alterar </w:t>
      </w:r>
      <w:r w:rsidRPr="00084105">
        <w:lastRenderedPageBreak/>
        <w:t>substancialmente ou se pretender alterá-la substancialmente;</w:t>
      </w:r>
    </w:p>
    <w:p w14:paraId="44CD8851" w14:textId="16F9CCB3" w:rsidR="002A673F" w:rsidRPr="00084105" w:rsidRDefault="00686290" w:rsidP="00686290">
      <w:pPr>
        <w:pStyle w:val="NormalHanging12a"/>
      </w:pPr>
      <w:proofErr w:type="gramStart"/>
      <w:r w:rsidRPr="00084105">
        <w:t>3.</w:t>
      </w:r>
      <w:r w:rsidRPr="00084105">
        <w:tab/>
        <w:t>Encarrega</w:t>
      </w:r>
      <w:proofErr w:type="gramEnd"/>
      <w:r w:rsidRPr="00084105">
        <w:t xml:space="preserve"> a sua Presidente de transmitir a posição do Parlamento ao Conselho, à Comissão e aos parlamentos nacionais.</w:t>
      </w:r>
    </w:p>
    <w:p w14:paraId="4F038588" w14:textId="77777777" w:rsidR="002A673F" w:rsidRDefault="002A673F" w:rsidP="00686290">
      <w:pPr>
        <w:sectPr w:rsidR="002A673F" w:rsidSect="00536B5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41CA7D0" w14:textId="77777777" w:rsidR="002A673F" w:rsidRPr="00062871" w:rsidRDefault="002A673F" w:rsidP="002A673F">
      <w:pPr>
        <w:autoSpaceDE w:val="0"/>
        <w:autoSpaceDN w:val="0"/>
        <w:adjustRightInd w:val="0"/>
        <w:spacing w:after="240" w:line="260" w:lineRule="exact"/>
        <w:rPr>
          <w:rFonts w:eastAsia="Calibri"/>
          <w:b/>
          <w:bCs/>
          <w:color w:val="000000"/>
        </w:rPr>
      </w:pPr>
      <w:r w:rsidRPr="00062871">
        <w:rPr>
          <w:rFonts w:eastAsia="Calibri"/>
          <w:b/>
          <w:bCs/>
          <w:color w:val="000000"/>
        </w:rPr>
        <w:lastRenderedPageBreak/>
        <w:t>P9_TC1-COD(2023)0</w:t>
      </w:r>
      <w:r>
        <w:rPr>
          <w:rFonts w:eastAsia="Calibri"/>
          <w:b/>
          <w:bCs/>
          <w:color w:val="000000"/>
        </w:rPr>
        <w:t>133</w:t>
      </w:r>
    </w:p>
    <w:p w14:paraId="3AC87EE1" w14:textId="66830221" w:rsidR="002A673F" w:rsidRPr="002A673F" w:rsidRDefault="002A673F" w:rsidP="004B6DC4">
      <w:pPr>
        <w:pStyle w:val="NormalHanging12a"/>
        <w:ind w:left="0" w:firstLine="0"/>
        <w:rPr>
          <w:b/>
          <w:szCs w:val="24"/>
          <w:lang w:eastAsia="en-US"/>
        </w:rPr>
      </w:pPr>
      <w:r w:rsidRPr="00FB2507">
        <w:rPr>
          <w:b/>
        </w:rPr>
        <w:t>Posição do Parlamento Europeu aprovada em primeira leitura em</w:t>
      </w:r>
      <w:r w:rsidRPr="002E0A9D">
        <w:rPr>
          <w:b/>
        </w:rPr>
        <w:t xml:space="preserve"> </w:t>
      </w:r>
      <w:r w:rsidRPr="00884D40">
        <w:rPr>
          <w:b/>
        </w:rPr>
        <w:t xml:space="preserve">28 de fevereiro </w:t>
      </w:r>
      <w:r w:rsidR="009739CE">
        <w:rPr>
          <w:b/>
        </w:rPr>
        <w:t>de </w:t>
      </w:r>
      <w:r w:rsidRPr="002E0A9D">
        <w:rPr>
          <w:b/>
        </w:rPr>
        <w:t xml:space="preserve">2024 </w:t>
      </w:r>
      <w:r w:rsidRPr="00FB2507">
        <w:rPr>
          <w:b/>
        </w:rPr>
        <w:t>tendo em vista a adoção d</w:t>
      </w:r>
      <w:r>
        <w:rPr>
          <w:b/>
        </w:rPr>
        <w:t xml:space="preserve">o </w:t>
      </w:r>
      <w:r w:rsidRPr="002E0A9D">
        <w:rPr>
          <w:b/>
        </w:rPr>
        <w:t>Regulamento</w:t>
      </w:r>
      <w:r w:rsidRPr="0027157C">
        <w:t xml:space="preserve"> </w:t>
      </w:r>
      <w:r w:rsidRPr="00FB2507">
        <w:rPr>
          <w:b/>
        </w:rPr>
        <w:t xml:space="preserve">(UE) 2024/... do Parlamento Europeu e do Conselho </w:t>
      </w:r>
      <w:r w:rsidRPr="002A673F">
        <w:rPr>
          <w:b/>
          <w:szCs w:val="24"/>
          <w:lang w:eastAsia="en-US"/>
        </w:rPr>
        <w:t>relativo a patentes essenciais a normas e que altera o Regulamento (UE) 2017/1001</w:t>
      </w:r>
    </w:p>
    <w:p w14:paraId="38B846A5" w14:textId="77777777" w:rsidR="002A673F" w:rsidRPr="002A673F" w:rsidRDefault="002A673F" w:rsidP="002A673F">
      <w:pPr>
        <w:widowControl/>
        <w:spacing w:before="360" w:after="240" w:line="360" w:lineRule="auto"/>
        <w:jc w:val="center"/>
        <w:rPr>
          <w:szCs w:val="24"/>
          <w:lang w:eastAsia="en-US"/>
        </w:rPr>
      </w:pPr>
      <w:r w:rsidRPr="002A673F">
        <w:rPr>
          <w:szCs w:val="24"/>
          <w:lang w:eastAsia="en-US"/>
        </w:rPr>
        <w:t>(Texto relevante para efeitos do EEE)</w:t>
      </w:r>
    </w:p>
    <w:p w14:paraId="107AF7AB" w14:textId="77777777" w:rsidR="002A673F" w:rsidRPr="002A673F" w:rsidRDefault="002A673F" w:rsidP="002A673F">
      <w:pPr>
        <w:keepNext/>
        <w:spacing w:before="600" w:after="120" w:line="360" w:lineRule="auto"/>
        <w:rPr>
          <w:szCs w:val="24"/>
          <w:lang w:eastAsia="en-US"/>
        </w:rPr>
      </w:pPr>
      <w:r w:rsidRPr="002A673F">
        <w:rPr>
          <w:szCs w:val="24"/>
          <w:lang w:eastAsia="en-US"/>
        </w:rPr>
        <w:t>O PARLAMENTO EUROPEU E O CONSELHO DA UNIÃO EUROPEIA,</w:t>
      </w:r>
    </w:p>
    <w:p w14:paraId="587C18C9" w14:textId="77777777" w:rsidR="002A673F" w:rsidRPr="002A673F" w:rsidRDefault="002A673F" w:rsidP="002A673F">
      <w:pPr>
        <w:spacing w:before="120" w:after="120" w:line="360" w:lineRule="auto"/>
        <w:rPr>
          <w:lang w:eastAsia="en-US"/>
        </w:rPr>
      </w:pPr>
      <w:r w:rsidRPr="002A673F">
        <w:rPr>
          <w:lang w:eastAsia="en-US"/>
        </w:rPr>
        <w:t>Tendo em conta o Tratado sobre o Funcionamento da União Europeia, nomeadamente o artigo 114.º,</w:t>
      </w:r>
    </w:p>
    <w:p w14:paraId="2BCFC3AB" w14:textId="77777777" w:rsidR="002A673F" w:rsidRPr="002A673F" w:rsidRDefault="002A673F" w:rsidP="002A673F">
      <w:pPr>
        <w:spacing w:before="120" w:after="120" w:line="360" w:lineRule="auto"/>
        <w:rPr>
          <w:lang w:eastAsia="en-US"/>
        </w:rPr>
      </w:pPr>
      <w:r w:rsidRPr="002A673F">
        <w:rPr>
          <w:lang w:eastAsia="en-US"/>
        </w:rPr>
        <w:t>Tendo em conta a proposta da Comissão Europeia,</w:t>
      </w:r>
    </w:p>
    <w:p w14:paraId="5C923922" w14:textId="77777777" w:rsidR="002A673F" w:rsidRPr="002A673F" w:rsidRDefault="002A673F" w:rsidP="002A673F">
      <w:pPr>
        <w:spacing w:before="120" w:after="120" w:line="360" w:lineRule="auto"/>
        <w:rPr>
          <w:lang w:eastAsia="en-US"/>
        </w:rPr>
      </w:pPr>
      <w:r w:rsidRPr="002A673F">
        <w:rPr>
          <w:lang w:eastAsia="en-US"/>
        </w:rPr>
        <w:t>Após transmissão do projeto de ato legislativo aos parlamentos nacionais,</w:t>
      </w:r>
    </w:p>
    <w:p w14:paraId="70A6A829" w14:textId="77777777" w:rsidR="002A673F" w:rsidRPr="002A673F" w:rsidRDefault="002A673F" w:rsidP="002A673F">
      <w:pPr>
        <w:spacing w:before="120" w:after="120" w:line="360" w:lineRule="auto"/>
        <w:rPr>
          <w:lang w:eastAsia="en-US"/>
        </w:rPr>
      </w:pPr>
      <w:r w:rsidRPr="002A673F">
        <w:rPr>
          <w:lang w:eastAsia="en-US"/>
        </w:rPr>
        <w:t>Tendo em conta o parecer do Comité Económico e Social Europeu</w:t>
      </w:r>
      <w:r w:rsidRPr="002A673F">
        <w:rPr>
          <w:vertAlign w:val="superscript"/>
          <w:lang w:eastAsia="en-US"/>
        </w:rPr>
        <w:footnoteReference w:id="2"/>
      </w:r>
      <w:r w:rsidRPr="002A673F">
        <w:rPr>
          <w:lang w:eastAsia="en-US"/>
        </w:rPr>
        <w:t>,</w:t>
      </w:r>
    </w:p>
    <w:p w14:paraId="448E32CB" w14:textId="77777777" w:rsidR="002A673F" w:rsidRPr="002A673F" w:rsidRDefault="002A673F" w:rsidP="002A673F">
      <w:pPr>
        <w:spacing w:before="120" w:after="120" w:line="360" w:lineRule="auto"/>
        <w:rPr>
          <w:lang w:eastAsia="en-US"/>
        </w:rPr>
      </w:pPr>
      <w:r w:rsidRPr="002A673F">
        <w:rPr>
          <w:lang w:eastAsia="en-US"/>
        </w:rPr>
        <w:t>Tendo em conta o parecer do Comité das Regiões</w:t>
      </w:r>
      <w:r w:rsidRPr="002A673F">
        <w:rPr>
          <w:vertAlign w:val="superscript"/>
          <w:lang w:eastAsia="en-US"/>
        </w:rPr>
        <w:footnoteReference w:id="3"/>
      </w:r>
      <w:r w:rsidRPr="002A673F">
        <w:rPr>
          <w:lang w:eastAsia="en-US"/>
        </w:rPr>
        <w:t>,</w:t>
      </w:r>
    </w:p>
    <w:p w14:paraId="1E3F6001" w14:textId="77777777" w:rsidR="002A673F" w:rsidRPr="002A673F" w:rsidRDefault="002A673F" w:rsidP="002A673F">
      <w:pPr>
        <w:spacing w:before="120" w:after="120" w:line="360" w:lineRule="auto"/>
        <w:rPr>
          <w:lang w:eastAsia="en-US"/>
        </w:rPr>
      </w:pPr>
      <w:r w:rsidRPr="002A673F">
        <w:rPr>
          <w:lang w:eastAsia="en-US"/>
        </w:rPr>
        <w:t>Deliberando de acordo com o processo legislativo ordinário,</w:t>
      </w:r>
    </w:p>
    <w:p w14:paraId="60FB7861" w14:textId="77777777" w:rsidR="00345689" w:rsidRDefault="00345689">
      <w:pPr>
        <w:widowControl/>
        <w:rPr>
          <w:lang w:eastAsia="en-US"/>
        </w:rPr>
      </w:pPr>
      <w:r>
        <w:rPr>
          <w:lang w:eastAsia="en-US"/>
        </w:rPr>
        <w:br w:type="page"/>
      </w:r>
    </w:p>
    <w:p w14:paraId="0052BA11" w14:textId="1A5F9C4A" w:rsidR="002A673F" w:rsidRPr="002A673F" w:rsidRDefault="002A673F" w:rsidP="002A673F">
      <w:pPr>
        <w:spacing w:before="120" w:after="120" w:line="360" w:lineRule="auto"/>
        <w:rPr>
          <w:lang w:eastAsia="en-US"/>
        </w:rPr>
      </w:pPr>
      <w:r w:rsidRPr="002A673F">
        <w:rPr>
          <w:lang w:eastAsia="en-US"/>
        </w:rPr>
        <w:lastRenderedPageBreak/>
        <w:t>Considerando o seguinte:</w:t>
      </w:r>
    </w:p>
    <w:p w14:paraId="00B8DE65"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Em 25 de novembro de 2020, a Comissão publicou o seu plano de ação em matéria de propriedade intelectual</w:t>
      </w:r>
      <w:r w:rsidRPr="002A673F">
        <w:rPr>
          <w:szCs w:val="24"/>
          <w:vertAlign w:val="superscript"/>
          <w:lang w:eastAsia="en-US"/>
        </w:rPr>
        <w:footnoteReference w:id="4"/>
      </w:r>
      <w:r w:rsidRPr="002A673F">
        <w:rPr>
          <w:szCs w:val="24"/>
          <w:lang w:eastAsia="en-US"/>
        </w:rPr>
        <w:t xml:space="preserve">, no qual anunciou os seus objetivos de promover a transparência e a previsibilidade na concessão de licenças de patentes essenciais a normas (PEN), nomeadamente através da melhoria do sistema de concessão de licenças de PEN, em benefício da indústria e dos consumidores da União e, em especial, das </w:t>
      </w:r>
      <w:r w:rsidRPr="002A673F">
        <w:rPr>
          <w:b/>
          <w:i/>
          <w:szCs w:val="24"/>
          <w:lang w:eastAsia="en-US"/>
        </w:rPr>
        <w:t xml:space="preserve">micro, </w:t>
      </w:r>
      <w:r w:rsidRPr="002A673F">
        <w:rPr>
          <w:szCs w:val="24"/>
          <w:lang w:eastAsia="en-US"/>
        </w:rPr>
        <w:t>pequenas e médias empresas (PME)</w:t>
      </w:r>
      <w:r w:rsidRPr="002A673F">
        <w:rPr>
          <w:szCs w:val="24"/>
          <w:vertAlign w:val="superscript"/>
          <w:lang w:eastAsia="en-US"/>
        </w:rPr>
        <w:footnoteReference w:id="5"/>
      </w:r>
      <w:r w:rsidRPr="002A673F">
        <w:rPr>
          <w:szCs w:val="24"/>
          <w:lang w:eastAsia="en-US"/>
        </w:rPr>
        <w:t>. O plano de ação foi apoiado pelas conclusões do Conselho de 18 de junho de 2021</w:t>
      </w:r>
      <w:r w:rsidRPr="002A673F">
        <w:rPr>
          <w:szCs w:val="24"/>
          <w:vertAlign w:val="superscript"/>
          <w:lang w:eastAsia="en-US"/>
        </w:rPr>
        <w:footnoteReference w:id="6"/>
      </w:r>
      <w:r w:rsidRPr="002A673F">
        <w:rPr>
          <w:szCs w:val="24"/>
          <w:lang w:eastAsia="en-US"/>
        </w:rPr>
        <w:t xml:space="preserve"> e pelo Parlamento Europeu na sua resolução</w:t>
      </w:r>
      <w:r w:rsidRPr="002A673F">
        <w:rPr>
          <w:b/>
          <w:i/>
          <w:szCs w:val="24"/>
          <w:lang w:eastAsia="en-US"/>
        </w:rPr>
        <w:t xml:space="preserve"> de 11 de novembro de 2021</w:t>
      </w:r>
      <w:r w:rsidRPr="002A673F">
        <w:rPr>
          <w:szCs w:val="24"/>
          <w:vertAlign w:val="superscript"/>
          <w:lang w:eastAsia="en-US"/>
        </w:rPr>
        <w:footnoteReference w:id="7"/>
      </w:r>
      <w:r w:rsidRPr="002A673F">
        <w:rPr>
          <w:szCs w:val="24"/>
          <w:lang w:eastAsia="en-US"/>
        </w:rPr>
        <w:t>.</w:t>
      </w:r>
      <w:r w:rsidRPr="002A673F">
        <w:rPr>
          <w:b/>
          <w:szCs w:val="24"/>
          <w:lang w:eastAsia="en-US"/>
        </w:rPr>
        <w:t xml:space="preserve"> [Alt. 1]</w:t>
      </w:r>
    </w:p>
    <w:p w14:paraId="5DB79228" w14:textId="77777777" w:rsidR="00345689" w:rsidRDefault="00345689">
      <w:pPr>
        <w:widowControl/>
        <w:rPr>
          <w:szCs w:val="24"/>
          <w:lang w:eastAsia="en-US"/>
        </w:rPr>
      </w:pPr>
      <w:r>
        <w:rPr>
          <w:szCs w:val="24"/>
          <w:lang w:eastAsia="en-US"/>
        </w:rPr>
        <w:br w:type="page"/>
      </w:r>
    </w:p>
    <w:p w14:paraId="4F386F5B" w14:textId="2A46159B"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(2)</w:t>
      </w:r>
      <w:r w:rsidRPr="002A673F">
        <w:rPr>
          <w:szCs w:val="24"/>
          <w:lang w:eastAsia="en-US"/>
        </w:rPr>
        <w:tab/>
        <w:t>O presente regulamento visa melhorar a concessão de licenças de PEN através da resolução das causas da sua ineficiência, como a falta de transparência no que diz respeito às PEN, às condições justas, razoáveis e não discriminatórias (FRAND) e à concessão de licenças na cadeia de valor, bem como a utilização limitada de procedimentos de resolução de litígios no caso de litígios FRAND. Todos estes aspetos reduzem a equidade e a eficiência globais do sistema e resultam em custos excessivos de administração e transação</w:t>
      </w:r>
      <w:r w:rsidRPr="002A673F">
        <w:rPr>
          <w:b/>
          <w:i/>
          <w:szCs w:val="24"/>
          <w:lang w:eastAsia="en-US"/>
        </w:rPr>
        <w:t>, o que, por sua vez, reduz os recursos disponíveis para o investimento na inovação</w:t>
      </w:r>
      <w:r w:rsidRPr="002A673F">
        <w:rPr>
          <w:szCs w:val="24"/>
          <w:lang w:eastAsia="en-US"/>
        </w:rPr>
        <w:t>. Ao melhorar a concessão de licenças de PEN, o regulamento visa incentivar a participação das empresas europeias no processo de elaboração de normas e a ampla aplicação dessas tecnologias normalizadas, em especial no setor da Internet das coisas (</w:t>
      </w:r>
      <w:proofErr w:type="spellStart"/>
      <w:r w:rsidRPr="002A673F">
        <w:rPr>
          <w:szCs w:val="24"/>
          <w:lang w:eastAsia="en-US"/>
        </w:rPr>
        <w:t>IdC</w:t>
      </w:r>
      <w:proofErr w:type="spellEnd"/>
      <w:r w:rsidRPr="002A673F">
        <w:rPr>
          <w:szCs w:val="24"/>
          <w:lang w:eastAsia="en-US"/>
        </w:rPr>
        <w:t>). Por conseguinte, o presente regulamento persegue objetivos complementares, mas diferentes, dos da proteção da concorrência não distorcida, garantida pelos artigos 101.º e 102.º do TFUE. O presente regulamento também não deverá prejudicar as regras nacionais em matéria de concorrência.</w:t>
      </w:r>
      <w:r w:rsidRPr="002A673F">
        <w:rPr>
          <w:b/>
          <w:szCs w:val="24"/>
          <w:lang w:eastAsia="en-US"/>
        </w:rPr>
        <w:t xml:space="preserve"> [</w:t>
      </w:r>
      <w:proofErr w:type="spellStart"/>
      <w:r w:rsidRPr="002A673F">
        <w:rPr>
          <w:b/>
          <w:szCs w:val="24"/>
          <w:lang w:eastAsia="en-US"/>
        </w:rPr>
        <w:t>Alts</w:t>
      </w:r>
      <w:proofErr w:type="spellEnd"/>
      <w:r w:rsidRPr="002A673F">
        <w:rPr>
          <w:b/>
          <w:szCs w:val="24"/>
          <w:lang w:eastAsia="en-US"/>
        </w:rPr>
        <w:t>. 2 e 280]</w:t>
      </w:r>
    </w:p>
    <w:p w14:paraId="53F62DC6" w14:textId="77777777" w:rsidR="00345689" w:rsidRDefault="00345689">
      <w:pPr>
        <w:widowControl/>
        <w:rPr>
          <w:b/>
          <w:i/>
          <w:szCs w:val="24"/>
          <w:lang w:eastAsia="en-US"/>
        </w:rPr>
      </w:pPr>
      <w:r>
        <w:rPr>
          <w:b/>
          <w:i/>
          <w:szCs w:val="24"/>
          <w:lang w:eastAsia="en-US"/>
        </w:rPr>
        <w:br w:type="page"/>
      </w:r>
    </w:p>
    <w:p w14:paraId="4314D3C8" w14:textId="322E3481" w:rsidR="002A673F" w:rsidRPr="00E075CA" w:rsidRDefault="002A673F" w:rsidP="002A673F">
      <w:pPr>
        <w:spacing w:before="120" w:after="120" w:line="360" w:lineRule="auto"/>
        <w:ind w:left="850" w:hanging="850"/>
        <w:rPr>
          <w:b/>
          <w:szCs w:val="24"/>
          <w:lang w:eastAsia="en-US"/>
        </w:rPr>
      </w:pPr>
      <w:r w:rsidRPr="002A673F">
        <w:rPr>
          <w:b/>
          <w:i/>
          <w:szCs w:val="24"/>
          <w:lang w:eastAsia="en-US"/>
        </w:rPr>
        <w:lastRenderedPageBreak/>
        <w:t>(2-A)</w:t>
      </w:r>
      <w:r w:rsidRPr="002A673F">
        <w:rPr>
          <w:szCs w:val="24"/>
          <w:lang w:eastAsia="en-US"/>
        </w:rPr>
        <w:tab/>
      </w:r>
      <w:r w:rsidRPr="002A673F">
        <w:rPr>
          <w:b/>
          <w:i/>
          <w:szCs w:val="24"/>
          <w:lang w:eastAsia="en-US"/>
        </w:rPr>
        <w:t>As negociações entre as partes com vista à conces</w:t>
      </w:r>
      <w:r w:rsidR="00541231">
        <w:rPr>
          <w:b/>
          <w:i/>
          <w:szCs w:val="24"/>
          <w:lang w:eastAsia="en-US"/>
        </w:rPr>
        <w:t>são de licenças de PEN realizam</w:t>
      </w:r>
      <w:r w:rsidR="00541231">
        <w:rPr>
          <w:b/>
          <w:i/>
          <w:szCs w:val="24"/>
          <w:lang w:eastAsia="en-US"/>
        </w:rPr>
        <w:noBreakHyphen/>
      </w:r>
      <w:r w:rsidRPr="002A673F">
        <w:rPr>
          <w:b/>
          <w:i/>
          <w:szCs w:val="24"/>
          <w:lang w:eastAsia="en-US"/>
        </w:rPr>
        <w:t xml:space="preserve">se, em muitos casos, de boa-fé, ainda que nalguns casos as PEN se tornem objeto de processos judiciais. O presente regulamento visa proporcionar vantagens tanto aos titulares de PEN da União como aos utilizadores de PEN da União, mediante a introdução de mecanismos concebidos para resolver dois problemas fundamentais. Em primeiro lugar, as situações em que os utilizadores de PEN adiam ou recusam licenças em condições FRAND de forma injustificada. Em segundo lugar, os cenários em que os titulares de PEN impõem </w:t>
      </w:r>
      <w:r w:rsidRPr="00E075CA">
        <w:rPr>
          <w:b/>
          <w:szCs w:val="24"/>
          <w:lang w:eastAsia="en-US"/>
        </w:rPr>
        <w:t>royalties</w:t>
      </w:r>
      <w:r w:rsidRPr="002A673F">
        <w:rPr>
          <w:b/>
          <w:i/>
          <w:szCs w:val="24"/>
          <w:lang w:eastAsia="en-US"/>
        </w:rPr>
        <w:t xml:space="preserve"> não conformes com as condições FRAND devido ao risco de injunção e à falta de transparência. É fundamental garantir que os titulares e os utilizadores de PEN ajam de boa-fé, durante e após as negociações de concessão de licenças. Os utilizadores de PEN que utilizam uma tecnologia normalizada devem procurar, de forma proativa, obter uma licença junto do titular de PEN que detém a tecnologia que utilizam, e os titulares de PEN devem conceder uma licença em condições FRAND a qualquer parte que a solicite, independentemente da posição que o potencial detentor de licença ocupe na respetiva cadeia de valor.</w:t>
      </w:r>
      <w:r w:rsidRPr="002A673F">
        <w:rPr>
          <w:b/>
          <w:szCs w:val="24"/>
          <w:lang w:eastAsia="en-US"/>
        </w:rPr>
        <w:t xml:space="preserve"> [Alt. 3]</w:t>
      </w:r>
    </w:p>
    <w:p w14:paraId="0A1623A3" w14:textId="77777777" w:rsidR="00345689" w:rsidRDefault="00345689">
      <w:pPr>
        <w:widowControl/>
        <w:rPr>
          <w:b/>
          <w:i/>
          <w:szCs w:val="24"/>
          <w:lang w:eastAsia="en-US"/>
        </w:rPr>
      </w:pPr>
      <w:r>
        <w:rPr>
          <w:b/>
          <w:i/>
          <w:szCs w:val="24"/>
          <w:lang w:eastAsia="en-US"/>
        </w:rPr>
        <w:br w:type="page"/>
      </w:r>
    </w:p>
    <w:p w14:paraId="110D7707" w14:textId="1D4E48CE" w:rsidR="002A673F" w:rsidRPr="00E075CA" w:rsidRDefault="002A673F" w:rsidP="002A673F">
      <w:pPr>
        <w:spacing w:before="120" w:after="120" w:line="360" w:lineRule="auto"/>
        <w:ind w:left="850" w:hanging="850"/>
        <w:rPr>
          <w:b/>
          <w:szCs w:val="24"/>
          <w:lang w:eastAsia="en-US"/>
        </w:rPr>
      </w:pPr>
      <w:r w:rsidRPr="002A673F">
        <w:rPr>
          <w:b/>
          <w:i/>
          <w:szCs w:val="24"/>
          <w:lang w:eastAsia="en-US"/>
        </w:rPr>
        <w:lastRenderedPageBreak/>
        <w:t>(2-B)</w:t>
      </w:r>
      <w:r w:rsidRPr="002A673F">
        <w:rPr>
          <w:szCs w:val="24"/>
          <w:lang w:eastAsia="en-US"/>
        </w:rPr>
        <w:tab/>
      </w:r>
      <w:r w:rsidRPr="002A673F">
        <w:rPr>
          <w:b/>
          <w:i/>
          <w:szCs w:val="24"/>
          <w:lang w:eastAsia="en-US"/>
        </w:rPr>
        <w:t>As medidas introduzidas pelo presente regulamento são coerentes com os objetivos do Acordo da OMC sobre os Aspetos dos Direitos de Propriedade Intelectual relacionados com o Comércio (TRIPS) de promover a inovação tecnológica e a difusão da tecnologia para benefício mútuo do titular de PEN e do utilizador, e com os princípios de prevenção do abuso dos direitos de propriedade intelectual e de adoção de medidas por razões de interesse público. Em particular, em conformidade com o Acordo TRIPS, a exceção aos direitos exclusivos conferidos por uma patente justifica-se se essa exceção não colidir de modo injustificável com a exploração normal da patente e não prejudicar de forma injustificável os legítimos interesses do titular da patente, tendo em conta os legítimos interesses de terceiros.</w:t>
      </w:r>
      <w:r w:rsidRPr="002A673F">
        <w:rPr>
          <w:b/>
          <w:szCs w:val="24"/>
          <w:lang w:eastAsia="en-US"/>
        </w:rPr>
        <w:t xml:space="preserve"> [Alt. 4]</w:t>
      </w:r>
    </w:p>
    <w:p w14:paraId="58FE8598" w14:textId="77777777" w:rsidR="00345689" w:rsidRDefault="00345689">
      <w:pPr>
        <w:widowControl/>
        <w:rPr>
          <w:szCs w:val="24"/>
          <w:lang w:eastAsia="en-US"/>
        </w:rPr>
      </w:pPr>
      <w:r>
        <w:rPr>
          <w:szCs w:val="24"/>
          <w:lang w:eastAsia="en-US"/>
        </w:rPr>
        <w:br w:type="page"/>
      </w:r>
    </w:p>
    <w:p w14:paraId="4C9BF313" w14:textId="5F4BCB9E"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w:t>
      </w:r>
      <w:r w:rsidRPr="002A673F">
        <w:rPr>
          <w:szCs w:val="24"/>
          <w:lang w:eastAsia="en-US"/>
        </w:rPr>
        <w:tab/>
        <w:t xml:space="preserve">As PEN são patentes que protegem tecnologias incorporadas numa norma. As PEN são «essenciais» na medida em que a aplicação da norma exige a utilização das invenções abrangidas pelas PEN. O êxito de uma norma depende da sua ampla aplicação e, como tal, todas as partes interessadas devem ser autorizadas a utilizar uma norma. A fim de assegurar uma ampla aplicação e acessibilidade das normas, os organismos de normalização exigem aos titulares de PEN participantes na elaboração de normas que se comprometam a conceder licenças dessas patentes em condições FRAND aos utilizadores que optem por utilizar a norma. O compromisso FRAND é um compromisso contratual voluntário assumido pelo titular da PEN em benefício de terceiros e deve ser respeitado como tal também pelos titulares subsequentes da PEN. O presente regulamento aplica-se a patentes </w:t>
      </w:r>
      <w:r w:rsidR="00345689">
        <w:rPr>
          <w:b/>
          <w:i/>
          <w:szCs w:val="24"/>
          <w:lang w:eastAsia="en-US"/>
        </w:rPr>
        <w:t>em vigor num ou mais Estados</w:t>
      </w:r>
      <w:r w:rsidR="00345689">
        <w:rPr>
          <w:b/>
          <w:i/>
          <w:szCs w:val="24"/>
          <w:lang w:eastAsia="en-US"/>
        </w:rPr>
        <w:noBreakHyphen/>
      </w:r>
      <w:r w:rsidRPr="002A673F">
        <w:rPr>
          <w:b/>
          <w:i/>
          <w:szCs w:val="24"/>
          <w:lang w:eastAsia="en-US"/>
        </w:rPr>
        <w:t xml:space="preserve">Membros que um titular de PEN afirme </w:t>
      </w:r>
      <w:proofErr w:type="spellStart"/>
      <w:r w:rsidRPr="002A673F">
        <w:rPr>
          <w:b/>
          <w:i/>
          <w:szCs w:val="24"/>
          <w:lang w:eastAsia="en-US"/>
        </w:rPr>
        <w:t>serem</w:t>
      </w:r>
      <w:r w:rsidRPr="002A673F">
        <w:rPr>
          <w:strike/>
          <w:szCs w:val="24"/>
          <w:lang w:eastAsia="en-US"/>
        </w:rPr>
        <w:t>que</w:t>
      </w:r>
      <w:proofErr w:type="spellEnd"/>
      <w:r w:rsidRPr="002A673F">
        <w:rPr>
          <w:strike/>
          <w:szCs w:val="24"/>
          <w:lang w:eastAsia="en-US"/>
        </w:rPr>
        <w:t xml:space="preserve"> sejam</w:t>
      </w:r>
      <w:r w:rsidRPr="002A673F">
        <w:rPr>
          <w:szCs w:val="24"/>
          <w:lang w:eastAsia="en-US"/>
        </w:rPr>
        <w:t xml:space="preserve"> essenciais a uma norma publicada por um organismo de normalização, relativamente ao qual o titular de PEN </w:t>
      </w:r>
      <w:r w:rsidRPr="002A673F">
        <w:rPr>
          <w:b/>
          <w:i/>
          <w:szCs w:val="24"/>
          <w:lang w:eastAsia="en-US"/>
        </w:rPr>
        <w:t xml:space="preserve">ou um titular anterior das PEN em causa </w:t>
      </w:r>
      <w:r w:rsidRPr="002A673F">
        <w:rPr>
          <w:szCs w:val="24"/>
          <w:lang w:eastAsia="en-US"/>
        </w:rPr>
        <w:t>se comprometeu</w:t>
      </w:r>
      <w:r w:rsidRPr="002A673F">
        <w:rPr>
          <w:b/>
          <w:i/>
          <w:szCs w:val="24"/>
          <w:lang w:eastAsia="en-US"/>
        </w:rPr>
        <w:t xml:space="preserve"> ou não</w:t>
      </w:r>
      <w:r w:rsidRPr="002A673F">
        <w:rPr>
          <w:szCs w:val="24"/>
          <w:lang w:eastAsia="en-US"/>
        </w:rPr>
        <w:t xml:space="preserve"> a licenciar as suas PEN em condições justas, razoáveis e não discriminatórias (FRAND) e que não esteja sujeito a uma política de propriedade intelectual isenta de </w:t>
      </w:r>
      <w:r w:rsidRPr="00E075CA">
        <w:rPr>
          <w:i/>
          <w:szCs w:val="24"/>
          <w:lang w:eastAsia="en-US"/>
        </w:rPr>
        <w:t>royalties,</w:t>
      </w:r>
      <w:r w:rsidRPr="002A673F">
        <w:rPr>
          <w:szCs w:val="24"/>
          <w:lang w:eastAsia="en-US"/>
        </w:rPr>
        <w:t xml:space="preserve"> após a entrada em vigor do presente regulamento.</w:t>
      </w:r>
      <w:r w:rsidRPr="002A673F">
        <w:rPr>
          <w:b/>
          <w:szCs w:val="24"/>
          <w:lang w:eastAsia="en-US"/>
        </w:rPr>
        <w:t xml:space="preserve"> [Alt. 5]</w:t>
      </w:r>
    </w:p>
    <w:p w14:paraId="468E9CDC" w14:textId="77777777" w:rsidR="00345689" w:rsidRDefault="00345689">
      <w:pPr>
        <w:widowControl/>
        <w:rPr>
          <w:szCs w:val="24"/>
          <w:lang w:eastAsia="en-US"/>
        </w:rPr>
      </w:pPr>
      <w:r>
        <w:rPr>
          <w:szCs w:val="24"/>
          <w:lang w:eastAsia="en-US"/>
        </w:rPr>
        <w:br w:type="page"/>
      </w:r>
    </w:p>
    <w:p w14:paraId="15C90E33" w14:textId="37580398"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w:t>
      </w:r>
      <w:r w:rsidRPr="002A673F">
        <w:rPr>
          <w:szCs w:val="24"/>
          <w:lang w:eastAsia="en-US"/>
        </w:rPr>
        <w:tab/>
        <w:t xml:space="preserve">Existem relações comerciais e práticas de concessão de licenças bem estabelecidas para </w:t>
      </w:r>
      <w:r w:rsidRPr="002A673F">
        <w:rPr>
          <w:strike/>
          <w:szCs w:val="24"/>
          <w:lang w:eastAsia="en-US"/>
        </w:rPr>
        <w:t xml:space="preserve">certos casos de </w:t>
      </w:r>
      <w:proofErr w:type="spellStart"/>
      <w:r w:rsidRPr="002A673F">
        <w:rPr>
          <w:strike/>
          <w:szCs w:val="24"/>
          <w:lang w:eastAsia="en-US"/>
        </w:rPr>
        <w:t>utilização</w:t>
      </w:r>
      <w:r w:rsidRPr="002A673F">
        <w:rPr>
          <w:b/>
          <w:i/>
          <w:szCs w:val="24"/>
          <w:lang w:eastAsia="en-US"/>
        </w:rPr>
        <w:t>certas</w:t>
      </w:r>
      <w:proofErr w:type="spellEnd"/>
      <w:r w:rsidRPr="002A673F">
        <w:rPr>
          <w:b/>
          <w:i/>
          <w:szCs w:val="24"/>
          <w:lang w:eastAsia="en-US"/>
        </w:rPr>
        <w:t xml:space="preserve"> aplicações</w:t>
      </w:r>
      <w:r w:rsidRPr="002A673F">
        <w:rPr>
          <w:szCs w:val="24"/>
          <w:lang w:eastAsia="en-US"/>
        </w:rPr>
        <w:t xml:space="preserve"> de normas</w:t>
      </w:r>
      <w:r w:rsidRPr="002A673F">
        <w:rPr>
          <w:strike/>
          <w:szCs w:val="24"/>
          <w:lang w:eastAsia="en-US"/>
        </w:rPr>
        <w:t>, como as normas para as comunicações sem fios</w:t>
      </w:r>
      <w:r w:rsidRPr="002A673F">
        <w:rPr>
          <w:szCs w:val="24"/>
          <w:lang w:eastAsia="en-US"/>
        </w:rPr>
        <w:t xml:space="preserve">, com iterações ao longo de várias gerações que conduziram a uma dependência mútua considerável e a um valor significativo que reverte visivelmente tanto para os titulares como para os utilizadores das PEN. Existem </w:t>
      </w:r>
      <w:r w:rsidRPr="002A673F">
        <w:rPr>
          <w:strike/>
          <w:szCs w:val="24"/>
          <w:lang w:eastAsia="en-US"/>
        </w:rPr>
        <w:t xml:space="preserve">outros casos de </w:t>
      </w:r>
      <w:proofErr w:type="spellStart"/>
      <w:r w:rsidRPr="002A673F">
        <w:rPr>
          <w:strike/>
          <w:szCs w:val="24"/>
          <w:lang w:eastAsia="en-US"/>
        </w:rPr>
        <w:t>utilização</w:t>
      </w:r>
      <w:r w:rsidRPr="002A673F">
        <w:rPr>
          <w:b/>
          <w:i/>
          <w:szCs w:val="24"/>
          <w:lang w:eastAsia="en-US"/>
        </w:rPr>
        <w:t>outras</w:t>
      </w:r>
      <w:proofErr w:type="spellEnd"/>
      <w:r w:rsidRPr="002A673F">
        <w:rPr>
          <w:b/>
          <w:i/>
          <w:szCs w:val="24"/>
          <w:lang w:eastAsia="en-US"/>
        </w:rPr>
        <w:t xml:space="preserve"> aplicações</w:t>
      </w:r>
      <w:r w:rsidRPr="002A673F">
        <w:rPr>
          <w:szCs w:val="24"/>
          <w:lang w:eastAsia="en-US"/>
        </w:rPr>
        <w:t xml:space="preserve">, tipicamente mais </w:t>
      </w:r>
      <w:proofErr w:type="spellStart"/>
      <w:r w:rsidRPr="002A673F">
        <w:rPr>
          <w:strike/>
          <w:szCs w:val="24"/>
          <w:lang w:eastAsia="en-US"/>
        </w:rPr>
        <w:t>novos</w:t>
      </w:r>
      <w:r w:rsidRPr="002A673F">
        <w:rPr>
          <w:b/>
          <w:i/>
          <w:szCs w:val="24"/>
          <w:lang w:eastAsia="en-US"/>
        </w:rPr>
        <w:t>novas</w:t>
      </w:r>
      <w:proofErr w:type="spellEnd"/>
      <w:r w:rsidRPr="002A673F">
        <w:rPr>
          <w:szCs w:val="24"/>
          <w:lang w:eastAsia="en-US"/>
        </w:rPr>
        <w:t xml:space="preserve"> — por vezes das mesmas normas ou de partes destas — com mercados menos desenvolvidos, comunidades de utilizadores mais difusas e menos consolidadas, para </w:t>
      </w:r>
      <w:r w:rsidRPr="002A673F">
        <w:rPr>
          <w:strike/>
          <w:szCs w:val="24"/>
          <w:lang w:eastAsia="en-US"/>
        </w:rPr>
        <w:t>os</w:t>
      </w:r>
      <w:r w:rsidRPr="002A673F">
        <w:rPr>
          <w:b/>
          <w:i/>
          <w:szCs w:val="24"/>
          <w:lang w:eastAsia="en-US"/>
        </w:rPr>
        <w:t>as</w:t>
      </w:r>
      <w:r w:rsidRPr="002A673F">
        <w:rPr>
          <w:szCs w:val="24"/>
          <w:lang w:eastAsia="en-US"/>
        </w:rPr>
        <w:t xml:space="preserve"> quais a imprevisibilidade dos </w:t>
      </w:r>
      <w:r w:rsidRPr="00E075CA">
        <w:rPr>
          <w:i/>
          <w:szCs w:val="24"/>
          <w:lang w:eastAsia="en-US"/>
        </w:rPr>
        <w:t>royalties</w:t>
      </w:r>
      <w:r w:rsidRPr="002A673F">
        <w:rPr>
          <w:szCs w:val="24"/>
          <w:lang w:eastAsia="en-US"/>
        </w:rPr>
        <w:t xml:space="preserve"> e de outras condições de concessão de licenças e a perspetiva de avaliações e estimativas complexas de patentes, bem como os litígios conexos, pesam mais fortemente nos incentivos à utilização de tecnologias normalizadas em produtos inovadores. Por conseguinte, a fim de assegurar uma resposta proporcionada e adequada, certos procedimentos ao abrigo do presente regulamento, nomeadamente a determinação dos </w:t>
      </w:r>
      <w:r w:rsidRPr="00E075CA">
        <w:rPr>
          <w:i/>
          <w:szCs w:val="24"/>
          <w:lang w:eastAsia="en-US"/>
        </w:rPr>
        <w:t>royalties</w:t>
      </w:r>
      <w:r w:rsidRPr="002A673F">
        <w:rPr>
          <w:szCs w:val="24"/>
          <w:lang w:eastAsia="en-US"/>
        </w:rPr>
        <w:t xml:space="preserve"> agregados e a obrigação de determinação FRAND antes de litígio, não deverão ser aplicados a </w:t>
      </w:r>
      <w:r w:rsidRPr="002A673F">
        <w:rPr>
          <w:strike/>
          <w:szCs w:val="24"/>
          <w:lang w:eastAsia="en-US"/>
        </w:rPr>
        <w:t xml:space="preserve">casos identificados de utilização de certas normas ou partes das </w:t>
      </w:r>
      <w:proofErr w:type="spellStart"/>
      <w:r w:rsidRPr="002A673F">
        <w:rPr>
          <w:strike/>
          <w:szCs w:val="24"/>
          <w:lang w:eastAsia="en-US"/>
        </w:rPr>
        <w:t>mesmas</w:t>
      </w:r>
      <w:r w:rsidRPr="002A673F">
        <w:rPr>
          <w:b/>
          <w:i/>
          <w:szCs w:val="24"/>
          <w:lang w:eastAsia="en-US"/>
        </w:rPr>
        <w:t>aplicações</w:t>
      </w:r>
      <w:proofErr w:type="spellEnd"/>
      <w:r w:rsidRPr="002A673F">
        <w:rPr>
          <w:b/>
          <w:i/>
          <w:szCs w:val="24"/>
          <w:lang w:eastAsia="en-US"/>
        </w:rPr>
        <w:t xml:space="preserve"> identificadas</w:t>
      </w:r>
      <w:r w:rsidRPr="002A673F">
        <w:rPr>
          <w:szCs w:val="24"/>
          <w:lang w:eastAsia="en-US"/>
        </w:rPr>
        <w:t xml:space="preserve"> relativamente </w:t>
      </w:r>
      <w:proofErr w:type="spellStart"/>
      <w:r w:rsidRPr="002A673F">
        <w:rPr>
          <w:strike/>
          <w:szCs w:val="24"/>
          <w:lang w:eastAsia="en-US"/>
        </w:rPr>
        <w:t>aos</w:t>
      </w:r>
      <w:r w:rsidRPr="002A673F">
        <w:rPr>
          <w:b/>
          <w:i/>
          <w:szCs w:val="24"/>
          <w:lang w:eastAsia="en-US"/>
        </w:rPr>
        <w:t>às</w:t>
      </w:r>
      <w:proofErr w:type="spellEnd"/>
      <w:r w:rsidRPr="002A673F">
        <w:rPr>
          <w:szCs w:val="24"/>
          <w:lang w:eastAsia="en-US"/>
        </w:rPr>
        <w:t xml:space="preserve"> quais existam provas suficientes de que as negociações de concessão de licenças de PEN em condições FRAND não suscitarão dificuldades ou ineficiências significativas.</w:t>
      </w:r>
      <w:r w:rsidRPr="002A673F">
        <w:rPr>
          <w:b/>
          <w:szCs w:val="24"/>
          <w:lang w:eastAsia="en-US"/>
        </w:rPr>
        <w:t xml:space="preserve"> [Alt. 6]</w:t>
      </w:r>
    </w:p>
    <w:p w14:paraId="5A1EFD57" w14:textId="77777777" w:rsidR="00345689" w:rsidRDefault="00345689">
      <w:pPr>
        <w:widowControl/>
        <w:rPr>
          <w:b/>
          <w:i/>
          <w:szCs w:val="24"/>
          <w:lang w:eastAsia="en-US"/>
        </w:rPr>
      </w:pPr>
      <w:r>
        <w:rPr>
          <w:b/>
          <w:i/>
          <w:szCs w:val="24"/>
          <w:lang w:eastAsia="en-US"/>
        </w:rPr>
        <w:br w:type="page"/>
      </w:r>
    </w:p>
    <w:p w14:paraId="5D327C63" w14:textId="79CF62DB" w:rsidR="002A673F" w:rsidRPr="00E075CA" w:rsidRDefault="002A673F" w:rsidP="002A673F">
      <w:pPr>
        <w:spacing w:before="120" w:after="120" w:line="360" w:lineRule="auto"/>
        <w:ind w:left="850" w:hanging="850"/>
        <w:rPr>
          <w:b/>
          <w:szCs w:val="24"/>
          <w:lang w:eastAsia="en-US"/>
        </w:rPr>
      </w:pPr>
      <w:r w:rsidRPr="002A673F">
        <w:rPr>
          <w:b/>
          <w:i/>
          <w:szCs w:val="24"/>
          <w:lang w:eastAsia="en-US"/>
        </w:rPr>
        <w:lastRenderedPageBreak/>
        <w:t>(4-A)</w:t>
      </w:r>
      <w:r w:rsidRPr="002A673F">
        <w:rPr>
          <w:szCs w:val="24"/>
          <w:lang w:eastAsia="en-US"/>
        </w:rPr>
        <w:tab/>
      </w:r>
      <w:r w:rsidRPr="002A673F">
        <w:rPr>
          <w:b/>
          <w:i/>
          <w:szCs w:val="24"/>
          <w:lang w:eastAsia="en-US"/>
        </w:rPr>
        <w:t>As dificuldades ou ineficiências significativas aquando da concessão de licenças de PEN que afetam o funcionamento do mercado interno podem estar associadas, nomeadamente, a impedimentos significativos à implantação, ao desenvolvimento, à distribuição ou comercialização atempados e eficazes de um produto, serviço ou tecnologia, mas também a atrasos injustificados que impliquem um adiamento indevido da celebração de um acordo de licença. Podem também estar associadas a custos excessivos, a múltiplos contenciosos, contestações ou litígios que envolvam mais do que um titular de PEN ou utilizador de PEN, bem como a obstáculos à inovação nos casos em que a aplicação de uma norma, ou a ausência desta, prejudique, restrinja ou conter a inovação ou os avanços tecnológicos, em comparação com as normas da indústria.</w:t>
      </w:r>
      <w:r w:rsidRPr="002A673F">
        <w:rPr>
          <w:b/>
          <w:szCs w:val="24"/>
          <w:lang w:eastAsia="en-US"/>
        </w:rPr>
        <w:t xml:space="preserve"> [Alt. 7]</w:t>
      </w:r>
    </w:p>
    <w:p w14:paraId="32353900" w14:textId="77777777" w:rsidR="00345689" w:rsidRDefault="00345689">
      <w:pPr>
        <w:widowControl/>
        <w:rPr>
          <w:szCs w:val="24"/>
          <w:lang w:eastAsia="en-US"/>
        </w:rPr>
      </w:pPr>
      <w:r>
        <w:rPr>
          <w:szCs w:val="24"/>
          <w:lang w:eastAsia="en-US"/>
        </w:rPr>
        <w:br w:type="page"/>
      </w:r>
    </w:p>
    <w:p w14:paraId="74DAD534" w14:textId="71E9D249"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(5)</w:t>
      </w:r>
      <w:r w:rsidRPr="002A673F">
        <w:rPr>
          <w:szCs w:val="24"/>
          <w:lang w:eastAsia="en-US"/>
        </w:rPr>
        <w:tab/>
        <w:t xml:space="preserve">Embora a transparência na concessão de licenças de PEN deva estimular um ambiente de investimento equilibrado ao longo de toda a cadeia de valor do mercado único, em especial </w:t>
      </w:r>
      <w:r w:rsidRPr="002A673F">
        <w:rPr>
          <w:strike/>
          <w:szCs w:val="24"/>
          <w:lang w:eastAsia="en-US"/>
        </w:rPr>
        <w:t xml:space="preserve">nos casos de </w:t>
      </w:r>
      <w:proofErr w:type="spellStart"/>
      <w:r w:rsidRPr="002A673F">
        <w:rPr>
          <w:strike/>
          <w:szCs w:val="24"/>
          <w:lang w:eastAsia="en-US"/>
        </w:rPr>
        <w:t>utilização</w:t>
      </w:r>
      <w:r w:rsidRPr="002A673F">
        <w:rPr>
          <w:b/>
          <w:i/>
          <w:szCs w:val="24"/>
          <w:lang w:eastAsia="en-US"/>
        </w:rPr>
        <w:t>para</w:t>
      </w:r>
      <w:proofErr w:type="spellEnd"/>
      <w:r w:rsidRPr="002A673F">
        <w:rPr>
          <w:b/>
          <w:i/>
          <w:szCs w:val="24"/>
          <w:lang w:eastAsia="en-US"/>
        </w:rPr>
        <w:t xml:space="preserve"> a aplicação</w:t>
      </w:r>
      <w:r w:rsidRPr="002A673F">
        <w:rPr>
          <w:szCs w:val="24"/>
          <w:lang w:eastAsia="en-US"/>
        </w:rPr>
        <w:t xml:space="preserve"> de tecnologias emergentes subjacentes aos objetivos da União de crescimento ecológico, digital e resiliente, o regulamento deve também aplicar-se às normas, ou partes das mesmas, publicadas antes da sua entrada em vigor sempre que as ineficiências na concessão de licenças das PEN relevantes distorçam gravemente o funcionamento do mercado interno. Este aspeto é particularmente relevante para as deficiências do mercado que impedem o investimento no mercado único, a implantação </w:t>
      </w:r>
      <w:r w:rsidRPr="002A673F">
        <w:rPr>
          <w:strike/>
          <w:szCs w:val="24"/>
          <w:lang w:eastAsia="en-US"/>
        </w:rPr>
        <w:t xml:space="preserve">de tecnologias inovadoras </w:t>
      </w:r>
      <w:r w:rsidRPr="002A673F">
        <w:rPr>
          <w:szCs w:val="24"/>
          <w:lang w:eastAsia="en-US"/>
        </w:rPr>
        <w:t xml:space="preserve">ou o desenvolvimento de tecnologias </w:t>
      </w:r>
      <w:r w:rsidRPr="002A673F">
        <w:rPr>
          <w:strike/>
          <w:szCs w:val="24"/>
          <w:lang w:eastAsia="en-US"/>
        </w:rPr>
        <w:t xml:space="preserve">emergentes e casos de </w:t>
      </w:r>
      <w:proofErr w:type="spellStart"/>
      <w:r w:rsidRPr="002A673F">
        <w:rPr>
          <w:strike/>
          <w:szCs w:val="24"/>
          <w:lang w:eastAsia="en-US"/>
        </w:rPr>
        <w:t>utilização</w:t>
      </w:r>
      <w:r w:rsidRPr="002A673F">
        <w:rPr>
          <w:b/>
          <w:i/>
          <w:szCs w:val="24"/>
          <w:lang w:eastAsia="en-US"/>
        </w:rPr>
        <w:t>inovadoras</w:t>
      </w:r>
      <w:proofErr w:type="spellEnd"/>
      <w:r w:rsidRPr="002A673F">
        <w:rPr>
          <w:b/>
          <w:i/>
          <w:szCs w:val="24"/>
          <w:lang w:eastAsia="en-US"/>
        </w:rPr>
        <w:t xml:space="preserve"> e aplicações</w:t>
      </w:r>
      <w:r w:rsidRPr="002A673F">
        <w:rPr>
          <w:szCs w:val="24"/>
          <w:lang w:eastAsia="en-US"/>
        </w:rPr>
        <w:t xml:space="preserve"> emergentes. Por conseguinte, tendo em conta esses critérios, a Comissão deve determinar, por meio de um ato delegado, as normas ou partes das mesmas que tenham sido publicadas antes da entrada em vigor do presente regulamento e </w:t>
      </w:r>
      <w:r w:rsidRPr="002A673F">
        <w:rPr>
          <w:strike/>
          <w:szCs w:val="24"/>
          <w:lang w:eastAsia="en-US"/>
        </w:rPr>
        <w:t xml:space="preserve">os casos de </w:t>
      </w:r>
      <w:proofErr w:type="spellStart"/>
      <w:r w:rsidRPr="002A673F">
        <w:rPr>
          <w:strike/>
          <w:szCs w:val="24"/>
          <w:lang w:eastAsia="en-US"/>
        </w:rPr>
        <w:t>utilização</w:t>
      </w:r>
      <w:r w:rsidRPr="002A673F">
        <w:rPr>
          <w:b/>
          <w:i/>
          <w:szCs w:val="24"/>
          <w:lang w:eastAsia="en-US"/>
        </w:rPr>
        <w:t>as</w:t>
      </w:r>
      <w:proofErr w:type="spellEnd"/>
      <w:r w:rsidRPr="002A673F">
        <w:rPr>
          <w:b/>
          <w:i/>
          <w:szCs w:val="24"/>
          <w:lang w:eastAsia="en-US"/>
        </w:rPr>
        <w:t xml:space="preserve"> aplicações</w:t>
      </w:r>
      <w:r w:rsidRPr="002A673F">
        <w:rPr>
          <w:szCs w:val="24"/>
          <w:lang w:eastAsia="en-US"/>
        </w:rPr>
        <w:t xml:space="preserve"> pertinentes para </w:t>
      </w:r>
      <w:r w:rsidRPr="002A673F">
        <w:rPr>
          <w:strike/>
          <w:szCs w:val="24"/>
          <w:lang w:eastAsia="en-US"/>
        </w:rPr>
        <w:t>os</w:t>
      </w:r>
      <w:r w:rsidRPr="002A673F">
        <w:rPr>
          <w:b/>
          <w:i/>
          <w:szCs w:val="24"/>
          <w:lang w:eastAsia="en-US"/>
        </w:rPr>
        <w:t>as</w:t>
      </w:r>
      <w:r w:rsidRPr="002A673F">
        <w:rPr>
          <w:szCs w:val="24"/>
          <w:lang w:eastAsia="en-US"/>
        </w:rPr>
        <w:t xml:space="preserve"> quais podem ser registadas PEN.</w:t>
      </w:r>
      <w:r w:rsidRPr="002A673F">
        <w:rPr>
          <w:b/>
          <w:szCs w:val="24"/>
          <w:lang w:eastAsia="en-US"/>
        </w:rPr>
        <w:t xml:space="preserve"> [Alt. 8]</w:t>
      </w:r>
    </w:p>
    <w:p w14:paraId="0A3213AC"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(6)</w:t>
      </w:r>
      <w:r w:rsidRPr="002A673F">
        <w:rPr>
          <w:szCs w:val="24"/>
          <w:lang w:eastAsia="en-US"/>
        </w:rPr>
        <w:tab/>
        <w:t>Uma vez que há que assumir um compromisso FRAND para qualquer PEN declarada</w:t>
      </w:r>
      <w:r w:rsidRPr="002A673F">
        <w:rPr>
          <w:b/>
          <w:i/>
          <w:szCs w:val="24"/>
          <w:lang w:eastAsia="en-US"/>
        </w:rPr>
        <w:t xml:space="preserve"> como sendo essencial</w:t>
      </w:r>
      <w:r w:rsidRPr="002A673F">
        <w:rPr>
          <w:szCs w:val="24"/>
          <w:lang w:eastAsia="en-US"/>
        </w:rPr>
        <w:t xml:space="preserve"> em relação a qualquer norma destinada a aplicação repetida e contínua, o significado de normas deve ser mais abrangente do que o previsto no Regulamento (UE) n.º 1025/2012 do Parlamento Europeu e do Conselho</w:t>
      </w:r>
      <w:r w:rsidRPr="002A673F">
        <w:rPr>
          <w:szCs w:val="24"/>
          <w:vertAlign w:val="superscript"/>
          <w:lang w:eastAsia="en-US"/>
        </w:rPr>
        <w:footnoteReference w:id="8"/>
      </w:r>
      <w:r w:rsidRPr="002A673F">
        <w:rPr>
          <w:szCs w:val="24"/>
          <w:lang w:eastAsia="en-US"/>
        </w:rPr>
        <w:t>.</w:t>
      </w:r>
      <w:r w:rsidRPr="002A673F">
        <w:rPr>
          <w:b/>
          <w:szCs w:val="24"/>
          <w:lang w:eastAsia="en-US"/>
        </w:rPr>
        <w:t xml:space="preserve"> [Alt. 9]</w:t>
      </w:r>
    </w:p>
    <w:p w14:paraId="51512B6D" w14:textId="77777777" w:rsidR="00345689" w:rsidRDefault="00345689">
      <w:pPr>
        <w:widowControl/>
        <w:rPr>
          <w:szCs w:val="24"/>
          <w:lang w:eastAsia="en-US"/>
        </w:rPr>
      </w:pPr>
      <w:r>
        <w:rPr>
          <w:szCs w:val="24"/>
          <w:lang w:eastAsia="en-US"/>
        </w:rPr>
        <w:br w:type="page"/>
      </w:r>
    </w:p>
    <w:p w14:paraId="3E2950A0" w14:textId="7B96553E"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(7)</w:t>
      </w:r>
      <w:r w:rsidRPr="002A673F">
        <w:rPr>
          <w:szCs w:val="24"/>
          <w:lang w:eastAsia="en-US"/>
        </w:rPr>
        <w:tab/>
        <w:t>A concessão de licenças em condições FRAND</w:t>
      </w:r>
      <w:r w:rsidRPr="002A673F">
        <w:rPr>
          <w:b/>
          <w:i/>
          <w:szCs w:val="24"/>
          <w:lang w:eastAsia="en-US"/>
        </w:rPr>
        <w:t>, fundamental para o desenvolvimento da sociedade digital,</w:t>
      </w:r>
      <w:r w:rsidRPr="002A673F">
        <w:rPr>
          <w:szCs w:val="24"/>
          <w:lang w:eastAsia="en-US"/>
        </w:rPr>
        <w:t xml:space="preserve"> inclui a concessão de licenças isentas de </w:t>
      </w:r>
      <w:r w:rsidRPr="00E075CA">
        <w:rPr>
          <w:i/>
          <w:szCs w:val="24"/>
          <w:lang w:eastAsia="en-US"/>
        </w:rPr>
        <w:t>royalties</w:t>
      </w:r>
      <w:r w:rsidRPr="002A673F">
        <w:rPr>
          <w:szCs w:val="24"/>
          <w:lang w:eastAsia="en-US"/>
        </w:rPr>
        <w:t xml:space="preserve">. Dado que a maior parte dos problemas se prendem com as políticas de concessão de licenças sujeitas a </w:t>
      </w:r>
      <w:r w:rsidRPr="00E075CA">
        <w:rPr>
          <w:i/>
          <w:szCs w:val="24"/>
          <w:lang w:eastAsia="en-US"/>
        </w:rPr>
        <w:t>royalties</w:t>
      </w:r>
      <w:r w:rsidRPr="002A673F">
        <w:rPr>
          <w:szCs w:val="24"/>
          <w:lang w:eastAsia="en-US"/>
        </w:rPr>
        <w:t xml:space="preserve">, o presente regulamento não se aplica à concessão de licenças </w:t>
      </w:r>
      <w:r w:rsidRPr="002A673F">
        <w:rPr>
          <w:b/>
          <w:i/>
          <w:szCs w:val="24"/>
          <w:lang w:eastAsia="en-US"/>
        </w:rPr>
        <w:t xml:space="preserve">de PEN </w:t>
      </w:r>
      <w:r w:rsidRPr="002A673F">
        <w:rPr>
          <w:szCs w:val="24"/>
          <w:lang w:eastAsia="en-US"/>
        </w:rPr>
        <w:t xml:space="preserve">isentas de </w:t>
      </w:r>
      <w:r w:rsidRPr="00E075CA">
        <w:rPr>
          <w:i/>
          <w:szCs w:val="24"/>
          <w:lang w:eastAsia="en-US"/>
        </w:rPr>
        <w:t>royalties</w:t>
      </w:r>
      <w:r w:rsidRPr="002A673F">
        <w:rPr>
          <w:b/>
          <w:i/>
          <w:szCs w:val="24"/>
          <w:lang w:eastAsia="en-US"/>
        </w:rPr>
        <w:t xml:space="preserve">, exceto se essas PEN fizerem parte de uma carteira de licenças de patentes em troca de </w:t>
      </w:r>
      <w:r w:rsidRPr="00E075CA">
        <w:rPr>
          <w:b/>
          <w:szCs w:val="24"/>
          <w:lang w:eastAsia="en-US"/>
        </w:rPr>
        <w:t>royalties</w:t>
      </w:r>
      <w:r w:rsidRPr="002A673F">
        <w:rPr>
          <w:szCs w:val="24"/>
          <w:lang w:eastAsia="en-US"/>
        </w:rPr>
        <w:t>.</w:t>
      </w:r>
      <w:r w:rsidRPr="002A673F">
        <w:rPr>
          <w:b/>
          <w:szCs w:val="24"/>
          <w:lang w:eastAsia="en-US"/>
        </w:rPr>
        <w:t xml:space="preserve"> [Alt. 10]</w:t>
      </w:r>
    </w:p>
    <w:p w14:paraId="5206EB3B" w14:textId="2410726E" w:rsidR="002A673F" w:rsidRPr="00E075CA" w:rsidRDefault="002A673F" w:rsidP="002A673F">
      <w:pPr>
        <w:spacing w:before="120" w:after="120" w:line="360" w:lineRule="auto"/>
        <w:ind w:left="850" w:hanging="850"/>
        <w:rPr>
          <w:b/>
          <w:szCs w:val="24"/>
          <w:lang w:eastAsia="en-US"/>
        </w:rPr>
      </w:pPr>
      <w:r w:rsidRPr="002A673F">
        <w:rPr>
          <w:b/>
          <w:i/>
          <w:szCs w:val="24"/>
          <w:lang w:eastAsia="en-US"/>
        </w:rPr>
        <w:t>(7-A)</w:t>
      </w:r>
      <w:r w:rsidRPr="002A673F">
        <w:rPr>
          <w:szCs w:val="24"/>
          <w:lang w:eastAsia="en-US"/>
        </w:rPr>
        <w:tab/>
      </w:r>
      <w:r w:rsidRPr="002A673F">
        <w:rPr>
          <w:b/>
          <w:i/>
          <w:szCs w:val="24"/>
          <w:lang w:eastAsia="en-US"/>
        </w:rPr>
        <w:t>As normas abertas são fundamentais para o desenvolvimento da nossa sociedade digital, incluindo o desenvolvimento de software de código-fonte aberto. As normas abertas eliminam as barreiras à interoperabilidade, promovem a escolha entre fornecedores e soluções tecnológicas e asseguram a concorrência de mercado e a inovação. O presente regulamento é aplicável às normas abertas, não desencorajando, ao mesmo tempo, os titulares de PEN de inovar e participar no desenvolvimento de normas colaborativas abertas.</w:t>
      </w:r>
      <w:r w:rsidRPr="002A673F">
        <w:rPr>
          <w:b/>
          <w:szCs w:val="24"/>
          <w:lang w:eastAsia="en-US"/>
        </w:rPr>
        <w:t xml:space="preserve"> [Alt. 11]</w:t>
      </w:r>
    </w:p>
    <w:p w14:paraId="6E7B1FDB"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(8)</w:t>
      </w:r>
      <w:r w:rsidRPr="002A673F">
        <w:rPr>
          <w:szCs w:val="24"/>
          <w:lang w:eastAsia="en-US"/>
        </w:rPr>
        <w:tab/>
        <w:t xml:space="preserve">Tendo em conta o caráter global da concessão de licenças de PEN, as referências a </w:t>
      </w:r>
      <w:r w:rsidRPr="00E075CA">
        <w:rPr>
          <w:i/>
          <w:szCs w:val="24"/>
          <w:lang w:eastAsia="en-US"/>
        </w:rPr>
        <w:t>royalties</w:t>
      </w:r>
      <w:r w:rsidRPr="002A673F">
        <w:rPr>
          <w:szCs w:val="24"/>
          <w:lang w:eastAsia="en-US"/>
        </w:rPr>
        <w:t xml:space="preserve"> agregados e à determinação FRAND podem dizer respeito a </w:t>
      </w:r>
      <w:r w:rsidRPr="00E075CA">
        <w:rPr>
          <w:i/>
          <w:szCs w:val="24"/>
          <w:lang w:eastAsia="en-US"/>
        </w:rPr>
        <w:t>royalties</w:t>
      </w:r>
      <w:r w:rsidRPr="002A673F">
        <w:rPr>
          <w:szCs w:val="24"/>
          <w:lang w:eastAsia="en-US"/>
        </w:rPr>
        <w:t xml:space="preserve"> agregados globais e a determinações FRAND globais, ou conforme acordado entre as partes interessadas notificantes ou as partes no processo.</w:t>
      </w:r>
    </w:p>
    <w:p w14:paraId="24876C39" w14:textId="77777777" w:rsidR="00345689" w:rsidRDefault="00345689">
      <w:pPr>
        <w:widowControl/>
        <w:rPr>
          <w:szCs w:val="24"/>
          <w:lang w:eastAsia="en-US"/>
        </w:rPr>
      </w:pPr>
      <w:r>
        <w:rPr>
          <w:szCs w:val="24"/>
          <w:lang w:eastAsia="en-US"/>
        </w:rPr>
        <w:br w:type="page"/>
      </w:r>
    </w:p>
    <w:p w14:paraId="04820435" w14:textId="31FBD0D6"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(9)</w:t>
      </w:r>
      <w:r w:rsidRPr="002A673F">
        <w:rPr>
          <w:szCs w:val="24"/>
          <w:lang w:eastAsia="en-US"/>
        </w:rPr>
        <w:tab/>
        <w:t>Na União, a elaboração de normas e a aplicação das regras do direito da concorrência relacionadas com a obrigação FRAND das patentes essenciais a normas são guiadas pelas orientações horizontais</w:t>
      </w:r>
      <w:r w:rsidRPr="002A673F">
        <w:rPr>
          <w:szCs w:val="24"/>
          <w:vertAlign w:val="superscript"/>
          <w:lang w:eastAsia="en-US"/>
        </w:rPr>
        <w:footnoteReference w:id="9"/>
      </w:r>
      <w:r w:rsidRPr="002A673F">
        <w:rPr>
          <w:szCs w:val="24"/>
          <w:lang w:eastAsia="en-US"/>
        </w:rPr>
        <w:t xml:space="preserve"> e pelo Acórdão do Tribunal de Justiça de 16 de julho de 2015 no processo C-170/13, </w:t>
      </w:r>
      <w:proofErr w:type="spellStart"/>
      <w:r w:rsidRPr="002A673F">
        <w:rPr>
          <w:szCs w:val="24"/>
          <w:lang w:eastAsia="en-US"/>
        </w:rPr>
        <w:t>Huawei</w:t>
      </w:r>
      <w:proofErr w:type="spellEnd"/>
      <w:r w:rsidRPr="002A673F">
        <w:rPr>
          <w:szCs w:val="24"/>
          <w:lang w:eastAsia="en-US"/>
        </w:rPr>
        <w:t xml:space="preserve"> Technologies Co. </w:t>
      </w:r>
      <w:proofErr w:type="spellStart"/>
      <w:r w:rsidRPr="002A673F">
        <w:rPr>
          <w:szCs w:val="24"/>
          <w:lang w:eastAsia="en-US"/>
        </w:rPr>
        <w:t>Ltd</w:t>
      </w:r>
      <w:proofErr w:type="spellEnd"/>
      <w:r w:rsidRPr="002A673F">
        <w:rPr>
          <w:szCs w:val="24"/>
          <w:lang w:eastAsia="en-US"/>
        </w:rPr>
        <w:t xml:space="preserve"> contra ZTE </w:t>
      </w:r>
      <w:proofErr w:type="spellStart"/>
      <w:r w:rsidRPr="002A673F">
        <w:rPr>
          <w:szCs w:val="24"/>
          <w:lang w:eastAsia="en-US"/>
        </w:rPr>
        <w:t>Corp</w:t>
      </w:r>
      <w:proofErr w:type="spellEnd"/>
      <w:r w:rsidRPr="002A673F">
        <w:rPr>
          <w:szCs w:val="24"/>
          <w:lang w:eastAsia="en-US"/>
        </w:rPr>
        <w:t xml:space="preserve">. e ZTE </w:t>
      </w:r>
      <w:proofErr w:type="spellStart"/>
      <w:r w:rsidRPr="002A673F">
        <w:rPr>
          <w:szCs w:val="24"/>
          <w:lang w:eastAsia="en-US"/>
        </w:rPr>
        <w:t>Deutschland</w:t>
      </w:r>
      <w:proofErr w:type="spellEnd"/>
      <w:r w:rsidRPr="002A673F">
        <w:rPr>
          <w:szCs w:val="24"/>
          <w:lang w:eastAsia="en-US"/>
        </w:rPr>
        <w:t xml:space="preserve"> </w:t>
      </w:r>
      <w:proofErr w:type="spellStart"/>
      <w:r w:rsidRPr="002A673F">
        <w:rPr>
          <w:szCs w:val="24"/>
          <w:lang w:eastAsia="en-US"/>
        </w:rPr>
        <w:t>GmbH</w:t>
      </w:r>
      <w:proofErr w:type="spellEnd"/>
      <w:r w:rsidRPr="002A673F">
        <w:rPr>
          <w:szCs w:val="24"/>
          <w:vertAlign w:val="superscript"/>
          <w:lang w:eastAsia="en-US"/>
        </w:rPr>
        <w:footnoteReference w:id="10"/>
      </w:r>
      <w:r w:rsidRPr="002A673F">
        <w:rPr>
          <w:szCs w:val="24"/>
          <w:lang w:eastAsia="en-US"/>
        </w:rPr>
        <w:t>. O Tribunal de Justiça reconheceu o direito de um titular de PEN de requerer nos tribunais nacionais o controlo do cumprimento das suas patentes, sob certas condições que têm de ser cumpridas para evitar um abuso de posição dominante por parte do titular de PEN ao intentar uma ação inibitória. Uma vez que uma patente confere ao seu titular o direito exclusivo de impedir que terceiros utilizem a invenção sem o seu consentimento apenas na jurisdição para a qual foi emitida, os litígios em matéria de patentes regem-se pela legislação nacional em matéria de patentes e pelos processos cíveis e/ou disposições de execução harmonizadas pela Diretiva 2004/48/CE do Parlamento Europeu e do Conselho</w:t>
      </w:r>
      <w:r w:rsidRPr="002A673F">
        <w:rPr>
          <w:szCs w:val="24"/>
          <w:vertAlign w:val="superscript"/>
          <w:lang w:eastAsia="en-US"/>
        </w:rPr>
        <w:footnoteReference w:id="11"/>
      </w:r>
      <w:r w:rsidRPr="002A673F">
        <w:rPr>
          <w:szCs w:val="24"/>
          <w:lang w:eastAsia="en-US"/>
        </w:rPr>
        <w:t>.</w:t>
      </w:r>
    </w:p>
    <w:p w14:paraId="0AE80B3F"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(10)</w:t>
      </w:r>
      <w:r w:rsidRPr="002A673F">
        <w:rPr>
          <w:szCs w:val="24"/>
          <w:lang w:eastAsia="en-US"/>
        </w:rPr>
        <w:tab/>
        <w:t>Uma vez que existem procedimentos específicos para avaliar a validade e a violação das patentes, o presente regulamento não deverá afetar esses procedimentos.</w:t>
      </w:r>
    </w:p>
    <w:p w14:paraId="5939CA46" w14:textId="77777777" w:rsidR="00345689" w:rsidRDefault="00345689">
      <w:pPr>
        <w:widowControl/>
        <w:rPr>
          <w:b/>
          <w:i/>
          <w:szCs w:val="24"/>
          <w:lang w:eastAsia="en-US"/>
        </w:rPr>
      </w:pPr>
      <w:r>
        <w:rPr>
          <w:b/>
          <w:i/>
          <w:szCs w:val="24"/>
          <w:lang w:eastAsia="en-US"/>
        </w:rPr>
        <w:br w:type="page"/>
      </w:r>
    </w:p>
    <w:p w14:paraId="030426E3" w14:textId="2602BE01" w:rsidR="002A673F" w:rsidRPr="00E075CA" w:rsidRDefault="002A673F" w:rsidP="002A673F">
      <w:pPr>
        <w:spacing w:before="120" w:after="120" w:line="360" w:lineRule="auto"/>
        <w:ind w:left="850" w:hanging="850"/>
        <w:rPr>
          <w:b/>
          <w:szCs w:val="24"/>
          <w:lang w:eastAsia="en-US"/>
        </w:rPr>
      </w:pPr>
      <w:r w:rsidRPr="002A673F">
        <w:rPr>
          <w:b/>
          <w:i/>
          <w:szCs w:val="24"/>
          <w:lang w:eastAsia="en-US"/>
        </w:rPr>
        <w:lastRenderedPageBreak/>
        <w:t>(10-A)</w:t>
      </w:r>
      <w:r w:rsidRPr="002A673F">
        <w:rPr>
          <w:szCs w:val="24"/>
          <w:lang w:eastAsia="en-US"/>
        </w:rPr>
        <w:tab/>
      </w:r>
      <w:r w:rsidRPr="002A673F">
        <w:rPr>
          <w:b/>
          <w:i/>
          <w:szCs w:val="24"/>
          <w:lang w:eastAsia="en-US"/>
        </w:rPr>
        <w:t>Enquanto soluções comuns de concessão de patentes lideradas pela indústria, as comunhões de patentes são benéficas para o mercado e para as empresas no que se refere às atividades de concessão de licenças de PEN, incluindo para os titulares de PEN e os utilizadores de PEN. Constituem uma opção previsível e justa para a concessão de licenças a tecnologias patenteadas essenciais a uma norma, pois permitem que empresas de todo o mundo cheguem a acordo relativamente a um conjunto amplamente aceitável de condições de concessão de licenças. Uma vez que lidam com PEN, as comunhões de patentes devem também comprometer-se a aplicar condições FRAND, e devem assegurar total transparência no que toca às patentes abrangidas pela sua carteira, concedendo-as, idealmente, a todos os titulares de licenças interessados, independentemente da sua posição na cadeia de valor, e abrangendo, de preferência, todas as PEN pertinentes para a norma.</w:t>
      </w:r>
      <w:r w:rsidRPr="002A673F">
        <w:rPr>
          <w:b/>
          <w:szCs w:val="24"/>
          <w:lang w:eastAsia="en-US"/>
        </w:rPr>
        <w:t xml:space="preserve"> [Alt. 12]</w:t>
      </w:r>
    </w:p>
    <w:p w14:paraId="51549261" w14:textId="523FF03F" w:rsidR="002A673F" w:rsidRPr="00E075CA" w:rsidRDefault="002A673F" w:rsidP="002A673F">
      <w:pPr>
        <w:spacing w:before="120" w:after="120" w:line="360" w:lineRule="auto"/>
        <w:ind w:left="850" w:hanging="850"/>
        <w:rPr>
          <w:b/>
          <w:szCs w:val="24"/>
          <w:lang w:eastAsia="en-US"/>
        </w:rPr>
      </w:pPr>
      <w:r w:rsidRPr="002A673F">
        <w:rPr>
          <w:b/>
          <w:i/>
          <w:szCs w:val="24"/>
          <w:lang w:eastAsia="en-US"/>
        </w:rPr>
        <w:t>(10-B)</w:t>
      </w:r>
      <w:r w:rsidRPr="002A673F">
        <w:rPr>
          <w:szCs w:val="24"/>
          <w:lang w:eastAsia="en-US"/>
        </w:rPr>
        <w:tab/>
      </w:r>
      <w:r w:rsidRPr="002A673F">
        <w:rPr>
          <w:b/>
          <w:i/>
          <w:szCs w:val="24"/>
          <w:lang w:eastAsia="en-US"/>
        </w:rPr>
        <w:t>Embora as condições de concorrência das comunhões de patentes já tenham sido objeto de controlo, subsistem incertezas quanto à compatibilidade dos grupos de negociação de titulares de licenças, formados por utilizadores de PEN. Esses grupos podem simplificar o processo de negociação, reduzindo assim os encargos administrativos e assegurando que as condições de concessão de licenças sejam mais uniformes e equitativas para todos os utilizadores de PEN participantes. Os grupos de negociação de titulares de licenças são principalmente vantajosos para as PME. Por conseguinte, a Comissão deve avaliar o impacto desses grupos na concorrência e analisar as condições que devem cumprir de molde a respeitarem o direito da concorrência, evitando simultaneamente o risco de oferecerem opções dilatórias («</w:t>
      </w:r>
      <w:proofErr w:type="spellStart"/>
      <w:r w:rsidRPr="002A673F">
        <w:rPr>
          <w:b/>
          <w:i/>
          <w:szCs w:val="24"/>
          <w:lang w:eastAsia="en-US"/>
        </w:rPr>
        <w:t>hold</w:t>
      </w:r>
      <w:proofErr w:type="spellEnd"/>
      <w:r w:rsidRPr="002A673F">
        <w:rPr>
          <w:b/>
          <w:i/>
          <w:szCs w:val="24"/>
          <w:lang w:eastAsia="en-US"/>
        </w:rPr>
        <w:t>-out») a utilizadores de PEN participantes.</w:t>
      </w:r>
      <w:r w:rsidRPr="002A673F">
        <w:rPr>
          <w:b/>
          <w:szCs w:val="24"/>
          <w:lang w:eastAsia="en-US"/>
        </w:rPr>
        <w:t xml:space="preserve"> [Alt. 13]</w:t>
      </w:r>
    </w:p>
    <w:p w14:paraId="26FDB490" w14:textId="77777777" w:rsidR="00345689" w:rsidRDefault="00345689">
      <w:pPr>
        <w:widowControl/>
        <w:rPr>
          <w:szCs w:val="24"/>
          <w:lang w:eastAsia="en-US"/>
        </w:rPr>
      </w:pPr>
      <w:r>
        <w:rPr>
          <w:szCs w:val="24"/>
          <w:lang w:eastAsia="en-US"/>
        </w:rPr>
        <w:br w:type="page"/>
      </w:r>
    </w:p>
    <w:p w14:paraId="34806AC2" w14:textId="099B544D"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(11)</w:t>
      </w:r>
      <w:r w:rsidRPr="002A673F">
        <w:rPr>
          <w:szCs w:val="24"/>
          <w:lang w:eastAsia="en-US"/>
        </w:rPr>
        <w:tab/>
        <w:t>Qualquer referência a um tribunal competente de um Estado-Membro no presente regulamento inclui o Tribunal Unificado de Patentes, sempre que estejam reunidas as condições necessárias.</w:t>
      </w:r>
    </w:p>
    <w:p w14:paraId="3D8C64F3"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(12)</w:t>
      </w:r>
      <w:r w:rsidRPr="002A673F">
        <w:rPr>
          <w:szCs w:val="24"/>
          <w:lang w:eastAsia="en-US"/>
        </w:rPr>
        <w:tab/>
      </w:r>
      <w:r w:rsidRPr="002A673F">
        <w:rPr>
          <w:b/>
          <w:i/>
          <w:szCs w:val="24"/>
          <w:lang w:eastAsia="en-US"/>
        </w:rPr>
        <w:t xml:space="preserve">Enquanto organismo da União Europeia responsável pelos direitos de propriedade intelectual, e </w:t>
      </w:r>
      <w:r w:rsidRPr="002A673F">
        <w:rPr>
          <w:szCs w:val="24"/>
          <w:lang w:eastAsia="en-US"/>
        </w:rPr>
        <w:t xml:space="preserve">a fim de facilitar a aplicação do presente regulamento, o Instituto da Propriedade Intelectual da União Europeia (EUIPO) deve desempenhar as funções pertinentes através de um centro de competências. O EUIPO tem uma vasta experiência na gestão de bases de dados, registos eletrónicos e mecanismos de resolução alternativa de litígios, que são aspetos fundamentais das funções atribuídas ao abrigo do presente regulamento. É necessário </w:t>
      </w:r>
      <w:proofErr w:type="spellStart"/>
      <w:r w:rsidRPr="002A673F">
        <w:rPr>
          <w:strike/>
          <w:szCs w:val="24"/>
          <w:lang w:eastAsia="en-US"/>
        </w:rPr>
        <w:t>dotar</w:t>
      </w:r>
      <w:r w:rsidRPr="002A673F">
        <w:rPr>
          <w:b/>
          <w:i/>
          <w:szCs w:val="24"/>
          <w:lang w:eastAsia="en-US"/>
        </w:rPr>
        <w:t>garantir</w:t>
      </w:r>
      <w:proofErr w:type="spellEnd"/>
      <w:r w:rsidRPr="002A673F">
        <w:rPr>
          <w:b/>
          <w:i/>
          <w:szCs w:val="24"/>
          <w:lang w:eastAsia="en-US"/>
        </w:rPr>
        <w:t xml:space="preserve"> que</w:t>
      </w:r>
      <w:r w:rsidRPr="002A673F">
        <w:rPr>
          <w:szCs w:val="24"/>
          <w:lang w:eastAsia="en-US"/>
        </w:rPr>
        <w:t xml:space="preserve"> o centro de competências </w:t>
      </w:r>
      <w:r w:rsidRPr="002A673F">
        <w:rPr>
          <w:b/>
          <w:i/>
          <w:szCs w:val="24"/>
          <w:lang w:eastAsia="en-US"/>
        </w:rPr>
        <w:t xml:space="preserve">dispõe dos meios necessários, </w:t>
      </w:r>
      <w:proofErr w:type="spellStart"/>
      <w:r w:rsidRPr="002A673F">
        <w:rPr>
          <w:b/>
          <w:i/>
          <w:szCs w:val="24"/>
          <w:lang w:eastAsia="en-US"/>
        </w:rPr>
        <w:t>incluindo</w:t>
      </w:r>
      <w:r w:rsidRPr="002A673F">
        <w:rPr>
          <w:strike/>
          <w:szCs w:val="24"/>
          <w:lang w:eastAsia="en-US"/>
        </w:rPr>
        <w:t>dos</w:t>
      </w:r>
      <w:proofErr w:type="spellEnd"/>
      <w:r w:rsidRPr="002A673F">
        <w:rPr>
          <w:szCs w:val="24"/>
          <w:lang w:eastAsia="en-US"/>
        </w:rPr>
        <w:t xml:space="preserve"> recursos humanos e financeiros</w:t>
      </w:r>
      <w:r w:rsidRPr="002A673F">
        <w:rPr>
          <w:strike/>
          <w:szCs w:val="24"/>
          <w:lang w:eastAsia="en-US"/>
        </w:rPr>
        <w:t xml:space="preserve"> necessários</w:t>
      </w:r>
      <w:r w:rsidRPr="002A673F">
        <w:rPr>
          <w:b/>
          <w:i/>
          <w:szCs w:val="24"/>
          <w:lang w:eastAsia="en-US"/>
        </w:rPr>
        <w:t>,</w:t>
      </w:r>
      <w:r w:rsidRPr="002A673F">
        <w:rPr>
          <w:szCs w:val="24"/>
          <w:lang w:eastAsia="en-US"/>
        </w:rPr>
        <w:t xml:space="preserve"> para desempenhar </w:t>
      </w:r>
      <w:r w:rsidRPr="002A673F">
        <w:rPr>
          <w:b/>
          <w:i/>
          <w:szCs w:val="24"/>
          <w:lang w:eastAsia="en-US"/>
        </w:rPr>
        <w:t xml:space="preserve">eficazmente </w:t>
      </w:r>
      <w:r w:rsidRPr="002A673F">
        <w:rPr>
          <w:szCs w:val="24"/>
          <w:lang w:eastAsia="en-US"/>
        </w:rPr>
        <w:t>as suas funções.</w:t>
      </w:r>
      <w:r w:rsidRPr="002A673F">
        <w:rPr>
          <w:b/>
          <w:szCs w:val="24"/>
          <w:lang w:eastAsia="en-US"/>
        </w:rPr>
        <w:t xml:space="preserve"> [Alt. 14]</w:t>
      </w:r>
    </w:p>
    <w:p w14:paraId="4E099B43" w14:textId="79F09074" w:rsidR="002A673F" w:rsidRPr="00E075CA" w:rsidRDefault="002A673F" w:rsidP="002A673F">
      <w:pPr>
        <w:spacing w:before="120" w:after="120" w:line="360" w:lineRule="auto"/>
        <w:ind w:left="850" w:hanging="850"/>
        <w:rPr>
          <w:b/>
          <w:szCs w:val="24"/>
          <w:lang w:eastAsia="en-US"/>
        </w:rPr>
      </w:pPr>
      <w:r w:rsidRPr="002A673F">
        <w:rPr>
          <w:b/>
          <w:i/>
          <w:szCs w:val="24"/>
          <w:lang w:eastAsia="en-US"/>
        </w:rPr>
        <w:t>(12-A)</w:t>
      </w:r>
      <w:r w:rsidRPr="002A673F">
        <w:rPr>
          <w:szCs w:val="24"/>
          <w:lang w:eastAsia="en-US"/>
        </w:rPr>
        <w:tab/>
      </w:r>
      <w:r w:rsidRPr="002A673F">
        <w:rPr>
          <w:b/>
          <w:i/>
          <w:szCs w:val="24"/>
          <w:lang w:eastAsia="en-US"/>
        </w:rPr>
        <w:t>A concessão de licenças de PEN pode gerar atritos nas cadeias de valor que, até à data, não tinham sido expostas a PEN. Por conseguinte, é importante que o centro de competências promova a sensibilização para a concessão de licenças de PEN na cadeia de valor através de qualquer um dos instrumentos à sua disposição, designadamente através da participação significativa das partes interessadas. Outros fatores incluiriam a capacidade de os fabricantes a montante repercutirem o custo de uma licença de PEN e o eventual impacto das cláusulas de indemnização existentes a jusante numa cadeia de valor. O quadro previsto no presente regulamento deve promover a liderança tecnológica da U</w:t>
      </w:r>
      <w:r w:rsidR="00345689">
        <w:rPr>
          <w:b/>
          <w:i/>
          <w:szCs w:val="24"/>
          <w:lang w:eastAsia="en-US"/>
        </w:rPr>
        <w:t xml:space="preserve">nião </w:t>
      </w:r>
      <w:r w:rsidRPr="002A673F">
        <w:rPr>
          <w:b/>
          <w:i/>
          <w:szCs w:val="24"/>
          <w:lang w:eastAsia="en-US"/>
        </w:rPr>
        <w:t>E</w:t>
      </w:r>
      <w:r w:rsidR="00345689">
        <w:rPr>
          <w:b/>
          <w:i/>
          <w:szCs w:val="24"/>
          <w:lang w:eastAsia="en-US"/>
        </w:rPr>
        <w:t>uropeia</w:t>
      </w:r>
      <w:r w:rsidRPr="002A673F">
        <w:rPr>
          <w:b/>
          <w:i/>
          <w:szCs w:val="24"/>
          <w:lang w:eastAsia="en-US"/>
        </w:rPr>
        <w:t xml:space="preserve"> no domínio da inovação.</w:t>
      </w:r>
      <w:r w:rsidRPr="002A673F">
        <w:rPr>
          <w:b/>
          <w:szCs w:val="24"/>
          <w:lang w:eastAsia="en-US"/>
        </w:rPr>
        <w:t xml:space="preserve"> [Alt. 15]</w:t>
      </w:r>
    </w:p>
    <w:p w14:paraId="6257CCFA" w14:textId="77777777" w:rsidR="00345689" w:rsidRDefault="00345689">
      <w:pPr>
        <w:widowControl/>
        <w:rPr>
          <w:szCs w:val="24"/>
          <w:lang w:eastAsia="en-US"/>
        </w:rPr>
      </w:pPr>
      <w:r>
        <w:rPr>
          <w:szCs w:val="24"/>
          <w:lang w:eastAsia="en-US"/>
        </w:rPr>
        <w:br w:type="page"/>
      </w:r>
    </w:p>
    <w:p w14:paraId="61964323" w14:textId="74AE6B50"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(13)</w:t>
      </w:r>
      <w:r w:rsidRPr="002A673F">
        <w:rPr>
          <w:szCs w:val="24"/>
          <w:lang w:eastAsia="en-US"/>
        </w:rPr>
        <w:tab/>
        <w:t>O centro de competências deve</w:t>
      </w:r>
      <w:r w:rsidRPr="002A673F">
        <w:rPr>
          <w:b/>
          <w:i/>
          <w:szCs w:val="24"/>
          <w:lang w:eastAsia="en-US"/>
        </w:rPr>
        <w:t>, por um lado,</w:t>
      </w:r>
      <w:r w:rsidRPr="002A673F">
        <w:rPr>
          <w:szCs w:val="24"/>
          <w:lang w:eastAsia="en-US"/>
        </w:rPr>
        <w:t xml:space="preserve"> criar e administrar um registo eletrónico </w:t>
      </w:r>
      <w:r w:rsidRPr="002A673F">
        <w:rPr>
          <w:strike/>
          <w:szCs w:val="24"/>
          <w:lang w:eastAsia="en-US"/>
        </w:rPr>
        <w:t xml:space="preserve">e uma base de dados eletrónica que </w:t>
      </w:r>
      <w:proofErr w:type="spellStart"/>
      <w:r w:rsidRPr="002A673F">
        <w:rPr>
          <w:strike/>
          <w:szCs w:val="24"/>
          <w:lang w:eastAsia="en-US"/>
        </w:rPr>
        <w:t>contenham</w:t>
      </w:r>
      <w:r w:rsidRPr="002A673F">
        <w:rPr>
          <w:b/>
          <w:i/>
          <w:szCs w:val="24"/>
          <w:lang w:eastAsia="en-US"/>
        </w:rPr>
        <w:t>que</w:t>
      </w:r>
      <w:proofErr w:type="spellEnd"/>
      <w:r w:rsidRPr="002A673F">
        <w:rPr>
          <w:b/>
          <w:i/>
          <w:szCs w:val="24"/>
          <w:lang w:eastAsia="en-US"/>
        </w:rPr>
        <w:t xml:space="preserve"> contenha</w:t>
      </w:r>
      <w:r w:rsidRPr="002A673F">
        <w:rPr>
          <w:szCs w:val="24"/>
          <w:lang w:eastAsia="en-US"/>
        </w:rPr>
        <w:t xml:space="preserve"> informações pormenorizadas sobre as PEN em vigor num ou mais Estados-Membros</w:t>
      </w:r>
      <w:r w:rsidRPr="002A673F">
        <w:rPr>
          <w:strike/>
          <w:szCs w:val="24"/>
          <w:lang w:eastAsia="en-US"/>
        </w:rPr>
        <w:t>, nomeadamente os resultados de verificação do caráter essencial, pareceres, relatórios, jurisprudência disponível de jurisdições de todo o mundo, regras relativas a PEN em países terceiros e resultados de estudos específicos das PEN. A fim de aumentar a sensibilização e facilitar a concessão de licenças de PEN às PME</w:t>
      </w:r>
      <w:r w:rsidRPr="002A673F">
        <w:rPr>
          <w:b/>
          <w:i/>
          <w:szCs w:val="24"/>
          <w:lang w:eastAsia="en-US"/>
        </w:rPr>
        <w:t>. O registo eletrónico deve funcionar como repositório de base concebido para ser o ponto de referência primário dos utilizadores, fornecendo, a título gratuito, informações básicas sobre as PEN. Por outro lado</w:t>
      </w:r>
      <w:r w:rsidRPr="002A673F">
        <w:rPr>
          <w:szCs w:val="24"/>
          <w:lang w:eastAsia="en-US"/>
        </w:rPr>
        <w:t xml:space="preserve">, o centro de competências deve </w:t>
      </w:r>
      <w:r w:rsidRPr="002A673F">
        <w:rPr>
          <w:strike/>
          <w:szCs w:val="24"/>
          <w:lang w:eastAsia="en-US"/>
        </w:rPr>
        <w:t xml:space="preserve">prestar assistência às PME. A criação e administração de um sistema de verificação do caráter essencial e dos processos de determinação de royalties agregados e da determinação FRAND pelo centro de competências deve incluir ações que melhorem o sistema e os processos numa base contínua, nomeadamente através da utilização de novas tecnologias. Em consonância com este objetivo, o centro de competências deve estabelecer procedimentos de formação para avaliadores do caráter essencial e conciliadores, com vista à emissão de pareceres sobre royalties agregados e sobre a determinação FRAND, e deve incentivar a coerência das suas </w:t>
      </w:r>
      <w:proofErr w:type="spellStart"/>
      <w:r w:rsidRPr="002A673F">
        <w:rPr>
          <w:strike/>
          <w:szCs w:val="24"/>
          <w:lang w:eastAsia="en-US"/>
        </w:rPr>
        <w:t>práticas</w:t>
      </w:r>
      <w:r w:rsidRPr="002A673F">
        <w:rPr>
          <w:b/>
          <w:i/>
          <w:szCs w:val="24"/>
          <w:lang w:eastAsia="en-US"/>
        </w:rPr>
        <w:t>também</w:t>
      </w:r>
      <w:proofErr w:type="spellEnd"/>
      <w:r w:rsidRPr="002A673F">
        <w:rPr>
          <w:b/>
          <w:i/>
          <w:szCs w:val="24"/>
          <w:lang w:eastAsia="en-US"/>
        </w:rPr>
        <w:t xml:space="preserve"> criar e administrar uma base de dados eletrónica que disponibilize informações facilmente acessíveis de entre um conjunto de dados mais amplo e abrangente, cujo acesso pode ficar sujeito ao pagamento de uma taxa razoável e proporcionada. As autoridades públicas, incluindo os tribunais, devem ter acesso às informações constantes da base de dados a título gratuito. As instituições académicas também devem poder solicitar acesso gratuito a essas informações sob determinadas condições. O registo eletrónico e a base de dados eletrónica devem proporcionar um elevado nível de segurança jurídica</w:t>
      </w:r>
      <w:r w:rsidRPr="002A673F">
        <w:rPr>
          <w:szCs w:val="24"/>
          <w:lang w:eastAsia="en-US"/>
        </w:rPr>
        <w:t>.</w:t>
      </w:r>
      <w:r w:rsidRPr="002A673F">
        <w:rPr>
          <w:b/>
          <w:szCs w:val="24"/>
          <w:lang w:eastAsia="en-US"/>
        </w:rPr>
        <w:t xml:space="preserve"> [Alt. 16]</w:t>
      </w:r>
    </w:p>
    <w:p w14:paraId="35113071" w14:textId="77777777" w:rsidR="00345689" w:rsidRDefault="00345689">
      <w:pPr>
        <w:widowControl/>
        <w:rPr>
          <w:b/>
          <w:i/>
          <w:szCs w:val="24"/>
          <w:lang w:eastAsia="en-US"/>
        </w:rPr>
      </w:pPr>
      <w:r>
        <w:rPr>
          <w:b/>
          <w:i/>
          <w:szCs w:val="24"/>
          <w:lang w:eastAsia="en-US"/>
        </w:rPr>
        <w:br w:type="page"/>
      </w:r>
    </w:p>
    <w:p w14:paraId="5C9A81D6" w14:textId="1CE29DBD" w:rsidR="002A673F" w:rsidRPr="00E075CA" w:rsidRDefault="002A673F" w:rsidP="002A673F">
      <w:pPr>
        <w:spacing w:before="120" w:after="120" w:line="360" w:lineRule="auto"/>
        <w:ind w:left="850" w:hanging="850"/>
        <w:rPr>
          <w:b/>
          <w:szCs w:val="24"/>
          <w:lang w:eastAsia="en-US"/>
        </w:rPr>
      </w:pPr>
      <w:r w:rsidRPr="002A673F">
        <w:rPr>
          <w:b/>
          <w:i/>
          <w:szCs w:val="24"/>
          <w:lang w:eastAsia="en-US"/>
        </w:rPr>
        <w:lastRenderedPageBreak/>
        <w:t>(13-A)</w:t>
      </w:r>
      <w:r w:rsidRPr="002A673F">
        <w:rPr>
          <w:szCs w:val="24"/>
          <w:lang w:eastAsia="en-US"/>
        </w:rPr>
        <w:tab/>
      </w:r>
      <w:r w:rsidRPr="002A673F">
        <w:rPr>
          <w:b/>
          <w:i/>
          <w:szCs w:val="24"/>
          <w:lang w:eastAsia="en-US"/>
        </w:rPr>
        <w:t xml:space="preserve">A fim de aumentar a sensibilização e facilitar a concessão de licenças de PEN às PME, o centro de competências deve prestar assistência às PME e às empresas em fase de arranque. A criação e administração de um sistema de verificação do caráter essencial e dos processos de determinação de </w:t>
      </w:r>
      <w:r w:rsidRPr="00E075CA">
        <w:rPr>
          <w:b/>
          <w:szCs w:val="24"/>
          <w:lang w:eastAsia="en-US"/>
        </w:rPr>
        <w:t>royalties</w:t>
      </w:r>
      <w:r w:rsidRPr="002A673F">
        <w:rPr>
          <w:b/>
          <w:i/>
          <w:szCs w:val="24"/>
          <w:lang w:eastAsia="en-US"/>
        </w:rPr>
        <w:t xml:space="preserve"> agregados e da determinação FRAND pelo centro de competências deve incluir ações que melhorem o sistema e os processos numa base contínua, nomeadamente através da utilização de novas tecnologias. Em consonância com este objetivo, o centro de competências deve estabelecer procedimentos de formação para avaliadores do caráter essencial e conciliadores, com vista à emissão de pareceres sobre </w:t>
      </w:r>
      <w:r w:rsidRPr="00E075CA">
        <w:rPr>
          <w:b/>
          <w:szCs w:val="24"/>
          <w:lang w:eastAsia="en-US"/>
        </w:rPr>
        <w:t>royalties</w:t>
      </w:r>
      <w:r w:rsidRPr="002A673F">
        <w:rPr>
          <w:b/>
          <w:i/>
          <w:szCs w:val="24"/>
          <w:lang w:eastAsia="en-US"/>
        </w:rPr>
        <w:t xml:space="preserve"> agregados e sobre a determinação FRAND, e deve incentivar a coerência das suas práticas.</w:t>
      </w:r>
      <w:r w:rsidRPr="002A673F">
        <w:rPr>
          <w:b/>
          <w:szCs w:val="24"/>
          <w:lang w:eastAsia="en-US"/>
        </w:rPr>
        <w:t xml:space="preserve"> [Alt. 17]</w:t>
      </w:r>
    </w:p>
    <w:p w14:paraId="094F2F25" w14:textId="77777777" w:rsidR="00345689" w:rsidRDefault="00345689">
      <w:pPr>
        <w:widowControl/>
        <w:rPr>
          <w:szCs w:val="24"/>
          <w:lang w:eastAsia="en-US"/>
        </w:rPr>
      </w:pPr>
      <w:r>
        <w:rPr>
          <w:szCs w:val="24"/>
          <w:lang w:eastAsia="en-US"/>
        </w:rPr>
        <w:br w:type="page"/>
      </w:r>
    </w:p>
    <w:p w14:paraId="2E73CCB4" w14:textId="6F7C2974"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(14)</w:t>
      </w:r>
      <w:r w:rsidRPr="002A673F">
        <w:rPr>
          <w:szCs w:val="24"/>
          <w:lang w:eastAsia="en-US"/>
        </w:rPr>
        <w:tab/>
        <w:t>O centro de competências deve estar sujeito às regras da União em matéria de acesso a documentos e proteção de dados. As suas funções devem ser concebidas de modo a aumentar a transparência, disponibilizando as informações existentes relevantes para as PEN a todas as partes interessadas de forma centralizada e sistemática. Por conseguinte, será necessário estabelecer um equilíbrio entre o livre acesso pelo público à informação de base e a necessidade de financiar o funcionamento do centro de competências.</w:t>
      </w:r>
      <w:r w:rsidRPr="002A673F">
        <w:rPr>
          <w:strike/>
          <w:szCs w:val="24"/>
          <w:lang w:eastAsia="en-US"/>
        </w:rPr>
        <w:t xml:space="preserve"> A fim de cobrir os custos de manutenção, deve solicitar-se uma taxa de registo para aceder às informações pormenorizadas contidas na base de dados, como os resultados das verificações do caráter essencial e os relatórios de determinação FRAND não confidenciais.</w:t>
      </w:r>
      <w:r w:rsidRPr="00E075CA">
        <w:rPr>
          <w:b/>
          <w:szCs w:val="24"/>
          <w:lang w:eastAsia="en-US"/>
        </w:rPr>
        <w:t xml:space="preserve"> [Alt. 18</w:t>
      </w:r>
      <w:r w:rsidRPr="002A673F">
        <w:rPr>
          <w:b/>
          <w:strike/>
          <w:szCs w:val="24"/>
          <w:lang w:eastAsia="en-US"/>
        </w:rPr>
        <w:t>]</w:t>
      </w:r>
    </w:p>
    <w:p w14:paraId="7C8FEE48" w14:textId="77777777" w:rsidR="00345689" w:rsidRDefault="00345689">
      <w:pPr>
        <w:widowControl/>
        <w:rPr>
          <w:szCs w:val="24"/>
          <w:lang w:eastAsia="en-US"/>
        </w:rPr>
      </w:pPr>
      <w:r>
        <w:rPr>
          <w:szCs w:val="24"/>
          <w:lang w:eastAsia="en-US"/>
        </w:rPr>
        <w:br w:type="page"/>
      </w:r>
    </w:p>
    <w:p w14:paraId="2B80E6B0" w14:textId="3CCA2F35"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(15)</w:t>
      </w:r>
      <w:r w:rsidRPr="002A673F">
        <w:rPr>
          <w:szCs w:val="24"/>
          <w:lang w:eastAsia="en-US"/>
        </w:rPr>
        <w:tab/>
        <w:t xml:space="preserve">O conhecimento do eventual total de </w:t>
      </w:r>
      <w:r w:rsidRPr="00E075CA">
        <w:rPr>
          <w:i/>
          <w:szCs w:val="24"/>
          <w:lang w:eastAsia="en-US"/>
        </w:rPr>
        <w:t>royalties</w:t>
      </w:r>
      <w:r w:rsidRPr="002A673F">
        <w:rPr>
          <w:szCs w:val="24"/>
          <w:lang w:eastAsia="en-US"/>
        </w:rPr>
        <w:t xml:space="preserve"> para todas as PEN que abranjam uma norma (</w:t>
      </w:r>
      <w:r w:rsidRPr="00E075CA">
        <w:rPr>
          <w:i/>
          <w:szCs w:val="24"/>
          <w:lang w:eastAsia="en-US"/>
        </w:rPr>
        <w:t>royalties</w:t>
      </w:r>
      <w:r w:rsidRPr="002A673F">
        <w:rPr>
          <w:szCs w:val="24"/>
          <w:lang w:eastAsia="en-US"/>
        </w:rPr>
        <w:t xml:space="preserve"> agregados) aplicável à utilização dessa norma é importante para a avaliação do montante de </w:t>
      </w:r>
      <w:r w:rsidRPr="00E075CA">
        <w:rPr>
          <w:i/>
          <w:szCs w:val="24"/>
          <w:lang w:eastAsia="en-US"/>
        </w:rPr>
        <w:t>royalties</w:t>
      </w:r>
      <w:r w:rsidRPr="002A673F">
        <w:rPr>
          <w:szCs w:val="24"/>
          <w:lang w:eastAsia="en-US"/>
        </w:rPr>
        <w:t xml:space="preserve"> de um produto, o qual tem um papel significativo na determinação dos custos pelo fabricante. Além disso, ajuda </w:t>
      </w:r>
      <w:r w:rsidRPr="002A673F">
        <w:rPr>
          <w:strike/>
          <w:szCs w:val="24"/>
          <w:lang w:eastAsia="en-US"/>
        </w:rPr>
        <w:t xml:space="preserve">o titular </w:t>
      </w:r>
      <w:proofErr w:type="spellStart"/>
      <w:r w:rsidRPr="002A673F">
        <w:rPr>
          <w:strike/>
          <w:szCs w:val="24"/>
          <w:lang w:eastAsia="en-US"/>
        </w:rPr>
        <w:t>da</w:t>
      </w:r>
      <w:r w:rsidRPr="002A673F">
        <w:rPr>
          <w:b/>
          <w:i/>
          <w:szCs w:val="24"/>
          <w:lang w:eastAsia="en-US"/>
        </w:rPr>
        <w:t>os</w:t>
      </w:r>
      <w:proofErr w:type="spellEnd"/>
      <w:r w:rsidRPr="002A673F">
        <w:rPr>
          <w:b/>
          <w:i/>
          <w:szCs w:val="24"/>
          <w:lang w:eastAsia="en-US"/>
        </w:rPr>
        <w:t xml:space="preserve"> titulares de</w:t>
      </w:r>
      <w:r w:rsidRPr="002A673F">
        <w:rPr>
          <w:szCs w:val="24"/>
          <w:lang w:eastAsia="en-US"/>
        </w:rPr>
        <w:t xml:space="preserve"> PEN a planear o retorno esperado do investimento</w:t>
      </w:r>
      <w:r w:rsidRPr="002A673F">
        <w:rPr>
          <w:b/>
          <w:i/>
          <w:szCs w:val="24"/>
          <w:lang w:eastAsia="en-US"/>
        </w:rPr>
        <w:t xml:space="preserve"> e os utilizadores de PEN a estimar o custo da integração da norma nos seus produtos</w:t>
      </w:r>
      <w:r w:rsidRPr="002A673F">
        <w:rPr>
          <w:szCs w:val="24"/>
          <w:lang w:eastAsia="en-US"/>
        </w:rPr>
        <w:t xml:space="preserve">. A publicação dos </w:t>
      </w:r>
      <w:r w:rsidRPr="00E075CA">
        <w:rPr>
          <w:i/>
          <w:szCs w:val="24"/>
          <w:lang w:eastAsia="en-US"/>
        </w:rPr>
        <w:t>royalties</w:t>
      </w:r>
      <w:r w:rsidRPr="002A673F">
        <w:rPr>
          <w:szCs w:val="24"/>
          <w:lang w:eastAsia="en-US"/>
        </w:rPr>
        <w:t xml:space="preserve"> agregados previstos e das condições normais de concessão de licenças para uma determinada norma facilitaria a concessão de licenças de PEN e reduziria o seu custo. Por conseguinte, </w:t>
      </w:r>
      <w:r w:rsidRPr="002A673F">
        <w:rPr>
          <w:strike/>
          <w:szCs w:val="24"/>
          <w:lang w:eastAsia="en-US"/>
        </w:rPr>
        <w:t xml:space="preserve">é necessário tornar públicas </w:t>
      </w:r>
      <w:proofErr w:type="spellStart"/>
      <w:r w:rsidRPr="002A673F">
        <w:rPr>
          <w:strike/>
          <w:szCs w:val="24"/>
          <w:lang w:eastAsia="en-US"/>
        </w:rPr>
        <w:t>as</w:t>
      </w:r>
      <w:r w:rsidRPr="002A673F">
        <w:rPr>
          <w:b/>
          <w:i/>
          <w:szCs w:val="24"/>
          <w:lang w:eastAsia="en-US"/>
        </w:rPr>
        <w:t>os</w:t>
      </w:r>
      <w:proofErr w:type="spellEnd"/>
      <w:r w:rsidRPr="002A673F">
        <w:rPr>
          <w:b/>
          <w:i/>
          <w:szCs w:val="24"/>
          <w:lang w:eastAsia="en-US"/>
        </w:rPr>
        <w:t xml:space="preserve"> utilizadores de PEN e os titulares de PEN beneficiariam da publicação das</w:t>
      </w:r>
      <w:r w:rsidRPr="002A673F">
        <w:rPr>
          <w:szCs w:val="24"/>
          <w:lang w:eastAsia="en-US"/>
        </w:rPr>
        <w:t xml:space="preserve"> informações sobre as taxas totais de </w:t>
      </w:r>
      <w:r w:rsidRPr="00E075CA">
        <w:rPr>
          <w:i/>
          <w:szCs w:val="24"/>
          <w:lang w:eastAsia="en-US"/>
        </w:rPr>
        <w:t>royalties</w:t>
      </w:r>
      <w:r w:rsidRPr="002A673F">
        <w:rPr>
          <w:szCs w:val="24"/>
          <w:lang w:eastAsia="en-US"/>
        </w:rPr>
        <w:t xml:space="preserve"> (</w:t>
      </w:r>
      <w:r w:rsidRPr="00E075CA">
        <w:rPr>
          <w:i/>
          <w:szCs w:val="24"/>
          <w:lang w:eastAsia="en-US"/>
        </w:rPr>
        <w:t>royalties</w:t>
      </w:r>
      <w:r w:rsidRPr="002A673F">
        <w:rPr>
          <w:szCs w:val="24"/>
          <w:lang w:eastAsia="en-US"/>
        </w:rPr>
        <w:t xml:space="preserve"> agregados) e sobre as condições FRAND normais de concessão de licenças.</w:t>
      </w:r>
      <w:r w:rsidRPr="002A673F">
        <w:rPr>
          <w:b/>
          <w:szCs w:val="24"/>
          <w:lang w:eastAsia="en-US"/>
        </w:rPr>
        <w:t xml:space="preserve"> [Alt. 19]</w:t>
      </w:r>
    </w:p>
    <w:p w14:paraId="19D2396F" w14:textId="77777777" w:rsidR="00345689" w:rsidRDefault="00345689">
      <w:pPr>
        <w:widowControl/>
        <w:rPr>
          <w:szCs w:val="24"/>
          <w:lang w:eastAsia="en-US"/>
        </w:rPr>
      </w:pPr>
      <w:r>
        <w:rPr>
          <w:szCs w:val="24"/>
          <w:lang w:eastAsia="en-US"/>
        </w:rPr>
        <w:br w:type="page"/>
      </w:r>
    </w:p>
    <w:p w14:paraId="0B1ECADA" w14:textId="0361F612"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(16)</w:t>
      </w:r>
      <w:r w:rsidRPr="002A673F">
        <w:rPr>
          <w:szCs w:val="24"/>
          <w:lang w:eastAsia="en-US"/>
        </w:rPr>
        <w:tab/>
        <w:t xml:space="preserve">Os titulares de PEN devem ter a oportunidade de informar previamente o centro de competências da publicação da norma </w:t>
      </w:r>
      <w:r w:rsidRPr="002A673F">
        <w:rPr>
          <w:b/>
          <w:i/>
          <w:szCs w:val="24"/>
          <w:lang w:eastAsia="en-US"/>
        </w:rPr>
        <w:t xml:space="preserve">cujo caráter essencial reivindicam </w:t>
      </w:r>
      <w:r w:rsidRPr="002A673F">
        <w:rPr>
          <w:szCs w:val="24"/>
          <w:lang w:eastAsia="en-US"/>
        </w:rPr>
        <w:t xml:space="preserve">ou dos </w:t>
      </w:r>
      <w:r w:rsidRPr="00E075CA">
        <w:rPr>
          <w:i/>
          <w:szCs w:val="24"/>
          <w:lang w:eastAsia="en-US"/>
        </w:rPr>
        <w:t>royalties</w:t>
      </w:r>
      <w:r w:rsidRPr="002A673F">
        <w:rPr>
          <w:szCs w:val="24"/>
          <w:lang w:eastAsia="en-US"/>
        </w:rPr>
        <w:t xml:space="preserve"> agregados que tenham acordado entre si. Com exceção </w:t>
      </w:r>
      <w:r w:rsidRPr="002A673F">
        <w:rPr>
          <w:strike/>
          <w:szCs w:val="24"/>
          <w:lang w:eastAsia="en-US"/>
        </w:rPr>
        <w:t xml:space="preserve">dos casos de </w:t>
      </w:r>
      <w:proofErr w:type="spellStart"/>
      <w:r w:rsidRPr="002A673F">
        <w:rPr>
          <w:strike/>
          <w:szCs w:val="24"/>
          <w:lang w:eastAsia="en-US"/>
        </w:rPr>
        <w:t>utilização</w:t>
      </w:r>
      <w:r w:rsidRPr="002A673F">
        <w:rPr>
          <w:b/>
          <w:i/>
          <w:szCs w:val="24"/>
          <w:lang w:eastAsia="en-US"/>
        </w:rPr>
        <w:t>das</w:t>
      </w:r>
      <w:proofErr w:type="spellEnd"/>
      <w:r w:rsidRPr="002A673F">
        <w:rPr>
          <w:b/>
          <w:i/>
          <w:szCs w:val="24"/>
          <w:lang w:eastAsia="en-US"/>
        </w:rPr>
        <w:t xml:space="preserve"> aplicações</w:t>
      </w:r>
      <w:r w:rsidRPr="002A673F">
        <w:rPr>
          <w:szCs w:val="24"/>
          <w:lang w:eastAsia="en-US"/>
        </w:rPr>
        <w:t xml:space="preserve"> de normas relativamente </w:t>
      </w:r>
      <w:proofErr w:type="spellStart"/>
      <w:r w:rsidRPr="002A673F">
        <w:rPr>
          <w:strike/>
          <w:szCs w:val="24"/>
          <w:lang w:eastAsia="en-US"/>
        </w:rPr>
        <w:t>aos</w:t>
      </w:r>
      <w:r w:rsidRPr="002A673F">
        <w:rPr>
          <w:b/>
          <w:i/>
          <w:szCs w:val="24"/>
          <w:lang w:eastAsia="en-US"/>
        </w:rPr>
        <w:t>às</w:t>
      </w:r>
      <w:proofErr w:type="spellEnd"/>
      <w:r w:rsidRPr="002A673F">
        <w:rPr>
          <w:szCs w:val="24"/>
          <w:lang w:eastAsia="en-US"/>
        </w:rPr>
        <w:t xml:space="preserve"> quais a Comissão estabelece que existem práticas de concessão de licenças de PEN bem estabelecidas e amplamente funcionais, o centro de competências pode ajudar as partes na determinação dos </w:t>
      </w:r>
      <w:r w:rsidRPr="00E075CA">
        <w:rPr>
          <w:i/>
          <w:szCs w:val="24"/>
          <w:lang w:eastAsia="en-US"/>
        </w:rPr>
        <w:t>royalties</w:t>
      </w:r>
      <w:r w:rsidRPr="002A673F">
        <w:rPr>
          <w:szCs w:val="24"/>
          <w:lang w:eastAsia="en-US"/>
        </w:rPr>
        <w:t xml:space="preserve"> agregados pertinentes. Neste contexto, se não houver acordo entre os titulares das PEN sobre os </w:t>
      </w:r>
      <w:r w:rsidRPr="00E075CA">
        <w:rPr>
          <w:i/>
          <w:szCs w:val="24"/>
          <w:lang w:eastAsia="en-US"/>
        </w:rPr>
        <w:t>royalties</w:t>
      </w:r>
      <w:r w:rsidRPr="002A673F">
        <w:rPr>
          <w:szCs w:val="24"/>
          <w:lang w:eastAsia="en-US"/>
        </w:rPr>
        <w:t xml:space="preserve"> agregados, determinados titulares podem solicitar ao centro de competências que nomeie um conciliador para ajudar os titulares que desejem participar no processo de determinação de </w:t>
      </w:r>
      <w:r w:rsidRPr="00E075CA">
        <w:rPr>
          <w:i/>
          <w:szCs w:val="24"/>
          <w:lang w:eastAsia="en-US"/>
        </w:rPr>
        <w:t>royalties</w:t>
      </w:r>
      <w:r w:rsidRPr="002A673F">
        <w:rPr>
          <w:szCs w:val="24"/>
          <w:lang w:eastAsia="en-US"/>
        </w:rPr>
        <w:t xml:space="preserve"> agregados para as PEN que abranjam a norma pertinente. Neste caso, o papel do conciliador consistirá em facilitar a tomada de decisões pelos titulares de PEN participantes sem formular qualquer recomendação em relação a </w:t>
      </w:r>
      <w:r w:rsidRPr="00E075CA">
        <w:rPr>
          <w:i/>
          <w:szCs w:val="24"/>
          <w:lang w:eastAsia="en-US"/>
        </w:rPr>
        <w:t>royalties</w:t>
      </w:r>
      <w:r w:rsidRPr="002A673F">
        <w:rPr>
          <w:szCs w:val="24"/>
          <w:lang w:eastAsia="en-US"/>
        </w:rPr>
        <w:t xml:space="preserve"> agregados.</w:t>
      </w:r>
      <w:r w:rsidRPr="002A673F">
        <w:rPr>
          <w:strike/>
          <w:szCs w:val="24"/>
          <w:lang w:eastAsia="en-US"/>
        </w:rPr>
        <w:t xml:space="preserve"> Por último, importa assegurar a existência de um terceiro independente, um perito, que possa recomendar royalties agregados. Por conseguinte, os titulares e/ou utilizadores de PEN devem poder solicitar ao centro de competências um parecer de peritos sobre royalties agregados. Se tal pedido for apresentado, o centro de competências deve nomear um painel de conciliadores e administrar um processo em que todas as partes interessadas sejam convidadas a participar. Depois de receber informações de todos os participantes, o painel deve apresentar um parecer de peritos não vinculativo sobre royalties agregados. O parecer de peritos sobre os royalties agregados deve incluir uma análise não confidencial do impacto esperado dos royalties agregados nos titulares de PEN e nas partes interessadas da cadeia de valor. Neste contexto, será importante ter em conta fatores como a eficiência da concessão de licenças de PEN, nomeadamente informações sobre eventuais regras ou práticas habituais de concessão de licenças de propriedade intelectual na cadeia de valor e de concessão de licenças cruzadas, bem como o impacto nos incentivos à inovação dos titulares de PEN e das diferentes partes interessadas na cadeia de valor.</w:t>
      </w:r>
      <w:r w:rsidRPr="002A673F">
        <w:rPr>
          <w:b/>
          <w:szCs w:val="24"/>
          <w:lang w:eastAsia="en-US"/>
        </w:rPr>
        <w:t xml:space="preserve"> [Alt. 20]</w:t>
      </w:r>
    </w:p>
    <w:p w14:paraId="525877D7" w14:textId="77777777" w:rsidR="00345689" w:rsidRDefault="00345689">
      <w:pPr>
        <w:widowControl/>
        <w:rPr>
          <w:b/>
          <w:i/>
          <w:szCs w:val="24"/>
          <w:lang w:eastAsia="en-US"/>
        </w:rPr>
      </w:pPr>
      <w:r>
        <w:rPr>
          <w:b/>
          <w:i/>
          <w:szCs w:val="24"/>
          <w:lang w:eastAsia="en-US"/>
        </w:rPr>
        <w:br w:type="page"/>
      </w:r>
    </w:p>
    <w:p w14:paraId="3758C9AA" w14:textId="6029D133" w:rsidR="002A673F" w:rsidRPr="00E075CA" w:rsidRDefault="002A673F" w:rsidP="002A673F">
      <w:pPr>
        <w:spacing w:before="120" w:after="120" w:line="360" w:lineRule="auto"/>
        <w:ind w:left="850" w:hanging="850"/>
        <w:rPr>
          <w:b/>
          <w:szCs w:val="24"/>
          <w:lang w:eastAsia="en-US"/>
        </w:rPr>
      </w:pPr>
      <w:r w:rsidRPr="002A673F">
        <w:rPr>
          <w:b/>
          <w:i/>
          <w:szCs w:val="24"/>
          <w:lang w:eastAsia="en-US"/>
        </w:rPr>
        <w:lastRenderedPageBreak/>
        <w:t>(16-A)</w:t>
      </w:r>
      <w:r w:rsidRPr="002A673F">
        <w:rPr>
          <w:szCs w:val="24"/>
          <w:lang w:eastAsia="en-US"/>
        </w:rPr>
        <w:tab/>
      </w:r>
      <w:r w:rsidRPr="002A673F">
        <w:rPr>
          <w:b/>
          <w:i/>
          <w:szCs w:val="24"/>
          <w:lang w:eastAsia="en-US"/>
        </w:rPr>
        <w:t xml:space="preserve">Os titulares de PEN e os utilizadores de PEN devem poder solicitar ao centro de competências um parecer de peritos não vinculativo sobre </w:t>
      </w:r>
      <w:r w:rsidRPr="00E075CA">
        <w:rPr>
          <w:b/>
          <w:szCs w:val="24"/>
          <w:lang w:eastAsia="en-US"/>
        </w:rPr>
        <w:t>royalties</w:t>
      </w:r>
      <w:r w:rsidRPr="002A673F">
        <w:rPr>
          <w:b/>
          <w:i/>
          <w:szCs w:val="24"/>
          <w:lang w:eastAsia="en-US"/>
        </w:rPr>
        <w:t xml:space="preserve"> agregados emitido por um terceiro independente. Se tal pedido for apresentado, o centro de competências deve nomear um painel de conciliadores e administrar um processo em que todas as partes interessadas sejam convidadas a participar. Depois de receber informações de todos os participantes, o painel deve apresentar um parecer de peritos sobre </w:t>
      </w:r>
      <w:r w:rsidRPr="00E075CA">
        <w:rPr>
          <w:b/>
          <w:szCs w:val="24"/>
          <w:lang w:eastAsia="en-US"/>
        </w:rPr>
        <w:t>royalties</w:t>
      </w:r>
      <w:r w:rsidRPr="002A673F">
        <w:rPr>
          <w:b/>
          <w:i/>
          <w:szCs w:val="24"/>
          <w:lang w:eastAsia="en-US"/>
        </w:rPr>
        <w:t xml:space="preserve"> agregados. O parecer de peritos sobre os </w:t>
      </w:r>
      <w:r w:rsidRPr="00E075CA">
        <w:rPr>
          <w:b/>
          <w:szCs w:val="24"/>
          <w:lang w:eastAsia="en-US"/>
        </w:rPr>
        <w:t>royalties</w:t>
      </w:r>
      <w:r w:rsidRPr="002A673F">
        <w:rPr>
          <w:b/>
          <w:i/>
          <w:szCs w:val="24"/>
          <w:lang w:eastAsia="en-US"/>
        </w:rPr>
        <w:t xml:space="preserve"> agregados deve incluir uma análise não confidencial do impacto esperado dos </w:t>
      </w:r>
      <w:r w:rsidRPr="00E075CA">
        <w:rPr>
          <w:b/>
          <w:szCs w:val="24"/>
          <w:lang w:eastAsia="en-US"/>
        </w:rPr>
        <w:t>royalties</w:t>
      </w:r>
      <w:r w:rsidRPr="002A673F">
        <w:rPr>
          <w:b/>
          <w:i/>
          <w:szCs w:val="24"/>
          <w:lang w:eastAsia="en-US"/>
        </w:rPr>
        <w:t xml:space="preserve"> agregados nos titulares de PEN e nas partes interessadas da cadeia de valor. Neste contexto, seria importante ter em conta fatores como a eficiência da concessão de licenças de PEN, nomeadamente informações sobre eventuais regras ou práticas habituais de concessão de licenças de propriedade intelectual na cadeia de valor e de concessão de licenças cruzadas, bem como o impacto nos incentivos à inovação dos titulares de PEN e das diferentes partes interessadas na cadeia de valor.</w:t>
      </w:r>
      <w:r w:rsidRPr="002A673F">
        <w:rPr>
          <w:b/>
          <w:szCs w:val="24"/>
          <w:lang w:eastAsia="en-US"/>
        </w:rPr>
        <w:t xml:space="preserve"> [Alt. 21]</w:t>
      </w:r>
    </w:p>
    <w:p w14:paraId="6C1BC970" w14:textId="77777777" w:rsidR="00345689" w:rsidRDefault="00345689">
      <w:pPr>
        <w:widowControl/>
        <w:rPr>
          <w:szCs w:val="24"/>
          <w:lang w:eastAsia="en-US"/>
        </w:rPr>
      </w:pPr>
      <w:r>
        <w:rPr>
          <w:szCs w:val="24"/>
          <w:lang w:eastAsia="en-US"/>
        </w:rPr>
        <w:br w:type="page"/>
      </w:r>
    </w:p>
    <w:p w14:paraId="643D48A3" w14:textId="26FA51AB"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(17)</w:t>
      </w:r>
      <w:r w:rsidRPr="002A673F">
        <w:rPr>
          <w:szCs w:val="24"/>
          <w:lang w:eastAsia="en-US"/>
        </w:rPr>
        <w:tab/>
        <w:t xml:space="preserve">Em consonância com os princípios e objetivos gerais de transparência, participação e acesso à normalização europeia, o registo </w:t>
      </w:r>
      <w:proofErr w:type="spellStart"/>
      <w:r w:rsidRPr="002A673F">
        <w:rPr>
          <w:strike/>
          <w:szCs w:val="24"/>
          <w:lang w:eastAsia="en-US"/>
        </w:rPr>
        <w:t>centralizado</w:t>
      </w:r>
      <w:r w:rsidRPr="002A673F">
        <w:rPr>
          <w:b/>
          <w:i/>
          <w:szCs w:val="24"/>
          <w:lang w:eastAsia="en-US"/>
        </w:rPr>
        <w:t>eletrónico</w:t>
      </w:r>
      <w:proofErr w:type="spellEnd"/>
      <w:r w:rsidRPr="002A673F">
        <w:rPr>
          <w:szCs w:val="24"/>
          <w:lang w:eastAsia="en-US"/>
        </w:rPr>
        <w:t xml:space="preserve"> deve disponibilizar ao público informações sobre o número de PEN aplicáveis a uma norma, a propriedade das PEN relevantes e as partes da norma abrangidas pelas PEN. O registo e a base de dados conterão informações sobre normas, produtos, processos, serviços e sistemas pertinentes que aplicam a norma, as PEN em vigor na UE, as condições FRAND normais de concessão de licenças de PEN ou quaisquer programas de concessão de licenças, os programas de concessão de licenças coletivas e o caráter essencial. Para os titulares de PEN, o registo criará transparência no que respeita às PEN relevantes, à sua quota-parte de todas as PEN declaradas para a norma em questão e às características da norma abrangidas pelas patentes. Os titulares de PEN estarão em melhores condições para compreender a relação entre as suas carteiras e as carteiras de outros titulares de PEN. Este aspeto é importante não só para as negociações com os utilizadores, mas também para efeitos de concessão de licenças cruzadas com outros titulares de PEN. Para os utilizadores, o registo constituirá uma fonte de informação fiável sobre as PEN, nomeadamente sobre os titulares de PEN junto dos quais o utilizador poderá necessitar de obter uma licença. A disponibilização dessas informações no registo contribuirá igualmente para reduzir a duração dos debates técnicos durante a primeira fase das negociações de concessão de licenças de PEN.</w:t>
      </w:r>
      <w:r w:rsidRPr="002A673F">
        <w:rPr>
          <w:b/>
          <w:szCs w:val="24"/>
          <w:lang w:eastAsia="en-US"/>
        </w:rPr>
        <w:t xml:space="preserve"> [Alt. 22]</w:t>
      </w:r>
    </w:p>
    <w:p w14:paraId="386B891A" w14:textId="77777777" w:rsidR="00345689" w:rsidRDefault="00345689">
      <w:pPr>
        <w:widowControl/>
        <w:rPr>
          <w:szCs w:val="24"/>
          <w:lang w:eastAsia="en-US"/>
        </w:rPr>
      </w:pPr>
      <w:r>
        <w:rPr>
          <w:szCs w:val="24"/>
          <w:lang w:eastAsia="en-US"/>
        </w:rPr>
        <w:br w:type="page"/>
      </w:r>
    </w:p>
    <w:p w14:paraId="1E1872CD" w14:textId="010BAFFF"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(18)</w:t>
      </w:r>
      <w:r w:rsidRPr="002A673F">
        <w:rPr>
          <w:szCs w:val="24"/>
          <w:lang w:eastAsia="en-US"/>
        </w:rPr>
        <w:tab/>
        <w:t xml:space="preserve">Após a notificação de uma norma ou a especificação de um montante de </w:t>
      </w:r>
      <w:r w:rsidRPr="00E075CA">
        <w:rPr>
          <w:i/>
          <w:szCs w:val="24"/>
          <w:lang w:eastAsia="en-US"/>
        </w:rPr>
        <w:t>royalties</w:t>
      </w:r>
      <w:r w:rsidRPr="002A673F">
        <w:rPr>
          <w:szCs w:val="24"/>
          <w:lang w:eastAsia="en-US"/>
        </w:rPr>
        <w:t xml:space="preserve"> agregados, consoante o que ocorrer primeiro, o centro de competências abrirá o registo de PEN para os titulares das PEN em vigor num ou mais Estados-Membros.</w:t>
      </w:r>
    </w:p>
    <w:p w14:paraId="2AF8F74B"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(19)</w:t>
      </w:r>
      <w:r w:rsidRPr="002A673F">
        <w:rPr>
          <w:szCs w:val="24"/>
          <w:lang w:eastAsia="en-US"/>
        </w:rPr>
        <w:tab/>
        <w:t xml:space="preserve">A fim de garantir a transparência das PEN, é adequado exigir aos titulares de PEN que registem as suas patentes essenciais à norma para a qual o registo foi aberto. Os titulares de PEN devem registar as suas PEN no prazo de seis meses a contar da abertura do registo pelo centro de competências ou da concessão das PEN relevantes, consoante o que ocorrer primeiro. </w:t>
      </w:r>
      <w:r w:rsidRPr="002A673F">
        <w:rPr>
          <w:strike/>
          <w:szCs w:val="24"/>
          <w:lang w:eastAsia="en-US"/>
        </w:rPr>
        <w:t xml:space="preserve">Em caso de registo atempado, </w:t>
      </w:r>
      <w:r w:rsidRPr="002A673F">
        <w:rPr>
          <w:szCs w:val="24"/>
          <w:lang w:eastAsia="en-US"/>
        </w:rPr>
        <w:t xml:space="preserve">Os titulares de PEN </w:t>
      </w:r>
      <w:r w:rsidRPr="002A673F">
        <w:rPr>
          <w:b/>
          <w:i/>
          <w:szCs w:val="24"/>
          <w:lang w:eastAsia="en-US"/>
        </w:rPr>
        <w:t xml:space="preserve">podem cobrar </w:t>
      </w:r>
      <w:r w:rsidRPr="00E075CA">
        <w:rPr>
          <w:b/>
          <w:szCs w:val="24"/>
          <w:lang w:eastAsia="en-US"/>
        </w:rPr>
        <w:t>royalties</w:t>
      </w:r>
      <w:r w:rsidRPr="002A673F">
        <w:rPr>
          <w:b/>
          <w:i/>
          <w:szCs w:val="24"/>
          <w:lang w:eastAsia="en-US"/>
        </w:rPr>
        <w:t xml:space="preserve"> mesmo se as PEN não estiverem registadas, mas não </w:t>
      </w:r>
      <w:r w:rsidRPr="002A673F">
        <w:rPr>
          <w:szCs w:val="24"/>
          <w:lang w:eastAsia="en-US"/>
        </w:rPr>
        <w:t>devem poder</w:t>
      </w:r>
      <w:r w:rsidRPr="002A673F">
        <w:rPr>
          <w:strike/>
          <w:szCs w:val="24"/>
          <w:lang w:eastAsia="en-US"/>
        </w:rPr>
        <w:t xml:space="preserve"> cobrar royalties e</w:t>
      </w:r>
      <w:r w:rsidRPr="002A673F">
        <w:rPr>
          <w:szCs w:val="24"/>
          <w:lang w:eastAsia="en-US"/>
        </w:rPr>
        <w:t xml:space="preserve"> reclamar indemnizações por utilizações e violações ocorridas antes do registo</w:t>
      </w:r>
      <w:r w:rsidRPr="002A673F">
        <w:rPr>
          <w:b/>
          <w:i/>
          <w:szCs w:val="24"/>
          <w:lang w:eastAsia="en-US"/>
        </w:rPr>
        <w:t>, em caso de registo atempado, desde que o respetivo montante seja fixado em conformidade com as regras de determinação FRAND previstas no presente regulamento</w:t>
      </w:r>
      <w:r w:rsidRPr="002A673F">
        <w:rPr>
          <w:szCs w:val="24"/>
          <w:lang w:eastAsia="en-US"/>
        </w:rPr>
        <w:t>.</w:t>
      </w:r>
      <w:r w:rsidRPr="002A673F">
        <w:rPr>
          <w:b/>
          <w:szCs w:val="24"/>
          <w:lang w:eastAsia="en-US"/>
        </w:rPr>
        <w:t xml:space="preserve"> [Alt. 23]</w:t>
      </w:r>
    </w:p>
    <w:p w14:paraId="533D6B9D" w14:textId="77777777" w:rsidR="00345689" w:rsidRDefault="00345689">
      <w:pPr>
        <w:widowControl/>
        <w:rPr>
          <w:szCs w:val="24"/>
          <w:lang w:eastAsia="en-US"/>
        </w:rPr>
      </w:pPr>
      <w:r>
        <w:rPr>
          <w:szCs w:val="24"/>
          <w:lang w:eastAsia="en-US"/>
        </w:rPr>
        <w:br w:type="page"/>
      </w:r>
    </w:p>
    <w:p w14:paraId="2C33C367" w14:textId="10777E85"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(20)</w:t>
      </w:r>
      <w:r w:rsidRPr="002A673F">
        <w:rPr>
          <w:szCs w:val="24"/>
          <w:lang w:eastAsia="en-US"/>
        </w:rPr>
        <w:tab/>
      </w:r>
      <w:r w:rsidRPr="002A673F">
        <w:rPr>
          <w:b/>
          <w:i/>
          <w:szCs w:val="24"/>
          <w:lang w:eastAsia="en-US"/>
        </w:rPr>
        <w:t xml:space="preserve">Na ausência de registo pelos titulares de PEN dentro do prazo indicado, o centro de competências deve notificar </w:t>
      </w:r>
      <w:r w:rsidRPr="002A673F">
        <w:rPr>
          <w:szCs w:val="24"/>
          <w:lang w:eastAsia="en-US"/>
        </w:rPr>
        <w:t xml:space="preserve">os titulares de PEN </w:t>
      </w:r>
      <w:r w:rsidRPr="002A673F">
        <w:rPr>
          <w:strike/>
          <w:szCs w:val="24"/>
          <w:lang w:eastAsia="en-US"/>
        </w:rPr>
        <w:t xml:space="preserve">podem registar </w:t>
      </w:r>
      <w:proofErr w:type="spellStart"/>
      <w:r w:rsidRPr="002A673F">
        <w:rPr>
          <w:strike/>
          <w:szCs w:val="24"/>
          <w:lang w:eastAsia="en-US"/>
        </w:rPr>
        <w:t>as</w:t>
      </w:r>
      <w:r w:rsidRPr="002A673F">
        <w:rPr>
          <w:b/>
          <w:i/>
          <w:szCs w:val="24"/>
          <w:lang w:eastAsia="en-US"/>
        </w:rPr>
        <w:t>de</w:t>
      </w:r>
      <w:proofErr w:type="spellEnd"/>
      <w:r w:rsidRPr="002A673F">
        <w:rPr>
          <w:b/>
          <w:i/>
          <w:szCs w:val="24"/>
          <w:lang w:eastAsia="en-US"/>
        </w:rPr>
        <w:t xml:space="preserve"> que, em caso de novos atrasos no registo das</w:t>
      </w:r>
      <w:r w:rsidRPr="002A673F">
        <w:rPr>
          <w:szCs w:val="24"/>
          <w:lang w:eastAsia="en-US"/>
        </w:rPr>
        <w:t xml:space="preserve"> suas patentes</w:t>
      </w:r>
      <w:r w:rsidRPr="002A673F">
        <w:rPr>
          <w:b/>
          <w:i/>
          <w:szCs w:val="24"/>
          <w:lang w:eastAsia="en-US"/>
        </w:rPr>
        <w:t>, após um período de carência de um mês</w:t>
      </w:r>
      <w:r w:rsidRPr="002A673F">
        <w:rPr>
          <w:strike/>
          <w:szCs w:val="24"/>
          <w:lang w:eastAsia="en-US"/>
        </w:rPr>
        <w:t xml:space="preserve"> após o prazo indicado. No entanto, nesse caso</w:t>
      </w:r>
      <w:r w:rsidRPr="002A673F">
        <w:rPr>
          <w:szCs w:val="24"/>
          <w:lang w:eastAsia="en-US"/>
        </w:rPr>
        <w:t xml:space="preserve">, os titulares de PEN não </w:t>
      </w:r>
      <w:r w:rsidRPr="002A673F">
        <w:rPr>
          <w:strike/>
          <w:szCs w:val="24"/>
          <w:lang w:eastAsia="en-US"/>
        </w:rPr>
        <w:t xml:space="preserve">devem poder cobrar royalties ou reclamar indemnizações pelo período de </w:t>
      </w:r>
      <w:proofErr w:type="spellStart"/>
      <w:r w:rsidRPr="002A673F">
        <w:rPr>
          <w:strike/>
          <w:szCs w:val="24"/>
          <w:lang w:eastAsia="en-US"/>
        </w:rPr>
        <w:t>atraso</w:t>
      </w:r>
      <w:r w:rsidRPr="002A673F">
        <w:rPr>
          <w:b/>
          <w:i/>
          <w:szCs w:val="24"/>
          <w:lang w:eastAsia="en-US"/>
        </w:rPr>
        <w:t>poderão</w:t>
      </w:r>
      <w:proofErr w:type="spellEnd"/>
      <w:r w:rsidRPr="002A673F">
        <w:rPr>
          <w:b/>
          <w:i/>
          <w:szCs w:val="24"/>
          <w:lang w:eastAsia="en-US"/>
        </w:rPr>
        <w:t xml:space="preserve"> apresentar uma reclamação relativamente às suas patentes, até o registo estar completo</w:t>
      </w:r>
      <w:r w:rsidRPr="002A673F">
        <w:rPr>
          <w:szCs w:val="24"/>
          <w:lang w:eastAsia="en-US"/>
        </w:rPr>
        <w:t>.</w:t>
      </w:r>
      <w:r w:rsidRPr="002A673F">
        <w:rPr>
          <w:b/>
          <w:szCs w:val="24"/>
          <w:lang w:eastAsia="en-US"/>
        </w:rPr>
        <w:t xml:space="preserve"> [Alt. 24]</w:t>
      </w:r>
    </w:p>
    <w:p w14:paraId="58DC0103" w14:textId="4FBB34C5" w:rsidR="002A673F" w:rsidRPr="002A673F" w:rsidRDefault="002A673F" w:rsidP="002A673F">
      <w:pPr>
        <w:spacing w:before="120" w:after="120" w:line="360" w:lineRule="auto"/>
        <w:ind w:left="850" w:hanging="850"/>
        <w:rPr>
          <w:szCs w:val="24"/>
          <w:lang w:eastAsia="en-US"/>
        </w:rPr>
      </w:pPr>
      <w:r w:rsidRPr="002A673F">
        <w:rPr>
          <w:szCs w:val="24"/>
          <w:lang w:eastAsia="en-US"/>
        </w:rPr>
        <w:t>(21)</w:t>
      </w:r>
      <w:r w:rsidRPr="002A673F">
        <w:rPr>
          <w:szCs w:val="24"/>
          <w:lang w:eastAsia="en-US"/>
        </w:rPr>
        <w:tab/>
        <w:t xml:space="preserve">As cláusulas do acordo de licença que estabelecem </w:t>
      </w:r>
      <w:r w:rsidRPr="00E075CA">
        <w:rPr>
          <w:i/>
          <w:szCs w:val="24"/>
          <w:lang w:eastAsia="en-US"/>
        </w:rPr>
        <w:t>royalties</w:t>
      </w:r>
      <w:r w:rsidRPr="002A673F">
        <w:rPr>
          <w:szCs w:val="24"/>
          <w:lang w:eastAsia="en-US"/>
        </w:rPr>
        <w:t xml:space="preserve"> para um grande número de patentes </w:t>
      </w:r>
      <w:r w:rsidR="00345689">
        <w:rPr>
          <w:szCs w:val="24"/>
          <w:lang w:eastAsia="en-US"/>
        </w:rPr>
        <w:t>–</w:t>
      </w:r>
      <w:r w:rsidR="00345689" w:rsidRPr="002A673F">
        <w:rPr>
          <w:szCs w:val="24"/>
          <w:lang w:eastAsia="en-US"/>
        </w:rPr>
        <w:t xml:space="preserve"> </w:t>
      </w:r>
      <w:r w:rsidRPr="002A673F">
        <w:rPr>
          <w:szCs w:val="24"/>
          <w:lang w:eastAsia="en-US"/>
        </w:rPr>
        <w:t xml:space="preserve">atuais ou futuras </w:t>
      </w:r>
      <w:r w:rsidR="00345689">
        <w:rPr>
          <w:szCs w:val="24"/>
          <w:lang w:eastAsia="en-US"/>
        </w:rPr>
        <w:t>–</w:t>
      </w:r>
      <w:r w:rsidR="00345689" w:rsidRPr="002A673F">
        <w:rPr>
          <w:szCs w:val="24"/>
          <w:lang w:eastAsia="en-US"/>
        </w:rPr>
        <w:t xml:space="preserve"> </w:t>
      </w:r>
      <w:r w:rsidRPr="002A673F">
        <w:rPr>
          <w:szCs w:val="24"/>
          <w:lang w:eastAsia="en-US"/>
        </w:rPr>
        <w:t xml:space="preserve">não devem ser afetadas pela anulação, o caráter não essencial ou a inexequibilidade de um pequeno número dessas patentes, quando estes não afetem o montante global e a exequibilidade dos </w:t>
      </w:r>
      <w:r w:rsidRPr="00E075CA">
        <w:rPr>
          <w:i/>
          <w:szCs w:val="24"/>
          <w:lang w:eastAsia="en-US"/>
        </w:rPr>
        <w:t>royalties</w:t>
      </w:r>
      <w:r w:rsidRPr="002A673F">
        <w:rPr>
          <w:szCs w:val="24"/>
          <w:lang w:eastAsia="en-US"/>
        </w:rPr>
        <w:t xml:space="preserve"> ou de outras cláusulas desses acordos.</w:t>
      </w:r>
    </w:p>
    <w:p w14:paraId="0B1FAB95"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(22)</w:t>
      </w:r>
      <w:r w:rsidRPr="002A673F">
        <w:rPr>
          <w:szCs w:val="24"/>
          <w:lang w:eastAsia="en-US"/>
        </w:rPr>
        <w:tab/>
        <w:t xml:space="preserve">Os titulares de PEN devem assegurar a atualização do(s) seu(s) registo(s) de PEN. As atualizações devem ser registadas no prazo de seis meses para as alterações de estatuto relevantes, incluindo a propriedade, conclusões sobre a validade ou outras alterações aplicáveis resultantes de compromissos contratuais ou de decisões das autoridades públicas. </w:t>
      </w:r>
      <w:proofErr w:type="spellStart"/>
      <w:r w:rsidRPr="002A673F">
        <w:rPr>
          <w:strike/>
          <w:szCs w:val="24"/>
          <w:lang w:eastAsia="en-US"/>
        </w:rPr>
        <w:t>A</w:t>
      </w:r>
      <w:r w:rsidRPr="002A673F">
        <w:rPr>
          <w:b/>
          <w:i/>
          <w:szCs w:val="24"/>
          <w:lang w:eastAsia="en-US"/>
        </w:rPr>
        <w:t>Em</w:t>
      </w:r>
      <w:proofErr w:type="spellEnd"/>
      <w:r w:rsidRPr="002A673F">
        <w:rPr>
          <w:b/>
          <w:i/>
          <w:szCs w:val="24"/>
          <w:lang w:eastAsia="en-US"/>
        </w:rPr>
        <w:t xml:space="preserve"> caso de</w:t>
      </w:r>
      <w:r w:rsidRPr="002A673F">
        <w:rPr>
          <w:szCs w:val="24"/>
          <w:lang w:eastAsia="en-US"/>
        </w:rPr>
        <w:t xml:space="preserve"> não atualização do registo</w:t>
      </w:r>
      <w:r w:rsidRPr="002A673F">
        <w:rPr>
          <w:strike/>
          <w:szCs w:val="24"/>
          <w:lang w:eastAsia="en-US"/>
        </w:rPr>
        <w:t xml:space="preserve"> pode conduzir à suspensão da PEN do</w:t>
      </w:r>
      <w:r w:rsidRPr="002A673F">
        <w:rPr>
          <w:b/>
          <w:i/>
          <w:szCs w:val="24"/>
          <w:lang w:eastAsia="en-US"/>
        </w:rPr>
        <w:t>, o centro de competências deve notificar o titular de PEN de que, em caso de novos atrasos na atualização do seu</w:t>
      </w:r>
      <w:r w:rsidRPr="002A673F">
        <w:rPr>
          <w:szCs w:val="24"/>
          <w:lang w:eastAsia="en-US"/>
        </w:rPr>
        <w:t xml:space="preserve"> registo</w:t>
      </w:r>
      <w:r w:rsidRPr="002A673F">
        <w:rPr>
          <w:b/>
          <w:i/>
          <w:szCs w:val="24"/>
          <w:lang w:eastAsia="en-US"/>
        </w:rPr>
        <w:t>, após um período de carência de um mês, a sua PEN poderá ser suspensa</w:t>
      </w:r>
      <w:r w:rsidRPr="002A673F">
        <w:rPr>
          <w:szCs w:val="24"/>
          <w:lang w:eastAsia="en-US"/>
        </w:rPr>
        <w:t>.</w:t>
      </w:r>
      <w:r w:rsidRPr="002A673F">
        <w:rPr>
          <w:b/>
          <w:szCs w:val="24"/>
          <w:lang w:eastAsia="en-US"/>
        </w:rPr>
        <w:t xml:space="preserve"> [Alt. 25]</w:t>
      </w:r>
    </w:p>
    <w:p w14:paraId="07DCF403" w14:textId="77777777" w:rsidR="00345689" w:rsidRDefault="00345689">
      <w:pPr>
        <w:widowControl/>
        <w:rPr>
          <w:szCs w:val="24"/>
          <w:lang w:eastAsia="en-US"/>
        </w:rPr>
      </w:pPr>
      <w:r>
        <w:rPr>
          <w:szCs w:val="24"/>
          <w:lang w:eastAsia="en-US"/>
        </w:rPr>
        <w:br w:type="page"/>
      </w:r>
    </w:p>
    <w:p w14:paraId="59061E49" w14:textId="65EE73CA"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(23)</w:t>
      </w:r>
      <w:r w:rsidRPr="002A673F">
        <w:rPr>
          <w:szCs w:val="24"/>
          <w:lang w:eastAsia="en-US"/>
        </w:rPr>
        <w:tab/>
        <w:t>O titular de uma PEN pode igualmente solicitar a alteração do registo da PEN. Uma parte interessada também pode solicitar a alteração do registo de uma PEN se puder demonstrar que o registo é incorreto com base numa decisão definitiva de uma autoridade pública. Uma PEN só pode ser eliminada do registo a pedido do titular da PEN se a patente tiver caducado, se tiver sido anulada ou considerada não essencial por decisão transitada em julgado ou decisão judicial de um tribunal competente de um Estado-Membro, ou se for considerada não essencial nos termos do presente regulamento.</w:t>
      </w:r>
      <w:r w:rsidRPr="002A673F">
        <w:rPr>
          <w:b/>
          <w:i/>
          <w:szCs w:val="24"/>
          <w:lang w:eastAsia="en-US"/>
        </w:rPr>
        <w:t xml:space="preserve"> A fim de garantir a transparência, deve ser disponibilizado ao público um registo de todas as alterações dos registos de PEN.</w:t>
      </w:r>
      <w:r w:rsidRPr="002A673F">
        <w:rPr>
          <w:b/>
          <w:szCs w:val="24"/>
          <w:lang w:eastAsia="en-US"/>
        </w:rPr>
        <w:t xml:space="preserve"> [Alt. 26]</w:t>
      </w:r>
    </w:p>
    <w:p w14:paraId="5AC4C856" w14:textId="5BE4535D" w:rsidR="002A673F" w:rsidRPr="00E075CA" w:rsidRDefault="002A673F" w:rsidP="002A673F">
      <w:pPr>
        <w:spacing w:before="120" w:after="120" w:line="360" w:lineRule="auto"/>
        <w:ind w:left="850" w:hanging="850"/>
        <w:rPr>
          <w:b/>
          <w:szCs w:val="24"/>
          <w:lang w:eastAsia="en-US"/>
        </w:rPr>
      </w:pPr>
      <w:r w:rsidRPr="002A673F">
        <w:rPr>
          <w:b/>
          <w:i/>
          <w:szCs w:val="24"/>
          <w:lang w:eastAsia="en-US"/>
        </w:rPr>
        <w:t>(23-A)</w:t>
      </w:r>
      <w:r w:rsidRPr="002A673F">
        <w:rPr>
          <w:szCs w:val="24"/>
          <w:lang w:eastAsia="en-US"/>
        </w:rPr>
        <w:tab/>
      </w:r>
      <w:r w:rsidRPr="002A673F">
        <w:rPr>
          <w:b/>
          <w:i/>
          <w:szCs w:val="24"/>
          <w:lang w:eastAsia="en-US"/>
        </w:rPr>
        <w:t>É necessário assegurar que o registo e as obrigações dele decorrentes previstas no presente regulamento não sejam contornados mediante a eliminação de uma PEN do registo. Se um avaliador considerar que uma PEN reivindicada não é essencial, apenas o titular da PEN pode solicitar a sua supressão do registo e unicamente após o processo de amostragem anual ter sido concluído e ter sido estabelecida e publicada a quota-parte de verdadeiras PEN da amostra.</w:t>
      </w:r>
      <w:r w:rsidRPr="002A673F">
        <w:rPr>
          <w:b/>
          <w:szCs w:val="24"/>
          <w:lang w:eastAsia="en-US"/>
        </w:rPr>
        <w:t xml:space="preserve"> [Alt. 27]</w:t>
      </w:r>
    </w:p>
    <w:p w14:paraId="3C608083" w14:textId="77777777" w:rsidR="00345689" w:rsidRDefault="00345689">
      <w:pPr>
        <w:widowControl/>
        <w:rPr>
          <w:szCs w:val="24"/>
          <w:lang w:eastAsia="en-US"/>
        </w:rPr>
      </w:pPr>
      <w:r>
        <w:rPr>
          <w:szCs w:val="24"/>
          <w:lang w:eastAsia="en-US"/>
        </w:rPr>
        <w:br w:type="page"/>
      </w:r>
    </w:p>
    <w:p w14:paraId="4A4661B6" w14:textId="4289D295"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(24)</w:t>
      </w:r>
      <w:r w:rsidRPr="002A673F">
        <w:rPr>
          <w:szCs w:val="24"/>
          <w:lang w:eastAsia="en-US"/>
        </w:rPr>
        <w:tab/>
        <w:t xml:space="preserve">A fim de assegurar a qualidade do registo e evitar um registo excessivo, as verificações do caráter essencial devem também ser realizadas aleatoriamente por avaliadores independentes </w:t>
      </w:r>
      <w:r w:rsidRPr="002A673F">
        <w:rPr>
          <w:b/>
          <w:i/>
          <w:szCs w:val="24"/>
          <w:lang w:eastAsia="en-US"/>
        </w:rPr>
        <w:t xml:space="preserve">e imparciais </w:t>
      </w:r>
      <w:r w:rsidRPr="002A673F">
        <w:rPr>
          <w:szCs w:val="24"/>
          <w:lang w:eastAsia="en-US"/>
        </w:rPr>
        <w:t>selecionados de acordo com critérios objetivos a determinar pela Comissão. Apenas uma PEN da mesma família de patentes deve ser verificada quanto ao caráter essencial.</w:t>
      </w:r>
      <w:r w:rsidRPr="002A673F">
        <w:rPr>
          <w:b/>
          <w:szCs w:val="24"/>
          <w:lang w:eastAsia="en-US"/>
        </w:rPr>
        <w:t xml:space="preserve"> [Alt. 28]</w:t>
      </w:r>
    </w:p>
    <w:p w14:paraId="091F4E20"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(25)</w:t>
      </w:r>
      <w:r w:rsidRPr="002A673F">
        <w:rPr>
          <w:szCs w:val="24"/>
          <w:lang w:eastAsia="en-US"/>
        </w:rPr>
        <w:tab/>
        <w:t>As verificações do caráter essencial devem ser efetuadas por amostragem de carteiras de PEN a fim de assegurar que a amostra é capaz de produzir resultados estatisticamente válidos. Os resultados das verificações do caráter essencial da amostra devem determinar o rácio de PEN verificadas positivamente em relação a todas as PEN registadas por cada titular de PEN. A quota-parte de caráter essencial deve ser atualizada anualmente.</w:t>
      </w:r>
    </w:p>
    <w:p w14:paraId="6B87FE20" w14:textId="77777777" w:rsidR="00345689" w:rsidRDefault="00345689">
      <w:pPr>
        <w:widowControl/>
        <w:rPr>
          <w:szCs w:val="24"/>
          <w:lang w:eastAsia="en-US"/>
        </w:rPr>
      </w:pPr>
      <w:r>
        <w:rPr>
          <w:szCs w:val="24"/>
          <w:lang w:eastAsia="en-US"/>
        </w:rPr>
        <w:br w:type="page"/>
      </w:r>
    </w:p>
    <w:p w14:paraId="1104CE49" w14:textId="5D2EE805"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(26)</w:t>
      </w:r>
      <w:r w:rsidRPr="002A673F">
        <w:rPr>
          <w:szCs w:val="24"/>
          <w:lang w:eastAsia="en-US"/>
        </w:rPr>
        <w:tab/>
      </w:r>
      <w:r w:rsidRPr="002A673F">
        <w:rPr>
          <w:b/>
          <w:i/>
          <w:szCs w:val="24"/>
          <w:lang w:eastAsia="en-US"/>
        </w:rPr>
        <w:t xml:space="preserve">Antes de registarem as suas patentes, os titulares de PEN podem apresentar voluntariamente as suas PEN, para verificação do seu caráter essencial, ao centro de competências. Após o registo, </w:t>
      </w:r>
      <w:r w:rsidRPr="002A673F">
        <w:rPr>
          <w:szCs w:val="24"/>
          <w:lang w:eastAsia="en-US"/>
        </w:rPr>
        <w:t>os titulares ou utilizadores de PEN podem também designar anualmente até 100 PEN registadas para efeitos de verificação do caráter essencial. Se se confirmar que as PEN pré-selecionadas são essenciais, os seus titulares podem utilizar estas informações nas negociações e como prova em tribunal, sem prejudicar o direito de um utilizador de contestar o caráter essencial de uma PEN registada em tribunal. As PEN selecionadas não terão qualquer influência no processo de amostragem, uma vez que a amostra deve ser selecionada de entre todas as PEN registadas por cada titular de PEN. Se uma PEN pré-selecionada e uma PEN selecionada para o conjunto de amostras forem as mesmas, só se deve efetuar uma verificação do caráter essencial. As verificações do caráter essencial não devem ser repetidas em PEN da mesma família de patentes.</w:t>
      </w:r>
      <w:r w:rsidRPr="002A673F">
        <w:rPr>
          <w:b/>
          <w:szCs w:val="24"/>
          <w:lang w:eastAsia="en-US"/>
        </w:rPr>
        <w:t xml:space="preserve"> [Alt. 29]</w:t>
      </w:r>
    </w:p>
    <w:p w14:paraId="69FAF061" w14:textId="77777777" w:rsidR="00345689" w:rsidRDefault="00345689">
      <w:pPr>
        <w:widowControl/>
        <w:rPr>
          <w:szCs w:val="24"/>
          <w:lang w:eastAsia="en-US"/>
        </w:rPr>
      </w:pPr>
      <w:r>
        <w:rPr>
          <w:szCs w:val="24"/>
          <w:lang w:eastAsia="en-US"/>
        </w:rPr>
        <w:br w:type="page"/>
      </w:r>
    </w:p>
    <w:p w14:paraId="006A83E4" w14:textId="5B2D0A8F"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(27)</w:t>
      </w:r>
      <w:r w:rsidRPr="002A673F">
        <w:rPr>
          <w:szCs w:val="24"/>
          <w:lang w:eastAsia="en-US"/>
        </w:rPr>
        <w:tab/>
      </w:r>
      <w:r w:rsidRPr="002A673F">
        <w:rPr>
          <w:strike/>
          <w:szCs w:val="24"/>
          <w:lang w:eastAsia="en-US"/>
        </w:rPr>
        <w:t xml:space="preserve">Qualquer </w:t>
      </w:r>
      <w:proofErr w:type="spellStart"/>
      <w:r w:rsidRPr="002A673F">
        <w:rPr>
          <w:strike/>
          <w:szCs w:val="24"/>
          <w:lang w:eastAsia="en-US"/>
        </w:rPr>
        <w:t>avaliação</w:t>
      </w:r>
      <w:r w:rsidRPr="002A673F">
        <w:rPr>
          <w:b/>
          <w:i/>
          <w:szCs w:val="24"/>
          <w:lang w:eastAsia="en-US"/>
        </w:rPr>
        <w:t>As</w:t>
      </w:r>
      <w:proofErr w:type="spellEnd"/>
      <w:r w:rsidRPr="002A673F">
        <w:rPr>
          <w:b/>
          <w:i/>
          <w:szCs w:val="24"/>
          <w:lang w:eastAsia="en-US"/>
        </w:rPr>
        <w:t xml:space="preserve"> avaliações</w:t>
      </w:r>
      <w:r w:rsidRPr="002A673F">
        <w:rPr>
          <w:szCs w:val="24"/>
          <w:lang w:eastAsia="en-US"/>
        </w:rPr>
        <w:t xml:space="preserve"> do caráter essencial das PEN </w:t>
      </w:r>
      <w:proofErr w:type="spellStart"/>
      <w:r w:rsidRPr="002A673F">
        <w:rPr>
          <w:strike/>
          <w:szCs w:val="24"/>
          <w:lang w:eastAsia="en-US"/>
        </w:rPr>
        <w:t>realizada</w:t>
      </w:r>
      <w:r w:rsidRPr="002A673F">
        <w:rPr>
          <w:b/>
          <w:i/>
          <w:szCs w:val="24"/>
          <w:lang w:eastAsia="en-US"/>
        </w:rPr>
        <w:t>realizadas</w:t>
      </w:r>
      <w:proofErr w:type="spellEnd"/>
      <w:r w:rsidRPr="002A673F">
        <w:rPr>
          <w:szCs w:val="24"/>
          <w:lang w:eastAsia="en-US"/>
        </w:rPr>
        <w:t xml:space="preserve"> por uma entidade independente antes da entrada em vigor do regulamento, por exemplo através de comunhões de patentes, bem como as determinações de caráter essencial realizadas por autoridades judiciais, devem ser indicadas no registo. Essas PEN não devem ser novamente verificadas quanto ao seu caráter essencial depois de terem sido fornecidos ao centro de competências os elementos de prova pertinentes que apoiam as informações constantes do registo</w:t>
      </w:r>
      <w:r w:rsidRPr="002A673F">
        <w:rPr>
          <w:b/>
          <w:i/>
          <w:szCs w:val="24"/>
          <w:lang w:eastAsia="en-US"/>
        </w:rPr>
        <w:t>, a menos que o avaliador tenha razões objetivas para considerar, com base em elementos de prova suficientes, que a anterior verificação do caráter essencial foi inexata</w:t>
      </w:r>
      <w:r w:rsidRPr="002A673F">
        <w:rPr>
          <w:szCs w:val="24"/>
          <w:lang w:eastAsia="en-US"/>
        </w:rPr>
        <w:t>.</w:t>
      </w:r>
      <w:r w:rsidRPr="002A673F">
        <w:rPr>
          <w:b/>
          <w:i/>
          <w:szCs w:val="24"/>
          <w:lang w:eastAsia="en-US"/>
        </w:rPr>
        <w:t xml:space="preserve"> Os titulares de PEN ou as comunhões de patentes devem também poder realizar a avaliação do caráter essencial das PEN após a entrada em vigor do presente regulamento.</w:t>
      </w:r>
      <w:r w:rsidRPr="002A673F">
        <w:rPr>
          <w:b/>
          <w:szCs w:val="24"/>
          <w:lang w:eastAsia="en-US"/>
        </w:rPr>
        <w:t xml:space="preserve"> [Alt. 30]</w:t>
      </w:r>
    </w:p>
    <w:p w14:paraId="11526C3E"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(28)</w:t>
      </w:r>
      <w:r w:rsidRPr="002A673F">
        <w:rPr>
          <w:szCs w:val="24"/>
          <w:lang w:eastAsia="en-US"/>
        </w:rPr>
        <w:tab/>
        <w:t>Os avaliadores devem trabalhar de forma independente, em conformidade com o regulamento interno e o código de conduta a determinar pela Comissão. O titular da PEN poderá solicitar uma avaliação pelos pares antes da emissão de um parecer fundamentado. A menos que uma PEN seja objeto de uma avaliação pelos pares, não haverá nova análise dos resultados da verificação do caráter essencial. Os resultados da avaliação pelos pares devem servir para melhorar o processo de verificação do caráter essencial, identificar e corrigir as deficiências e melhorar a coerência.</w:t>
      </w:r>
    </w:p>
    <w:p w14:paraId="125AA4DB" w14:textId="77777777" w:rsidR="00345689" w:rsidRDefault="00345689">
      <w:pPr>
        <w:widowControl/>
        <w:rPr>
          <w:szCs w:val="24"/>
          <w:lang w:eastAsia="en-US"/>
        </w:rPr>
      </w:pPr>
      <w:r>
        <w:rPr>
          <w:szCs w:val="24"/>
          <w:lang w:eastAsia="en-US"/>
        </w:rPr>
        <w:br w:type="page"/>
      </w:r>
    </w:p>
    <w:p w14:paraId="220F32A9" w14:textId="5AE4B0AC"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(29)</w:t>
      </w:r>
      <w:r w:rsidRPr="002A673F">
        <w:rPr>
          <w:szCs w:val="24"/>
          <w:lang w:eastAsia="en-US"/>
        </w:rPr>
        <w:tab/>
        <w:t xml:space="preserve">O centro de competências publicaria os resultados das verificações do caráter essencial, positivos ou negativos, no registo e na base de dados. Os resultados das verificações do caráter essencial não seriam juridicamente vinculativos. Assim, </w:t>
      </w:r>
      <w:r w:rsidRPr="002A673F">
        <w:rPr>
          <w:b/>
          <w:i/>
          <w:szCs w:val="24"/>
          <w:lang w:eastAsia="en-US"/>
        </w:rPr>
        <w:t xml:space="preserve">deve ser possível resolver </w:t>
      </w:r>
      <w:r w:rsidRPr="002A673F">
        <w:rPr>
          <w:szCs w:val="24"/>
          <w:lang w:eastAsia="en-US"/>
        </w:rPr>
        <w:t>eventuais litígios subsequentes relativos ao caráter essencial</w:t>
      </w:r>
      <w:r w:rsidRPr="002A673F">
        <w:rPr>
          <w:strike/>
          <w:szCs w:val="24"/>
          <w:lang w:eastAsia="en-US"/>
        </w:rPr>
        <w:t xml:space="preserve"> teriam de ser resolvidos</w:t>
      </w:r>
      <w:r w:rsidRPr="002A673F">
        <w:rPr>
          <w:szCs w:val="24"/>
          <w:lang w:eastAsia="en-US"/>
        </w:rPr>
        <w:t xml:space="preserve"> no tribunal competente. No entanto, os resultados das verificações do caráter essencial, quer solicitadas por um titular de PEN quer baseadas numa amostra, podem ser utilizados para demonstrar o caráter essencial dessas PEN </w:t>
      </w:r>
      <w:r w:rsidRPr="002A673F">
        <w:rPr>
          <w:b/>
          <w:i/>
          <w:szCs w:val="24"/>
          <w:lang w:eastAsia="en-US"/>
        </w:rPr>
        <w:t xml:space="preserve">ou outros critérios pertinentes </w:t>
      </w:r>
      <w:r w:rsidRPr="002A673F">
        <w:rPr>
          <w:szCs w:val="24"/>
          <w:lang w:eastAsia="en-US"/>
        </w:rPr>
        <w:t>em negociações, nas comunhões de patentes e nos tribunais.</w:t>
      </w:r>
      <w:r w:rsidRPr="002A673F">
        <w:rPr>
          <w:b/>
          <w:szCs w:val="24"/>
          <w:lang w:eastAsia="en-US"/>
        </w:rPr>
        <w:t xml:space="preserve"> [Alt. 31]</w:t>
      </w:r>
    </w:p>
    <w:p w14:paraId="3C173BD9" w14:textId="77777777" w:rsidR="002A673F" w:rsidRPr="00E075CA" w:rsidRDefault="002A673F" w:rsidP="002A673F">
      <w:pPr>
        <w:spacing w:before="120" w:after="120" w:line="360" w:lineRule="auto"/>
        <w:ind w:left="850" w:hanging="850"/>
        <w:rPr>
          <w:b/>
          <w:szCs w:val="24"/>
          <w:lang w:eastAsia="en-US"/>
        </w:rPr>
      </w:pPr>
      <w:r w:rsidRPr="002A673F">
        <w:rPr>
          <w:strike/>
          <w:szCs w:val="24"/>
          <w:lang w:eastAsia="en-US"/>
        </w:rPr>
        <w:t>(30)</w:t>
      </w:r>
      <w:r w:rsidRPr="00E075CA">
        <w:rPr>
          <w:strike/>
          <w:szCs w:val="24"/>
          <w:lang w:eastAsia="en-US"/>
        </w:rPr>
        <w:tab/>
      </w:r>
      <w:r w:rsidRPr="002A673F">
        <w:rPr>
          <w:strike/>
          <w:szCs w:val="24"/>
          <w:lang w:eastAsia="en-US"/>
        </w:rPr>
        <w:t>É necessário assegurar que o registo e as obrigações dele decorrentes previstas no presente regulamento não sejam contornados mediante a eliminação de uma PEN do registo. Se um avaliador considerar que uma PEN reivindicada não é essencial, apenas o titular da PEN pode solicitar a sua supressão do registo e unicamente após o processo de amostragem anual ter sido concluído e ter sido estabelecida e publicada a quota-parte de verdadeiras PEN da amostra.</w:t>
      </w:r>
      <w:r w:rsidRPr="002A673F">
        <w:rPr>
          <w:szCs w:val="24"/>
          <w:lang w:eastAsia="en-US"/>
        </w:rPr>
        <w:t xml:space="preserve"> </w:t>
      </w:r>
      <w:r w:rsidRPr="002A673F">
        <w:rPr>
          <w:b/>
          <w:szCs w:val="24"/>
          <w:lang w:eastAsia="en-US"/>
        </w:rPr>
        <w:t xml:space="preserve"> [</w:t>
      </w:r>
      <w:proofErr w:type="spellStart"/>
      <w:r w:rsidRPr="002A673F">
        <w:rPr>
          <w:b/>
          <w:szCs w:val="24"/>
          <w:lang w:eastAsia="en-US"/>
        </w:rPr>
        <w:t>Alts</w:t>
      </w:r>
      <w:proofErr w:type="spellEnd"/>
      <w:r w:rsidRPr="002A673F">
        <w:rPr>
          <w:b/>
          <w:szCs w:val="24"/>
          <w:lang w:eastAsia="en-US"/>
        </w:rPr>
        <w:t>. 32 e 289]</w:t>
      </w:r>
    </w:p>
    <w:p w14:paraId="6FC77B15" w14:textId="77777777" w:rsidR="00345689" w:rsidRDefault="00345689">
      <w:pPr>
        <w:widowControl/>
        <w:rPr>
          <w:szCs w:val="24"/>
          <w:lang w:eastAsia="en-US"/>
        </w:rPr>
      </w:pPr>
      <w:r>
        <w:rPr>
          <w:szCs w:val="24"/>
          <w:lang w:eastAsia="en-US"/>
        </w:rPr>
        <w:br w:type="page"/>
      </w:r>
    </w:p>
    <w:p w14:paraId="625FC9BC" w14:textId="3A732E64"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(31)</w:t>
      </w:r>
      <w:r w:rsidRPr="002A673F">
        <w:rPr>
          <w:szCs w:val="24"/>
          <w:lang w:eastAsia="en-US"/>
        </w:rPr>
        <w:tab/>
        <w:t>O objetivo do compromisso FRAND é facilitar a adoção e a utilização da norma, disponibilizando as PEN aos utilizadores em condições justas</w:t>
      </w:r>
      <w:r w:rsidRPr="002A673F">
        <w:rPr>
          <w:strike/>
          <w:szCs w:val="24"/>
          <w:lang w:eastAsia="en-US"/>
        </w:rPr>
        <w:t xml:space="preserve"> e</w:t>
      </w:r>
      <w:r w:rsidRPr="002A673F">
        <w:rPr>
          <w:b/>
          <w:i/>
          <w:szCs w:val="24"/>
          <w:lang w:eastAsia="en-US"/>
        </w:rPr>
        <w:t>,</w:t>
      </w:r>
      <w:r w:rsidRPr="002A673F">
        <w:rPr>
          <w:szCs w:val="24"/>
          <w:lang w:eastAsia="en-US"/>
        </w:rPr>
        <w:t xml:space="preserve"> razoáveis</w:t>
      </w:r>
      <w:r w:rsidRPr="002A673F">
        <w:rPr>
          <w:b/>
          <w:i/>
          <w:szCs w:val="24"/>
          <w:lang w:eastAsia="en-US"/>
        </w:rPr>
        <w:t xml:space="preserve"> e não discriminatórias</w:t>
      </w:r>
      <w:r w:rsidRPr="002A673F">
        <w:rPr>
          <w:szCs w:val="24"/>
          <w:lang w:eastAsia="en-US"/>
        </w:rPr>
        <w:t xml:space="preserve"> e proporcionando ao titular de PEN um retorno justo e razoável pela sua inovação. Assim, o objetivo final das ações de controlo do cumprimento por parte dos titulares de PEN, ou das ações intentadas pelos utilizadores com base na recusa de um titular de PEN em conceder uma licença, deve ser a celebração de um acordo de licença FRAND. O principal objetivo do regulamento neste aspeto é facilitar as negociações e a resolução extrajudicial de litígios que podem beneficiar ambas as partes. Garantir o acesso a formas rápidas, justas e eficazes em termos de custos de resolução de litígios em condições FRAND deve beneficiar tanto os titulares como os utilizadores de PEN. Como tal, um mecanismo de resolução extrajudicial de litígios para determinar as condições FRAND (determinação FRAND) que funcione corretamente pode proporcionar benefícios importantes a todas as partes. Uma parte pode solicitar uma determinação FRAND a fim de demonstrar que a sua oferta satisfaz as condições FRAND ou com vista a constituir uma garantia, quando intervém de boa-fé.</w:t>
      </w:r>
      <w:r w:rsidRPr="002A673F">
        <w:rPr>
          <w:b/>
          <w:szCs w:val="24"/>
          <w:lang w:eastAsia="en-US"/>
        </w:rPr>
        <w:t xml:space="preserve"> [Alt. 33]</w:t>
      </w:r>
    </w:p>
    <w:p w14:paraId="205C0AB7" w14:textId="77777777" w:rsidR="00345689" w:rsidRDefault="00345689">
      <w:pPr>
        <w:widowControl/>
        <w:rPr>
          <w:szCs w:val="24"/>
          <w:lang w:eastAsia="en-US"/>
        </w:rPr>
      </w:pPr>
      <w:r>
        <w:rPr>
          <w:szCs w:val="24"/>
          <w:lang w:eastAsia="en-US"/>
        </w:rPr>
        <w:br w:type="page"/>
      </w:r>
    </w:p>
    <w:p w14:paraId="0FCB27FD" w14:textId="52C9BCC7"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(32)</w:t>
      </w:r>
      <w:r w:rsidRPr="002A673F">
        <w:rPr>
          <w:szCs w:val="24"/>
          <w:lang w:eastAsia="en-US"/>
        </w:rPr>
        <w:tab/>
        <w:t>A determinação FRAND deve simplificar e acelerar as negociações relativas às condições FRAND e reduzir os custos</w:t>
      </w:r>
      <w:r w:rsidRPr="002A673F">
        <w:rPr>
          <w:b/>
          <w:i/>
          <w:szCs w:val="24"/>
          <w:lang w:eastAsia="en-US"/>
        </w:rPr>
        <w:t xml:space="preserve"> de transação para todas as partes interessadas</w:t>
      </w:r>
      <w:r w:rsidRPr="002A673F">
        <w:rPr>
          <w:szCs w:val="24"/>
          <w:lang w:eastAsia="en-US"/>
        </w:rPr>
        <w:t xml:space="preserve">. O EUIPO deve administrar o procedimento. O centro de competências deve criar uma lista de conciliadores que satisfaçam os critérios estabelecidos em matéria de competência e independência, bem como um repositório de relatórios não confidenciais (a versão confidencial dos relatórios só será acessível às partes e aos conciliadores). Os conciliadores devem ser pessoas neutras </w:t>
      </w:r>
      <w:r w:rsidRPr="002A673F">
        <w:rPr>
          <w:b/>
          <w:i/>
          <w:szCs w:val="24"/>
          <w:lang w:eastAsia="en-US"/>
        </w:rPr>
        <w:t xml:space="preserve">e imparciais </w:t>
      </w:r>
      <w:r w:rsidRPr="002A673F">
        <w:rPr>
          <w:szCs w:val="24"/>
          <w:lang w:eastAsia="en-US"/>
        </w:rPr>
        <w:t>com vasta experiência na resolução de litígios e uma compreensão substancial da economia da concessão de licenças em condições FRAND.</w:t>
      </w:r>
      <w:r w:rsidRPr="002A673F">
        <w:rPr>
          <w:b/>
          <w:i/>
          <w:szCs w:val="24"/>
          <w:lang w:eastAsia="en-US"/>
        </w:rPr>
        <w:t xml:space="preserve"> Devem existir regras e procedimentos para definir os conflitos de interesses, bem como mecanismos para resolver eventuais conflitos dessa natureza.</w:t>
      </w:r>
      <w:r w:rsidRPr="002A673F">
        <w:rPr>
          <w:b/>
          <w:szCs w:val="24"/>
          <w:lang w:eastAsia="en-US"/>
        </w:rPr>
        <w:t xml:space="preserve"> [Alt. 34]</w:t>
      </w:r>
    </w:p>
    <w:p w14:paraId="43D00E74" w14:textId="77777777" w:rsidR="00345689" w:rsidRDefault="00345689">
      <w:pPr>
        <w:widowControl/>
        <w:rPr>
          <w:szCs w:val="24"/>
          <w:lang w:eastAsia="en-US"/>
        </w:rPr>
      </w:pPr>
      <w:r>
        <w:rPr>
          <w:szCs w:val="24"/>
          <w:lang w:eastAsia="en-US"/>
        </w:rPr>
        <w:br w:type="page"/>
      </w:r>
    </w:p>
    <w:p w14:paraId="7FC9BD98" w14:textId="0613E1F4"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(33)</w:t>
      </w:r>
      <w:r w:rsidRPr="002A673F">
        <w:rPr>
          <w:szCs w:val="24"/>
          <w:lang w:eastAsia="en-US"/>
        </w:rPr>
        <w:tab/>
      </w:r>
      <w:r w:rsidRPr="002A673F">
        <w:rPr>
          <w:b/>
          <w:i/>
          <w:szCs w:val="24"/>
          <w:lang w:eastAsia="en-US"/>
        </w:rPr>
        <w:t xml:space="preserve">No caso de uma ou mais partes darem início a </w:t>
      </w:r>
      <w:proofErr w:type="spellStart"/>
      <w:r w:rsidRPr="002A673F">
        <w:rPr>
          <w:b/>
          <w:i/>
          <w:szCs w:val="24"/>
          <w:lang w:eastAsia="en-US"/>
        </w:rPr>
        <w:t>uma</w:t>
      </w:r>
      <w:r w:rsidRPr="002A673F">
        <w:rPr>
          <w:strike/>
          <w:szCs w:val="24"/>
          <w:lang w:eastAsia="en-US"/>
        </w:rPr>
        <w:t>A</w:t>
      </w:r>
      <w:proofErr w:type="spellEnd"/>
      <w:r w:rsidRPr="002A673F">
        <w:rPr>
          <w:szCs w:val="24"/>
          <w:lang w:eastAsia="en-US"/>
        </w:rPr>
        <w:t xml:space="preserve"> determinação FRAND</w:t>
      </w:r>
      <w:r w:rsidRPr="002A673F">
        <w:rPr>
          <w:b/>
          <w:i/>
          <w:szCs w:val="24"/>
          <w:lang w:eastAsia="en-US"/>
        </w:rPr>
        <w:t>, tal deve ser</w:t>
      </w:r>
      <w:r w:rsidRPr="002A673F">
        <w:rPr>
          <w:strike/>
          <w:szCs w:val="24"/>
          <w:lang w:eastAsia="en-US"/>
        </w:rPr>
        <w:t xml:space="preserve"> seria</w:t>
      </w:r>
      <w:r w:rsidRPr="002A673F">
        <w:rPr>
          <w:szCs w:val="24"/>
          <w:lang w:eastAsia="en-US"/>
        </w:rPr>
        <w:t xml:space="preserve"> uma etapa obrigatória antes de o titular de uma PEN poder intentar um processo por violação de patente ou de um utilizador poder solicitar uma determinação ou avaliação das condições FRAND relativas a uma PEN perante um tribunal competente de um Estado-Membro. No entanto, a obrigação de dar início à determinação FRAND antes dos processos judiciais pertinentes não deve ser exigida para as PEN que abranjam </w:t>
      </w:r>
      <w:r w:rsidRPr="002A673F">
        <w:rPr>
          <w:strike/>
          <w:szCs w:val="24"/>
          <w:lang w:eastAsia="en-US"/>
        </w:rPr>
        <w:t xml:space="preserve">os casos de </w:t>
      </w:r>
      <w:proofErr w:type="spellStart"/>
      <w:r w:rsidRPr="002A673F">
        <w:rPr>
          <w:strike/>
          <w:szCs w:val="24"/>
          <w:lang w:eastAsia="en-US"/>
        </w:rPr>
        <w:t>utilização</w:t>
      </w:r>
      <w:r w:rsidRPr="002A673F">
        <w:rPr>
          <w:b/>
          <w:i/>
          <w:szCs w:val="24"/>
          <w:lang w:eastAsia="en-US"/>
        </w:rPr>
        <w:t>as</w:t>
      </w:r>
      <w:proofErr w:type="spellEnd"/>
      <w:r w:rsidRPr="002A673F">
        <w:rPr>
          <w:b/>
          <w:i/>
          <w:szCs w:val="24"/>
          <w:lang w:eastAsia="en-US"/>
        </w:rPr>
        <w:t xml:space="preserve"> aplicações</w:t>
      </w:r>
      <w:r w:rsidRPr="002A673F">
        <w:rPr>
          <w:szCs w:val="24"/>
          <w:lang w:eastAsia="en-US"/>
        </w:rPr>
        <w:t xml:space="preserve"> de normas relativamente aos quais a Comissão determine que não existem dificuldades ou ineficiências significativas na concessão de licenças em condições FRAND.</w:t>
      </w:r>
      <w:r w:rsidRPr="002A673F">
        <w:rPr>
          <w:b/>
          <w:szCs w:val="24"/>
          <w:lang w:eastAsia="en-US"/>
        </w:rPr>
        <w:t xml:space="preserve"> [Alt. 35]</w:t>
      </w:r>
    </w:p>
    <w:p w14:paraId="3D5033F8" w14:textId="77777777" w:rsidR="00345689" w:rsidRDefault="00345689">
      <w:pPr>
        <w:widowControl/>
        <w:rPr>
          <w:szCs w:val="24"/>
          <w:lang w:eastAsia="en-US"/>
        </w:rPr>
      </w:pPr>
      <w:r>
        <w:rPr>
          <w:szCs w:val="24"/>
          <w:lang w:eastAsia="en-US"/>
        </w:rPr>
        <w:br w:type="page"/>
      </w:r>
    </w:p>
    <w:p w14:paraId="797B6242" w14:textId="1FC7568D"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(34)</w:t>
      </w:r>
      <w:r w:rsidRPr="002A673F">
        <w:rPr>
          <w:szCs w:val="24"/>
          <w:lang w:eastAsia="en-US"/>
        </w:rPr>
        <w:tab/>
      </w:r>
      <w:r w:rsidRPr="002A673F">
        <w:rPr>
          <w:strike/>
          <w:szCs w:val="24"/>
          <w:lang w:eastAsia="en-US"/>
        </w:rPr>
        <w:t xml:space="preserve">Cada parte pode decidir se deseja participar no procedimento e comprometer-se a cumprir o seu resultado. </w:t>
      </w:r>
      <w:r w:rsidRPr="002A673F">
        <w:rPr>
          <w:szCs w:val="24"/>
          <w:lang w:eastAsia="en-US"/>
        </w:rPr>
        <w:t>Se uma parte não responder ao pedido de</w:t>
      </w:r>
      <w:r w:rsidRPr="002A673F">
        <w:rPr>
          <w:strike/>
          <w:szCs w:val="24"/>
          <w:lang w:eastAsia="en-US"/>
        </w:rPr>
        <w:t xml:space="preserve"> determinação FRAND ou não se comprometer a cumprir o resultado da</w:t>
      </w:r>
      <w:r w:rsidRPr="002A673F">
        <w:rPr>
          <w:szCs w:val="24"/>
          <w:lang w:eastAsia="en-US"/>
        </w:rPr>
        <w:t xml:space="preserve"> determinação FRAND, a outra parte deve poder solicitar a cessação ou a continuação unilateral da determinação FRAND. Essa parte não deve ser exposta a litígios durante a determinação FRAND. Ao mesmo tempo, a determinação FRAND deve ser um procedimento eficaz para que as partes </w:t>
      </w:r>
      <w:r w:rsidRPr="002A673F">
        <w:rPr>
          <w:b/>
          <w:i/>
          <w:szCs w:val="24"/>
          <w:lang w:eastAsia="en-US"/>
        </w:rPr>
        <w:t xml:space="preserve">se reúnam em terreno neutro, nomeadamente perante um painel de conciliadores, </w:t>
      </w:r>
      <w:r w:rsidRPr="002A673F">
        <w:rPr>
          <w:szCs w:val="24"/>
          <w:lang w:eastAsia="en-US"/>
        </w:rPr>
        <w:t xml:space="preserve">cheguem a acordo antes do litígio ou obtenham uma determinação a utilizar em novos processos. Por conseguinte, a parte ou partes que </w:t>
      </w:r>
      <w:r w:rsidRPr="002A673F">
        <w:rPr>
          <w:strike/>
          <w:szCs w:val="24"/>
          <w:lang w:eastAsia="en-US"/>
        </w:rPr>
        <w:t xml:space="preserve">se comprometem a cumprir o resultado da determinação FRAND e a </w:t>
      </w:r>
      <w:proofErr w:type="spellStart"/>
      <w:r w:rsidRPr="002A673F">
        <w:rPr>
          <w:strike/>
          <w:szCs w:val="24"/>
          <w:lang w:eastAsia="en-US"/>
        </w:rPr>
        <w:t>participar</w:t>
      </w:r>
      <w:r w:rsidRPr="002A673F">
        <w:rPr>
          <w:b/>
          <w:i/>
          <w:szCs w:val="24"/>
          <w:lang w:eastAsia="en-US"/>
        </w:rPr>
        <w:t>participem</w:t>
      </w:r>
      <w:proofErr w:type="spellEnd"/>
      <w:r w:rsidRPr="002A673F">
        <w:rPr>
          <w:szCs w:val="24"/>
          <w:lang w:eastAsia="en-US"/>
        </w:rPr>
        <w:t xml:space="preserve"> devidamente no procedimento devem poder beneficiar da sua conclusão.</w:t>
      </w:r>
      <w:r w:rsidRPr="002A673F">
        <w:rPr>
          <w:b/>
          <w:szCs w:val="24"/>
          <w:lang w:eastAsia="en-US"/>
        </w:rPr>
        <w:t xml:space="preserve"> [Alt. 36]</w:t>
      </w:r>
    </w:p>
    <w:p w14:paraId="4C2E09DF" w14:textId="77777777" w:rsidR="00345689" w:rsidRDefault="00345689">
      <w:pPr>
        <w:widowControl/>
        <w:rPr>
          <w:szCs w:val="24"/>
          <w:lang w:eastAsia="en-US"/>
        </w:rPr>
      </w:pPr>
      <w:r>
        <w:rPr>
          <w:szCs w:val="24"/>
          <w:lang w:eastAsia="en-US"/>
        </w:rPr>
        <w:br w:type="page"/>
      </w:r>
    </w:p>
    <w:p w14:paraId="0D756981" w14:textId="48E67547"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(35)</w:t>
      </w:r>
      <w:r w:rsidRPr="002A673F">
        <w:rPr>
          <w:szCs w:val="24"/>
          <w:lang w:eastAsia="en-US"/>
        </w:rPr>
        <w:tab/>
        <w:t xml:space="preserve">A obrigação de iniciar a determinação FRAND não deve prejudicar a proteção efetiva dos direitos das partes. </w:t>
      </w:r>
      <w:r w:rsidRPr="002A673F">
        <w:rPr>
          <w:strike/>
          <w:szCs w:val="24"/>
          <w:lang w:eastAsia="en-US"/>
        </w:rPr>
        <w:t xml:space="preserve">A este respeito, a parte que se compromete a cumprir o resultado da determinação FRAND, enquanto a outra parte não o faz, deve ter o direito de intentar uma ação no tribunal nacional competente enquanto se aguarda a determinação FRAND. Além disso, qualquer uma </w:t>
      </w:r>
      <w:proofErr w:type="spellStart"/>
      <w:r w:rsidRPr="002A673F">
        <w:rPr>
          <w:strike/>
          <w:szCs w:val="24"/>
          <w:lang w:eastAsia="en-US"/>
        </w:rPr>
        <w:t>das</w:t>
      </w:r>
      <w:r w:rsidRPr="002A673F">
        <w:rPr>
          <w:b/>
          <w:i/>
          <w:szCs w:val="24"/>
          <w:lang w:eastAsia="en-US"/>
        </w:rPr>
        <w:t>As</w:t>
      </w:r>
      <w:proofErr w:type="spellEnd"/>
      <w:r w:rsidRPr="002A673F">
        <w:rPr>
          <w:szCs w:val="24"/>
          <w:lang w:eastAsia="en-US"/>
        </w:rPr>
        <w:t xml:space="preserve"> partes </w:t>
      </w:r>
      <w:proofErr w:type="spellStart"/>
      <w:r w:rsidRPr="002A673F">
        <w:rPr>
          <w:strike/>
          <w:szCs w:val="24"/>
          <w:lang w:eastAsia="en-US"/>
        </w:rPr>
        <w:t>deverá</w:t>
      </w:r>
      <w:r w:rsidRPr="002A673F">
        <w:rPr>
          <w:b/>
          <w:i/>
          <w:szCs w:val="24"/>
          <w:lang w:eastAsia="en-US"/>
        </w:rPr>
        <w:t>devem</w:t>
      </w:r>
      <w:proofErr w:type="spellEnd"/>
      <w:r w:rsidRPr="002A673F">
        <w:rPr>
          <w:szCs w:val="24"/>
          <w:lang w:eastAsia="en-US"/>
        </w:rPr>
        <w:t xml:space="preserve"> poder requerer uma injunção pecuniária provisória junto do tribunal competente. Numa situação em que o titular da PEN em causa tenha assumido um compromisso FRAND, a adoção de injunções pecuniárias provisórias adequadas e proporcionadas deve garantir a proteção judicial necessária ao titular da PEN que tenha acordado em conceder uma licença da sua PEN em condições FRAND, ao passo que o utilizador deve poder contestar o nível dos </w:t>
      </w:r>
      <w:r w:rsidRPr="00E075CA">
        <w:rPr>
          <w:i/>
          <w:szCs w:val="24"/>
          <w:lang w:eastAsia="en-US"/>
        </w:rPr>
        <w:t>royalties</w:t>
      </w:r>
      <w:r w:rsidRPr="002A673F">
        <w:rPr>
          <w:szCs w:val="24"/>
          <w:lang w:eastAsia="en-US"/>
        </w:rPr>
        <w:t xml:space="preserve"> FRAND ou invocar a falta de caráter essencial ou a invalidade da PEN. Nos sistemas nacionais que exigem o início de uma ação relativa ao mérito da causa como condição para solicitar as medidas pecuniárias provisórias, deve ser possível intentar essa ação, mas as partes devem solicitar a suspensão do processo durante a determinação FRAND. Ao determinar o nível da injunção pecuniária provisória que deve ser considerado adequado num determinado caso, há que ter em conta, nomeadamente, a capacidade económica do requerente e os potenciais efeitos na eficácia das medidas solicitadas, em especial para as PME, para evitar a utilização abusiva de tais medidas. Deve igualmente clarificar-se que, uma vez concluída a determinação FRAND, as partes devem ter à sua disposição todo o conjunto de medidas, incluindo medidas provisórias, cautelares e corretivas.</w:t>
      </w:r>
      <w:r w:rsidRPr="002A673F">
        <w:rPr>
          <w:b/>
          <w:szCs w:val="24"/>
          <w:lang w:eastAsia="en-US"/>
        </w:rPr>
        <w:t xml:space="preserve"> [Alt. 37]</w:t>
      </w:r>
    </w:p>
    <w:p w14:paraId="5D0F1FAB" w14:textId="77777777" w:rsidR="00345689" w:rsidRDefault="00345689">
      <w:pPr>
        <w:widowControl/>
        <w:rPr>
          <w:szCs w:val="24"/>
          <w:lang w:eastAsia="en-US"/>
        </w:rPr>
      </w:pPr>
      <w:r>
        <w:rPr>
          <w:szCs w:val="24"/>
          <w:lang w:eastAsia="en-US"/>
        </w:rPr>
        <w:br w:type="page"/>
      </w:r>
    </w:p>
    <w:p w14:paraId="6C5D2026" w14:textId="1D3D8B21"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(36)</w:t>
      </w:r>
      <w:r w:rsidRPr="002A673F">
        <w:rPr>
          <w:szCs w:val="24"/>
          <w:lang w:eastAsia="en-US"/>
        </w:rPr>
        <w:tab/>
        <w:t xml:space="preserve">Quando as partes procedem à determinação FRAND, devem selecionar da lista de candidatos um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para a determinação FRAND. Em caso de desacordo, o centro de competências selecionaria </w:t>
      </w:r>
      <w:r w:rsidRPr="002A673F">
        <w:rPr>
          <w:strike/>
          <w:szCs w:val="24"/>
          <w:lang w:eastAsia="en-US"/>
        </w:rPr>
        <w:t xml:space="preserve">o </w:t>
      </w:r>
      <w:proofErr w:type="spellStart"/>
      <w:r w:rsidRPr="002A673F">
        <w:rPr>
          <w:strike/>
          <w:szCs w:val="24"/>
          <w:lang w:eastAsia="en-US"/>
        </w:rPr>
        <w:t>conciliador</w:t>
      </w:r>
      <w:r w:rsidRPr="002A673F">
        <w:rPr>
          <w:b/>
          <w:i/>
          <w:szCs w:val="24"/>
          <w:lang w:eastAsia="en-US"/>
        </w:rPr>
        <w:t>os</w:t>
      </w:r>
      <w:proofErr w:type="spellEnd"/>
      <w:r w:rsidRPr="002A673F">
        <w:rPr>
          <w:b/>
          <w:i/>
          <w:szCs w:val="24"/>
          <w:lang w:eastAsia="en-US"/>
        </w:rPr>
        <w:t xml:space="preserve"> membros do painel de conciliadores</w:t>
      </w:r>
      <w:r w:rsidRPr="002A673F">
        <w:rPr>
          <w:szCs w:val="24"/>
          <w:lang w:eastAsia="en-US"/>
        </w:rPr>
        <w:t>. A determinação FRAND deve ser concluída no prazo de nove meses. Este prazo afigura-se necessário para um procedimento que garanta o respeito dos direitos das partes e, ao mesmo tempo, seja suficientemente rápido para evitar atrasos na concessão das licenças. As partes podem chegar a acordo em qualquer momento durante o processo, o que resultará na cessação da determinação FRAND.</w:t>
      </w:r>
      <w:r w:rsidRPr="002A673F">
        <w:rPr>
          <w:b/>
          <w:szCs w:val="24"/>
          <w:lang w:eastAsia="en-US"/>
        </w:rPr>
        <w:t xml:space="preserve"> [Alt. 38]</w:t>
      </w:r>
    </w:p>
    <w:p w14:paraId="4BA74B0A"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(37)</w:t>
      </w:r>
      <w:r w:rsidRPr="002A673F">
        <w:rPr>
          <w:szCs w:val="24"/>
          <w:lang w:eastAsia="en-US"/>
        </w:rPr>
        <w:tab/>
        <w:t xml:space="preserve">Aquando da nomeação, o centro de conciliação deve remeter a determinação FRAND para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que deve examinar se o pedido contém as informações necessárias e comunicar o calendário do procedimento às partes ou à parte que solicita a continuação da determinação FRAND.</w:t>
      </w:r>
      <w:r w:rsidRPr="002A673F">
        <w:rPr>
          <w:b/>
          <w:szCs w:val="24"/>
          <w:lang w:eastAsia="en-US"/>
        </w:rPr>
        <w:t xml:space="preserve"> [Alt. 39]</w:t>
      </w:r>
    </w:p>
    <w:p w14:paraId="0AD2904F" w14:textId="77777777" w:rsidR="00345689" w:rsidRDefault="00345689">
      <w:pPr>
        <w:widowControl/>
        <w:rPr>
          <w:szCs w:val="24"/>
          <w:lang w:eastAsia="en-US"/>
        </w:rPr>
      </w:pPr>
      <w:r>
        <w:rPr>
          <w:szCs w:val="24"/>
          <w:lang w:eastAsia="en-US"/>
        </w:rPr>
        <w:br w:type="page"/>
      </w:r>
    </w:p>
    <w:p w14:paraId="6BF69493" w14:textId="283EC32E"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(38)</w:t>
      </w:r>
      <w:r w:rsidRPr="002A673F">
        <w:rPr>
          <w:szCs w:val="24"/>
          <w:lang w:eastAsia="en-US"/>
        </w:rPr>
        <w:tab/>
        <w:t xml:space="preserve">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examinar as observações apresentadas e as sugestões das partes para a determinação das condições FRAND e considerar as etapas de negociação pertinentes, entre outras circunstâncias relevantes.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por sua própria iniciativa ou a pedido de uma das partes, deve poder exigir que as partes apresentem os elementos de prova que considere necessários para o cumprimento da sua tarefa. Deverá também poder examinar as informações publicamente disponíveis, o registo do centro de competências e relatórios de outras determinações FRAND, bem como os documentos e informações não confidenciais produzidos pelo centro de competências ou a este apresentados.</w:t>
      </w:r>
      <w:r w:rsidRPr="002A673F">
        <w:rPr>
          <w:b/>
          <w:szCs w:val="24"/>
          <w:lang w:eastAsia="en-US"/>
        </w:rPr>
        <w:t xml:space="preserve"> [Alt. 40]</w:t>
      </w:r>
    </w:p>
    <w:p w14:paraId="6DAEB25A"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(39)</w:t>
      </w:r>
      <w:r w:rsidRPr="002A673F">
        <w:rPr>
          <w:szCs w:val="24"/>
          <w:lang w:eastAsia="en-US"/>
        </w:rPr>
        <w:tab/>
        <w:t xml:space="preserve">Se uma das partes não participar na determinação FRAND após a nomeação do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a outra parte pode solicitar a cessação ou pedir que o </w:t>
      </w:r>
      <w:proofErr w:type="spellStart"/>
      <w:r w:rsidRPr="002A673F">
        <w:rPr>
          <w:strike/>
          <w:szCs w:val="24"/>
          <w:lang w:eastAsia="en-US"/>
        </w:rPr>
        <w:t>conciliador</w:t>
      </w:r>
      <w:r w:rsidRPr="002A673F">
        <w:rPr>
          <w:b/>
          <w:i/>
          <w:szCs w:val="24"/>
          <w:lang w:eastAsia="en-US"/>
        </w:rPr>
        <w:t>painel</w:t>
      </w:r>
      <w:proofErr w:type="spellEnd"/>
      <w:r w:rsidRPr="002A673F">
        <w:rPr>
          <w:szCs w:val="24"/>
          <w:lang w:eastAsia="en-US"/>
        </w:rPr>
        <w:t xml:space="preserve"> emita uma recomendação para uma determinação FRAND com base nas informações que conseguiu avaliar.</w:t>
      </w:r>
      <w:r w:rsidRPr="002A673F">
        <w:rPr>
          <w:b/>
          <w:szCs w:val="24"/>
          <w:lang w:eastAsia="en-US"/>
        </w:rPr>
        <w:t xml:space="preserve"> [Alt. 41]</w:t>
      </w:r>
    </w:p>
    <w:p w14:paraId="10913E22" w14:textId="77777777" w:rsidR="00F67B86" w:rsidRDefault="00F67B86">
      <w:pPr>
        <w:widowControl/>
        <w:rPr>
          <w:szCs w:val="24"/>
          <w:lang w:eastAsia="en-US"/>
        </w:rPr>
      </w:pPr>
      <w:r>
        <w:rPr>
          <w:szCs w:val="24"/>
          <w:lang w:eastAsia="en-US"/>
        </w:rPr>
        <w:br w:type="page"/>
      </w:r>
    </w:p>
    <w:p w14:paraId="61FD16B6" w14:textId="0979612A"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(40)</w:t>
      </w:r>
      <w:r w:rsidRPr="002A673F">
        <w:rPr>
          <w:szCs w:val="24"/>
          <w:lang w:eastAsia="en-US"/>
        </w:rPr>
        <w:tab/>
        <w:t xml:space="preserve">Se uma parte iniciar um procedimento numa jurisdição fora da União que resulte em decisões juridicamente vinculativas e executórias relativamente à mesma norma que é objeto de determinação FRAND e à respetiva aplicação, ou que inclua PEN da mesma família de patentes que as PEN sujeitas a determinação FRAND, e que envolva uma ou mais partes na determinação FRAND como uma parte, antes ou durante a determinação FRAND,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 ou, caso não tenha sido nomeado, o centro de competências – deve poder pôr termo ao procedimento a pedido da outra parte.</w:t>
      </w:r>
      <w:r w:rsidRPr="002A673F">
        <w:rPr>
          <w:b/>
          <w:szCs w:val="24"/>
          <w:lang w:eastAsia="en-US"/>
        </w:rPr>
        <w:t xml:space="preserve"> [Alt. 42]</w:t>
      </w:r>
    </w:p>
    <w:p w14:paraId="05CEA28D" w14:textId="77777777" w:rsidR="002C5F88" w:rsidRDefault="002C5F88">
      <w:pPr>
        <w:widowControl/>
        <w:rPr>
          <w:szCs w:val="24"/>
          <w:lang w:eastAsia="en-US"/>
        </w:rPr>
      </w:pPr>
      <w:r>
        <w:rPr>
          <w:szCs w:val="24"/>
          <w:lang w:eastAsia="en-US"/>
        </w:rPr>
        <w:br w:type="page"/>
      </w:r>
    </w:p>
    <w:p w14:paraId="455D333C" w14:textId="3E3EAF0F"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(41)</w:t>
      </w:r>
      <w:r w:rsidRPr="002A673F">
        <w:rPr>
          <w:szCs w:val="24"/>
          <w:lang w:eastAsia="en-US"/>
        </w:rPr>
        <w:tab/>
        <w:t xml:space="preserve">No termo do procedimento,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apresentar uma proposta que recomende condições FRAND. Qualquer uma das partes deve ter a opção de aceitar ou rejeitar a proposta. Se as partes não chegarem a acordo e/ou não aceitarem a sua proposta,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elaborar um relatório sobre a determinação FRAND. O relatório terá uma versão confidencial e uma versão não confidencial. A versão não confidencial do relatório deve conter a proposta de condições FRAND, assim como a metodologia adotada, e ser fornecida ao centro de competências para publicação a fim de contribuir para qualquer determinação FRAND subsequente entre as partes e outras partes interessadas envolvidas em negociações semelhantes. O relatório terá, assim, o duplo objetivo de incentivar as partes a chegarem a acordo e de garantir a transparência no que respeita ao processo e às condições FRAND recomendadas em caso de desacordo.</w:t>
      </w:r>
      <w:r w:rsidRPr="002A673F">
        <w:rPr>
          <w:b/>
          <w:szCs w:val="24"/>
          <w:lang w:eastAsia="en-US"/>
        </w:rPr>
        <w:t xml:space="preserve"> [Alt. 43]</w:t>
      </w:r>
    </w:p>
    <w:p w14:paraId="77C0AF30" w14:textId="77777777" w:rsidR="002C5F88" w:rsidRDefault="002C5F88">
      <w:pPr>
        <w:widowControl/>
        <w:rPr>
          <w:szCs w:val="24"/>
          <w:lang w:eastAsia="en-US"/>
        </w:rPr>
      </w:pPr>
      <w:r>
        <w:rPr>
          <w:szCs w:val="24"/>
          <w:lang w:eastAsia="en-US"/>
        </w:rPr>
        <w:br w:type="page"/>
      </w:r>
    </w:p>
    <w:p w14:paraId="23836CF3" w14:textId="633EB55D"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(42)</w:t>
      </w:r>
      <w:r w:rsidRPr="002A673F">
        <w:rPr>
          <w:szCs w:val="24"/>
          <w:lang w:eastAsia="en-US"/>
        </w:rPr>
        <w:tab/>
        <w:t xml:space="preserve">O regulamento respeita os direitos de propriedade intelectual dos titulares de patentes </w:t>
      </w:r>
      <w:r w:rsidRPr="002A673F">
        <w:rPr>
          <w:strike/>
          <w:szCs w:val="24"/>
          <w:lang w:eastAsia="en-US"/>
        </w:rPr>
        <w:t>(</w:t>
      </w:r>
      <w:r w:rsidRPr="002A673F">
        <w:rPr>
          <w:b/>
          <w:i/>
          <w:szCs w:val="24"/>
          <w:lang w:eastAsia="en-US"/>
        </w:rPr>
        <w:t xml:space="preserve">em conformidade com o </w:t>
      </w:r>
      <w:r w:rsidRPr="002A673F">
        <w:rPr>
          <w:szCs w:val="24"/>
          <w:lang w:eastAsia="en-US"/>
        </w:rPr>
        <w:t>artigo 17.º, n.º 2, da Carta dos Direitos Fundamentais da UE</w:t>
      </w:r>
      <w:r w:rsidRPr="002A673F">
        <w:rPr>
          <w:strike/>
          <w:szCs w:val="24"/>
          <w:lang w:eastAsia="en-US"/>
        </w:rPr>
        <w:t>)</w:t>
      </w:r>
      <w:r w:rsidRPr="002A673F">
        <w:rPr>
          <w:szCs w:val="24"/>
          <w:lang w:eastAsia="en-US"/>
        </w:rPr>
        <w:t>, embora inclua uma restrição à possibilidade de exigir o cumprimento dos direitos relativos a uma PEN que não tenha sido registada dentro de um determinado prazo e introduza a obrigação de proceder a uma determinação FRAND antes da exigência de cumprimento dos direitos relativos a PEN individuais. A limitação do exercício dos direitos de propriedade intelectual é permitida pela Carta da UE, desde que o princípio da proporcionalidade seja respeitado. Segundo a jurisprudência constante, os direitos fundamentais podem ser restringidos, desde que essas restrições correspondam a objetivos de interesse geral perseguidos pela União e não constituam, face ao objetivo perseguido, uma intervenção desproporcionada e intolerável que viole a própria essência dos direitos garantidos</w:t>
      </w:r>
      <w:r w:rsidRPr="002A673F">
        <w:rPr>
          <w:szCs w:val="24"/>
          <w:vertAlign w:val="superscript"/>
          <w:lang w:eastAsia="en-US"/>
        </w:rPr>
        <w:footnoteReference w:id="12"/>
      </w:r>
      <w:r w:rsidRPr="002A673F">
        <w:rPr>
          <w:szCs w:val="24"/>
          <w:lang w:eastAsia="en-US"/>
        </w:rPr>
        <w:t>. A este respeito, o presente regulamento é do interesse público, na medida em que fornece informações e resultados uniformes, abertos e previsíveis sobre as PEN, em benefício dos titulares e utilizadores de PEN e dos utilizadores finais à escala da União. Tem por objetivo a divulgação de tecnologia em benefício mútuo dos titulares e utilizadores de PEN. Além disso, as regras relativas à determinação FRAND são temporárias e, portanto, limitadas, e visam melhorar e racionalizar o processo, mas não são, em última análise, vinculativas</w:t>
      </w:r>
      <w:r w:rsidRPr="002A673F">
        <w:rPr>
          <w:b/>
          <w:i/>
          <w:szCs w:val="24"/>
          <w:lang w:eastAsia="en-US"/>
        </w:rPr>
        <w:t>.</w:t>
      </w:r>
      <w:r w:rsidRPr="002A673F">
        <w:rPr>
          <w:szCs w:val="24"/>
          <w:vertAlign w:val="superscript"/>
          <w:lang w:eastAsia="en-US"/>
        </w:rPr>
        <w:footnoteReference w:id="13"/>
      </w:r>
      <w:r w:rsidRPr="002A673F">
        <w:rPr>
          <w:strike/>
          <w:szCs w:val="24"/>
          <w:lang w:eastAsia="en-US"/>
        </w:rPr>
        <w:t>.</w:t>
      </w:r>
      <w:r w:rsidRPr="002A673F">
        <w:rPr>
          <w:b/>
          <w:szCs w:val="24"/>
          <w:lang w:eastAsia="en-US"/>
        </w:rPr>
        <w:t xml:space="preserve"> [Alt. 44]</w:t>
      </w:r>
    </w:p>
    <w:p w14:paraId="45F35F4B" w14:textId="77777777" w:rsidR="002C5F88" w:rsidRDefault="002C5F88">
      <w:pPr>
        <w:widowControl/>
        <w:rPr>
          <w:szCs w:val="24"/>
          <w:lang w:eastAsia="en-US"/>
        </w:rPr>
      </w:pPr>
      <w:r>
        <w:rPr>
          <w:szCs w:val="24"/>
          <w:lang w:eastAsia="en-US"/>
        </w:rPr>
        <w:br w:type="page"/>
      </w:r>
    </w:p>
    <w:p w14:paraId="03F76C30" w14:textId="360DAEB0"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(43)</w:t>
      </w:r>
      <w:r w:rsidRPr="002A673F">
        <w:rPr>
          <w:szCs w:val="24"/>
          <w:lang w:eastAsia="en-US"/>
        </w:rPr>
        <w:tab/>
        <w:t>A determinação FRAND é igualmente coerente com o direito a uma ação efetiva e ao acesso aos tribunais consagrado no artigo 47.º da Carta dos Direitos Fundamentais da União Europeia, uma vez que o utilizador e o titular de PEN conservam plenamente esse direito. Na ausência de registo no prazo fixado, a exclusão do direito de exigir o cumprimento efetivo dos direitos é limitada e necessária, e responde a objetivos de interesse geral. Conforme confirmado pelo TJUE</w:t>
      </w:r>
      <w:r w:rsidRPr="002A673F">
        <w:rPr>
          <w:szCs w:val="24"/>
          <w:vertAlign w:val="superscript"/>
          <w:lang w:eastAsia="en-US"/>
        </w:rPr>
        <w:footnoteReference w:id="14"/>
      </w:r>
      <w:r w:rsidRPr="002A673F">
        <w:rPr>
          <w:szCs w:val="24"/>
          <w:lang w:eastAsia="en-US"/>
        </w:rPr>
        <w:t>, a disposição de uma resolução obrigatória de litígios como condição prévia para o acesso aos tribunais competentes dos Estados-Membros é considerada compatível com o princípio da proteção jurisdicional efetiva. A determinação FRAND segue as condições para a resolução obrigatória de litígios descritas nos acórdãos do TJUE, tendo em conta as características específicas da concessão de licenças de PEN.</w:t>
      </w:r>
      <w:r w:rsidRPr="002A673F">
        <w:rPr>
          <w:b/>
          <w:i/>
          <w:szCs w:val="24"/>
          <w:lang w:eastAsia="en-US"/>
        </w:rPr>
        <w:t xml:space="preserve"> A determinação FRAND permite ainda que, a título de injunção provisória pecuniária, o alegado infrator deposite uma caução, que pode ser solicitada para evitar limitar gravemente a atividade do alegado infrator e garantir que a outra parte recebe o montante correspondente em caso de pedido de indemnização. Além disso, a determinação FRAND não prejudica em modo algum a capacidade do titular da PEN para receber uma indemnização por uma infração que tenha ocorrido durante a determinação FRAND em processos judiciais subsequentes.</w:t>
      </w:r>
      <w:r w:rsidRPr="002A673F">
        <w:rPr>
          <w:b/>
          <w:szCs w:val="24"/>
          <w:lang w:eastAsia="en-US"/>
        </w:rPr>
        <w:t xml:space="preserve"> [Alt. 45]</w:t>
      </w:r>
    </w:p>
    <w:p w14:paraId="2E3114D2" w14:textId="77777777" w:rsidR="002C5F88" w:rsidRDefault="002C5F88">
      <w:pPr>
        <w:widowControl/>
        <w:rPr>
          <w:szCs w:val="24"/>
          <w:lang w:eastAsia="en-US"/>
        </w:rPr>
      </w:pPr>
      <w:r>
        <w:rPr>
          <w:szCs w:val="24"/>
          <w:lang w:eastAsia="en-US"/>
        </w:rPr>
        <w:br w:type="page"/>
      </w:r>
    </w:p>
    <w:p w14:paraId="45FE32F9" w14:textId="00328BFD"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(44)</w:t>
      </w:r>
      <w:r w:rsidRPr="002A673F">
        <w:rPr>
          <w:szCs w:val="24"/>
          <w:lang w:eastAsia="en-US"/>
        </w:rPr>
        <w:tab/>
        <w:t xml:space="preserve">Ao determinarem os </w:t>
      </w:r>
      <w:r w:rsidRPr="00E075CA">
        <w:rPr>
          <w:i/>
          <w:szCs w:val="24"/>
          <w:lang w:eastAsia="en-US"/>
        </w:rPr>
        <w:t>royalties</w:t>
      </w:r>
      <w:r w:rsidRPr="002A673F">
        <w:rPr>
          <w:szCs w:val="24"/>
          <w:lang w:eastAsia="en-US"/>
        </w:rPr>
        <w:t xml:space="preserve"> agregados e ao efetuarem determinações FRAND, os conciliadores deverão ter em conta, em especial, o acervo da União e eventuais acórdãos do Tribunal de Justiça relativos a PEN, bem como as orientações emitidas ao abrigo do presente regulamento, as orientações horizontais</w:t>
      </w:r>
      <w:r w:rsidRPr="002A673F">
        <w:rPr>
          <w:szCs w:val="24"/>
          <w:vertAlign w:val="superscript"/>
          <w:lang w:eastAsia="en-US"/>
        </w:rPr>
        <w:footnoteReference w:id="15"/>
      </w:r>
      <w:r w:rsidRPr="002A673F">
        <w:rPr>
          <w:szCs w:val="24"/>
          <w:lang w:eastAsia="en-US"/>
        </w:rPr>
        <w:t xml:space="preserve"> e a Comunicação da Comissão de 2017 que define a abordagem da UE em matéria de patentes essenciais a normas</w:t>
      </w:r>
      <w:r w:rsidRPr="002A673F">
        <w:rPr>
          <w:szCs w:val="24"/>
          <w:vertAlign w:val="superscript"/>
          <w:lang w:eastAsia="en-US"/>
        </w:rPr>
        <w:footnoteReference w:id="16"/>
      </w:r>
      <w:r w:rsidRPr="002A673F">
        <w:rPr>
          <w:szCs w:val="24"/>
          <w:lang w:eastAsia="en-US"/>
        </w:rPr>
        <w:t xml:space="preserve">. Além disso, </w:t>
      </w:r>
      <w:r w:rsidRPr="002A673F">
        <w:rPr>
          <w:strike/>
          <w:szCs w:val="24"/>
          <w:lang w:eastAsia="en-US"/>
        </w:rPr>
        <w:t>os</w:t>
      </w:r>
      <w:r w:rsidRPr="002A673F">
        <w:rPr>
          <w:b/>
          <w:i/>
          <w:szCs w:val="24"/>
          <w:lang w:eastAsia="en-US"/>
        </w:rPr>
        <w:t>o painel de</w:t>
      </w:r>
      <w:r w:rsidRPr="002A673F">
        <w:rPr>
          <w:szCs w:val="24"/>
          <w:lang w:eastAsia="en-US"/>
        </w:rPr>
        <w:t xml:space="preserve"> conciliadores </w:t>
      </w:r>
      <w:proofErr w:type="spellStart"/>
      <w:r w:rsidRPr="002A673F">
        <w:rPr>
          <w:strike/>
          <w:szCs w:val="24"/>
          <w:lang w:eastAsia="en-US"/>
        </w:rPr>
        <w:t>devem</w:t>
      </w:r>
      <w:r w:rsidRPr="002A673F">
        <w:rPr>
          <w:b/>
          <w:i/>
          <w:szCs w:val="24"/>
          <w:lang w:eastAsia="en-US"/>
        </w:rPr>
        <w:t>deve</w:t>
      </w:r>
      <w:proofErr w:type="spellEnd"/>
      <w:r w:rsidRPr="002A673F">
        <w:rPr>
          <w:szCs w:val="24"/>
          <w:lang w:eastAsia="en-US"/>
        </w:rPr>
        <w:t xml:space="preserve"> ter em conta eventuais pareceres de peritos sobre os </w:t>
      </w:r>
      <w:r w:rsidRPr="00E075CA">
        <w:rPr>
          <w:i/>
          <w:szCs w:val="24"/>
          <w:lang w:eastAsia="en-US"/>
        </w:rPr>
        <w:t>royalties</w:t>
      </w:r>
      <w:r w:rsidRPr="002A673F">
        <w:rPr>
          <w:szCs w:val="24"/>
          <w:lang w:eastAsia="en-US"/>
        </w:rPr>
        <w:t xml:space="preserve"> agregados ou, na ausência desses pareceres, solicitar informações às partes antes de apresentarem as suas propostas finais, bem como as orientações emitidas ao abrigo do presente regulamento.</w:t>
      </w:r>
      <w:r w:rsidRPr="002A673F">
        <w:rPr>
          <w:b/>
          <w:szCs w:val="24"/>
          <w:lang w:eastAsia="en-US"/>
        </w:rPr>
        <w:t xml:space="preserve"> [Alt. 46]</w:t>
      </w:r>
    </w:p>
    <w:p w14:paraId="43F64383" w14:textId="77777777" w:rsidR="002A673F" w:rsidRPr="00E075CA" w:rsidRDefault="002A673F" w:rsidP="002A673F">
      <w:pPr>
        <w:spacing w:before="120" w:after="120" w:line="360" w:lineRule="auto"/>
        <w:ind w:left="850" w:hanging="850"/>
        <w:rPr>
          <w:b/>
          <w:szCs w:val="24"/>
          <w:lang w:eastAsia="en-US"/>
        </w:rPr>
      </w:pPr>
      <w:r w:rsidRPr="002A673F">
        <w:rPr>
          <w:strike/>
          <w:szCs w:val="24"/>
          <w:lang w:eastAsia="en-US"/>
        </w:rPr>
        <w:t>(45)</w:t>
      </w:r>
      <w:r w:rsidRPr="00E075CA">
        <w:rPr>
          <w:strike/>
          <w:szCs w:val="24"/>
          <w:lang w:eastAsia="en-US"/>
        </w:rPr>
        <w:tab/>
      </w:r>
      <w:r w:rsidRPr="002A673F">
        <w:rPr>
          <w:strike/>
          <w:szCs w:val="24"/>
          <w:lang w:eastAsia="en-US"/>
        </w:rPr>
        <w:t>A concessão de licenças de PEN pode gerar atritos nas cadeias de valor que, até à data, não tinham sido expostas a PEN. Por conseguinte, é importante que o centro de competências promova a sensibilização para a concessão de licenças de PEN na cadeia de valor através de qualquer um dos instrumentos à sua disposição. Outros fatores incluiriam a capacidade de os fabricantes a montante repercutirem o custo de uma licença de PEN a jusante e o eventual impacto das cláusulas de indemnização existentes numa cadeia de valor.</w:t>
      </w:r>
      <w:r w:rsidRPr="002A673F">
        <w:rPr>
          <w:b/>
          <w:szCs w:val="24"/>
          <w:lang w:eastAsia="en-US"/>
        </w:rPr>
        <w:t xml:space="preserve"> [Alt. 47]</w:t>
      </w:r>
    </w:p>
    <w:p w14:paraId="7C0EE4D9" w14:textId="77777777" w:rsidR="002C5F88" w:rsidRDefault="002C5F88">
      <w:pPr>
        <w:widowControl/>
        <w:rPr>
          <w:b/>
          <w:i/>
          <w:szCs w:val="24"/>
          <w:lang w:eastAsia="en-US"/>
        </w:rPr>
      </w:pPr>
      <w:r>
        <w:rPr>
          <w:b/>
          <w:i/>
          <w:szCs w:val="24"/>
          <w:lang w:eastAsia="en-US"/>
        </w:rPr>
        <w:br w:type="page"/>
      </w:r>
    </w:p>
    <w:p w14:paraId="5988D640" w14:textId="615F02E8" w:rsidR="002A673F" w:rsidRPr="00E075CA" w:rsidRDefault="002A673F" w:rsidP="002A673F">
      <w:pPr>
        <w:spacing w:before="120" w:after="120" w:line="360" w:lineRule="auto"/>
        <w:ind w:left="850" w:hanging="850"/>
        <w:rPr>
          <w:b/>
          <w:szCs w:val="24"/>
          <w:lang w:eastAsia="en-US"/>
        </w:rPr>
      </w:pPr>
      <w:r w:rsidRPr="002A673F">
        <w:rPr>
          <w:b/>
          <w:i/>
          <w:szCs w:val="24"/>
          <w:lang w:eastAsia="en-US"/>
        </w:rPr>
        <w:lastRenderedPageBreak/>
        <w:t>(45-A)</w:t>
      </w:r>
      <w:r w:rsidRPr="002A673F">
        <w:rPr>
          <w:szCs w:val="24"/>
          <w:lang w:eastAsia="en-US"/>
        </w:rPr>
        <w:tab/>
      </w:r>
      <w:r w:rsidRPr="002A673F">
        <w:rPr>
          <w:b/>
          <w:i/>
          <w:szCs w:val="24"/>
          <w:lang w:eastAsia="en-US"/>
        </w:rPr>
        <w:t xml:space="preserve">A fim de evitar eventuais impactos negativos para as empresas estabelecidas na União que se envolvem e competem com êxito no desenvolvimento de tecnologias globais através da normalização, a Comissão deve avaliar o impacto que o sistema de verificação do caráter essencial, o sistema de determinação dos </w:t>
      </w:r>
      <w:r w:rsidRPr="00E075CA">
        <w:rPr>
          <w:b/>
          <w:szCs w:val="24"/>
          <w:lang w:eastAsia="en-US"/>
        </w:rPr>
        <w:t>royalties</w:t>
      </w:r>
      <w:r w:rsidRPr="002A673F">
        <w:rPr>
          <w:b/>
          <w:i/>
          <w:szCs w:val="24"/>
          <w:lang w:eastAsia="en-US"/>
        </w:rPr>
        <w:t xml:space="preserve"> agregados e o sistema de determinação FRAND têm na competitividade dos titulares de PEN da União à escala mundial. Com base nos resultados dessa avaliação, a Comissão deve, se necessário, apresentar uma proposta legislativa para adaptar os sistemas. O papel das comunhões de patentes, incluindo as criadas pelos utilizadores das PEN, deve ser apreciado pela Comissão a fim de avaliar o seu impacto assim que o presente regulamento entrar em vigor, nomeadamente no que respeita ao seu impacto na competitividade no mercado.</w:t>
      </w:r>
      <w:r w:rsidRPr="002A673F">
        <w:rPr>
          <w:b/>
          <w:szCs w:val="24"/>
          <w:lang w:eastAsia="en-US"/>
        </w:rPr>
        <w:t xml:space="preserve"> [Alt. 48]</w:t>
      </w:r>
    </w:p>
    <w:p w14:paraId="3B5DE26B" w14:textId="77777777" w:rsidR="002C5F88" w:rsidRDefault="002C5F88">
      <w:pPr>
        <w:widowControl/>
        <w:rPr>
          <w:szCs w:val="24"/>
          <w:lang w:eastAsia="en-US"/>
        </w:rPr>
      </w:pPr>
      <w:r>
        <w:rPr>
          <w:szCs w:val="24"/>
          <w:lang w:eastAsia="en-US"/>
        </w:rPr>
        <w:br w:type="page"/>
      </w:r>
    </w:p>
    <w:p w14:paraId="5234F9CD" w14:textId="77777777" w:rsidR="00663813" w:rsidRDefault="002A673F" w:rsidP="00663813">
      <w:pPr>
        <w:widowControl/>
        <w:spacing w:before="120" w:after="120" w:line="360" w:lineRule="auto"/>
        <w:ind w:left="851" w:hanging="851"/>
        <w:rPr>
          <w:b/>
        </w:rPr>
      </w:pPr>
      <w:r w:rsidRPr="002A673F">
        <w:rPr>
          <w:szCs w:val="24"/>
          <w:lang w:eastAsia="en-US"/>
        </w:rPr>
        <w:lastRenderedPageBreak/>
        <w:t>(46)</w:t>
      </w:r>
      <w:r w:rsidRPr="002A673F">
        <w:rPr>
          <w:szCs w:val="24"/>
          <w:lang w:eastAsia="en-US"/>
        </w:rPr>
        <w:tab/>
      </w:r>
      <w:r w:rsidRPr="002A673F">
        <w:t xml:space="preserve">As PME podem estar envolvidas na concessão de licenças de PEN, quer enquanto titulares </w:t>
      </w:r>
      <w:r w:rsidRPr="002A673F">
        <w:rPr>
          <w:b/>
          <w:bCs/>
          <w:i/>
          <w:iCs/>
        </w:rPr>
        <w:t>de PEN</w:t>
      </w:r>
      <w:r w:rsidRPr="002A673F">
        <w:t xml:space="preserve"> quer enquanto utilizadores de PEN. Embora existam atualmente algumas PME titulares de PEN, os ganhos de eficiência produzidos com o presente regulamento </w:t>
      </w:r>
      <w:r w:rsidRPr="00E075CA">
        <w:rPr>
          <w:strike/>
        </w:rPr>
        <w:t xml:space="preserve">são suscetíveis </w:t>
      </w:r>
      <w:proofErr w:type="spellStart"/>
      <w:r w:rsidRPr="00E075CA">
        <w:rPr>
          <w:strike/>
        </w:rPr>
        <w:t>de</w:t>
      </w:r>
      <w:r w:rsidRPr="002A673F">
        <w:rPr>
          <w:b/>
          <w:bCs/>
          <w:i/>
          <w:iCs/>
        </w:rPr>
        <w:t>devem</w:t>
      </w:r>
      <w:proofErr w:type="spellEnd"/>
      <w:r w:rsidRPr="002A673F">
        <w:rPr>
          <w:b/>
          <w:bCs/>
          <w:i/>
          <w:iCs/>
        </w:rPr>
        <w:t xml:space="preserve"> também</w:t>
      </w:r>
      <w:r w:rsidRPr="002A673F">
        <w:t xml:space="preserve"> facilitar a concessão de licenças das suas PEN. São necessárias condições adicionais para aliviar os encargos que recaem sobre essas PME, como </w:t>
      </w:r>
      <w:r w:rsidRPr="002A673F">
        <w:rPr>
          <w:b/>
          <w:bCs/>
          <w:i/>
          <w:iCs/>
        </w:rPr>
        <w:t xml:space="preserve">encargos e </w:t>
      </w:r>
      <w:r w:rsidRPr="002A673F">
        <w:t xml:space="preserve">taxas </w:t>
      </w:r>
      <w:r w:rsidRPr="00E075CA">
        <w:rPr>
          <w:strike/>
        </w:rPr>
        <w:t xml:space="preserve">administrativas </w:t>
      </w:r>
      <w:proofErr w:type="spellStart"/>
      <w:r w:rsidRPr="00E075CA">
        <w:rPr>
          <w:strike/>
        </w:rPr>
        <w:t>reduzidas</w:t>
      </w:r>
      <w:r w:rsidRPr="002A673F">
        <w:rPr>
          <w:b/>
          <w:bCs/>
          <w:i/>
          <w:iCs/>
        </w:rPr>
        <w:t>de</w:t>
      </w:r>
      <w:proofErr w:type="spellEnd"/>
      <w:r w:rsidRPr="002A673F">
        <w:rPr>
          <w:b/>
          <w:bCs/>
          <w:i/>
          <w:iCs/>
        </w:rPr>
        <w:t xml:space="preserve"> administração reduzidos</w:t>
      </w:r>
      <w:r w:rsidRPr="002A673F">
        <w:t xml:space="preserve"> e taxas potencialmente reduzidas para a verificação do caráter essencial e a conciliação, para além de apoio e formação gratuitos</w:t>
      </w:r>
      <w:r w:rsidRPr="002A673F">
        <w:rPr>
          <w:b/>
          <w:bCs/>
          <w:i/>
          <w:iCs/>
        </w:rPr>
        <w:t>, por forma a estarem em melhor posição para intervir em questões relacionadas com as PEN e também na elaboração de normas</w:t>
      </w:r>
      <w:r w:rsidRPr="002A673F">
        <w:rPr>
          <w:i/>
          <w:iCs/>
        </w:rPr>
        <w:t>.</w:t>
      </w:r>
      <w:r w:rsidRPr="002A673F">
        <w:t xml:space="preserve"> As PEN das micro e pequenas empresas </w:t>
      </w:r>
      <w:r w:rsidRPr="002A673F">
        <w:rPr>
          <w:b/>
          <w:bCs/>
          <w:i/>
          <w:iCs/>
        </w:rPr>
        <w:t xml:space="preserve">e das empresas em fase de arranque </w:t>
      </w:r>
      <w:r w:rsidRPr="002A673F">
        <w:t xml:space="preserve">não devem ser objeto de amostragem para verificação do caráter essencial, mas estas empresas devem poder propor PEN para verificação do caráter essencial se assim o desejarem. As PME </w:t>
      </w:r>
      <w:r w:rsidRPr="002A673F">
        <w:rPr>
          <w:b/>
          <w:bCs/>
          <w:i/>
          <w:iCs/>
        </w:rPr>
        <w:t>e as empresas em fase de arranque</w:t>
      </w:r>
      <w:r w:rsidRPr="002A673F">
        <w:t xml:space="preserve"> utilizadoras devem igualmente beneficiar de taxas de acesso reduzidas e de apoio e formação gratuitos. Por último, os titulares de PEN devem ser incentivados a fomentar a aquisição de licenças por parte de PME através de descontos para volumes reduzidos ou isenções dos </w:t>
      </w:r>
      <w:r w:rsidRPr="002A673F">
        <w:rPr>
          <w:i/>
          <w:iCs/>
        </w:rPr>
        <w:t>royalties</w:t>
      </w:r>
      <w:r w:rsidRPr="002A673F">
        <w:t xml:space="preserve"> FRAND. </w:t>
      </w:r>
      <w:r w:rsidRPr="002A673F">
        <w:rPr>
          <w:b/>
          <w:i/>
        </w:rPr>
        <w:t>Neste contexto, importa garantir que as PME e as empresas em fase de arranque beneficiam de um balcão único, criado pelo centro de competências, que identifique os titulares de licenças e os licenciantes relevantes para as MPME, e as aconselhe sobre as PEN a título gratuito. Para o efeito, o centro de competências deve criar uma plataforma de assistência para a concessão de licenças PEN destinada às PME e empresas em fase de arranque, que pode também, em determinadas condições, prestar assistência em matéria de apoio judicial, disponibilizando, por exemplo, um representante legal em regime pro bono durante os processos judiciais.</w:t>
      </w:r>
      <w:r w:rsidRPr="002A673F">
        <w:rPr>
          <w:b/>
        </w:rPr>
        <w:t xml:space="preserve"> [Alt. 49]</w:t>
      </w:r>
    </w:p>
    <w:p w14:paraId="474A14BB" w14:textId="56A6A5D6" w:rsidR="002C5F88" w:rsidRDefault="002C5F88" w:rsidP="00663813">
      <w:pPr>
        <w:widowControl/>
        <w:spacing w:before="120" w:after="120" w:line="360" w:lineRule="auto"/>
        <w:ind w:left="851" w:hanging="851"/>
        <w:rPr>
          <w:b/>
          <w:i/>
          <w:szCs w:val="24"/>
          <w:lang w:eastAsia="en-US"/>
        </w:rPr>
      </w:pPr>
      <w:r>
        <w:rPr>
          <w:b/>
          <w:i/>
          <w:szCs w:val="24"/>
          <w:lang w:eastAsia="en-US"/>
        </w:rPr>
        <w:br w:type="page"/>
      </w:r>
    </w:p>
    <w:p w14:paraId="43B613AA" w14:textId="3F0C9343" w:rsidR="002A673F" w:rsidRPr="00E075CA" w:rsidRDefault="002A673F" w:rsidP="002A673F">
      <w:pPr>
        <w:spacing w:before="120" w:after="120" w:line="360" w:lineRule="auto"/>
        <w:ind w:left="850" w:hanging="850"/>
        <w:rPr>
          <w:b/>
          <w:szCs w:val="24"/>
          <w:lang w:eastAsia="en-US"/>
        </w:rPr>
      </w:pPr>
      <w:r w:rsidRPr="002A673F">
        <w:rPr>
          <w:b/>
          <w:i/>
          <w:szCs w:val="24"/>
          <w:lang w:eastAsia="en-US"/>
        </w:rPr>
        <w:lastRenderedPageBreak/>
        <w:t>(46-A)</w:t>
      </w:r>
      <w:r w:rsidRPr="002A673F">
        <w:rPr>
          <w:szCs w:val="24"/>
          <w:lang w:eastAsia="en-US"/>
        </w:rPr>
        <w:tab/>
      </w:r>
      <w:r w:rsidRPr="002A673F">
        <w:rPr>
          <w:b/>
          <w:i/>
          <w:szCs w:val="24"/>
          <w:lang w:eastAsia="en-US"/>
        </w:rPr>
        <w:t xml:space="preserve">Embora devam ser concedidas vantagens às PME, não devem as mesmas ser objeto de utilização indevida. A este respeito, as entidades de asserção de patentes, que podem ser caracterizadas por um modelo de negócio de «obter e afirmar» e têm como objetivo gerar receitas através de taxas de licenciamento, </w:t>
      </w:r>
      <w:r w:rsidRPr="00E075CA">
        <w:rPr>
          <w:b/>
          <w:szCs w:val="24"/>
          <w:lang w:eastAsia="en-US"/>
        </w:rPr>
        <w:t>royalties</w:t>
      </w:r>
      <w:r w:rsidRPr="002A673F">
        <w:rPr>
          <w:b/>
          <w:i/>
          <w:szCs w:val="24"/>
          <w:lang w:eastAsia="en-US"/>
        </w:rPr>
        <w:t xml:space="preserve"> e indemnizações por danos, não devem beneficiar de isenções nem do apoio do centro de competências previstos no presente regulamento.</w:t>
      </w:r>
      <w:r w:rsidRPr="002A673F">
        <w:rPr>
          <w:b/>
          <w:szCs w:val="24"/>
          <w:lang w:eastAsia="en-US"/>
        </w:rPr>
        <w:t xml:space="preserve"> [Alt. 50]</w:t>
      </w:r>
    </w:p>
    <w:p w14:paraId="3B1D4217" w14:textId="607A4EB3" w:rsidR="002A673F" w:rsidRPr="00E075CA" w:rsidRDefault="002A673F" w:rsidP="002A673F">
      <w:pPr>
        <w:spacing w:before="120" w:after="120" w:line="360" w:lineRule="auto"/>
        <w:ind w:left="850" w:hanging="850"/>
        <w:rPr>
          <w:b/>
          <w:szCs w:val="24"/>
          <w:lang w:eastAsia="en-US"/>
        </w:rPr>
      </w:pPr>
      <w:r w:rsidRPr="002A673F">
        <w:rPr>
          <w:b/>
          <w:i/>
          <w:szCs w:val="24"/>
          <w:lang w:eastAsia="en-US"/>
        </w:rPr>
        <w:t>(46-B)</w:t>
      </w:r>
      <w:r w:rsidRPr="002A673F">
        <w:rPr>
          <w:szCs w:val="24"/>
          <w:lang w:eastAsia="en-US"/>
        </w:rPr>
        <w:tab/>
      </w:r>
      <w:r w:rsidRPr="002A673F">
        <w:rPr>
          <w:b/>
          <w:i/>
          <w:szCs w:val="24"/>
          <w:lang w:eastAsia="en-US"/>
        </w:rPr>
        <w:t>Os mecanismos de apoio, como os vales de propriedade intelectual para PME, revelaram-se eficazes para ajudar as PME a proteger os seus direitos de propriedade intelectual, pelo que o seu período de aplicação deve ser prorrogado para além de 2024.</w:t>
      </w:r>
      <w:r w:rsidRPr="002A673F">
        <w:rPr>
          <w:b/>
          <w:szCs w:val="24"/>
          <w:lang w:eastAsia="en-US"/>
        </w:rPr>
        <w:t xml:space="preserve"> [Alt. 51]</w:t>
      </w:r>
    </w:p>
    <w:p w14:paraId="2ED0EF21" w14:textId="77777777" w:rsidR="002C5F88" w:rsidRDefault="002C5F88">
      <w:pPr>
        <w:widowControl/>
        <w:rPr>
          <w:szCs w:val="24"/>
          <w:lang w:eastAsia="en-US"/>
        </w:rPr>
      </w:pPr>
      <w:r>
        <w:rPr>
          <w:szCs w:val="24"/>
          <w:lang w:eastAsia="en-US"/>
        </w:rPr>
        <w:br w:type="page"/>
      </w:r>
    </w:p>
    <w:p w14:paraId="6C7D4452" w14:textId="6F050655"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(47)</w:t>
      </w:r>
      <w:r w:rsidRPr="002A673F">
        <w:rPr>
          <w:szCs w:val="24"/>
          <w:lang w:eastAsia="en-US"/>
        </w:rPr>
        <w:tab/>
        <w:t xml:space="preserve">A fim de complementar certos elementos não essenciais do presente regulamento, o poder de adotar atos, nos termos do artigo 290.º do Tratado sobre o Funcionamento da União Europeia, deverá ser delegado na Comissão no que diz respeito aos elementos a inscrever no registo, à determinação das normas pertinentes em vigor ou à identificação de </w:t>
      </w:r>
      <w:r w:rsidRPr="002A673F">
        <w:rPr>
          <w:strike/>
          <w:szCs w:val="24"/>
          <w:lang w:eastAsia="en-US"/>
        </w:rPr>
        <w:t xml:space="preserve">casos de </w:t>
      </w:r>
      <w:proofErr w:type="spellStart"/>
      <w:r w:rsidRPr="002A673F">
        <w:rPr>
          <w:strike/>
          <w:szCs w:val="24"/>
          <w:lang w:eastAsia="en-US"/>
        </w:rPr>
        <w:t>utilização</w:t>
      </w:r>
      <w:r w:rsidRPr="002A673F">
        <w:rPr>
          <w:b/>
          <w:i/>
          <w:szCs w:val="24"/>
          <w:lang w:eastAsia="en-US"/>
        </w:rPr>
        <w:t>aplicações</w:t>
      </w:r>
      <w:proofErr w:type="spellEnd"/>
      <w:r w:rsidRPr="002A673F">
        <w:rPr>
          <w:szCs w:val="24"/>
          <w:lang w:eastAsia="en-US"/>
        </w:rPr>
        <w:t xml:space="preserve"> de normas ou partes das mesmas relativamente </w:t>
      </w:r>
      <w:proofErr w:type="spellStart"/>
      <w:r w:rsidRPr="002A673F">
        <w:rPr>
          <w:strike/>
          <w:szCs w:val="24"/>
          <w:lang w:eastAsia="en-US"/>
        </w:rPr>
        <w:t>aos</w:t>
      </w:r>
      <w:r w:rsidRPr="002A673F">
        <w:rPr>
          <w:b/>
          <w:i/>
          <w:szCs w:val="24"/>
          <w:lang w:eastAsia="en-US"/>
        </w:rPr>
        <w:t>às</w:t>
      </w:r>
      <w:proofErr w:type="spellEnd"/>
      <w:r w:rsidRPr="002A673F">
        <w:rPr>
          <w:szCs w:val="24"/>
          <w:lang w:eastAsia="en-US"/>
        </w:rPr>
        <w:t xml:space="preserve"> quais a Comissão determine que não existem dificuldades ou ineficiências significativas na concessão de licenças em condições FRAND. É particularmente importante que a Comissão proceda às consultas adequadas durante os trabalhos preparatórios, inclusive ao nível dos peritos, e que essas consultas sejam conduzidas de acordo com os princípios estabelecidos no Acordo Interinstitucional, de 13 de abril de 2016, sobre legislar melhor</w:t>
      </w:r>
      <w:r w:rsidRPr="002A673F">
        <w:rPr>
          <w:szCs w:val="24"/>
          <w:vertAlign w:val="superscript"/>
          <w:lang w:eastAsia="en-US"/>
        </w:rPr>
        <w:footnoteReference w:id="17"/>
      </w:r>
      <w:r w:rsidRPr="002A673F">
        <w:rPr>
          <w:szCs w:val="24"/>
          <w:lang w:eastAsia="en-US"/>
        </w:rPr>
        <w:t>. Em particular, a fim de assegurar a igualdade de participação na preparação dos atos delegados, o Parlamento Europeu e o Conselho recebem todos os documentos ao mesmo tempo que os peritos dos Estados-Membros, e os respetivos peritos têm sistematicamente acesso às reuniões dos grupos de peritos da Comissão que tratam da preparação dos atos delegados.</w:t>
      </w:r>
      <w:r w:rsidRPr="002A673F">
        <w:rPr>
          <w:b/>
          <w:szCs w:val="24"/>
          <w:lang w:eastAsia="en-US"/>
        </w:rPr>
        <w:t xml:space="preserve"> [Alt. 52]</w:t>
      </w:r>
    </w:p>
    <w:p w14:paraId="65F3D754" w14:textId="77777777" w:rsidR="002C5F88" w:rsidRDefault="002C5F88">
      <w:pPr>
        <w:widowControl/>
        <w:rPr>
          <w:szCs w:val="24"/>
          <w:lang w:eastAsia="en-US"/>
        </w:rPr>
      </w:pPr>
      <w:r>
        <w:rPr>
          <w:szCs w:val="24"/>
          <w:lang w:eastAsia="en-US"/>
        </w:rPr>
        <w:br w:type="page"/>
      </w:r>
    </w:p>
    <w:p w14:paraId="1CB2E112" w14:textId="20728F65"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(48)</w:t>
      </w:r>
      <w:r w:rsidRPr="002A673F">
        <w:rPr>
          <w:szCs w:val="24"/>
          <w:lang w:eastAsia="en-US"/>
        </w:rPr>
        <w:tab/>
        <w:t>A fim de assegurar condições uniformes para a execução das disposições pertinentes do presente regulamento, devem ser atribuídas competências de execução à Comissão no que respeita à adoção dos requisitos pormenorizados para a seleção dos avaliadores e conciliadores, bem como à adoção do regulamento interno e do código de conduta para avaliadores e conciliadores</w:t>
      </w:r>
      <w:r w:rsidRPr="002A673F">
        <w:rPr>
          <w:b/>
          <w:i/>
          <w:szCs w:val="24"/>
          <w:lang w:eastAsia="en-US"/>
        </w:rPr>
        <w:t>. Os avaliadores e conciliadores devem ser pessoas idóneas e possuir conhecimentos, competências e experiência suficientes para desempenharem as suas funções</w:t>
      </w:r>
      <w:r w:rsidRPr="002A673F">
        <w:rPr>
          <w:szCs w:val="24"/>
          <w:lang w:eastAsia="en-US"/>
        </w:rPr>
        <w:t>. A Comissão deverá igualmente adotar as regras técnicas para a seleção de uma amostra de PEN para verificação do caráter essencial e a metodologia para a realização dessa verificação do caráter essencial por avaliadores e avaliadores interpares. A Comissão deverá ainda determinar as taxas administrativas pelos seus serviços relacionadas com as funções previstas ao abrigo do presente regulamento, bem como os honorários dos avaliadores, dos peritos e dos conciliadores, as respetivas derrogações e métodos de pagamento, e adaptá-los conforme necessário. A Comissão deverá também determinar as normas ou partes das mesmas que tenham sido publicadas antes da entrada em vigor do presente regulamento para as quais possam ser registadas PEN. Essas competências deverão ser exercidas nos termos do Regulamento (UE) n.º 182/2011 do Parlamento Europeu e do Conselho</w:t>
      </w:r>
      <w:r w:rsidRPr="002A673F">
        <w:rPr>
          <w:szCs w:val="24"/>
          <w:vertAlign w:val="superscript"/>
          <w:lang w:eastAsia="en-US"/>
        </w:rPr>
        <w:footnoteReference w:id="18"/>
      </w:r>
      <w:r w:rsidRPr="002A673F">
        <w:rPr>
          <w:szCs w:val="24"/>
          <w:lang w:eastAsia="en-US"/>
        </w:rPr>
        <w:t>.</w:t>
      </w:r>
      <w:r w:rsidRPr="002A673F">
        <w:rPr>
          <w:b/>
          <w:szCs w:val="24"/>
          <w:lang w:eastAsia="en-US"/>
        </w:rPr>
        <w:t xml:space="preserve"> [Alt. 53]</w:t>
      </w:r>
    </w:p>
    <w:p w14:paraId="35D36BF9" w14:textId="77777777" w:rsidR="002C5F88" w:rsidRDefault="002C5F88">
      <w:pPr>
        <w:widowControl/>
        <w:rPr>
          <w:szCs w:val="24"/>
          <w:lang w:eastAsia="en-US"/>
        </w:rPr>
      </w:pPr>
      <w:r>
        <w:rPr>
          <w:szCs w:val="24"/>
          <w:lang w:eastAsia="en-US"/>
        </w:rPr>
        <w:br w:type="page"/>
      </w:r>
    </w:p>
    <w:p w14:paraId="15713CF1" w14:textId="56988FD9"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(49)</w:t>
      </w:r>
      <w:r w:rsidRPr="002A673F">
        <w:rPr>
          <w:szCs w:val="24"/>
          <w:lang w:eastAsia="en-US"/>
        </w:rPr>
        <w:tab/>
        <w:t>O Regulamento (UE) 2017/1001 do Parlamento Europeu e do Conselho</w:t>
      </w:r>
      <w:r w:rsidRPr="002A673F">
        <w:rPr>
          <w:szCs w:val="24"/>
          <w:vertAlign w:val="superscript"/>
          <w:lang w:eastAsia="en-US"/>
        </w:rPr>
        <w:footnoteReference w:id="19"/>
      </w:r>
      <w:r w:rsidRPr="002A673F">
        <w:rPr>
          <w:szCs w:val="24"/>
          <w:lang w:eastAsia="en-US"/>
        </w:rPr>
        <w:t xml:space="preserve"> deverá ser alterado para habilitar o EUIPO a assumir as tarefas previstas no presente regulamento. As funções do diretor executivo deverão também ser alargadas de modo a incluir os poderes que lhe são conferidos pelo presente regulamento. Além disso, o centro de arbitragem e mediação do EUIPO deve estar habilitado a estabelecer processos como a determinação de </w:t>
      </w:r>
      <w:r w:rsidRPr="00E075CA">
        <w:rPr>
          <w:i/>
          <w:szCs w:val="24"/>
          <w:lang w:eastAsia="en-US"/>
        </w:rPr>
        <w:t>royalties</w:t>
      </w:r>
      <w:r w:rsidRPr="002A673F">
        <w:rPr>
          <w:szCs w:val="24"/>
          <w:lang w:eastAsia="en-US"/>
        </w:rPr>
        <w:t xml:space="preserve"> agregados e a determinação FRAND.</w:t>
      </w:r>
    </w:p>
    <w:p w14:paraId="343BB561" w14:textId="69B9B0A3" w:rsidR="002A673F" w:rsidRPr="002A673F" w:rsidRDefault="002A673F" w:rsidP="002A673F">
      <w:pPr>
        <w:spacing w:before="120" w:after="120" w:line="360" w:lineRule="auto"/>
        <w:ind w:left="850" w:hanging="850"/>
        <w:rPr>
          <w:szCs w:val="24"/>
          <w:lang w:eastAsia="en-US"/>
        </w:rPr>
      </w:pPr>
      <w:r w:rsidRPr="002A673F">
        <w:rPr>
          <w:szCs w:val="24"/>
          <w:lang w:eastAsia="en-US"/>
        </w:rPr>
        <w:t>(50)</w:t>
      </w:r>
      <w:r w:rsidRPr="002A673F">
        <w:rPr>
          <w:szCs w:val="24"/>
          <w:lang w:eastAsia="en-US"/>
        </w:rPr>
        <w:tab/>
        <w:t xml:space="preserve">A Autoridade Europeia para a Proteção de Dados foi </w:t>
      </w:r>
      <w:r w:rsidR="009B7063">
        <w:rPr>
          <w:szCs w:val="24"/>
          <w:lang w:eastAsia="en-US"/>
        </w:rPr>
        <w:t>consultada nos termos do artigo </w:t>
      </w:r>
      <w:r w:rsidRPr="002A673F">
        <w:rPr>
          <w:szCs w:val="24"/>
          <w:lang w:eastAsia="en-US"/>
        </w:rPr>
        <w:t>42.º, n.º 1, do Regulamento (UE) 2018/1725 do Parlamento Europeu e do Conselho</w:t>
      </w:r>
      <w:r w:rsidRPr="002A673F">
        <w:rPr>
          <w:szCs w:val="24"/>
          <w:vertAlign w:val="superscript"/>
          <w:lang w:eastAsia="en-US"/>
        </w:rPr>
        <w:footnoteReference w:id="20"/>
      </w:r>
      <w:r w:rsidRPr="002A673F">
        <w:rPr>
          <w:szCs w:val="24"/>
          <w:lang w:eastAsia="en-US"/>
        </w:rPr>
        <w:t>.</w:t>
      </w:r>
    </w:p>
    <w:p w14:paraId="71AA1D2E"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(51)</w:t>
      </w:r>
      <w:r w:rsidRPr="002A673F">
        <w:rPr>
          <w:szCs w:val="24"/>
          <w:lang w:eastAsia="en-US"/>
        </w:rPr>
        <w:tab/>
        <w:t>Dado que o EUIPO, a Comissão e as partes interessadas devem dispor de tempo suficiente para se prepararem para a execução e aplicação do presente regulamento, a sua aplicação deve ser diferida.</w:t>
      </w:r>
    </w:p>
    <w:p w14:paraId="19EAD88C" w14:textId="77777777" w:rsidR="002C5F88" w:rsidRDefault="002C5F88">
      <w:pPr>
        <w:widowControl/>
        <w:rPr>
          <w:szCs w:val="24"/>
          <w:lang w:eastAsia="en-US"/>
        </w:rPr>
      </w:pPr>
      <w:r>
        <w:rPr>
          <w:szCs w:val="24"/>
          <w:lang w:eastAsia="en-US"/>
        </w:rPr>
        <w:br w:type="page"/>
      </w:r>
    </w:p>
    <w:p w14:paraId="262E70D6" w14:textId="0AE1F7C4"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(52)</w:t>
      </w:r>
      <w:r w:rsidRPr="002A673F">
        <w:rPr>
          <w:szCs w:val="24"/>
          <w:lang w:eastAsia="en-US"/>
        </w:rPr>
        <w:tab/>
        <w:t>Atendendo a que os objetivos do presente regulamento de aumentar a transparência no que respeita à concessão de licenças de PEN e de proporcionar um mecanismo eficiente para resolver diferendos em condições FRAND não podem ser suficientemente alcançados pelos Estados-Membros devido à multiplicação dos custos, mas podem, devido aos ganhos de eficiência e à dimensão, ser mais bem alcançados ao nível da União, a União pode adotar medidas em conformidade com o princípio da subsidiariedade consagrado no artigo 5.º do Tratado da União Europeia. Em conformidade com o princípio da proporcionalidade consagrado no mesmo artigo, o presente regulamento não excede o necessário para alcançar esses objetivos.</w:t>
      </w:r>
    </w:p>
    <w:p w14:paraId="5EAB96C9" w14:textId="77777777" w:rsidR="002A673F" w:rsidRPr="002A673F" w:rsidRDefault="002A673F" w:rsidP="002A673F">
      <w:pPr>
        <w:keepNext/>
        <w:widowControl/>
        <w:spacing w:before="120" w:after="120" w:line="360" w:lineRule="auto"/>
        <w:rPr>
          <w:szCs w:val="24"/>
          <w:lang w:eastAsia="en-US"/>
        </w:rPr>
      </w:pPr>
      <w:r w:rsidRPr="002A673F">
        <w:rPr>
          <w:szCs w:val="24"/>
          <w:lang w:eastAsia="en-US"/>
        </w:rPr>
        <w:t>ADOTARAM O PRESENTE REGULAMENTO:</w:t>
      </w:r>
    </w:p>
    <w:p w14:paraId="59BD7AA3" w14:textId="77777777" w:rsidR="002C5F88" w:rsidRDefault="002C5F88">
      <w:pPr>
        <w:widowControl/>
        <w:rPr>
          <w:szCs w:val="24"/>
          <w:lang w:eastAsia="en-US"/>
        </w:rPr>
      </w:pPr>
      <w:r>
        <w:rPr>
          <w:szCs w:val="24"/>
          <w:lang w:eastAsia="en-US"/>
        </w:rPr>
        <w:br w:type="page"/>
      </w:r>
    </w:p>
    <w:p w14:paraId="77C47D13" w14:textId="61822B21" w:rsidR="002A673F" w:rsidRPr="002A673F" w:rsidRDefault="002A673F" w:rsidP="002A673F">
      <w:pPr>
        <w:spacing w:before="120" w:after="120" w:line="360" w:lineRule="auto"/>
        <w:jc w:val="center"/>
        <w:rPr>
          <w:szCs w:val="24"/>
          <w:lang w:eastAsia="en-US"/>
        </w:rPr>
      </w:pPr>
      <w:r w:rsidRPr="002A673F">
        <w:rPr>
          <w:szCs w:val="24"/>
          <w:lang w:eastAsia="en-US"/>
        </w:rPr>
        <w:lastRenderedPageBreak/>
        <w:t xml:space="preserve">Título I </w:t>
      </w:r>
      <w:r w:rsidRPr="002A673F">
        <w:rPr>
          <w:szCs w:val="24"/>
          <w:lang w:eastAsia="en-US"/>
        </w:rPr>
        <w:br/>
        <w:t>Disposições gerais</w:t>
      </w:r>
    </w:p>
    <w:p w14:paraId="47FF3CDC"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1.º</w:t>
      </w:r>
      <w:r w:rsidRPr="002A673F">
        <w:rPr>
          <w:szCs w:val="24"/>
          <w:lang w:eastAsia="en-US"/>
        </w:rPr>
        <w:br/>
        <w:t>Objeto e âmbito de aplicação</w:t>
      </w:r>
    </w:p>
    <w:p w14:paraId="25CEA09C"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O presente regulamento estabelece as seguintes regras em matéria de patentes essenciais a normas («PEN»):</w:t>
      </w:r>
    </w:p>
    <w:p w14:paraId="02F44E9A" w14:textId="4F2A0F4E"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Regras que prevejam uma maior transparência no que diz respeito às informações necessárias para a concessão de licenças PEN;</w:t>
      </w:r>
    </w:p>
    <w:p w14:paraId="717819D2" w14:textId="1B99FADB"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Regras relativas ao registo de PEN;</w:t>
      </w:r>
    </w:p>
    <w:p w14:paraId="2783901E" w14:textId="7D395D06"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Um procedimento para avaliar o caráter essencial das PEN registadas;</w:t>
      </w:r>
    </w:p>
    <w:p w14:paraId="7D3C9EFE" w14:textId="1CB2BB99" w:rsidR="002A673F" w:rsidRPr="002A673F" w:rsidRDefault="002A673F" w:rsidP="002A673F">
      <w:pPr>
        <w:spacing w:before="120" w:after="120" w:line="360" w:lineRule="auto"/>
        <w:ind w:left="1416" w:hanging="566"/>
        <w:rPr>
          <w:szCs w:val="24"/>
          <w:lang w:eastAsia="en-US"/>
        </w:rPr>
      </w:pPr>
      <w:r w:rsidRPr="002A673F">
        <w:rPr>
          <w:szCs w:val="24"/>
          <w:lang w:eastAsia="en-US"/>
        </w:rPr>
        <w:t>d)</w:t>
      </w:r>
      <w:r w:rsidRPr="002A673F">
        <w:rPr>
          <w:szCs w:val="24"/>
          <w:lang w:eastAsia="en-US"/>
        </w:rPr>
        <w:tab/>
        <w:t>Um procedimento para a resolução amigável dos litígios relacionados com a natureza justa, razoável e não discriminatória das condições («determinação FRAND»);</w:t>
      </w:r>
    </w:p>
    <w:p w14:paraId="19AC7D26" w14:textId="0FD39F59" w:rsidR="002A673F" w:rsidRPr="002A673F" w:rsidRDefault="002A673F" w:rsidP="002A673F">
      <w:pPr>
        <w:spacing w:before="120" w:after="120" w:line="360" w:lineRule="auto"/>
        <w:ind w:left="1416" w:hanging="566"/>
        <w:rPr>
          <w:szCs w:val="24"/>
          <w:lang w:eastAsia="en-US"/>
        </w:rPr>
      </w:pPr>
      <w:r w:rsidRPr="002A673F">
        <w:rPr>
          <w:szCs w:val="24"/>
          <w:lang w:eastAsia="en-US"/>
        </w:rPr>
        <w:t>e)</w:t>
      </w:r>
      <w:r w:rsidRPr="002A673F">
        <w:rPr>
          <w:szCs w:val="24"/>
          <w:lang w:eastAsia="en-US"/>
        </w:rPr>
        <w:tab/>
        <w:t>Competências do EUIPO para o desempenho das funções estabelecidas no presente regulamento.</w:t>
      </w:r>
    </w:p>
    <w:p w14:paraId="5FA13841" w14:textId="77777777" w:rsidR="002C5F88" w:rsidRDefault="002C5F88">
      <w:pPr>
        <w:widowControl/>
        <w:rPr>
          <w:szCs w:val="24"/>
          <w:lang w:eastAsia="en-US"/>
        </w:rPr>
      </w:pPr>
      <w:r>
        <w:rPr>
          <w:szCs w:val="24"/>
          <w:lang w:eastAsia="en-US"/>
        </w:rPr>
        <w:br w:type="page"/>
      </w:r>
    </w:p>
    <w:p w14:paraId="0949CC7C" w14:textId="55169D66"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 xml:space="preserve">O presente regulamento aplica-se a patentes que </w:t>
      </w:r>
      <w:proofErr w:type="spellStart"/>
      <w:r w:rsidRPr="002A673F">
        <w:rPr>
          <w:strike/>
          <w:szCs w:val="24"/>
          <w:lang w:eastAsia="en-US"/>
        </w:rPr>
        <w:t>sejam</w:t>
      </w:r>
      <w:r w:rsidRPr="002A673F">
        <w:rPr>
          <w:b/>
          <w:i/>
          <w:szCs w:val="24"/>
          <w:lang w:eastAsia="en-US"/>
        </w:rPr>
        <w:t>estejam</w:t>
      </w:r>
      <w:proofErr w:type="spellEnd"/>
      <w:r w:rsidRPr="002A673F">
        <w:rPr>
          <w:b/>
          <w:i/>
          <w:szCs w:val="24"/>
          <w:lang w:eastAsia="en-US"/>
        </w:rPr>
        <w:t xml:space="preserve"> em vigor num ou mais Estados-Membros e que tenham sido declaradas por um titular de PEN como sendo</w:t>
      </w:r>
      <w:r w:rsidRPr="002A673F">
        <w:rPr>
          <w:szCs w:val="24"/>
          <w:lang w:eastAsia="en-US"/>
        </w:rPr>
        <w:t xml:space="preserve"> essenciais a uma norma publicada por um organismo de normalização</w:t>
      </w:r>
      <w:r w:rsidRPr="002A673F">
        <w:rPr>
          <w:strike/>
          <w:szCs w:val="24"/>
          <w:lang w:eastAsia="en-US"/>
        </w:rPr>
        <w:t xml:space="preserve"> relativamente à qual</w:t>
      </w:r>
      <w:r w:rsidRPr="002A673F">
        <w:rPr>
          <w:b/>
          <w:i/>
          <w:szCs w:val="24"/>
          <w:lang w:eastAsia="en-US"/>
        </w:rPr>
        <w:t>, após a entrada em vigor do presente regulamento independentemente de</w:t>
      </w:r>
      <w:r w:rsidRPr="002A673F">
        <w:rPr>
          <w:szCs w:val="24"/>
          <w:lang w:eastAsia="en-US"/>
        </w:rPr>
        <w:t xml:space="preserve"> o titular de PEN se </w:t>
      </w:r>
      <w:proofErr w:type="spellStart"/>
      <w:r w:rsidRPr="002A673F">
        <w:rPr>
          <w:strike/>
          <w:szCs w:val="24"/>
          <w:lang w:eastAsia="en-US"/>
        </w:rPr>
        <w:t>comprometeu</w:t>
      </w:r>
      <w:r w:rsidRPr="002A673F">
        <w:rPr>
          <w:b/>
          <w:i/>
          <w:szCs w:val="24"/>
          <w:lang w:eastAsia="en-US"/>
        </w:rPr>
        <w:t>ter</w:t>
      </w:r>
      <w:proofErr w:type="spellEnd"/>
      <w:r w:rsidRPr="002A673F">
        <w:rPr>
          <w:b/>
          <w:i/>
          <w:szCs w:val="24"/>
          <w:lang w:eastAsia="en-US"/>
        </w:rPr>
        <w:t xml:space="preserve"> comprometido ou não</w:t>
      </w:r>
      <w:r w:rsidRPr="002A673F">
        <w:rPr>
          <w:szCs w:val="24"/>
          <w:lang w:eastAsia="en-US"/>
        </w:rPr>
        <w:t xml:space="preserve"> a licenciar as suas PEN em condições justas, razoáveis e não discriminatórios (FRAND)</w:t>
      </w:r>
      <w:r w:rsidRPr="002A673F">
        <w:rPr>
          <w:strike/>
          <w:szCs w:val="24"/>
          <w:lang w:eastAsia="en-US"/>
        </w:rPr>
        <w:t xml:space="preserve"> e que não esteja sujeita a uma política de propriedade intelectual isenta de royalties:</w:t>
      </w:r>
      <w:r w:rsidRPr="002A673F">
        <w:rPr>
          <w:b/>
          <w:i/>
          <w:szCs w:val="24"/>
          <w:lang w:eastAsia="en-US"/>
        </w:rPr>
        <w:t>.</w:t>
      </w:r>
    </w:p>
    <w:p w14:paraId="6F3674EE" w14:textId="77777777" w:rsidR="002A673F" w:rsidRPr="002A673F" w:rsidRDefault="002A673F" w:rsidP="002A673F">
      <w:pPr>
        <w:spacing w:before="120" w:after="120" w:line="360" w:lineRule="auto"/>
        <w:ind w:left="1416" w:hanging="566"/>
        <w:rPr>
          <w:szCs w:val="24"/>
          <w:lang w:eastAsia="en-US"/>
        </w:rPr>
      </w:pPr>
      <w:r w:rsidRPr="002A673F">
        <w:rPr>
          <w:strike/>
          <w:szCs w:val="24"/>
          <w:lang w:eastAsia="en-US"/>
        </w:rPr>
        <w:t>(a)</w:t>
      </w:r>
      <w:r w:rsidRPr="00E075CA">
        <w:rPr>
          <w:strike/>
          <w:szCs w:val="24"/>
          <w:lang w:eastAsia="en-US"/>
        </w:rPr>
        <w:tab/>
      </w:r>
      <w:r w:rsidRPr="002A673F">
        <w:rPr>
          <w:strike/>
          <w:szCs w:val="24"/>
          <w:lang w:eastAsia="en-US"/>
        </w:rPr>
        <w:t>Após a entrada em vigor do presente regulamento, com as exceções previstas no n.º 3;</w:t>
      </w:r>
    </w:p>
    <w:p w14:paraId="1730BE08" w14:textId="77777777" w:rsidR="002A673F" w:rsidRPr="00E075CA" w:rsidRDefault="002A673F" w:rsidP="002A673F">
      <w:pPr>
        <w:spacing w:before="120" w:after="120" w:line="360" w:lineRule="auto"/>
        <w:ind w:left="1416" w:hanging="566"/>
        <w:rPr>
          <w:b/>
          <w:szCs w:val="24"/>
          <w:lang w:eastAsia="en-US"/>
        </w:rPr>
      </w:pPr>
      <w:r w:rsidRPr="002A673F">
        <w:rPr>
          <w:strike/>
          <w:szCs w:val="24"/>
          <w:lang w:eastAsia="en-US"/>
        </w:rPr>
        <w:t>(b)</w:t>
      </w:r>
      <w:r w:rsidRPr="00E075CA">
        <w:rPr>
          <w:strike/>
          <w:szCs w:val="24"/>
          <w:lang w:eastAsia="en-US"/>
        </w:rPr>
        <w:tab/>
      </w:r>
      <w:r w:rsidRPr="002A673F">
        <w:rPr>
          <w:strike/>
          <w:szCs w:val="24"/>
          <w:lang w:eastAsia="en-US"/>
        </w:rPr>
        <w:t>Antes da entrada em vigor do presente regulamento, em conformidade com o artigo 66.º.</w:t>
      </w:r>
      <w:r w:rsidRPr="002A673F">
        <w:rPr>
          <w:b/>
          <w:szCs w:val="24"/>
          <w:lang w:eastAsia="en-US"/>
        </w:rPr>
        <w:t xml:space="preserve"> [Alt. 54]</w:t>
      </w:r>
    </w:p>
    <w:p w14:paraId="350554A3" w14:textId="77777777" w:rsidR="002C5F88" w:rsidRDefault="002C5F88">
      <w:pPr>
        <w:widowControl/>
        <w:rPr>
          <w:szCs w:val="24"/>
          <w:lang w:eastAsia="en-US"/>
        </w:rPr>
      </w:pPr>
      <w:r>
        <w:rPr>
          <w:szCs w:val="24"/>
          <w:lang w:eastAsia="en-US"/>
        </w:rPr>
        <w:br w:type="page"/>
      </w:r>
    </w:p>
    <w:p w14:paraId="43F6FE37" w14:textId="46F80C86"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w:t>
      </w:r>
      <w:r w:rsidRPr="002A673F">
        <w:rPr>
          <w:szCs w:val="24"/>
          <w:lang w:eastAsia="en-US"/>
        </w:rPr>
        <w:tab/>
        <w:t xml:space="preserve">Os artigos 17.º e 18.º e o artigo 34.º, n.º 1, não se aplicam </w:t>
      </w:r>
      <w:r w:rsidRPr="002A673F">
        <w:rPr>
          <w:strike/>
          <w:szCs w:val="24"/>
          <w:lang w:eastAsia="en-US"/>
        </w:rPr>
        <w:t>às PEN na medida em que estas sejam aplicadas em casos de utilização identificados pela Comissão nos termos do n.º 4</w:t>
      </w:r>
      <w:r w:rsidRPr="002A673F">
        <w:rPr>
          <w:b/>
          <w:i/>
          <w:szCs w:val="24"/>
          <w:lang w:eastAsia="en-US"/>
        </w:rPr>
        <w:t>se existirem provas suficientes de que as negociações de concessão de licenças de PEN em condições FRAND não suscitam dificuldades ou ineficiências significativas que afetem o funcionamento do mercado interno no que diz respeito à identificação de aplicações de determinadas normas ou partes das mesmas</w:t>
      </w:r>
      <w:r w:rsidRPr="002A673F">
        <w:rPr>
          <w:szCs w:val="24"/>
          <w:lang w:eastAsia="en-US"/>
        </w:rPr>
        <w:t>.</w:t>
      </w:r>
      <w:r w:rsidRPr="002A673F">
        <w:rPr>
          <w:b/>
          <w:i/>
          <w:szCs w:val="24"/>
          <w:lang w:eastAsia="en-US"/>
        </w:rPr>
        <w:t xml:space="preserve"> Essas aplicações, normas e partes de normas são identificadas de acordo com o procedimento previsto no artigo 65.º-B.</w:t>
      </w:r>
      <w:r w:rsidRPr="002A673F">
        <w:rPr>
          <w:b/>
          <w:szCs w:val="24"/>
          <w:lang w:eastAsia="en-US"/>
        </w:rPr>
        <w:t xml:space="preserve"> [Alt. 55]</w:t>
      </w:r>
    </w:p>
    <w:p w14:paraId="5CFC9D2F" w14:textId="77777777" w:rsidR="002C5F88" w:rsidRDefault="002C5F88">
      <w:pPr>
        <w:widowControl/>
        <w:rPr>
          <w:szCs w:val="24"/>
          <w:lang w:eastAsia="en-US"/>
        </w:rPr>
      </w:pPr>
      <w:r>
        <w:rPr>
          <w:szCs w:val="24"/>
          <w:lang w:eastAsia="en-US"/>
        </w:rPr>
        <w:br w:type="page"/>
      </w:r>
    </w:p>
    <w:p w14:paraId="75835E7E" w14:textId="1F9CC9F6"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4.</w:t>
      </w:r>
      <w:r w:rsidRPr="002A673F">
        <w:rPr>
          <w:szCs w:val="24"/>
          <w:lang w:eastAsia="en-US"/>
        </w:rPr>
        <w:tab/>
      </w:r>
      <w:r w:rsidRPr="002A673F">
        <w:rPr>
          <w:strike/>
          <w:szCs w:val="24"/>
          <w:lang w:eastAsia="en-US"/>
        </w:rPr>
        <w:t xml:space="preserve">Caso existam provas suficientes de que, no que diz respeito aos casos de utilização identificados de determinadas normas ou partes das mesmas, as negociações de concessão de </w:t>
      </w:r>
      <w:proofErr w:type="spellStart"/>
      <w:r w:rsidRPr="002A673F">
        <w:rPr>
          <w:strike/>
          <w:szCs w:val="24"/>
          <w:lang w:eastAsia="en-US"/>
        </w:rPr>
        <w:t>licenças</w:t>
      </w:r>
      <w:r w:rsidRPr="002A673F">
        <w:rPr>
          <w:b/>
          <w:i/>
          <w:szCs w:val="24"/>
          <w:lang w:eastAsia="en-US"/>
        </w:rPr>
        <w:t>Sem</w:t>
      </w:r>
      <w:proofErr w:type="spellEnd"/>
      <w:r w:rsidRPr="002A673F">
        <w:rPr>
          <w:b/>
          <w:i/>
          <w:szCs w:val="24"/>
          <w:lang w:eastAsia="en-US"/>
        </w:rPr>
        <w:t xml:space="preserve"> prejuízo do disposto no n.º 2 do presente artigo, o presente regulamento aplica-se igualmente às patentes em vigor num ou mais Estados-Membros e que um titular</w:t>
      </w:r>
      <w:r w:rsidRPr="002A673F">
        <w:rPr>
          <w:szCs w:val="24"/>
          <w:lang w:eastAsia="en-US"/>
        </w:rPr>
        <w:t xml:space="preserve"> de PEN </w:t>
      </w:r>
      <w:r w:rsidRPr="002A673F">
        <w:rPr>
          <w:b/>
          <w:i/>
          <w:szCs w:val="24"/>
          <w:lang w:eastAsia="en-US"/>
        </w:rPr>
        <w:t xml:space="preserve">alegue serem essenciais para uma norma publicada por um organismo de elaboração de normas antes da entrada em vigor do presente regulamento, sempre </w:t>
      </w:r>
      <w:proofErr w:type="spellStart"/>
      <w:r w:rsidRPr="002A673F">
        <w:rPr>
          <w:b/>
          <w:i/>
          <w:szCs w:val="24"/>
          <w:lang w:eastAsia="en-US"/>
        </w:rPr>
        <w:t>que</w:t>
      </w:r>
      <w:r w:rsidRPr="002A673F">
        <w:rPr>
          <w:strike/>
          <w:szCs w:val="24"/>
          <w:lang w:eastAsia="en-US"/>
        </w:rPr>
        <w:t>em</w:t>
      </w:r>
      <w:proofErr w:type="spellEnd"/>
      <w:r w:rsidRPr="002A673F">
        <w:rPr>
          <w:strike/>
          <w:szCs w:val="24"/>
          <w:lang w:eastAsia="en-US"/>
        </w:rPr>
        <w:t xml:space="preserve"> condições FRAND não suscitam ineficiências nem dificuldades significativas que afetem</w:t>
      </w:r>
      <w:r w:rsidRPr="002A673F">
        <w:rPr>
          <w:szCs w:val="24"/>
          <w:lang w:eastAsia="en-US"/>
        </w:rPr>
        <w:t xml:space="preserve"> o funcionamento do mercado interno</w:t>
      </w:r>
      <w:r w:rsidRPr="002A673F">
        <w:rPr>
          <w:strike/>
          <w:szCs w:val="24"/>
          <w:lang w:eastAsia="en-US"/>
        </w:rPr>
        <w:t>, a Comissão, após um processo de consulta adequado, deve, por meio de um ato delegado nos termos do artigo 67.º, estabelecer uma lista desses casos de utilização</w:t>
      </w:r>
      <w:r w:rsidRPr="002A673F">
        <w:rPr>
          <w:b/>
          <w:i/>
          <w:szCs w:val="24"/>
          <w:lang w:eastAsia="en-US"/>
        </w:rPr>
        <w:t xml:space="preserve"> seja gravemente distorcido devido a dificuldades ou ineficiências significativas no licenciamento de PEN para determinadas aplicações</w:t>
      </w:r>
      <w:r w:rsidRPr="002A673F">
        <w:rPr>
          <w:szCs w:val="24"/>
          <w:lang w:eastAsia="en-US"/>
        </w:rPr>
        <w:t xml:space="preserve">, normas </w:t>
      </w:r>
      <w:proofErr w:type="spellStart"/>
      <w:r w:rsidRPr="002A673F">
        <w:rPr>
          <w:strike/>
          <w:szCs w:val="24"/>
          <w:lang w:eastAsia="en-US"/>
        </w:rPr>
        <w:t>ou</w:t>
      </w:r>
      <w:r w:rsidRPr="002A673F">
        <w:rPr>
          <w:b/>
          <w:i/>
          <w:szCs w:val="24"/>
          <w:lang w:eastAsia="en-US"/>
        </w:rPr>
        <w:t>e</w:t>
      </w:r>
      <w:proofErr w:type="spellEnd"/>
      <w:r w:rsidRPr="002A673F">
        <w:rPr>
          <w:szCs w:val="24"/>
          <w:lang w:eastAsia="en-US"/>
        </w:rPr>
        <w:t xml:space="preserve"> partes das mesmas</w:t>
      </w:r>
      <w:r w:rsidRPr="002A673F">
        <w:rPr>
          <w:b/>
          <w:i/>
          <w:szCs w:val="24"/>
          <w:lang w:eastAsia="en-US"/>
        </w:rPr>
        <w:t>. Tais aplicações, normas e partes de normas são identificadas de acordo com o procedimento previsto no artigo 65.º-C</w:t>
      </w:r>
      <w:r w:rsidRPr="002A673F">
        <w:rPr>
          <w:strike/>
          <w:szCs w:val="24"/>
          <w:lang w:eastAsia="en-US"/>
        </w:rPr>
        <w:t>, para efeitos do n.º 3</w:t>
      </w:r>
      <w:r w:rsidRPr="002A673F">
        <w:rPr>
          <w:szCs w:val="24"/>
          <w:lang w:eastAsia="en-US"/>
        </w:rPr>
        <w:t xml:space="preserve">. </w:t>
      </w:r>
      <w:r w:rsidRPr="002A673F">
        <w:rPr>
          <w:b/>
          <w:szCs w:val="24"/>
          <w:lang w:eastAsia="en-US"/>
        </w:rPr>
        <w:t>[Alt. 56]</w:t>
      </w:r>
    </w:p>
    <w:p w14:paraId="0DE334C2" w14:textId="77777777" w:rsidR="002C5F88" w:rsidRDefault="002C5F88">
      <w:pPr>
        <w:widowControl/>
        <w:rPr>
          <w:szCs w:val="24"/>
          <w:lang w:eastAsia="en-US"/>
        </w:rPr>
      </w:pPr>
      <w:r>
        <w:rPr>
          <w:szCs w:val="24"/>
          <w:lang w:eastAsia="en-US"/>
        </w:rPr>
        <w:br w:type="page"/>
      </w:r>
    </w:p>
    <w:p w14:paraId="4BCCF1CC" w14:textId="62270477"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5.</w:t>
      </w:r>
      <w:r w:rsidRPr="002A673F">
        <w:rPr>
          <w:szCs w:val="24"/>
          <w:lang w:eastAsia="en-US"/>
        </w:rPr>
        <w:tab/>
        <w:t xml:space="preserve">O presente regulamento </w:t>
      </w:r>
      <w:r w:rsidRPr="002A673F">
        <w:rPr>
          <w:b/>
          <w:i/>
          <w:szCs w:val="24"/>
          <w:lang w:eastAsia="en-US"/>
        </w:rPr>
        <w:t xml:space="preserve">não </w:t>
      </w:r>
      <w:r w:rsidRPr="002A673F">
        <w:rPr>
          <w:szCs w:val="24"/>
          <w:lang w:eastAsia="en-US"/>
        </w:rPr>
        <w:t xml:space="preserve">é aplicável </w:t>
      </w:r>
      <w:r w:rsidRPr="002A673F">
        <w:rPr>
          <w:strike/>
          <w:szCs w:val="24"/>
          <w:lang w:eastAsia="en-US"/>
        </w:rPr>
        <w:t>aos titulares de PEN em vigor num ou mais Estados-</w:t>
      </w:r>
      <w:proofErr w:type="spellStart"/>
      <w:r w:rsidRPr="002A673F">
        <w:rPr>
          <w:strike/>
          <w:szCs w:val="24"/>
          <w:lang w:eastAsia="en-US"/>
        </w:rPr>
        <w:t>Membros</w:t>
      </w:r>
      <w:r w:rsidRPr="002A673F">
        <w:rPr>
          <w:b/>
          <w:i/>
          <w:szCs w:val="24"/>
          <w:lang w:eastAsia="en-US"/>
        </w:rPr>
        <w:t>às</w:t>
      </w:r>
      <w:proofErr w:type="spellEnd"/>
      <w:r w:rsidRPr="002A673F">
        <w:rPr>
          <w:b/>
          <w:i/>
          <w:szCs w:val="24"/>
          <w:lang w:eastAsia="en-US"/>
        </w:rPr>
        <w:t xml:space="preserve"> PEN sujeitas a uma política de propriedade intelectual isenta de </w:t>
      </w:r>
      <w:r w:rsidRPr="00E075CA">
        <w:rPr>
          <w:b/>
          <w:szCs w:val="24"/>
          <w:lang w:eastAsia="en-US"/>
        </w:rPr>
        <w:t>royalties</w:t>
      </w:r>
      <w:r w:rsidRPr="002A673F">
        <w:rPr>
          <w:b/>
          <w:i/>
          <w:szCs w:val="24"/>
          <w:lang w:eastAsia="en-US"/>
        </w:rPr>
        <w:t xml:space="preserve">, exceto se essas PEN fizerem parte de uma carteira de patentes licenciadas para obter </w:t>
      </w:r>
      <w:r w:rsidRPr="00E075CA">
        <w:rPr>
          <w:b/>
          <w:szCs w:val="24"/>
          <w:lang w:eastAsia="en-US"/>
        </w:rPr>
        <w:t>royalties</w:t>
      </w:r>
      <w:r w:rsidRPr="002A673F">
        <w:rPr>
          <w:szCs w:val="24"/>
          <w:lang w:eastAsia="en-US"/>
        </w:rPr>
        <w:t>.</w:t>
      </w:r>
      <w:r w:rsidRPr="002A673F">
        <w:rPr>
          <w:b/>
          <w:szCs w:val="24"/>
          <w:lang w:eastAsia="en-US"/>
        </w:rPr>
        <w:t xml:space="preserve"> [Alt. 57]</w:t>
      </w:r>
    </w:p>
    <w:p w14:paraId="1064F9DA"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6.</w:t>
      </w:r>
      <w:r w:rsidRPr="002A673F">
        <w:rPr>
          <w:szCs w:val="24"/>
          <w:lang w:eastAsia="en-US"/>
        </w:rPr>
        <w:tab/>
        <w:t>O presente regulamento não se aplica a alegações de invalidade ou de infração não relacionadas com a aplicação de uma norma notificada ao abrigo do presente regulamento.</w:t>
      </w:r>
    </w:p>
    <w:p w14:paraId="0CD1D267"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7.</w:t>
      </w:r>
      <w:r w:rsidRPr="002A673F">
        <w:rPr>
          <w:szCs w:val="24"/>
          <w:lang w:eastAsia="en-US"/>
        </w:rPr>
        <w:tab/>
        <w:t>O presente regulamento não prejudica a aplicação dos artigos 101.º e 102.º do TFUE nem a aplicação das disposições nacionais correspondentes sobre concorrência.</w:t>
      </w:r>
    </w:p>
    <w:p w14:paraId="6881615A"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2.º</w:t>
      </w:r>
      <w:r w:rsidRPr="002A673F">
        <w:rPr>
          <w:szCs w:val="24"/>
          <w:lang w:eastAsia="en-US"/>
        </w:rPr>
        <w:br/>
        <w:t>Definições</w:t>
      </w:r>
    </w:p>
    <w:p w14:paraId="4680B2C8" w14:textId="77777777" w:rsidR="002A673F" w:rsidRPr="002A673F" w:rsidRDefault="002A673F" w:rsidP="002A673F">
      <w:pPr>
        <w:spacing w:before="120" w:after="120" w:line="360" w:lineRule="auto"/>
        <w:rPr>
          <w:szCs w:val="24"/>
          <w:lang w:eastAsia="en-US"/>
        </w:rPr>
      </w:pPr>
      <w:r w:rsidRPr="002A673F">
        <w:rPr>
          <w:szCs w:val="24"/>
          <w:lang w:eastAsia="en-US"/>
        </w:rPr>
        <w:t>Para efeitos do presente regulamento, entende-se por:</w:t>
      </w:r>
    </w:p>
    <w:p w14:paraId="52576A83" w14:textId="4494C6BD"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 xml:space="preserve">«Patente essencial a uma norma» ou «PEN», </w:t>
      </w:r>
      <w:r w:rsidRPr="00E075CA">
        <w:rPr>
          <w:b/>
          <w:szCs w:val="24"/>
          <w:lang w:eastAsia="en-US"/>
        </w:rPr>
        <w:t>qualquer</w:t>
      </w:r>
      <w:r w:rsidRPr="002A673F">
        <w:rPr>
          <w:szCs w:val="24"/>
          <w:lang w:eastAsia="en-US"/>
        </w:rPr>
        <w:t xml:space="preserve"> patente que seja </w:t>
      </w:r>
      <w:r w:rsidRPr="002A673F">
        <w:rPr>
          <w:b/>
          <w:i/>
          <w:szCs w:val="24"/>
          <w:lang w:eastAsia="en-US"/>
        </w:rPr>
        <w:t xml:space="preserve">declarada </w:t>
      </w:r>
      <w:r w:rsidRPr="002A673F">
        <w:rPr>
          <w:szCs w:val="24"/>
          <w:lang w:eastAsia="en-US"/>
        </w:rPr>
        <w:t>essencial a uma norma</w:t>
      </w:r>
      <w:r w:rsidRPr="002A673F">
        <w:rPr>
          <w:b/>
          <w:i/>
          <w:szCs w:val="24"/>
          <w:lang w:eastAsia="en-US"/>
        </w:rPr>
        <w:t xml:space="preserve"> pelo titular de uma PEN</w:t>
      </w:r>
      <w:r w:rsidRPr="002A673F">
        <w:rPr>
          <w:szCs w:val="24"/>
          <w:lang w:eastAsia="en-US"/>
        </w:rPr>
        <w:t>;</w:t>
      </w:r>
      <w:r w:rsidRPr="002A673F">
        <w:rPr>
          <w:b/>
          <w:szCs w:val="24"/>
          <w:lang w:eastAsia="en-US"/>
        </w:rPr>
        <w:t xml:space="preserve"> [Alt. 58]</w:t>
      </w:r>
    </w:p>
    <w:p w14:paraId="7E9E04D8" w14:textId="1A991D59"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«Essencial a uma norma», o facto de a patente conter, pelo menos, uma reivindicação segundo a qual não é possível, por motivos técnicos, fazer ou utilizar uma aplicação ou um método que cumpra uma norma, incluindo as opções nela previstas, sem violar a patente no atual estado da técnica e da prática técnica normal;</w:t>
      </w:r>
    </w:p>
    <w:p w14:paraId="1B66FE35" w14:textId="77777777" w:rsidR="002C5F88" w:rsidRDefault="002C5F88">
      <w:pPr>
        <w:widowControl/>
        <w:rPr>
          <w:szCs w:val="24"/>
          <w:lang w:eastAsia="en-US"/>
        </w:rPr>
      </w:pPr>
      <w:r>
        <w:rPr>
          <w:szCs w:val="24"/>
          <w:lang w:eastAsia="en-US"/>
        </w:rPr>
        <w:br w:type="page"/>
      </w:r>
    </w:p>
    <w:p w14:paraId="0F2CC9D5" w14:textId="7F07AD41"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w:t>
      </w:r>
      <w:r w:rsidRPr="002A673F">
        <w:rPr>
          <w:szCs w:val="24"/>
          <w:lang w:eastAsia="en-US"/>
        </w:rPr>
        <w:tab/>
        <w:t>«Norma», uma especificação técnica, aprovada por um organismo de normalização, para aplicação repetida ou continuada</w:t>
      </w:r>
      <w:r w:rsidRPr="002A673F">
        <w:rPr>
          <w:strike/>
          <w:szCs w:val="24"/>
          <w:lang w:eastAsia="en-US"/>
        </w:rPr>
        <w:t>, cuja observância não é obrigatória</w:t>
      </w:r>
      <w:r w:rsidRPr="002A673F">
        <w:rPr>
          <w:szCs w:val="24"/>
          <w:lang w:eastAsia="en-US"/>
        </w:rPr>
        <w:t>;</w:t>
      </w:r>
      <w:r w:rsidRPr="002A673F">
        <w:rPr>
          <w:b/>
          <w:szCs w:val="24"/>
          <w:lang w:eastAsia="en-US"/>
        </w:rPr>
        <w:t xml:space="preserve"> [Alt. 59]</w:t>
      </w:r>
    </w:p>
    <w:p w14:paraId="4447B17E" w14:textId="648E9338"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 xml:space="preserve">«Especificação técnica», um documento que define os requisitos técnicos que um produto, processo, serviço ou sistema deve cumprir, na aceção do artigo 2.º do Regulamento (UE) n.º 1025/2012 do Parlamento Europeu e do Conselho </w:t>
      </w:r>
      <w:r w:rsidRPr="002A673F">
        <w:rPr>
          <w:szCs w:val="24"/>
          <w:vertAlign w:val="superscript"/>
          <w:lang w:eastAsia="en-US"/>
        </w:rPr>
        <w:footnoteReference w:id="21"/>
      </w:r>
      <w:r w:rsidRPr="002A673F">
        <w:rPr>
          <w:szCs w:val="24"/>
          <w:lang w:eastAsia="en-US"/>
        </w:rPr>
        <w:t>;</w:t>
      </w:r>
    </w:p>
    <w:p w14:paraId="0D7102B2" w14:textId="4CB2A7E1" w:rsidR="002A673F" w:rsidRPr="002A673F" w:rsidRDefault="002A673F" w:rsidP="002A673F">
      <w:pPr>
        <w:spacing w:before="120" w:after="120" w:line="360" w:lineRule="auto"/>
        <w:ind w:left="850" w:hanging="850"/>
        <w:rPr>
          <w:szCs w:val="24"/>
          <w:lang w:eastAsia="en-US"/>
        </w:rPr>
      </w:pPr>
      <w:r w:rsidRPr="002A673F">
        <w:rPr>
          <w:szCs w:val="24"/>
          <w:lang w:eastAsia="en-US"/>
        </w:rPr>
        <w:t>5)</w:t>
      </w:r>
      <w:r w:rsidRPr="002A673F">
        <w:rPr>
          <w:szCs w:val="24"/>
          <w:lang w:eastAsia="en-US"/>
        </w:rPr>
        <w:tab/>
        <w:t>«Organismo de normalização», qualquer organismo de normalização que não seja uma associação industrial privada que desenvolva especificações técnicas exclusivas, requisitos técnicos ou de qualidade ou recomendações para produtos, processos de produção, serviços ou métodos;</w:t>
      </w:r>
    </w:p>
    <w:p w14:paraId="43812AED" w14:textId="7CDF4916" w:rsidR="002A673F" w:rsidRPr="00E075CA" w:rsidRDefault="002A673F" w:rsidP="002A673F">
      <w:pPr>
        <w:spacing w:before="120" w:after="120" w:line="360" w:lineRule="auto"/>
        <w:ind w:left="850" w:hanging="850"/>
        <w:rPr>
          <w:b/>
          <w:szCs w:val="24"/>
          <w:lang w:eastAsia="en-US"/>
        </w:rPr>
      </w:pPr>
      <w:r w:rsidRPr="002A673F">
        <w:rPr>
          <w:b/>
          <w:i/>
          <w:szCs w:val="24"/>
          <w:lang w:eastAsia="en-US"/>
        </w:rPr>
        <w:t>5-A)</w:t>
      </w:r>
      <w:r w:rsidRPr="002A673F">
        <w:rPr>
          <w:szCs w:val="24"/>
          <w:lang w:eastAsia="en-US"/>
        </w:rPr>
        <w:tab/>
      </w:r>
      <w:r w:rsidRPr="002A673F">
        <w:rPr>
          <w:b/>
          <w:i/>
          <w:szCs w:val="24"/>
          <w:lang w:eastAsia="en-US"/>
        </w:rPr>
        <w:t>«Execução», um cenário específico no qual uma tecnologia ou um método normalizados específicos são aplicados com vista à consecução de uma determinada finalidade ou função de um produto, processo, serviço ou sistema, e independentemente do seu nível na cadeia de valor;</w:t>
      </w:r>
      <w:r w:rsidRPr="002A673F">
        <w:rPr>
          <w:b/>
          <w:szCs w:val="24"/>
          <w:lang w:eastAsia="en-US"/>
        </w:rPr>
        <w:t xml:space="preserve"> [Alt. 60]</w:t>
      </w:r>
    </w:p>
    <w:p w14:paraId="4D588BC8" w14:textId="1D03D5D8" w:rsidR="002A673F" w:rsidRPr="00E075CA" w:rsidRDefault="002A673F" w:rsidP="002A673F">
      <w:pPr>
        <w:spacing w:before="120" w:after="120" w:line="360" w:lineRule="auto"/>
        <w:ind w:left="850" w:hanging="850"/>
        <w:rPr>
          <w:b/>
          <w:szCs w:val="24"/>
          <w:lang w:eastAsia="en-US"/>
        </w:rPr>
      </w:pPr>
      <w:r w:rsidRPr="002A673F">
        <w:rPr>
          <w:szCs w:val="24"/>
          <w:lang w:eastAsia="en-US"/>
        </w:rPr>
        <w:t>6)</w:t>
      </w:r>
      <w:r w:rsidRPr="002A673F">
        <w:rPr>
          <w:szCs w:val="24"/>
          <w:lang w:eastAsia="en-US"/>
        </w:rPr>
        <w:tab/>
        <w:t>«Titular de uma PEN», um proprietário de uma PEN ou uma pessoa que é titular de uma licença exclusiva para uma PEN num ou mais Estados-Membros;</w:t>
      </w:r>
      <w:r w:rsidRPr="002A673F">
        <w:rPr>
          <w:b/>
          <w:szCs w:val="24"/>
          <w:lang w:eastAsia="en-US"/>
        </w:rPr>
        <w:t xml:space="preserve"> [Alt. 61</w:t>
      </w:r>
      <w:r w:rsidR="00916FB6">
        <w:rPr>
          <w:b/>
          <w:szCs w:val="24"/>
          <w:lang w:eastAsia="en-US"/>
        </w:rPr>
        <w:t xml:space="preserve"> - Não se aplica à versão portuguesa</w:t>
      </w:r>
      <w:r w:rsidRPr="002A673F">
        <w:rPr>
          <w:b/>
          <w:szCs w:val="24"/>
          <w:lang w:eastAsia="en-US"/>
        </w:rPr>
        <w:t>]</w:t>
      </w:r>
    </w:p>
    <w:p w14:paraId="1166B97B" w14:textId="77777777" w:rsidR="002C5F88" w:rsidRDefault="002C5F88">
      <w:pPr>
        <w:widowControl/>
        <w:rPr>
          <w:szCs w:val="24"/>
          <w:lang w:eastAsia="en-US"/>
        </w:rPr>
      </w:pPr>
      <w:r>
        <w:rPr>
          <w:szCs w:val="24"/>
          <w:lang w:eastAsia="en-US"/>
        </w:rPr>
        <w:br w:type="page"/>
      </w:r>
    </w:p>
    <w:p w14:paraId="58F74EA6" w14:textId="372F74E5"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7)</w:t>
      </w:r>
      <w:r w:rsidRPr="002A673F">
        <w:rPr>
          <w:szCs w:val="24"/>
          <w:lang w:eastAsia="en-US"/>
        </w:rPr>
        <w:tab/>
        <w:t>«Utilizador», uma pessoa singular ou coletiva que aplica, ou tenciona aplicar, uma norma num produto, processo, serviço ou sistema</w:t>
      </w:r>
      <w:r w:rsidRPr="002A673F">
        <w:rPr>
          <w:b/>
          <w:i/>
          <w:szCs w:val="24"/>
          <w:lang w:eastAsia="en-US"/>
        </w:rPr>
        <w:t xml:space="preserve"> no mercado da União</w:t>
      </w:r>
      <w:r w:rsidRPr="002A673F">
        <w:rPr>
          <w:szCs w:val="24"/>
          <w:lang w:eastAsia="en-US"/>
        </w:rPr>
        <w:t>;</w:t>
      </w:r>
      <w:r w:rsidRPr="002A673F">
        <w:rPr>
          <w:b/>
          <w:szCs w:val="24"/>
          <w:lang w:eastAsia="en-US"/>
        </w:rPr>
        <w:t xml:space="preserve"> [Alt. 62]</w:t>
      </w:r>
    </w:p>
    <w:p w14:paraId="22910BBA" w14:textId="32A43C39" w:rsidR="002A673F" w:rsidRPr="002A673F" w:rsidRDefault="002A673F" w:rsidP="002A673F">
      <w:pPr>
        <w:spacing w:before="120" w:after="120" w:line="360" w:lineRule="auto"/>
        <w:ind w:left="850" w:hanging="850"/>
        <w:rPr>
          <w:szCs w:val="24"/>
          <w:lang w:eastAsia="en-US"/>
        </w:rPr>
      </w:pPr>
      <w:r w:rsidRPr="002A673F">
        <w:rPr>
          <w:szCs w:val="24"/>
          <w:lang w:eastAsia="en-US"/>
        </w:rPr>
        <w:t>8)</w:t>
      </w:r>
      <w:r w:rsidRPr="002A673F">
        <w:rPr>
          <w:szCs w:val="24"/>
          <w:lang w:eastAsia="en-US"/>
        </w:rPr>
        <w:tab/>
        <w:t>«Condições FRAND», condições justas, razoáveis e não discriminatórias de concessão de licenças de PEN;</w:t>
      </w:r>
    </w:p>
    <w:p w14:paraId="317B94BF" w14:textId="61A7380A" w:rsidR="002A673F" w:rsidRPr="002A673F" w:rsidRDefault="002A673F" w:rsidP="002A673F">
      <w:pPr>
        <w:spacing w:before="120" w:after="120" w:line="360" w:lineRule="auto"/>
        <w:ind w:left="850" w:hanging="850"/>
        <w:rPr>
          <w:szCs w:val="24"/>
          <w:lang w:eastAsia="en-US"/>
        </w:rPr>
      </w:pPr>
      <w:r w:rsidRPr="002A673F">
        <w:rPr>
          <w:szCs w:val="24"/>
          <w:lang w:eastAsia="en-US"/>
        </w:rPr>
        <w:t>9)</w:t>
      </w:r>
      <w:r w:rsidRPr="002A673F">
        <w:rPr>
          <w:szCs w:val="24"/>
          <w:lang w:eastAsia="en-US"/>
        </w:rPr>
        <w:tab/>
        <w:t>«Determinação FRAND», um procedimento estruturado para a determinação das condições FRAND de uma licença PEN;</w:t>
      </w:r>
    </w:p>
    <w:p w14:paraId="6D062360" w14:textId="671DAF99" w:rsidR="002A673F" w:rsidRPr="00E075CA" w:rsidRDefault="002A673F" w:rsidP="002A673F">
      <w:pPr>
        <w:spacing w:before="120" w:after="120" w:line="360" w:lineRule="auto"/>
        <w:ind w:left="850" w:hanging="850"/>
        <w:rPr>
          <w:b/>
          <w:szCs w:val="24"/>
          <w:lang w:eastAsia="en-US"/>
        </w:rPr>
      </w:pPr>
      <w:r w:rsidRPr="002A673F">
        <w:rPr>
          <w:szCs w:val="24"/>
          <w:lang w:eastAsia="en-US"/>
        </w:rPr>
        <w:t>10)</w:t>
      </w:r>
      <w:r w:rsidRPr="002A673F">
        <w:rPr>
          <w:szCs w:val="24"/>
          <w:lang w:eastAsia="en-US"/>
        </w:rPr>
        <w:tab/>
        <w:t>«</w:t>
      </w:r>
      <w:r w:rsidRPr="00E075CA">
        <w:rPr>
          <w:i/>
          <w:szCs w:val="24"/>
          <w:lang w:eastAsia="en-US"/>
        </w:rPr>
        <w:t>Royalties</w:t>
      </w:r>
      <w:r w:rsidRPr="002A673F">
        <w:rPr>
          <w:szCs w:val="24"/>
          <w:lang w:eastAsia="en-US"/>
        </w:rPr>
        <w:t xml:space="preserve"> agregados», o montante </w:t>
      </w:r>
      <w:r w:rsidRPr="002A673F">
        <w:rPr>
          <w:strike/>
          <w:szCs w:val="24"/>
          <w:lang w:eastAsia="en-US"/>
        </w:rPr>
        <w:t xml:space="preserve">máximo de royalties </w:t>
      </w:r>
      <w:proofErr w:type="spellStart"/>
      <w:r w:rsidRPr="002A673F">
        <w:rPr>
          <w:strike/>
          <w:szCs w:val="24"/>
          <w:lang w:eastAsia="en-US"/>
        </w:rPr>
        <w:t>para</w:t>
      </w:r>
      <w:r w:rsidRPr="002A673F">
        <w:rPr>
          <w:b/>
          <w:i/>
          <w:szCs w:val="24"/>
          <w:lang w:eastAsia="en-US"/>
        </w:rPr>
        <w:t>pecuniário</w:t>
      </w:r>
      <w:proofErr w:type="spellEnd"/>
      <w:r w:rsidRPr="002A673F">
        <w:rPr>
          <w:b/>
          <w:i/>
          <w:szCs w:val="24"/>
          <w:lang w:eastAsia="en-US"/>
        </w:rPr>
        <w:t xml:space="preserve"> já pago ou a pagar para o licenciamento de</w:t>
      </w:r>
      <w:r w:rsidRPr="002A673F">
        <w:rPr>
          <w:szCs w:val="24"/>
          <w:lang w:eastAsia="en-US"/>
        </w:rPr>
        <w:t xml:space="preserve"> todas as patentes essenciais a normas;</w:t>
      </w:r>
      <w:r w:rsidRPr="002A673F">
        <w:rPr>
          <w:b/>
          <w:szCs w:val="24"/>
          <w:lang w:eastAsia="en-US"/>
        </w:rPr>
        <w:t xml:space="preserve"> [Alt. 63]</w:t>
      </w:r>
    </w:p>
    <w:p w14:paraId="1F87F85D" w14:textId="78E663DC" w:rsidR="002A673F" w:rsidRPr="00E075CA" w:rsidRDefault="002A673F" w:rsidP="002A673F">
      <w:pPr>
        <w:spacing w:before="120" w:after="120" w:line="360" w:lineRule="auto"/>
        <w:ind w:left="850" w:hanging="850"/>
        <w:rPr>
          <w:b/>
          <w:szCs w:val="24"/>
          <w:lang w:eastAsia="en-US"/>
        </w:rPr>
      </w:pPr>
      <w:r w:rsidRPr="002A673F">
        <w:rPr>
          <w:b/>
          <w:i/>
          <w:szCs w:val="24"/>
          <w:lang w:eastAsia="en-US"/>
        </w:rPr>
        <w:t>10-A)</w:t>
      </w:r>
      <w:r w:rsidRPr="002A673F">
        <w:rPr>
          <w:szCs w:val="24"/>
          <w:lang w:eastAsia="en-US"/>
        </w:rPr>
        <w:tab/>
      </w:r>
      <w:r w:rsidRPr="002A673F">
        <w:rPr>
          <w:b/>
          <w:i/>
          <w:szCs w:val="24"/>
          <w:lang w:eastAsia="en-US"/>
        </w:rPr>
        <w:t xml:space="preserve">«Isento/a de </w:t>
      </w:r>
      <w:r w:rsidRPr="00E075CA">
        <w:rPr>
          <w:b/>
          <w:szCs w:val="24"/>
          <w:lang w:eastAsia="en-US"/>
        </w:rPr>
        <w:t>royalties</w:t>
      </w:r>
      <w:r w:rsidRPr="002A673F">
        <w:rPr>
          <w:b/>
          <w:i/>
          <w:szCs w:val="24"/>
          <w:lang w:eastAsia="en-US"/>
        </w:rPr>
        <w:t xml:space="preserve">», a disponibilidade sem o pagamento de </w:t>
      </w:r>
      <w:r w:rsidRPr="00E075CA">
        <w:rPr>
          <w:b/>
          <w:szCs w:val="24"/>
          <w:lang w:eastAsia="en-US"/>
        </w:rPr>
        <w:t>royalties</w:t>
      </w:r>
      <w:r w:rsidRPr="002A673F">
        <w:rPr>
          <w:b/>
          <w:i/>
          <w:szCs w:val="24"/>
          <w:lang w:eastAsia="en-US"/>
        </w:rPr>
        <w:t xml:space="preserve"> ou sem que exista um acordo com qualquer finalidade, com cariz pecuniário ou não;</w:t>
      </w:r>
      <w:r w:rsidRPr="002A673F">
        <w:rPr>
          <w:b/>
          <w:szCs w:val="24"/>
          <w:lang w:eastAsia="en-US"/>
        </w:rPr>
        <w:t xml:space="preserve"> [Alt. 64]</w:t>
      </w:r>
    </w:p>
    <w:p w14:paraId="3E4FBD36" w14:textId="3991E29D" w:rsidR="002A673F" w:rsidRPr="00E075CA" w:rsidRDefault="002A673F" w:rsidP="002A673F">
      <w:pPr>
        <w:spacing w:before="120" w:after="120" w:line="360" w:lineRule="auto"/>
        <w:ind w:left="850" w:hanging="850"/>
        <w:rPr>
          <w:b/>
          <w:szCs w:val="24"/>
          <w:lang w:eastAsia="en-US"/>
        </w:rPr>
      </w:pPr>
      <w:r w:rsidRPr="002A673F">
        <w:rPr>
          <w:szCs w:val="24"/>
          <w:lang w:eastAsia="en-US"/>
        </w:rPr>
        <w:t>11)</w:t>
      </w:r>
      <w:r w:rsidRPr="002A673F">
        <w:rPr>
          <w:szCs w:val="24"/>
          <w:lang w:eastAsia="en-US"/>
        </w:rPr>
        <w:tab/>
        <w:t>«Comunhão de patentes», uma entidade criada por um acordo entre dois ou mais titulares de PEN</w:t>
      </w:r>
      <w:r w:rsidRPr="002A673F">
        <w:rPr>
          <w:b/>
          <w:i/>
          <w:szCs w:val="24"/>
          <w:lang w:eastAsia="en-US"/>
        </w:rPr>
        <w:t>, ou um consórcio, no âmbito dos quais múltiplos titulares de PEN concordam em</w:t>
      </w:r>
      <w:r w:rsidRPr="002A673F">
        <w:rPr>
          <w:strike/>
          <w:szCs w:val="24"/>
          <w:lang w:eastAsia="en-US"/>
        </w:rPr>
        <w:t xml:space="preserve"> para</w:t>
      </w:r>
      <w:r w:rsidRPr="002A673F">
        <w:rPr>
          <w:szCs w:val="24"/>
          <w:lang w:eastAsia="en-US"/>
        </w:rPr>
        <w:t xml:space="preserve"> conceder licenças de uma ou mais das suas </w:t>
      </w:r>
      <w:proofErr w:type="spellStart"/>
      <w:r w:rsidRPr="002A673F">
        <w:rPr>
          <w:strike/>
          <w:szCs w:val="24"/>
          <w:lang w:eastAsia="en-US"/>
        </w:rPr>
        <w:t>patentes</w:t>
      </w:r>
      <w:r w:rsidRPr="002A673F">
        <w:rPr>
          <w:b/>
          <w:i/>
          <w:szCs w:val="24"/>
          <w:lang w:eastAsia="en-US"/>
        </w:rPr>
        <w:t>PEN</w:t>
      </w:r>
      <w:proofErr w:type="spellEnd"/>
      <w:r w:rsidRPr="002A673F">
        <w:rPr>
          <w:szCs w:val="24"/>
          <w:lang w:eastAsia="en-US"/>
        </w:rPr>
        <w:t xml:space="preserve"> entre si ou a terceiros;</w:t>
      </w:r>
      <w:r w:rsidRPr="002A673F">
        <w:rPr>
          <w:b/>
          <w:szCs w:val="24"/>
          <w:lang w:eastAsia="en-US"/>
        </w:rPr>
        <w:t xml:space="preserve"> [Alt. 65]</w:t>
      </w:r>
    </w:p>
    <w:p w14:paraId="1AFB3975" w14:textId="77777777" w:rsidR="002C5F88" w:rsidRDefault="002C5F88">
      <w:pPr>
        <w:widowControl/>
        <w:rPr>
          <w:szCs w:val="24"/>
          <w:lang w:eastAsia="en-US"/>
        </w:rPr>
      </w:pPr>
      <w:r>
        <w:rPr>
          <w:szCs w:val="24"/>
          <w:lang w:eastAsia="en-US"/>
        </w:rPr>
        <w:br w:type="page"/>
      </w:r>
    </w:p>
    <w:p w14:paraId="141A87A7" w14:textId="2CAF65E5"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12)</w:t>
      </w:r>
      <w:r w:rsidRPr="002A673F">
        <w:rPr>
          <w:szCs w:val="24"/>
          <w:lang w:eastAsia="en-US"/>
        </w:rPr>
        <w:tab/>
        <w:t>«Avaliação pelos pares», um processo de reexame dos resultados preliminares das verificações do caráter essencial por outros avaliadores que não os que efetuaram a verificação inicial do caráter essencial;</w:t>
      </w:r>
    </w:p>
    <w:p w14:paraId="58D2CCA3" w14:textId="5FE4D942" w:rsidR="002A673F" w:rsidRPr="00E075CA" w:rsidRDefault="002A673F" w:rsidP="002A673F">
      <w:pPr>
        <w:spacing w:before="120" w:after="120" w:line="360" w:lineRule="auto"/>
        <w:ind w:left="850" w:hanging="850"/>
        <w:rPr>
          <w:b/>
          <w:szCs w:val="24"/>
          <w:lang w:eastAsia="en-US"/>
        </w:rPr>
      </w:pPr>
      <w:r w:rsidRPr="002A673F">
        <w:rPr>
          <w:szCs w:val="24"/>
          <w:lang w:eastAsia="en-US"/>
        </w:rPr>
        <w:t>13)</w:t>
      </w:r>
      <w:r w:rsidRPr="002A673F">
        <w:rPr>
          <w:szCs w:val="24"/>
          <w:lang w:eastAsia="en-US"/>
        </w:rPr>
        <w:tab/>
        <w:t xml:space="preserve">«Quadro de reivindicações», </w:t>
      </w:r>
      <w:r w:rsidRPr="002A673F">
        <w:rPr>
          <w:strike/>
          <w:szCs w:val="24"/>
          <w:lang w:eastAsia="en-US"/>
        </w:rPr>
        <w:t xml:space="preserve">uma apresentação </w:t>
      </w:r>
      <w:proofErr w:type="spellStart"/>
      <w:r w:rsidRPr="002A673F">
        <w:rPr>
          <w:strike/>
          <w:szCs w:val="24"/>
          <w:lang w:eastAsia="en-US"/>
        </w:rPr>
        <w:t>da</w:t>
      </w:r>
      <w:r w:rsidRPr="002A673F">
        <w:rPr>
          <w:b/>
          <w:i/>
          <w:szCs w:val="24"/>
          <w:lang w:eastAsia="en-US"/>
        </w:rPr>
        <w:t>um</w:t>
      </w:r>
      <w:proofErr w:type="spellEnd"/>
      <w:r w:rsidRPr="002A673F">
        <w:rPr>
          <w:b/>
          <w:i/>
          <w:szCs w:val="24"/>
          <w:lang w:eastAsia="en-US"/>
        </w:rPr>
        <w:t xml:space="preserve"> documento que identifica a</w:t>
      </w:r>
      <w:r w:rsidRPr="002A673F">
        <w:rPr>
          <w:szCs w:val="24"/>
          <w:lang w:eastAsia="en-US"/>
        </w:rPr>
        <w:t xml:space="preserve"> correspondência entre os elementos (características) de uma reivindicação de patente e, pelo menos, um requisito de uma norma ou uma recomendação de uma norma;</w:t>
      </w:r>
      <w:r w:rsidRPr="002A673F">
        <w:rPr>
          <w:b/>
          <w:szCs w:val="24"/>
          <w:lang w:eastAsia="en-US"/>
        </w:rPr>
        <w:t xml:space="preserve"> [Alt. 66]</w:t>
      </w:r>
    </w:p>
    <w:p w14:paraId="2A01612F" w14:textId="696F955C" w:rsidR="002A673F" w:rsidRPr="002A673F" w:rsidRDefault="002A673F" w:rsidP="002A673F">
      <w:pPr>
        <w:spacing w:before="120" w:after="120" w:line="360" w:lineRule="auto"/>
        <w:ind w:left="850" w:hanging="850"/>
        <w:rPr>
          <w:szCs w:val="24"/>
          <w:lang w:eastAsia="en-US"/>
        </w:rPr>
      </w:pPr>
      <w:r w:rsidRPr="002A673F">
        <w:rPr>
          <w:szCs w:val="24"/>
          <w:lang w:eastAsia="en-US"/>
        </w:rPr>
        <w:t>14)</w:t>
      </w:r>
      <w:r w:rsidRPr="002A673F">
        <w:rPr>
          <w:szCs w:val="24"/>
          <w:lang w:eastAsia="en-US"/>
        </w:rPr>
        <w:tab/>
        <w:t>«Requisito de uma norma», a expressão, no conteúdo de um documento, que reflete critérios objetivamente verificáveis a cumprir, em relação aos quais nenhum desvio é permitido se for reivindicada a conformidade com o documento;</w:t>
      </w:r>
    </w:p>
    <w:p w14:paraId="11FA04FE" w14:textId="78C1E933" w:rsidR="002A673F" w:rsidRPr="002A673F" w:rsidRDefault="002A673F" w:rsidP="002A673F">
      <w:pPr>
        <w:spacing w:before="120" w:after="120" w:line="360" w:lineRule="auto"/>
        <w:ind w:left="850" w:hanging="850"/>
        <w:rPr>
          <w:szCs w:val="24"/>
          <w:lang w:eastAsia="en-US"/>
        </w:rPr>
      </w:pPr>
      <w:r w:rsidRPr="002A673F">
        <w:rPr>
          <w:szCs w:val="24"/>
          <w:lang w:eastAsia="en-US"/>
        </w:rPr>
        <w:t>15)</w:t>
      </w:r>
      <w:r w:rsidRPr="002A673F">
        <w:rPr>
          <w:szCs w:val="24"/>
          <w:lang w:eastAsia="en-US"/>
        </w:rPr>
        <w:tab/>
        <w:t>«Recomendação de uma norma», a expressão, no conteúdo de um documento, que reflete uma escolha ou uma linha de ação sugerida que é considerada particularmente adequada, sem necessariamente mencionar ou excluir outras;</w:t>
      </w:r>
    </w:p>
    <w:p w14:paraId="3F9E519A" w14:textId="77777777" w:rsidR="002A673F" w:rsidRPr="00E075CA" w:rsidRDefault="002A673F" w:rsidP="002A673F">
      <w:pPr>
        <w:spacing w:before="120" w:after="120" w:line="360" w:lineRule="auto"/>
        <w:ind w:left="850" w:hanging="850"/>
        <w:rPr>
          <w:b/>
          <w:szCs w:val="24"/>
          <w:lang w:eastAsia="en-US"/>
        </w:rPr>
      </w:pPr>
      <w:r w:rsidRPr="002A673F" w:rsidDel="00FE7001">
        <w:rPr>
          <w:szCs w:val="24"/>
          <w:lang w:eastAsia="en-US"/>
        </w:rPr>
        <w:t>(</w:t>
      </w:r>
      <w:r w:rsidRPr="002A673F">
        <w:rPr>
          <w:szCs w:val="24"/>
          <w:lang w:eastAsia="en-US"/>
        </w:rPr>
        <w:t>16)</w:t>
      </w:r>
      <w:r w:rsidRPr="002A673F">
        <w:rPr>
          <w:szCs w:val="24"/>
          <w:lang w:eastAsia="en-US"/>
        </w:rPr>
        <w:tab/>
        <w:t xml:space="preserve">«Família de patentes», um conjunto de </w:t>
      </w:r>
      <w:r w:rsidRPr="002A673F">
        <w:rPr>
          <w:strike/>
          <w:szCs w:val="24"/>
          <w:lang w:eastAsia="en-US"/>
        </w:rPr>
        <w:t xml:space="preserve">documentos relativos </w:t>
      </w:r>
      <w:proofErr w:type="spellStart"/>
      <w:r w:rsidRPr="002A673F">
        <w:rPr>
          <w:strike/>
          <w:szCs w:val="24"/>
          <w:lang w:eastAsia="en-US"/>
        </w:rPr>
        <w:t>a</w:t>
      </w:r>
      <w:r w:rsidRPr="002A673F">
        <w:rPr>
          <w:b/>
          <w:i/>
          <w:szCs w:val="24"/>
          <w:lang w:eastAsia="en-US"/>
        </w:rPr>
        <w:t>pedidos</w:t>
      </w:r>
      <w:proofErr w:type="spellEnd"/>
      <w:r w:rsidRPr="002A673F">
        <w:rPr>
          <w:b/>
          <w:i/>
          <w:szCs w:val="24"/>
          <w:lang w:eastAsia="en-US"/>
        </w:rPr>
        <w:t xml:space="preserve"> de</w:t>
      </w:r>
      <w:r w:rsidRPr="002A673F">
        <w:rPr>
          <w:szCs w:val="24"/>
          <w:lang w:eastAsia="en-US"/>
        </w:rPr>
        <w:t xml:space="preserve"> patentes que </w:t>
      </w:r>
      <w:r w:rsidRPr="002A673F">
        <w:rPr>
          <w:strike/>
          <w:szCs w:val="24"/>
          <w:lang w:eastAsia="en-US"/>
        </w:rPr>
        <w:t xml:space="preserve">abrangem a mesma invenção e cujos membros têm as mesmas </w:t>
      </w:r>
      <w:proofErr w:type="spellStart"/>
      <w:r w:rsidRPr="002A673F">
        <w:rPr>
          <w:strike/>
          <w:szCs w:val="24"/>
          <w:lang w:eastAsia="en-US"/>
        </w:rPr>
        <w:t>prioridades</w:t>
      </w:r>
      <w:r w:rsidRPr="002A673F">
        <w:rPr>
          <w:b/>
          <w:i/>
          <w:szCs w:val="24"/>
          <w:lang w:eastAsia="en-US"/>
        </w:rPr>
        <w:t>têm</w:t>
      </w:r>
      <w:proofErr w:type="spellEnd"/>
      <w:r w:rsidRPr="002A673F">
        <w:rPr>
          <w:b/>
          <w:i/>
          <w:szCs w:val="24"/>
          <w:lang w:eastAsia="en-US"/>
        </w:rPr>
        <w:t xml:space="preserve"> pelo menos uma prioridade em comum, incluindo o(s) próprio(s) documento(s) prioritário(s)</w:t>
      </w:r>
      <w:r w:rsidRPr="002A673F">
        <w:rPr>
          <w:szCs w:val="24"/>
          <w:lang w:eastAsia="en-US"/>
        </w:rPr>
        <w:t>;</w:t>
      </w:r>
      <w:r w:rsidRPr="002A673F">
        <w:rPr>
          <w:b/>
          <w:szCs w:val="24"/>
          <w:lang w:eastAsia="en-US"/>
        </w:rPr>
        <w:t xml:space="preserve"> [Alt. 67]</w:t>
      </w:r>
    </w:p>
    <w:p w14:paraId="2460DB09" w14:textId="77777777" w:rsidR="002C5F88" w:rsidRDefault="002C5F88">
      <w:pPr>
        <w:widowControl/>
        <w:rPr>
          <w:szCs w:val="24"/>
          <w:lang w:eastAsia="en-US"/>
        </w:rPr>
      </w:pPr>
      <w:r>
        <w:rPr>
          <w:szCs w:val="24"/>
          <w:lang w:eastAsia="en-US"/>
        </w:rPr>
        <w:br w:type="page"/>
      </w:r>
    </w:p>
    <w:p w14:paraId="37AD45CE" w14:textId="421C3041"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17)</w:t>
      </w:r>
      <w:r w:rsidRPr="002A673F">
        <w:rPr>
          <w:szCs w:val="24"/>
          <w:lang w:eastAsia="en-US"/>
        </w:rPr>
        <w:tab/>
        <w:t>«Parte interessada», qualquer pessoa que possa demonstrar um interesse legítimo nas PEN, incluindo um titular de PEN, um utilizador, um agente de um titular ou utilizador de PEN, ou uma associação que represente os interesses dos titulares e utilizadores de PEN;</w:t>
      </w:r>
    </w:p>
    <w:p w14:paraId="0D5BC6E8" w14:textId="4E7408A7" w:rsidR="002A673F" w:rsidRPr="00E075CA" w:rsidRDefault="002A673F" w:rsidP="002A673F">
      <w:pPr>
        <w:spacing w:before="120" w:after="120" w:line="360" w:lineRule="auto"/>
        <w:ind w:left="850" w:hanging="850"/>
        <w:rPr>
          <w:b/>
          <w:szCs w:val="24"/>
          <w:lang w:eastAsia="en-US"/>
        </w:rPr>
      </w:pPr>
      <w:r w:rsidRPr="002A673F">
        <w:rPr>
          <w:b/>
          <w:i/>
          <w:szCs w:val="24"/>
          <w:lang w:eastAsia="en-US"/>
        </w:rPr>
        <w:t>17-A)</w:t>
      </w:r>
      <w:r w:rsidRPr="002A673F">
        <w:rPr>
          <w:szCs w:val="24"/>
          <w:lang w:eastAsia="en-US"/>
        </w:rPr>
        <w:tab/>
      </w:r>
      <w:r w:rsidRPr="002A673F">
        <w:rPr>
          <w:b/>
          <w:i/>
          <w:szCs w:val="24"/>
          <w:lang w:eastAsia="en-US"/>
        </w:rPr>
        <w:t xml:space="preserve">«Conciliador», qualquer pessoa que tenha sido nomeada para servir de mediador entre as partes no estabelecimento de </w:t>
      </w:r>
      <w:r w:rsidRPr="00E075CA">
        <w:rPr>
          <w:b/>
          <w:szCs w:val="24"/>
          <w:lang w:eastAsia="en-US"/>
        </w:rPr>
        <w:t>royalties</w:t>
      </w:r>
      <w:r w:rsidRPr="002A673F">
        <w:rPr>
          <w:b/>
          <w:i/>
          <w:szCs w:val="24"/>
          <w:lang w:eastAsia="en-US"/>
        </w:rPr>
        <w:t xml:space="preserve"> agregados, em conformidade com o artigo 17.º, para desempenhar funções num painel que forneça um parecer não vinculativo sobre </w:t>
      </w:r>
      <w:r w:rsidRPr="00E075CA">
        <w:rPr>
          <w:b/>
          <w:szCs w:val="24"/>
          <w:lang w:eastAsia="en-US"/>
        </w:rPr>
        <w:t>royalties</w:t>
      </w:r>
      <w:r w:rsidRPr="002A673F">
        <w:rPr>
          <w:b/>
          <w:i/>
          <w:szCs w:val="24"/>
          <w:lang w:eastAsia="en-US"/>
        </w:rPr>
        <w:t xml:space="preserve"> agregados, em conformidade com o artigo 18.º, e para efetuar a determinação FRAND, em conformidade com o título VI, e que seja independente, imparcial e não abrangida por qualquer conflito de interesses direto ou indireto;</w:t>
      </w:r>
      <w:r w:rsidRPr="002A673F">
        <w:rPr>
          <w:b/>
          <w:szCs w:val="24"/>
          <w:lang w:eastAsia="en-US"/>
        </w:rPr>
        <w:t xml:space="preserve"> [Alt. 68]</w:t>
      </w:r>
    </w:p>
    <w:p w14:paraId="14EA684F" w14:textId="547CBCBE" w:rsidR="002A673F" w:rsidRPr="00E075CA" w:rsidRDefault="002A673F" w:rsidP="002A673F">
      <w:pPr>
        <w:spacing w:before="120" w:after="120" w:line="360" w:lineRule="auto"/>
        <w:ind w:left="850" w:hanging="850"/>
        <w:rPr>
          <w:b/>
          <w:szCs w:val="24"/>
          <w:lang w:eastAsia="en-US"/>
        </w:rPr>
      </w:pPr>
      <w:r w:rsidRPr="002A673F">
        <w:rPr>
          <w:b/>
          <w:i/>
          <w:szCs w:val="24"/>
          <w:lang w:eastAsia="en-US"/>
        </w:rPr>
        <w:t>17-B)</w:t>
      </w:r>
      <w:r w:rsidRPr="002A673F">
        <w:rPr>
          <w:szCs w:val="24"/>
          <w:lang w:eastAsia="en-US"/>
        </w:rPr>
        <w:tab/>
      </w:r>
      <w:r w:rsidRPr="002A673F">
        <w:rPr>
          <w:b/>
          <w:i/>
          <w:szCs w:val="24"/>
          <w:lang w:eastAsia="en-US"/>
        </w:rPr>
        <w:t>«Avaliador», qualquer pessoa nomeada para efetuar verificações do caráter essencial em conformidade com o artigo V, e que seja independente, imparcial e isenta de qualquer conflito de interesses direto ou indireto;</w:t>
      </w:r>
      <w:r w:rsidRPr="002A673F">
        <w:rPr>
          <w:b/>
          <w:szCs w:val="24"/>
          <w:lang w:eastAsia="en-US"/>
        </w:rPr>
        <w:t xml:space="preserve"> [Alt. 69]</w:t>
      </w:r>
    </w:p>
    <w:p w14:paraId="7FB050BF" w14:textId="5061A934" w:rsidR="002A673F" w:rsidRPr="00E075CA" w:rsidRDefault="002A673F" w:rsidP="002A673F">
      <w:pPr>
        <w:spacing w:before="120" w:after="120" w:line="360" w:lineRule="auto"/>
        <w:ind w:left="850" w:hanging="850"/>
        <w:rPr>
          <w:b/>
          <w:szCs w:val="24"/>
          <w:lang w:eastAsia="en-US"/>
        </w:rPr>
      </w:pPr>
      <w:r w:rsidRPr="002A673F">
        <w:rPr>
          <w:b/>
          <w:i/>
          <w:szCs w:val="24"/>
          <w:lang w:eastAsia="en-US"/>
        </w:rPr>
        <w:t>17-C)</w:t>
      </w:r>
      <w:r w:rsidRPr="002A673F">
        <w:rPr>
          <w:szCs w:val="24"/>
          <w:lang w:eastAsia="en-US"/>
        </w:rPr>
        <w:tab/>
      </w:r>
      <w:r w:rsidRPr="002A673F">
        <w:rPr>
          <w:b/>
          <w:i/>
          <w:szCs w:val="24"/>
          <w:lang w:eastAsia="en-US"/>
        </w:rPr>
        <w:t>«Avaliador interpares», qualquer pessoa nomeada para efetuar uma avaliação pelos pares que seja independente, imparcial e isenta de qualquer conflito de interesses direto ou indireto;</w:t>
      </w:r>
      <w:r w:rsidRPr="002A673F">
        <w:rPr>
          <w:b/>
          <w:szCs w:val="24"/>
          <w:lang w:eastAsia="en-US"/>
        </w:rPr>
        <w:t xml:space="preserve"> [Alt. 70]</w:t>
      </w:r>
    </w:p>
    <w:p w14:paraId="7D1CD0AA" w14:textId="77777777" w:rsidR="002C5F88" w:rsidRDefault="002C5F88">
      <w:pPr>
        <w:widowControl/>
        <w:rPr>
          <w:szCs w:val="24"/>
          <w:lang w:eastAsia="en-US"/>
        </w:rPr>
      </w:pPr>
      <w:r>
        <w:rPr>
          <w:szCs w:val="24"/>
          <w:lang w:eastAsia="en-US"/>
        </w:rPr>
        <w:br w:type="page"/>
      </w:r>
    </w:p>
    <w:p w14:paraId="2A16BC7A" w14:textId="4DA5041C"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18)</w:t>
      </w:r>
      <w:r w:rsidRPr="002A673F">
        <w:rPr>
          <w:szCs w:val="24"/>
          <w:lang w:eastAsia="en-US"/>
        </w:rPr>
        <w:tab/>
        <w:t>«Centro de competências», as unidades administrativas do EUIPO que desempenham as funções confiadas ao EUIPO ao abrigo do presente regulamento.</w:t>
      </w:r>
    </w:p>
    <w:p w14:paraId="45496F5C" w14:textId="4E9B864E" w:rsidR="002A673F" w:rsidRPr="00E075CA" w:rsidRDefault="002A673F" w:rsidP="002A673F">
      <w:pPr>
        <w:spacing w:before="120" w:after="120" w:line="360" w:lineRule="auto"/>
        <w:ind w:left="850" w:hanging="850"/>
        <w:rPr>
          <w:b/>
          <w:szCs w:val="24"/>
          <w:lang w:eastAsia="en-US"/>
        </w:rPr>
      </w:pPr>
      <w:r w:rsidRPr="002A673F">
        <w:rPr>
          <w:b/>
          <w:i/>
          <w:szCs w:val="24"/>
          <w:lang w:eastAsia="en-US"/>
        </w:rPr>
        <w:t>18-A)</w:t>
      </w:r>
      <w:r w:rsidRPr="002A673F">
        <w:rPr>
          <w:szCs w:val="24"/>
          <w:lang w:eastAsia="en-US"/>
        </w:rPr>
        <w:tab/>
      </w:r>
      <w:r w:rsidRPr="002A673F">
        <w:rPr>
          <w:b/>
          <w:i/>
          <w:szCs w:val="24"/>
          <w:lang w:eastAsia="en-US"/>
        </w:rPr>
        <w:t>«Entidade de asserção de patentes», uma entidade cujas receitas resultam principalmente do controlo do cumprimento ou da concessão de licenças de patentes, incluindo eventuais indemnizações ou condenações pecuniárias decorrentes da asserção de tais patentes, que não participa na produção, fabrico, venda ou distribuição de bens ou serviços que utilizem as invenções patenteadas, nem na investigação e desenvolvimento de tais invenções, e que não é uma instituição de ensino ou de investigação ou uma organização de transferência de tecnologia que facilita a comercialização de inovações tecnológicas por si criadas, nem um inventor individual que se dedica à asserção de patentes que lhe tenham sido originalmente concedidas ou patentes que abranjam tecnologias desenvolvidas originalmente por ele.</w:t>
      </w:r>
      <w:r w:rsidRPr="002A673F">
        <w:rPr>
          <w:b/>
          <w:szCs w:val="24"/>
          <w:lang w:eastAsia="en-US"/>
        </w:rPr>
        <w:t xml:space="preserve"> [Alt. 71]</w:t>
      </w:r>
    </w:p>
    <w:p w14:paraId="2D41EA80" w14:textId="77777777" w:rsidR="002A673F" w:rsidRPr="002A673F" w:rsidRDefault="002A673F" w:rsidP="002A673F">
      <w:pPr>
        <w:spacing w:before="120" w:after="120" w:line="360" w:lineRule="auto"/>
        <w:jc w:val="center"/>
        <w:rPr>
          <w:szCs w:val="24"/>
          <w:lang w:eastAsia="en-US"/>
        </w:rPr>
      </w:pPr>
      <w:r w:rsidRPr="002A673F">
        <w:rPr>
          <w:szCs w:val="24"/>
          <w:lang w:eastAsia="en-US"/>
        </w:rPr>
        <w:t xml:space="preserve">Título II </w:t>
      </w:r>
      <w:r w:rsidRPr="002A673F">
        <w:rPr>
          <w:szCs w:val="24"/>
          <w:lang w:eastAsia="en-US"/>
        </w:rPr>
        <w:br/>
        <w:t>Centro de competências</w:t>
      </w:r>
    </w:p>
    <w:p w14:paraId="54CDEE51"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3.º</w:t>
      </w:r>
      <w:r w:rsidRPr="002A673F">
        <w:rPr>
          <w:szCs w:val="24"/>
          <w:lang w:eastAsia="en-US"/>
        </w:rPr>
        <w:br/>
        <w:t>Atribuições do centro de competências</w:t>
      </w:r>
    </w:p>
    <w:p w14:paraId="7B3C6DA4"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As funções previstas ao abrigo do presente regulamento são desempenhadas por um centro de competências estabelecido no seio do EUIPO com os recursos humanos e financeiros necessários.</w:t>
      </w:r>
    </w:p>
    <w:p w14:paraId="607EC675" w14:textId="77777777" w:rsidR="002C5F88" w:rsidRDefault="002C5F88">
      <w:pPr>
        <w:widowControl/>
        <w:rPr>
          <w:szCs w:val="24"/>
          <w:lang w:eastAsia="en-US"/>
        </w:rPr>
      </w:pPr>
      <w:r>
        <w:rPr>
          <w:szCs w:val="24"/>
          <w:lang w:eastAsia="en-US"/>
        </w:rPr>
        <w:br w:type="page"/>
      </w:r>
    </w:p>
    <w:p w14:paraId="58473313" w14:textId="557E11D4"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O centro de competências deve apoiar a transparência e a determinação FRAND em relação às PEN e desempenhar as seguintes funções:</w:t>
      </w:r>
    </w:p>
    <w:p w14:paraId="3E7F3B8A" w14:textId="3F7C39E6" w:rsidR="002A673F" w:rsidRPr="00E075CA" w:rsidRDefault="002A673F" w:rsidP="002A673F">
      <w:pPr>
        <w:spacing w:before="120" w:after="120" w:line="360" w:lineRule="auto"/>
        <w:ind w:left="1416" w:hanging="566"/>
        <w:rPr>
          <w:b/>
          <w:szCs w:val="24"/>
          <w:lang w:eastAsia="en-US"/>
        </w:rPr>
      </w:pPr>
      <w:r w:rsidRPr="002A673F">
        <w:rPr>
          <w:szCs w:val="24"/>
          <w:lang w:eastAsia="en-US"/>
        </w:rPr>
        <w:t>a)</w:t>
      </w:r>
      <w:r w:rsidRPr="002A673F">
        <w:rPr>
          <w:szCs w:val="24"/>
          <w:lang w:eastAsia="en-US"/>
        </w:rPr>
        <w:tab/>
        <w:t>Criar e manter um registo eletrónico e uma base de dados eletrónica para as PEN</w:t>
      </w:r>
      <w:r w:rsidRPr="002A673F">
        <w:rPr>
          <w:b/>
          <w:i/>
          <w:szCs w:val="24"/>
          <w:lang w:eastAsia="en-US"/>
        </w:rPr>
        <w:t xml:space="preserve"> em conformidade com os artigos 4.º e 5.º</w:t>
      </w:r>
      <w:r w:rsidRPr="002A673F">
        <w:rPr>
          <w:szCs w:val="24"/>
          <w:lang w:eastAsia="en-US"/>
        </w:rPr>
        <w:t>;</w:t>
      </w:r>
      <w:r w:rsidRPr="002A673F">
        <w:rPr>
          <w:b/>
          <w:szCs w:val="24"/>
          <w:lang w:eastAsia="en-US"/>
        </w:rPr>
        <w:t xml:space="preserve"> [Alt. 72]</w:t>
      </w:r>
    </w:p>
    <w:p w14:paraId="321BFC98" w14:textId="16BC64B2" w:rsidR="002A673F" w:rsidRPr="00E075CA" w:rsidRDefault="002A673F" w:rsidP="002A673F">
      <w:pPr>
        <w:spacing w:before="120" w:after="120" w:line="360" w:lineRule="auto"/>
        <w:ind w:left="1416" w:hanging="566"/>
        <w:rPr>
          <w:b/>
          <w:szCs w:val="24"/>
          <w:lang w:eastAsia="en-US"/>
        </w:rPr>
      </w:pPr>
      <w:r w:rsidRPr="002A673F">
        <w:rPr>
          <w:szCs w:val="24"/>
          <w:lang w:eastAsia="en-US"/>
        </w:rPr>
        <w:t>b)</w:t>
      </w:r>
      <w:r w:rsidRPr="002A673F">
        <w:rPr>
          <w:szCs w:val="24"/>
          <w:lang w:eastAsia="en-US"/>
        </w:rPr>
        <w:tab/>
        <w:t>Criar e gerir listas de avaliadores e conciliadores</w:t>
      </w:r>
      <w:r w:rsidRPr="002A673F">
        <w:rPr>
          <w:b/>
          <w:i/>
          <w:szCs w:val="24"/>
          <w:lang w:eastAsia="en-US"/>
        </w:rPr>
        <w:t xml:space="preserve"> em conformidade com o artigo 27.º</w:t>
      </w:r>
      <w:r w:rsidRPr="002A673F">
        <w:rPr>
          <w:szCs w:val="24"/>
          <w:lang w:eastAsia="en-US"/>
        </w:rPr>
        <w:t>;</w:t>
      </w:r>
      <w:r w:rsidRPr="002A673F">
        <w:rPr>
          <w:b/>
          <w:szCs w:val="24"/>
          <w:lang w:eastAsia="en-US"/>
        </w:rPr>
        <w:t xml:space="preserve"> [Alt. 73]</w:t>
      </w:r>
    </w:p>
    <w:p w14:paraId="76B6166D" w14:textId="546FB124" w:rsidR="002A673F" w:rsidRPr="00E075CA" w:rsidRDefault="002A673F" w:rsidP="002A673F">
      <w:pPr>
        <w:spacing w:before="120" w:after="120" w:line="360" w:lineRule="auto"/>
        <w:ind w:left="1416" w:hanging="566"/>
        <w:rPr>
          <w:b/>
          <w:szCs w:val="24"/>
          <w:lang w:eastAsia="en-US"/>
        </w:rPr>
      </w:pPr>
      <w:r w:rsidRPr="002A673F">
        <w:rPr>
          <w:szCs w:val="24"/>
          <w:lang w:eastAsia="en-US"/>
        </w:rPr>
        <w:t>c)</w:t>
      </w:r>
      <w:r w:rsidRPr="002A673F">
        <w:rPr>
          <w:szCs w:val="24"/>
          <w:lang w:eastAsia="en-US"/>
        </w:rPr>
        <w:tab/>
        <w:t>Criar e administrar um sistema de avaliação do caráter essencial das PEN</w:t>
      </w:r>
      <w:r w:rsidRPr="002A673F">
        <w:rPr>
          <w:b/>
          <w:i/>
          <w:szCs w:val="24"/>
          <w:lang w:eastAsia="en-US"/>
        </w:rPr>
        <w:t xml:space="preserve"> em conformidade com os artigos 28.º a 33.º</w:t>
      </w:r>
      <w:r w:rsidRPr="002A673F">
        <w:rPr>
          <w:szCs w:val="24"/>
          <w:lang w:eastAsia="en-US"/>
        </w:rPr>
        <w:t>;</w:t>
      </w:r>
      <w:r w:rsidRPr="002A673F">
        <w:rPr>
          <w:b/>
          <w:szCs w:val="24"/>
          <w:lang w:eastAsia="en-US"/>
        </w:rPr>
        <w:t xml:space="preserve"> [Alt. 74]</w:t>
      </w:r>
    </w:p>
    <w:p w14:paraId="4287512D" w14:textId="5BEB9FEC" w:rsidR="002A673F" w:rsidRPr="00E075CA" w:rsidRDefault="002A673F" w:rsidP="002A673F">
      <w:pPr>
        <w:spacing w:before="120" w:after="120" w:line="360" w:lineRule="auto"/>
        <w:ind w:left="1416" w:hanging="566"/>
        <w:rPr>
          <w:b/>
          <w:szCs w:val="24"/>
          <w:lang w:eastAsia="en-US"/>
        </w:rPr>
      </w:pPr>
      <w:r w:rsidRPr="002A673F">
        <w:rPr>
          <w:szCs w:val="24"/>
          <w:lang w:eastAsia="en-US"/>
        </w:rPr>
        <w:t>d)</w:t>
      </w:r>
      <w:r w:rsidRPr="002A673F">
        <w:rPr>
          <w:szCs w:val="24"/>
          <w:lang w:eastAsia="en-US"/>
        </w:rPr>
        <w:tab/>
        <w:t>Criar e administrar o processo de determinação FRAND</w:t>
      </w:r>
      <w:r w:rsidRPr="002A673F">
        <w:rPr>
          <w:b/>
          <w:i/>
          <w:szCs w:val="24"/>
          <w:lang w:eastAsia="en-US"/>
        </w:rPr>
        <w:t xml:space="preserve"> em conformidade com os artigos 34.º a 58.º</w:t>
      </w:r>
      <w:r w:rsidRPr="002A673F">
        <w:rPr>
          <w:szCs w:val="24"/>
          <w:lang w:eastAsia="en-US"/>
        </w:rPr>
        <w:t>;</w:t>
      </w:r>
      <w:r w:rsidRPr="002A673F">
        <w:rPr>
          <w:b/>
          <w:szCs w:val="24"/>
          <w:lang w:eastAsia="en-US"/>
        </w:rPr>
        <w:t xml:space="preserve"> [Alt. 75]</w:t>
      </w:r>
    </w:p>
    <w:p w14:paraId="5C4215AB" w14:textId="79630582" w:rsidR="002A673F" w:rsidRPr="002A673F" w:rsidRDefault="002A673F" w:rsidP="002A673F">
      <w:pPr>
        <w:spacing w:before="120" w:after="120" w:line="360" w:lineRule="auto"/>
        <w:ind w:left="1416" w:hanging="566"/>
        <w:rPr>
          <w:szCs w:val="24"/>
          <w:lang w:eastAsia="en-US"/>
        </w:rPr>
      </w:pPr>
      <w:r w:rsidRPr="002A673F">
        <w:rPr>
          <w:szCs w:val="24"/>
          <w:lang w:eastAsia="en-US"/>
        </w:rPr>
        <w:t>e)</w:t>
      </w:r>
      <w:r w:rsidRPr="002A673F">
        <w:rPr>
          <w:szCs w:val="24"/>
          <w:lang w:eastAsia="en-US"/>
        </w:rPr>
        <w:tab/>
        <w:t>Ministrar formação aos avaliadores e conciliadores;</w:t>
      </w:r>
    </w:p>
    <w:p w14:paraId="6E4637A8" w14:textId="66D75831" w:rsidR="002A673F" w:rsidRPr="00E075CA" w:rsidRDefault="002A673F" w:rsidP="002A673F">
      <w:pPr>
        <w:spacing w:before="120" w:after="120" w:line="360" w:lineRule="auto"/>
        <w:ind w:left="1416" w:hanging="566"/>
        <w:rPr>
          <w:b/>
          <w:szCs w:val="24"/>
          <w:lang w:eastAsia="en-US"/>
        </w:rPr>
      </w:pPr>
      <w:r w:rsidRPr="002A673F">
        <w:rPr>
          <w:szCs w:val="24"/>
          <w:lang w:eastAsia="en-US"/>
        </w:rPr>
        <w:t>f)</w:t>
      </w:r>
      <w:r w:rsidRPr="002A673F">
        <w:rPr>
          <w:szCs w:val="24"/>
          <w:lang w:eastAsia="en-US"/>
        </w:rPr>
        <w:tab/>
        <w:t xml:space="preserve">Administrar um processo para </w:t>
      </w:r>
      <w:r w:rsidRPr="002A673F">
        <w:rPr>
          <w:strike/>
          <w:szCs w:val="24"/>
          <w:lang w:eastAsia="en-US"/>
        </w:rPr>
        <w:t xml:space="preserve">a determinação </w:t>
      </w:r>
      <w:proofErr w:type="spellStart"/>
      <w:r w:rsidRPr="002A673F">
        <w:rPr>
          <w:strike/>
          <w:szCs w:val="24"/>
          <w:lang w:eastAsia="en-US"/>
        </w:rPr>
        <w:t>dos</w:t>
      </w:r>
      <w:r w:rsidRPr="002A673F">
        <w:rPr>
          <w:b/>
          <w:i/>
          <w:szCs w:val="24"/>
          <w:lang w:eastAsia="en-US"/>
        </w:rPr>
        <w:t>facilitar</w:t>
      </w:r>
      <w:proofErr w:type="spellEnd"/>
      <w:r w:rsidRPr="002A673F">
        <w:rPr>
          <w:b/>
          <w:i/>
          <w:szCs w:val="24"/>
          <w:lang w:eastAsia="en-US"/>
        </w:rPr>
        <w:t xml:space="preserve"> acordos sobre os</w:t>
      </w:r>
      <w:r w:rsidRPr="002A673F">
        <w:rPr>
          <w:szCs w:val="24"/>
          <w:lang w:eastAsia="en-US"/>
        </w:rPr>
        <w:t xml:space="preserve"> </w:t>
      </w:r>
      <w:r w:rsidRPr="00E075CA">
        <w:rPr>
          <w:i/>
          <w:szCs w:val="24"/>
          <w:lang w:eastAsia="en-US"/>
        </w:rPr>
        <w:t>royalties</w:t>
      </w:r>
      <w:r w:rsidRPr="002A673F">
        <w:rPr>
          <w:szCs w:val="24"/>
          <w:lang w:eastAsia="en-US"/>
        </w:rPr>
        <w:t xml:space="preserve"> agregados</w:t>
      </w:r>
      <w:r w:rsidRPr="002A673F">
        <w:rPr>
          <w:b/>
          <w:i/>
          <w:szCs w:val="24"/>
          <w:lang w:eastAsia="en-US"/>
        </w:rPr>
        <w:t xml:space="preserve"> e para a respetiva determinação em conformidade com os artigos 17.º a 18.º</w:t>
      </w:r>
      <w:r w:rsidRPr="002A673F">
        <w:rPr>
          <w:szCs w:val="24"/>
          <w:lang w:eastAsia="en-US"/>
        </w:rPr>
        <w:t>;</w:t>
      </w:r>
      <w:r w:rsidRPr="002A673F">
        <w:rPr>
          <w:b/>
          <w:szCs w:val="24"/>
          <w:lang w:eastAsia="en-US"/>
        </w:rPr>
        <w:t xml:space="preserve"> [Alt. 76]</w:t>
      </w:r>
    </w:p>
    <w:p w14:paraId="117A82B3" w14:textId="77777777" w:rsidR="002C5F88" w:rsidRDefault="002C5F88">
      <w:pPr>
        <w:widowControl/>
        <w:rPr>
          <w:szCs w:val="24"/>
          <w:lang w:eastAsia="en-US"/>
        </w:rPr>
      </w:pPr>
      <w:r>
        <w:rPr>
          <w:szCs w:val="24"/>
          <w:lang w:eastAsia="en-US"/>
        </w:rPr>
        <w:br w:type="page"/>
      </w:r>
    </w:p>
    <w:p w14:paraId="16D20F83" w14:textId="6E5F3553"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g)</w:t>
      </w:r>
      <w:r w:rsidRPr="002A673F">
        <w:rPr>
          <w:szCs w:val="24"/>
          <w:lang w:eastAsia="en-US"/>
        </w:rPr>
        <w:tab/>
        <w:t>Reforçar a transparência e a partilha de informações, mediante:</w:t>
      </w:r>
    </w:p>
    <w:p w14:paraId="13A9C239" w14:textId="558DB613" w:rsidR="002A673F" w:rsidRPr="00E075CA" w:rsidRDefault="002A673F" w:rsidP="002A673F">
      <w:pPr>
        <w:spacing w:before="120" w:after="120" w:line="360" w:lineRule="auto"/>
        <w:ind w:left="1982" w:hanging="566"/>
        <w:rPr>
          <w:b/>
          <w:szCs w:val="24"/>
          <w:lang w:eastAsia="en-US"/>
        </w:rPr>
      </w:pPr>
      <w:r w:rsidRPr="002A673F">
        <w:rPr>
          <w:szCs w:val="24"/>
          <w:lang w:eastAsia="en-US"/>
        </w:rPr>
        <w:t>i)</w:t>
      </w:r>
      <w:r w:rsidRPr="002A673F">
        <w:rPr>
          <w:szCs w:val="24"/>
          <w:lang w:eastAsia="en-US"/>
        </w:rPr>
        <w:tab/>
        <w:t xml:space="preserve">a publicação dos resultados e dos pareceres fundamentados das verificações do caráter essencial e dos </w:t>
      </w:r>
      <w:proofErr w:type="spellStart"/>
      <w:r w:rsidRPr="002A673F">
        <w:rPr>
          <w:strike/>
          <w:szCs w:val="24"/>
          <w:lang w:eastAsia="en-US"/>
        </w:rPr>
        <w:t>relatórios</w:t>
      </w:r>
      <w:r w:rsidRPr="002A673F">
        <w:rPr>
          <w:b/>
          <w:i/>
          <w:szCs w:val="24"/>
          <w:lang w:eastAsia="en-US"/>
        </w:rPr>
        <w:t>pareceres</w:t>
      </w:r>
      <w:proofErr w:type="spellEnd"/>
      <w:r w:rsidRPr="002A673F">
        <w:rPr>
          <w:szCs w:val="24"/>
          <w:lang w:eastAsia="en-US"/>
        </w:rPr>
        <w:t xml:space="preserve"> não confidenciais das determinações FRAND</w:t>
      </w:r>
      <w:r w:rsidRPr="002A673F">
        <w:rPr>
          <w:b/>
          <w:i/>
          <w:szCs w:val="24"/>
          <w:lang w:eastAsia="en-US"/>
        </w:rPr>
        <w:t>, em conformidade com o artigo 33.º, n.º 1, e com o artigo 57.º, n.º 3</w:t>
      </w:r>
      <w:r w:rsidRPr="002A673F">
        <w:rPr>
          <w:szCs w:val="24"/>
          <w:lang w:eastAsia="en-US"/>
        </w:rPr>
        <w:t>,</w:t>
      </w:r>
      <w:r w:rsidRPr="002A673F">
        <w:rPr>
          <w:b/>
          <w:szCs w:val="24"/>
          <w:lang w:eastAsia="en-US"/>
        </w:rPr>
        <w:t xml:space="preserve"> [Alt. 77]</w:t>
      </w:r>
    </w:p>
    <w:p w14:paraId="728CCFEF" w14:textId="388ED9BC" w:rsidR="002A673F" w:rsidRPr="00E075CA" w:rsidRDefault="002A673F" w:rsidP="002A673F">
      <w:pPr>
        <w:spacing w:before="120" w:after="120" w:line="360" w:lineRule="auto"/>
        <w:ind w:left="1982" w:hanging="566"/>
        <w:rPr>
          <w:b/>
          <w:szCs w:val="24"/>
          <w:lang w:eastAsia="en-US"/>
        </w:rPr>
      </w:pPr>
      <w:proofErr w:type="spellStart"/>
      <w:r w:rsidRPr="002A673F">
        <w:rPr>
          <w:szCs w:val="24"/>
          <w:lang w:eastAsia="en-US"/>
        </w:rPr>
        <w:t>ii</w:t>
      </w:r>
      <w:proofErr w:type="spellEnd"/>
      <w:r w:rsidRPr="002A673F">
        <w:rPr>
          <w:szCs w:val="24"/>
          <w:lang w:eastAsia="en-US"/>
        </w:rPr>
        <w:t>)</w:t>
      </w:r>
      <w:r w:rsidRPr="002A673F">
        <w:rPr>
          <w:szCs w:val="24"/>
          <w:lang w:eastAsia="en-US"/>
        </w:rPr>
        <w:tab/>
        <w:t>a permissão do acesso à jurisprudência (incluindo a resolução alternativa de litígios) sobre PEN, nomeadamente de jurisdições de países terceiros</w:t>
      </w:r>
      <w:r w:rsidRPr="002A673F">
        <w:rPr>
          <w:b/>
          <w:i/>
          <w:szCs w:val="24"/>
          <w:lang w:eastAsia="en-US"/>
        </w:rPr>
        <w:t>, em conformidade com o artigo 13.º, n.º 3</w:t>
      </w:r>
      <w:r w:rsidRPr="002A673F">
        <w:rPr>
          <w:szCs w:val="24"/>
          <w:lang w:eastAsia="en-US"/>
        </w:rPr>
        <w:t>,</w:t>
      </w:r>
      <w:r w:rsidRPr="002A673F">
        <w:rPr>
          <w:b/>
          <w:szCs w:val="24"/>
          <w:lang w:eastAsia="en-US"/>
        </w:rPr>
        <w:t xml:space="preserve"> [Alt. 78]</w:t>
      </w:r>
    </w:p>
    <w:p w14:paraId="1F11EBC1" w14:textId="5B43CB2D" w:rsidR="002A673F" w:rsidRPr="00E075CA" w:rsidRDefault="002A673F" w:rsidP="002A673F">
      <w:pPr>
        <w:spacing w:before="120" w:after="120" w:line="360" w:lineRule="auto"/>
        <w:ind w:left="1982" w:hanging="566"/>
        <w:rPr>
          <w:b/>
          <w:szCs w:val="24"/>
          <w:lang w:eastAsia="en-US"/>
        </w:rPr>
      </w:pPr>
      <w:proofErr w:type="spellStart"/>
      <w:r w:rsidRPr="002A673F">
        <w:rPr>
          <w:szCs w:val="24"/>
          <w:lang w:eastAsia="en-US"/>
        </w:rPr>
        <w:t>iii</w:t>
      </w:r>
      <w:proofErr w:type="spellEnd"/>
      <w:r w:rsidRPr="002A673F">
        <w:rPr>
          <w:szCs w:val="24"/>
          <w:lang w:eastAsia="en-US"/>
        </w:rPr>
        <w:t>)</w:t>
      </w:r>
      <w:r w:rsidRPr="002A673F">
        <w:rPr>
          <w:szCs w:val="24"/>
          <w:lang w:eastAsia="en-US"/>
        </w:rPr>
        <w:tab/>
        <w:t xml:space="preserve">a compilação de informações não confidenciais sobre metodologias de determinação FRAND e de </w:t>
      </w:r>
      <w:r w:rsidRPr="00E075CA">
        <w:rPr>
          <w:i/>
          <w:szCs w:val="24"/>
          <w:lang w:eastAsia="en-US"/>
        </w:rPr>
        <w:t>royalties</w:t>
      </w:r>
      <w:r w:rsidRPr="002A673F">
        <w:rPr>
          <w:szCs w:val="24"/>
          <w:lang w:eastAsia="en-US"/>
        </w:rPr>
        <w:t xml:space="preserve"> FRAND</w:t>
      </w:r>
      <w:r w:rsidRPr="002A673F">
        <w:rPr>
          <w:b/>
          <w:i/>
          <w:szCs w:val="24"/>
          <w:lang w:eastAsia="en-US"/>
        </w:rPr>
        <w:t xml:space="preserve"> em conformidade com o artigo 13.º, n.ºs 4 e 5</w:t>
      </w:r>
      <w:r w:rsidRPr="002A673F">
        <w:rPr>
          <w:szCs w:val="24"/>
          <w:lang w:eastAsia="en-US"/>
        </w:rPr>
        <w:t>,</w:t>
      </w:r>
      <w:r w:rsidRPr="002A673F">
        <w:rPr>
          <w:b/>
          <w:szCs w:val="24"/>
          <w:lang w:eastAsia="en-US"/>
        </w:rPr>
        <w:t xml:space="preserve"> [Alt. 79]</w:t>
      </w:r>
    </w:p>
    <w:p w14:paraId="0D8DFC32" w14:textId="77777777" w:rsidR="002A673F" w:rsidRPr="00E075CA" w:rsidRDefault="002A673F" w:rsidP="002A673F">
      <w:pPr>
        <w:spacing w:before="120" w:after="120" w:line="360" w:lineRule="auto"/>
        <w:ind w:left="1982" w:hanging="566"/>
        <w:rPr>
          <w:b/>
          <w:szCs w:val="24"/>
          <w:lang w:eastAsia="en-US"/>
        </w:rPr>
      </w:pPr>
      <w:proofErr w:type="spellStart"/>
      <w:r w:rsidRPr="002A673F">
        <w:rPr>
          <w:szCs w:val="24"/>
          <w:lang w:eastAsia="en-US"/>
        </w:rPr>
        <w:t>iv</w:t>
      </w:r>
      <w:proofErr w:type="spellEnd"/>
      <w:r w:rsidRPr="002A673F">
        <w:rPr>
          <w:szCs w:val="24"/>
          <w:lang w:eastAsia="en-US"/>
        </w:rPr>
        <w:t>)</w:t>
      </w:r>
      <w:r w:rsidRPr="002A673F">
        <w:rPr>
          <w:szCs w:val="24"/>
          <w:lang w:eastAsia="en-US"/>
        </w:rPr>
        <w:tab/>
        <w:t>a permissão do acesso de países terceiros às regras relacionadas com as PEN</w:t>
      </w:r>
      <w:r w:rsidRPr="002A673F">
        <w:rPr>
          <w:b/>
          <w:i/>
          <w:szCs w:val="24"/>
          <w:lang w:eastAsia="en-US"/>
        </w:rPr>
        <w:t xml:space="preserve"> em conformidade com o artigo 12.º</w:t>
      </w:r>
      <w:r w:rsidRPr="002A673F">
        <w:rPr>
          <w:szCs w:val="24"/>
          <w:lang w:eastAsia="en-US"/>
        </w:rPr>
        <w:t>;</w:t>
      </w:r>
      <w:r w:rsidRPr="002A673F">
        <w:rPr>
          <w:b/>
          <w:szCs w:val="24"/>
          <w:lang w:eastAsia="en-US"/>
        </w:rPr>
        <w:t xml:space="preserve"> [Alt. 80]</w:t>
      </w:r>
    </w:p>
    <w:p w14:paraId="1B10BCAB" w14:textId="52D65AEF" w:rsidR="002A673F" w:rsidRPr="00E075CA" w:rsidRDefault="002A673F" w:rsidP="002A673F">
      <w:pPr>
        <w:spacing w:before="120" w:after="120" w:line="360" w:lineRule="auto"/>
        <w:ind w:left="1416" w:hanging="566"/>
        <w:rPr>
          <w:b/>
          <w:szCs w:val="24"/>
          <w:lang w:eastAsia="en-US"/>
        </w:rPr>
      </w:pPr>
      <w:r w:rsidRPr="002A673F">
        <w:rPr>
          <w:szCs w:val="24"/>
          <w:lang w:eastAsia="en-US"/>
        </w:rPr>
        <w:t>h)</w:t>
      </w:r>
      <w:r w:rsidRPr="002A673F">
        <w:rPr>
          <w:szCs w:val="24"/>
          <w:lang w:eastAsia="en-US"/>
        </w:rPr>
        <w:tab/>
        <w:t>A</w:t>
      </w:r>
      <w:r w:rsidRPr="002A673F">
        <w:rPr>
          <w:b/>
          <w:i/>
          <w:szCs w:val="24"/>
          <w:lang w:eastAsia="en-US"/>
        </w:rPr>
        <w:t xml:space="preserve"> criação e a manutenção de uma plataforma de assistência ao licenciamento de PEN para PME e empresas em fase de arranque, a par da</w:t>
      </w:r>
      <w:r w:rsidRPr="002A673F">
        <w:rPr>
          <w:szCs w:val="24"/>
          <w:lang w:eastAsia="en-US"/>
        </w:rPr>
        <w:t xml:space="preserve"> prestação de formação, apoio e aconselhamento geral sobre PEN às PME</w:t>
      </w:r>
      <w:r w:rsidRPr="002A673F">
        <w:rPr>
          <w:b/>
          <w:i/>
          <w:szCs w:val="24"/>
          <w:lang w:eastAsia="en-US"/>
        </w:rPr>
        <w:t xml:space="preserve"> e empresas em fase de arranque, em conformidade com o artigo 61.º</w:t>
      </w:r>
      <w:r w:rsidRPr="002A673F">
        <w:rPr>
          <w:szCs w:val="24"/>
          <w:lang w:eastAsia="en-US"/>
        </w:rPr>
        <w:t>;</w:t>
      </w:r>
      <w:r w:rsidRPr="002A673F">
        <w:rPr>
          <w:b/>
          <w:szCs w:val="24"/>
          <w:lang w:eastAsia="en-US"/>
        </w:rPr>
        <w:t xml:space="preserve"> [Alt. 81]</w:t>
      </w:r>
    </w:p>
    <w:p w14:paraId="7F8426CA" w14:textId="77777777" w:rsidR="002C5F88" w:rsidRDefault="002C5F88">
      <w:pPr>
        <w:widowControl/>
        <w:rPr>
          <w:szCs w:val="24"/>
          <w:lang w:eastAsia="en-US"/>
        </w:rPr>
      </w:pPr>
      <w:r>
        <w:rPr>
          <w:szCs w:val="24"/>
          <w:lang w:eastAsia="en-US"/>
        </w:rPr>
        <w:br w:type="page"/>
      </w:r>
    </w:p>
    <w:p w14:paraId="6C22AFEE" w14:textId="046B57A6"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i)</w:t>
      </w:r>
      <w:r w:rsidRPr="002A673F">
        <w:rPr>
          <w:szCs w:val="24"/>
          <w:lang w:eastAsia="en-US"/>
        </w:rPr>
        <w:tab/>
        <w:t>A realização de estudos e de quaisquer outras atividades necessárias para apoiar os objetivos do presente regulamento;</w:t>
      </w:r>
    </w:p>
    <w:p w14:paraId="09C42611" w14:textId="250E2019" w:rsidR="002A673F" w:rsidRPr="00E075CA" w:rsidRDefault="002A673F" w:rsidP="002A673F">
      <w:pPr>
        <w:spacing w:before="120" w:after="120" w:line="360" w:lineRule="auto"/>
        <w:ind w:left="1416" w:hanging="566"/>
        <w:rPr>
          <w:b/>
          <w:szCs w:val="24"/>
          <w:lang w:eastAsia="en-US"/>
        </w:rPr>
      </w:pPr>
      <w:r w:rsidRPr="002A673F">
        <w:rPr>
          <w:szCs w:val="24"/>
          <w:lang w:eastAsia="en-US"/>
        </w:rPr>
        <w:t>j)</w:t>
      </w:r>
      <w:r w:rsidRPr="002A673F">
        <w:rPr>
          <w:szCs w:val="24"/>
          <w:lang w:eastAsia="en-US"/>
        </w:rPr>
        <w:tab/>
        <w:t>A</w:t>
      </w:r>
      <w:r w:rsidRPr="002A673F">
        <w:rPr>
          <w:b/>
          <w:i/>
          <w:szCs w:val="24"/>
          <w:lang w:eastAsia="en-US"/>
        </w:rPr>
        <w:t xml:space="preserve"> criação de um grupo de trabalho dedicado às condições de concessão de licenças de PEN na cadeia de valor e à</w:t>
      </w:r>
      <w:r w:rsidRPr="002A673F">
        <w:rPr>
          <w:szCs w:val="24"/>
          <w:lang w:eastAsia="en-US"/>
        </w:rPr>
        <w:t xml:space="preserve"> sensibilização para a concessão </w:t>
      </w:r>
      <w:proofErr w:type="spellStart"/>
      <w:r w:rsidRPr="002A673F">
        <w:rPr>
          <w:strike/>
          <w:szCs w:val="24"/>
          <w:lang w:eastAsia="en-US"/>
        </w:rPr>
        <w:t>de</w:t>
      </w:r>
      <w:r w:rsidRPr="002A673F">
        <w:rPr>
          <w:b/>
          <w:i/>
          <w:szCs w:val="24"/>
          <w:lang w:eastAsia="en-US"/>
        </w:rPr>
        <w:t>destas</w:t>
      </w:r>
      <w:proofErr w:type="spellEnd"/>
      <w:r w:rsidRPr="002A673F">
        <w:rPr>
          <w:szCs w:val="24"/>
          <w:lang w:eastAsia="en-US"/>
        </w:rPr>
        <w:t xml:space="preserve"> licenças</w:t>
      </w:r>
      <w:r w:rsidRPr="002A673F">
        <w:rPr>
          <w:strike/>
          <w:szCs w:val="24"/>
          <w:lang w:eastAsia="en-US"/>
        </w:rPr>
        <w:t xml:space="preserve"> de PEN, incluindo a concessão de licenças PEN na cadeia de valor</w:t>
      </w:r>
      <w:r w:rsidRPr="002A673F">
        <w:rPr>
          <w:szCs w:val="24"/>
          <w:lang w:eastAsia="en-US"/>
        </w:rPr>
        <w:t>.</w:t>
      </w:r>
      <w:r w:rsidRPr="002A673F">
        <w:rPr>
          <w:b/>
          <w:szCs w:val="24"/>
          <w:lang w:eastAsia="en-US"/>
        </w:rPr>
        <w:t xml:space="preserve"> [Alt. 82]</w:t>
      </w:r>
    </w:p>
    <w:p w14:paraId="44F4FD2B"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Fazendo uso dos poderes conferidos pelo artigo 157.º do Regulamento (UE) 2017/1001, o Diretor Executivo do EUIPO adota as instruções administrativas internas e publica os avisos que forem necessários para o desempenho de todas as funções atribuídas ao centro de competências pelo presente regulamento.</w:t>
      </w:r>
    </w:p>
    <w:p w14:paraId="05A12DCC" w14:textId="77777777" w:rsidR="002A673F" w:rsidRPr="002A673F" w:rsidRDefault="002A673F" w:rsidP="002A673F">
      <w:pPr>
        <w:spacing w:before="120" w:after="120" w:line="360" w:lineRule="auto"/>
        <w:jc w:val="center"/>
        <w:rPr>
          <w:szCs w:val="24"/>
          <w:lang w:eastAsia="en-US"/>
        </w:rPr>
      </w:pPr>
      <w:r w:rsidRPr="002A673F">
        <w:rPr>
          <w:szCs w:val="24"/>
          <w:lang w:eastAsia="en-US"/>
        </w:rPr>
        <w:t xml:space="preserve">Título III </w:t>
      </w:r>
      <w:r w:rsidRPr="002A673F">
        <w:rPr>
          <w:szCs w:val="24"/>
          <w:lang w:eastAsia="en-US"/>
        </w:rPr>
        <w:br/>
        <w:t>Informações sobre as PEN disponibilizadas através do centro de competências</w:t>
      </w:r>
    </w:p>
    <w:p w14:paraId="1366900D" w14:textId="77777777" w:rsidR="002A673F" w:rsidRPr="002A673F" w:rsidRDefault="002A673F" w:rsidP="002A673F">
      <w:pPr>
        <w:spacing w:before="120" w:after="120" w:line="360" w:lineRule="auto"/>
        <w:jc w:val="center"/>
        <w:rPr>
          <w:szCs w:val="24"/>
          <w:lang w:eastAsia="en-US"/>
        </w:rPr>
      </w:pPr>
      <w:r w:rsidRPr="002A673F">
        <w:rPr>
          <w:szCs w:val="24"/>
          <w:lang w:eastAsia="en-US"/>
        </w:rPr>
        <w:t xml:space="preserve">CAPÍTULO 1 </w:t>
      </w:r>
      <w:r w:rsidRPr="002A673F">
        <w:rPr>
          <w:szCs w:val="24"/>
          <w:lang w:eastAsia="en-US"/>
        </w:rPr>
        <w:br/>
        <w:t>Disposições gerais</w:t>
      </w:r>
    </w:p>
    <w:p w14:paraId="60B10B40"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4.º</w:t>
      </w:r>
      <w:r w:rsidRPr="002A673F">
        <w:rPr>
          <w:szCs w:val="24"/>
          <w:lang w:eastAsia="en-US"/>
        </w:rPr>
        <w:br/>
        <w:t>Registo das patentes essenciais a normas</w:t>
      </w:r>
    </w:p>
    <w:p w14:paraId="03098FDD"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É criado</w:t>
      </w:r>
      <w:r w:rsidRPr="002A673F">
        <w:rPr>
          <w:b/>
          <w:i/>
          <w:szCs w:val="24"/>
          <w:lang w:eastAsia="en-US"/>
        </w:rPr>
        <w:t xml:space="preserve"> e mantido pelo centro de competências</w:t>
      </w:r>
      <w:r w:rsidRPr="002A673F">
        <w:rPr>
          <w:szCs w:val="24"/>
          <w:lang w:eastAsia="en-US"/>
        </w:rPr>
        <w:t xml:space="preserve"> um registo da União para as PEN («registo»)</w:t>
      </w:r>
      <w:r w:rsidRPr="002A673F">
        <w:rPr>
          <w:b/>
          <w:i/>
          <w:szCs w:val="24"/>
          <w:lang w:eastAsia="en-US"/>
        </w:rPr>
        <w:t xml:space="preserve"> em formato eletrónico</w:t>
      </w:r>
      <w:r w:rsidRPr="002A673F">
        <w:rPr>
          <w:szCs w:val="24"/>
          <w:lang w:eastAsia="en-US"/>
        </w:rPr>
        <w:t>.</w:t>
      </w:r>
      <w:r w:rsidRPr="002A673F">
        <w:rPr>
          <w:b/>
          <w:szCs w:val="24"/>
          <w:lang w:eastAsia="en-US"/>
        </w:rPr>
        <w:t xml:space="preserve"> [Alt. 83]</w:t>
      </w:r>
    </w:p>
    <w:p w14:paraId="701425C9" w14:textId="77777777" w:rsidR="002C5F88" w:rsidRDefault="002C5F88">
      <w:pPr>
        <w:widowControl/>
        <w:rPr>
          <w:strike/>
          <w:szCs w:val="24"/>
          <w:lang w:eastAsia="en-US"/>
        </w:rPr>
      </w:pPr>
      <w:r>
        <w:rPr>
          <w:strike/>
          <w:szCs w:val="24"/>
          <w:lang w:eastAsia="en-US"/>
        </w:rPr>
        <w:br w:type="page"/>
      </w:r>
    </w:p>
    <w:p w14:paraId="20E0BD32" w14:textId="0BD11B62" w:rsidR="002A673F" w:rsidRPr="00E075CA" w:rsidRDefault="002A673F" w:rsidP="002A673F">
      <w:pPr>
        <w:spacing w:before="120" w:after="120" w:line="360" w:lineRule="auto"/>
        <w:ind w:left="850" w:hanging="850"/>
        <w:rPr>
          <w:b/>
          <w:szCs w:val="24"/>
          <w:lang w:eastAsia="en-US"/>
        </w:rPr>
      </w:pPr>
      <w:r w:rsidRPr="002A673F">
        <w:rPr>
          <w:strike/>
          <w:szCs w:val="24"/>
          <w:lang w:eastAsia="en-US"/>
        </w:rPr>
        <w:lastRenderedPageBreak/>
        <w:t>2.</w:t>
      </w:r>
      <w:r w:rsidRPr="00E075CA">
        <w:rPr>
          <w:strike/>
          <w:szCs w:val="24"/>
          <w:lang w:eastAsia="en-US"/>
        </w:rPr>
        <w:tab/>
      </w:r>
      <w:r w:rsidRPr="002A673F">
        <w:rPr>
          <w:strike/>
          <w:szCs w:val="24"/>
          <w:lang w:eastAsia="en-US"/>
        </w:rPr>
        <w:t>O registo é mantido em formato eletrónico pelo centro de competências.</w:t>
      </w:r>
      <w:r w:rsidRPr="002A673F">
        <w:rPr>
          <w:b/>
          <w:szCs w:val="24"/>
          <w:lang w:eastAsia="en-US"/>
        </w:rPr>
        <w:t xml:space="preserve"> [Alt. 84]</w:t>
      </w:r>
    </w:p>
    <w:p w14:paraId="68C6EB93"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O registo deve incluir as seguintes inscrições:</w:t>
      </w:r>
    </w:p>
    <w:p w14:paraId="32485107" w14:textId="29F219AD"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Informações sobre as normas pertinentes;</w:t>
      </w:r>
    </w:p>
    <w:p w14:paraId="1B593F3B" w14:textId="47CFDD56" w:rsidR="002A673F" w:rsidRPr="00E075CA" w:rsidRDefault="002A673F" w:rsidP="002A673F">
      <w:pPr>
        <w:spacing w:before="120" w:after="120" w:line="360" w:lineRule="auto"/>
        <w:ind w:left="1416" w:hanging="566"/>
        <w:rPr>
          <w:b/>
          <w:szCs w:val="24"/>
          <w:lang w:eastAsia="en-US"/>
        </w:rPr>
      </w:pPr>
      <w:r w:rsidRPr="002A673F">
        <w:rPr>
          <w:szCs w:val="24"/>
          <w:lang w:eastAsia="en-US"/>
        </w:rPr>
        <w:t>b)</w:t>
      </w:r>
      <w:r w:rsidRPr="002A673F">
        <w:rPr>
          <w:szCs w:val="24"/>
          <w:lang w:eastAsia="en-US"/>
        </w:rPr>
        <w:tab/>
        <w:t>Identificação das PEN registadas, incluindo o país de registo e o número da patente;</w:t>
      </w:r>
      <w:r w:rsidRPr="002A673F">
        <w:rPr>
          <w:b/>
          <w:szCs w:val="24"/>
          <w:lang w:eastAsia="en-US"/>
        </w:rPr>
        <w:t xml:space="preserve"> [Alt. 85</w:t>
      </w:r>
      <w:r w:rsidR="002C5F88">
        <w:rPr>
          <w:b/>
          <w:szCs w:val="24"/>
          <w:lang w:eastAsia="en-US"/>
        </w:rPr>
        <w:t xml:space="preserve"> - </w:t>
      </w:r>
      <w:r w:rsidR="002C5F88" w:rsidRPr="002C5F88">
        <w:rPr>
          <w:b/>
          <w:szCs w:val="24"/>
          <w:lang w:eastAsia="en-US"/>
        </w:rPr>
        <w:t>Não se aplica à versão portuguesa</w:t>
      </w:r>
      <w:r w:rsidRPr="002A673F">
        <w:rPr>
          <w:b/>
          <w:szCs w:val="24"/>
          <w:lang w:eastAsia="en-US"/>
        </w:rPr>
        <w:t>]</w:t>
      </w:r>
    </w:p>
    <w:p w14:paraId="49DB6B10" w14:textId="0C6AFDC5" w:rsidR="002A673F" w:rsidRPr="00E075CA" w:rsidRDefault="002A673F" w:rsidP="002A673F">
      <w:pPr>
        <w:spacing w:before="120" w:after="120" w:line="360" w:lineRule="auto"/>
        <w:ind w:left="1416" w:hanging="566"/>
        <w:rPr>
          <w:b/>
          <w:szCs w:val="24"/>
          <w:lang w:eastAsia="en-US"/>
        </w:rPr>
      </w:pPr>
      <w:r w:rsidRPr="002A673F">
        <w:rPr>
          <w:szCs w:val="24"/>
          <w:lang w:eastAsia="en-US"/>
        </w:rPr>
        <w:t>c)</w:t>
      </w:r>
      <w:r w:rsidRPr="002A673F">
        <w:rPr>
          <w:szCs w:val="24"/>
          <w:lang w:eastAsia="en-US"/>
        </w:rPr>
        <w:tab/>
        <w:t>A versão normalizada, a especificação técnica e as secções</w:t>
      </w:r>
      <w:r w:rsidRPr="002A673F">
        <w:rPr>
          <w:strike/>
          <w:szCs w:val="24"/>
          <w:lang w:eastAsia="en-US"/>
        </w:rPr>
        <w:t xml:space="preserve"> específicas</w:t>
      </w:r>
      <w:r w:rsidRPr="002A673F">
        <w:rPr>
          <w:szCs w:val="24"/>
          <w:lang w:eastAsia="en-US"/>
        </w:rPr>
        <w:t xml:space="preserve"> da especificação técnica para as quais a patente é considerada essencial;</w:t>
      </w:r>
      <w:r w:rsidRPr="002A673F">
        <w:rPr>
          <w:b/>
          <w:szCs w:val="24"/>
          <w:lang w:eastAsia="en-US"/>
        </w:rPr>
        <w:t xml:space="preserve"> [Alt. 86]</w:t>
      </w:r>
    </w:p>
    <w:p w14:paraId="01A71A3C" w14:textId="7F9613A7" w:rsidR="002A673F" w:rsidRPr="002A673F" w:rsidRDefault="002A673F" w:rsidP="002A673F">
      <w:pPr>
        <w:spacing w:before="120" w:after="120" w:line="360" w:lineRule="auto"/>
        <w:ind w:left="1416" w:hanging="566"/>
        <w:rPr>
          <w:szCs w:val="24"/>
          <w:lang w:eastAsia="en-US"/>
        </w:rPr>
      </w:pPr>
      <w:r w:rsidRPr="002A673F">
        <w:rPr>
          <w:szCs w:val="24"/>
          <w:lang w:eastAsia="en-US"/>
        </w:rPr>
        <w:t>d)</w:t>
      </w:r>
      <w:r w:rsidRPr="002A673F">
        <w:rPr>
          <w:szCs w:val="24"/>
          <w:lang w:eastAsia="en-US"/>
        </w:rPr>
        <w:tab/>
        <w:t>A referência aos termos do compromisso de concessão de licenças FRAND do titular da PEN para com o organismo de normalização;</w:t>
      </w:r>
    </w:p>
    <w:p w14:paraId="02A625F9" w14:textId="3B7CEA80" w:rsidR="002A673F" w:rsidRPr="002A673F" w:rsidRDefault="002A673F" w:rsidP="002A673F">
      <w:pPr>
        <w:spacing w:before="120" w:after="120" w:line="360" w:lineRule="auto"/>
        <w:ind w:left="1416" w:hanging="566"/>
        <w:rPr>
          <w:szCs w:val="24"/>
          <w:lang w:eastAsia="en-US"/>
        </w:rPr>
      </w:pPr>
      <w:r w:rsidRPr="002A673F">
        <w:rPr>
          <w:szCs w:val="24"/>
          <w:lang w:eastAsia="en-US"/>
        </w:rPr>
        <w:t>e)</w:t>
      </w:r>
      <w:r w:rsidRPr="002A673F">
        <w:rPr>
          <w:szCs w:val="24"/>
          <w:lang w:eastAsia="en-US"/>
        </w:rPr>
        <w:tab/>
        <w:t>O nome, endereço e dados de contacto do titular da PEN;</w:t>
      </w:r>
    </w:p>
    <w:p w14:paraId="3B0B8173" w14:textId="423CFBA7" w:rsidR="002A673F" w:rsidRPr="00E075CA" w:rsidRDefault="002A673F" w:rsidP="002A673F">
      <w:pPr>
        <w:spacing w:before="120" w:after="120" w:line="360" w:lineRule="auto"/>
        <w:ind w:left="1416" w:hanging="566"/>
        <w:rPr>
          <w:b/>
          <w:szCs w:val="24"/>
          <w:lang w:eastAsia="en-US"/>
        </w:rPr>
      </w:pPr>
      <w:r w:rsidRPr="002A673F">
        <w:rPr>
          <w:szCs w:val="24"/>
          <w:lang w:eastAsia="en-US"/>
        </w:rPr>
        <w:t>f)</w:t>
      </w:r>
      <w:r w:rsidRPr="002A673F">
        <w:rPr>
          <w:szCs w:val="24"/>
          <w:lang w:eastAsia="en-US"/>
        </w:rPr>
        <w:tab/>
        <w:t xml:space="preserve">Se o titular da PEN </w:t>
      </w:r>
      <w:r w:rsidRPr="002A673F">
        <w:rPr>
          <w:b/>
          <w:i/>
          <w:szCs w:val="24"/>
          <w:lang w:eastAsia="en-US"/>
        </w:rPr>
        <w:t xml:space="preserve">for uma filial ou sucursal ou </w:t>
      </w:r>
      <w:r w:rsidRPr="002A673F">
        <w:rPr>
          <w:szCs w:val="24"/>
          <w:lang w:eastAsia="en-US"/>
        </w:rPr>
        <w:t xml:space="preserve">fizer parte de </w:t>
      </w:r>
      <w:r w:rsidRPr="002A673F">
        <w:rPr>
          <w:strike/>
          <w:szCs w:val="24"/>
          <w:lang w:eastAsia="en-US"/>
        </w:rPr>
        <w:t xml:space="preserve">um grupo </w:t>
      </w:r>
      <w:proofErr w:type="spellStart"/>
      <w:r w:rsidRPr="002A673F">
        <w:rPr>
          <w:strike/>
          <w:szCs w:val="24"/>
          <w:lang w:eastAsia="en-US"/>
        </w:rPr>
        <w:t>de</w:t>
      </w:r>
      <w:r w:rsidRPr="002A673F">
        <w:rPr>
          <w:b/>
          <w:i/>
          <w:szCs w:val="24"/>
          <w:lang w:eastAsia="en-US"/>
        </w:rPr>
        <w:t>uma</w:t>
      </w:r>
      <w:proofErr w:type="spellEnd"/>
      <w:r w:rsidRPr="002A673F">
        <w:rPr>
          <w:b/>
          <w:i/>
          <w:szCs w:val="24"/>
          <w:lang w:eastAsia="en-US"/>
        </w:rPr>
        <w:t xml:space="preserve"> ou mais</w:t>
      </w:r>
      <w:r w:rsidRPr="002A673F">
        <w:rPr>
          <w:szCs w:val="24"/>
          <w:lang w:eastAsia="en-US"/>
        </w:rPr>
        <w:t xml:space="preserve"> empresas, o nome, endereço e dados de contacto da empresa-mãe;</w:t>
      </w:r>
      <w:r w:rsidRPr="002A673F">
        <w:rPr>
          <w:b/>
          <w:szCs w:val="24"/>
          <w:lang w:eastAsia="en-US"/>
        </w:rPr>
        <w:t xml:space="preserve"> [Alt. 87]</w:t>
      </w:r>
    </w:p>
    <w:p w14:paraId="434A04F0" w14:textId="77777777" w:rsidR="002C5F88" w:rsidRDefault="002C5F88">
      <w:pPr>
        <w:widowControl/>
        <w:rPr>
          <w:szCs w:val="24"/>
          <w:lang w:eastAsia="en-US"/>
        </w:rPr>
      </w:pPr>
      <w:r>
        <w:rPr>
          <w:szCs w:val="24"/>
          <w:lang w:eastAsia="en-US"/>
        </w:rPr>
        <w:br w:type="page"/>
      </w:r>
    </w:p>
    <w:p w14:paraId="4371DC66" w14:textId="388F16A0"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g)</w:t>
      </w:r>
      <w:r w:rsidRPr="002A673F">
        <w:rPr>
          <w:szCs w:val="24"/>
          <w:lang w:eastAsia="en-US"/>
        </w:rPr>
        <w:tab/>
        <w:t>O nome, endereço e dados de contacto dos representantes legais do titular da PEN na União, se for caso disso;</w:t>
      </w:r>
    </w:p>
    <w:p w14:paraId="02210874" w14:textId="6463D39C" w:rsidR="002A673F" w:rsidRPr="00E075CA" w:rsidRDefault="002A673F" w:rsidP="002A673F">
      <w:pPr>
        <w:spacing w:before="120" w:after="120" w:line="360" w:lineRule="auto"/>
        <w:ind w:left="1416" w:hanging="566"/>
        <w:rPr>
          <w:b/>
          <w:szCs w:val="24"/>
          <w:lang w:eastAsia="en-US"/>
        </w:rPr>
      </w:pPr>
      <w:r w:rsidRPr="002A673F">
        <w:rPr>
          <w:szCs w:val="24"/>
          <w:lang w:eastAsia="en-US"/>
        </w:rPr>
        <w:t>h)</w:t>
      </w:r>
      <w:r w:rsidRPr="002A673F">
        <w:rPr>
          <w:szCs w:val="24"/>
          <w:lang w:eastAsia="en-US"/>
        </w:rPr>
        <w:tab/>
        <w:t xml:space="preserve">A existência de eventuais condições gerais </w:t>
      </w:r>
      <w:proofErr w:type="spellStart"/>
      <w:r w:rsidRPr="002A673F">
        <w:rPr>
          <w:strike/>
          <w:szCs w:val="24"/>
          <w:lang w:eastAsia="en-US"/>
        </w:rPr>
        <w:t>públicas</w:t>
      </w:r>
      <w:r w:rsidRPr="002A673F">
        <w:rPr>
          <w:b/>
          <w:i/>
          <w:szCs w:val="24"/>
          <w:lang w:eastAsia="en-US"/>
        </w:rPr>
        <w:t>à</w:t>
      </w:r>
      <w:proofErr w:type="spellEnd"/>
      <w:r w:rsidRPr="002A673F">
        <w:rPr>
          <w:b/>
          <w:i/>
          <w:szCs w:val="24"/>
          <w:lang w:eastAsia="en-US"/>
        </w:rPr>
        <w:t xml:space="preserve"> disposição do público</w:t>
      </w:r>
      <w:r w:rsidRPr="002A673F">
        <w:rPr>
          <w:szCs w:val="24"/>
          <w:lang w:eastAsia="en-US"/>
        </w:rPr>
        <w:t>, nomeadamente políticas</w:t>
      </w:r>
      <w:r w:rsidRPr="002A673F">
        <w:rPr>
          <w:b/>
          <w:i/>
          <w:szCs w:val="24"/>
          <w:lang w:eastAsia="en-US"/>
        </w:rPr>
        <w:t xml:space="preserve"> de </w:t>
      </w:r>
      <w:r w:rsidRPr="00E075CA">
        <w:rPr>
          <w:b/>
          <w:szCs w:val="24"/>
          <w:lang w:eastAsia="en-US"/>
        </w:rPr>
        <w:t>royalties</w:t>
      </w:r>
      <w:r w:rsidRPr="002A673F">
        <w:rPr>
          <w:b/>
          <w:i/>
          <w:szCs w:val="24"/>
          <w:lang w:eastAsia="en-US"/>
        </w:rPr>
        <w:t>, de isenção</w:t>
      </w:r>
      <w:r w:rsidRPr="002A673F">
        <w:rPr>
          <w:szCs w:val="24"/>
          <w:lang w:eastAsia="en-US"/>
        </w:rPr>
        <w:t xml:space="preserve"> de </w:t>
      </w:r>
      <w:r w:rsidRPr="00E075CA">
        <w:rPr>
          <w:i/>
          <w:szCs w:val="24"/>
          <w:lang w:eastAsia="en-US"/>
        </w:rPr>
        <w:t>royalties</w:t>
      </w:r>
      <w:r w:rsidRPr="002A673F">
        <w:rPr>
          <w:szCs w:val="24"/>
          <w:lang w:eastAsia="en-US"/>
        </w:rPr>
        <w:t xml:space="preserve"> e de descontos do titular da PEN;</w:t>
      </w:r>
      <w:r w:rsidRPr="002A673F">
        <w:rPr>
          <w:b/>
          <w:szCs w:val="24"/>
          <w:lang w:eastAsia="en-US"/>
        </w:rPr>
        <w:t xml:space="preserve"> [Alt. 88]</w:t>
      </w:r>
    </w:p>
    <w:p w14:paraId="484E03FC" w14:textId="64B9FF8E" w:rsidR="002A673F" w:rsidRPr="00E075CA" w:rsidRDefault="002A673F" w:rsidP="002A673F">
      <w:pPr>
        <w:spacing w:before="120" w:after="120" w:line="360" w:lineRule="auto"/>
        <w:ind w:left="1416" w:hanging="566"/>
        <w:rPr>
          <w:b/>
          <w:szCs w:val="24"/>
          <w:lang w:eastAsia="en-US"/>
        </w:rPr>
      </w:pPr>
      <w:r w:rsidRPr="002A673F">
        <w:rPr>
          <w:szCs w:val="24"/>
          <w:lang w:eastAsia="en-US"/>
        </w:rPr>
        <w:t>i)</w:t>
      </w:r>
      <w:r w:rsidRPr="002A673F">
        <w:rPr>
          <w:szCs w:val="24"/>
          <w:lang w:eastAsia="en-US"/>
        </w:rPr>
        <w:tab/>
        <w:t xml:space="preserve">A existência de eventuais condições gerais </w:t>
      </w:r>
      <w:proofErr w:type="spellStart"/>
      <w:r w:rsidRPr="002A673F">
        <w:rPr>
          <w:strike/>
          <w:szCs w:val="24"/>
          <w:lang w:eastAsia="en-US"/>
        </w:rPr>
        <w:t>públicas</w:t>
      </w:r>
      <w:r w:rsidRPr="002A673F">
        <w:rPr>
          <w:b/>
          <w:i/>
          <w:szCs w:val="24"/>
          <w:lang w:eastAsia="en-US"/>
        </w:rPr>
        <w:t>à</w:t>
      </w:r>
      <w:proofErr w:type="spellEnd"/>
      <w:r w:rsidRPr="002A673F">
        <w:rPr>
          <w:b/>
          <w:i/>
          <w:szCs w:val="24"/>
          <w:lang w:eastAsia="en-US"/>
        </w:rPr>
        <w:t xml:space="preserve"> disposição do público</w:t>
      </w:r>
      <w:r w:rsidRPr="002A673F">
        <w:rPr>
          <w:szCs w:val="24"/>
          <w:lang w:eastAsia="en-US"/>
        </w:rPr>
        <w:t xml:space="preserve"> para a concessão de licenças PEN às PME</w:t>
      </w:r>
      <w:r w:rsidRPr="002A673F">
        <w:rPr>
          <w:b/>
          <w:i/>
          <w:szCs w:val="24"/>
          <w:lang w:eastAsia="en-US"/>
        </w:rPr>
        <w:t xml:space="preserve"> e às empresas em fase de arranque</w:t>
      </w:r>
      <w:r w:rsidRPr="002A673F">
        <w:rPr>
          <w:szCs w:val="24"/>
          <w:lang w:eastAsia="en-US"/>
        </w:rPr>
        <w:t>;</w:t>
      </w:r>
      <w:r w:rsidRPr="002A673F">
        <w:rPr>
          <w:b/>
          <w:szCs w:val="24"/>
          <w:lang w:eastAsia="en-US"/>
        </w:rPr>
        <w:t xml:space="preserve"> [Alt. 89]</w:t>
      </w:r>
    </w:p>
    <w:p w14:paraId="73FBBD14" w14:textId="4E8DDC67" w:rsidR="002A673F" w:rsidRPr="00E075CA" w:rsidRDefault="002A673F" w:rsidP="002A673F">
      <w:pPr>
        <w:spacing w:before="120" w:after="120" w:line="360" w:lineRule="auto"/>
        <w:ind w:left="1416" w:hanging="566"/>
        <w:rPr>
          <w:b/>
          <w:szCs w:val="24"/>
          <w:lang w:eastAsia="en-US"/>
        </w:rPr>
      </w:pPr>
      <w:r w:rsidRPr="002A673F">
        <w:rPr>
          <w:szCs w:val="24"/>
          <w:lang w:eastAsia="en-US"/>
        </w:rPr>
        <w:t>j)</w:t>
      </w:r>
      <w:r w:rsidRPr="002A673F">
        <w:rPr>
          <w:szCs w:val="24"/>
          <w:lang w:eastAsia="en-US"/>
        </w:rPr>
        <w:tab/>
        <w:t>A disponibilidade para a concessão de licenças através de comunhões de patentes</w:t>
      </w:r>
      <w:r w:rsidRPr="002A673F">
        <w:rPr>
          <w:b/>
          <w:i/>
          <w:szCs w:val="24"/>
          <w:lang w:eastAsia="en-US"/>
        </w:rPr>
        <w:t xml:space="preserve"> e o nome da comunhão de patentes em questão</w:t>
      </w:r>
      <w:r w:rsidRPr="002A673F">
        <w:rPr>
          <w:szCs w:val="24"/>
          <w:lang w:eastAsia="en-US"/>
        </w:rPr>
        <w:t>, se for caso disso;</w:t>
      </w:r>
      <w:r w:rsidRPr="002A673F">
        <w:rPr>
          <w:b/>
          <w:szCs w:val="24"/>
          <w:lang w:eastAsia="en-US"/>
        </w:rPr>
        <w:t xml:space="preserve"> [Alt. 90]</w:t>
      </w:r>
    </w:p>
    <w:p w14:paraId="1B9193A4" w14:textId="334D31E3" w:rsidR="002A673F" w:rsidRPr="002A673F" w:rsidRDefault="002A673F" w:rsidP="002A673F">
      <w:pPr>
        <w:spacing w:before="120" w:after="120" w:line="360" w:lineRule="auto"/>
        <w:ind w:left="1416" w:hanging="566"/>
        <w:rPr>
          <w:szCs w:val="24"/>
          <w:lang w:eastAsia="en-US"/>
        </w:rPr>
      </w:pPr>
      <w:r w:rsidRPr="002A673F">
        <w:rPr>
          <w:szCs w:val="24"/>
          <w:lang w:eastAsia="en-US"/>
        </w:rPr>
        <w:t>k)</w:t>
      </w:r>
      <w:r w:rsidRPr="002A673F">
        <w:rPr>
          <w:szCs w:val="24"/>
          <w:lang w:eastAsia="en-US"/>
        </w:rPr>
        <w:tab/>
        <w:t>Dados de contacto para a concessão de licenças, incluindo os da entidade licenciadora;</w:t>
      </w:r>
    </w:p>
    <w:p w14:paraId="3AD9B94B" w14:textId="337F9C78" w:rsidR="002A673F" w:rsidRPr="002A673F" w:rsidRDefault="002A673F" w:rsidP="002A673F">
      <w:pPr>
        <w:spacing w:before="120" w:after="120" w:line="360" w:lineRule="auto"/>
        <w:ind w:left="1416" w:hanging="566"/>
        <w:rPr>
          <w:szCs w:val="24"/>
          <w:lang w:eastAsia="en-US"/>
        </w:rPr>
      </w:pPr>
      <w:r w:rsidRPr="002A673F">
        <w:rPr>
          <w:szCs w:val="24"/>
          <w:lang w:eastAsia="en-US"/>
        </w:rPr>
        <w:t>l)</w:t>
      </w:r>
      <w:r w:rsidRPr="002A673F">
        <w:rPr>
          <w:szCs w:val="24"/>
          <w:lang w:eastAsia="en-US"/>
        </w:rPr>
        <w:tab/>
        <w:t>A data da inscrição da PEN no registo e o número de registo.</w:t>
      </w:r>
    </w:p>
    <w:p w14:paraId="4DA64D5C"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O registo inclui igualmente as seguintes inscrições, cada uma acompanhada da respetiva data de registo:</w:t>
      </w:r>
    </w:p>
    <w:p w14:paraId="7FF29776" w14:textId="51F19F20"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Alterações dos dados de contacto das inscrições a</w:t>
      </w:r>
      <w:r w:rsidR="009B7063">
        <w:rPr>
          <w:szCs w:val="24"/>
          <w:lang w:eastAsia="en-US"/>
        </w:rPr>
        <w:t xml:space="preserve"> que se refere o n.º 3, alíneas </w:t>
      </w:r>
      <w:r w:rsidRPr="002A673F">
        <w:rPr>
          <w:szCs w:val="24"/>
          <w:lang w:eastAsia="en-US"/>
        </w:rPr>
        <w:t>e), f), g) e k);</w:t>
      </w:r>
    </w:p>
    <w:p w14:paraId="018AF519" w14:textId="77777777" w:rsidR="00F725CF" w:rsidRDefault="00F725CF">
      <w:pPr>
        <w:widowControl/>
        <w:rPr>
          <w:szCs w:val="24"/>
          <w:lang w:eastAsia="en-US"/>
        </w:rPr>
      </w:pPr>
      <w:r>
        <w:rPr>
          <w:szCs w:val="24"/>
          <w:lang w:eastAsia="en-US"/>
        </w:rPr>
        <w:br w:type="page"/>
      </w:r>
    </w:p>
    <w:p w14:paraId="18A9904B" w14:textId="1146BCC5"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b)</w:t>
      </w:r>
      <w:r w:rsidRPr="002A673F">
        <w:rPr>
          <w:szCs w:val="24"/>
          <w:lang w:eastAsia="en-US"/>
        </w:rPr>
        <w:tab/>
        <w:t>A concessão ou transmissão de uma licença através de comunhões de patentes, se for caso disso, nos termos do artigo 9.º;</w:t>
      </w:r>
    </w:p>
    <w:p w14:paraId="3C113BA1" w14:textId="61C47BF9" w:rsidR="002A673F" w:rsidRPr="00E075CA" w:rsidRDefault="002A673F" w:rsidP="002A673F">
      <w:pPr>
        <w:spacing w:before="120" w:after="120" w:line="360" w:lineRule="auto"/>
        <w:ind w:left="1416" w:hanging="566"/>
        <w:rPr>
          <w:b/>
          <w:szCs w:val="24"/>
          <w:lang w:eastAsia="en-US"/>
        </w:rPr>
      </w:pPr>
      <w:r w:rsidRPr="002A673F">
        <w:rPr>
          <w:szCs w:val="24"/>
          <w:lang w:eastAsia="en-US"/>
        </w:rPr>
        <w:t>c)</w:t>
      </w:r>
      <w:r w:rsidRPr="002A673F">
        <w:rPr>
          <w:szCs w:val="24"/>
          <w:lang w:eastAsia="en-US"/>
        </w:rPr>
        <w:tab/>
      </w:r>
      <w:r w:rsidRPr="002A673F">
        <w:rPr>
          <w:b/>
          <w:i/>
          <w:szCs w:val="24"/>
          <w:lang w:eastAsia="en-US"/>
        </w:rPr>
        <w:t xml:space="preserve">Quaisquer </w:t>
      </w:r>
      <w:r w:rsidRPr="002A673F">
        <w:rPr>
          <w:szCs w:val="24"/>
          <w:lang w:eastAsia="en-US"/>
        </w:rPr>
        <w:t>informações sobre se já foi efetuada uma verificação do caráter essencial ou uma avaliação pelos pares e</w:t>
      </w:r>
      <w:r w:rsidRPr="002A673F">
        <w:rPr>
          <w:b/>
          <w:i/>
          <w:szCs w:val="24"/>
          <w:lang w:eastAsia="en-US"/>
        </w:rPr>
        <w:t>, a menos que tal seja impossível devido a limitações contratuais acordadas pelas partes, também uma</w:t>
      </w:r>
      <w:r w:rsidRPr="002A673F">
        <w:rPr>
          <w:szCs w:val="24"/>
          <w:lang w:eastAsia="en-US"/>
        </w:rPr>
        <w:t xml:space="preserve"> referência ao resultado</w:t>
      </w:r>
      <w:r w:rsidRPr="002A673F">
        <w:rPr>
          <w:b/>
          <w:i/>
          <w:szCs w:val="24"/>
          <w:lang w:eastAsia="en-US"/>
        </w:rPr>
        <w:t xml:space="preserve"> da verificação do caráter essencial</w:t>
      </w:r>
      <w:r w:rsidRPr="002A673F">
        <w:rPr>
          <w:szCs w:val="24"/>
          <w:lang w:eastAsia="en-US"/>
        </w:rPr>
        <w:t>;</w:t>
      </w:r>
      <w:r w:rsidRPr="002A673F">
        <w:rPr>
          <w:b/>
          <w:szCs w:val="24"/>
          <w:lang w:eastAsia="en-US"/>
        </w:rPr>
        <w:t xml:space="preserve"> [Alt. 91]</w:t>
      </w:r>
    </w:p>
    <w:p w14:paraId="7C2953AB" w14:textId="49D4F851" w:rsidR="002A673F" w:rsidRPr="00E075CA" w:rsidRDefault="002A673F" w:rsidP="002A673F">
      <w:pPr>
        <w:spacing w:before="120" w:after="120" w:line="360" w:lineRule="auto"/>
        <w:ind w:left="1416" w:hanging="566"/>
        <w:rPr>
          <w:b/>
          <w:szCs w:val="24"/>
          <w:lang w:eastAsia="en-US"/>
        </w:rPr>
      </w:pPr>
      <w:r w:rsidRPr="002A673F">
        <w:rPr>
          <w:szCs w:val="24"/>
          <w:lang w:eastAsia="en-US"/>
        </w:rPr>
        <w:t>d)</w:t>
      </w:r>
      <w:r w:rsidRPr="002A673F">
        <w:rPr>
          <w:szCs w:val="24"/>
          <w:lang w:eastAsia="en-US"/>
        </w:rPr>
        <w:tab/>
        <w:t>Informações sobre se a PEN caducou</w:t>
      </w:r>
      <w:r w:rsidRPr="002A673F">
        <w:rPr>
          <w:strike/>
          <w:szCs w:val="24"/>
          <w:lang w:eastAsia="en-US"/>
        </w:rPr>
        <w:t xml:space="preserve"> ou</w:t>
      </w:r>
      <w:r w:rsidRPr="002A673F">
        <w:rPr>
          <w:b/>
          <w:i/>
          <w:szCs w:val="24"/>
          <w:lang w:eastAsia="en-US"/>
        </w:rPr>
        <w:t>,</w:t>
      </w:r>
      <w:r w:rsidRPr="002A673F">
        <w:rPr>
          <w:szCs w:val="24"/>
          <w:lang w:eastAsia="en-US"/>
        </w:rPr>
        <w:t xml:space="preserve"> foi anulada</w:t>
      </w:r>
      <w:r w:rsidRPr="002A673F">
        <w:rPr>
          <w:b/>
          <w:i/>
          <w:szCs w:val="24"/>
          <w:lang w:eastAsia="en-US"/>
        </w:rPr>
        <w:t xml:space="preserve"> ou foi considerada inexequível</w:t>
      </w:r>
      <w:r w:rsidRPr="002A673F">
        <w:rPr>
          <w:szCs w:val="24"/>
          <w:lang w:eastAsia="en-US"/>
        </w:rPr>
        <w:t xml:space="preserve"> por decisão final de um t</w:t>
      </w:r>
      <w:r w:rsidR="00873481">
        <w:rPr>
          <w:szCs w:val="24"/>
          <w:lang w:eastAsia="en-US"/>
        </w:rPr>
        <w:t>ribunal competente de um Estado</w:t>
      </w:r>
      <w:r w:rsidR="00873481">
        <w:rPr>
          <w:szCs w:val="24"/>
          <w:lang w:eastAsia="en-US"/>
        </w:rPr>
        <w:noBreakHyphen/>
      </w:r>
      <w:r w:rsidRPr="002A673F">
        <w:rPr>
          <w:szCs w:val="24"/>
          <w:lang w:eastAsia="en-US"/>
        </w:rPr>
        <w:t>Membro;</w:t>
      </w:r>
      <w:r w:rsidRPr="002A673F">
        <w:rPr>
          <w:b/>
          <w:szCs w:val="24"/>
          <w:lang w:eastAsia="en-US"/>
        </w:rPr>
        <w:t xml:space="preserve"> [Alt. 92]</w:t>
      </w:r>
    </w:p>
    <w:p w14:paraId="587BD290" w14:textId="0A4714BE" w:rsidR="002A673F" w:rsidRPr="002A673F" w:rsidRDefault="002A673F" w:rsidP="002A673F">
      <w:pPr>
        <w:spacing w:before="120" w:after="120" w:line="360" w:lineRule="auto"/>
        <w:ind w:left="1416" w:hanging="566"/>
        <w:rPr>
          <w:szCs w:val="24"/>
          <w:lang w:eastAsia="en-US"/>
        </w:rPr>
      </w:pPr>
      <w:r w:rsidRPr="002A673F">
        <w:rPr>
          <w:szCs w:val="24"/>
          <w:lang w:eastAsia="en-US"/>
        </w:rPr>
        <w:t>e)</w:t>
      </w:r>
      <w:r w:rsidRPr="002A673F">
        <w:rPr>
          <w:szCs w:val="24"/>
          <w:lang w:eastAsia="en-US"/>
        </w:rPr>
        <w:tab/>
        <w:t>Informações relativas aos procedimentos e decisões sobre PEN nos termos do artigo 10.º;</w:t>
      </w:r>
    </w:p>
    <w:p w14:paraId="2149B981" w14:textId="63F38447" w:rsidR="002A673F" w:rsidRPr="00E075CA" w:rsidRDefault="002A673F" w:rsidP="002A673F">
      <w:pPr>
        <w:spacing w:before="120" w:after="120" w:line="360" w:lineRule="auto"/>
        <w:ind w:left="1416" w:hanging="566"/>
        <w:rPr>
          <w:b/>
          <w:szCs w:val="24"/>
          <w:lang w:eastAsia="en-US"/>
        </w:rPr>
      </w:pPr>
      <w:r w:rsidRPr="002A673F">
        <w:rPr>
          <w:szCs w:val="24"/>
          <w:lang w:eastAsia="en-US"/>
        </w:rPr>
        <w:t>f)</w:t>
      </w:r>
      <w:r w:rsidRPr="002A673F">
        <w:rPr>
          <w:szCs w:val="24"/>
          <w:lang w:eastAsia="en-US"/>
        </w:rPr>
        <w:tab/>
        <w:t>A data de publicação das informações nos termos do artigo 19.º, n.º 1</w:t>
      </w:r>
      <w:r w:rsidRPr="002A673F">
        <w:rPr>
          <w:strike/>
          <w:szCs w:val="24"/>
          <w:lang w:eastAsia="en-US"/>
        </w:rPr>
        <w:t>, em conjugação com o artigo 14.º, n.º 7, o artigo 15.º, n.º 4, e o artigo 18.º, n.º 11</w:t>
      </w:r>
      <w:r w:rsidRPr="002A673F">
        <w:rPr>
          <w:szCs w:val="24"/>
          <w:lang w:eastAsia="en-US"/>
        </w:rPr>
        <w:t>;</w:t>
      </w:r>
      <w:r w:rsidRPr="002A673F">
        <w:rPr>
          <w:b/>
          <w:szCs w:val="24"/>
          <w:lang w:eastAsia="en-US"/>
        </w:rPr>
        <w:t xml:space="preserve"> [Alt. 93]</w:t>
      </w:r>
    </w:p>
    <w:p w14:paraId="245E3F84" w14:textId="10268E08" w:rsidR="002A673F" w:rsidRPr="002A673F" w:rsidRDefault="002A673F" w:rsidP="002A673F">
      <w:pPr>
        <w:spacing w:before="120" w:after="120" w:line="360" w:lineRule="auto"/>
        <w:ind w:left="1416" w:hanging="566"/>
        <w:rPr>
          <w:szCs w:val="24"/>
          <w:lang w:eastAsia="en-US"/>
        </w:rPr>
      </w:pPr>
      <w:r w:rsidRPr="002A673F">
        <w:rPr>
          <w:szCs w:val="24"/>
          <w:lang w:eastAsia="en-US"/>
        </w:rPr>
        <w:t>g)</w:t>
      </w:r>
      <w:r w:rsidRPr="002A673F">
        <w:rPr>
          <w:szCs w:val="24"/>
          <w:lang w:eastAsia="en-US"/>
        </w:rPr>
        <w:tab/>
        <w:t>A data de suspensão da PEN do registo, nos termos do artigo 22.º;</w:t>
      </w:r>
    </w:p>
    <w:p w14:paraId="773CDB0D" w14:textId="77777777" w:rsidR="00F725CF" w:rsidRDefault="00F725CF">
      <w:pPr>
        <w:widowControl/>
        <w:rPr>
          <w:szCs w:val="24"/>
          <w:lang w:eastAsia="en-US"/>
        </w:rPr>
      </w:pPr>
      <w:r>
        <w:rPr>
          <w:szCs w:val="24"/>
          <w:lang w:eastAsia="en-US"/>
        </w:rPr>
        <w:br w:type="page"/>
      </w:r>
    </w:p>
    <w:p w14:paraId="4EB76087" w14:textId="32239483"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h)</w:t>
      </w:r>
      <w:r w:rsidRPr="002A673F">
        <w:rPr>
          <w:szCs w:val="24"/>
          <w:lang w:eastAsia="en-US"/>
        </w:rPr>
        <w:tab/>
        <w:t>Retificações da PEN, nos termos do artigo 23.º;</w:t>
      </w:r>
    </w:p>
    <w:p w14:paraId="6BFEF002" w14:textId="1A0523A2" w:rsidR="002A673F" w:rsidRPr="002A673F" w:rsidRDefault="002A673F" w:rsidP="002A673F">
      <w:pPr>
        <w:spacing w:before="120" w:after="120" w:line="360" w:lineRule="auto"/>
        <w:ind w:left="1416" w:hanging="566"/>
        <w:rPr>
          <w:szCs w:val="24"/>
          <w:lang w:eastAsia="en-US"/>
        </w:rPr>
      </w:pPr>
      <w:r w:rsidRPr="002A673F">
        <w:rPr>
          <w:szCs w:val="24"/>
          <w:lang w:eastAsia="en-US"/>
        </w:rPr>
        <w:t>i)</w:t>
      </w:r>
      <w:r w:rsidRPr="002A673F">
        <w:rPr>
          <w:szCs w:val="24"/>
          <w:lang w:eastAsia="en-US"/>
        </w:rPr>
        <w:tab/>
        <w:t>A data da retirada da PEN do registo, nos termos do artigo 25.º, e os motivos dessa retirada;</w:t>
      </w:r>
    </w:p>
    <w:p w14:paraId="2E4A7C2E" w14:textId="5234C09D" w:rsidR="002A673F" w:rsidRPr="002A673F" w:rsidRDefault="002A673F" w:rsidP="002A673F">
      <w:pPr>
        <w:spacing w:before="120" w:after="120" w:line="360" w:lineRule="auto"/>
        <w:ind w:left="1416" w:hanging="566"/>
        <w:rPr>
          <w:szCs w:val="24"/>
          <w:lang w:eastAsia="en-US"/>
        </w:rPr>
      </w:pPr>
      <w:r w:rsidRPr="002A673F">
        <w:rPr>
          <w:szCs w:val="24"/>
          <w:lang w:eastAsia="en-US"/>
        </w:rPr>
        <w:t>j)</w:t>
      </w:r>
      <w:r w:rsidRPr="002A673F">
        <w:rPr>
          <w:szCs w:val="24"/>
          <w:lang w:eastAsia="en-US"/>
        </w:rPr>
        <w:tab/>
        <w:t>A retificação ou a retirada do registo do elemento referido nas alíneas b), e) e f).</w:t>
      </w:r>
    </w:p>
    <w:p w14:paraId="7A8AC97F" w14:textId="4CCE1ACE" w:rsidR="002A673F" w:rsidRPr="00E075CA" w:rsidRDefault="002A673F" w:rsidP="002A673F">
      <w:pPr>
        <w:spacing w:before="120" w:after="120" w:line="360" w:lineRule="auto"/>
        <w:ind w:left="850" w:hanging="850"/>
        <w:rPr>
          <w:b/>
          <w:szCs w:val="24"/>
          <w:lang w:eastAsia="en-US"/>
        </w:rPr>
      </w:pPr>
      <w:r w:rsidRPr="002A673F">
        <w:rPr>
          <w:b/>
          <w:i/>
          <w:szCs w:val="24"/>
          <w:lang w:eastAsia="en-US"/>
        </w:rPr>
        <w:t>4-A.</w:t>
      </w:r>
      <w:r w:rsidRPr="002A673F">
        <w:rPr>
          <w:szCs w:val="24"/>
          <w:lang w:eastAsia="en-US"/>
        </w:rPr>
        <w:tab/>
      </w:r>
      <w:r w:rsidRPr="002A673F">
        <w:rPr>
          <w:b/>
          <w:i/>
          <w:szCs w:val="24"/>
          <w:lang w:eastAsia="en-US"/>
        </w:rPr>
        <w:t>Antes de registarem as suas patentes, os titulares de PEN podem enviar voluntariamente as suas PEN para o centro de competências para verificação do caráter essencial.</w:t>
      </w:r>
      <w:r w:rsidRPr="002A673F">
        <w:rPr>
          <w:b/>
          <w:szCs w:val="24"/>
          <w:lang w:eastAsia="en-US"/>
        </w:rPr>
        <w:t xml:space="preserve"> [Alt. 94]</w:t>
      </w:r>
    </w:p>
    <w:p w14:paraId="396116B5" w14:textId="289A8C7E" w:rsidR="002A673F" w:rsidRPr="002A673F" w:rsidRDefault="002A673F" w:rsidP="002A673F">
      <w:pPr>
        <w:spacing w:before="120" w:after="120" w:line="360" w:lineRule="auto"/>
        <w:ind w:left="850" w:hanging="850"/>
        <w:rPr>
          <w:szCs w:val="24"/>
          <w:lang w:eastAsia="en-US"/>
        </w:rPr>
      </w:pPr>
      <w:r w:rsidRPr="002A673F">
        <w:rPr>
          <w:szCs w:val="24"/>
          <w:lang w:eastAsia="en-US"/>
        </w:rPr>
        <w:t>5.</w:t>
      </w:r>
      <w:r w:rsidRPr="002A673F">
        <w:rPr>
          <w:szCs w:val="24"/>
          <w:lang w:eastAsia="en-US"/>
        </w:rPr>
        <w:tab/>
        <w:t>A Comissão fica habilitada a adotar atos delegad</w:t>
      </w:r>
      <w:r w:rsidR="00F725CF">
        <w:rPr>
          <w:szCs w:val="24"/>
          <w:lang w:eastAsia="en-US"/>
        </w:rPr>
        <w:t>os em conformidade com o artigo </w:t>
      </w:r>
      <w:r w:rsidRPr="002A673F">
        <w:rPr>
          <w:szCs w:val="24"/>
          <w:lang w:eastAsia="en-US"/>
        </w:rPr>
        <w:t xml:space="preserve">67.º, alterando os </w:t>
      </w:r>
      <w:proofErr w:type="spellStart"/>
      <w:r w:rsidRPr="002A673F">
        <w:rPr>
          <w:szCs w:val="24"/>
          <w:lang w:eastAsia="en-US"/>
        </w:rPr>
        <w:t>n.</w:t>
      </w:r>
      <w:r w:rsidRPr="002A673F">
        <w:rPr>
          <w:szCs w:val="24"/>
          <w:vertAlign w:val="superscript"/>
          <w:lang w:eastAsia="en-US"/>
        </w:rPr>
        <w:t>os</w:t>
      </w:r>
      <w:proofErr w:type="spellEnd"/>
      <w:r w:rsidRPr="002A673F">
        <w:rPr>
          <w:szCs w:val="24"/>
          <w:lang w:eastAsia="en-US"/>
        </w:rPr>
        <w:t xml:space="preserve"> 3 e 4 a fim de determinar outros elementos para além dos referidos nos </w:t>
      </w:r>
      <w:proofErr w:type="spellStart"/>
      <w:r w:rsidRPr="002A673F">
        <w:rPr>
          <w:szCs w:val="24"/>
          <w:lang w:eastAsia="en-US"/>
        </w:rPr>
        <w:t>n.</w:t>
      </w:r>
      <w:r w:rsidRPr="002A673F">
        <w:rPr>
          <w:szCs w:val="24"/>
          <w:vertAlign w:val="superscript"/>
          <w:lang w:eastAsia="en-US"/>
        </w:rPr>
        <w:t>os</w:t>
      </w:r>
      <w:proofErr w:type="spellEnd"/>
      <w:r w:rsidRPr="002A673F">
        <w:rPr>
          <w:szCs w:val="24"/>
          <w:lang w:eastAsia="en-US"/>
        </w:rPr>
        <w:t xml:space="preserve"> 3 e 4 que devem ser inscritos no registo para efeitos do presente regulamento.</w:t>
      </w:r>
    </w:p>
    <w:p w14:paraId="5CB0E41C"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6.</w:t>
      </w:r>
      <w:r w:rsidRPr="002A673F">
        <w:rPr>
          <w:szCs w:val="24"/>
          <w:lang w:eastAsia="en-US"/>
        </w:rPr>
        <w:tab/>
        <w:t xml:space="preserve">O centro de competências deve recolher, organizar, disponibilizar ao público e armazenar os elementos referidos nos </w:t>
      </w:r>
      <w:proofErr w:type="spellStart"/>
      <w:r w:rsidRPr="002A673F">
        <w:rPr>
          <w:szCs w:val="24"/>
          <w:lang w:eastAsia="en-US"/>
        </w:rPr>
        <w:t>n.</w:t>
      </w:r>
      <w:r w:rsidRPr="002A673F">
        <w:rPr>
          <w:szCs w:val="24"/>
          <w:vertAlign w:val="superscript"/>
          <w:lang w:eastAsia="en-US"/>
        </w:rPr>
        <w:t>os</w:t>
      </w:r>
      <w:proofErr w:type="spellEnd"/>
      <w:r w:rsidRPr="002A673F">
        <w:rPr>
          <w:szCs w:val="24"/>
          <w:lang w:eastAsia="en-US"/>
        </w:rPr>
        <w:t xml:space="preserve"> 3 e 4, incluindo dados pessoais, para efeitos do presente regulamento.</w:t>
      </w:r>
    </w:p>
    <w:p w14:paraId="15670A28" w14:textId="77777777" w:rsidR="00F725CF" w:rsidRDefault="00F725CF">
      <w:pPr>
        <w:widowControl/>
        <w:rPr>
          <w:szCs w:val="24"/>
          <w:lang w:eastAsia="en-US"/>
        </w:rPr>
      </w:pPr>
      <w:r>
        <w:rPr>
          <w:szCs w:val="24"/>
          <w:lang w:eastAsia="en-US"/>
        </w:rPr>
        <w:br w:type="page"/>
      </w:r>
    </w:p>
    <w:p w14:paraId="092BF585" w14:textId="4C0C7811"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7.</w:t>
      </w:r>
      <w:r w:rsidRPr="002A673F">
        <w:rPr>
          <w:szCs w:val="24"/>
          <w:lang w:eastAsia="en-US"/>
        </w:rPr>
        <w:tab/>
        <w:t>O centro de competências deve manter o registo facilmente acessível para inspeção pública. Os dados serão considerados como sendo de interesse público e poderão ser consultados gratuitamente por terceiros.</w:t>
      </w:r>
    </w:p>
    <w:p w14:paraId="76769FA4"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5.º</w:t>
      </w:r>
      <w:r w:rsidRPr="002A673F">
        <w:rPr>
          <w:szCs w:val="24"/>
          <w:lang w:eastAsia="en-US"/>
        </w:rPr>
        <w:br/>
        <w:t>Base de dados eletrónica</w:t>
      </w:r>
    </w:p>
    <w:p w14:paraId="3FD75CDA" w14:textId="031B3A3E"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O centro de competências deve criar e manter uma base de dados eletrónica para as PEN.</w:t>
      </w:r>
      <w:r w:rsidRPr="002A673F">
        <w:rPr>
          <w:b/>
          <w:szCs w:val="24"/>
          <w:lang w:eastAsia="en-US"/>
        </w:rPr>
        <w:t xml:space="preserve"> [Alt. 95</w:t>
      </w:r>
      <w:r w:rsidR="00F725CF">
        <w:rPr>
          <w:b/>
          <w:szCs w:val="24"/>
          <w:lang w:eastAsia="en-US"/>
        </w:rPr>
        <w:t xml:space="preserve"> - </w:t>
      </w:r>
      <w:r w:rsidR="00F725CF" w:rsidRPr="00F725CF">
        <w:rPr>
          <w:b/>
          <w:szCs w:val="24"/>
          <w:lang w:eastAsia="en-US"/>
        </w:rPr>
        <w:t>Não se aplica à versão portuguesa</w:t>
      </w:r>
      <w:r w:rsidRPr="002A673F">
        <w:rPr>
          <w:b/>
          <w:szCs w:val="24"/>
          <w:lang w:eastAsia="en-US"/>
        </w:rPr>
        <w:t>]</w:t>
      </w:r>
    </w:p>
    <w:p w14:paraId="4411DDDA"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Os terceiros sujeitos a registo no centro de competências devem ter acesso às seguintes informações constantes da base de dados:</w:t>
      </w:r>
    </w:p>
    <w:p w14:paraId="7C78D90C" w14:textId="19E72D86"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Dados bibliográficos de patentes sobre a PEN ou a PEN reivindicada, incluindo a data de prioridade, os membros da família, a data de concessão e a data de expiração;</w:t>
      </w:r>
    </w:p>
    <w:p w14:paraId="432B8DEE" w14:textId="54CA3B9B" w:rsidR="002A673F" w:rsidRPr="00E075CA" w:rsidRDefault="002A673F" w:rsidP="002A673F">
      <w:pPr>
        <w:spacing w:before="120" w:after="120" w:line="360" w:lineRule="auto"/>
        <w:ind w:left="1416" w:hanging="566"/>
        <w:rPr>
          <w:b/>
          <w:szCs w:val="24"/>
          <w:lang w:eastAsia="en-US"/>
        </w:rPr>
      </w:pPr>
      <w:r w:rsidRPr="002A673F">
        <w:rPr>
          <w:szCs w:val="24"/>
          <w:lang w:eastAsia="en-US"/>
        </w:rPr>
        <w:t>b)</w:t>
      </w:r>
      <w:r w:rsidRPr="002A673F">
        <w:rPr>
          <w:szCs w:val="24"/>
          <w:lang w:eastAsia="en-US"/>
        </w:rPr>
        <w:tab/>
        <w:t xml:space="preserve">Condições gerais </w:t>
      </w:r>
      <w:proofErr w:type="spellStart"/>
      <w:r w:rsidRPr="002A673F">
        <w:rPr>
          <w:strike/>
          <w:szCs w:val="24"/>
          <w:lang w:eastAsia="en-US"/>
        </w:rPr>
        <w:t>públicas</w:t>
      </w:r>
      <w:r w:rsidRPr="002A673F">
        <w:rPr>
          <w:b/>
          <w:i/>
          <w:szCs w:val="24"/>
          <w:lang w:eastAsia="en-US"/>
        </w:rPr>
        <w:t>à</w:t>
      </w:r>
      <w:proofErr w:type="spellEnd"/>
      <w:r w:rsidRPr="002A673F">
        <w:rPr>
          <w:b/>
          <w:i/>
          <w:szCs w:val="24"/>
          <w:lang w:eastAsia="en-US"/>
        </w:rPr>
        <w:t xml:space="preserve"> disposição do público</w:t>
      </w:r>
      <w:r w:rsidRPr="002A673F">
        <w:rPr>
          <w:szCs w:val="24"/>
          <w:lang w:eastAsia="en-US"/>
        </w:rPr>
        <w:t>, nomeadamente políticas</w:t>
      </w:r>
      <w:r w:rsidRPr="002A673F">
        <w:rPr>
          <w:b/>
          <w:i/>
          <w:szCs w:val="24"/>
          <w:lang w:eastAsia="en-US"/>
        </w:rPr>
        <w:t xml:space="preserve"> de </w:t>
      </w:r>
      <w:r w:rsidRPr="00E075CA">
        <w:rPr>
          <w:b/>
          <w:szCs w:val="24"/>
          <w:lang w:eastAsia="en-US"/>
        </w:rPr>
        <w:t>royalties</w:t>
      </w:r>
      <w:r w:rsidRPr="002A673F">
        <w:rPr>
          <w:b/>
          <w:i/>
          <w:szCs w:val="24"/>
          <w:lang w:eastAsia="en-US"/>
        </w:rPr>
        <w:t>, de isenção</w:t>
      </w:r>
      <w:r w:rsidRPr="002A673F">
        <w:rPr>
          <w:szCs w:val="24"/>
          <w:lang w:eastAsia="en-US"/>
        </w:rPr>
        <w:t xml:space="preserve"> de </w:t>
      </w:r>
      <w:r w:rsidRPr="00E075CA">
        <w:rPr>
          <w:i/>
          <w:szCs w:val="24"/>
          <w:lang w:eastAsia="en-US"/>
        </w:rPr>
        <w:t>royalties</w:t>
      </w:r>
      <w:r w:rsidRPr="002A673F">
        <w:rPr>
          <w:szCs w:val="24"/>
          <w:lang w:eastAsia="en-US"/>
        </w:rPr>
        <w:t xml:space="preserve"> e de descontos do titular da PEN nos termos do artigo 7.º, primeiro parágrafo, alínea b), se disponíveis;</w:t>
      </w:r>
      <w:r w:rsidRPr="002A673F">
        <w:rPr>
          <w:b/>
          <w:szCs w:val="24"/>
          <w:lang w:eastAsia="en-US"/>
        </w:rPr>
        <w:t xml:space="preserve"> [Alt. 96]</w:t>
      </w:r>
    </w:p>
    <w:p w14:paraId="04BFEF63" w14:textId="77777777" w:rsidR="00F725CF" w:rsidRDefault="00F725CF">
      <w:pPr>
        <w:widowControl/>
        <w:rPr>
          <w:szCs w:val="24"/>
          <w:lang w:eastAsia="en-US"/>
        </w:rPr>
      </w:pPr>
      <w:r>
        <w:rPr>
          <w:szCs w:val="24"/>
          <w:lang w:eastAsia="en-US"/>
        </w:rPr>
        <w:br w:type="page"/>
      </w:r>
    </w:p>
    <w:p w14:paraId="78F0C4F1" w14:textId="6D5D7F8C" w:rsidR="002A673F" w:rsidRPr="00E075CA" w:rsidRDefault="002A673F" w:rsidP="002A673F">
      <w:pPr>
        <w:spacing w:before="120" w:after="120" w:line="360" w:lineRule="auto"/>
        <w:ind w:left="1416" w:hanging="566"/>
        <w:rPr>
          <w:b/>
          <w:szCs w:val="24"/>
          <w:lang w:eastAsia="en-US"/>
        </w:rPr>
      </w:pPr>
      <w:r w:rsidRPr="002A673F">
        <w:rPr>
          <w:szCs w:val="24"/>
          <w:lang w:eastAsia="en-US"/>
        </w:rPr>
        <w:lastRenderedPageBreak/>
        <w:t>c)</w:t>
      </w:r>
      <w:r w:rsidRPr="002A673F">
        <w:rPr>
          <w:szCs w:val="24"/>
          <w:lang w:eastAsia="en-US"/>
        </w:rPr>
        <w:tab/>
        <w:t xml:space="preserve">Condições gerais </w:t>
      </w:r>
      <w:proofErr w:type="spellStart"/>
      <w:r w:rsidRPr="002A673F">
        <w:rPr>
          <w:strike/>
          <w:szCs w:val="24"/>
          <w:lang w:eastAsia="en-US"/>
        </w:rPr>
        <w:t>públicas</w:t>
      </w:r>
      <w:r w:rsidRPr="002A673F">
        <w:rPr>
          <w:b/>
          <w:i/>
          <w:szCs w:val="24"/>
          <w:lang w:eastAsia="en-US"/>
        </w:rPr>
        <w:t>à</w:t>
      </w:r>
      <w:proofErr w:type="spellEnd"/>
      <w:r w:rsidRPr="002A673F">
        <w:rPr>
          <w:b/>
          <w:i/>
          <w:szCs w:val="24"/>
          <w:lang w:eastAsia="en-US"/>
        </w:rPr>
        <w:t xml:space="preserve"> disposição do público</w:t>
      </w:r>
      <w:r w:rsidRPr="002A673F">
        <w:rPr>
          <w:szCs w:val="24"/>
          <w:lang w:eastAsia="en-US"/>
        </w:rPr>
        <w:t xml:space="preserve"> para a concessão de licenças PEN às PME </w:t>
      </w:r>
      <w:r w:rsidRPr="002A673F">
        <w:rPr>
          <w:b/>
          <w:i/>
          <w:szCs w:val="24"/>
          <w:lang w:eastAsia="en-US"/>
        </w:rPr>
        <w:t xml:space="preserve">e empresas em fase de arranque </w:t>
      </w:r>
      <w:r w:rsidRPr="002A673F">
        <w:rPr>
          <w:szCs w:val="24"/>
          <w:lang w:eastAsia="en-US"/>
        </w:rPr>
        <w:t xml:space="preserve">nos termos do artigo 62.º, n.º 1, </w:t>
      </w:r>
      <w:r w:rsidRPr="002A673F">
        <w:rPr>
          <w:b/>
          <w:i/>
          <w:szCs w:val="24"/>
          <w:lang w:eastAsia="en-US"/>
        </w:rPr>
        <w:t xml:space="preserve">incluindo o acesso isento de </w:t>
      </w:r>
      <w:r w:rsidRPr="00E075CA">
        <w:rPr>
          <w:b/>
          <w:szCs w:val="24"/>
          <w:lang w:eastAsia="en-US"/>
        </w:rPr>
        <w:t>royalties</w:t>
      </w:r>
      <w:r w:rsidRPr="002A673F">
        <w:rPr>
          <w:b/>
          <w:i/>
          <w:szCs w:val="24"/>
          <w:lang w:eastAsia="en-US"/>
        </w:rPr>
        <w:t xml:space="preserve">, </w:t>
      </w:r>
      <w:r w:rsidRPr="002A673F">
        <w:rPr>
          <w:szCs w:val="24"/>
          <w:lang w:eastAsia="en-US"/>
        </w:rPr>
        <w:t>se disponíveis;</w:t>
      </w:r>
      <w:r w:rsidRPr="002A673F">
        <w:rPr>
          <w:b/>
          <w:szCs w:val="24"/>
          <w:lang w:eastAsia="en-US"/>
        </w:rPr>
        <w:t xml:space="preserve"> [Alt. 97]</w:t>
      </w:r>
    </w:p>
    <w:p w14:paraId="47C03774" w14:textId="36F320AF" w:rsidR="002A673F" w:rsidRPr="00E075CA" w:rsidRDefault="002A673F" w:rsidP="002A673F">
      <w:pPr>
        <w:spacing w:before="120" w:after="120" w:line="360" w:lineRule="auto"/>
        <w:ind w:left="1416" w:hanging="566"/>
        <w:rPr>
          <w:b/>
          <w:szCs w:val="24"/>
          <w:lang w:eastAsia="en-US"/>
        </w:rPr>
      </w:pPr>
      <w:r w:rsidRPr="002A673F">
        <w:rPr>
          <w:szCs w:val="24"/>
          <w:lang w:eastAsia="en-US"/>
        </w:rPr>
        <w:t>d)</w:t>
      </w:r>
      <w:r w:rsidRPr="002A673F">
        <w:rPr>
          <w:szCs w:val="24"/>
          <w:lang w:eastAsia="en-US"/>
        </w:rPr>
        <w:tab/>
        <w:t xml:space="preserve">Informações relativas a produtos, processos, serviços ou sistemas e aplicações conhecidos, </w:t>
      </w:r>
      <w:r w:rsidRPr="002A673F">
        <w:rPr>
          <w:b/>
          <w:i/>
          <w:szCs w:val="24"/>
          <w:lang w:eastAsia="en-US"/>
        </w:rPr>
        <w:t xml:space="preserve">e, se disponíveis, quaisquer dados conhecidos sobre o mercado, </w:t>
      </w:r>
      <w:r w:rsidRPr="002A673F">
        <w:rPr>
          <w:szCs w:val="24"/>
          <w:lang w:eastAsia="en-US"/>
        </w:rPr>
        <w:t>nos termos do artigo 7.º, primeiro parágrafo, alínea</w:t>
      </w:r>
      <w:r w:rsidRPr="002A673F">
        <w:rPr>
          <w:strike/>
          <w:szCs w:val="24"/>
          <w:lang w:eastAsia="en-US"/>
        </w:rPr>
        <w:t xml:space="preserve"> b)</w:t>
      </w:r>
      <w:r w:rsidRPr="002A673F">
        <w:rPr>
          <w:b/>
          <w:i/>
          <w:szCs w:val="24"/>
          <w:lang w:eastAsia="en-US"/>
        </w:rPr>
        <w:t xml:space="preserve"> a)</w:t>
      </w:r>
      <w:r w:rsidRPr="002A673F">
        <w:rPr>
          <w:szCs w:val="24"/>
          <w:lang w:eastAsia="en-US"/>
        </w:rPr>
        <w:t>;</w:t>
      </w:r>
      <w:r w:rsidRPr="002A673F">
        <w:rPr>
          <w:b/>
          <w:szCs w:val="24"/>
          <w:lang w:eastAsia="en-US"/>
        </w:rPr>
        <w:t xml:space="preserve"> [Alt. 98]</w:t>
      </w:r>
    </w:p>
    <w:p w14:paraId="341C382E" w14:textId="2839B91C" w:rsidR="002A673F" w:rsidRPr="002A673F" w:rsidRDefault="002A673F" w:rsidP="002A673F">
      <w:pPr>
        <w:spacing w:before="120" w:after="120" w:line="360" w:lineRule="auto"/>
        <w:ind w:left="1416" w:hanging="566"/>
        <w:rPr>
          <w:szCs w:val="24"/>
          <w:lang w:eastAsia="en-US"/>
        </w:rPr>
      </w:pPr>
      <w:r w:rsidRPr="002A673F">
        <w:rPr>
          <w:szCs w:val="24"/>
          <w:lang w:eastAsia="en-US"/>
        </w:rPr>
        <w:t>e)</w:t>
      </w:r>
      <w:r w:rsidRPr="002A673F">
        <w:rPr>
          <w:szCs w:val="24"/>
          <w:lang w:eastAsia="en-US"/>
        </w:rPr>
        <w:tab/>
        <w:t>Informações relativas ao caráter essencial nos termos do artigo 8.º;</w:t>
      </w:r>
    </w:p>
    <w:p w14:paraId="39A40AC9" w14:textId="2F951CCB" w:rsidR="002A673F" w:rsidRPr="002A673F" w:rsidRDefault="002A673F" w:rsidP="002A673F">
      <w:pPr>
        <w:spacing w:before="120" w:after="120" w:line="360" w:lineRule="auto"/>
        <w:ind w:left="1416" w:hanging="566"/>
        <w:rPr>
          <w:szCs w:val="24"/>
          <w:lang w:eastAsia="en-US"/>
        </w:rPr>
      </w:pPr>
      <w:r w:rsidRPr="002A673F">
        <w:rPr>
          <w:szCs w:val="24"/>
          <w:lang w:eastAsia="en-US"/>
        </w:rPr>
        <w:t>f)</w:t>
      </w:r>
      <w:r w:rsidRPr="002A673F">
        <w:rPr>
          <w:szCs w:val="24"/>
          <w:lang w:eastAsia="en-US"/>
        </w:rPr>
        <w:tab/>
        <w:t>Informações não confidenciais sobre determinações FRAND nos termos do artigo 11.º;</w:t>
      </w:r>
    </w:p>
    <w:p w14:paraId="653EA532" w14:textId="067E5C16" w:rsidR="002A673F" w:rsidRPr="002A673F" w:rsidRDefault="002A673F" w:rsidP="002A673F">
      <w:pPr>
        <w:spacing w:before="120" w:after="120" w:line="360" w:lineRule="auto"/>
        <w:ind w:left="1416" w:hanging="566"/>
        <w:rPr>
          <w:szCs w:val="24"/>
          <w:lang w:eastAsia="en-US"/>
        </w:rPr>
      </w:pPr>
      <w:r w:rsidRPr="002A673F">
        <w:rPr>
          <w:szCs w:val="24"/>
          <w:lang w:eastAsia="en-US"/>
        </w:rPr>
        <w:t>g)</w:t>
      </w:r>
      <w:r w:rsidRPr="002A673F">
        <w:rPr>
          <w:szCs w:val="24"/>
          <w:lang w:eastAsia="en-US"/>
        </w:rPr>
        <w:tab/>
        <w:t xml:space="preserve">Informações sobre </w:t>
      </w:r>
      <w:r w:rsidRPr="00E075CA">
        <w:rPr>
          <w:i/>
          <w:szCs w:val="24"/>
          <w:lang w:eastAsia="en-US"/>
        </w:rPr>
        <w:t>royalties</w:t>
      </w:r>
      <w:r w:rsidRPr="002A673F">
        <w:rPr>
          <w:szCs w:val="24"/>
          <w:lang w:eastAsia="en-US"/>
        </w:rPr>
        <w:t xml:space="preserve"> agregados, nos termos dos artigos 15.º, 16.º e 17.º;</w:t>
      </w:r>
    </w:p>
    <w:p w14:paraId="2F5469C0" w14:textId="389F5E48" w:rsidR="002A673F" w:rsidRPr="002A673F" w:rsidRDefault="002A673F" w:rsidP="002A673F">
      <w:pPr>
        <w:spacing w:before="120" w:after="120" w:line="360" w:lineRule="auto"/>
        <w:ind w:left="1416" w:hanging="566"/>
        <w:rPr>
          <w:szCs w:val="24"/>
          <w:lang w:eastAsia="en-US"/>
        </w:rPr>
      </w:pPr>
      <w:r w:rsidRPr="002A673F">
        <w:rPr>
          <w:szCs w:val="24"/>
          <w:lang w:eastAsia="en-US"/>
        </w:rPr>
        <w:t>h)</w:t>
      </w:r>
      <w:r w:rsidRPr="002A673F">
        <w:rPr>
          <w:szCs w:val="24"/>
          <w:lang w:eastAsia="en-US"/>
        </w:rPr>
        <w:tab/>
        <w:t>Os pareceres de peritos referidos no artigo 18.º;</w:t>
      </w:r>
    </w:p>
    <w:p w14:paraId="5469A485" w14:textId="54F0C307" w:rsidR="002A673F" w:rsidRPr="002A673F" w:rsidRDefault="002A673F" w:rsidP="002A673F">
      <w:pPr>
        <w:spacing w:before="120" w:after="120" w:line="360" w:lineRule="auto"/>
        <w:ind w:left="1416" w:hanging="566"/>
        <w:rPr>
          <w:szCs w:val="24"/>
          <w:lang w:eastAsia="en-US"/>
        </w:rPr>
      </w:pPr>
      <w:r w:rsidRPr="002A673F">
        <w:rPr>
          <w:szCs w:val="24"/>
          <w:lang w:eastAsia="en-US"/>
        </w:rPr>
        <w:t>i)</w:t>
      </w:r>
      <w:r w:rsidRPr="002A673F">
        <w:rPr>
          <w:szCs w:val="24"/>
          <w:lang w:eastAsia="en-US"/>
        </w:rPr>
        <w:tab/>
        <w:t>Relatórios não confidenciais dos conciliadores nos termos do artigo 57.º;</w:t>
      </w:r>
    </w:p>
    <w:p w14:paraId="73D95DE0" w14:textId="3376B956" w:rsidR="002A673F" w:rsidRPr="002A673F" w:rsidRDefault="002A673F" w:rsidP="002A673F">
      <w:pPr>
        <w:spacing w:before="120" w:after="120" w:line="360" w:lineRule="auto"/>
        <w:ind w:left="1416" w:hanging="566"/>
        <w:rPr>
          <w:szCs w:val="24"/>
          <w:lang w:eastAsia="en-US"/>
        </w:rPr>
      </w:pPr>
      <w:r w:rsidRPr="002A673F">
        <w:rPr>
          <w:szCs w:val="24"/>
          <w:lang w:eastAsia="en-US"/>
        </w:rPr>
        <w:t>j)</w:t>
      </w:r>
      <w:r w:rsidRPr="002A673F">
        <w:rPr>
          <w:szCs w:val="24"/>
          <w:lang w:eastAsia="en-US"/>
        </w:rPr>
        <w:tab/>
        <w:t>PEN selecionadas para verificação do caráter</w:t>
      </w:r>
      <w:r w:rsidR="00C43153">
        <w:rPr>
          <w:szCs w:val="24"/>
          <w:lang w:eastAsia="en-US"/>
        </w:rPr>
        <w:t xml:space="preserve"> essencial nos termos do artigo </w:t>
      </w:r>
      <w:r w:rsidRPr="002A673F">
        <w:rPr>
          <w:szCs w:val="24"/>
          <w:lang w:eastAsia="en-US"/>
        </w:rPr>
        <w:t>29.º, pareceres fundamentados ou pareceres fundamentados definitivos nos termos do artigo 33.º;</w:t>
      </w:r>
    </w:p>
    <w:p w14:paraId="4974CE67" w14:textId="77777777" w:rsidR="00F725CF" w:rsidRDefault="00F725CF">
      <w:pPr>
        <w:widowControl/>
        <w:rPr>
          <w:szCs w:val="24"/>
          <w:lang w:eastAsia="en-US"/>
        </w:rPr>
      </w:pPr>
      <w:r>
        <w:rPr>
          <w:szCs w:val="24"/>
          <w:lang w:eastAsia="en-US"/>
        </w:rPr>
        <w:br w:type="page"/>
      </w:r>
    </w:p>
    <w:p w14:paraId="74F3593A" w14:textId="5B2442B9"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k)</w:t>
      </w:r>
      <w:r w:rsidRPr="002A673F">
        <w:rPr>
          <w:szCs w:val="24"/>
          <w:lang w:eastAsia="en-US"/>
        </w:rPr>
        <w:tab/>
        <w:t>A data e os motivos para a retirada da PEN da base de dados, nos termos do artigo 25.º;</w:t>
      </w:r>
    </w:p>
    <w:p w14:paraId="36B2F3D7" w14:textId="11CCCBA7" w:rsidR="002A673F" w:rsidRPr="002A673F" w:rsidRDefault="002A673F" w:rsidP="002A673F">
      <w:pPr>
        <w:spacing w:before="120" w:after="120" w:line="360" w:lineRule="auto"/>
        <w:ind w:left="1416" w:hanging="566"/>
        <w:rPr>
          <w:szCs w:val="24"/>
          <w:lang w:eastAsia="en-US"/>
        </w:rPr>
      </w:pPr>
      <w:r w:rsidRPr="002A673F">
        <w:rPr>
          <w:szCs w:val="24"/>
          <w:lang w:eastAsia="en-US"/>
        </w:rPr>
        <w:t>l)</w:t>
      </w:r>
      <w:r w:rsidRPr="002A673F">
        <w:rPr>
          <w:szCs w:val="24"/>
          <w:lang w:eastAsia="en-US"/>
        </w:rPr>
        <w:tab/>
        <w:t>Informações sobre as regras relativas às PEN em países terceiros, nos termos do artigo 12.º;</w:t>
      </w:r>
    </w:p>
    <w:p w14:paraId="0A415CFF" w14:textId="78AD8DAC" w:rsidR="002A673F" w:rsidRPr="002A673F" w:rsidRDefault="002A673F" w:rsidP="002A673F">
      <w:pPr>
        <w:spacing w:before="120" w:after="120" w:line="360" w:lineRule="auto"/>
        <w:ind w:left="1416" w:hanging="566"/>
        <w:rPr>
          <w:szCs w:val="24"/>
          <w:lang w:eastAsia="en-US"/>
        </w:rPr>
      </w:pPr>
      <w:r w:rsidRPr="002A673F">
        <w:rPr>
          <w:szCs w:val="24"/>
          <w:lang w:eastAsia="en-US"/>
        </w:rPr>
        <w:t>m)</w:t>
      </w:r>
      <w:r w:rsidRPr="002A673F">
        <w:rPr>
          <w:szCs w:val="24"/>
          <w:lang w:eastAsia="en-US"/>
        </w:rPr>
        <w:tab/>
        <w:t xml:space="preserve">Jurisprudência e relatórios nos termos do artigo 13.º, </w:t>
      </w:r>
      <w:proofErr w:type="spellStart"/>
      <w:r w:rsidRPr="002A673F">
        <w:rPr>
          <w:szCs w:val="24"/>
          <w:lang w:eastAsia="en-US"/>
        </w:rPr>
        <w:t>n.</w:t>
      </w:r>
      <w:r w:rsidRPr="002A673F">
        <w:rPr>
          <w:szCs w:val="24"/>
          <w:vertAlign w:val="superscript"/>
          <w:lang w:eastAsia="en-US"/>
        </w:rPr>
        <w:t>os</w:t>
      </w:r>
      <w:proofErr w:type="spellEnd"/>
      <w:r w:rsidRPr="002A673F">
        <w:rPr>
          <w:szCs w:val="24"/>
          <w:lang w:eastAsia="en-US"/>
        </w:rPr>
        <w:t xml:space="preserve"> 3 e 5;</w:t>
      </w:r>
    </w:p>
    <w:p w14:paraId="0899469B" w14:textId="3520EEAE" w:rsidR="002A673F" w:rsidRPr="002A673F" w:rsidRDefault="002A673F" w:rsidP="002A673F">
      <w:pPr>
        <w:spacing w:before="120" w:after="120" w:line="360" w:lineRule="auto"/>
        <w:ind w:left="1416" w:hanging="566"/>
        <w:rPr>
          <w:szCs w:val="24"/>
          <w:lang w:eastAsia="en-US"/>
        </w:rPr>
      </w:pPr>
      <w:r w:rsidRPr="002A673F">
        <w:rPr>
          <w:szCs w:val="24"/>
          <w:lang w:eastAsia="en-US"/>
        </w:rPr>
        <w:t>n)</w:t>
      </w:r>
      <w:r w:rsidRPr="002A673F">
        <w:rPr>
          <w:szCs w:val="24"/>
          <w:lang w:eastAsia="en-US"/>
        </w:rPr>
        <w:tab/>
        <w:t>Materiais de sensibilização e formação.</w:t>
      </w:r>
    </w:p>
    <w:p w14:paraId="7B3662F9"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 xml:space="preserve">O acesso às informações nos termos do n.º 2, alíneas f), h), i), j) e k), </w:t>
      </w:r>
      <w:r w:rsidRPr="002A673F">
        <w:rPr>
          <w:b/>
          <w:i/>
          <w:szCs w:val="24"/>
          <w:lang w:eastAsia="en-US"/>
        </w:rPr>
        <w:t xml:space="preserve">do presente artigo deve estar à disposição de qualquer terceiro, sob reserva de registo no centro de competências, e </w:t>
      </w:r>
      <w:r w:rsidRPr="002A673F">
        <w:rPr>
          <w:szCs w:val="24"/>
          <w:lang w:eastAsia="en-US"/>
        </w:rPr>
        <w:t>pode estar sujeito ao pagamento de uma taxa</w:t>
      </w:r>
      <w:r w:rsidRPr="002A673F">
        <w:rPr>
          <w:b/>
          <w:i/>
          <w:szCs w:val="24"/>
          <w:lang w:eastAsia="en-US"/>
        </w:rPr>
        <w:t xml:space="preserve"> razoável, tal como previsto no artigo 63.º</w:t>
      </w:r>
      <w:r w:rsidRPr="002A673F">
        <w:rPr>
          <w:szCs w:val="24"/>
          <w:lang w:eastAsia="en-US"/>
        </w:rPr>
        <w:t>.</w:t>
      </w:r>
      <w:r w:rsidRPr="002A673F">
        <w:rPr>
          <w:b/>
          <w:szCs w:val="24"/>
          <w:lang w:eastAsia="en-US"/>
        </w:rPr>
        <w:t xml:space="preserve"> [Alt. 99]</w:t>
      </w:r>
    </w:p>
    <w:p w14:paraId="707FF346"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4.</w:t>
      </w:r>
      <w:r w:rsidRPr="002A673F">
        <w:rPr>
          <w:szCs w:val="24"/>
          <w:lang w:eastAsia="en-US"/>
        </w:rPr>
        <w:tab/>
        <w:t>No entanto, as autoridades públicas, incluindo os tribunais, devem ter pleno acesso às informações constantes da base de dados referida no n.º 2 a título gratuito, desde que estejam registadas no centro de competências.</w:t>
      </w:r>
      <w:r w:rsidRPr="002A673F">
        <w:rPr>
          <w:b/>
          <w:i/>
          <w:szCs w:val="24"/>
          <w:lang w:eastAsia="en-US"/>
        </w:rPr>
        <w:t xml:space="preserve"> As instituições académicas podem também solicitar acesso gratuito a essas informações exclusivamente para a realização de tarefas académicas.</w:t>
      </w:r>
      <w:r w:rsidRPr="002A673F">
        <w:rPr>
          <w:b/>
          <w:szCs w:val="24"/>
          <w:lang w:eastAsia="en-US"/>
        </w:rPr>
        <w:t xml:space="preserve"> [Alt. 100]</w:t>
      </w:r>
    </w:p>
    <w:p w14:paraId="206BF31B" w14:textId="77777777" w:rsidR="00C43153" w:rsidRDefault="00C43153">
      <w:pPr>
        <w:widowControl/>
        <w:rPr>
          <w:szCs w:val="24"/>
          <w:lang w:eastAsia="en-US"/>
        </w:rPr>
      </w:pPr>
      <w:r>
        <w:rPr>
          <w:szCs w:val="24"/>
          <w:lang w:eastAsia="en-US"/>
        </w:rPr>
        <w:br w:type="page"/>
      </w:r>
    </w:p>
    <w:p w14:paraId="77A4B857" w14:textId="22332DAC"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6.º</w:t>
      </w:r>
      <w:r w:rsidRPr="002A673F">
        <w:rPr>
          <w:szCs w:val="24"/>
          <w:lang w:eastAsia="en-US"/>
        </w:rPr>
        <w:br/>
        <w:t>Disposições comuns relativas ao registo e à base de dados</w:t>
      </w:r>
    </w:p>
    <w:p w14:paraId="0540E1D0"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Quando uma parte solicitar que os dados e documentos da base de dados sejam mantidos confidenciais, deve fornecer</w:t>
      </w:r>
      <w:r w:rsidRPr="002A673F">
        <w:rPr>
          <w:b/>
          <w:i/>
          <w:szCs w:val="24"/>
          <w:lang w:eastAsia="en-US"/>
        </w:rPr>
        <w:t xml:space="preserve"> uma declaração fundamentada que explique os motivos dessa confidencialidade e, sempre que razoavelmente possível,</w:t>
      </w:r>
      <w:r w:rsidRPr="002A673F">
        <w:rPr>
          <w:szCs w:val="24"/>
          <w:lang w:eastAsia="en-US"/>
        </w:rPr>
        <w:t xml:space="preserve"> uma versão não confidencial e suficientemente pormenorizada das informações comunicadas a título confidencial para permitir compreender de forma adequada o essencial das informações comunicadas a título confidencial. O centro de competências poderá divulgar essa versão não confidencial.</w:t>
      </w:r>
      <w:r w:rsidRPr="002A673F">
        <w:rPr>
          <w:b/>
          <w:szCs w:val="24"/>
          <w:lang w:eastAsia="en-US"/>
        </w:rPr>
        <w:t xml:space="preserve"> [Alt. 101]</w:t>
      </w:r>
    </w:p>
    <w:p w14:paraId="252393F3"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O centro de competências conserva os processos de qualquer ação relativa ao registo da PEN. O diretor executivo do EUIPO determina a forma como esses processos devem ser conservados e disponibilizados. O centro de competências conserva os processos durante dez anos após a retirada do registo da PEN. Mediante pedido, os dados pessoais podem ser suprimidos do registo ou da base de dados decorridos 18 meses a contar da data de caducidade da PEN ou da retirada da PEN do registo.</w:t>
      </w:r>
    </w:p>
    <w:p w14:paraId="60EF8B45"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O centro de competências poderá corrigir quaisquer informações contidas no registo ou na base de dados nos termos do artigo 23.º.</w:t>
      </w:r>
    </w:p>
    <w:p w14:paraId="64C6411D" w14:textId="77777777" w:rsidR="00C43153" w:rsidRDefault="00C43153">
      <w:pPr>
        <w:widowControl/>
        <w:rPr>
          <w:szCs w:val="24"/>
          <w:lang w:eastAsia="en-US"/>
        </w:rPr>
      </w:pPr>
      <w:r>
        <w:rPr>
          <w:szCs w:val="24"/>
          <w:lang w:eastAsia="en-US"/>
        </w:rPr>
        <w:br w:type="page"/>
      </w:r>
    </w:p>
    <w:p w14:paraId="60BEC688" w14:textId="685A218E"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4.</w:t>
      </w:r>
      <w:r w:rsidRPr="002A673F">
        <w:rPr>
          <w:szCs w:val="24"/>
          <w:lang w:eastAsia="en-US"/>
        </w:rPr>
        <w:tab/>
        <w:t>O titular da PEN e o seu representante legal na União devem ser notificados de qualquer alteração do registo ou da base de dados sempre que essa alteração diga respeito a uma PEN específica.</w:t>
      </w:r>
    </w:p>
    <w:p w14:paraId="11D341E6"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5.</w:t>
      </w:r>
      <w:r w:rsidRPr="002A673F">
        <w:rPr>
          <w:szCs w:val="24"/>
          <w:lang w:eastAsia="en-US"/>
        </w:rPr>
        <w:tab/>
        <w:t>Mediante pedido, o centro de competências emite certificados de registo ou cópias autenticadas dos dados e documentos constantes do registo ou da base de dados. Os certificados de registo e as cópias autenticadas podem estar sujeitos ao pagamento de uma taxa</w:t>
      </w:r>
      <w:r w:rsidRPr="002A673F">
        <w:rPr>
          <w:b/>
          <w:i/>
          <w:szCs w:val="24"/>
          <w:lang w:eastAsia="en-US"/>
        </w:rPr>
        <w:t xml:space="preserve"> razoável</w:t>
      </w:r>
      <w:r w:rsidRPr="002A673F">
        <w:rPr>
          <w:szCs w:val="24"/>
          <w:lang w:eastAsia="en-US"/>
        </w:rPr>
        <w:t>.</w:t>
      </w:r>
      <w:r w:rsidRPr="002A673F">
        <w:rPr>
          <w:b/>
          <w:szCs w:val="24"/>
          <w:lang w:eastAsia="en-US"/>
        </w:rPr>
        <w:t xml:space="preserve"> [Alt. 102]</w:t>
      </w:r>
    </w:p>
    <w:p w14:paraId="7093DD02" w14:textId="732A0D77" w:rsidR="002A673F" w:rsidRPr="002A673F" w:rsidRDefault="002A673F" w:rsidP="002A673F">
      <w:pPr>
        <w:spacing w:before="120" w:after="120" w:line="360" w:lineRule="auto"/>
        <w:ind w:left="850" w:hanging="850"/>
        <w:rPr>
          <w:szCs w:val="24"/>
          <w:lang w:eastAsia="en-US"/>
        </w:rPr>
      </w:pPr>
      <w:r w:rsidRPr="002A673F">
        <w:rPr>
          <w:szCs w:val="24"/>
          <w:lang w:eastAsia="en-US"/>
        </w:rPr>
        <w:t>6.</w:t>
      </w:r>
      <w:r w:rsidRPr="002A673F">
        <w:rPr>
          <w:szCs w:val="24"/>
          <w:lang w:eastAsia="en-US"/>
        </w:rPr>
        <w:tab/>
        <w:t>Por meio de um ato de execução, a Comissão determina as condições do acesso à base de dados, incluindo as taxas aplicáveis a esse acesso, ou aos certificados de registo e cópias autenticadas da base de dados ou do registo. O ato de execução é adotado em conformidade com o procedimento de</w:t>
      </w:r>
      <w:r w:rsidR="00C43153">
        <w:rPr>
          <w:szCs w:val="24"/>
          <w:lang w:eastAsia="en-US"/>
        </w:rPr>
        <w:t xml:space="preserve"> exame a que se refere o artigo </w:t>
      </w:r>
      <w:r w:rsidRPr="002A673F">
        <w:rPr>
          <w:szCs w:val="24"/>
          <w:lang w:eastAsia="en-US"/>
        </w:rPr>
        <w:t>68.º, n.º 2.</w:t>
      </w:r>
    </w:p>
    <w:p w14:paraId="7392885D"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7.º</w:t>
      </w:r>
      <w:r w:rsidRPr="002A673F">
        <w:rPr>
          <w:szCs w:val="24"/>
          <w:lang w:eastAsia="en-US"/>
        </w:rPr>
        <w:br/>
        <w:t>Identificação das aplicações de uma norma e das respetivas condições de concessão de licenças de PEN</w:t>
      </w:r>
    </w:p>
    <w:p w14:paraId="578654B1" w14:textId="77777777" w:rsidR="002A673F" w:rsidRPr="002A673F" w:rsidRDefault="002A673F" w:rsidP="002A673F">
      <w:pPr>
        <w:spacing w:before="120" w:after="120" w:line="360" w:lineRule="auto"/>
        <w:rPr>
          <w:szCs w:val="24"/>
          <w:lang w:eastAsia="en-US"/>
        </w:rPr>
      </w:pPr>
      <w:r w:rsidRPr="002A673F">
        <w:rPr>
          <w:szCs w:val="24"/>
          <w:lang w:eastAsia="en-US"/>
        </w:rPr>
        <w:t>O titular de uma PEN deve fornecer ao centro de competências as seguintes informações:</w:t>
      </w:r>
    </w:p>
    <w:p w14:paraId="7F856CD4" w14:textId="77777777" w:rsidR="00C43153" w:rsidRDefault="00C43153">
      <w:pPr>
        <w:widowControl/>
        <w:rPr>
          <w:szCs w:val="24"/>
          <w:lang w:eastAsia="en-US"/>
        </w:rPr>
      </w:pPr>
      <w:r>
        <w:rPr>
          <w:szCs w:val="24"/>
          <w:lang w:eastAsia="en-US"/>
        </w:rPr>
        <w:br w:type="page"/>
      </w:r>
    </w:p>
    <w:p w14:paraId="576BDC59" w14:textId="4B7151F7"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a)</w:t>
      </w:r>
      <w:r w:rsidRPr="002A673F">
        <w:rPr>
          <w:szCs w:val="24"/>
          <w:lang w:eastAsia="en-US"/>
        </w:rPr>
        <w:tab/>
        <w:t>Informações relativas aos produtos, processos, serviços ou sistemas nos quais o objeto da PEN possa estar incorporado ou aos quais este se destina, para todas as aplicações potenciais ou existentes de uma norma</w:t>
      </w:r>
      <w:r w:rsidRPr="002A673F">
        <w:rPr>
          <w:b/>
          <w:i/>
          <w:szCs w:val="24"/>
          <w:lang w:eastAsia="en-US"/>
        </w:rPr>
        <w:t xml:space="preserve"> e, sempre que possível, quaisquer dados sobre o mercado</w:t>
      </w:r>
      <w:r w:rsidRPr="002A673F">
        <w:rPr>
          <w:szCs w:val="24"/>
          <w:lang w:eastAsia="en-US"/>
        </w:rPr>
        <w:t>, na medida em que essas informações sejam do conhecimento do titular da PEN.</w:t>
      </w:r>
      <w:r w:rsidRPr="002A673F">
        <w:rPr>
          <w:b/>
          <w:szCs w:val="24"/>
          <w:lang w:eastAsia="en-US"/>
        </w:rPr>
        <w:t xml:space="preserve"> [Alt. 103]</w:t>
      </w:r>
    </w:p>
    <w:p w14:paraId="5FF11833" w14:textId="556258E1" w:rsidR="002A673F" w:rsidRPr="00E075CA" w:rsidRDefault="002A673F" w:rsidP="002A673F">
      <w:pPr>
        <w:spacing w:before="120" w:after="120" w:line="360" w:lineRule="auto"/>
        <w:ind w:left="850" w:hanging="850"/>
        <w:rPr>
          <w:b/>
          <w:szCs w:val="24"/>
          <w:lang w:eastAsia="en-US"/>
        </w:rPr>
      </w:pPr>
      <w:r w:rsidRPr="002A673F">
        <w:rPr>
          <w:szCs w:val="24"/>
          <w:lang w:eastAsia="en-US"/>
        </w:rPr>
        <w:t>b)</w:t>
      </w:r>
      <w:r w:rsidRPr="002A673F">
        <w:rPr>
          <w:szCs w:val="24"/>
          <w:lang w:eastAsia="en-US"/>
        </w:rPr>
        <w:tab/>
        <w:t>Se disponíveis, as condições gerais para a concessão de licenças PEN, nomeadamente as suas políticas</w:t>
      </w:r>
      <w:r w:rsidRPr="002A673F">
        <w:rPr>
          <w:b/>
          <w:i/>
          <w:szCs w:val="24"/>
          <w:lang w:eastAsia="en-US"/>
        </w:rPr>
        <w:t xml:space="preserve"> de </w:t>
      </w:r>
      <w:r w:rsidRPr="00E075CA">
        <w:rPr>
          <w:b/>
          <w:szCs w:val="24"/>
          <w:lang w:eastAsia="en-US"/>
        </w:rPr>
        <w:t>royalties</w:t>
      </w:r>
      <w:r w:rsidRPr="002A673F">
        <w:rPr>
          <w:b/>
          <w:i/>
          <w:szCs w:val="24"/>
          <w:lang w:eastAsia="en-US"/>
        </w:rPr>
        <w:t>, de isenção</w:t>
      </w:r>
      <w:r w:rsidRPr="002A673F">
        <w:rPr>
          <w:szCs w:val="24"/>
          <w:lang w:eastAsia="en-US"/>
        </w:rPr>
        <w:t xml:space="preserve"> de </w:t>
      </w:r>
      <w:r w:rsidRPr="00E075CA">
        <w:rPr>
          <w:i/>
          <w:szCs w:val="24"/>
          <w:lang w:eastAsia="en-US"/>
        </w:rPr>
        <w:t>royalties</w:t>
      </w:r>
      <w:r w:rsidRPr="002A673F">
        <w:rPr>
          <w:szCs w:val="24"/>
          <w:lang w:eastAsia="en-US"/>
        </w:rPr>
        <w:t xml:space="preserve"> e de descontos, no prazo de sete meses a contar da abertura do registo para a norma pertinente e da sua aplicação pelo centro de competências.</w:t>
      </w:r>
      <w:r w:rsidRPr="002A673F">
        <w:rPr>
          <w:b/>
          <w:szCs w:val="24"/>
          <w:lang w:eastAsia="en-US"/>
        </w:rPr>
        <w:t xml:space="preserve"> [Alt. 104]</w:t>
      </w:r>
    </w:p>
    <w:p w14:paraId="3F3A3C83" w14:textId="77777777" w:rsidR="002A673F" w:rsidRPr="00E075CA" w:rsidRDefault="002A673F" w:rsidP="002A673F">
      <w:pPr>
        <w:spacing w:before="120" w:after="120" w:line="360" w:lineRule="auto"/>
        <w:jc w:val="center"/>
        <w:rPr>
          <w:b/>
          <w:szCs w:val="24"/>
          <w:lang w:eastAsia="en-US"/>
        </w:rPr>
      </w:pPr>
      <w:r w:rsidRPr="002A673F">
        <w:rPr>
          <w:szCs w:val="24"/>
          <w:lang w:eastAsia="en-US"/>
        </w:rPr>
        <w:t>Artigo 8.º</w:t>
      </w:r>
      <w:r w:rsidRPr="002A673F">
        <w:rPr>
          <w:szCs w:val="24"/>
          <w:lang w:eastAsia="en-US"/>
        </w:rPr>
        <w:br/>
        <w:t xml:space="preserve">Informações </w:t>
      </w:r>
      <w:r w:rsidRPr="002A673F">
        <w:rPr>
          <w:strike/>
          <w:szCs w:val="24"/>
          <w:lang w:eastAsia="en-US"/>
        </w:rPr>
        <w:t xml:space="preserve">relativas </w:t>
      </w:r>
      <w:proofErr w:type="spellStart"/>
      <w:r w:rsidRPr="002A673F">
        <w:rPr>
          <w:strike/>
          <w:szCs w:val="24"/>
          <w:lang w:eastAsia="en-US"/>
        </w:rPr>
        <w:t>ao</w:t>
      </w:r>
      <w:r w:rsidRPr="002A673F">
        <w:rPr>
          <w:b/>
          <w:i/>
          <w:szCs w:val="24"/>
          <w:lang w:eastAsia="en-US"/>
        </w:rPr>
        <w:t>sobre</w:t>
      </w:r>
      <w:proofErr w:type="spellEnd"/>
      <w:r w:rsidRPr="002A673F">
        <w:rPr>
          <w:b/>
          <w:i/>
          <w:szCs w:val="24"/>
          <w:lang w:eastAsia="en-US"/>
        </w:rPr>
        <w:t xml:space="preserve"> o</w:t>
      </w:r>
      <w:r w:rsidRPr="002A673F">
        <w:rPr>
          <w:szCs w:val="24"/>
          <w:lang w:eastAsia="en-US"/>
        </w:rPr>
        <w:t xml:space="preserve"> caráter essencial</w:t>
      </w:r>
      <w:r w:rsidRPr="002A673F">
        <w:rPr>
          <w:b/>
          <w:szCs w:val="24"/>
          <w:lang w:eastAsia="en-US"/>
        </w:rPr>
        <w:t xml:space="preserve"> [Alt. 105]</w:t>
      </w:r>
    </w:p>
    <w:p w14:paraId="38303B37" w14:textId="77777777" w:rsidR="002A673F" w:rsidRPr="002A673F" w:rsidRDefault="002A673F" w:rsidP="002A673F">
      <w:pPr>
        <w:spacing w:before="120" w:after="120" w:line="360" w:lineRule="auto"/>
        <w:rPr>
          <w:szCs w:val="24"/>
          <w:lang w:eastAsia="en-US"/>
        </w:rPr>
      </w:pPr>
      <w:r w:rsidRPr="002A673F">
        <w:rPr>
          <w:szCs w:val="24"/>
          <w:lang w:eastAsia="en-US"/>
        </w:rPr>
        <w:t>O titular da PEN deve fornecer ao centro de competências as seguintes informações, a incluir na base de dados e referenciar no registo:</w:t>
      </w:r>
    </w:p>
    <w:p w14:paraId="2D5C8DB7" w14:textId="38F89C03" w:rsidR="002A673F" w:rsidRPr="00E075CA" w:rsidRDefault="002A673F" w:rsidP="002A673F">
      <w:pPr>
        <w:spacing w:before="120" w:after="120" w:line="360" w:lineRule="auto"/>
        <w:ind w:left="850" w:hanging="850"/>
        <w:rPr>
          <w:b/>
          <w:szCs w:val="24"/>
          <w:lang w:eastAsia="en-US"/>
        </w:rPr>
      </w:pPr>
      <w:r w:rsidRPr="002A673F">
        <w:rPr>
          <w:szCs w:val="24"/>
          <w:lang w:eastAsia="en-US"/>
        </w:rPr>
        <w:t>a)</w:t>
      </w:r>
      <w:r w:rsidRPr="002A673F">
        <w:rPr>
          <w:szCs w:val="24"/>
          <w:lang w:eastAsia="en-US"/>
        </w:rPr>
        <w:tab/>
        <w:t xml:space="preserve">Uma decisão transitada em julgado sobre o caráter essencial de uma PEN registada tomada por um tribunal competente de um Estado-Membro, no prazo de </w:t>
      </w:r>
      <w:proofErr w:type="spellStart"/>
      <w:r w:rsidRPr="002A673F">
        <w:rPr>
          <w:strike/>
          <w:szCs w:val="24"/>
          <w:lang w:eastAsia="en-US"/>
        </w:rPr>
        <w:t>seis</w:t>
      </w:r>
      <w:r w:rsidRPr="002A673F">
        <w:rPr>
          <w:b/>
          <w:i/>
          <w:szCs w:val="24"/>
          <w:lang w:eastAsia="en-US"/>
        </w:rPr>
        <w:t>dois</w:t>
      </w:r>
      <w:proofErr w:type="spellEnd"/>
      <w:r w:rsidRPr="002A673F">
        <w:rPr>
          <w:szCs w:val="24"/>
          <w:lang w:eastAsia="en-US"/>
        </w:rPr>
        <w:t xml:space="preserve"> meses </w:t>
      </w:r>
      <w:r w:rsidRPr="002A673F">
        <w:rPr>
          <w:strike/>
          <w:szCs w:val="24"/>
          <w:lang w:eastAsia="en-US"/>
        </w:rPr>
        <w:t xml:space="preserve">a contar da publicação </w:t>
      </w:r>
      <w:proofErr w:type="spellStart"/>
      <w:r w:rsidRPr="002A673F">
        <w:rPr>
          <w:strike/>
          <w:szCs w:val="24"/>
          <w:lang w:eastAsia="en-US"/>
        </w:rPr>
        <w:t>dessa</w:t>
      </w:r>
      <w:r w:rsidRPr="002A673F">
        <w:rPr>
          <w:b/>
          <w:i/>
          <w:szCs w:val="24"/>
          <w:lang w:eastAsia="en-US"/>
        </w:rPr>
        <w:t>após</w:t>
      </w:r>
      <w:proofErr w:type="spellEnd"/>
      <w:r w:rsidRPr="002A673F">
        <w:rPr>
          <w:b/>
          <w:i/>
          <w:szCs w:val="24"/>
          <w:lang w:eastAsia="en-US"/>
        </w:rPr>
        <w:t xml:space="preserve"> essa</w:t>
      </w:r>
      <w:r w:rsidRPr="002A673F">
        <w:rPr>
          <w:szCs w:val="24"/>
          <w:lang w:eastAsia="en-US"/>
        </w:rPr>
        <w:t xml:space="preserve"> decisão</w:t>
      </w:r>
      <w:r w:rsidRPr="002A673F">
        <w:rPr>
          <w:b/>
          <w:i/>
          <w:szCs w:val="24"/>
          <w:lang w:eastAsia="en-US"/>
        </w:rPr>
        <w:t xml:space="preserve"> se ter tornado definitiva</w:t>
      </w:r>
      <w:r w:rsidRPr="002A673F">
        <w:rPr>
          <w:szCs w:val="24"/>
          <w:lang w:eastAsia="en-US"/>
        </w:rPr>
        <w:t>;</w:t>
      </w:r>
      <w:r w:rsidRPr="002A673F">
        <w:rPr>
          <w:b/>
          <w:szCs w:val="24"/>
          <w:lang w:eastAsia="en-US"/>
        </w:rPr>
        <w:t xml:space="preserve"> [Alt. 106]</w:t>
      </w:r>
    </w:p>
    <w:p w14:paraId="5AF543E7" w14:textId="77777777" w:rsidR="00DB7B8D" w:rsidRDefault="00DB7B8D">
      <w:pPr>
        <w:widowControl/>
        <w:rPr>
          <w:szCs w:val="24"/>
          <w:lang w:eastAsia="en-US"/>
        </w:rPr>
      </w:pPr>
      <w:r>
        <w:rPr>
          <w:szCs w:val="24"/>
          <w:lang w:eastAsia="en-US"/>
        </w:rPr>
        <w:br w:type="page"/>
      </w:r>
    </w:p>
    <w:p w14:paraId="52B56C10" w14:textId="3485E4A0"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b)</w:t>
      </w:r>
      <w:r w:rsidRPr="002A673F">
        <w:rPr>
          <w:szCs w:val="24"/>
          <w:lang w:eastAsia="en-US"/>
        </w:rPr>
        <w:tab/>
        <w:t>Qualquer</w:t>
      </w:r>
      <w:r w:rsidRPr="002A673F">
        <w:rPr>
          <w:b/>
          <w:i/>
          <w:szCs w:val="24"/>
          <w:lang w:eastAsia="en-US"/>
        </w:rPr>
        <w:t xml:space="preserve"> outra</w:t>
      </w:r>
      <w:r w:rsidRPr="002A673F">
        <w:rPr>
          <w:szCs w:val="24"/>
          <w:lang w:eastAsia="en-US"/>
        </w:rPr>
        <w:t xml:space="preserve"> verificação do caráter essencial efetuada </w:t>
      </w:r>
      <w:r w:rsidRPr="002A673F">
        <w:rPr>
          <w:strike/>
          <w:szCs w:val="24"/>
          <w:lang w:eastAsia="en-US"/>
        </w:rPr>
        <w:t xml:space="preserve">antes de [JO: inserir a data correspondente a 24 meses a contar da data de entrada em vigor do presente regulamento] </w:t>
      </w:r>
      <w:r w:rsidRPr="002A673F">
        <w:rPr>
          <w:szCs w:val="24"/>
          <w:lang w:eastAsia="en-US"/>
        </w:rPr>
        <w:t>por um avaliador independente no contexto</w:t>
      </w:r>
      <w:r w:rsidRPr="002A673F">
        <w:rPr>
          <w:b/>
          <w:i/>
          <w:szCs w:val="24"/>
          <w:lang w:eastAsia="en-US"/>
        </w:rPr>
        <w:t>, por exemplo,</w:t>
      </w:r>
      <w:r w:rsidRPr="002A673F">
        <w:rPr>
          <w:szCs w:val="24"/>
          <w:lang w:eastAsia="en-US"/>
        </w:rPr>
        <w:t xml:space="preserve"> de uma comunhão</w:t>
      </w:r>
      <w:r w:rsidRPr="002A673F">
        <w:rPr>
          <w:b/>
          <w:i/>
          <w:szCs w:val="24"/>
          <w:lang w:eastAsia="en-US"/>
        </w:rPr>
        <w:t xml:space="preserve"> de patentes</w:t>
      </w:r>
      <w:r w:rsidRPr="002A673F">
        <w:rPr>
          <w:szCs w:val="24"/>
          <w:lang w:eastAsia="en-US"/>
        </w:rPr>
        <w:t>, identificando o número de registo da PEN, a identidade da comunhão de patentes e do seu administrador, e o avaliador.</w:t>
      </w:r>
      <w:r w:rsidRPr="002A673F">
        <w:rPr>
          <w:b/>
          <w:szCs w:val="24"/>
          <w:lang w:eastAsia="en-US"/>
        </w:rPr>
        <w:t xml:space="preserve"> [Alt. 107]</w:t>
      </w:r>
    </w:p>
    <w:p w14:paraId="14FF7FB3"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9.º</w:t>
      </w:r>
      <w:r w:rsidRPr="002A673F">
        <w:rPr>
          <w:szCs w:val="24"/>
          <w:lang w:eastAsia="en-US"/>
        </w:rPr>
        <w:br/>
        <w:t>Informações a apresentar pelas comunhões de patentes</w:t>
      </w:r>
    </w:p>
    <w:p w14:paraId="28D2C05C" w14:textId="672E12A8" w:rsidR="002A673F" w:rsidRPr="00E075CA" w:rsidRDefault="00DB7B8D" w:rsidP="00E075CA">
      <w:pPr>
        <w:spacing w:before="120" w:after="120" w:line="360" w:lineRule="auto"/>
        <w:ind w:left="851" w:hanging="851"/>
        <w:rPr>
          <w:b/>
          <w:szCs w:val="24"/>
          <w:lang w:eastAsia="en-US"/>
        </w:rPr>
      </w:pPr>
      <w:r>
        <w:rPr>
          <w:szCs w:val="24"/>
          <w:lang w:eastAsia="en-US"/>
        </w:rPr>
        <w:t>1.</w:t>
      </w:r>
      <w:r>
        <w:rPr>
          <w:szCs w:val="24"/>
          <w:lang w:eastAsia="en-US"/>
        </w:rPr>
        <w:tab/>
      </w:r>
      <w:r w:rsidR="002A673F" w:rsidRPr="002A673F">
        <w:rPr>
          <w:szCs w:val="24"/>
          <w:lang w:eastAsia="en-US"/>
        </w:rPr>
        <w:t>As comunhões de patentes devem publicar nos seus sítios Web e comunicar ao centro de competências, no mínimo, as seguintes informações</w:t>
      </w:r>
      <w:r w:rsidR="002A673F" w:rsidRPr="002A673F">
        <w:rPr>
          <w:b/>
          <w:i/>
          <w:szCs w:val="24"/>
          <w:lang w:eastAsia="en-US"/>
        </w:rPr>
        <w:t xml:space="preserve"> exatas e atualizadas</w:t>
      </w:r>
      <w:r w:rsidR="002A673F" w:rsidRPr="002A673F">
        <w:rPr>
          <w:szCs w:val="24"/>
          <w:lang w:eastAsia="en-US"/>
        </w:rPr>
        <w:t>:</w:t>
      </w:r>
      <w:r w:rsidR="002A673F" w:rsidRPr="002A673F">
        <w:rPr>
          <w:b/>
          <w:szCs w:val="24"/>
          <w:lang w:eastAsia="en-US"/>
        </w:rPr>
        <w:t xml:space="preserve"> [Alt. 108]</w:t>
      </w:r>
    </w:p>
    <w:p w14:paraId="382A4417" w14:textId="0FA0972F" w:rsidR="002A673F" w:rsidRPr="002A673F" w:rsidRDefault="002A673F" w:rsidP="00E075CA">
      <w:pPr>
        <w:spacing w:before="120" w:after="120" w:line="360" w:lineRule="auto"/>
        <w:ind w:left="1418" w:hanging="567"/>
        <w:rPr>
          <w:szCs w:val="24"/>
          <w:lang w:eastAsia="en-US"/>
        </w:rPr>
      </w:pPr>
      <w:r w:rsidRPr="002A673F">
        <w:rPr>
          <w:szCs w:val="24"/>
          <w:lang w:eastAsia="en-US"/>
        </w:rPr>
        <w:t>a)</w:t>
      </w:r>
      <w:r w:rsidRPr="002A673F">
        <w:rPr>
          <w:szCs w:val="24"/>
          <w:lang w:eastAsia="en-US"/>
        </w:rPr>
        <w:tab/>
        <w:t>Normas sujeitas a concessão de licenças coletivas;</w:t>
      </w:r>
    </w:p>
    <w:p w14:paraId="488308D0" w14:textId="1ED49D60" w:rsidR="002A673F" w:rsidRPr="002A673F" w:rsidRDefault="002A673F" w:rsidP="00E075CA">
      <w:pPr>
        <w:spacing w:before="120" w:after="120" w:line="360" w:lineRule="auto"/>
        <w:ind w:left="1418" w:hanging="567"/>
        <w:rPr>
          <w:szCs w:val="24"/>
          <w:lang w:eastAsia="en-US"/>
        </w:rPr>
      </w:pPr>
      <w:r w:rsidRPr="002A673F">
        <w:rPr>
          <w:szCs w:val="24"/>
          <w:lang w:eastAsia="en-US"/>
        </w:rPr>
        <w:t>b)</w:t>
      </w:r>
      <w:r w:rsidRPr="002A673F">
        <w:rPr>
          <w:szCs w:val="24"/>
          <w:lang w:eastAsia="en-US"/>
        </w:rPr>
        <w:tab/>
        <w:t>A estrutura acionista ou de propriedade da entidade administrativa;</w:t>
      </w:r>
    </w:p>
    <w:p w14:paraId="65F5E0F6" w14:textId="5DA6214C" w:rsidR="002A673F" w:rsidRPr="002A673F" w:rsidRDefault="002A673F" w:rsidP="00E075CA">
      <w:pPr>
        <w:spacing w:before="120" w:after="120" w:line="360" w:lineRule="auto"/>
        <w:ind w:left="1418" w:hanging="567"/>
        <w:rPr>
          <w:szCs w:val="24"/>
          <w:lang w:eastAsia="en-US"/>
        </w:rPr>
      </w:pPr>
      <w:r w:rsidRPr="002A673F">
        <w:rPr>
          <w:szCs w:val="24"/>
          <w:lang w:eastAsia="en-US"/>
        </w:rPr>
        <w:t>c)</w:t>
      </w:r>
      <w:r w:rsidRPr="002A673F">
        <w:rPr>
          <w:szCs w:val="24"/>
          <w:lang w:eastAsia="en-US"/>
        </w:rPr>
        <w:tab/>
        <w:t>O processo de avaliação das PEN;</w:t>
      </w:r>
    </w:p>
    <w:p w14:paraId="24C42F8F" w14:textId="49584E01" w:rsidR="002A673F" w:rsidRPr="002A673F" w:rsidRDefault="002A673F" w:rsidP="00E075CA">
      <w:pPr>
        <w:spacing w:before="120" w:after="120" w:line="360" w:lineRule="auto"/>
        <w:ind w:left="1418" w:hanging="567"/>
        <w:rPr>
          <w:szCs w:val="24"/>
          <w:lang w:eastAsia="en-US"/>
        </w:rPr>
      </w:pPr>
      <w:r w:rsidRPr="002A673F">
        <w:rPr>
          <w:szCs w:val="24"/>
          <w:lang w:eastAsia="en-US"/>
        </w:rPr>
        <w:t>d)</w:t>
      </w:r>
      <w:r w:rsidRPr="002A673F">
        <w:rPr>
          <w:szCs w:val="24"/>
          <w:lang w:eastAsia="en-US"/>
        </w:rPr>
        <w:tab/>
        <w:t>A lista de avaliadores com residência na União;</w:t>
      </w:r>
    </w:p>
    <w:p w14:paraId="156153E6" w14:textId="5BB55DB2" w:rsidR="002A673F" w:rsidRPr="002A673F" w:rsidRDefault="002A673F" w:rsidP="00E075CA">
      <w:pPr>
        <w:spacing w:before="120" w:after="120" w:line="360" w:lineRule="auto"/>
        <w:ind w:left="1418" w:hanging="567"/>
        <w:rPr>
          <w:szCs w:val="24"/>
          <w:lang w:eastAsia="en-US"/>
        </w:rPr>
      </w:pPr>
      <w:r w:rsidRPr="002A673F">
        <w:rPr>
          <w:szCs w:val="24"/>
          <w:lang w:eastAsia="en-US"/>
        </w:rPr>
        <w:t>e)</w:t>
      </w:r>
      <w:r w:rsidRPr="002A673F">
        <w:rPr>
          <w:szCs w:val="24"/>
          <w:lang w:eastAsia="en-US"/>
        </w:rPr>
        <w:tab/>
        <w:t>A lista de PEN avaliadas e a lista de PEN em curso de concessão de licenças;</w:t>
      </w:r>
    </w:p>
    <w:p w14:paraId="51DC54F4" w14:textId="57D84DA1" w:rsidR="002A673F" w:rsidRPr="002A673F" w:rsidRDefault="002A673F" w:rsidP="00E075CA">
      <w:pPr>
        <w:spacing w:before="120" w:after="120" w:line="360" w:lineRule="auto"/>
        <w:ind w:left="1418" w:hanging="567"/>
        <w:rPr>
          <w:szCs w:val="24"/>
          <w:lang w:eastAsia="en-US"/>
        </w:rPr>
      </w:pPr>
      <w:r w:rsidRPr="002A673F">
        <w:rPr>
          <w:szCs w:val="24"/>
          <w:lang w:eastAsia="en-US"/>
        </w:rPr>
        <w:t>f)</w:t>
      </w:r>
      <w:r w:rsidRPr="002A673F">
        <w:rPr>
          <w:szCs w:val="24"/>
          <w:lang w:eastAsia="en-US"/>
        </w:rPr>
        <w:tab/>
        <w:t>Referências cruzadas à norma, a título exemplificativo;</w:t>
      </w:r>
    </w:p>
    <w:p w14:paraId="4AA92713" w14:textId="77777777" w:rsidR="00DB7B8D" w:rsidRDefault="00DB7B8D">
      <w:pPr>
        <w:widowControl/>
        <w:rPr>
          <w:szCs w:val="24"/>
          <w:lang w:eastAsia="en-US"/>
        </w:rPr>
      </w:pPr>
      <w:r>
        <w:rPr>
          <w:szCs w:val="24"/>
          <w:lang w:eastAsia="en-US"/>
        </w:rPr>
        <w:br w:type="page"/>
      </w:r>
    </w:p>
    <w:p w14:paraId="0CB3E98A" w14:textId="2026FCC5" w:rsidR="002A673F" w:rsidRPr="00E075CA" w:rsidRDefault="002A673F" w:rsidP="00E075CA">
      <w:pPr>
        <w:spacing w:before="120" w:after="120" w:line="360" w:lineRule="auto"/>
        <w:ind w:left="1418" w:hanging="567"/>
        <w:rPr>
          <w:b/>
          <w:szCs w:val="24"/>
          <w:lang w:eastAsia="en-US"/>
        </w:rPr>
      </w:pPr>
      <w:r w:rsidRPr="002A673F">
        <w:rPr>
          <w:szCs w:val="24"/>
          <w:lang w:eastAsia="en-US"/>
        </w:rPr>
        <w:lastRenderedPageBreak/>
        <w:t>g)</w:t>
      </w:r>
      <w:r w:rsidRPr="002A673F">
        <w:rPr>
          <w:szCs w:val="24"/>
          <w:lang w:eastAsia="en-US"/>
        </w:rPr>
        <w:tab/>
        <w:t>A lista de produtos, serviços e processos para os quais uma licença pode ser concedida através da comunhão de patentes</w:t>
      </w:r>
      <w:r w:rsidRPr="002A673F">
        <w:rPr>
          <w:strike/>
          <w:szCs w:val="24"/>
          <w:lang w:eastAsia="en-US"/>
        </w:rPr>
        <w:t xml:space="preserve"> ou da entidade</w:t>
      </w:r>
      <w:r w:rsidRPr="002A673F">
        <w:rPr>
          <w:szCs w:val="24"/>
          <w:lang w:eastAsia="en-US"/>
        </w:rPr>
        <w:t>;</w:t>
      </w:r>
      <w:r w:rsidRPr="002A673F">
        <w:rPr>
          <w:b/>
          <w:szCs w:val="24"/>
          <w:lang w:eastAsia="en-US"/>
        </w:rPr>
        <w:t xml:space="preserve"> [Alt. 109]</w:t>
      </w:r>
    </w:p>
    <w:p w14:paraId="6D12FEE3" w14:textId="77777777" w:rsidR="002A673F" w:rsidRPr="00E075CA" w:rsidRDefault="002A673F" w:rsidP="00E075CA">
      <w:pPr>
        <w:spacing w:before="120" w:after="120" w:line="360" w:lineRule="auto"/>
        <w:ind w:left="1418" w:hanging="567"/>
        <w:rPr>
          <w:b/>
          <w:szCs w:val="24"/>
          <w:lang w:eastAsia="en-US"/>
        </w:rPr>
      </w:pPr>
      <w:r w:rsidRPr="002A673F" w:rsidDel="00297B13">
        <w:rPr>
          <w:szCs w:val="24"/>
          <w:lang w:eastAsia="en-US"/>
        </w:rPr>
        <w:t>(</w:t>
      </w:r>
      <w:r w:rsidRPr="002A673F">
        <w:rPr>
          <w:szCs w:val="24"/>
          <w:lang w:eastAsia="en-US"/>
        </w:rPr>
        <w:t>h)</w:t>
      </w:r>
      <w:r w:rsidRPr="002A673F">
        <w:rPr>
          <w:szCs w:val="24"/>
          <w:lang w:eastAsia="en-US"/>
        </w:rPr>
        <w:tab/>
        <w:t>A política</w:t>
      </w:r>
      <w:r w:rsidRPr="002A673F">
        <w:rPr>
          <w:b/>
          <w:i/>
          <w:szCs w:val="24"/>
          <w:lang w:eastAsia="en-US"/>
        </w:rPr>
        <w:t xml:space="preserve"> de </w:t>
      </w:r>
      <w:r w:rsidRPr="00E075CA">
        <w:rPr>
          <w:b/>
          <w:szCs w:val="24"/>
          <w:lang w:eastAsia="en-US"/>
        </w:rPr>
        <w:t>royalties</w:t>
      </w:r>
      <w:r w:rsidRPr="002A673F">
        <w:rPr>
          <w:b/>
          <w:i/>
          <w:szCs w:val="24"/>
          <w:lang w:eastAsia="en-US"/>
        </w:rPr>
        <w:t>, de isenções</w:t>
      </w:r>
      <w:r w:rsidRPr="002A673F">
        <w:rPr>
          <w:szCs w:val="24"/>
          <w:lang w:eastAsia="en-US"/>
        </w:rPr>
        <w:t xml:space="preserve"> de </w:t>
      </w:r>
      <w:r w:rsidRPr="00E075CA">
        <w:rPr>
          <w:i/>
          <w:szCs w:val="24"/>
          <w:lang w:eastAsia="en-US"/>
        </w:rPr>
        <w:t>royalties</w:t>
      </w:r>
      <w:r w:rsidRPr="002A673F">
        <w:rPr>
          <w:szCs w:val="24"/>
          <w:lang w:eastAsia="en-US"/>
        </w:rPr>
        <w:t xml:space="preserve"> e de descontos </w:t>
      </w:r>
      <w:r w:rsidRPr="002A673F">
        <w:rPr>
          <w:b/>
          <w:i/>
          <w:szCs w:val="24"/>
          <w:lang w:eastAsia="en-US"/>
        </w:rPr>
        <w:t xml:space="preserve">aplicada em cada caso, incluindo informações sobre o cálculo dos </w:t>
      </w:r>
      <w:r w:rsidRPr="00E075CA">
        <w:rPr>
          <w:b/>
          <w:szCs w:val="24"/>
          <w:lang w:eastAsia="en-US"/>
        </w:rPr>
        <w:t>royalties</w:t>
      </w:r>
      <w:r w:rsidRPr="002A673F">
        <w:rPr>
          <w:b/>
          <w:i/>
          <w:szCs w:val="24"/>
          <w:lang w:eastAsia="en-US"/>
        </w:rPr>
        <w:t xml:space="preserve"> por titular de PEN na comunhão e a taxa de </w:t>
      </w:r>
      <w:r w:rsidRPr="00E075CA">
        <w:rPr>
          <w:b/>
          <w:szCs w:val="24"/>
          <w:lang w:eastAsia="en-US"/>
        </w:rPr>
        <w:t>royalties</w:t>
      </w:r>
      <w:r w:rsidRPr="002A673F">
        <w:rPr>
          <w:b/>
          <w:i/>
          <w:szCs w:val="24"/>
          <w:lang w:eastAsia="en-US"/>
        </w:rPr>
        <w:t xml:space="preserve"> agregada, se </w:t>
      </w:r>
      <w:proofErr w:type="spellStart"/>
      <w:r w:rsidRPr="002A673F">
        <w:rPr>
          <w:b/>
          <w:i/>
          <w:szCs w:val="24"/>
          <w:lang w:eastAsia="en-US"/>
        </w:rPr>
        <w:t>aplicável</w:t>
      </w:r>
      <w:r w:rsidRPr="002A673F">
        <w:rPr>
          <w:strike/>
          <w:szCs w:val="24"/>
          <w:lang w:eastAsia="en-US"/>
        </w:rPr>
        <w:t>por</w:t>
      </w:r>
      <w:proofErr w:type="spellEnd"/>
      <w:r w:rsidRPr="002A673F">
        <w:rPr>
          <w:strike/>
          <w:szCs w:val="24"/>
          <w:lang w:eastAsia="en-US"/>
        </w:rPr>
        <w:t xml:space="preserve"> categoria de produto</w:t>
      </w:r>
      <w:r w:rsidRPr="002A673F">
        <w:rPr>
          <w:szCs w:val="24"/>
          <w:lang w:eastAsia="en-US"/>
        </w:rPr>
        <w:t>;</w:t>
      </w:r>
      <w:r w:rsidRPr="002A673F">
        <w:rPr>
          <w:b/>
          <w:szCs w:val="24"/>
          <w:lang w:eastAsia="en-US"/>
        </w:rPr>
        <w:t xml:space="preserve"> [Alt. 110]</w:t>
      </w:r>
    </w:p>
    <w:p w14:paraId="0CC94DAB" w14:textId="12BBDEE5" w:rsidR="002A673F" w:rsidRPr="00E075CA" w:rsidRDefault="002A673F" w:rsidP="00E075CA">
      <w:pPr>
        <w:spacing w:before="120" w:after="120" w:line="360" w:lineRule="auto"/>
        <w:ind w:left="1418" w:hanging="567"/>
        <w:rPr>
          <w:b/>
          <w:szCs w:val="24"/>
          <w:lang w:eastAsia="en-US"/>
        </w:rPr>
      </w:pPr>
      <w:r w:rsidRPr="002A673F">
        <w:rPr>
          <w:szCs w:val="24"/>
          <w:lang w:eastAsia="en-US"/>
        </w:rPr>
        <w:t>i)</w:t>
      </w:r>
      <w:r w:rsidRPr="002A673F">
        <w:rPr>
          <w:szCs w:val="24"/>
          <w:lang w:eastAsia="en-US"/>
        </w:rPr>
        <w:tab/>
        <w:t xml:space="preserve">O acordo-tipo de licença </w:t>
      </w:r>
      <w:r w:rsidRPr="002A673F">
        <w:rPr>
          <w:strike/>
          <w:szCs w:val="24"/>
          <w:lang w:eastAsia="en-US"/>
        </w:rPr>
        <w:t xml:space="preserve">por categoria de </w:t>
      </w:r>
      <w:proofErr w:type="spellStart"/>
      <w:r w:rsidRPr="002A673F">
        <w:rPr>
          <w:strike/>
          <w:szCs w:val="24"/>
          <w:lang w:eastAsia="en-US"/>
        </w:rPr>
        <w:t>produto</w:t>
      </w:r>
      <w:r w:rsidRPr="002A673F">
        <w:rPr>
          <w:b/>
          <w:i/>
          <w:szCs w:val="24"/>
          <w:lang w:eastAsia="en-US"/>
        </w:rPr>
        <w:t>para</w:t>
      </w:r>
      <w:proofErr w:type="spellEnd"/>
      <w:r w:rsidRPr="002A673F">
        <w:rPr>
          <w:b/>
          <w:i/>
          <w:szCs w:val="24"/>
          <w:lang w:eastAsia="en-US"/>
        </w:rPr>
        <w:t xml:space="preserve"> cada política aplicada</w:t>
      </w:r>
      <w:r w:rsidRPr="002A673F">
        <w:rPr>
          <w:szCs w:val="24"/>
          <w:lang w:eastAsia="en-US"/>
        </w:rPr>
        <w:t>;</w:t>
      </w:r>
      <w:r w:rsidRPr="002A673F">
        <w:rPr>
          <w:b/>
          <w:szCs w:val="24"/>
          <w:lang w:eastAsia="en-US"/>
        </w:rPr>
        <w:t xml:space="preserve"> [Alt. 111]</w:t>
      </w:r>
    </w:p>
    <w:p w14:paraId="21B54EB2" w14:textId="4C62BC0D" w:rsidR="002A673F" w:rsidRPr="00E075CA" w:rsidRDefault="002A673F" w:rsidP="00E075CA">
      <w:pPr>
        <w:spacing w:before="120" w:after="120" w:line="360" w:lineRule="auto"/>
        <w:ind w:left="1418" w:hanging="567"/>
        <w:rPr>
          <w:b/>
          <w:szCs w:val="24"/>
          <w:lang w:eastAsia="en-US"/>
        </w:rPr>
      </w:pPr>
      <w:r w:rsidRPr="002A673F">
        <w:rPr>
          <w:szCs w:val="24"/>
          <w:lang w:eastAsia="en-US"/>
        </w:rPr>
        <w:t>j)</w:t>
      </w:r>
      <w:r w:rsidRPr="002A673F">
        <w:rPr>
          <w:szCs w:val="24"/>
          <w:lang w:eastAsia="en-US"/>
        </w:rPr>
        <w:tab/>
        <w:t xml:space="preserve">A lista de licenciantes </w:t>
      </w:r>
      <w:r w:rsidRPr="002A673F">
        <w:rPr>
          <w:strike/>
          <w:szCs w:val="24"/>
          <w:lang w:eastAsia="en-US"/>
        </w:rPr>
        <w:t xml:space="preserve">em cada categoria de </w:t>
      </w:r>
      <w:proofErr w:type="spellStart"/>
      <w:r w:rsidRPr="002A673F">
        <w:rPr>
          <w:strike/>
          <w:szCs w:val="24"/>
          <w:lang w:eastAsia="en-US"/>
        </w:rPr>
        <w:t>produto</w:t>
      </w:r>
      <w:r w:rsidRPr="002A673F">
        <w:rPr>
          <w:b/>
          <w:i/>
          <w:szCs w:val="24"/>
          <w:lang w:eastAsia="en-US"/>
        </w:rPr>
        <w:t>para</w:t>
      </w:r>
      <w:proofErr w:type="spellEnd"/>
      <w:r w:rsidRPr="002A673F">
        <w:rPr>
          <w:b/>
          <w:i/>
          <w:szCs w:val="24"/>
          <w:lang w:eastAsia="en-US"/>
        </w:rPr>
        <w:t xml:space="preserve"> cada política aplicada</w:t>
      </w:r>
      <w:r w:rsidRPr="002A673F">
        <w:rPr>
          <w:szCs w:val="24"/>
          <w:lang w:eastAsia="en-US"/>
        </w:rPr>
        <w:t>;</w:t>
      </w:r>
      <w:r w:rsidRPr="002A673F">
        <w:rPr>
          <w:b/>
          <w:szCs w:val="24"/>
          <w:lang w:eastAsia="en-US"/>
        </w:rPr>
        <w:t xml:space="preserve"> [Alt. 112]</w:t>
      </w:r>
    </w:p>
    <w:p w14:paraId="4398D7A2" w14:textId="02D515CB" w:rsidR="002A673F" w:rsidRPr="00E075CA" w:rsidRDefault="002A673F" w:rsidP="00E075CA">
      <w:pPr>
        <w:spacing w:before="120" w:after="120" w:line="360" w:lineRule="auto"/>
        <w:ind w:left="1418" w:hanging="567"/>
        <w:rPr>
          <w:b/>
          <w:szCs w:val="24"/>
          <w:lang w:eastAsia="en-US"/>
        </w:rPr>
      </w:pPr>
      <w:r w:rsidRPr="002A673F">
        <w:rPr>
          <w:szCs w:val="24"/>
          <w:lang w:eastAsia="en-US"/>
        </w:rPr>
        <w:t>k)</w:t>
      </w:r>
      <w:r w:rsidRPr="002A673F">
        <w:rPr>
          <w:szCs w:val="24"/>
          <w:lang w:eastAsia="en-US"/>
        </w:rPr>
        <w:tab/>
        <w:t xml:space="preserve">A lista de titulares de licenças para cada </w:t>
      </w:r>
      <w:r w:rsidRPr="002A673F">
        <w:rPr>
          <w:strike/>
          <w:szCs w:val="24"/>
          <w:lang w:eastAsia="en-US"/>
        </w:rPr>
        <w:t xml:space="preserve">categoria de </w:t>
      </w:r>
      <w:proofErr w:type="spellStart"/>
      <w:r w:rsidRPr="002A673F">
        <w:rPr>
          <w:strike/>
          <w:szCs w:val="24"/>
          <w:lang w:eastAsia="en-US"/>
        </w:rPr>
        <w:t>produto</w:t>
      </w:r>
      <w:r w:rsidRPr="002A673F">
        <w:rPr>
          <w:b/>
          <w:i/>
          <w:szCs w:val="24"/>
          <w:lang w:eastAsia="en-US"/>
        </w:rPr>
        <w:t>política</w:t>
      </w:r>
      <w:proofErr w:type="spellEnd"/>
      <w:r w:rsidRPr="002A673F">
        <w:rPr>
          <w:b/>
          <w:i/>
          <w:szCs w:val="24"/>
          <w:lang w:eastAsia="en-US"/>
        </w:rPr>
        <w:t xml:space="preserve"> aplicada</w:t>
      </w:r>
      <w:r w:rsidRPr="002A673F">
        <w:rPr>
          <w:szCs w:val="24"/>
          <w:lang w:eastAsia="en-US"/>
        </w:rPr>
        <w:t>.</w:t>
      </w:r>
      <w:r w:rsidRPr="002A673F">
        <w:rPr>
          <w:b/>
          <w:szCs w:val="24"/>
          <w:lang w:eastAsia="en-US"/>
        </w:rPr>
        <w:t xml:space="preserve"> [Alt. 113]</w:t>
      </w:r>
    </w:p>
    <w:p w14:paraId="59953AF1" w14:textId="5DFF1316" w:rsidR="002A673F" w:rsidRPr="00E075CA" w:rsidRDefault="00DB7B8D" w:rsidP="00E075CA">
      <w:pPr>
        <w:spacing w:before="120" w:after="120" w:line="360" w:lineRule="auto"/>
        <w:ind w:left="851" w:hanging="851"/>
        <w:rPr>
          <w:b/>
          <w:szCs w:val="24"/>
          <w:lang w:eastAsia="en-US"/>
        </w:rPr>
      </w:pPr>
      <w:r>
        <w:rPr>
          <w:b/>
          <w:i/>
          <w:szCs w:val="24"/>
          <w:lang w:eastAsia="en-US"/>
        </w:rPr>
        <w:t>1</w:t>
      </w:r>
      <w:r>
        <w:rPr>
          <w:b/>
          <w:i/>
          <w:szCs w:val="24"/>
          <w:lang w:eastAsia="en-US"/>
        </w:rPr>
        <w:noBreakHyphen/>
        <w:t>A.</w:t>
      </w:r>
      <w:r>
        <w:rPr>
          <w:b/>
          <w:i/>
          <w:szCs w:val="24"/>
          <w:lang w:eastAsia="en-US"/>
        </w:rPr>
        <w:tab/>
      </w:r>
      <w:r w:rsidR="002A673F" w:rsidRPr="002A673F">
        <w:rPr>
          <w:b/>
          <w:i/>
          <w:szCs w:val="24"/>
          <w:lang w:eastAsia="en-US"/>
        </w:rPr>
        <w:t>Com base numa metodologia por si desenvolvida para o efeito, que assegure que o processo de verificação seja minucioso, transparente e coerente, o centro de competências verifica, com regularidade e pelo menos uma vez por ano, as informações apresentadas pelas comunhões de patentes em conformidade com o primeiro parágrafo. Por uma questão de transparência, esta metodologia deve ser disponibilizada às comunhões de patentes e a outras partes interessadas.</w:t>
      </w:r>
      <w:r w:rsidR="002A673F" w:rsidRPr="002A673F">
        <w:rPr>
          <w:b/>
          <w:szCs w:val="24"/>
          <w:lang w:eastAsia="en-US"/>
        </w:rPr>
        <w:t xml:space="preserve"> [Alt. 114]</w:t>
      </w:r>
    </w:p>
    <w:p w14:paraId="440E7C6C" w14:textId="77777777" w:rsidR="00DB7B8D" w:rsidRDefault="00DB7B8D">
      <w:pPr>
        <w:widowControl/>
        <w:rPr>
          <w:b/>
          <w:i/>
          <w:szCs w:val="24"/>
          <w:lang w:eastAsia="en-US"/>
        </w:rPr>
      </w:pPr>
      <w:r>
        <w:rPr>
          <w:b/>
          <w:i/>
          <w:szCs w:val="24"/>
          <w:lang w:eastAsia="en-US"/>
        </w:rPr>
        <w:br w:type="page"/>
      </w:r>
    </w:p>
    <w:p w14:paraId="4D030844" w14:textId="43B0F84B" w:rsidR="002A673F" w:rsidRPr="00E075CA" w:rsidRDefault="00DB7B8D" w:rsidP="00E075CA">
      <w:pPr>
        <w:spacing w:before="120" w:after="120" w:line="360" w:lineRule="auto"/>
        <w:ind w:left="851" w:hanging="851"/>
        <w:rPr>
          <w:b/>
          <w:szCs w:val="24"/>
          <w:lang w:eastAsia="en-US"/>
        </w:rPr>
      </w:pPr>
      <w:r>
        <w:rPr>
          <w:b/>
          <w:i/>
          <w:szCs w:val="24"/>
          <w:lang w:eastAsia="en-US"/>
        </w:rPr>
        <w:lastRenderedPageBreak/>
        <w:t>1</w:t>
      </w:r>
      <w:r>
        <w:rPr>
          <w:b/>
          <w:i/>
          <w:szCs w:val="24"/>
          <w:lang w:eastAsia="en-US"/>
        </w:rPr>
        <w:noBreakHyphen/>
        <w:t>B.</w:t>
      </w:r>
      <w:r>
        <w:rPr>
          <w:b/>
          <w:i/>
          <w:szCs w:val="24"/>
          <w:lang w:eastAsia="en-US"/>
        </w:rPr>
        <w:tab/>
      </w:r>
      <w:r w:rsidR="002A673F" w:rsidRPr="002A673F">
        <w:rPr>
          <w:b/>
          <w:i/>
          <w:szCs w:val="24"/>
          <w:lang w:eastAsia="en-US"/>
        </w:rPr>
        <w:t>O centro de competências deve elaborar um relatório que pormenorize os resultados da sua verificação, inclusivamente no que se refere ao cumprimento pelas comunhões de patentes do disposto no primeiro parágrafo, à deteção de eventuais discrepâncias ou informações em falta e às ações corretivas adotadas ou recomendadas. O relatório deve ser apresentado à Comissão no prazo de um mês após a conclusão de cada ciclo de verificação.</w:t>
      </w:r>
      <w:r w:rsidR="002A673F" w:rsidRPr="002A673F">
        <w:rPr>
          <w:b/>
          <w:szCs w:val="24"/>
          <w:lang w:eastAsia="en-US"/>
        </w:rPr>
        <w:t xml:space="preserve"> [Alt. 115]</w:t>
      </w:r>
    </w:p>
    <w:p w14:paraId="0860F4F2"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10.º</w:t>
      </w:r>
      <w:r w:rsidRPr="002A673F">
        <w:rPr>
          <w:szCs w:val="24"/>
          <w:lang w:eastAsia="en-US"/>
        </w:rPr>
        <w:br/>
        <w:t>Informações sobre decisões relativas a PEN</w:t>
      </w:r>
    </w:p>
    <w:p w14:paraId="0AA18C08" w14:textId="77777777" w:rsidR="002A673F" w:rsidRPr="00E075CA" w:rsidRDefault="002A673F" w:rsidP="002A673F">
      <w:pPr>
        <w:spacing w:before="120" w:after="120" w:line="360" w:lineRule="auto"/>
        <w:ind w:left="850" w:hanging="850"/>
        <w:rPr>
          <w:rFonts w:ascii="Symbol" w:hAnsi="Symbol"/>
          <w:b/>
          <w:szCs w:val="24"/>
          <w:lang w:eastAsia="en-US"/>
        </w:rPr>
      </w:pPr>
      <w:r w:rsidRPr="002A673F">
        <w:rPr>
          <w:szCs w:val="24"/>
          <w:lang w:eastAsia="en-US"/>
        </w:rPr>
        <w:t>1.</w:t>
      </w:r>
      <w:r w:rsidRPr="002A673F">
        <w:rPr>
          <w:szCs w:val="24"/>
          <w:lang w:eastAsia="en-US"/>
        </w:rPr>
        <w:tab/>
        <w:t>Os tribunais competentes dos Estados-Membros notificam o centro de competências</w:t>
      </w:r>
      <w:r w:rsidRPr="002A673F">
        <w:rPr>
          <w:strike/>
          <w:szCs w:val="24"/>
          <w:lang w:eastAsia="en-US"/>
        </w:rPr>
        <w:t>,</w:t>
      </w:r>
      <w:r w:rsidRPr="002A673F">
        <w:rPr>
          <w:szCs w:val="24"/>
          <w:lang w:eastAsia="en-US"/>
        </w:rPr>
        <w:t xml:space="preserve"> no prazo de </w:t>
      </w:r>
      <w:proofErr w:type="spellStart"/>
      <w:r w:rsidRPr="002A673F">
        <w:rPr>
          <w:strike/>
          <w:szCs w:val="24"/>
          <w:lang w:eastAsia="en-US"/>
        </w:rPr>
        <w:t>seis</w:t>
      </w:r>
      <w:r w:rsidRPr="002A673F">
        <w:rPr>
          <w:b/>
          <w:i/>
          <w:szCs w:val="24"/>
          <w:lang w:eastAsia="en-US"/>
        </w:rPr>
        <w:t>dois</w:t>
      </w:r>
      <w:proofErr w:type="spellEnd"/>
      <w:r w:rsidRPr="002A673F">
        <w:rPr>
          <w:szCs w:val="24"/>
          <w:lang w:eastAsia="en-US"/>
        </w:rPr>
        <w:t xml:space="preserve"> meses a contar da </w:t>
      </w:r>
      <w:r w:rsidRPr="002A673F">
        <w:rPr>
          <w:strike/>
          <w:szCs w:val="24"/>
          <w:lang w:eastAsia="en-US"/>
        </w:rPr>
        <w:t xml:space="preserve">adoção de </w:t>
      </w:r>
      <w:proofErr w:type="spellStart"/>
      <w:r w:rsidRPr="002A673F">
        <w:rPr>
          <w:strike/>
          <w:szCs w:val="24"/>
          <w:lang w:eastAsia="en-US"/>
        </w:rPr>
        <w:t>uma</w:t>
      </w:r>
      <w:r w:rsidRPr="002A673F">
        <w:rPr>
          <w:b/>
          <w:i/>
          <w:szCs w:val="24"/>
          <w:lang w:eastAsia="en-US"/>
        </w:rPr>
        <w:t>data</w:t>
      </w:r>
      <w:proofErr w:type="spellEnd"/>
      <w:r w:rsidRPr="002A673F">
        <w:rPr>
          <w:b/>
          <w:i/>
          <w:szCs w:val="24"/>
          <w:lang w:eastAsia="en-US"/>
        </w:rPr>
        <w:t xml:space="preserve"> de trânsito em julgado da</w:t>
      </w:r>
      <w:r w:rsidRPr="002A673F">
        <w:rPr>
          <w:szCs w:val="24"/>
          <w:lang w:eastAsia="en-US"/>
        </w:rPr>
        <w:t xml:space="preserve"> decisão relativa a PEN</w:t>
      </w:r>
      <w:r w:rsidRPr="002A673F">
        <w:rPr>
          <w:strike/>
          <w:szCs w:val="24"/>
          <w:lang w:eastAsia="en-US"/>
        </w:rPr>
        <w:t>,</w:t>
      </w:r>
      <w:r w:rsidRPr="002A673F">
        <w:rPr>
          <w:szCs w:val="24"/>
          <w:lang w:eastAsia="en-US"/>
        </w:rPr>
        <w:t xml:space="preserve"> sobre:</w:t>
      </w:r>
      <w:r w:rsidRPr="002A673F">
        <w:rPr>
          <w:b/>
          <w:szCs w:val="24"/>
          <w:lang w:eastAsia="en-US"/>
        </w:rPr>
        <w:t xml:space="preserve"> [Alt. 116]</w:t>
      </w:r>
    </w:p>
    <w:p w14:paraId="7285D782" w14:textId="43B1C2C5"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Ações inibitórias;</w:t>
      </w:r>
    </w:p>
    <w:p w14:paraId="13A996CE" w14:textId="1589D7FD" w:rsidR="002A673F" w:rsidRPr="00E075CA" w:rsidRDefault="002A673F" w:rsidP="002A673F">
      <w:pPr>
        <w:spacing w:before="120" w:after="120" w:line="360" w:lineRule="auto"/>
        <w:ind w:left="1416" w:hanging="566"/>
        <w:rPr>
          <w:b/>
          <w:szCs w:val="24"/>
          <w:lang w:eastAsia="en-US"/>
        </w:rPr>
      </w:pPr>
      <w:r w:rsidRPr="002A673F">
        <w:rPr>
          <w:szCs w:val="24"/>
          <w:lang w:eastAsia="en-US"/>
        </w:rPr>
        <w:t>b)</w:t>
      </w:r>
      <w:r w:rsidRPr="002A673F">
        <w:rPr>
          <w:szCs w:val="24"/>
          <w:lang w:eastAsia="en-US"/>
        </w:rPr>
        <w:tab/>
      </w:r>
      <w:r w:rsidRPr="002A673F">
        <w:rPr>
          <w:strike/>
          <w:szCs w:val="24"/>
          <w:lang w:eastAsia="en-US"/>
        </w:rPr>
        <w:t xml:space="preserve">Procedimentos de </w:t>
      </w:r>
      <w:proofErr w:type="spellStart"/>
      <w:r w:rsidRPr="002A673F">
        <w:rPr>
          <w:strike/>
          <w:szCs w:val="24"/>
          <w:lang w:eastAsia="en-US"/>
        </w:rPr>
        <w:t>infração</w:t>
      </w:r>
      <w:r w:rsidRPr="002A673F">
        <w:rPr>
          <w:b/>
          <w:i/>
          <w:szCs w:val="24"/>
          <w:lang w:eastAsia="en-US"/>
        </w:rPr>
        <w:t>Infrações</w:t>
      </w:r>
      <w:proofErr w:type="spellEnd"/>
      <w:r w:rsidRPr="002A673F">
        <w:rPr>
          <w:szCs w:val="24"/>
          <w:lang w:eastAsia="en-US"/>
        </w:rPr>
        <w:t>;</w:t>
      </w:r>
      <w:r w:rsidRPr="002A673F">
        <w:rPr>
          <w:b/>
          <w:szCs w:val="24"/>
          <w:lang w:eastAsia="en-US"/>
        </w:rPr>
        <w:t xml:space="preserve"> [Alt. 117]</w:t>
      </w:r>
    </w:p>
    <w:p w14:paraId="6C0B2AFC" w14:textId="642FB5E9"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Caráter essencial e validade;</w:t>
      </w:r>
    </w:p>
    <w:p w14:paraId="037CF0B3" w14:textId="1562A3E8" w:rsidR="002A673F" w:rsidRPr="002A673F" w:rsidRDefault="002A673F" w:rsidP="002A673F">
      <w:pPr>
        <w:spacing w:before="120" w:after="120" w:line="360" w:lineRule="auto"/>
        <w:ind w:left="1416" w:hanging="566"/>
        <w:rPr>
          <w:szCs w:val="24"/>
          <w:lang w:eastAsia="en-US"/>
        </w:rPr>
      </w:pPr>
      <w:r w:rsidRPr="002A673F">
        <w:rPr>
          <w:szCs w:val="24"/>
          <w:lang w:eastAsia="en-US"/>
        </w:rPr>
        <w:t>d)</w:t>
      </w:r>
      <w:r w:rsidRPr="002A673F">
        <w:rPr>
          <w:szCs w:val="24"/>
          <w:lang w:eastAsia="en-US"/>
        </w:rPr>
        <w:tab/>
        <w:t>Abusos de posição dominante;</w:t>
      </w:r>
    </w:p>
    <w:p w14:paraId="6B2AACE9" w14:textId="0436C337" w:rsidR="002A673F" w:rsidRPr="002A673F" w:rsidRDefault="002A673F" w:rsidP="002A673F">
      <w:pPr>
        <w:spacing w:before="120" w:after="120" w:line="360" w:lineRule="auto"/>
        <w:ind w:left="1416" w:hanging="566"/>
        <w:rPr>
          <w:szCs w:val="24"/>
          <w:lang w:eastAsia="en-US"/>
        </w:rPr>
      </w:pPr>
      <w:r w:rsidRPr="002A673F">
        <w:rPr>
          <w:szCs w:val="24"/>
          <w:lang w:eastAsia="en-US"/>
        </w:rPr>
        <w:t>e)</w:t>
      </w:r>
      <w:r w:rsidRPr="002A673F">
        <w:rPr>
          <w:szCs w:val="24"/>
          <w:lang w:eastAsia="en-US"/>
        </w:rPr>
        <w:tab/>
        <w:t>Determinação das condições FRAND.</w:t>
      </w:r>
    </w:p>
    <w:p w14:paraId="71F8F989" w14:textId="77777777" w:rsidR="00DB7B8D" w:rsidRDefault="00DB7B8D">
      <w:pPr>
        <w:widowControl/>
        <w:rPr>
          <w:szCs w:val="24"/>
          <w:lang w:eastAsia="en-US"/>
        </w:rPr>
      </w:pPr>
      <w:r>
        <w:rPr>
          <w:szCs w:val="24"/>
          <w:lang w:eastAsia="en-US"/>
        </w:rPr>
        <w:br w:type="page"/>
      </w:r>
    </w:p>
    <w:p w14:paraId="5F385516" w14:textId="769CA1D2"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Qualquer pessoa pode informar o centro de competências sobre qualquer ação judicial ou processo de resolução alternativa de litígios relativos a uma PEN.</w:t>
      </w:r>
    </w:p>
    <w:p w14:paraId="0F25234F"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11.º</w:t>
      </w:r>
      <w:r w:rsidRPr="002A673F">
        <w:rPr>
          <w:szCs w:val="24"/>
          <w:lang w:eastAsia="en-US"/>
        </w:rPr>
        <w:br/>
        <w:t>Informações sobre as determinações FRAND</w:t>
      </w:r>
    </w:p>
    <w:p w14:paraId="1EC839E9"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As pessoas envolvidas em processos de resolução alternativa de litígios relativos a PEN em vigor num Estado-Membro devem divulgar ao centro de competências, no prazo de </w:t>
      </w:r>
      <w:proofErr w:type="spellStart"/>
      <w:r w:rsidRPr="002A673F">
        <w:rPr>
          <w:strike/>
          <w:szCs w:val="24"/>
          <w:lang w:eastAsia="en-US"/>
        </w:rPr>
        <w:t>seis</w:t>
      </w:r>
      <w:r w:rsidRPr="002A673F">
        <w:rPr>
          <w:b/>
          <w:i/>
          <w:szCs w:val="24"/>
          <w:lang w:eastAsia="en-US"/>
        </w:rPr>
        <w:t>quatro</w:t>
      </w:r>
      <w:proofErr w:type="spellEnd"/>
      <w:r w:rsidRPr="002A673F">
        <w:rPr>
          <w:szCs w:val="24"/>
          <w:lang w:eastAsia="en-US"/>
        </w:rPr>
        <w:t xml:space="preserve"> meses a contar do termo do procedimento, as normas e as aplicações em causa, a metodologia adotada para o cálculo das condições FRAND, informações sobre o nome das partes e as taxas de concessão de licenças específicas determinadas.</w:t>
      </w:r>
      <w:r w:rsidRPr="002A673F">
        <w:rPr>
          <w:b/>
          <w:szCs w:val="24"/>
          <w:lang w:eastAsia="en-US"/>
        </w:rPr>
        <w:t xml:space="preserve"> [Alt. 118]</w:t>
      </w:r>
    </w:p>
    <w:p w14:paraId="02625991"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O centro de competências não pode divulgar informações confidenciais sem o consentimento prévio da parte afetada.</w:t>
      </w:r>
    </w:p>
    <w:p w14:paraId="016A88D9" w14:textId="77777777" w:rsidR="00DB7B8D" w:rsidRDefault="00DB7B8D">
      <w:pPr>
        <w:widowControl/>
        <w:rPr>
          <w:szCs w:val="24"/>
          <w:lang w:eastAsia="en-US"/>
        </w:rPr>
      </w:pPr>
      <w:r>
        <w:rPr>
          <w:szCs w:val="24"/>
          <w:lang w:eastAsia="en-US"/>
        </w:rPr>
        <w:br w:type="page"/>
      </w:r>
    </w:p>
    <w:p w14:paraId="1212D2D1" w14:textId="7789ED89"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12.º</w:t>
      </w:r>
      <w:r w:rsidRPr="002A673F">
        <w:rPr>
          <w:szCs w:val="24"/>
          <w:lang w:eastAsia="en-US"/>
        </w:rPr>
        <w:br/>
        <w:t>Informações sobre as regras relativas às PEN em países terceiros</w:t>
      </w:r>
    </w:p>
    <w:p w14:paraId="772E45CF"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O centro de competências deve recolher</w:t>
      </w:r>
      <w:r w:rsidRPr="002A673F">
        <w:rPr>
          <w:b/>
          <w:i/>
          <w:szCs w:val="24"/>
          <w:lang w:eastAsia="en-US"/>
        </w:rPr>
        <w:t>, verificar devidamente</w:t>
      </w:r>
      <w:r w:rsidRPr="002A673F">
        <w:rPr>
          <w:szCs w:val="24"/>
          <w:lang w:eastAsia="en-US"/>
        </w:rPr>
        <w:t xml:space="preserve"> e publicar</w:t>
      </w:r>
      <w:r w:rsidRPr="002A673F">
        <w:rPr>
          <w:b/>
          <w:i/>
          <w:szCs w:val="24"/>
          <w:lang w:eastAsia="en-US"/>
        </w:rPr>
        <w:t xml:space="preserve"> imediatamente</w:t>
      </w:r>
      <w:r w:rsidRPr="002A673F">
        <w:rPr>
          <w:szCs w:val="24"/>
          <w:lang w:eastAsia="en-US"/>
        </w:rPr>
        <w:t xml:space="preserve"> na base de dados informações sobre eventuais regras relativas à PEN em qualquer país terceiro.</w:t>
      </w:r>
      <w:r w:rsidRPr="002A673F">
        <w:rPr>
          <w:b/>
          <w:i/>
          <w:szCs w:val="24"/>
          <w:lang w:eastAsia="en-US"/>
        </w:rPr>
        <w:t xml:space="preserve"> O centro de competências pode ainda recolher informações sobre o cumprimento do presente regulamento em países terceiros, bem como acompanhar o seu impacto nos utilizadores finais.</w:t>
      </w:r>
      <w:r w:rsidRPr="002A673F">
        <w:rPr>
          <w:b/>
          <w:szCs w:val="24"/>
          <w:lang w:eastAsia="en-US"/>
        </w:rPr>
        <w:t xml:space="preserve"> [Alt. 119]</w:t>
      </w:r>
    </w:p>
    <w:p w14:paraId="45391BA6"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Qualquer pessoa pode fornecer ao centro de competências essas informações, bem como informações sobre atualizações, retificações e consultas públicas. O centro de competências publica essas informações na base de dados</w:t>
      </w:r>
      <w:r w:rsidRPr="002A673F">
        <w:rPr>
          <w:b/>
          <w:i/>
          <w:szCs w:val="24"/>
          <w:lang w:eastAsia="en-US"/>
        </w:rPr>
        <w:t xml:space="preserve"> após verificar a sua exatidão</w:t>
      </w:r>
      <w:r w:rsidRPr="002A673F">
        <w:rPr>
          <w:szCs w:val="24"/>
          <w:lang w:eastAsia="en-US"/>
        </w:rPr>
        <w:t>.</w:t>
      </w:r>
      <w:r w:rsidRPr="002A673F">
        <w:rPr>
          <w:b/>
          <w:szCs w:val="24"/>
          <w:lang w:eastAsia="en-US"/>
        </w:rPr>
        <w:t xml:space="preserve"> [Alt. 120]</w:t>
      </w:r>
    </w:p>
    <w:p w14:paraId="3AE6761D" w14:textId="43EBD6D8" w:rsidR="002A673F" w:rsidRPr="00E075CA" w:rsidRDefault="002A673F" w:rsidP="002A673F">
      <w:pPr>
        <w:spacing w:before="120" w:after="120" w:line="360" w:lineRule="auto"/>
        <w:ind w:left="850" w:hanging="850"/>
        <w:rPr>
          <w:b/>
          <w:szCs w:val="24"/>
          <w:lang w:eastAsia="en-US"/>
        </w:rPr>
      </w:pPr>
      <w:r w:rsidRPr="002A673F">
        <w:rPr>
          <w:b/>
          <w:i/>
          <w:szCs w:val="24"/>
          <w:lang w:eastAsia="en-US"/>
        </w:rPr>
        <w:t>2-A.</w:t>
      </w:r>
      <w:r w:rsidRPr="002A673F">
        <w:rPr>
          <w:szCs w:val="24"/>
          <w:lang w:eastAsia="en-US"/>
        </w:rPr>
        <w:tab/>
      </w:r>
      <w:r w:rsidRPr="002A673F">
        <w:rPr>
          <w:b/>
          <w:i/>
          <w:szCs w:val="24"/>
          <w:lang w:eastAsia="en-US"/>
        </w:rPr>
        <w:t>A fim de facilitar a aplicação efetiva do presente regulamento, o centro de competências pode cooperar, colaborar e trocar informações com, nomeadamente, autoridades de países terceiros e organizações internacionais que lidam com PEN, em especial no que se refere às informações sobre as regras relativas às PEN em países terceiros ou à prevenção de processos paralelos.</w:t>
      </w:r>
      <w:r w:rsidRPr="002A673F">
        <w:rPr>
          <w:b/>
          <w:szCs w:val="24"/>
          <w:lang w:eastAsia="en-US"/>
        </w:rPr>
        <w:t xml:space="preserve"> [Alt. 121]</w:t>
      </w:r>
    </w:p>
    <w:p w14:paraId="6D9D7474" w14:textId="77777777" w:rsidR="00DB7B8D" w:rsidRDefault="00DB7B8D">
      <w:pPr>
        <w:widowControl/>
        <w:rPr>
          <w:szCs w:val="24"/>
          <w:lang w:eastAsia="en-US"/>
        </w:rPr>
      </w:pPr>
      <w:r>
        <w:rPr>
          <w:szCs w:val="24"/>
          <w:lang w:eastAsia="en-US"/>
        </w:rPr>
        <w:br w:type="page"/>
      </w:r>
    </w:p>
    <w:p w14:paraId="364E02F7" w14:textId="6F10ABD8"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13.º</w:t>
      </w:r>
      <w:r w:rsidRPr="002A673F">
        <w:rPr>
          <w:szCs w:val="24"/>
          <w:lang w:eastAsia="en-US"/>
        </w:rPr>
        <w:br/>
        <w:t>Reforço da transparência e da partilha de informações</w:t>
      </w:r>
    </w:p>
    <w:p w14:paraId="69D47BB2"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O centro de competências deve armazenar na base de dados todos os dados fornecidos pelas partes interessadas, bem como os pareceres </w:t>
      </w:r>
      <w:r w:rsidRPr="002A673F">
        <w:rPr>
          <w:b/>
          <w:i/>
          <w:szCs w:val="24"/>
          <w:lang w:eastAsia="en-US"/>
        </w:rPr>
        <w:t xml:space="preserve">fundamentados </w:t>
      </w:r>
      <w:r w:rsidRPr="002A673F">
        <w:rPr>
          <w:szCs w:val="24"/>
          <w:lang w:eastAsia="en-US"/>
        </w:rPr>
        <w:t>e relatórios dos avaliadores e conciliadores.</w:t>
      </w:r>
      <w:r w:rsidRPr="002A673F">
        <w:rPr>
          <w:b/>
          <w:szCs w:val="24"/>
          <w:lang w:eastAsia="en-US"/>
        </w:rPr>
        <w:t xml:space="preserve"> [Alt. 122]</w:t>
      </w:r>
    </w:p>
    <w:p w14:paraId="179A3DD3"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A recolha, o armazenamento e o tratamento desses dados são efetuados para os seguintes efeitos:</w:t>
      </w:r>
    </w:p>
    <w:p w14:paraId="1342792F" w14:textId="499DE958"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Administrar os registos de PEN, as verificações do caráter essencial e os processos de conciliação nos termos do presente regulamento;</w:t>
      </w:r>
    </w:p>
    <w:p w14:paraId="782FB605" w14:textId="4A0DBCBF"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Aceder às informações necessárias para executar esses processos de forma mais fácil e eficiente;</w:t>
      </w:r>
    </w:p>
    <w:p w14:paraId="5966D5A0" w14:textId="0C0EB4D2"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Comunicar com as partes no processo;</w:t>
      </w:r>
    </w:p>
    <w:p w14:paraId="591E460C" w14:textId="2B3B9011" w:rsidR="002A673F" w:rsidRPr="00E075CA" w:rsidRDefault="002A673F" w:rsidP="002A673F">
      <w:pPr>
        <w:spacing w:before="120" w:after="120" w:line="360" w:lineRule="auto"/>
        <w:ind w:left="1416" w:hanging="566"/>
        <w:rPr>
          <w:b/>
          <w:szCs w:val="24"/>
          <w:lang w:eastAsia="en-US"/>
        </w:rPr>
      </w:pPr>
      <w:proofErr w:type="spellStart"/>
      <w:r w:rsidRPr="002A673F">
        <w:rPr>
          <w:b/>
          <w:i/>
          <w:szCs w:val="24"/>
          <w:lang w:eastAsia="en-US"/>
        </w:rPr>
        <w:t>c-A</w:t>
      </w:r>
      <w:proofErr w:type="spellEnd"/>
      <w:r w:rsidRPr="002A673F">
        <w:rPr>
          <w:b/>
          <w:i/>
          <w:szCs w:val="24"/>
          <w:lang w:eastAsia="en-US"/>
        </w:rPr>
        <w:t>)</w:t>
      </w:r>
      <w:r w:rsidRPr="002A673F">
        <w:rPr>
          <w:szCs w:val="24"/>
          <w:lang w:eastAsia="en-US"/>
        </w:rPr>
        <w:tab/>
      </w:r>
      <w:r w:rsidRPr="002A673F">
        <w:rPr>
          <w:b/>
          <w:i/>
          <w:szCs w:val="24"/>
          <w:lang w:eastAsia="en-US"/>
        </w:rPr>
        <w:t>Disponibilizar às pessoas interessadas PEN, normas e execuções, utilizando ferramentas de investigação facilmente acessíveis e resultados de pesquisa razoavelmente compreensíveis;</w:t>
      </w:r>
      <w:r w:rsidRPr="002A673F">
        <w:rPr>
          <w:b/>
          <w:szCs w:val="24"/>
          <w:lang w:eastAsia="en-US"/>
        </w:rPr>
        <w:t xml:space="preserve"> [Alt. 123]</w:t>
      </w:r>
    </w:p>
    <w:p w14:paraId="517E0087" w14:textId="77777777" w:rsidR="00DB7B8D" w:rsidRDefault="00DB7B8D">
      <w:pPr>
        <w:widowControl/>
        <w:rPr>
          <w:szCs w:val="24"/>
          <w:lang w:eastAsia="en-US"/>
        </w:rPr>
      </w:pPr>
      <w:r>
        <w:rPr>
          <w:szCs w:val="24"/>
          <w:lang w:eastAsia="en-US"/>
        </w:rPr>
        <w:br w:type="page"/>
      </w:r>
    </w:p>
    <w:p w14:paraId="79721BEA" w14:textId="6B29975D"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d)</w:t>
      </w:r>
      <w:r w:rsidRPr="002A673F">
        <w:rPr>
          <w:szCs w:val="24"/>
          <w:lang w:eastAsia="en-US"/>
        </w:rPr>
        <w:tab/>
        <w:t>Elaborar relatórios e estatísticas que permitam ao centro de competências melhorar o seu funcionamento e o funcionamento do registo das PEN e dos procedimentos ao abrigo do presente regulamento</w:t>
      </w:r>
      <w:r w:rsidR="009B7063">
        <w:rPr>
          <w:szCs w:val="24"/>
          <w:lang w:eastAsia="en-US"/>
        </w:rPr>
        <w:t>;</w:t>
      </w:r>
    </w:p>
    <w:p w14:paraId="29A5CCE1" w14:textId="1111C955" w:rsidR="002A673F" w:rsidRPr="00E075CA" w:rsidRDefault="002A673F" w:rsidP="002A673F">
      <w:pPr>
        <w:spacing w:before="120" w:after="120" w:line="360" w:lineRule="auto"/>
        <w:ind w:left="1416" w:hanging="566"/>
        <w:rPr>
          <w:b/>
          <w:szCs w:val="24"/>
          <w:lang w:eastAsia="en-US"/>
        </w:rPr>
      </w:pPr>
      <w:proofErr w:type="spellStart"/>
      <w:r w:rsidRPr="002A673F">
        <w:rPr>
          <w:b/>
          <w:i/>
          <w:szCs w:val="24"/>
          <w:lang w:eastAsia="en-US"/>
        </w:rPr>
        <w:t>d-A</w:t>
      </w:r>
      <w:proofErr w:type="spellEnd"/>
      <w:r w:rsidRPr="002A673F">
        <w:rPr>
          <w:b/>
          <w:i/>
          <w:szCs w:val="24"/>
          <w:lang w:eastAsia="en-US"/>
        </w:rPr>
        <w:t>)</w:t>
      </w:r>
      <w:r w:rsidRPr="002A673F">
        <w:rPr>
          <w:szCs w:val="24"/>
          <w:lang w:eastAsia="en-US"/>
        </w:rPr>
        <w:tab/>
      </w:r>
      <w:r w:rsidRPr="002A673F">
        <w:rPr>
          <w:b/>
          <w:i/>
          <w:szCs w:val="24"/>
          <w:lang w:eastAsia="en-US"/>
        </w:rPr>
        <w:t>Facilitar avaliações das práticas de concessão de licenças de PEN e do seu impacto no mercado interno, na inovação e no acesso a tecnologias normalizadas.</w:t>
      </w:r>
      <w:r w:rsidRPr="002A673F">
        <w:rPr>
          <w:b/>
          <w:szCs w:val="24"/>
          <w:lang w:eastAsia="en-US"/>
        </w:rPr>
        <w:t xml:space="preserve"> [Alt. 124]</w:t>
      </w:r>
    </w:p>
    <w:p w14:paraId="58B1AABB"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O centro de competências deve incluir na base de dados jurisprudência de tribunais competentes dos Estados-Membros, de jurisdições de países terceiros e de organismos de resolução alternativa de litígios.</w:t>
      </w:r>
    </w:p>
    <w:p w14:paraId="32EF9D5A"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O centro de competências deve recolher todas as informações sobre as condições FRAND, incluindo eventuais descontos, que tenham sido tornadas públicas pelos titulares de PEN, que lhe tenham sido divulgadas nos termos do artigo 11.º e que tenham sido incluídas nos relatórios de determinação FRAND, e tornar essas divulgações acessíveis às autoridades públicas da União, nomeadamente aos tribunais competentes dos Estados-Membros, mediante pedido escrito. Os documentos confidenciais devem ser acompanhados de uma versão não confidencial e suficientemente pormenorizada das informações comunicadas a título confidencial para permitir compreender de forma adequada o essencial das informações comunicadas a título confidencial.</w:t>
      </w:r>
    </w:p>
    <w:p w14:paraId="61DF4AD9" w14:textId="77777777" w:rsidR="00DB7B8D" w:rsidRDefault="00DB7B8D">
      <w:pPr>
        <w:widowControl/>
        <w:rPr>
          <w:szCs w:val="24"/>
          <w:lang w:eastAsia="en-US"/>
        </w:rPr>
      </w:pPr>
      <w:r>
        <w:rPr>
          <w:szCs w:val="24"/>
          <w:lang w:eastAsia="en-US"/>
        </w:rPr>
        <w:br w:type="page"/>
      </w:r>
    </w:p>
    <w:p w14:paraId="2D74623C" w14:textId="69E71A0D"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5.</w:t>
      </w:r>
      <w:r w:rsidRPr="002A673F">
        <w:rPr>
          <w:szCs w:val="24"/>
          <w:lang w:eastAsia="en-US"/>
        </w:rPr>
        <w:tab/>
        <w:t>O centro de competências deve publicar na base de dados um relatório anual sobre as metodologias utilizadas para as determinações FRAND com base em informações derivadas de decisões judiciais e arbitrais, bem como informações estatísticas sobre licenças e produtos objeto de licença a partir das determinações FRAND.</w:t>
      </w:r>
    </w:p>
    <w:p w14:paraId="64E957C9"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6.</w:t>
      </w:r>
      <w:r w:rsidRPr="002A673F">
        <w:rPr>
          <w:szCs w:val="24"/>
          <w:lang w:eastAsia="en-US"/>
        </w:rPr>
        <w:tab/>
        <w:t>Mediante pedido fundamentado de uma parte interessada, o centro de competências deve publicar ou transmitir essas informações num formato não confidencial do qual terão sido suprimidas as informações confidenciais.</w:t>
      </w:r>
    </w:p>
    <w:p w14:paraId="66D99881" w14:textId="77777777" w:rsidR="002A673F" w:rsidRPr="002A673F" w:rsidRDefault="002A673F" w:rsidP="002A673F">
      <w:pPr>
        <w:spacing w:before="120" w:after="120" w:line="360" w:lineRule="auto"/>
        <w:jc w:val="center"/>
        <w:rPr>
          <w:szCs w:val="24"/>
          <w:lang w:eastAsia="en-US"/>
        </w:rPr>
      </w:pPr>
      <w:r w:rsidRPr="002A673F">
        <w:rPr>
          <w:szCs w:val="24"/>
          <w:lang w:eastAsia="en-US"/>
        </w:rPr>
        <w:t xml:space="preserve">CAPÍTULO 2 </w:t>
      </w:r>
      <w:r w:rsidRPr="002A673F">
        <w:rPr>
          <w:szCs w:val="24"/>
          <w:lang w:eastAsia="en-US"/>
        </w:rPr>
        <w:br/>
        <w:t xml:space="preserve">Notificação de uma norma e de </w:t>
      </w:r>
      <w:r w:rsidRPr="00E075CA">
        <w:rPr>
          <w:i/>
          <w:szCs w:val="24"/>
          <w:lang w:eastAsia="en-US"/>
        </w:rPr>
        <w:t>royalties</w:t>
      </w:r>
      <w:r w:rsidRPr="002A673F">
        <w:rPr>
          <w:szCs w:val="24"/>
          <w:lang w:eastAsia="en-US"/>
        </w:rPr>
        <w:t xml:space="preserve"> agregados</w:t>
      </w:r>
    </w:p>
    <w:p w14:paraId="44BC6893"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14.º</w:t>
      </w:r>
      <w:r w:rsidRPr="002A673F">
        <w:rPr>
          <w:szCs w:val="24"/>
          <w:lang w:eastAsia="en-US"/>
        </w:rPr>
        <w:br/>
        <w:t>Notificação de uma norma ao centro de competências</w:t>
      </w:r>
    </w:p>
    <w:p w14:paraId="0B04B5D5"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Os titulares de </w:t>
      </w:r>
      <w:r w:rsidRPr="002A673F">
        <w:rPr>
          <w:strike/>
          <w:szCs w:val="24"/>
          <w:lang w:eastAsia="en-US"/>
        </w:rPr>
        <w:t xml:space="preserve">uma </w:t>
      </w:r>
      <w:proofErr w:type="spellStart"/>
      <w:r w:rsidRPr="002A673F">
        <w:rPr>
          <w:strike/>
          <w:szCs w:val="24"/>
          <w:lang w:eastAsia="en-US"/>
        </w:rPr>
        <w:t>patente</w:t>
      </w:r>
      <w:r w:rsidRPr="002A673F">
        <w:rPr>
          <w:b/>
          <w:i/>
          <w:szCs w:val="24"/>
          <w:lang w:eastAsia="en-US"/>
        </w:rPr>
        <w:t>patentes</w:t>
      </w:r>
      <w:proofErr w:type="spellEnd"/>
      <w:r w:rsidRPr="002A673F">
        <w:rPr>
          <w:szCs w:val="24"/>
          <w:lang w:eastAsia="en-US"/>
        </w:rPr>
        <w:t xml:space="preserve"> em vigor num ou mais Estados-Membros que </w:t>
      </w:r>
      <w:r w:rsidRPr="002A673F">
        <w:rPr>
          <w:strike/>
          <w:szCs w:val="24"/>
          <w:lang w:eastAsia="en-US"/>
        </w:rPr>
        <w:t xml:space="preserve">seja </w:t>
      </w:r>
      <w:proofErr w:type="spellStart"/>
      <w:r w:rsidRPr="002A673F">
        <w:rPr>
          <w:strike/>
          <w:szCs w:val="24"/>
          <w:lang w:eastAsia="en-US"/>
        </w:rPr>
        <w:t>essencial</w:t>
      </w:r>
      <w:r w:rsidRPr="002A673F">
        <w:rPr>
          <w:b/>
          <w:i/>
          <w:szCs w:val="24"/>
          <w:lang w:eastAsia="en-US"/>
        </w:rPr>
        <w:t>sejam</w:t>
      </w:r>
      <w:proofErr w:type="spellEnd"/>
      <w:r w:rsidRPr="002A673F">
        <w:rPr>
          <w:b/>
          <w:i/>
          <w:szCs w:val="24"/>
          <w:lang w:eastAsia="en-US"/>
        </w:rPr>
        <w:t xml:space="preserve"> consideradas essenciais</w:t>
      </w:r>
      <w:r w:rsidRPr="002A673F">
        <w:rPr>
          <w:szCs w:val="24"/>
          <w:lang w:eastAsia="en-US"/>
        </w:rPr>
        <w:t xml:space="preserve"> para uma norma relativamente à qual tenham sido assumidos</w:t>
      </w:r>
      <w:r w:rsidRPr="002A673F">
        <w:rPr>
          <w:b/>
          <w:i/>
          <w:szCs w:val="24"/>
          <w:lang w:eastAsia="en-US"/>
        </w:rPr>
        <w:t xml:space="preserve"> ou não</w:t>
      </w:r>
      <w:r w:rsidRPr="002A673F">
        <w:rPr>
          <w:szCs w:val="24"/>
          <w:lang w:eastAsia="en-US"/>
        </w:rPr>
        <w:t xml:space="preserve"> compromissos FRAND devem comunicar ao centro de competências, sempre que possível através do organismo de normalização ou de uma notificação conjunta, as seguintes informações:</w:t>
      </w:r>
      <w:r w:rsidRPr="002A673F">
        <w:rPr>
          <w:b/>
          <w:szCs w:val="24"/>
          <w:lang w:eastAsia="en-US"/>
        </w:rPr>
        <w:t xml:space="preserve"> [Alt. 125]</w:t>
      </w:r>
    </w:p>
    <w:p w14:paraId="21D8D202" w14:textId="77777777" w:rsidR="00DB7B8D" w:rsidRDefault="00DB7B8D">
      <w:pPr>
        <w:widowControl/>
        <w:rPr>
          <w:szCs w:val="24"/>
          <w:lang w:eastAsia="en-US"/>
        </w:rPr>
      </w:pPr>
      <w:r>
        <w:rPr>
          <w:szCs w:val="24"/>
          <w:lang w:eastAsia="en-US"/>
        </w:rPr>
        <w:br w:type="page"/>
      </w:r>
    </w:p>
    <w:p w14:paraId="4EC06B78" w14:textId="72656B3D"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a)</w:t>
      </w:r>
      <w:r w:rsidRPr="002A673F">
        <w:rPr>
          <w:szCs w:val="24"/>
          <w:lang w:eastAsia="en-US"/>
        </w:rPr>
        <w:tab/>
        <w:t>A designação comercial de uma norma;</w:t>
      </w:r>
    </w:p>
    <w:p w14:paraId="46E7B22F" w14:textId="37CFE731"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A lista das especificações técnicas pertinentes que definem a norma;</w:t>
      </w:r>
    </w:p>
    <w:p w14:paraId="41AB9BE0" w14:textId="3DE50929"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A data de publicação da mais recente especificação técnica;</w:t>
      </w:r>
    </w:p>
    <w:p w14:paraId="6F87C24E" w14:textId="169D32E1" w:rsidR="002A673F" w:rsidRPr="002A673F" w:rsidRDefault="002A673F" w:rsidP="002A673F">
      <w:pPr>
        <w:spacing w:before="120" w:after="120" w:line="360" w:lineRule="auto"/>
        <w:ind w:left="1416" w:hanging="566"/>
        <w:rPr>
          <w:szCs w:val="24"/>
          <w:lang w:eastAsia="en-US"/>
        </w:rPr>
      </w:pPr>
      <w:r w:rsidRPr="002A673F">
        <w:rPr>
          <w:szCs w:val="24"/>
          <w:lang w:eastAsia="en-US"/>
        </w:rPr>
        <w:t>d)</w:t>
      </w:r>
      <w:r w:rsidRPr="002A673F">
        <w:rPr>
          <w:szCs w:val="24"/>
          <w:lang w:eastAsia="en-US"/>
        </w:rPr>
        <w:tab/>
        <w:t>Aplicações da norma conhecidas dos titulares da PEN que fazem a notificação.</w:t>
      </w:r>
    </w:p>
    <w:p w14:paraId="463613AF"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Essa notificação deve ser feita no prazo de 30 dias a contar da publicação da última especificação técnica.</w:t>
      </w:r>
    </w:p>
    <w:p w14:paraId="239E0967" w14:textId="3EA3AA9E"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Na ausência de notificação nos termos do n.º 1, qualquer titular de uma PEN em vigor num ou mais Estados-Membros deve notificar individualmente o centro de competências, o mais tardar 90 dias a contar da data de publicação da última especificação técnica, das informações a que se refere o n.º 1.</w:t>
      </w:r>
      <w:r w:rsidRPr="002A673F">
        <w:rPr>
          <w:b/>
          <w:szCs w:val="24"/>
          <w:lang w:eastAsia="en-US"/>
        </w:rPr>
        <w:t xml:space="preserve"> [Alt. 126</w:t>
      </w:r>
      <w:r w:rsidR="00937E3A">
        <w:rPr>
          <w:b/>
          <w:szCs w:val="24"/>
          <w:lang w:eastAsia="en-US"/>
        </w:rPr>
        <w:t xml:space="preserve"> - </w:t>
      </w:r>
      <w:r w:rsidR="00937E3A" w:rsidRPr="002C5F88">
        <w:rPr>
          <w:b/>
          <w:szCs w:val="24"/>
          <w:lang w:eastAsia="en-US"/>
        </w:rPr>
        <w:t>Não se aplica à versão portuguesa</w:t>
      </w:r>
      <w:r w:rsidRPr="002A673F">
        <w:rPr>
          <w:b/>
          <w:szCs w:val="24"/>
          <w:lang w:eastAsia="en-US"/>
        </w:rPr>
        <w:t>]</w:t>
      </w:r>
    </w:p>
    <w:p w14:paraId="00DB6C52"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Na ausência de notificação nos termos do n.º 1 ou do n.º 3, qualquer utilizador pode notificar o centro de competências das informações referidas no n.º 1.</w:t>
      </w:r>
    </w:p>
    <w:p w14:paraId="32CC4AC7" w14:textId="77777777" w:rsidR="00DB7B8D" w:rsidRDefault="00DB7B8D">
      <w:pPr>
        <w:widowControl/>
        <w:rPr>
          <w:szCs w:val="24"/>
          <w:lang w:eastAsia="en-US"/>
        </w:rPr>
      </w:pPr>
      <w:r>
        <w:rPr>
          <w:szCs w:val="24"/>
          <w:lang w:eastAsia="en-US"/>
        </w:rPr>
        <w:br w:type="page"/>
      </w:r>
    </w:p>
    <w:p w14:paraId="7CD7263B" w14:textId="27B59212"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5.</w:t>
      </w:r>
      <w:r w:rsidRPr="002A673F">
        <w:rPr>
          <w:szCs w:val="24"/>
          <w:lang w:eastAsia="en-US"/>
        </w:rPr>
        <w:tab/>
        <w:t xml:space="preserve">O centro de competências deve igualmente </w:t>
      </w:r>
      <w:r w:rsidRPr="002A673F">
        <w:rPr>
          <w:strike/>
          <w:szCs w:val="24"/>
          <w:lang w:eastAsia="en-US"/>
        </w:rPr>
        <w:t xml:space="preserve">notificar dessas informações </w:t>
      </w:r>
      <w:proofErr w:type="spellStart"/>
      <w:r w:rsidRPr="002A673F">
        <w:rPr>
          <w:strike/>
          <w:szCs w:val="24"/>
          <w:lang w:eastAsia="en-US"/>
        </w:rPr>
        <w:t>o</w:t>
      </w:r>
      <w:r w:rsidRPr="002A673F">
        <w:rPr>
          <w:b/>
          <w:i/>
          <w:szCs w:val="24"/>
          <w:lang w:eastAsia="en-US"/>
        </w:rPr>
        <w:t>transmitir</w:t>
      </w:r>
      <w:proofErr w:type="spellEnd"/>
      <w:r w:rsidRPr="002A673F">
        <w:rPr>
          <w:b/>
          <w:i/>
          <w:szCs w:val="24"/>
          <w:lang w:eastAsia="en-US"/>
        </w:rPr>
        <w:t xml:space="preserve"> essa notificação ao</w:t>
      </w:r>
      <w:r w:rsidRPr="002A673F">
        <w:rPr>
          <w:szCs w:val="24"/>
          <w:lang w:eastAsia="en-US"/>
        </w:rPr>
        <w:t xml:space="preserve"> organismo de normalização pertinente. Em caso de notificação nos termos dos </w:t>
      </w:r>
      <w:r w:rsidRPr="00E075CA">
        <w:rPr>
          <w:szCs w:val="24"/>
          <w:lang w:eastAsia="en-US"/>
        </w:rPr>
        <w:t>n.ºs</w:t>
      </w:r>
      <w:r w:rsidRPr="007D3B00">
        <w:rPr>
          <w:szCs w:val="24"/>
          <w:lang w:eastAsia="en-US"/>
        </w:rPr>
        <w:t xml:space="preserve"> </w:t>
      </w:r>
      <w:r w:rsidRPr="002A673F">
        <w:rPr>
          <w:szCs w:val="24"/>
          <w:lang w:eastAsia="en-US"/>
        </w:rPr>
        <w:t>3 e 4, deve também notificar individualmente, sempre que possível, os titulares de PEN conhecidos ou solicitar confirmação junto do organismo de normalização de que este último notificou devidamente os titulares de PEN.</w:t>
      </w:r>
      <w:r w:rsidRPr="002A673F">
        <w:rPr>
          <w:b/>
          <w:szCs w:val="24"/>
          <w:lang w:eastAsia="en-US"/>
        </w:rPr>
        <w:t xml:space="preserve"> [Alt. 127]</w:t>
      </w:r>
    </w:p>
    <w:p w14:paraId="64E29839" w14:textId="7BB17615" w:rsidR="002A673F" w:rsidRPr="00E075CA" w:rsidRDefault="002A673F" w:rsidP="002A673F">
      <w:pPr>
        <w:spacing w:before="120" w:after="120" w:line="360" w:lineRule="auto"/>
        <w:ind w:left="850" w:hanging="850"/>
        <w:rPr>
          <w:b/>
          <w:szCs w:val="24"/>
          <w:lang w:eastAsia="en-US"/>
        </w:rPr>
      </w:pPr>
      <w:r w:rsidRPr="002A673F">
        <w:rPr>
          <w:szCs w:val="24"/>
          <w:lang w:eastAsia="en-US"/>
        </w:rPr>
        <w:t>6.</w:t>
      </w:r>
      <w:r w:rsidRPr="002A673F">
        <w:rPr>
          <w:szCs w:val="24"/>
          <w:lang w:eastAsia="en-US"/>
        </w:rPr>
        <w:tab/>
        <w:t xml:space="preserve">O centro de competências deve publicar no sítio Web do EUIPO as notificações efetuadas nos termos dos </w:t>
      </w:r>
      <w:r w:rsidRPr="002A673F">
        <w:rPr>
          <w:strike/>
          <w:szCs w:val="24"/>
          <w:lang w:eastAsia="en-US"/>
        </w:rPr>
        <w:t>1, 3 e 4</w:t>
      </w:r>
      <w:r w:rsidRPr="00E075CA">
        <w:rPr>
          <w:szCs w:val="24"/>
          <w:lang w:eastAsia="en-US"/>
        </w:rPr>
        <w:t>n.ºs</w:t>
      </w:r>
      <w:r w:rsidRPr="002A673F">
        <w:rPr>
          <w:b/>
          <w:i/>
          <w:szCs w:val="24"/>
          <w:lang w:eastAsia="en-US"/>
        </w:rPr>
        <w:t xml:space="preserve"> 1, 3, 4 e 4-A</w:t>
      </w:r>
      <w:r w:rsidRPr="002A673F">
        <w:rPr>
          <w:szCs w:val="24"/>
          <w:lang w:eastAsia="en-US"/>
        </w:rPr>
        <w:t xml:space="preserve"> para observações das partes interessadas. As partes interessadas podem apresentar as suas observações ao centro de competências no prazo de 30 dias a contar da publicação da lista.</w:t>
      </w:r>
      <w:r w:rsidRPr="002A673F">
        <w:rPr>
          <w:b/>
          <w:szCs w:val="24"/>
          <w:lang w:eastAsia="en-US"/>
        </w:rPr>
        <w:t xml:space="preserve"> [Alt. 128]</w:t>
      </w:r>
    </w:p>
    <w:p w14:paraId="63F6B293"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7.</w:t>
      </w:r>
      <w:r w:rsidRPr="002A673F">
        <w:rPr>
          <w:szCs w:val="24"/>
          <w:lang w:eastAsia="en-US"/>
        </w:rPr>
        <w:tab/>
        <w:t>Após o termo do prazo referido no n.º 6, o centro de competências deve ter em conta todas as observações recebidas, nomeadamente todas as especificações técnicas e aplicações pertinentes, e publicar as informações nos termos do n.º 1.</w:t>
      </w:r>
    </w:p>
    <w:p w14:paraId="37903DA4" w14:textId="77777777" w:rsidR="00DB7B8D" w:rsidRDefault="00DB7B8D">
      <w:pPr>
        <w:widowControl/>
        <w:rPr>
          <w:szCs w:val="24"/>
          <w:lang w:eastAsia="en-US"/>
        </w:rPr>
      </w:pPr>
      <w:r>
        <w:rPr>
          <w:szCs w:val="24"/>
          <w:lang w:eastAsia="en-US"/>
        </w:rPr>
        <w:br w:type="page"/>
      </w:r>
    </w:p>
    <w:p w14:paraId="0A2D9283" w14:textId="625D7CF9"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15.º</w:t>
      </w:r>
      <w:r w:rsidRPr="002A673F">
        <w:rPr>
          <w:szCs w:val="24"/>
          <w:lang w:eastAsia="en-US"/>
        </w:rPr>
        <w:br/>
        <w:t xml:space="preserve">Notificação de </w:t>
      </w:r>
      <w:r w:rsidRPr="00E075CA">
        <w:rPr>
          <w:i/>
          <w:szCs w:val="24"/>
          <w:lang w:eastAsia="en-US"/>
        </w:rPr>
        <w:t>royalties</w:t>
      </w:r>
      <w:r w:rsidRPr="002A673F">
        <w:rPr>
          <w:szCs w:val="24"/>
          <w:lang w:eastAsia="en-US"/>
        </w:rPr>
        <w:t xml:space="preserve"> agregados ao centro de competências</w:t>
      </w:r>
    </w:p>
    <w:p w14:paraId="115A6EA7"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Os titulares de PEN em vigor num ou mais Estados-Membros relativamente às quais tenham sido assumidos </w:t>
      </w:r>
      <w:r w:rsidRPr="002A673F">
        <w:rPr>
          <w:b/>
          <w:i/>
          <w:szCs w:val="24"/>
          <w:lang w:eastAsia="en-US"/>
        </w:rPr>
        <w:t xml:space="preserve">ou não </w:t>
      </w:r>
      <w:r w:rsidRPr="002A673F">
        <w:rPr>
          <w:szCs w:val="24"/>
          <w:lang w:eastAsia="en-US"/>
        </w:rPr>
        <w:t xml:space="preserve">compromissos FRAND podem notificar conjuntamente o centro de competências dos </w:t>
      </w:r>
      <w:r w:rsidRPr="00E075CA">
        <w:rPr>
          <w:i/>
          <w:szCs w:val="24"/>
          <w:lang w:eastAsia="en-US"/>
        </w:rPr>
        <w:t>royalties</w:t>
      </w:r>
      <w:r w:rsidRPr="002A673F">
        <w:rPr>
          <w:szCs w:val="24"/>
          <w:lang w:eastAsia="en-US"/>
        </w:rPr>
        <w:t xml:space="preserve"> agregados </w:t>
      </w:r>
      <w:proofErr w:type="spellStart"/>
      <w:r w:rsidRPr="002A673F">
        <w:rPr>
          <w:strike/>
          <w:szCs w:val="24"/>
          <w:lang w:eastAsia="en-US"/>
        </w:rPr>
        <w:t>das</w:t>
      </w:r>
      <w:r w:rsidRPr="002A673F">
        <w:rPr>
          <w:b/>
          <w:i/>
          <w:szCs w:val="24"/>
          <w:lang w:eastAsia="en-US"/>
        </w:rPr>
        <w:t>de</w:t>
      </w:r>
      <w:proofErr w:type="spellEnd"/>
      <w:r w:rsidRPr="002A673F">
        <w:rPr>
          <w:b/>
          <w:i/>
          <w:szCs w:val="24"/>
          <w:lang w:eastAsia="en-US"/>
        </w:rPr>
        <w:t xml:space="preserve"> todas as</w:t>
      </w:r>
      <w:r w:rsidRPr="002A673F">
        <w:rPr>
          <w:szCs w:val="24"/>
          <w:lang w:eastAsia="en-US"/>
        </w:rPr>
        <w:t xml:space="preserve"> PEN que abrangem uma norma.</w:t>
      </w:r>
      <w:r w:rsidRPr="002A673F">
        <w:rPr>
          <w:b/>
          <w:szCs w:val="24"/>
          <w:lang w:eastAsia="en-US"/>
        </w:rPr>
        <w:t xml:space="preserve"> [Alt. 129]</w:t>
      </w:r>
    </w:p>
    <w:p w14:paraId="5553C5F2"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A notificação efetuada em conformidade com o n.º 1 deve incluir as seguintes informações:</w:t>
      </w:r>
    </w:p>
    <w:p w14:paraId="09DDC77C" w14:textId="620BF0A6"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A designação comercial da norma;</w:t>
      </w:r>
    </w:p>
    <w:p w14:paraId="1C3A891C" w14:textId="7F1BF53B"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A lista das especificações técnicas que definem a norma;</w:t>
      </w:r>
    </w:p>
    <w:p w14:paraId="0CAABF55" w14:textId="6E9BCBF8"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Os nomes dos titulares de PEN que efetuam a notificação referida no n.º 1;</w:t>
      </w:r>
    </w:p>
    <w:p w14:paraId="0D7AD049" w14:textId="69ECECE4" w:rsidR="002A673F" w:rsidRPr="002A673F" w:rsidRDefault="002A673F" w:rsidP="002A673F">
      <w:pPr>
        <w:spacing w:before="120" w:after="120" w:line="360" w:lineRule="auto"/>
        <w:ind w:left="1416" w:hanging="566"/>
        <w:rPr>
          <w:szCs w:val="24"/>
          <w:lang w:eastAsia="en-US"/>
        </w:rPr>
      </w:pPr>
      <w:r w:rsidRPr="002A673F">
        <w:rPr>
          <w:szCs w:val="24"/>
          <w:lang w:eastAsia="en-US"/>
        </w:rPr>
        <w:t>d)</w:t>
      </w:r>
      <w:r w:rsidRPr="002A673F">
        <w:rPr>
          <w:szCs w:val="24"/>
          <w:lang w:eastAsia="en-US"/>
        </w:rPr>
        <w:tab/>
        <w:t>A percentagem estimada que os titulares de PEN referidos no n.º 1 representam de todos os titulares de PEN;</w:t>
      </w:r>
    </w:p>
    <w:p w14:paraId="3B954109" w14:textId="4148D426" w:rsidR="002A673F" w:rsidRPr="002A673F" w:rsidRDefault="002A673F" w:rsidP="002A673F">
      <w:pPr>
        <w:spacing w:before="120" w:after="120" w:line="360" w:lineRule="auto"/>
        <w:ind w:left="1416" w:hanging="566"/>
        <w:rPr>
          <w:szCs w:val="24"/>
          <w:lang w:eastAsia="en-US"/>
        </w:rPr>
      </w:pPr>
      <w:r w:rsidRPr="002A673F">
        <w:rPr>
          <w:szCs w:val="24"/>
          <w:lang w:eastAsia="en-US"/>
        </w:rPr>
        <w:t>e)</w:t>
      </w:r>
      <w:r w:rsidRPr="002A673F">
        <w:rPr>
          <w:szCs w:val="24"/>
          <w:lang w:eastAsia="en-US"/>
        </w:rPr>
        <w:tab/>
        <w:t>A percentagem estimada de PEN que os titulares de PEN detêm coletivamente de todas as PEN existentes para a norma;</w:t>
      </w:r>
    </w:p>
    <w:p w14:paraId="23CDD3D5" w14:textId="77777777" w:rsidR="00DB7B8D" w:rsidRDefault="00DB7B8D">
      <w:pPr>
        <w:widowControl/>
        <w:rPr>
          <w:szCs w:val="24"/>
          <w:lang w:eastAsia="en-US"/>
        </w:rPr>
      </w:pPr>
      <w:r>
        <w:rPr>
          <w:szCs w:val="24"/>
          <w:lang w:eastAsia="en-US"/>
        </w:rPr>
        <w:br w:type="page"/>
      </w:r>
    </w:p>
    <w:p w14:paraId="67ECB8CE" w14:textId="21FF902C"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f)</w:t>
      </w:r>
      <w:r w:rsidRPr="002A673F">
        <w:rPr>
          <w:szCs w:val="24"/>
          <w:lang w:eastAsia="en-US"/>
        </w:rPr>
        <w:tab/>
        <w:t>As aplicações conhecidas dos titulares de PEN a que se refere a alínea c);</w:t>
      </w:r>
    </w:p>
    <w:p w14:paraId="7F7A9C0F" w14:textId="644A9DB5" w:rsidR="002A673F" w:rsidRPr="002A673F" w:rsidRDefault="002A673F" w:rsidP="002A673F">
      <w:pPr>
        <w:spacing w:before="120" w:after="120" w:line="360" w:lineRule="auto"/>
        <w:ind w:left="1416" w:hanging="566"/>
        <w:rPr>
          <w:szCs w:val="24"/>
          <w:lang w:eastAsia="en-US"/>
        </w:rPr>
      </w:pPr>
      <w:r w:rsidRPr="002A673F">
        <w:rPr>
          <w:szCs w:val="24"/>
          <w:lang w:eastAsia="en-US"/>
        </w:rPr>
        <w:t>g)</w:t>
      </w:r>
      <w:r w:rsidRPr="002A673F">
        <w:rPr>
          <w:szCs w:val="24"/>
          <w:lang w:eastAsia="en-US"/>
        </w:rPr>
        <w:tab/>
        <w:t xml:space="preserve">Os </w:t>
      </w:r>
      <w:r w:rsidRPr="00E075CA">
        <w:rPr>
          <w:i/>
          <w:szCs w:val="24"/>
          <w:lang w:eastAsia="en-US"/>
        </w:rPr>
        <w:t>royalties</w:t>
      </w:r>
      <w:r w:rsidRPr="002A673F">
        <w:rPr>
          <w:szCs w:val="24"/>
          <w:lang w:eastAsia="en-US"/>
        </w:rPr>
        <w:t xml:space="preserve"> agregados globais, salvo se as partes notificantes especificarem que os </w:t>
      </w:r>
      <w:r w:rsidRPr="00E075CA">
        <w:rPr>
          <w:i/>
          <w:szCs w:val="24"/>
          <w:lang w:eastAsia="en-US"/>
        </w:rPr>
        <w:t>royalties</w:t>
      </w:r>
      <w:r w:rsidRPr="002A673F">
        <w:rPr>
          <w:szCs w:val="24"/>
          <w:lang w:eastAsia="en-US"/>
        </w:rPr>
        <w:t xml:space="preserve"> agregados não são globais;</w:t>
      </w:r>
    </w:p>
    <w:p w14:paraId="1DC1FADD" w14:textId="1D910BA9" w:rsidR="002A673F" w:rsidRPr="002A673F" w:rsidRDefault="002A673F" w:rsidP="002A673F">
      <w:pPr>
        <w:spacing w:before="120" w:after="120" w:line="360" w:lineRule="auto"/>
        <w:ind w:left="1416" w:hanging="566"/>
        <w:rPr>
          <w:szCs w:val="24"/>
          <w:lang w:eastAsia="en-US"/>
        </w:rPr>
      </w:pPr>
      <w:r w:rsidRPr="002A673F">
        <w:rPr>
          <w:szCs w:val="24"/>
          <w:lang w:eastAsia="en-US"/>
        </w:rPr>
        <w:t>h)</w:t>
      </w:r>
      <w:r w:rsidRPr="002A673F">
        <w:rPr>
          <w:szCs w:val="24"/>
          <w:lang w:eastAsia="en-US"/>
        </w:rPr>
        <w:tab/>
        <w:t xml:space="preserve">Qualquer período durante o qual os </w:t>
      </w:r>
      <w:r w:rsidRPr="00E075CA">
        <w:rPr>
          <w:i/>
          <w:szCs w:val="24"/>
          <w:lang w:eastAsia="en-US"/>
        </w:rPr>
        <w:t>royalties</w:t>
      </w:r>
      <w:r w:rsidRPr="002A673F">
        <w:rPr>
          <w:szCs w:val="24"/>
          <w:lang w:eastAsia="en-US"/>
        </w:rPr>
        <w:t xml:space="preserve"> agregados referidos no n.º 1 sejam válidos.</w:t>
      </w:r>
    </w:p>
    <w:p w14:paraId="35C1BD3D"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A notificação referida no n.º 1 deve ser efetuada o mais tardar 120 dias após:</w:t>
      </w:r>
    </w:p>
    <w:p w14:paraId="6485958A" w14:textId="6079233E"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A publicação de uma norma, pelo organismo de normalização, para as aplicações conhecidas dos titulares de PEN a que se refere o n.º 2, alínea c); ou</w:t>
      </w:r>
    </w:p>
    <w:p w14:paraId="73C6BACD" w14:textId="2249DAFD"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Os titulares de PEN terem tomarem conhecimento de uma nova aplicação da norma.</w:t>
      </w:r>
    </w:p>
    <w:p w14:paraId="29F94B5A"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O centro de competências publica na base de dados as informações fornecidas nos termos do n.º 2.</w:t>
      </w:r>
    </w:p>
    <w:p w14:paraId="1BFBA8E9" w14:textId="77777777" w:rsidR="00DB7B8D" w:rsidRDefault="00DB7B8D">
      <w:pPr>
        <w:widowControl/>
        <w:rPr>
          <w:szCs w:val="24"/>
          <w:lang w:eastAsia="en-US"/>
        </w:rPr>
      </w:pPr>
      <w:r>
        <w:rPr>
          <w:szCs w:val="24"/>
          <w:lang w:eastAsia="en-US"/>
        </w:rPr>
        <w:br w:type="page"/>
      </w:r>
    </w:p>
    <w:p w14:paraId="5BCC7F5B" w14:textId="2A445EF5"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16.º</w:t>
      </w:r>
      <w:r w:rsidRPr="002A673F">
        <w:rPr>
          <w:szCs w:val="24"/>
          <w:lang w:eastAsia="en-US"/>
        </w:rPr>
        <w:br/>
        <w:t xml:space="preserve">Revisão dos </w:t>
      </w:r>
      <w:r w:rsidRPr="00E075CA">
        <w:rPr>
          <w:i/>
          <w:szCs w:val="24"/>
          <w:lang w:eastAsia="en-US"/>
        </w:rPr>
        <w:t>royalties</w:t>
      </w:r>
      <w:r w:rsidRPr="002A673F">
        <w:rPr>
          <w:szCs w:val="24"/>
          <w:lang w:eastAsia="en-US"/>
        </w:rPr>
        <w:t xml:space="preserve"> agregados</w:t>
      </w:r>
    </w:p>
    <w:p w14:paraId="4F3EA0B9"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 xml:space="preserve">Em caso de revisão dos </w:t>
      </w:r>
      <w:r w:rsidRPr="00E075CA">
        <w:rPr>
          <w:i/>
          <w:szCs w:val="24"/>
          <w:lang w:eastAsia="en-US"/>
        </w:rPr>
        <w:t>royalties</w:t>
      </w:r>
      <w:r w:rsidRPr="002A673F">
        <w:rPr>
          <w:szCs w:val="24"/>
          <w:lang w:eastAsia="en-US"/>
        </w:rPr>
        <w:t xml:space="preserve"> agregados, os titulares de PEN devem notificar ao centro de competências os </w:t>
      </w:r>
      <w:r w:rsidRPr="00E075CA">
        <w:rPr>
          <w:i/>
          <w:szCs w:val="24"/>
          <w:lang w:eastAsia="en-US"/>
        </w:rPr>
        <w:t>royalties</w:t>
      </w:r>
      <w:r w:rsidRPr="002A673F">
        <w:rPr>
          <w:szCs w:val="24"/>
          <w:lang w:eastAsia="en-US"/>
        </w:rPr>
        <w:t xml:space="preserve"> agregados revistos e as razões dessa revisão.</w:t>
      </w:r>
    </w:p>
    <w:p w14:paraId="30A8AACE"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 xml:space="preserve">O centro de competências publica na base de dados os </w:t>
      </w:r>
      <w:r w:rsidRPr="00E075CA">
        <w:rPr>
          <w:i/>
          <w:szCs w:val="24"/>
          <w:lang w:eastAsia="en-US"/>
        </w:rPr>
        <w:t>royalties</w:t>
      </w:r>
      <w:r w:rsidRPr="002A673F">
        <w:rPr>
          <w:szCs w:val="24"/>
          <w:lang w:eastAsia="en-US"/>
        </w:rPr>
        <w:t xml:space="preserve"> agregados iniciais e os </w:t>
      </w:r>
      <w:r w:rsidRPr="00E075CA">
        <w:rPr>
          <w:i/>
          <w:szCs w:val="24"/>
          <w:lang w:eastAsia="en-US"/>
        </w:rPr>
        <w:t>royalties</w:t>
      </w:r>
      <w:r w:rsidRPr="002A673F">
        <w:rPr>
          <w:szCs w:val="24"/>
          <w:lang w:eastAsia="en-US"/>
        </w:rPr>
        <w:t xml:space="preserve"> agregados revistos, e publica no registo as razões dessa revisão.</w:t>
      </w:r>
    </w:p>
    <w:p w14:paraId="51AD7342" w14:textId="77777777" w:rsidR="002A673F" w:rsidRPr="00E075CA" w:rsidRDefault="002A673F" w:rsidP="002A673F">
      <w:pPr>
        <w:spacing w:before="120" w:after="120" w:line="360" w:lineRule="auto"/>
        <w:jc w:val="center"/>
        <w:rPr>
          <w:b/>
          <w:szCs w:val="24"/>
          <w:lang w:eastAsia="en-US"/>
        </w:rPr>
      </w:pPr>
      <w:r w:rsidRPr="002A673F">
        <w:rPr>
          <w:szCs w:val="24"/>
          <w:lang w:eastAsia="en-US"/>
        </w:rPr>
        <w:t>Artigo 17.º</w:t>
      </w:r>
      <w:r w:rsidRPr="002A673F">
        <w:rPr>
          <w:szCs w:val="24"/>
          <w:lang w:eastAsia="en-US"/>
        </w:rPr>
        <w:br/>
        <w:t xml:space="preserve">Processo para facilitar os acordos </w:t>
      </w:r>
      <w:r w:rsidRPr="002A673F">
        <w:rPr>
          <w:b/>
          <w:i/>
          <w:szCs w:val="24"/>
          <w:lang w:eastAsia="en-US"/>
        </w:rPr>
        <w:t xml:space="preserve">entre titulares de PEN </w:t>
      </w:r>
      <w:r w:rsidRPr="002A673F">
        <w:rPr>
          <w:szCs w:val="24"/>
          <w:lang w:eastAsia="en-US"/>
        </w:rPr>
        <w:t>sobre</w:t>
      </w:r>
      <w:r w:rsidRPr="002A673F">
        <w:rPr>
          <w:strike/>
          <w:szCs w:val="24"/>
          <w:lang w:eastAsia="en-US"/>
        </w:rPr>
        <w:t xml:space="preserve"> a determinação de</w:t>
      </w:r>
      <w:r w:rsidRPr="002A673F">
        <w:rPr>
          <w:szCs w:val="24"/>
          <w:lang w:eastAsia="en-US"/>
        </w:rPr>
        <w:t xml:space="preserve"> </w:t>
      </w:r>
      <w:r w:rsidRPr="00E075CA">
        <w:rPr>
          <w:i/>
          <w:szCs w:val="24"/>
          <w:lang w:eastAsia="en-US"/>
        </w:rPr>
        <w:t>royalties</w:t>
      </w:r>
      <w:r w:rsidRPr="002A673F">
        <w:rPr>
          <w:szCs w:val="24"/>
          <w:lang w:eastAsia="en-US"/>
        </w:rPr>
        <w:t xml:space="preserve"> agregados</w:t>
      </w:r>
      <w:r w:rsidRPr="002A673F">
        <w:rPr>
          <w:b/>
          <w:szCs w:val="24"/>
          <w:lang w:eastAsia="en-US"/>
        </w:rPr>
        <w:t xml:space="preserve"> [Alt. 130]</w:t>
      </w:r>
    </w:p>
    <w:p w14:paraId="062B7D54"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 xml:space="preserve">Os titulares de PEN em vigor num ou mais Estados-Membros que representem, pelo menos, 20 % de todas as PEN de uma norma podem solicitar ao centro de competências que nomeie um conciliador da lista de conciliadores para mediar as discussões com vista à apresentação conjunta de </w:t>
      </w:r>
      <w:r w:rsidRPr="00E075CA">
        <w:rPr>
          <w:i/>
          <w:szCs w:val="24"/>
          <w:lang w:eastAsia="en-US"/>
        </w:rPr>
        <w:t>royalties</w:t>
      </w:r>
      <w:r w:rsidRPr="002A673F">
        <w:rPr>
          <w:szCs w:val="24"/>
          <w:lang w:eastAsia="en-US"/>
        </w:rPr>
        <w:t xml:space="preserve"> agregados.</w:t>
      </w:r>
    </w:p>
    <w:p w14:paraId="2873A4CE" w14:textId="77777777" w:rsidR="00DB7B8D" w:rsidRDefault="00DB7B8D">
      <w:pPr>
        <w:widowControl/>
        <w:rPr>
          <w:szCs w:val="24"/>
          <w:lang w:eastAsia="en-US"/>
        </w:rPr>
      </w:pPr>
      <w:r>
        <w:rPr>
          <w:szCs w:val="24"/>
          <w:lang w:eastAsia="en-US"/>
        </w:rPr>
        <w:br w:type="page"/>
      </w:r>
    </w:p>
    <w:p w14:paraId="4D73A488" w14:textId="208BA633"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Esse pedido deve ser apresentado, o mais tardar, 90 dias após a publicação da norma ou, o mais tardar, 120 dias após a primeira venda de uma nova aplicação no mercado da União para aplicações desconhecidas aquando da publicação da norma.</w:t>
      </w:r>
    </w:p>
    <w:p w14:paraId="687BC4E7"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O pedido deve conter as seguintes informações:</w:t>
      </w:r>
    </w:p>
    <w:p w14:paraId="6F3DC767" w14:textId="0662F11C"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A designação comercial da norma;</w:t>
      </w:r>
    </w:p>
    <w:p w14:paraId="3017B36E" w14:textId="1CC86071"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A data de publicação da especificação técnica mais recente ou a data da primeira venda da nova aplicação no mercado da União;</w:t>
      </w:r>
    </w:p>
    <w:p w14:paraId="184B43ED" w14:textId="4E289B67"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As aplicações conhecidas dos titulares de PEN a que se refere o n.º 1;</w:t>
      </w:r>
    </w:p>
    <w:p w14:paraId="1A79A115" w14:textId="06DE9BC8" w:rsidR="002A673F" w:rsidRPr="002A673F" w:rsidRDefault="002A673F" w:rsidP="002A673F">
      <w:pPr>
        <w:spacing w:before="120" w:after="120" w:line="360" w:lineRule="auto"/>
        <w:ind w:left="1416" w:hanging="566"/>
        <w:rPr>
          <w:szCs w:val="24"/>
          <w:lang w:eastAsia="en-US"/>
        </w:rPr>
      </w:pPr>
      <w:r w:rsidRPr="002A673F">
        <w:rPr>
          <w:szCs w:val="24"/>
          <w:lang w:eastAsia="en-US"/>
        </w:rPr>
        <w:t>d)</w:t>
      </w:r>
      <w:r w:rsidRPr="002A673F">
        <w:rPr>
          <w:szCs w:val="24"/>
          <w:lang w:eastAsia="en-US"/>
        </w:rPr>
        <w:tab/>
        <w:t>O nome e dados de contacto dos titulares de PEN que apoiam o pedido;</w:t>
      </w:r>
    </w:p>
    <w:p w14:paraId="47256F21" w14:textId="250B0792" w:rsidR="002A673F" w:rsidRPr="00E075CA" w:rsidRDefault="002A673F" w:rsidP="002A673F">
      <w:pPr>
        <w:spacing w:before="120" w:after="120" w:line="360" w:lineRule="auto"/>
        <w:ind w:left="1416" w:hanging="566"/>
        <w:rPr>
          <w:b/>
          <w:szCs w:val="24"/>
          <w:lang w:eastAsia="en-US"/>
        </w:rPr>
      </w:pPr>
      <w:r w:rsidRPr="002A673F">
        <w:rPr>
          <w:szCs w:val="24"/>
          <w:lang w:eastAsia="en-US"/>
        </w:rPr>
        <w:t>e)</w:t>
      </w:r>
      <w:r w:rsidRPr="002A673F">
        <w:rPr>
          <w:szCs w:val="24"/>
          <w:lang w:eastAsia="en-US"/>
        </w:rPr>
        <w:tab/>
        <w:t xml:space="preserve">A percentagem estimada de PEN que os titulares de PEN detêm, individual e coletivamente, de todas as </w:t>
      </w:r>
      <w:r w:rsidRPr="002A673F">
        <w:rPr>
          <w:strike/>
          <w:szCs w:val="24"/>
          <w:lang w:eastAsia="en-US"/>
        </w:rPr>
        <w:t xml:space="preserve">potenciais </w:t>
      </w:r>
      <w:r w:rsidRPr="002A673F">
        <w:rPr>
          <w:szCs w:val="24"/>
          <w:lang w:eastAsia="en-US"/>
        </w:rPr>
        <w:t>PEN reivindicadas como essenciais à norma.</w:t>
      </w:r>
      <w:r w:rsidRPr="002A673F">
        <w:rPr>
          <w:b/>
          <w:szCs w:val="24"/>
          <w:lang w:eastAsia="en-US"/>
        </w:rPr>
        <w:t xml:space="preserve"> [Alt. 131]</w:t>
      </w:r>
    </w:p>
    <w:p w14:paraId="75890268" w14:textId="77777777" w:rsidR="00DB7B8D" w:rsidRDefault="00DB7B8D">
      <w:pPr>
        <w:widowControl/>
        <w:rPr>
          <w:szCs w:val="24"/>
          <w:lang w:eastAsia="en-US"/>
        </w:rPr>
      </w:pPr>
      <w:r>
        <w:rPr>
          <w:szCs w:val="24"/>
          <w:lang w:eastAsia="en-US"/>
        </w:rPr>
        <w:br w:type="page"/>
      </w:r>
    </w:p>
    <w:p w14:paraId="0225304A" w14:textId="7786481A"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w:t>
      </w:r>
      <w:r w:rsidRPr="002A673F">
        <w:rPr>
          <w:szCs w:val="24"/>
          <w:lang w:eastAsia="en-US"/>
        </w:rPr>
        <w:tab/>
        <w:t xml:space="preserve">O centro de competências </w:t>
      </w:r>
      <w:r w:rsidRPr="002A673F">
        <w:rPr>
          <w:strike/>
          <w:szCs w:val="24"/>
          <w:lang w:eastAsia="en-US"/>
        </w:rPr>
        <w:t xml:space="preserve">notifica </w:t>
      </w:r>
      <w:proofErr w:type="spellStart"/>
      <w:r w:rsidRPr="002A673F">
        <w:rPr>
          <w:strike/>
          <w:szCs w:val="24"/>
          <w:lang w:eastAsia="en-US"/>
        </w:rPr>
        <w:t>os</w:t>
      </w:r>
      <w:r w:rsidRPr="002A673F">
        <w:rPr>
          <w:b/>
          <w:i/>
          <w:szCs w:val="24"/>
          <w:lang w:eastAsia="en-US"/>
        </w:rPr>
        <w:t>publica</w:t>
      </w:r>
      <w:proofErr w:type="spellEnd"/>
      <w:r w:rsidRPr="002A673F">
        <w:rPr>
          <w:b/>
          <w:i/>
          <w:szCs w:val="24"/>
          <w:lang w:eastAsia="en-US"/>
        </w:rPr>
        <w:t xml:space="preserve"> o pedido e convida os outros</w:t>
      </w:r>
      <w:r w:rsidRPr="002A673F">
        <w:rPr>
          <w:szCs w:val="24"/>
          <w:lang w:eastAsia="en-US"/>
        </w:rPr>
        <w:t xml:space="preserve"> titulares de PEN a </w:t>
      </w:r>
      <w:r w:rsidRPr="002A673F">
        <w:rPr>
          <w:strike/>
          <w:szCs w:val="24"/>
          <w:lang w:eastAsia="en-US"/>
        </w:rPr>
        <w:t xml:space="preserve">que se refere o n.º 3, alínea d), e pede-lhes que </w:t>
      </w:r>
      <w:proofErr w:type="spellStart"/>
      <w:r w:rsidRPr="002A673F">
        <w:rPr>
          <w:strike/>
          <w:szCs w:val="24"/>
          <w:lang w:eastAsia="en-US"/>
        </w:rPr>
        <w:t>manifestem</w:t>
      </w:r>
      <w:r w:rsidRPr="002A673F">
        <w:rPr>
          <w:b/>
          <w:i/>
          <w:szCs w:val="24"/>
          <w:lang w:eastAsia="en-US"/>
        </w:rPr>
        <w:t>manifestarem</w:t>
      </w:r>
      <w:proofErr w:type="spellEnd"/>
      <w:r w:rsidRPr="002A673F">
        <w:rPr>
          <w:szCs w:val="24"/>
          <w:lang w:eastAsia="en-US"/>
        </w:rPr>
        <w:t xml:space="preserve"> o seu interesse em participar no processo e </w:t>
      </w:r>
      <w:proofErr w:type="spellStart"/>
      <w:r w:rsidRPr="002A673F">
        <w:rPr>
          <w:strike/>
          <w:szCs w:val="24"/>
          <w:lang w:eastAsia="en-US"/>
        </w:rPr>
        <w:t>forneçam</w:t>
      </w:r>
      <w:r w:rsidRPr="002A673F">
        <w:rPr>
          <w:b/>
          <w:i/>
          <w:szCs w:val="24"/>
          <w:lang w:eastAsia="en-US"/>
        </w:rPr>
        <w:t>fornecerem</w:t>
      </w:r>
      <w:proofErr w:type="spellEnd"/>
      <w:r w:rsidRPr="002A673F">
        <w:rPr>
          <w:szCs w:val="24"/>
          <w:lang w:eastAsia="en-US"/>
        </w:rPr>
        <w:t xml:space="preserve"> a sua percentagem estimada de PEN de todas as PEN existentes para a norma.</w:t>
      </w:r>
      <w:r w:rsidRPr="002A673F">
        <w:rPr>
          <w:b/>
          <w:szCs w:val="24"/>
          <w:lang w:eastAsia="en-US"/>
        </w:rPr>
        <w:t xml:space="preserve"> [Alt. 132]</w:t>
      </w:r>
    </w:p>
    <w:p w14:paraId="67BA3E8D"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5.</w:t>
      </w:r>
      <w:r w:rsidRPr="002A673F">
        <w:rPr>
          <w:szCs w:val="24"/>
          <w:lang w:eastAsia="en-US"/>
        </w:rPr>
        <w:tab/>
        <w:t>O centro de competências nomeia um conciliador da lista de conciliadores e informa todos os titulares de PEN que manifestaram interesse em participar no processo.</w:t>
      </w:r>
    </w:p>
    <w:p w14:paraId="6EFEA5DA"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6.</w:t>
      </w:r>
      <w:r w:rsidRPr="002A673F">
        <w:rPr>
          <w:szCs w:val="24"/>
          <w:lang w:eastAsia="en-US"/>
        </w:rPr>
        <w:tab/>
        <w:t>Os titulares de PEN que comuniquem ao conciliador informações confidenciais devem fornecer uma versão não confidencial e suficientemente pormenorizada das informações comunicadas a título confidencial para permitir compreender de forma adequada o essencial das informações comunicadas a título confidencial.</w:t>
      </w:r>
    </w:p>
    <w:p w14:paraId="3A2D8BFD"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7.</w:t>
      </w:r>
      <w:r w:rsidRPr="002A673F">
        <w:rPr>
          <w:szCs w:val="24"/>
          <w:lang w:eastAsia="en-US"/>
        </w:rPr>
        <w:tab/>
        <w:t xml:space="preserve">Se os titulares de PEN não </w:t>
      </w:r>
      <w:r w:rsidRPr="002A673F">
        <w:rPr>
          <w:strike/>
          <w:szCs w:val="24"/>
          <w:lang w:eastAsia="en-US"/>
        </w:rPr>
        <w:t xml:space="preserve">procederem a </w:t>
      </w:r>
      <w:proofErr w:type="spellStart"/>
      <w:r w:rsidRPr="002A673F">
        <w:rPr>
          <w:strike/>
          <w:szCs w:val="24"/>
          <w:lang w:eastAsia="en-US"/>
        </w:rPr>
        <w:t>uma</w:t>
      </w:r>
      <w:r w:rsidRPr="002A673F">
        <w:rPr>
          <w:b/>
          <w:i/>
          <w:szCs w:val="24"/>
          <w:lang w:eastAsia="en-US"/>
        </w:rPr>
        <w:t>chegarem</w:t>
      </w:r>
      <w:proofErr w:type="spellEnd"/>
      <w:r w:rsidRPr="002A673F">
        <w:rPr>
          <w:b/>
          <w:i/>
          <w:szCs w:val="24"/>
          <w:lang w:eastAsia="en-US"/>
        </w:rPr>
        <w:t xml:space="preserve"> a acordo relativamente à apresentação da</w:t>
      </w:r>
      <w:r w:rsidRPr="002A673F">
        <w:rPr>
          <w:szCs w:val="24"/>
          <w:lang w:eastAsia="en-US"/>
        </w:rPr>
        <w:t xml:space="preserve"> notificação conjunta</w:t>
      </w:r>
      <w:r w:rsidRPr="002A673F">
        <w:rPr>
          <w:b/>
          <w:i/>
          <w:szCs w:val="24"/>
          <w:lang w:eastAsia="en-US"/>
        </w:rPr>
        <w:t xml:space="preserve"> de </w:t>
      </w:r>
      <w:r w:rsidRPr="00E075CA">
        <w:rPr>
          <w:b/>
          <w:szCs w:val="24"/>
          <w:lang w:eastAsia="en-US"/>
        </w:rPr>
        <w:t>royalties</w:t>
      </w:r>
      <w:r w:rsidRPr="002A673F">
        <w:rPr>
          <w:b/>
          <w:i/>
          <w:szCs w:val="24"/>
          <w:lang w:eastAsia="en-US"/>
        </w:rPr>
        <w:t xml:space="preserve"> agregados</w:t>
      </w:r>
      <w:r w:rsidRPr="002A673F">
        <w:rPr>
          <w:szCs w:val="24"/>
          <w:lang w:eastAsia="en-US"/>
        </w:rPr>
        <w:t xml:space="preserve"> no prazo de seis meses a contar da nomeação do conciliador, o conciliador deve pôr termo ao processo.</w:t>
      </w:r>
      <w:r w:rsidRPr="002A673F">
        <w:rPr>
          <w:b/>
          <w:szCs w:val="24"/>
          <w:lang w:eastAsia="en-US"/>
        </w:rPr>
        <w:t xml:space="preserve"> [Alt. 133]</w:t>
      </w:r>
    </w:p>
    <w:p w14:paraId="0060430E" w14:textId="332E438E" w:rsidR="002A673F" w:rsidRPr="00E075CA" w:rsidRDefault="002A673F" w:rsidP="002A673F">
      <w:pPr>
        <w:spacing w:before="120" w:after="120" w:line="360" w:lineRule="auto"/>
        <w:ind w:left="850" w:hanging="850"/>
        <w:rPr>
          <w:b/>
          <w:szCs w:val="24"/>
          <w:lang w:eastAsia="en-US"/>
        </w:rPr>
      </w:pPr>
      <w:r w:rsidRPr="002A673F">
        <w:rPr>
          <w:szCs w:val="24"/>
          <w:lang w:eastAsia="en-US"/>
        </w:rPr>
        <w:t>8.</w:t>
      </w:r>
      <w:r w:rsidRPr="002A673F">
        <w:rPr>
          <w:szCs w:val="24"/>
          <w:lang w:eastAsia="en-US"/>
        </w:rPr>
        <w:tab/>
        <w:t xml:space="preserve">Se os </w:t>
      </w:r>
      <w:proofErr w:type="spellStart"/>
      <w:r w:rsidRPr="002A673F">
        <w:rPr>
          <w:strike/>
          <w:szCs w:val="24"/>
          <w:lang w:eastAsia="en-US"/>
        </w:rPr>
        <w:t>participantes</w:t>
      </w:r>
      <w:r w:rsidRPr="002A673F">
        <w:rPr>
          <w:b/>
          <w:i/>
          <w:szCs w:val="24"/>
          <w:lang w:eastAsia="en-US"/>
        </w:rPr>
        <w:t>titulares</w:t>
      </w:r>
      <w:proofErr w:type="spellEnd"/>
      <w:r w:rsidRPr="002A673F">
        <w:rPr>
          <w:b/>
          <w:i/>
          <w:szCs w:val="24"/>
          <w:lang w:eastAsia="en-US"/>
        </w:rPr>
        <w:t xml:space="preserve"> de PEN</w:t>
      </w:r>
      <w:r w:rsidRPr="002A673F">
        <w:rPr>
          <w:szCs w:val="24"/>
          <w:lang w:eastAsia="en-US"/>
        </w:rPr>
        <w:t xml:space="preserve"> chegarem a acordo sobre uma notificação conjunta, aplica-se o procedimento previsto no artigo 15.º, </w:t>
      </w:r>
      <w:r w:rsidRPr="00E075CA">
        <w:rPr>
          <w:szCs w:val="24"/>
          <w:lang w:eastAsia="en-US"/>
        </w:rPr>
        <w:t>n.ºs</w:t>
      </w:r>
      <w:r w:rsidRPr="002A673F">
        <w:rPr>
          <w:szCs w:val="24"/>
          <w:lang w:eastAsia="en-US"/>
        </w:rPr>
        <w:t xml:space="preserve"> 1, 2 e 4.</w:t>
      </w:r>
      <w:r w:rsidRPr="002A673F">
        <w:rPr>
          <w:b/>
          <w:szCs w:val="24"/>
          <w:lang w:eastAsia="en-US"/>
        </w:rPr>
        <w:t xml:space="preserve"> [Alt. 134]</w:t>
      </w:r>
    </w:p>
    <w:p w14:paraId="1D1EA68F" w14:textId="77777777" w:rsidR="00DB7B8D" w:rsidRDefault="00DB7B8D">
      <w:pPr>
        <w:widowControl/>
        <w:rPr>
          <w:szCs w:val="24"/>
          <w:lang w:eastAsia="en-US"/>
        </w:rPr>
      </w:pPr>
      <w:r>
        <w:rPr>
          <w:szCs w:val="24"/>
          <w:lang w:eastAsia="en-US"/>
        </w:rPr>
        <w:br w:type="page"/>
      </w:r>
    </w:p>
    <w:p w14:paraId="07F910E9" w14:textId="242E3E74"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18.º</w:t>
      </w:r>
      <w:r w:rsidRPr="002A673F">
        <w:rPr>
          <w:szCs w:val="24"/>
          <w:lang w:eastAsia="en-US"/>
        </w:rPr>
        <w:br/>
        <w:t xml:space="preserve">Parecer de peritos não vinculativo sobre </w:t>
      </w:r>
      <w:r w:rsidRPr="00E075CA">
        <w:rPr>
          <w:i/>
          <w:szCs w:val="24"/>
          <w:lang w:eastAsia="en-US"/>
        </w:rPr>
        <w:t>royalties</w:t>
      </w:r>
      <w:r w:rsidRPr="002A673F">
        <w:rPr>
          <w:szCs w:val="24"/>
          <w:lang w:eastAsia="en-US"/>
        </w:rPr>
        <w:t xml:space="preserve"> agregados</w:t>
      </w:r>
    </w:p>
    <w:p w14:paraId="790A5D2F" w14:textId="6F8DB4AD"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O titular ou o utilizador de uma PEN pode solicitar ao centro de competências um parecer de peritos não vinculativo sobre um caso de </w:t>
      </w:r>
      <w:r w:rsidRPr="00E075CA">
        <w:rPr>
          <w:i/>
          <w:szCs w:val="24"/>
          <w:lang w:eastAsia="en-US"/>
        </w:rPr>
        <w:t>royalties</w:t>
      </w:r>
      <w:r w:rsidRPr="002A673F">
        <w:rPr>
          <w:szCs w:val="24"/>
          <w:lang w:eastAsia="en-US"/>
        </w:rPr>
        <w:t xml:space="preserve"> agregados</w:t>
      </w:r>
      <w:r w:rsidRPr="002A673F">
        <w:rPr>
          <w:b/>
          <w:i/>
          <w:szCs w:val="24"/>
          <w:lang w:eastAsia="en-US"/>
        </w:rPr>
        <w:t>. O utilizador deve poder apresentar este pedido mesmo que os titulares de PEN já tenham chegado a acordo, nomeadamente através do pr</w:t>
      </w:r>
      <w:r w:rsidR="00937E3A">
        <w:rPr>
          <w:b/>
          <w:i/>
          <w:szCs w:val="24"/>
          <w:lang w:eastAsia="en-US"/>
        </w:rPr>
        <w:t>ocedimento descrito nos artigos </w:t>
      </w:r>
      <w:r w:rsidRPr="002A673F">
        <w:rPr>
          <w:b/>
          <w:i/>
          <w:szCs w:val="24"/>
          <w:lang w:eastAsia="en-US"/>
        </w:rPr>
        <w:t>15.º a 17.º</w:t>
      </w:r>
      <w:r w:rsidRPr="002A673F">
        <w:rPr>
          <w:strike/>
          <w:szCs w:val="24"/>
          <w:lang w:eastAsia="en-US"/>
        </w:rPr>
        <w:t xml:space="preserve"> globais</w:t>
      </w:r>
      <w:r w:rsidRPr="002A673F">
        <w:rPr>
          <w:szCs w:val="24"/>
          <w:lang w:eastAsia="en-US"/>
        </w:rPr>
        <w:t>.</w:t>
      </w:r>
      <w:r w:rsidRPr="002A673F">
        <w:rPr>
          <w:b/>
          <w:szCs w:val="24"/>
          <w:lang w:eastAsia="en-US"/>
        </w:rPr>
        <w:t xml:space="preserve"> [Alt. 135]</w:t>
      </w:r>
    </w:p>
    <w:p w14:paraId="1DA5D88A"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O pedido referido no n.º 1 deve ser apresentado o mais tardar 150 dias após:</w:t>
      </w:r>
    </w:p>
    <w:p w14:paraId="7E70F63A" w14:textId="10E27E6C"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A publicação da norma pertinente para aplicações conhecidas; ou</w:t>
      </w:r>
    </w:p>
    <w:p w14:paraId="4EA315F1" w14:textId="5C18B4EC"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A primeira venda de novas aplicações no mercado da União.</w:t>
      </w:r>
    </w:p>
    <w:p w14:paraId="618D9697"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O pedido deve incluir:</w:t>
      </w:r>
    </w:p>
    <w:p w14:paraId="0FD7091B" w14:textId="3AE1AAB6"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A designação comercial da norma;</w:t>
      </w:r>
    </w:p>
    <w:p w14:paraId="47851A03" w14:textId="7E5ECDF2"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A lista das especificações técnicas pertinentes que definem a norma;</w:t>
      </w:r>
    </w:p>
    <w:p w14:paraId="5843D0B0" w14:textId="160FC835"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A lista de produtos, processos, serviços, sistemas ou aplicações relevantes;</w:t>
      </w:r>
    </w:p>
    <w:p w14:paraId="3CA9C37C" w14:textId="76806681" w:rsidR="002A673F" w:rsidRPr="002A673F" w:rsidRDefault="002A673F" w:rsidP="002A673F">
      <w:pPr>
        <w:spacing w:before="120" w:after="120" w:line="360" w:lineRule="auto"/>
        <w:ind w:left="1416" w:hanging="566"/>
        <w:rPr>
          <w:szCs w:val="24"/>
          <w:lang w:eastAsia="en-US"/>
        </w:rPr>
      </w:pPr>
      <w:r w:rsidRPr="002A673F">
        <w:rPr>
          <w:szCs w:val="24"/>
          <w:lang w:eastAsia="en-US"/>
        </w:rPr>
        <w:t>d)</w:t>
      </w:r>
      <w:r w:rsidRPr="002A673F">
        <w:rPr>
          <w:szCs w:val="24"/>
          <w:lang w:eastAsia="en-US"/>
        </w:rPr>
        <w:tab/>
        <w:t>A lista das partes interessadas conhecidas e os respetivos dados de contacto.</w:t>
      </w:r>
    </w:p>
    <w:p w14:paraId="3C0C1990" w14:textId="77777777" w:rsidR="00937E3A" w:rsidRDefault="00937E3A">
      <w:pPr>
        <w:widowControl/>
        <w:rPr>
          <w:szCs w:val="24"/>
          <w:lang w:eastAsia="en-US"/>
        </w:rPr>
      </w:pPr>
      <w:r>
        <w:rPr>
          <w:szCs w:val="24"/>
          <w:lang w:eastAsia="en-US"/>
        </w:rPr>
        <w:br w:type="page"/>
      </w:r>
    </w:p>
    <w:p w14:paraId="57BD33D4" w14:textId="2A5939D3"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w:t>
      </w:r>
      <w:r w:rsidRPr="002A673F">
        <w:rPr>
          <w:szCs w:val="24"/>
          <w:lang w:eastAsia="en-US"/>
        </w:rPr>
        <w:tab/>
        <w:t xml:space="preserve">O centro de competências notifica o pedido ao organismo de normalização pertinente e a todas as partes interessadas </w:t>
      </w:r>
      <w:proofErr w:type="spellStart"/>
      <w:r w:rsidRPr="002A673F">
        <w:rPr>
          <w:strike/>
          <w:szCs w:val="24"/>
          <w:lang w:eastAsia="en-US"/>
        </w:rPr>
        <w:t>conhecidas</w:t>
      </w:r>
      <w:r w:rsidRPr="002A673F">
        <w:rPr>
          <w:b/>
          <w:i/>
          <w:szCs w:val="24"/>
          <w:lang w:eastAsia="en-US"/>
        </w:rPr>
        <w:t>pertinentes</w:t>
      </w:r>
      <w:proofErr w:type="spellEnd"/>
      <w:r w:rsidRPr="002A673F">
        <w:rPr>
          <w:szCs w:val="24"/>
          <w:lang w:eastAsia="en-US"/>
        </w:rPr>
        <w:t>. Publica o pedido no sítio Web do EUIPO e convida as partes interessadas a manifestarem interesse em participar no processo no prazo de 30 dias a contar da data de publicação do pedido.</w:t>
      </w:r>
      <w:r w:rsidRPr="002A673F">
        <w:rPr>
          <w:b/>
          <w:szCs w:val="24"/>
          <w:lang w:eastAsia="en-US"/>
        </w:rPr>
        <w:t xml:space="preserve"> [Alt. 136]</w:t>
      </w:r>
    </w:p>
    <w:p w14:paraId="107A264F"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5.</w:t>
      </w:r>
      <w:r w:rsidRPr="002A673F">
        <w:rPr>
          <w:szCs w:val="24"/>
          <w:lang w:eastAsia="en-US"/>
        </w:rPr>
        <w:tab/>
        <w:t xml:space="preserve">Qualquer parte interessada pode pedir para participar no processo após ter explicado a base do seu interesse. Os titulares de PEN devem fornecer a sua percentagem estimada dessas PEN em relação a todas as PEN existentes para uma norma. Os utilizadores </w:t>
      </w:r>
      <w:r w:rsidRPr="002A673F">
        <w:rPr>
          <w:b/>
          <w:i/>
          <w:szCs w:val="24"/>
          <w:lang w:eastAsia="en-US"/>
        </w:rPr>
        <w:t xml:space="preserve">e outras partes interessadas </w:t>
      </w:r>
      <w:r w:rsidRPr="002A673F">
        <w:rPr>
          <w:szCs w:val="24"/>
          <w:lang w:eastAsia="en-US"/>
        </w:rPr>
        <w:t xml:space="preserve">devem fornecer informações sobre eventuais aplicações relevantes da norma, </w:t>
      </w:r>
      <w:r w:rsidRPr="002A673F">
        <w:rPr>
          <w:b/>
          <w:i/>
          <w:szCs w:val="24"/>
          <w:lang w:eastAsia="en-US"/>
        </w:rPr>
        <w:t xml:space="preserve">existentes ou potenciais, </w:t>
      </w:r>
      <w:r w:rsidRPr="002A673F">
        <w:rPr>
          <w:szCs w:val="24"/>
          <w:lang w:eastAsia="en-US"/>
        </w:rPr>
        <w:t>nomeadamente qualquer quota de mercado relevante na União.</w:t>
      </w:r>
      <w:r w:rsidRPr="002A673F">
        <w:rPr>
          <w:b/>
          <w:szCs w:val="24"/>
          <w:lang w:eastAsia="en-US"/>
        </w:rPr>
        <w:t xml:space="preserve"> [Alt. 137]</w:t>
      </w:r>
    </w:p>
    <w:p w14:paraId="391C5375"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6.</w:t>
      </w:r>
      <w:r w:rsidRPr="002A673F">
        <w:rPr>
          <w:szCs w:val="24"/>
          <w:lang w:eastAsia="en-US"/>
        </w:rPr>
        <w:tab/>
        <w:t xml:space="preserve">Se os pedidos de participação incluírem titulares de PEN que coletivamente representem, pelo menos, 20 % de todas as PEN para a norma, </w:t>
      </w:r>
      <w:proofErr w:type="spellStart"/>
      <w:r w:rsidRPr="002A673F">
        <w:rPr>
          <w:strike/>
          <w:szCs w:val="24"/>
          <w:lang w:eastAsia="en-US"/>
        </w:rPr>
        <w:t>e</w:t>
      </w:r>
      <w:r w:rsidRPr="002A673F">
        <w:rPr>
          <w:b/>
          <w:i/>
          <w:szCs w:val="24"/>
          <w:lang w:eastAsia="en-US"/>
        </w:rPr>
        <w:t>ou</w:t>
      </w:r>
      <w:proofErr w:type="spellEnd"/>
      <w:r w:rsidRPr="002A673F">
        <w:rPr>
          <w:szCs w:val="24"/>
          <w:lang w:eastAsia="en-US"/>
        </w:rPr>
        <w:t xml:space="preserve"> utilizadores que coletivamente detenham, pelo menos, 10 % da quota de mercado relevante na União ou, pelo menos, dez PME</w:t>
      </w:r>
      <w:r w:rsidRPr="002A673F">
        <w:rPr>
          <w:b/>
          <w:i/>
          <w:szCs w:val="24"/>
          <w:lang w:eastAsia="en-US"/>
        </w:rPr>
        <w:t xml:space="preserve"> ou empresas em fase de arranque</w:t>
      </w:r>
      <w:r w:rsidRPr="002A673F">
        <w:rPr>
          <w:szCs w:val="24"/>
          <w:lang w:eastAsia="en-US"/>
        </w:rPr>
        <w:t xml:space="preserve">, o centro de competências deve nomear um painel de três conciliadores selecionados a partir da lista de conciliadores </w:t>
      </w:r>
      <w:r w:rsidRPr="002A673F">
        <w:rPr>
          <w:strike/>
          <w:szCs w:val="24"/>
          <w:lang w:eastAsia="en-US"/>
        </w:rPr>
        <w:t xml:space="preserve">com </w:t>
      </w:r>
      <w:proofErr w:type="spellStart"/>
      <w:r w:rsidRPr="002A673F">
        <w:rPr>
          <w:strike/>
          <w:szCs w:val="24"/>
          <w:lang w:eastAsia="en-US"/>
        </w:rPr>
        <w:t>a</w:t>
      </w:r>
      <w:r w:rsidRPr="002A673F">
        <w:rPr>
          <w:b/>
          <w:i/>
          <w:szCs w:val="24"/>
          <w:lang w:eastAsia="en-US"/>
        </w:rPr>
        <w:t>que</w:t>
      </w:r>
      <w:proofErr w:type="spellEnd"/>
      <w:r w:rsidRPr="002A673F">
        <w:rPr>
          <w:b/>
          <w:i/>
          <w:szCs w:val="24"/>
          <w:lang w:eastAsia="en-US"/>
        </w:rPr>
        <w:t xml:space="preserve"> possuam</w:t>
      </w:r>
      <w:r w:rsidRPr="002A673F">
        <w:rPr>
          <w:szCs w:val="24"/>
          <w:lang w:eastAsia="en-US"/>
        </w:rPr>
        <w:t xml:space="preserve"> experiência adequada no domínio tecnológico relevante.</w:t>
      </w:r>
      <w:r w:rsidRPr="002A673F">
        <w:rPr>
          <w:b/>
          <w:szCs w:val="24"/>
          <w:lang w:eastAsia="en-US"/>
        </w:rPr>
        <w:t xml:space="preserve"> [Alt. 138]</w:t>
      </w:r>
    </w:p>
    <w:p w14:paraId="4AD243E3" w14:textId="77777777" w:rsidR="00937E3A" w:rsidRDefault="00937E3A">
      <w:pPr>
        <w:widowControl/>
        <w:rPr>
          <w:szCs w:val="24"/>
          <w:lang w:eastAsia="en-US"/>
        </w:rPr>
      </w:pPr>
      <w:r>
        <w:rPr>
          <w:szCs w:val="24"/>
          <w:lang w:eastAsia="en-US"/>
        </w:rPr>
        <w:br w:type="page"/>
      </w:r>
    </w:p>
    <w:p w14:paraId="0EBA702C" w14:textId="373D6ED9"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7.</w:t>
      </w:r>
      <w:r w:rsidRPr="002A673F">
        <w:rPr>
          <w:szCs w:val="24"/>
          <w:lang w:eastAsia="en-US"/>
        </w:rPr>
        <w:tab/>
        <w:t>As partes interessadas que comuniquem informações confidenciais ao painel devem fornecer uma versão não confidencial e suficientemente pormenorizada das informações comunicadas a título confidencial para permitir compreender de forma adequada o essencial das informações comunicadas a título confidencial.</w:t>
      </w:r>
    </w:p>
    <w:p w14:paraId="216DF219"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8.</w:t>
      </w:r>
      <w:r w:rsidRPr="002A673F">
        <w:rPr>
          <w:szCs w:val="24"/>
          <w:lang w:eastAsia="en-US"/>
        </w:rPr>
        <w:tab/>
      </w:r>
      <w:r w:rsidRPr="002A673F">
        <w:rPr>
          <w:b/>
          <w:i/>
          <w:szCs w:val="24"/>
          <w:lang w:eastAsia="en-US"/>
        </w:rPr>
        <w:t xml:space="preserve">No prazo de um més </w:t>
      </w:r>
      <w:r w:rsidRPr="002A673F">
        <w:rPr>
          <w:szCs w:val="24"/>
          <w:lang w:eastAsia="en-US"/>
        </w:rPr>
        <w:t>após a nomeação, o painel solicita aos titulares de PEN participantes que</w:t>
      </w:r>
      <w:r w:rsidRPr="002A673F">
        <w:rPr>
          <w:strike/>
          <w:szCs w:val="24"/>
          <w:lang w:eastAsia="en-US"/>
        </w:rPr>
        <w:t>, no prazo de um mês</w:t>
      </w:r>
      <w:r w:rsidRPr="002A673F">
        <w:rPr>
          <w:szCs w:val="24"/>
          <w:lang w:eastAsia="en-US"/>
        </w:rPr>
        <w:t>:</w:t>
      </w:r>
      <w:r w:rsidRPr="002A673F">
        <w:rPr>
          <w:b/>
          <w:szCs w:val="24"/>
          <w:lang w:eastAsia="en-US"/>
        </w:rPr>
        <w:t xml:space="preserve"> [Alt. 139]</w:t>
      </w:r>
    </w:p>
    <w:p w14:paraId="11ED5FB5" w14:textId="7B7F75E0"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 xml:space="preserve">Proponham </w:t>
      </w:r>
      <w:r w:rsidRPr="00E075CA">
        <w:rPr>
          <w:i/>
          <w:szCs w:val="24"/>
          <w:lang w:eastAsia="en-US"/>
        </w:rPr>
        <w:t>royalties</w:t>
      </w:r>
      <w:r w:rsidRPr="002A673F">
        <w:rPr>
          <w:szCs w:val="24"/>
          <w:lang w:eastAsia="en-US"/>
        </w:rPr>
        <w:t xml:space="preserve"> agregados, incluindo as </w:t>
      </w:r>
      <w:r w:rsidR="009B7063">
        <w:rPr>
          <w:szCs w:val="24"/>
          <w:lang w:eastAsia="en-US"/>
        </w:rPr>
        <w:t>informações referidas no artigo </w:t>
      </w:r>
      <w:r w:rsidRPr="002A673F">
        <w:rPr>
          <w:szCs w:val="24"/>
          <w:lang w:eastAsia="en-US"/>
        </w:rPr>
        <w:t>15.º, n.º 2; ou</w:t>
      </w:r>
    </w:p>
    <w:p w14:paraId="5A7D6630" w14:textId="3F806B15" w:rsidR="002A673F" w:rsidRPr="00E075CA" w:rsidRDefault="002A673F" w:rsidP="002A673F">
      <w:pPr>
        <w:spacing w:before="120" w:after="120" w:line="360" w:lineRule="auto"/>
        <w:ind w:left="1416" w:hanging="566"/>
        <w:rPr>
          <w:b/>
          <w:szCs w:val="24"/>
          <w:lang w:eastAsia="en-US"/>
        </w:rPr>
      </w:pPr>
      <w:r w:rsidRPr="002A673F">
        <w:rPr>
          <w:szCs w:val="24"/>
          <w:lang w:eastAsia="en-US"/>
        </w:rPr>
        <w:t>b)</w:t>
      </w:r>
      <w:r w:rsidRPr="002A673F">
        <w:rPr>
          <w:szCs w:val="24"/>
          <w:lang w:eastAsia="en-US"/>
        </w:rPr>
        <w:tab/>
        <w:t xml:space="preserve">Apresentem uma justificação sobre a impossibilidade de propor </w:t>
      </w:r>
      <w:r w:rsidRPr="00E075CA">
        <w:rPr>
          <w:i/>
          <w:szCs w:val="24"/>
          <w:lang w:eastAsia="en-US"/>
        </w:rPr>
        <w:t>royalties</w:t>
      </w:r>
      <w:r w:rsidRPr="002A673F">
        <w:rPr>
          <w:szCs w:val="24"/>
          <w:lang w:eastAsia="en-US"/>
        </w:rPr>
        <w:t xml:space="preserve"> agregados devido a considerações de ordem tecnológica, económica ou outra</w:t>
      </w:r>
      <w:r w:rsidRPr="002A673F">
        <w:rPr>
          <w:strike/>
          <w:szCs w:val="24"/>
          <w:lang w:eastAsia="en-US"/>
        </w:rPr>
        <w:t>.</w:t>
      </w:r>
      <w:r w:rsidRPr="002A673F">
        <w:rPr>
          <w:b/>
          <w:i/>
          <w:szCs w:val="24"/>
          <w:lang w:eastAsia="en-US"/>
        </w:rPr>
        <w:t xml:space="preserve">; e </w:t>
      </w:r>
      <w:r w:rsidRPr="002A673F">
        <w:rPr>
          <w:b/>
          <w:szCs w:val="24"/>
          <w:lang w:eastAsia="en-US"/>
        </w:rPr>
        <w:t>[Alt. 140]</w:t>
      </w:r>
    </w:p>
    <w:p w14:paraId="17C62B90" w14:textId="3C98DA59" w:rsidR="002A673F" w:rsidRPr="00E075CA" w:rsidRDefault="002A673F" w:rsidP="002A673F">
      <w:pPr>
        <w:spacing w:before="120" w:after="120" w:line="360" w:lineRule="auto"/>
        <w:ind w:left="1416" w:hanging="566"/>
        <w:rPr>
          <w:b/>
          <w:szCs w:val="24"/>
          <w:lang w:eastAsia="en-US"/>
        </w:rPr>
      </w:pPr>
      <w:proofErr w:type="spellStart"/>
      <w:r w:rsidRPr="002A673F">
        <w:rPr>
          <w:b/>
          <w:i/>
          <w:szCs w:val="24"/>
          <w:lang w:eastAsia="en-US"/>
        </w:rPr>
        <w:t>b-A</w:t>
      </w:r>
      <w:proofErr w:type="spellEnd"/>
      <w:r w:rsidRPr="002A673F">
        <w:rPr>
          <w:b/>
          <w:i/>
          <w:szCs w:val="24"/>
          <w:lang w:eastAsia="en-US"/>
        </w:rPr>
        <w:t>)</w:t>
      </w:r>
      <w:r w:rsidRPr="002A673F">
        <w:rPr>
          <w:szCs w:val="24"/>
          <w:lang w:eastAsia="en-US"/>
        </w:rPr>
        <w:tab/>
      </w:r>
      <w:r w:rsidRPr="002A673F">
        <w:rPr>
          <w:b/>
          <w:i/>
          <w:szCs w:val="24"/>
          <w:lang w:eastAsia="en-US"/>
        </w:rPr>
        <w:t xml:space="preserve">Forneçam dados comprovativos ou observações que ajudem o painel a tomar uma decisão sobre os </w:t>
      </w:r>
      <w:r w:rsidRPr="00E075CA">
        <w:rPr>
          <w:b/>
          <w:szCs w:val="24"/>
          <w:lang w:eastAsia="en-US"/>
        </w:rPr>
        <w:t>royalties</w:t>
      </w:r>
      <w:r w:rsidRPr="002A673F">
        <w:rPr>
          <w:b/>
          <w:i/>
          <w:szCs w:val="24"/>
          <w:lang w:eastAsia="en-US"/>
        </w:rPr>
        <w:t xml:space="preserve"> agregados.</w:t>
      </w:r>
      <w:r w:rsidRPr="002A673F">
        <w:rPr>
          <w:b/>
          <w:szCs w:val="24"/>
          <w:lang w:eastAsia="en-US"/>
        </w:rPr>
        <w:t xml:space="preserve"> [Alt. 141]</w:t>
      </w:r>
    </w:p>
    <w:p w14:paraId="2881EAE9" w14:textId="4EFD5A61" w:rsidR="002A673F" w:rsidRPr="00E075CA" w:rsidRDefault="002A673F" w:rsidP="002A673F">
      <w:pPr>
        <w:spacing w:before="120" w:after="120" w:line="360" w:lineRule="auto"/>
        <w:ind w:left="850" w:hanging="850"/>
        <w:rPr>
          <w:b/>
          <w:szCs w:val="24"/>
          <w:lang w:eastAsia="en-US"/>
        </w:rPr>
      </w:pPr>
      <w:r w:rsidRPr="002A673F">
        <w:rPr>
          <w:b/>
          <w:i/>
          <w:szCs w:val="24"/>
          <w:lang w:eastAsia="en-US"/>
        </w:rPr>
        <w:t>8-A.</w:t>
      </w:r>
      <w:r w:rsidRPr="002A673F">
        <w:rPr>
          <w:szCs w:val="24"/>
          <w:lang w:eastAsia="en-US"/>
        </w:rPr>
        <w:tab/>
      </w:r>
      <w:r w:rsidRPr="002A673F">
        <w:rPr>
          <w:b/>
          <w:i/>
          <w:szCs w:val="24"/>
          <w:lang w:eastAsia="en-US"/>
        </w:rPr>
        <w:t>O painel deve permitir que os participantes apresentem respostas às observações previstas no n.º 8 e reações a essas respostas.</w:t>
      </w:r>
      <w:r w:rsidRPr="002A673F">
        <w:rPr>
          <w:b/>
          <w:szCs w:val="24"/>
          <w:lang w:eastAsia="en-US"/>
        </w:rPr>
        <w:t xml:space="preserve"> [Alt. 142]</w:t>
      </w:r>
    </w:p>
    <w:p w14:paraId="68335C69" w14:textId="77777777" w:rsidR="00937E3A" w:rsidRDefault="00937E3A">
      <w:pPr>
        <w:widowControl/>
        <w:rPr>
          <w:szCs w:val="24"/>
          <w:lang w:eastAsia="en-US"/>
        </w:rPr>
      </w:pPr>
      <w:r>
        <w:rPr>
          <w:szCs w:val="24"/>
          <w:lang w:eastAsia="en-US"/>
        </w:rPr>
        <w:br w:type="page"/>
      </w:r>
    </w:p>
    <w:p w14:paraId="1B1DBDF2" w14:textId="7F83391F"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9.</w:t>
      </w:r>
      <w:r w:rsidRPr="002A673F">
        <w:rPr>
          <w:szCs w:val="24"/>
          <w:lang w:eastAsia="en-US"/>
        </w:rPr>
        <w:tab/>
        <w:t xml:space="preserve">O painel deve ter devidamente em conta as observações </w:t>
      </w:r>
      <w:r w:rsidRPr="002A673F">
        <w:rPr>
          <w:b/>
          <w:i/>
          <w:szCs w:val="24"/>
          <w:lang w:eastAsia="en-US"/>
        </w:rPr>
        <w:t xml:space="preserve">e respostas </w:t>
      </w:r>
      <w:r w:rsidRPr="002A673F">
        <w:rPr>
          <w:szCs w:val="24"/>
          <w:lang w:eastAsia="en-US"/>
        </w:rPr>
        <w:t xml:space="preserve">previstas </w:t>
      </w:r>
      <w:r w:rsidRPr="002A673F">
        <w:rPr>
          <w:strike/>
          <w:szCs w:val="24"/>
          <w:lang w:eastAsia="en-US"/>
        </w:rPr>
        <w:t>no n.º 8</w:t>
      </w:r>
      <w:r w:rsidRPr="002A673F">
        <w:rPr>
          <w:b/>
          <w:i/>
          <w:szCs w:val="24"/>
          <w:lang w:eastAsia="en-US"/>
        </w:rPr>
        <w:t>nos n.ºs 8 e 8-A</w:t>
      </w:r>
      <w:r w:rsidRPr="002A673F">
        <w:rPr>
          <w:szCs w:val="24"/>
          <w:lang w:eastAsia="en-US"/>
        </w:rPr>
        <w:t xml:space="preserve"> e decidir:</w:t>
      </w:r>
      <w:r w:rsidRPr="002A673F">
        <w:rPr>
          <w:b/>
          <w:szCs w:val="24"/>
          <w:lang w:eastAsia="en-US"/>
        </w:rPr>
        <w:t xml:space="preserve"> [Alt. 143]</w:t>
      </w:r>
    </w:p>
    <w:p w14:paraId="5F0CA376" w14:textId="6881111B" w:rsidR="002A673F" w:rsidRPr="00E075CA" w:rsidRDefault="002A673F" w:rsidP="002A673F">
      <w:pPr>
        <w:spacing w:before="120" w:after="120" w:line="360" w:lineRule="auto"/>
        <w:ind w:left="1416" w:hanging="566"/>
        <w:rPr>
          <w:b/>
          <w:szCs w:val="24"/>
          <w:lang w:eastAsia="en-US"/>
        </w:rPr>
      </w:pPr>
      <w:r w:rsidRPr="002A673F">
        <w:rPr>
          <w:szCs w:val="24"/>
          <w:lang w:eastAsia="en-US"/>
        </w:rPr>
        <w:t>a)</w:t>
      </w:r>
      <w:r w:rsidRPr="002A673F">
        <w:rPr>
          <w:szCs w:val="24"/>
          <w:lang w:eastAsia="en-US"/>
        </w:rPr>
        <w:tab/>
      </w:r>
      <w:r w:rsidRPr="002A673F">
        <w:rPr>
          <w:strike/>
          <w:szCs w:val="24"/>
          <w:lang w:eastAsia="en-US"/>
        </w:rPr>
        <w:t xml:space="preserve">Suspender </w:t>
      </w:r>
      <w:proofErr w:type="spellStart"/>
      <w:r w:rsidRPr="002A673F">
        <w:rPr>
          <w:strike/>
          <w:szCs w:val="24"/>
          <w:lang w:eastAsia="en-US"/>
        </w:rPr>
        <w:t>o</w:t>
      </w:r>
      <w:r w:rsidRPr="002A673F">
        <w:rPr>
          <w:b/>
          <w:i/>
          <w:szCs w:val="24"/>
          <w:lang w:eastAsia="en-US"/>
        </w:rPr>
        <w:t>Autorizar</w:t>
      </w:r>
      <w:proofErr w:type="spellEnd"/>
      <w:r w:rsidRPr="002A673F">
        <w:rPr>
          <w:b/>
          <w:i/>
          <w:szCs w:val="24"/>
          <w:lang w:eastAsia="en-US"/>
        </w:rPr>
        <w:t xml:space="preserve"> uma suspensão do</w:t>
      </w:r>
      <w:r w:rsidRPr="002A673F">
        <w:rPr>
          <w:szCs w:val="24"/>
          <w:lang w:eastAsia="en-US"/>
        </w:rPr>
        <w:t xml:space="preserve"> procedimento de peritagem sobre </w:t>
      </w:r>
      <w:r w:rsidRPr="00E075CA">
        <w:rPr>
          <w:i/>
          <w:szCs w:val="24"/>
          <w:lang w:eastAsia="en-US"/>
        </w:rPr>
        <w:t>royalties</w:t>
      </w:r>
      <w:r w:rsidRPr="002A673F">
        <w:rPr>
          <w:szCs w:val="24"/>
          <w:lang w:eastAsia="en-US"/>
        </w:rPr>
        <w:t xml:space="preserve"> agregados por um período inicial não superior a seis meses, que pode ser prorrogado </w:t>
      </w:r>
      <w:r w:rsidRPr="002A673F">
        <w:rPr>
          <w:b/>
          <w:i/>
          <w:szCs w:val="24"/>
          <w:lang w:eastAsia="en-US"/>
        </w:rPr>
        <w:t xml:space="preserve">por um período adicional de três meses </w:t>
      </w:r>
      <w:r w:rsidRPr="002A673F">
        <w:rPr>
          <w:szCs w:val="24"/>
          <w:lang w:eastAsia="en-US"/>
        </w:rPr>
        <w:t>com base num pedido devidamente justificado de um dos titulares de PEN participantes, ou</w:t>
      </w:r>
      <w:r w:rsidRPr="002A673F">
        <w:rPr>
          <w:b/>
          <w:szCs w:val="24"/>
          <w:lang w:eastAsia="en-US"/>
        </w:rPr>
        <w:t xml:space="preserve"> [Alt. 144]</w:t>
      </w:r>
    </w:p>
    <w:p w14:paraId="02E7C8B4" w14:textId="3A7A18CB"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Fornecer o parecer de peritos.</w:t>
      </w:r>
    </w:p>
    <w:p w14:paraId="110B44E9"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10.</w:t>
      </w:r>
      <w:r w:rsidRPr="002A673F">
        <w:rPr>
          <w:szCs w:val="24"/>
          <w:lang w:eastAsia="en-US"/>
        </w:rPr>
        <w:tab/>
        <w:t xml:space="preserve">O painel deve apresentar o parecer de peritos no prazo de oito meses a contar do termo do período de suspensão nos termos do n.º </w:t>
      </w:r>
      <w:r w:rsidRPr="002A673F">
        <w:rPr>
          <w:strike/>
          <w:szCs w:val="24"/>
          <w:lang w:eastAsia="en-US"/>
        </w:rPr>
        <w:t>8</w:t>
      </w:r>
      <w:r w:rsidRPr="002A673F">
        <w:rPr>
          <w:b/>
          <w:i/>
          <w:szCs w:val="24"/>
          <w:lang w:eastAsia="en-US"/>
        </w:rPr>
        <w:t>9</w:t>
      </w:r>
      <w:r w:rsidRPr="002A673F">
        <w:rPr>
          <w:szCs w:val="24"/>
          <w:lang w:eastAsia="en-US"/>
        </w:rPr>
        <w:t xml:space="preserve">, alínea a), ou da decisão a que se refere o n.º </w:t>
      </w:r>
      <w:r w:rsidRPr="002A673F">
        <w:rPr>
          <w:strike/>
          <w:szCs w:val="24"/>
          <w:lang w:eastAsia="en-US"/>
        </w:rPr>
        <w:t>8</w:t>
      </w:r>
      <w:r w:rsidRPr="002A673F">
        <w:rPr>
          <w:b/>
          <w:i/>
          <w:szCs w:val="24"/>
          <w:lang w:eastAsia="en-US"/>
        </w:rPr>
        <w:t>9</w:t>
      </w:r>
      <w:r w:rsidRPr="002A673F">
        <w:rPr>
          <w:szCs w:val="24"/>
          <w:lang w:eastAsia="en-US"/>
        </w:rPr>
        <w:t>, alínea b). O parecer deve ser apoiado por, pelo menos, dois dos três conciliadores.</w:t>
      </w:r>
      <w:r w:rsidRPr="002A673F">
        <w:rPr>
          <w:b/>
          <w:szCs w:val="24"/>
          <w:lang w:eastAsia="en-US"/>
        </w:rPr>
        <w:t xml:space="preserve"> [Alt. 145]</w:t>
      </w:r>
    </w:p>
    <w:p w14:paraId="785F55DE"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11.</w:t>
      </w:r>
      <w:r w:rsidRPr="002A673F">
        <w:rPr>
          <w:szCs w:val="24"/>
          <w:lang w:eastAsia="en-US"/>
        </w:rPr>
        <w:tab/>
        <w:t xml:space="preserve">O parecer de peritos deve incluir um resumo das informações fornecidas no pedido, as informações referidas no artigo 15.º, n.º 2, os nomes dos conciliadores, o procedimento, </w:t>
      </w:r>
      <w:r w:rsidRPr="002A673F">
        <w:rPr>
          <w:b/>
          <w:i/>
          <w:szCs w:val="24"/>
          <w:lang w:eastAsia="en-US"/>
        </w:rPr>
        <w:t xml:space="preserve">a taxa de </w:t>
      </w:r>
      <w:r w:rsidRPr="00E075CA">
        <w:rPr>
          <w:b/>
          <w:szCs w:val="24"/>
          <w:lang w:eastAsia="en-US"/>
        </w:rPr>
        <w:t>royalties</w:t>
      </w:r>
      <w:r w:rsidRPr="002A673F">
        <w:rPr>
          <w:b/>
          <w:i/>
          <w:szCs w:val="24"/>
          <w:lang w:eastAsia="en-US"/>
        </w:rPr>
        <w:t xml:space="preserve"> agregados recomendada, </w:t>
      </w:r>
      <w:r w:rsidRPr="002A673F">
        <w:rPr>
          <w:szCs w:val="24"/>
          <w:lang w:eastAsia="en-US"/>
        </w:rPr>
        <w:t xml:space="preserve">as razões do parecer sobre os </w:t>
      </w:r>
      <w:r w:rsidRPr="00E075CA">
        <w:rPr>
          <w:i/>
          <w:szCs w:val="24"/>
          <w:lang w:eastAsia="en-US"/>
        </w:rPr>
        <w:t>royalties</w:t>
      </w:r>
      <w:r w:rsidRPr="002A673F">
        <w:rPr>
          <w:szCs w:val="24"/>
          <w:lang w:eastAsia="en-US"/>
        </w:rPr>
        <w:t xml:space="preserve"> agregados e a metodologia subjacente. </w:t>
      </w:r>
      <w:r w:rsidRPr="002A673F">
        <w:rPr>
          <w:strike/>
          <w:szCs w:val="24"/>
          <w:lang w:eastAsia="en-US"/>
        </w:rPr>
        <w:t xml:space="preserve">As razões para </w:t>
      </w:r>
      <w:r w:rsidRPr="002A673F">
        <w:rPr>
          <w:szCs w:val="24"/>
          <w:lang w:eastAsia="en-US"/>
        </w:rPr>
        <w:t>Eventuais divergências de opinião</w:t>
      </w:r>
      <w:r w:rsidRPr="002A673F">
        <w:rPr>
          <w:b/>
          <w:i/>
          <w:szCs w:val="24"/>
          <w:lang w:eastAsia="en-US"/>
        </w:rPr>
        <w:t xml:space="preserve"> e as razões subjacentes</w:t>
      </w:r>
      <w:r w:rsidRPr="002A673F">
        <w:rPr>
          <w:szCs w:val="24"/>
          <w:lang w:eastAsia="en-US"/>
        </w:rPr>
        <w:t xml:space="preserve"> devem ser especificadas num anexo ao parecer de peritos.</w:t>
      </w:r>
      <w:r w:rsidRPr="002A673F">
        <w:rPr>
          <w:b/>
          <w:szCs w:val="24"/>
          <w:lang w:eastAsia="en-US"/>
        </w:rPr>
        <w:t xml:space="preserve"> [Alt. 146]</w:t>
      </w:r>
    </w:p>
    <w:p w14:paraId="14E31057" w14:textId="77777777" w:rsidR="00937E3A" w:rsidRDefault="00937E3A">
      <w:pPr>
        <w:widowControl/>
        <w:rPr>
          <w:szCs w:val="24"/>
          <w:lang w:eastAsia="en-US"/>
        </w:rPr>
      </w:pPr>
      <w:r>
        <w:rPr>
          <w:szCs w:val="24"/>
          <w:lang w:eastAsia="en-US"/>
        </w:rPr>
        <w:br w:type="page"/>
      </w:r>
    </w:p>
    <w:p w14:paraId="7C6E1178" w14:textId="156D159E"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12.</w:t>
      </w:r>
      <w:r w:rsidRPr="002A673F">
        <w:rPr>
          <w:szCs w:val="24"/>
          <w:lang w:eastAsia="en-US"/>
        </w:rPr>
        <w:tab/>
        <w:t xml:space="preserve">O parecer de peritos deve incluir uma análise da cadeia de valor em causa e do potencial impacto dos </w:t>
      </w:r>
      <w:r w:rsidRPr="00E075CA">
        <w:rPr>
          <w:i/>
          <w:szCs w:val="24"/>
          <w:lang w:eastAsia="en-US"/>
        </w:rPr>
        <w:t>royalties</w:t>
      </w:r>
      <w:r w:rsidRPr="002A673F">
        <w:rPr>
          <w:szCs w:val="24"/>
          <w:lang w:eastAsia="en-US"/>
        </w:rPr>
        <w:t xml:space="preserve"> agregados nos incentivos à inovação tanto dos titulares de PEN como das partes interessadas na cadeia de valor em que a concessão de licenças terá lugar.</w:t>
      </w:r>
    </w:p>
    <w:p w14:paraId="25A1111F"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13.</w:t>
      </w:r>
      <w:r w:rsidRPr="002A673F">
        <w:rPr>
          <w:szCs w:val="24"/>
          <w:lang w:eastAsia="en-US"/>
        </w:rPr>
        <w:tab/>
        <w:t>O centro de competências publica o parecer de peritos e notifica os participantes dessa publicação.</w:t>
      </w:r>
    </w:p>
    <w:p w14:paraId="2F1A94B9" w14:textId="77777777" w:rsidR="002A673F" w:rsidRPr="002A673F" w:rsidRDefault="002A673F" w:rsidP="002A673F">
      <w:pPr>
        <w:spacing w:before="120" w:after="120" w:line="360" w:lineRule="auto"/>
        <w:jc w:val="center"/>
        <w:rPr>
          <w:szCs w:val="24"/>
          <w:lang w:eastAsia="en-US"/>
        </w:rPr>
      </w:pPr>
      <w:r w:rsidRPr="002A673F">
        <w:rPr>
          <w:szCs w:val="24"/>
          <w:lang w:eastAsia="en-US"/>
        </w:rPr>
        <w:t xml:space="preserve">CAPÍTULO 3 </w:t>
      </w:r>
      <w:r w:rsidRPr="002A673F">
        <w:rPr>
          <w:szCs w:val="24"/>
          <w:lang w:eastAsia="en-US"/>
        </w:rPr>
        <w:br/>
        <w:t>Registo de PEN</w:t>
      </w:r>
    </w:p>
    <w:p w14:paraId="29C85B78"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19.º</w:t>
      </w:r>
      <w:r w:rsidRPr="002A673F">
        <w:rPr>
          <w:szCs w:val="24"/>
          <w:lang w:eastAsia="en-US"/>
        </w:rPr>
        <w:br/>
        <w:t>Administração do registo das patentes essenciais a normas</w:t>
      </w:r>
    </w:p>
    <w:p w14:paraId="0669D168"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O centro de competências cria uma inscrição no registo de uma norma</w:t>
      </w:r>
      <w:r w:rsidRPr="002A673F">
        <w:rPr>
          <w:b/>
          <w:i/>
          <w:szCs w:val="24"/>
          <w:lang w:eastAsia="en-US"/>
        </w:rPr>
        <w:t>, ou de parte de uma norma,</w:t>
      </w:r>
      <w:r w:rsidRPr="002A673F">
        <w:rPr>
          <w:szCs w:val="24"/>
          <w:lang w:eastAsia="en-US"/>
        </w:rPr>
        <w:t xml:space="preserve"> para a qual tenham sido assumidos compromissos FRAND no prazo de 60 dias a contar da primeira das seguintes ocorrências:</w:t>
      </w:r>
      <w:r w:rsidRPr="002A673F">
        <w:rPr>
          <w:b/>
          <w:szCs w:val="24"/>
          <w:lang w:eastAsia="en-US"/>
        </w:rPr>
        <w:t xml:space="preserve"> [Alt. 147]</w:t>
      </w:r>
    </w:p>
    <w:p w14:paraId="249328D9" w14:textId="7915F15E"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Publicação, pelo centro de competências, da norma e das informações conexas, nos termos do artigo 14.º, n.º 7;</w:t>
      </w:r>
    </w:p>
    <w:p w14:paraId="3C92CACC" w14:textId="59D9AA3E"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 xml:space="preserve">Publicação, pelo centro de competências, de </w:t>
      </w:r>
      <w:r w:rsidRPr="00E075CA">
        <w:rPr>
          <w:i/>
          <w:szCs w:val="24"/>
          <w:lang w:eastAsia="en-US"/>
        </w:rPr>
        <w:t>royalties</w:t>
      </w:r>
      <w:r w:rsidRPr="002A673F">
        <w:rPr>
          <w:szCs w:val="24"/>
          <w:lang w:eastAsia="en-US"/>
        </w:rPr>
        <w:t xml:space="preserve"> agregados e informações conexas, nos termos do artigo 15.º, n.º 4, e do artigo 18.º, n.º 11.</w:t>
      </w:r>
    </w:p>
    <w:p w14:paraId="3DA93AA6" w14:textId="77777777" w:rsidR="00937E3A" w:rsidRDefault="00937E3A">
      <w:pPr>
        <w:widowControl/>
        <w:rPr>
          <w:szCs w:val="24"/>
          <w:lang w:eastAsia="en-US"/>
        </w:rPr>
      </w:pPr>
      <w:r>
        <w:rPr>
          <w:szCs w:val="24"/>
          <w:lang w:eastAsia="en-US"/>
        </w:rPr>
        <w:br w:type="page"/>
      </w:r>
    </w:p>
    <w:p w14:paraId="667AD643" w14:textId="65F68716"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O centro de competências publica um aviso no sítio Web do EUIPO a informar as partes interessadas de que foi feita uma inscrição no registo e remete para as publicações referidas no n.º 1. O centro de competências notifica individualmente, por via eletrónica, os titulares de PEN conhecidos e o organismo de normalização pertinente do aviso previsto no presente número.</w:t>
      </w:r>
    </w:p>
    <w:p w14:paraId="117AC699"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20.º</w:t>
      </w:r>
      <w:r w:rsidRPr="002A673F">
        <w:rPr>
          <w:szCs w:val="24"/>
          <w:lang w:eastAsia="en-US"/>
        </w:rPr>
        <w:br/>
        <w:t>Registo de patentes essenciais a normas</w:t>
      </w:r>
    </w:p>
    <w:p w14:paraId="2E219188"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A pedido do titular de uma PEN, o centro de competências regista qualquer patente em vigor num ou mais Estados-Membros e que seja abrangida pelo âmbito de aplicação do presente regulamento que seja essencial para uma norma relativamente à qual o centro de competências tenha publicado um aviso nos termos do artigo 19.º, n.º 2.</w:t>
      </w:r>
    </w:p>
    <w:p w14:paraId="58D8DFDA"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Para que uma PEN seja incluída no registo, pelo menos uma reivindicação de patente deve corresponder a, pelo menos, um requisito ou uma recomendação da norma, sendo esta identificada pelo nome, a versão (e/ou publicação) e a subcláusula.</w:t>
      </w:r>
    </w:p>
    <w:p w14:paraId="2EAC54CA" w14:textId="77777777" w:rsidR="00937E3A" w:rsidRDefault="00937E3A">
      <w:pPr>
        <w:widowControl/>
        <w:rPr>
          <w:szCs w:val="24"/>
          <w:lang w:eastAsia="en-US"/>
        </w:rPr>
      </w:pPr>
      <w:r>
        <w:rPr>
          <w:szCs w:val="24"/>
          <w:lang w:eastAsia="en-US"/>
        </w:rPr>
        <w:br w:type="page"/>
      </w:r>
    </w:p>
    <w:p w14:paraId="1310990C" w14:textId="203BBC1C"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3.</w:t>
      </w:r>
      <w:r w:rsidRPr="002A673F">
        <w:rPr>
          <w:szCs w:val="24"/>
          <w:lang w:eastAsia="en-US"/>
        </w:rPr>
        <w:tab/>
        <w:t>O pedido de registo deve ser apresentado no prazo de seis meses a contar da publicação do aviso nos termos do artigo 19.º, n.º 2. Se a PEN só for concedida por um instituto nacional ou europeu de patentes após a publicação do aviso nos termos do artigo 19.º, n.º 2, o pedido de registo deve ser apresentado no prazo de seis meses a contar da data de concessão da PEN pelo instituto de patentes competente.</w:t>
      </w:r>
    </w:p>
    <w:p w14:paraId="7ECC1595" w14:textId="04F4D2F2"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O pedido deve incluir as informações previstas no artigo 4</w:t>
      </w:r>
      <w:r w:rsidR="00937E3A">
        <w:rPr>
          <w:szCs w:val="24"/>
          <w:lang w:eastAsia="en-US"/>
        </w:rPr>
        <w:t>.º, n.º 3, e no artigo 5.º, n.º </w:t>
      </w:r>
      <w:r w:rsidRPr="002A673F">
        <w:rPr>
          <w:szCs w:val="24"/>
          <w:lang w:eastAsia="en-US"/>
        </w:rPr>
        <w:t xml:space="preserve">2, alíneas a), b), d) e </w:t>
      </w:r>
      <w:proofErr w:type="spellStart"/>
      <w:r w:rsidRPr="002A673F">
        <w:rPr>
          <w:szCs w:val="24"/>
          <w:lang w:eastAsia="en-US"/>
        </w:rPr>
        <w:t>e</w:t>
      </w:r>
      <w:proofErr w:type="spellEnd"/>
      <w:r w:rsidRPr="002A673F">
        <w:rPr>
          <w:szCs w:val="24"/>
          <w:lang w:eastAsia="en-US"/>
        </w:rPr>
        <w:t>).</w:t>
      </w:r>
    </w:p>
    <w:p w14:paraId="7664E61E"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5.</w:t>
      </w:r>
      <w:r w:rsidRPr="002A673F">
        <w:rPr>
          <w:szCs w:val="24"/>
          <w:lang w:eastAsia="en-US"/>
        </w:rPr>
        <w:tab/>
        <w:t>O titular da PEN deve atualizar as informações constantes do registo</w:t>
      </w:r>
      <w:r w:rsidRPr="002A673F">
        <w:rPr>
          <w:b/>
          <w:i/>
          <w:szCs w:val="24"/>
          <w:lang w:eastAsia="en-US"/>
        </w:rPr>
        <w:t>, à exceção das informações prestadas nos termos do artigo 4.º, n.º 3, alínea c),</w:t>
      </w:r>
      <w:r w:rsidRPr="002A673F">
        <w:rPr>
          <w:szCs w:val="24"/>
          <w:lang w:eastAsia="en-US"/>
        </w:rPr>
        <w:t xml:space="preserve"> e da base de dados de modo a refletir as alterações relevantes em relação à sua PEN registada, por meio de notificação ao centro de competências, no prazo de seis meses a contar da ocorrência da alteração.</w:t>
      </w:r>
      <w:r w:rsidRPr="002A673F">
        <w:rPr>
          <w:b/>
          <w:szCs w:val="24"/>
          <w:lang w:eastAsia="en-US"/>
        </w:rPr>
        <w:t xml:space="preserve"> [Alt. 148]</w:t>
      </w:r>
    </w:p>
    <w:p w14:paraId="17DD09CF"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6.</w:t>
      </w:r>
      <w:r w:rsidRPr="002A673F">
        <w:rPr>
          <w:szCs w:val="24"/>
          <w:lang w:eastAsia="en-US"/>
        </w:rPr>
        <w:tab/>
        <w:t xml:space="preserve">O pedido de registo só será aceite após o pagamento da taxa de registo pelo titular da PEN. A Comissão determina a taxa de registo no ato de execução adotado com base no artigo 63.º, n.º 5. A taxa de registo deve incluir, no caso das médias e grandes empresas, os custos </w:t>
      </w:r>
      <w:r w:rsidRPr="002A673F">
        <w:rPr>
          <w:strike/>
          <w:szCs w:val="24"/>
          <w:lang w:eastAsia="en-US"/>
        </w:rPr>
        <w:t xml:space="preserve">e taxas </w:t>
      </w:r>
      <w:r w:rsidRPr="002A673F">
        <w:rPr>
          <w:szCs w:val="24"/>
          <w:lang w:eastAsia="en-US"/>
        </w:rPr>
        <w:t>previstos</w:t>
      </w:r>
      <w:r w:rsidRPr="002A673F">
        <w:rPr>
          <w:strike/>
          <w:szCs w:val="24"/>
          <w:lang w:eastAsia="en-US"/>
        </w:rPr>
        <w:t xml:space="preserve"> para a verificação do caráter essencial das PEN selecionadas</w:t>
      </w:r>
      <w:r w:rsidRPr="002A673F">
        <w:rPr>
          <w:szCs w:val="24"/>
          <w:lang w:eastAsia="en-US"/>
        </w:rPr>
        <w:t xml:space="preserve"> nos termos do artigo 29.º, n.º 1.</w:t>
      </w:r>
      <w:r w:rsidRPr="002A673F">
        <w:rPr>
          <w:b/>
          <w:szCs w:val="24"/>
          <w:lang w:eastAsia="en-US"/>
        </w:rPr>
        <w:t xml:space="preserve"> [Alt. 149]</w:t>
      </w:r>
    </w:p>
    <w:p w14:paraId="0F6B46AE" w14:textId="77777777" w:rsidR="00937E3A" w:rsidRDefault="00937E3A">
      <w:pPr>
        <w:widowControl/>
        <w:rPr>
          <w:szCs w:val="24"/>
          <w:lang w:eastAsia="en-US"/>
        </w:rPr>
      </w:pPr>
      <w:r>
        <w:rPr>
          <w:szCs w:val="24"/>
          <w:lang w:eastAsia="en-US"/>
        </w:rPr>
        <w:br w:type="page"/>
      </w:r>
    </w:p>
    <w:p w14:paraId="15CDF5E3" w14:textId="3F4D315B"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21.º</w:t>
      </w:r>
      <w:r w:rsidRPr="002A673F">
        <w:rPr>
          <w:szCs w:val="24"/>
          <w:lang w:eastAsia="en-US"/>
        </w:rPr>
        <w:br/>
        <w:t>Data de registo</w:t>
      </w:r>
    </w:p>
    <w:p w14:paraId="195EB4F9"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 xml:space="preserve">A data de registo é a data em que o centro de competências recebeu um pedido de registo nos termos do artigo 20.º, </w:t>
      </w:r>
      <w:proofErr w:type="spellStart"/>
      <w:r w:rsidRPr="002A673F">
        <w:rPr>
          <w:szCs w:val="24"/>
          <w:lang w:eastAsia="en-US"/>
        </w:rPr>
        <w:t>n.</w:t>
      </w:r>
      <w:r w:rsidRPr="002A673F">
        <w:rPr>
          <w:szCs w:val="24"/>
          <w:vertAlign w:val="superscript"/>
          <w:lang w:eastAsia="en-US"/>
        </w:rPr>
        <w:t>os</w:t>
      </w:r>
      <w:proofErr w:type="spellEnd"/>
      <w:r w:rsidRPr="002A673F">
        <w:rPr>
          <w:szCs w:val="24"/>
          <w:lang w:eastAsia="en-US"/>
        </w:rPr>
        <w:t xml:space="preserve"> 2, 4 e 5.</w:t>
      </w:r>
    </w:p>
    <w:p w14:paraId="61516E13"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O centro de competências publica as PEN registadas no registo no prazo de sete dias úteis a contar da data de registo.</w:t>
      </w:r>
    </w:p>
    <w:p w14:paraId="0BF8C2E5"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22.º</w:t>
      </w:r>
      <w:r w:rsidRPr="002A673F">
        <w:rPr>
          <w:szCs w:val="24"/>
          <w:lang w:eastAsia="en-US"/>
        </w:rPr>
        <w:br/>
        <w:t>Exame das condições de registo</w:t>
      </w:r>
    </w:p>
    <w:p w14:paraId="6159858F"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r>
      <w:r w:rsidRPr="002A673F">
        <w:rPr>
          <w:b/>
          <w:i/>
          <w:szCs w:val="24"/>
          <w:lang w:eastAsia="en-US"/>
        </w:rPr>
        <w:t xml:space="preserve">O EUIPO analisa </w:t>
      </w:r>
      <w:r w:rsidRPr="002A673F">
        <w:rPr>
          <w:szCs w:val="24"/>
          <w:lang w:eastAsia="en-US"/>
        </w:rPr>
        <w:t>todos os anos</w:t>
      </w:r>
      <w:r w:rsidRPr="002A673F">
        <w:rPr>
          <w:strike/>
          <w:szCs w:val="24"/>
          <w:lang w:eastAsia="en-US"/>
        </w:rPr>
        <w:t>, são verificadas a exaustividade e a exatidão de</w:t>
      </w:r>
      <w:r w:rsidRPr="002A673F">
        <w:rPr>
          <w:szCs w:val="24"/>
          <w:lang w:eastAsia="en-US"/>
        </w:rPr>
        <w:t xml:space="preserve"> uma amostra de registos de PEN</w:t>
      </w:r>
      <w:r w:rsidRPr="002A673F">
        <w:rPr>
          <w:b/>
          <w:i/>
          <w:szCs w:val="24"/>
          <w:lang w:eastAsia="en-US"/>
        </w:rPr>
        <w:t xml:space="preserve"> para verificar a sua exaustividade e exatidão</w:t>
      </w:r>
      <w:r w:rsidRPr="002A673F">
        <w:rPr>
          <w:szCs w:val="24"/>
          <w:lang w:eastAsia="en-US"/>
        </w:rPr>
        <w:t>.</w:t>
      </w:r>
      <w:r w:rsidRPr="002A673F">
        <w:rPr>
          <w:b/>
          <w:szCs w:val="24"/>
          <w:lang w:eastAsia="en-US"/>
        </w:rPr>
        <w:t xml:space="preserve"> [Alt. 150]</w:t>
      </w:r>
    </w:p>
    <w:p w14:paraId="4265ABE5"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O EUIPO adota uma metodologia para selecionar uma amostra de registos de PEN para efeitos de controlo.</w:t>
      </w:r>
    </w:p>
    <w:p w14:paraId="51804E13"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 xml:space="preserve">Se o registo não incluir as informações previstas nos artigos 4.º e 5.º ou se contiver informações incompletas ou inexatas, o centro de competências deve solicitar ao titular da PEN que forneça as informações completas e exatas num prazo fixado não inferior a </w:t>
      </w:r>
      <w:proofErr w:type="spellStart"/>
      <w:r w:rsidRPr="002A673F">
        <w:rPr>
          <w:strike/>
          <w:szCs w:val="24"/>
          <w:lang w:eastAsia="en-US"/>
        </w:rPr>
        <w:t>dois</w:t>
      </w:r>
      <w:r w:rsidRPr="002A673F">
        <w:rPr>
          <w:b/>
          <w:i/>
          <w:szCs w:val="24"/>
          <w:lang w:eastAsia="en-US"/>
        </w:rPr>
        <w:t>três</w:t>
      </w:r>
      <w:proofErr w:type="spellEnd"/>
      <w:r w:rsidRPr="002A673F">
        <w:rPr>
          <w:szCs w:val="24"/>
          <w:lang w:eastAsia="en-US"/>
        </w:rPr>
        <w:t xml:space="preserve"> meses.</w:t>
      </w:r>
      <w:r w:rsidRPr="002A673F">
        <w:rPr>
          <w:b/>
          <w:szCs w:val="24"/>
          <w:lang w:eastAsia="en-US"/>
        </w:rPr>
        <w:t xml:space="preserve"> [Alt. 151]</w:t>
      </w:r>
    </w:p>
    <w:p w14:paraId="41669729" w14:textId="77777777" w:rsidR="00937E3A" w:rsidRDefault="00937E3A">
      <w:pPr>
        <w:widowControl/>
        <w:rPr>
          <w:szCs w:val="24"/>
          <w:lang w:eastAsia="en-US"/>
        </w:rPr>
      </w:pPr>
      <w:r>
        <w:rPr>
          <w:szCs w:val="24"/>
          <w:lang w:eastAsia="en-US"/>
        </w:rPr>
        <w:br w:type="page"/>
      </w:r>
    </w:p>
    <w:p w14:paraId="42401F98" w14:textId="218333CA"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w:t>
      </w:r>
      <w:r w:rsidRPr="002A673F">
        <w:rPr>
          <w:szCs w:val="24"/>
          <w:lang w:eastAsia="en-US"/>
        </w:rPr>
        <w:tab/>
        <w:t xml:space="preserve">Se o titular da PEN não fornecer as informações corretas e completas, </w:t>
      </w:r>
      <w:r w:rsidRPr="002A673F">
        <w:rPr>
          <w:b/>
          <w:i/>
          <w:szCs w:val="24"/>
          <w:lang w:eastAsia="en-US"/>
        </w:rPr>
        <w:t xml:space="preserve">o centro de competências notifica o titular da PEN de que não forneceu essas informações e de que, decorrido um período de carência de um mês durante o qual o titular da PEN pode ainda fornecer as informações necessárias, a </w:t>
      </w:r>
      <w:proofErr w:type="spellStart"/>
      <w:r w:rsidRPr="002A673F">
        <w:rPr>
          <w:b/>
          <w:i/>
          <w:szCs w:val="24"/>
          <w:lang w:eastAsia="en-US"/>
        </w:rPr>
        <w:t>sua</w:t>
      </w:r>
      <w:r w:rsidRPr="002A673F">
        <w:rPr>
          <w:strike/>
          <w:szCs w:val="24"/>
          <w:lang w:eastAsia="en-US"/>
        </w:rPr>
        <w:t>a</w:t>
      </w:r>
      <w:proofErr w:type="spellEnd"/>
      <w:r w:rsidRPr="002A673F">
        <w:rPr>
          <w:szCs w:val="24"/>
          <w:lang w:eastAsia="en-US"/>
        </w:rPr>
        <w:t xml:space="preserve"> inscrição </w:t>
      </w:r>
      <w:proofErr w:type="spellStart"/>
      <w:r w:rsidRPr="002A673F">
        <w:rPr>
          <w:strike/>
          <w:szCs w:val="24"/>
          <w:lang w:eastAsia="en-US"/>
        </w:rPr>
        <w:t>é</w:t>
      </w:r>
      <w:r w:rsidRPr="002A673F">
        <w:rPr>
          <w:b/>
          <w:i/>
          <w:szCs w:val="24"/>
          <w:lang w:eastAsia="en-US"/>
        </w:rPr>
        <w:t>será</w:t>
      </w:r>
      <w:proofErr w:type="spellEnd"/>
      <w:r w:rsidRPr="002A673F">
        <w:rPr>
          <w:szCs w:val="24"/>
          <w:lang w:eastAsia="en-US"/>
        </w:rPr>
        <w:t xml:space="preserve"> suspensa do registo até que essa incompletude ou inexatidão seja sanada.</w:t>
      </w:r>
      <w:r w:rsidRPr="002A673F">
        <w:rPr>
          <w:b/>
          <w:szCs w:val="24"/>
          <w:lang w:eastAsia="en-US"/>
        </w:rPr>
        <w:t xml:space="preserve"> [Alt. 152]</w:t>
      </w:r>
    </w:p>
    <w:p w14:paraId="3108EB41"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5.</w:t>
      </w:r>
      <w:r w:rsidRPr="002A673F">
        <w:rPr>
          <w:szCs w:val="24"/>
          <w:lang w:eastAsia="en-US"/>
        </w:rPr>
        <w:tab/>
        <w:t>Um titular de PEN cuja PEN tenha sido suspensa do registo nos termos do n.º 4 e que considere que a conclusão do centro de competências é incorreta pode solicitar às Câmaras de Recurso do EUIPO a tomada de uma decisão sobre a questão. O pedido deve ser apresentado no prazo de dois meses a contar da suspensão. No prazo de dois meses a contar da data do pedido, as Câmaras de Recurso do EUIPO rejeitam o pedido ou solicitam ao centro de competências que corrija a sua conclusão e informe a pessoa requerente.</w:t>
      </w:r>
    </w:p>
    <w:p w14:paraId="3E35D8B5"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6.</w:t>
      </w:r>
      <w:r w:rsidRPr="002A673F">
        <w:rPr>
          <w:szCs w:val="24"/>
          <w:lang w:eastAsia="en-US"/>
        </w:rPr>
        <w:tab/>
        <w:t>Qualquer completação ou retificação de informação sobre uma PEN nos termos do presente artigo é gratuita.</w:t>
      </w:r>
    </w:p>
    <w:p w14:paraId="0463009C" w14:textId="77777777" w:rsidR="00937E3A" w:rsidRDefault="00937E3A">
      <w:pPr>
        <w:widowControl/>
        <w:rPr>
          <w:szCs w:val="24"/>
          <w:lang w:eastAsia="en-US"/>
        </w:rPr>
      </w:pPr>
      <w:r>
        <w:rPr>
          <w:szCs w:val="24"/>
          <w:lang w:eastAsia="en-US"/>
        </w:rPr>
        <w:br w:type="page"/>
      </w:r>
    </w:p>
    <w:p w14:paraId="32C76528" w14:textId="17C1E460"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23.º</w:t>
      </w:r>
      <w:r w:rsidRPr="002A673F">
        <w:rPr>
          <w:szCs w:val="24"/>
          <w:lang w:eastAsia="en-US"/>
        </w:rPr>
        <w:br/>
        <w:t>Correção de uma inscrição no registo ou de informações na base de dados</w:t>
      </w:r>
    </w:p>
    <w:p w14:paraId="26807B5C"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O titular de uma PEN pode solicitar a correção da sua inscrição de PEN ou das informações contidas na base de dados mediante a apresentação de um pedido adequado junto do centro de competências, exceto nos casos previstos no n.º 2.</w:t>
      </w:r>
    </w:p>
    <w:p w14:paraId="2A094B5F"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Qualquer terceiro pode solicitar junto do centro de competências a correção de uma inscrição de PEN ou de informações contidas na base de dados. O pedido deve conter as seguintes informações:</w:t>
      </w:r>
    </w:p>
    <w:p w14:paraId="419D31E9" w14:textId="0E64F98C"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O nome e os dados de contacto da pessoa que apresenta o pedido;</w:t>
      </w:r>
    </w:p>
    <w:p w14:paraId="46908C8A" w14:textId="52C62E59"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O número de registo da PEN registada;</w:t>
      </w:r>
    </w:p>
    <w:p w14:paraId="326C5C41" w14:textId="17ECF8E8"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Os motivos pelos quais o pedido está a ser apresentado;</w:t>
      </w:r>
    </w:p>
    <w:p w14:paraId="021C0674" w14:textId="79159752" w:rsidR="002A673F" w:rsidRPr="002A673F" w:rsidRDefault="002A673F" w:rsidP="002A673F">
      <w:pPr>
        <w:spacing w:before="120" w:after="120" w:line="360" w:lineRule="auto"/>
        <w:ind w:left="1416" w:hanging="566"/>
        <w:rPr>
          <w:szCs w:val="24"/>
          <w:lang w:eastAsia="en-US"/>
        </w:rPr>
      </w:pPr>
      <w:r w:rsidRPr="002A673F">
        <w:rPr>
          <w:szCs w:val="24"/>
          <w:lang w:eastAsia="en-US"/>
        </w:rPr>
        <w:t>d)</w:t>
      </w:r>
      <w:r w:rsidRPr="002A673F">
        <w:rPr>
          <w:szCs w:val="24"/>
          <w:lang w:eastAsia="en-US"/>
        </w:rPr>
        <w:tab/>
        <w:t>Elementos de prova de uma fonte independente em apoio do pedido.</w:t>
      </w:r>
    </w:p>
    <w:p w14:paraId="083045A5" w14:textId="66E92B94"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 xml:space="preserve">O centro de competências notifica o pedido </w:t>
      </w:r>
      <w:r w:rsidRPr="002A673F">
        <w:rPr>
          <w:b/>
          <w:i/>
          <w:szCs w:val="24"/>
          <w:lang w:eastAsia="en-US"/>
        </w:rPr>
        <w:t>aprese</w:t>
      </w:r>
      <w:r w:rsidR="00937E3A">
        <w:rPr>
          <w:b/>
          <w:i/>
          <w:szCs w:val="24"/>
          <w:lang w:eastAsia="en-US"/>
        </w:rPr>
        <w:t>ntado em conformidade com o n.º </w:t>
      </w:r>
      <w:r w:rsidRPr="002A673F">
        <w:rPr>
          <w:b/>
          <w:i/>
          <w:szCs w:val="24"/>
          <w:lang w:eastAsia="en-US"/>
        </w:rPr>
        <w:t xml:space="preserve">2 </w:t>
      </w:r>
      <w:r w:rsidRPr="002A673F">
        <w:rPr>
          <w:szCs w:val="24"/>
          <w:lang w:eastAsia="en-US"/>
        </w:rPr>
        <w:t xml:space="preserve">ao titular da PEN e convida-o a </w:t>
      </w:r>
      <w:r w:rsidRPr="002A673F">
        <w:rPr>
          <w:strike/>
          <w:szCs w:val="24"/>
          <w:lang w:eastAsia="en-US"/>
        </w:rPr>
        <w:t xml:space="preserve">corrigir </w:t>
      </w:r>
      <w:proofErr w:type="spellStart"/>
      <w:r w:rsidRPr="002A673F">
        <w:rPr>
          <w:strike/>
          <w:szCs w:val="24"/>
          <w:lang w:eastAsia="en-US"/>
        </w:rPr>
        <w:t>a</w:t>
      </w:r>
      <w:r w:rsidRPr="002A673F">
        <w:rPr>
          <w:b/>
          <w:i/>
          <w:szCs w:val="24"/>
          <w:lang w:eastAsia="en-US"/>
        </w:rPr>
        <w:t>solicitar</w:t>
      </w:r>
      <w:proofErr w:type="spellEnd"/>
      <w:r w:rsidRPr="002A673F">
        <w:rPr>
          <w:b/>
          <w:i/>
          <w:szCs w:val="24"/>
          <w:lang w:eastAsia="en-US"/>
        </w:rPr>
        <w:t xml:space="preserve"> uma correção da</w:t>
      </w:r>
      <w:r w:rsidRPr="002A673F">
        <w:rPr>
          <w:szCs w:val="24"/>
          <w:lang w:eastAsia="en-US"/>
        </w:rPr>
        <w:t xml:space="preserve"> inscrição no registo ou as informações comunicadas para a base de dados, se for caso disso, num prazo não inferior a </w:t>
      </w:r>
      <w:proofErr w:type="spellStart"/>
      <w:r w:rsidRPr="002A673F">
        <w:rPr>
          <w:strike/>
          <w:szCs w:val="24"/>
          <w:lang w:eastAsia="en-US"/>
        </w:rPr>
        <w:t>dois</w:t>
      </w:r>
      <w:r w:rsidRPr="002A673F">
        <w:rPr>
          <w:b/>
          <w:i/>
          <w:szCs w:val="24"/>
          <w:lang w:eastAsia="en-US"/>
        </w:rPr>
        <w:t>três</w:t>
      </w:r>
      <w:proofErr w:type="spellEnd"/>
      <w:r w:rsidRPr="002A673F">
        <w:rPr>
          <w:szCs w:val="24"/>
          <w:lang w:eastAsia="en-US"/>
        </w:rPr>
        <w:t xml:space="preserve"> meses.</w:t>
      </w:r>
      <w:r w:rsidRPr="002A673F">
        <w:rPr>
          <w:b/>
          <w:szCs w:val="24"/>
          <w:lang w:eastAsia="en-US"/>
        </w:rPr>
        <w:t xml:space="preserve"> [Alt. 153]</w:t>
      </w:r>
    </w:p>
    <w:p w14:paraId="32D8A18A" w14:textId="77777777" w:rsidR="00937E3A" w:rsidRDefault="00937E3A">
      <w:pPr>
        <w:widowControl/>
        <w:rPr>
          <w:szCs w:val="24"/>
          <w:lang w:eastAsia="en-US"/>
        </w:rPr>
      </w:pPr>
      <w:r>
        <w:rPr>
          <w:szCs w:val="24"/>
          <w:lang w:eastAsia="en-US"/>
        </w:rPr>
        <w:br w:type="page"/>
      </w:r>
    </w:p>
    <w:p w14:paraId="3EEC7295" w14:textId="1A39B4C5"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w:t>
      </w:r>
      <w:r w:rsidRPr="002A673F">
        <w:rPr>
          <w:szCs w:val="24"/>
          <w:lang w:eastAsia="en-US"/>
        </w:rPr>
        <w:tab/>
        <w:t xml:space="preserve">O centro de competências notifica o titular da PEN e convida-o a </w:t>
      </w:r>
      <w:r w:rsidRPr="002A673F">
        <w:rPr>
          <w:strike/>
          <w:szCs w:val="24"/>
          <w:lang w:eastAsia="en-US"/>
        </w:rPr>
        <w:t xml:space="preserve">corrigir </w:t>
      </w:r>
      <w:proofErr w:type="spellStart"/>
      <w:r w:rsidRPr="002A673F">
        <w:rPr>
          <w:strike/>
          <w:szCs w:val="24"/>
          <w:lang w:eastAsia="en-US"/>
        </w:rPr>
        <w:t>a</w:t>
      </w:r>
      <w:r w:rsidRPr="002A673F">
        <w:rPr>
          <w:b/>
          <w:i/>
          <w:szCs w:val="24"/>
          <w:lang w:eastAsia="en-US"/>
        </w:rPr>
        <w:t>solicitar</w:t>
      </w:r>
      <w:proofErr w:type="spellEnd"/>
      <w:r w:rsidRPr="002A673F">
        <w:rPr>
          <w:b/>
          <w:i/>
          <w:szCs w:val="24"/>
          <w:lang w:eastAsia="en-US"/>
        </w:rPr>
        <w:t xml:space="preserve"> uma correção da</w:t>
      </w:r>
      <w:r w:rsidRPr="002A673F">
        <w:rPr>
          <w:szCs w:val="24"/>
          <w:lang w:eastAsia="en-US"/>
        </w:rPr>
        <w:t xml:space="preserve"> inscrição no registo ou as informações comunicadas para a base de dados, se for caso disso, num prazo não inferior a </w:t>
      </w:r>
      <w:proofErr w:type="spellStart"/>
      <w:r w:rsidRPr="002A673F">
        <w:rPr>
          <w:strike/>
          <w:szCs w:val="24"/>
          <w:lang w:eastAsia="en-US"/>
        </w:rPr>
        <w:t>dois</w:t>
      </w:r>
      <w:r w:rsidRPr="002A673F">
        <w:rPr>
          <w:b/>
          <w:i/>
          <w:szCs w:val="24"/>
          <w:lang w:eastAsia="en-US"/>
        </w:rPr>
        <w:t>três</w:t>
      </w:r>
      <w:proofErr w:type="spellEnd"/>
      <w:r w:rsidRPr="002A673F">
        <w:rPr>
          <w:szCs w:val="24"/>
          <w:lang w:eastAsia="en-US"/>
        </w:rPr>
        <w:t xml:space="preserve"> meses, caso o centro de competências seja informado por um tribunal competente de um Estado-Membro nos termos do artigo 10.º, n.º 1, ou por um instituto de patentes ou por qualquer terceiro do seguinte:</w:t>
      </w:r>
      <w:r w:rsidRPr="002A673F">
        <w:rPr>
          <w:b/>
          <w:szCs w:val="24"/>
          <w:lang w:eastAsia="en-US"/>
        </w:rPr>
        <w:t xml:space="preserve"> [Alt. 154]</w:t>
      </w:r>
    </w:p>
    <w:p w14:paraId="0FF48BF9" w14:textId="4C5B2A16"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A caducidade de uma PEN registada;</w:t>
      </w:r>
    </w:p>
    <w:p w14:paraId="33AA8F72" w14:textId="606A6D39"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A anulação de uma PEN registada por uma autoridade competente; ou</w:t>
      </w:r>
    </w:p>
    <w:p w14:paraId="314DE6E6" w14:textId="6DED1EBD"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Uma decisão final segundo a qual a PEN registada não é essencial para a norma pertinente.</w:t>
      </w:r>
    </w:p>
    <w:p w14:paraId="149FE145"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5.</w:t>
      </w:r>
      <w:r w:rsidRPr="002A673F">
        <w:rPr>
          <w:szCs w:val="24"/>
          <w:lang w:eastAsia="en-US"/>
        </w:rPr>
        <w:tab/>
        <w:t xml:space="preserve">Se o titular da PEN não corrigir a inscrição no registo ou as informações comunicadas para a base de dados dentro do prazo fixado, </w:t>
      </w:r>
      <w:r w:rsidRPr="002A673F">
        <w:rPr>
          <w:b/>
          <w:i/>
          <w:szCs w:val="24"/>
          <w:lang w:eastAsia="en-US"/>
        </w:rPr>
        <w:t xml:space="preserve">o centro de competências notifica o titular da PEN de que não procedeu a essa correção e não completou a informação, e que, decorrido um período de carência de um mês durante o qual o titular da PEN ainda pode fornecer as informações necessárias, </w:t>
      </w:r>
      <w:r w:rsidRPr="002A673F">
        <w:rPr>
          <w:szCs w:val="24"/>
          <w:lang w:eastAsia="en-US"/>
        </w:rPr>
        <w:t xml:space="preserve">a inscrição </w:t>
      </w:r>
      <w:proofErr w:type="spellStart"/>
      <w:r w:rsidRPr="002A673F">
        <w:rPr>
          <w:strike/>
          <w:szCs w:val="24"/>
          <w:lang w:eastAsia="en-US"/>
        </w:rPr>
        <w:t>é</w:t>
      </w:r>
      <w:r w:rsidRPr="002A673F">
        <w:rPr>
          <w:b/>
          <w:i/>
          <w:szCs w:val="24"/>
          <w:lang w:eastAsia="en-US"/>
        </w:rPr>
        <w:t>será</w:t>
      </w:r>
      <w:proofErr w:type="spellEnd"/>
      <w:r w:rsidRPr="002A673F">
        <w:rPr>
          <w:szCs w:val="24"/>
          <w:lang w:eastAsia="en-US"/>
        </w:rPr>
        <w:t xml:space="preserve"> suspensa do registo até que a incompletude ou inexatidão seja sanada.</w:t>
      </w:r>
      <w:r w:rsidRPr="002A673F">
        <w:rPr>
          <w:b/>
          <w:szCs w:val="24"/>
          <w:lang w:eastAsia="en-US"/>
        </w:rPr>
        <w:t xml:space="preserve"> [Alt. 155]</w:t>
      </w:r>
    </w:p>
    <w:p w14:paraId="03AB1A94" w14:textId="77777777" w:rsidR="00937E3A" w:rsidRDefault="00937E3A">
      <w:pPr>
        <w:widowControl/>
        <w:rPr>
          <w:szCs w:val="24"/>
          <w:lang w:eastAsia="en-US"/>
        </w:rPr>
      </w:pPr>
      <w:r>
        <w:rPr>
          <w:szCs w:val="24"/>
          <w:lang w:eastAsia="en-US"/>
        </w:rPr>
        <w:br w:type="page"/>
      </w:r>
    </w:p>
    <w:p w14:paraId="5491D421" w14:textId="06EE6BD2"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6.</w:t>
      </w:r>
      <w:r w:rsidRPr="002A673F">
        <w:rPr>
          <w:szCs w:val="24"/>
          <w:lang w:eastAsia="en-US"/>
        </w:rPr>
        <w:tab/>
        <w:t>Um titular de PEN cuja PEN tenha sido suspensa do registo nos termos do n.º 5 e que considere que a conclusão do centro de competências é incorreta pode solicitar às Câmaras de Recurso do EUIPO a tomada de uma decisão sobre a questão. O pedido deve ser apresentado no prazo de dois meses a contar da suspensão. No prazo de dois meses a contar da apresentação do pedido, as Câmaras de Recurso do EUIPO rejeitam o pedido ou solicitam ao centro de competências que corrija a sua conclusão e informe a pessoa requerente.</w:t>
      </w:r>
    </w:p>
    <w:p w14:paraId="7983DB70"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7.</w:t>
      </w:r>
      <w:r w:rsidRPr="002A673F">
        <w:rPr>
          <w:szCs w:val="24"/>
          <w:lang w:eastAsia="en-US"/>
        </w:rPr>
        <w:tab/>
        <w:t>O tratamento dos pedidos de correção nos termos do presente artigo pelo centro de competências é suspenso a contar da seleção da PEN para verificação do caráter essencial nos termos do artigo 29.º e até à publicação do resultado da verificação do caráter essencial no registo e na base de dados nos termos do artigo 33.º, n.º 1.</w:t>
      </w:r>
    </w:p>
    <w:p w14:paraId="528655A4"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8.</w:t>
      </w:r>
      <w:r w:rsidRPr="002A673F">
        <w:rPr>
          <w:szCs w:val="24"/>
          <w:lang w:eastAsia="en-US"/>
        </w:rPr>
        <w:tab/>
        <w:t xml:space="preserve">O centro de competências </w:t>
      </w:r>
      <w:proofErr w:type="spellStart"/>
      <w:r w:rsidRPr="002A673F">
        <w:rPr>
          <w:strike/>
          <w:szCs w:val="24"/>
          <w:lang w:eastAsia="en-US"/>
        </w:rPr>
        <w:t>pode</w:t>
      </w:r>
      <w:r w:rsidRPr="002A673F">
        <w:rPr>
          <w:b/>
          <w:i/>
          <w:szCs w:val="24"/>
          <w:lang w:eastAsia="en-US"/>
        </w:rPr>
        <w:t>deve</w:t>
      </w:r>
      <w:proofErr w:type="spellEnd"/>
      <w:r w:rsidRPr="002A673F">
        <w:rPr>
          <w:szCs w:val="24"/>
          <w:lang w:eastAsia="en-US"/>
        </w:rPr>
        <w:t xml:space="preserve"> corrigir, por sua própria iniciativa, erros linguísticos, erros de transcrição, omissões manifestas ou erros técnicos que lhe sejam imputáveis no registo e na base de dados.</w:t>
      </w:r>
      <w:r w:rsidRPr="002A673F">
        <w:rPr>
          <w:b/>
          <w:szCs w:val="24"/>
          <w:lang w:eastAsia="en-US"/>
        </w:rPr>
        <w:t xml:space="preserve"> [Alt. 156]</w:t>
      </w:r>
    </w:p>
    <w:p w14:paraId="06905B75"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9.</w:t>
      </w:r>
      <w:r w:rsidRPr="002A673F">
        <w:rPr>
          <w:szCs w:val="24"/>
          <w:lang w:eastAsia="en-US"/>
        </w:rPr>
        <w:tab/>
        <w:t>As eventuais retificações nos termos do presente artigo são efetuadas a título gratuito.</w:t>
      </w:r>
    </w:p>
    <w:p w14:paraId="3E57FBB2" w14:textId="77777777" w:rsidR="00937E3A" w:rsidRDefault="00937E3A">
      <w:pPr>
        <w:widowControl/>
        <w:rPr>
          <w:szCs w:val="24"/>
          <w:lang w:eastAsia="en-US"/>
        </w:rPr>
      </w:pPr>
      <w:r>
        <w:rPr>
          <w:szCs w:val="24"/>
          <w:lang w:eastAsia="en-US"/>
        </w:rPr>
        <w:br w:type="page"/>
      </w:r>
    </w:p>
    <w:p w14:paraId="6B115A0A" w14:textId="56275796"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24.º</w:t>
      </w:r>
      <w:r w:rsidRPr="002A673F">
        <w:rPr>
          <w:szCs w:val="24"/>
          <w:lang w:eastAsia="en-US"/>
        </w:rPr>
        <w:br/>
        <w:t>Efeitos da ausência de inscrição ou da suspensão da inscrição de PEN</w:t>
      </w:r>
    </w:p>
    <w:p w14:paraId="13B816DD" w14:textId="77777777" w:rsidR="002A673F" w:rsidRPr="00E075CA" w:rsidRDefault="002A673F" w:rsidP="002A673F">
      <w:pPr>
        <w:spacing w:before="120" w:after="120" w:line="360" w:lineRule="auto"/>
        <w:ind w:left="850" w:hanging="850"/>
        <w:rPr>
          <w:b/>
          <w:szCs w:val="24"/>
          <w:lang w:eastAsia="en-US"/>
        </w:rPr>
      </w:pPr>
      <w:r w:rsidRPr="002A673F">
        <w:rPr>
          <w:strike/>
          <w:szCs w:val="24"/>
          <w:lang w:eastAsia="en-US"/>
        </w:rPr>
        <w:t>1.</w:t>
      </w:r>
      <w:r w:rsidRPr="002A673F">
        <w:rPr>
          <w:szCs w:val="24"/>
          <w:lang w:eastAsia="en-US"/>
        </w:rPr>
        <w:tab/>
      </w:r>
      <w:r w:rsidRPr="002A673F">
        <w:rPr>
          <w:strike/>
          <w:szCs w:val="24"/>
          <w:lang w:eastAsia="en-US"/>
        </w:rPr>
        <w:t>Uma PEN que não seja registada no prazo fixado no artigo 20.º, n.º 3, não pode ser executada em relação à aplicação da norma para a qual é exigida uma inscrição num tribunal competente de um Estado-Membro desde o prazo fixado no artigo 20.º, n.º 3, até à sua inscrição no registo.</w:t>
      </w:r>
      <w:r w:rsidRPr="00E075CA">
        <w:rPr>
          <w:b/>
          <w:szCs w:val="24"/>
          <w:lang w:eastAsia="en-US"/>
        </w:rPr>
        <w:t xml:space="preserve"> [Alt. 157]</w:t>
      </w:r>
    </w:p>
    <w:p w14:paraId="1851DF0D" w14:textId="201E01B8"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O titular de uma PEN que não tenha registado as sua</w:t>
      </w:r>
      <w:r w:rsidR="00937E3A">
        <w:rPr>
          <w:szCs w:val="24"/>
          <w:lang w:eastAsia="en-US"/>
        </w:rPr>
        <w:t>s PEN no prazo fixado no artigo </w:t>
      </w:r>
      <w:r w:rsidRPr="002A673F">
        <w:rPr>
          <w:szCs w:val="24"/>
          <w:lang w:eastAsia="en-US"/>
        </w:rPr>
        <w:t xml:space="preserve">20.º, n.º 3, não tem o direito de </w:t>
      </w:r>
      <w:r w:rsidRPr="002A673F">
        <w:rPr>
          <w:strike/>
          <w:szCs w:val="24"/>
          <w:lang w:eastAsia="en-US"/>
        </w:rPr>
        <w:t xml:space="preserve">receber royalties nem de pedir </w:t>
      </w:r>
      <w:proofErr w:type="spellStart"/>
      <w:r w:rsidRPr="002A673F">
        <w:rPr>
          <w:strike/>
          <w:szCs w:val="24"/>
          <w:lang w:eastAsia="en-US"/>
        </w:rPr>
        <w:t>indemnizações</w:t>
      </w:r>
      <w:r w:rsidRPr="002A673F">
        <w:rPr>
          <w:b/>
          <w:i/>
          <w:szCs w:val="24"/>
          <w:lang w:eastAsia="en-US"/>
        </w:rPr>
        <w:t>apresentar</w:t>
      </w:r>
      <w:proofErr w:type="spellEnd"/>
      <w:r w:rsidRPr="002A673F">
        <w:rPr>
          <w:b/>
          <w:i/>
          <w:szCs w:val="24"/>
          <w:lang w:eastAsia="en-US"/>
        </w:rPr>
        <w:t xml:space="preserve"> um pedido de indemnização</w:t>
      </w:r>
      <w:r w:rsidRPr="002A673F">
        <w:rPr>
          <w:szCs w:val="24"/>
          <w:lang w:eastAsia="en-US"/>
        </w:rPr>
        <w:t xml:space="preserve"> por violação dessas PEN em relação à aplicação da norma para a qual a inscrição é exigida desde o prazo fixado no artigo 20.º, n.º 3, até à sua inscrição no registo.</w:t>
      </w:r>
      <w:r w:rsidRPr="002A673F">
        <w:rPr>
          <w:b/>
          <w:szCs w:val="24"/>
          <w:lang w:eastAsia="en-US"/>
        </w:rPr>
        <w:t xml:space="preserve"> [Alt. 158]</w:t>
      </w:r>
    </w:p>
    <w:p w14:paraId="17E6A322"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r>
      <w:r w:rsidRPr="002A673F">
        <w:rPr>
          <w:strike/>
          <w:szCs w:val="24"/>
          <w:lang w:eastAsia="en-US"/>
        </w:rPr>
        <w:t xml:space="preserve">Os </w:t>
      </w:r>
      <w:proofErr w:type="spellStart"/>
      <w:r w:rsidRPr="002A673F">
        <w:rPr>
          <w:strike/>
          <w:szCs w:val="24"/>
          <w:lang w:eastAsia="en-US"/>
        </w:rPr>
        <w:t>n.os</w:t>
      </w:r>
      <w:proofErr w:type="spellEnd"/>
      <w:r w:rsidRPr="002A673F">
        <w:rPr>
          <w:strike/>
          <w:szCs w:val="24"/>
          <w:lang w:eastAsia="en-US"/>
        </w:rPr>
        <w:t xml:space="preserve"> 1 e 2 não </w:t>
      </w:r>
      <w:proofErr w:type="spellStart"/>
      <w:r w:rsidRPr="002A673F">
        <w:rPr>
          <w:strike/>
          <w:szCs w:val="24"/>
          <w:lang w:eastAsia="en-US"/>
        </w:rPr>
        <w:t>prejudicam</w:t>
      </w:r>
      <w:r w:rsidRPr="002A673F">
        <w:rPr>
          <w:b/>
          <w:i/>
          <w:szCs w:val="24"/>
          <w:lang w:eastAsia="en-US"/>
        </w:rPr>
        <w:t>O</w:t>
      </w:r>
      <w:proofErr w:type="spellEnd"/>
      <w:r w:rsidRPr="002A673F">
        <w:rPr>
          <w:b/>
          <w:i/>
          <w:szCs w:val="24"/>
          <w:lang w:eastAsia="en-US"/>
        </w:rPr>
        <w:t xml:space="preserve"> n.º 1 não prejudica</w:t>
      </w:r>
      <w:r w:rsidRPr="002A673F">
        <w:rPr>
          <w:szCs w:val="24"/>
          <w:lang w:eastAsia="en-US"/>
        </w:rPr>
        <w:t xml:space="preserve"> as disposições incluídas nos contratos </w:t>
      </w:r>
      <w:r w:rsidRPr="002A673F">
        <w:rPr>
          <w:b/>
          <w:i/>
          <w:szCs w:val="24"/>
          <w:lang w:eastAsia="en-US"/>
        </w:rPr>
        <w:t xml:space="preserve">celebrados e aplicados antes da entrada em vigor do presente regulamento que </w:t>
      </w:r>
      <w:proofErr w:type="spellStart"/>
      <w:r w:rsidRPr="002A673F">
        <w:rPr>
          <w:b/>
          <w:i/>
          <w:szCs w:val="24"/>
          <w:lang w:eastAsia="en-US"/>
        </w:rPr>
        <w:t>estabeleçam</w:t>
      </w:r>
      <w:r w:rsidRPr="002A673F">
        <w:rPr>
          <w:strike/>
          <w:szCs w:val="24"/>
          <w:lang w:eastAsia="en-US"/>
        </w:rPr>
        <w:t>que</w:t>
      </w:r>
      <w:proofErr w:type="spellEnd"/>
      <w:r w:rsidRPr="002A673F">
        <w:rPr>
          <w:strike/>
          <w:szCs w:val="24"/>
          <w:lang w:eastAsia="en-US"/>
        </w:rPr>
        <w:t xml:space="preserve"> estabelecem</w:t>
      </w:r>
      <w:r w:rsidRPr="002A673F">
        <w:rPr>
          <w:szCs w:val="24"/>
          <w:lang w:eastAsia="en-US"/>
        </w:rPr>
        <w:t xml:space="preserve"> </w:t>
      </w:r>
      <w:r w:rsidRPr="00E075CA">
        <w:rPr>
          <w:i/>
          <w:szCs w:val="24"/>
          <w:lang w:eastAsia="en-US"/>
        </w:rPr>
        <w:t>royalties</w:t>
      </w:r>
      <w:r w:rsidRPr="002A673F">
        <w:rPr>
          <w:szCs w:val="24"/>
          <w:lang w:eastAsia="en-US"/>
        </w:rPr>
        <w:t xml:space="preserve"> para </w:t>
      </w:r>
      <w:r w:rsidRPr="002A673F">
        <w:rPr>
          <w:strike/>
          <w:szCs w:val="24"/>
          <w:lang w:eastAsia="en-US"/>
        </w:rPr>
        <w:t xml:space="preserve">uma vasta carteira de patentes, presentes ou futuras, e que estipulam que a invalidade, o caráter não essencial ou a inexequibilidade de um número limitado de </w:t>
      </w:r>
      <w:r w:rsidRPr="002A673F">
        <w:rPr>
          <w:szCs w:val="24"/>
          <w:lang w:eastAsia="en-US"/>
        </w:rPr>
        <w:t xml:space="preserve">patentes </w:t>
      </w:r>
      <w:r w:rsidRPr="002A673F">
        <w:rPr>
          <w:strike/>
          <w:szCs w:val="24"/>
          <w:lang w:eastAsia="en-US"/>
        </w:rPr>
        <w:t xml:space="preserve">dessa carteira não afetam o montante global e a exigibilidade dos royalties ou outras condições do </w:t>
      </w:r>
      <w:proofErr w:type="spellStart"/>
      <w:r w:rsidRPr="002A673F">
        <w:rPr>
          <w:strike/>
          <w:szCs w:val="24"/>
          <w:lang w:eastAsia="en-US"/>
        </w:rPr>
        <w:t>contrato</w:t>
      </w:r>
      <w:r w:rsidRPr="002A673F">
        <w:rPr>
          <w:b/>
          <w:i/>
          <w:szCs w:val="24"/>
          <w:lang w:eastAsia="en-US"/>
        </w:rPr>
        <w:t>que</w:t>
      </w:r>
      <w:proofErr w:type="spellEnd"/>
      <w:r w:rsidRPr="002A673F">
        <w:rPr>
          <w:b/>
          <w:i/>
          <w:szCs w:val="24"/>
          <w:lang w:eastAsia="en-US"/>
        </w:rPr>
        <w:t xml:space="preserve"> são ou foram declarados como essenciais para uma norma</w:t>
      </w:r>
      <w:r w:rsidRPr="002A673F">
        <w:rPr>
          <w:szCs w:val="24"/>
          <w:lang w:eastAsia="en-US"/>
        </w:rPr>
        <w:t>.</w:t>
      </w:r>
      <w:r w:rsidRPr="002A673F">
        <w:rPr>
          <w:b/>
          <w:szCs w:val="24"/>
          <w:lang w:eastAsia="en-US"/>
        </w:rPr>
        <w:t xml:space="preserve"> [Alt. 159]</w:t>
      </w:r>
    </w:p>
    <w:p w14:paraId="13361DC3" w14:textId="77777777" w:rsidR="00937E3A" w:rsidRDefault="00937E3A">
      <w:pPr>
        <w:widowControl/>
        <w:rPr>
          <w:szCs w:val="24"/>
          <w:lang w:eastAsia="en-US"/>
        </w:rPr>
      </w:pPr>
      <w:r>
        <w:rPr>
          <w:szCs w:val="24"/>
          <w:lang w:eastAsia="en-US"/>
        </w:rPr>
        <w:br w:type="page"/>
      </w:r>
    </w:p>
    <w:p w14:paraId="060D05AE" w14:textId="3A34B5FA"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w:t>
      </w:r>
      <w:r w:rsidRPr="002A673F">
        <w:rPr>
          <w:szCs w:val="24"/>
          <w:lang w:eastAsia="en-US"/>
        </w:rPr>
        <w:tab/>
      </w:r>
      <w:r w:rsidRPr="002A673F">
        <w:rPr>
          <w:strike/>
          <w:szCs w:val="24"/>
          <w:lang w:eastAsia="en-US"/>
        </w:rPr>
        <w:t xml:space="preserve">Os </w:t>
      </w:r>
      <w:proofErr w:type="spellStart"/>
      <w:r w:rsidRPr="002A673F">
        <w:rPr>
          <w:strike/>
          <w:szCs w:val="24"/>
          <w:lang w:eastAsia="en-US"/>
        </w:rPr>
        <w:t>n.os</w:t>
      </w:r>
      <w:proofErr w:type="spellEnd"/>
      <w:r w:rsidRPr="002A673F">
        <w:rPr>
          <w:strike/>
          <w:szCs w:val="24"/>
          <w:lang w:eastAsia="en-US"/>
        </w:rPr>
        <w:t xml:space="preserve"> 1 e 2 </w:t>
      </w:r>
      <w:proofErr w:type="spellStart"/>
      <w:r w:rsidRPr="002A673F">
        <w:rPr>
          <w:strike/>
          <w:szCs w:val="24"/>
          <w:lang w:eastAsia="en-US"/>
        </w:rPr>
        <w:t>aplicam-se</w:t>
      </w:r>
      <w:r w:rsidRPr="002A673F">
        <w:rPr>
          <w:b/>
          <w:i/>
          <w:szCs w:val="24"/>
          <w:lang w:eastAsia="en-US"/>
        </w:rPr>
        <w:t>O</w:t>
      </w:r>
      <w:proofErr w:type="spellEnd"/>
      <w:r w:rsidRPr="002A673F">
        <w:rPr>
          <w:b/>
          <w:i/>
          <w:szCs w:val="24"/>
          <w:lang w:eastAsia="en-US"/>
        </w:rPr>
        <w:t xml:space="preserve"> n.º 1 do presente artigo aplica-se</w:t>
      </w:r>
      <w:r w:rsidRPr="002A673F">
        <w:rPr>
          <w:szCs w:val="24"/>
          <w:lang w:eastAsia="en-US"/>
        </w:rPr>
        <w:t xml:space="preserve"> igualmente no caso de a inscrição de uma PEN ser suspensa durante o período de suspensão nos termos do artigo 22.º, n.º 4, ou do artigo 23.º, n.º 5, exceto se as Câmaras de Recurso solicitarem ao centro de competências a correção das suas conclusões em conformidade com o artigo 22.º, n.º 5, e o artigo 23.º, n.º 6.</w:t>
      </w:r>
      <w:r w:rsidRPr="002A673F">
        <w:rPr>
          <w:b/>
          <w:szCs w:val="24"/>
          <w:lang w:eastAsia="en-US"/>
        </w:rPr>
        <w:t xml:space="preserve"> [Alt. 160]</w:t>
      </w:r>
    </w:p>
    <w:p w14:paraId="3C9F8BC6"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5.</w:t>
      </w:r>
      <w:r w:rsidRPr="002A673F">
        <w:rPr>
          <w:szCs w:val="24"/>
          <w:lang w:eastAsia="en-US"/>
        </w:rPr>
        <w:tab/>
        <w:t>O tribunal competente de um Estado-Membro ao qual seja solicitada uma decisão sobre qualquer questão relacionada com uma PEN em vigor num ou mais Estados-Membros deve verificar, como parte da decisão sobre a admissibilidade da ação, se a PEN está registada.</w:t>
      </w:r>
    </w:p>
    <w:p w14:paraId="4FC2012C"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25.º</w:t>
      </w:r>
      <w:r w:rsidRPr="002A673F">
        <w:rPr>
          <w:szCs w:val="24"/>
          <w:lang w:eastAsia="en-US"/>
        </w:rPr>
        <w:br/>
        <w:t>Retirada de uma PEN do registo e da base de dados</w:t>
      </w:r>
    </w:p>
    <w:p w14:paraId="60B3D172"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O titular de uma PEN pode solicitar a retirada da sua PEN registada do registo e da base de dados pelos seguintes motivos:</w:t>
      </w:r>
    </w:p>
    <w:p w14:paraId="6D76E1CC" w14:textId="3CC11C3E"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Caducidade da patente;</w:t>
      </w:r>
    </w:p>
    <w:p w14:paraId="04C131B8" w14:textId="5765396F"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Anulação da patente por uma autoridade competente;</w:t>
      </w:r>
    </w:p>
    <w:p w14:paraId="029D14D2" w14:textId="61593907"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Decisão final de um tribunal competente de um Estado-Membro determinando que a patente registada não é essencial para a norma em causa;</w:t>
      </w:r>
    </w:p>
    <w:p w14:paraId="5F347FDF" w14:textId="36EDBC5A" w:rsidR="002A673F" w:rsidRPr="002A673F" w:rsidRDefault="002A673F" w:rsidP="002A673F">
      <w:pPr>
        <w:spacing w:before="120" w:after="120" w:line="360" w:lineRule="auto"/>
        <w:ind w:left="1416" w:hanging="566"/>
        <w:rPr>
          <w:szCs w:val="24"/>
          <w:lang w:eastAsia="en-US"/>
        </w:rPr>
      </w:pPr>
      <w:r w:rsidRPr="002A673F">
        <w:rPr>
          <w:szCs w:val="24"/>
          <w:lang w:eastAsia="en-US"/>
        </w:rPr>
        <w:t>d)</w:t>
      </w:r>
      <w:r w:rsidRPr="002A673F">
        <w:rPr>
          <w:szCs w:val="24"/>
          <w:lang w:eastAsia="en-US"/>
        </w:rPr>
        <w:tab/>
        <w:t>Em consequência de um resultado negativo da verificação do caráter essencial nos termos do artigo 31.º, n.º 5, e do artigo 33.º, n.º 1.</w:t>
      </w:r>
    </w:p>
    <w:p w14:paraId="61D66CD7" w14:textId="77777777" w:rsidR="00937E3A" w:rsidRDefault="00937E3A">
      <w:pPr>
        <w:widowControl/>
        <w:rPr>
          <w:szCs w:val="24"/>
          <w:lang w:eastAsia="en-US"/>
        </w:rPr>
      </w:pPr>
      <w:r>
        <w:rPr>
          <w:szCs w:val="24"/>
          <w:lang w:eastAsia="en-US"/>
        </w:rPr>
        <w:br w:type="page"/>
      </w:r>
    </w:p>
    <w:p w14:paraId="7C1A8812" w14:textId="1E208D38"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Esse pedido pode ser apresentado a qualquer momento, exceto no que se refere à seleção da PEN para verificação do caráter essencial nos termos do artigo 29.º, até à publicação do resultado da verificação do caráter essencial no registo e na base de dados, nos termos do artigo 33.º, n.º 1.</w:t>
      </w:r>
    </w:p>
    <w:p w14:paraId="20E30743"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O centro de competências deve retirar a PEN do registo e da base de dados.</w:t>
      </w:r>
    </w:p>
    <w:p w14:paraId="409A5E65" w14:textId="77777777" w:rsidR="002A673F" w:rsidRPr="002A673F" w:rsidRDefault="002A673F" w:rsidP="002A673F">
      <w:pPr>
        <w:spacing w:before="120" w:after="120" w:line="360" w:lineRule="auto"/>
        <w:jc w:val="center"/>
        <w:rPr>
          <w:szCs w:val="24"/>
          <w:lang w:eastAsia="en-US"/>
        </w:rPr>
      </w:pPr>
      <w:r w:rsidRPr="002A673F">
        <w:rPr>
          <w:szCs w:val="24"/>
          <w:lang w:eastAsia="en-US"/>
        </w:rPr>
        <w:t xml:space="preserve">Título IV </w:t>
      </w:r>
      <w:r w:rsidRPr="002A673F">
        <w:rPr>
          <w:szCs w:val="24"/>
          <w:lang w:eastAsia="en-US"/>
        </w:rPr>
        <w:br/>
        <w:t>Avaliadores e conciliadores</w:t>
      </w:r>
    </w:p>
    <w:p w14:paraId="7D242659"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26.º</w:t>
      </w:r>
      <w:r w:rsidRPr="002A673F">
        <w:rPr>
          <w:szCs w:val="24"/>
          <w:lang w:eastAsia="en-US"/>
        </w:rPr>
        <w:br/>
        <w:t xml:space="preserve">Avaliadores e conciliadores </w:t>
      </w:r>
    </w:p>
    <w:p w14:paraId="6EE0267B"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Um avaliador procede a verificações do caráter essencial.</w:t>
      </w:r>
    </w:p>
    <w:p w14:paraId="28312A28"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Um conciliador desempenha as seguintes funções:</w:t>
      </w:r>
    </w:p>
    <w:p w14:paraId="012B028C" w14:textId="595F975E"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 xml:space="preserve">Servir de mediador entre as partes no estabelecimento de </w:t>
      </w:r>
      <w:r w:rsidRPr="00E075CA">
        <w:rPr>
          <w:i/>
          <w:szCs w:val="24"/>
          <w:lang w:eastAsia="en-US"/>
        </w:rPr>
        <w:t>royalties</w:t>
      </w:r>
      <w:r w:rsidRPr="002A673F">
        <w:rPr>
          <w:szCs w:val="24"/>
          <w:lang w:eastAsia="en-US"/>
        </w:rPr>
        <w:t xml:space="preserve"> agregados;</w:t>
      </w:r>
    </w:p>
    <w:p w14:paraId="6A0D694F" w14:textId="433EE6B6"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 xml:space="preserve">Emitir um parecer não vinculativo sobre </w:t>
      </w:r>
      <w:r w:rsidRPr="00E075CA">
        <w:rPr>
          <w:i/>
          <w:szCs w:val="24"/>
          <w:lang w:eastAsia="en-US"/>
        </w:rPr>
        <w:t>royalties</w:t>
      </w:r>
      <w:r w:rsidRPr="002A673F">
        <w:rPr>
          <w:szCs w:val="24"/>
          <w:lang w:eastAsia="en-US"/>
        </w:rPr>
        <w:t xml:space="preserve"> agregados;</w:t>
      </w:r>
    </w:p>
    <w:p w14:paraId="1F8DDB3C" w14:textId="5F25ADBB"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Servir numa determinação FRAND.</w:t>
      </w:r>
    </w:p>
    <w:p w14:paraId="6251BEDD" w14:textId="77777777" w:rsidR="00937E3A" w:rsidRDefault="00937E3A">
      <w:pPr>
        <w:widowControl/>
        <w:rPr>
          <w:szCs w:val="24"/>
          <w:lang w:eastAsia="en-US"/>
        </w:rPr>
      </w:pPr>
      <w:r>
        <w:rPr>
          <w:szCs w:val="24"/>
          <w:lang w:eastAsia="en-US"/>
        </w:rPr>
        <w:br w:type="page"/>
      </w:r>
    </w:p>
    <w:p w14:paraId="20206271" w14:textId="7A1A6997"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3.</w:t>
      </w:r>
      <w:r w:rsidRPr="002A673F">
        <w:rPr>
          <w:szCs w:val="24"/>
          <w:lang w:eastAsia="en-US"/>
        </w:rPr>
        <w:tab/>
        <w:t>Os avaliadores e conciliadores devem respeitar um código de conduta.</w:t>
      </w:r>
    </w:p>
    <w:p w14:paraId="156D5422"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O centro de competências nomeia [dez] avaliadores da lista de avaliadores como avaliadores interpares por um período de [três] anos.</w:t>
      </w:r>
    </w:p>
    <w:p w14:paraId="1E414FFB" w14:textId="43EEF85F" w:rsidR="002A673F" w:rsidRPr="00E075CA" w:rsidRDefault="002A673F" w:rsidP="002A673F">
      <w:pPr>
        <w:spacing w:before="120" w:after="120" w:line="360" w:lineRule="auto"/>
        <w:ind w:left="850" w:hanging="850"/>
        <w:rPr>
          <w:b/>
          <w:szCs w:val="24"/>
          <w:lang w:eastAsia="en-US"/>
        </w:rPr>
      </w:pPr>
      <w:r w:rsidRPr="002A673F">
        <w:rPr>
          <w:szCs w:val="24"/>
          <w:lang w:eastAsia="en-US"/>
        </w:rPr>
        <w:t>5.</w:t>
      </w:r>
      <w:r w:rsidRPr="002A673F">
        <w:rPr>
          <w:szCs w:val="24"/>
          <w:lang w:eastAsia="en-US"/>
        </w:rPr>
        <w:tab/>
        <w:t>Até</w:t>
      </w:r>
      <w:r w:rsidRPr="002A673F">
        <w:rPr>
          <w:b/>
          <w:i/>
          <w:szCs w:val="24"/>
          <w:lang w:eastAsia="en-US"/>
        </w:rPr>
        <w:t xml:space="preserve"> ...</w:t>
      </w:r>
      <w:r w:rsidRPr="002A673F">
        <w:rPr>
          <w:szCs w:val="24"/>
          <w:lang w:eastAsia="en-US"/>
        </w:rPr>
        <w:t xml:space="preserve"> [JO: inserir a data correspondente a 18 meses a contar da data de entrada em vigor do presente regulamento], a Comissão, por meio de um ato de execução adotado pelo procedimento de exame a que se refere o artigo 68.º, n.º 2, estabelece as disposições práticas e operacionais relativas:</w:t>
      </w:r>
      <w:r w:rsidRPr="002A673F">
        <w:rPr>
          <w:b/>
          <w:szCs w:val="24"/>
          <w:lang w:eastAsia="en-US"/>
        </w:rPr>
        <w:t xml:space="preserve"> [Alt. 161</w:t>
      </w:r>
      <w:r w:rsidR="00937E3A">
        <w:rPr>
          <w:b/>
          <w:szCs w:val="24"/>
          <w:lang w:eastAsia="en-US"/>
        </w:rPr>
        <w:t xml:space="preserve"> - </w:t>
      </w:r>
      <w:r w:rsidR="00937E3A" w:rsidRPr="002C5F88">
        <w:rPr>
          <w:b/>
          <w:szCs w:val="24"/>
          <w:lang w:eastAsia="en-US"/>
        </w:rPr>
        <w:t>Não se aplica à versão portuguesa</w:t>
      </w:r>
      <w:r w:rsidRPr="002A673F">
        <w:rPr>
          <w:b/>
          <w:szCs w:val="24"/>
          <w:lang w:eastAsia="en-US"/>
        </w:rPr>
        <w:t>]</w:t>
      </w:r>
    </w:p>
    <w:p w14:paraId="4AA6096E" w14:textId="77777777" w:rsidR="002A673F" w:rsidRPr="00E075CA" w:rsidRDefault="002A673F" w:rsidP="002A673F">
      <w:pPr>
        <w:spacing w:before="120" w:after="120" w:line="360" w:lineRule="auto"/>
        <w:ind w:left="1416" w:hanging="566"/>
        <w:rPr>
          <w:b/>
          <w:szCs w:val="24"/>
          <w:lang w:eastAsia="en-US"/>
        </w:rPr>
      </w:pPr>
      <w:r w:rsidRPr="002A673F">
        <w:rPr>
          <w:szCs w:val="24"/>
          <w:lang w:eastAsia="en-US"/>
        </w:rPr>
        <w:t>a)</w:t>
      </w:r>
      <w:r w:rsidRPr="002A673F">
        <w:rPr>
          <w:szCs w:val="24"/>
          <w:lang w:eastAsia="en-US"/>
        </w:rPr>
        <w:tab/>
        <w:t>Aos requisitos aplicáveis aos avaliadores ou conciliadores, incluindo um código de conduta</w:t>
      </w:r>
      <w:r w:rsidRPr="002A673F">
        <w:rPr>
          <w:b/>
          <w:i/>
          <w:szCs w:val="24"/>
          <w:lang w:eastAsia="en-US"/>
        </w:rPr>
        <w:t xml:space="preserve"> que comporte, pelo menos, os critérios enumerados no artigo 27.º, n.º 2-A, do presente regulamento</w:t>
      </w:r>
      <w:r w:rsidRPr="002A673F">
        <w:rPr>
          <w:szCs w:val="24"/>
          <w:lang w:eastAsia="en-US"/>
        </w:rPr>
        <w:t>;</w:t>
      </w:r>
      <w:r w:rsidRPr="002A673F">
        <w:rPr>
          <w:b/>
          <w:szCs w:val="24"/>
          <w:lang w:eastAsia="en-US"/>
        </w:rPr>
        <w:t xml:space="preserve"> [Alt. 162]</w:t>
      </w:r>
    </w:p>
    <w:p w14:paraId="5EC4921B" w14:textId="4386C210"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Aos procedimentos previstos nos artigos 17.º, 18.º, 31.º e 32.º, bem como no título VI.</w:t>
      </w:r>
    </w:p>
    <w:p w14:paraId="36260B26"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27.º</w:t>
      </w:r>
      <w:r w:rsidRPr="002A673F">
        <w:rPr>
          <w:szCs w:val="24"/>
          <w:lang w:eastAsia="en-US"/>
        </w:rPr>
        <w:br/>
        <w:t xml:space="preserve">Procedimento de seleção </w:t>
      </w:r>
    </w:p>
    <w:p w14:paraId="6C867583" w14:textId="3D64F332"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O centro de competências deve realizar um procedimento de seleção dos candidatos com base nos requisitos estabelecidos no ato de ex</w:t>
      </w:r>
      <w:r w:rsidR="009B7063">
        <w:rPr>
          <w:szCs w:val="24"/>
          <w:lang w:eastAsia="en-US"/>
        </w:rPr>
        <w:t>ecução a que se refere o artigo </w:t>
      </w:r>
      <w:r w:rsidRPr="002A673F">
        <w:rPr>
          <w:szCs w:val="24"/>
          <w:lang w:eastAsia="en-US"/>
        </w:rPr>
        <w:t>26.º, n.º 5.</w:t>
      </w:r>
    </w:p>
    <w:p w14:paraId="46D98E41" w14:textId="77777777" w:rsidR="00937E3A" w:rsidRDefault="00937E3A">
      <w:pPr>
        <w:widowControl/>
        <w:rPr>
          <w:szCs w:val="24"/>
          <w:lang w:eastAsia="en-US"/>
        </w:rPr>
      </w:pPr>
      <w:r>
        <w:rPr>
          <w:szCs w:val="24"/>
          <w:lang w:eastAsia="en-US"/>
        </w:rPr>
        <w:br w:type="page"/>
      </w:r>
    </w:p>
    <w:p w14:paraId="7D571214" w14:textId="41BB3B2A"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2.</w:t>
      </w:r>
      <w:r w:rsidRPr="002A673F">
        <w:rPr>
          <w:szCs w:val="24"/>
          <w:lang w:eastAsia="en-US"/>
        </w:rPr>
        <w:tab/>
        <w:t>O centro de competências deve elaborar uma lista de candidatos adequados para avaliadores ou conciliadores</w:t>
      </w:r>
      <w:r w:rsidRPr="002A673F">
        <w:rPr>
          <w:strike/>
          <w:szCs w:val="24"/>
          <w:lang w:eastAsia="en-US"/>
        </w:rPr>
        <w:t>. Pode haver diferentes listas de avaliadores e conciliadores em função da área técnica da sua especialização ou das competências técnicas.</w:t>
      </w:r>
      <w:r w:rsidRPr="002A673F">
        <w:rPr>
          <w:b/>
          <w:i/>
          <w:szCs w:val="24"/>
          <w:lang w:eastAsia="en-US"/>
        </w:rPr>
        <w:t xml:space="preserve"> e certificar-se de que:</w:t>
      </w:r>
      <w:r w:rsidRPr="002A673F">
        <w:rPr>
          <w:b/>
          <w:szCs w:val="24"/>
          <w:lang w:eastAsia="en-US"/>
        </w:rPr>
        <w:t xml:space="preserve"> [Alt. 163]</w:t>
      </w:r>
    </w:p>
    <w:p w14:paraId="105D9443" w14:textId="77777777" w:rsidR="002A673F" w:rsidRPr="00E075CA" w:rsidRDefault="002A673F" w:rsidP="002A673F">
      <w:pPr>
        <w:spacing w:before="120" w:after="120" w:line="360" w:lineRule="auto"/>
        <w:ind w:left="1416" w:hanging="566"/>
        <w:rPr>
          <w:b/>
          <w:szCs w:val="24"/>
          <w:lang w:eastAsia="en-US"/>
        </w:rPr>
      </w:pPr>
      <w:r w:rsidRPr="002A673F">
        <w:rPr>
          <w:b/>
          <w:i/>
          <w:szCs w:val="24"/>
          <w:lang w:eastAsia="en-US"/>
        </w:rPr>
        <w:t>a)</w:t>
      </w:r>
      <w:r w:rsidRPr="002A673F">
        <w:rPr>
          <w:szCs w:val="24"/>
          <w:lang w:eastAsia="en-US"/>
        </w:rPr>
        <w:tab/>
      </w:r>
      <w:r w:rsidRPr="002A673F">
        <w:rPr>
          <w:b/>
          <w:i/>
          <w:szCs w:val="24"/>
          <w:lang w:eastAsia="en-US"/>
        </w:rPr>
        <w:t>não existem potenciais conflitos de interesses, pelo que os avaliadores e conciliadores escolhidos são imparciais e isentos;</w:t>
      </w:r>
      <w:r w:rsidRPr="002A673F">
        <w:rPr>
          <w:b/>
          <w:szCs w:val="24"/>
          <w:lang w:eastAsia="en-US"/>
        </w:rPr>
        <w:t xml:space="preserve"> [Alt. 164]</w:t>
      </w:r>
    </w:p>
    <w:p w14:paraId="710D7FB7" w14:textId="77777777" w:rsidR="002A673F" w:rsidRPr="00E075CA" w:rsidRDefault="002A673F" w:rsidP="002A673F">
      <w:pPr>
        <w:spacing w:before="120" w:after="120" w:line="360" w:lineRule="auto"/>
        <w:ind w:left="1416" w:hanging="566"/>
        <w:rPr>
          <w:b/>
          <w:szCs w:val="24"/>
          <w:lang w:eastAsia="en-US"/>
        </w:rPr>
      </w:pPr>
      <w:r w:rsidRPr="002A673F">
        <w:rPr>
          <w:b/>
          <w:i/>
          <w:szCs w:val="24"/>
          <w:lang w:eastAsia="en-US"/>
        </w:rPr>
        <w:t>b)</w:t>
      </w:r>
      <w:r w:rsidRPr="002A673F">
        <w:rPr>
          <w:szCs w:val="24"/>
          <w:lang w:eastAsia="en-US"/>
        </w:rPr>
        <w:tab/>
      </w:r>
      <w:r w:rsidRPr="002A673F">
        <w:rPr>
          <w:b/>
          <w:i/>
          <w:szCs w:val="24"/>
          <w:lang w:eastAsia="en-US"/>
        </w:rPr>
        <w:t>todos os avaliadores e conciliadores nomeados para a lista possuem as qualificações, a experiência e as competências necessárias para desempenhar eficazmente as tarefas exigidas. Em especial, devem possuir as qualificações necessárias, uma experiência substancial no setor das patentes e da resolução de litígios, uma compreensão comprovada das condições FRAND ou uma sólida experiência técnica no domínio tecnológico relevante.</w:t>
      </w:r>
      <w:r w:rsidRPr="002A673F">
        <w:rPr>
          <w:b/>
          <w:szCs w:val="24"/>
          <w:lang w:eastAsia="en-US"/>
        </w:rPr>
        <w:t xml:space="preserve"> [Alt. 165]</w:t>
      </w:r>
    </w:p>
    <w:p w14:paraId="7B330607" w14:textId="77777777" w:rsidR="00937E3A" w:rsidRDefault="00937E3A">
      <w:pPr>
        <w:widowControl/>
        <w:rPr>
          <w:szCs w:val="24"/>
          <w:lang w:eastAsia="en-US"/>
        </w:rPr>
      </w:pPr>
      <w:r>
        <w:rPr>
          <w:szCs w:val="24"/>
          <w:lang w:eastAsia="en-US"/>
        </w:rPr>
        <w:br w:type="page"/>
      </w:r>
    </w:p>
    <w:p w14:paraId="2DE98438" w14:textId="23331ED8"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w:t>
      </w:r>
      <w:r w:rsidRPr="002A673F">
        <w:rPr>
          <w:szCs w:val="24"/>
          <w:lang w:eastAsia="en-US"/>
        </w:rPr>
        <w:tab/>
      </w:r>
      <w:r w:rsidRPr="002A673F">
        <w:rPr>
          <w:strike/>
          <w:szCs w:val="24"/>
          <w:lang w:eastAsia="en-US"/>
        </w:rPr>
        <w:t xml:space="preserve">Se o centro de competências ainda não tiver elaborado uma lista de </w:t>
      </w:r>
      <w:proofErr w:type="spellStart"/>
      <w:r w:rsidRPr="002A673F">
        <w:rPr>
          <w:strike/>
          <w:szCs w:val="24"/>
          <w:lang w:eastAsia="en-US"/>
        </w:rPr>
        <w:t>candidatos</w:t>
      </w:r>
      <w:r w:rsidRPr="002A673F">
        <w:rPr>
          <w:b/>
          <w:i/>
          <w:szCs w:val="24"/>
          <w:lang w:eastAsia="en-US"/>
        </w:rPr>
        <w:t>Devem</w:t>
      </w:r>
      <w:proofErr w:type="spellEnd"/>
      <w:r w:rsidRPr="002A673F">
        <w:rPr>
          <w:b/>
          <w:i/>
          <w:szCs w:val="24"/>
          <w:lang w:eastAsia="en-US"/>
        </w:rPr>
        <w:t xml:space="preserve"> existir diferentes listas de</w:t>
      </w:r>
      <w:r w:rsidRPr="002A673F">
        <w:rPr>
          <w:szCs w:val="24"/>
          <w:lang w:eastAsia="en-US"/>
        </w:rPr>
        <w:t xml:space="preserve"> avaliadores </w:t>
      </w:r>
      <w:proofErr w:type="spellStart"/>
      <w:r w:rsidRPr="002A673F">
        <w:rPr>
          <w:strike/>
          <w:szCs w:val="24"/>
          <w:lang w:eastAsia="en-US"/>
        </w:rPr>
        <w:t>ou</w:t>
      </w:r>
      <w:r w:rsidRPr="002A673F">
        <w:rPr>
          <w:b/>
          <w:i/>
          <w:szCs w:val="24"/>
          <w:lang w:eastAsia="en-US"/>
        </w:rPr>
        <w:t>e</w:t>
      </w:r>
      <w:proofErr w:type="spellEnd"/>
      <w:r w:rsidRPr="002A673F">
        <w:rPr>
          <w:szCs w:val="24"/>
          <w:lang w:eastAsia="en-US"/>
        </w:rPr>
        <w:t xml:space="preserve"> conciliadores </w:t>
      </w:r>
      <w:r w:rsidRPr="002A673F">
        <w:rPr>
          <w:strike/>
          <w:szCs w:val="24"/>
          <w:lang w:eastAsia="en-US"/>
        </w:rPr>
        <w:t>aquando das primeiras inscrições ou da determinação FRAND, o centro de</w:t>
      </w:r>
      <w:r w:rsidRPr="002A673F">
        <w:rPr>
          <w:b/>
          <w:i/>
          <w:szCs w:val="24"/>
          <w:lang w:eastAsia="en-US"/>
        </w:rPr>
        <w:t>em função da área técnica da sua especialização ou</w:t>
      </w:r>
      <w:r w:rsidRPr="002A673F">
        <w:rPr>
          <w:szCs w:val="24"/>
          <w:lang w:eastAsia="en-US"/>
        </w:rPr>
        <w:t xml:space="preserve"> competências </w:t>
      </w:r>
      <w:r w:rsidRPr="002A673F">
        <w:rPr>
          <w:strike/>
          <w:szCs w:val="24"/>
          <w:lang w:eastAsia="en-US"/>
        </w:rPr>
        <w:t>deve convidar peritos ad hoc de renome que satisfaçam os requisitos estabelecidos no ato de execução a que se refere o artigo 26.º, n.º 5</w:t>
      </w:r>
      <w:r w:rsidRPr="002A673F">
        <w:rPr>
          <w:b/>
          <w:i/>
          <w:szCs w:val="24"/>
          <w:lang w:eastAsia="en-US"/>
        </w:rPr>
        <w:t>técnicas</w:t>
      </w:r>
      <w:r w:rsidRPr="002A673F">
        <w:rPr>
          <w:szCs w:val="24"/>
          <w:lang w:eastAsia="en-US"/>
        </w:rPr>
        <w:t>.</w:t>
      </w:r>
      <w:r w:rsidRPr="002A673F">
        <w:rPr>
          <w:b/>
          <w:szCs w:val="24"/>
          <w:lang w:eastAsia="en-US"/>
        </w:rPr>
        <w:t xml:space="preserve"> [Alt. 166]</w:t>
      </w:r>
    </w:p>
    <w:p w14:paraId="7282322E"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O centro de competências deve rever regularmente as listas de forma a assegurar que é mantido um número suficiente de candidatos qualificados.</w:t>
      </w:r>
    </w:p>
    <w:p w14:paraId="07CC06C0" w14:textId="77777777" w:rsidR="002A673F" w:rsidRPr="002A673F" w:rsidRDefault="002A673F" w:rsidP="002A673F">
      <w:pPr>
        <w:spacing w:before="120" w:after="120" w:line="360" w:lineRule="auto"/>
        <w:jc w:val="center"/>
        <w:rPr>
          <w:szCs w:val="24"/>
          <w:lang w:eastAsia="en-US"/>
        </w:rPr>
      </w:pPr>
      <w:r w:rsidRPr="002A673F">
        <w:rPr>
          <w:szCs w:val="24"/>
          <w:lang w:eastAsia="en-US"/>
        </w:rPr>
        <w:t xml:space="preserve">Título V </w:t>
      </w:r>
      <w:r w:rsidRPr="002A673F">
        <w:rPr>
          <w:szCs w:val="24"/>
          <w:lang w:eastAsia="en-US"/>
        </w:rPr>
        <w:br/>
        <w:t>Verificação do caráter essencial das patentes essenciais a normas</w:t>
      </w:r>
    </w:p>
    <w:p w14:paraId="392BA6ED"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28.º</w:t>
      </w:r>
      <w:r w:rsidRPr="002A673F">
        <w:rPr>
          <w:szCs w:val="24"/>
          <w:lang w:eastAsia="en-US"/>
        </w:rPr>
        <w:br/>
        <w:t xml:space="preserve">Requisito geral da verificação do caráter essencial </w:t>
      </w:r>
    </w:p>
    <w:p w14:paraId="5AAFAE42"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O centro de competências deve administrar um sistema de verificação do caráter essencial que assegura a sua realização de forma </w:t>
      </w:r>
      <w:r w:rsidRPr="002A673F">
        <w:rPr>
          <w:b/>
          <w:i/>
          <w:szCs w:val="24"/>
          <w:lang w:eastAsia="en-US"/>
        </w:rPr>
        <w:t xml:space="preserve">transparente, </w:t>
      </w:r>
      <w:r w:rsidRPr="002A673F">
        <w:rPr>
          <w:szCs w:val="24"/>
          <w:lang w:eastAsia="en-US"/>
        </w:rPr>
        <w:t>objetiva e imparcial e a salvaguarda da confidencialidade das informações obtidas.</w:t>
      </w:r>
      <w:r w:rsidRPr="002A673F">
        <w:rPr>
          <w:b/>
          <w:szCs w:val="24"/>
          <w:lang w:eastAsia="en-US"/>
        </w:rPr>
        <w:t xml:space="preserve"> [Alt. 167]</w:t>
      </w:r>
    </w:p>
    <w:p w14:paraId="652AA779" w14:textId="77777777" w:rsidR="00937E3A" w:rsidRDefault="00937E3A">
      <w:pPr>
        <w:widowControl/>
        <w:rPr>
          <w:szCs w:val="24"/>
          <w:lang w:eastAsia="en-US"/>
        </w:rPr>
      </w:pPr>
      <w:r>
        <w:rPr>
          <w:szCs w:val="24"/>
          <w:lang w:eastAsia="en-US"/>
        </w:rPr>
        <w:br w:type="page"/>
      </w:r>
    </w:p>
    <w:p w14:paraId="20BD03DA" w14:textId="6F7B3845"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A verificação do caráter essencial é efetuada por um avaliador selecionado nos termos do artigo 27.º. Os avaliadores devem proceder à verificação do caráter essencial das PEN registadas relativamente à norma para a qual estão registadas.</w:t>
      </w:r>
    </w:p>
    <w:p w14:paraId="0E498EED"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A verificação do caráter essencial não deve incidir em mais do que uma PEN da respetiva família de patentes.</w:t>
      </w:r>
    </w:p>
    <w:p w14:paraId="36FCCD93"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Nem a ausência de uma verificação do caráter essencial nem o facto de estar em curso uma verificação do caráter essencial obstam a negociações de concessão de licenças ou a qualquer processo judicial ou procedimento administrativo relativos a uma PEN registada.</w:t>
      </w:r>
    </w:p>
    <w:p w14:paraId="1B675214"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5.</w:t>
      </w:r>
      <w:r w:rsidRPr="002A673F">
        <w:rPr>
          <w:szCs w:val="24"/>
          <w:lang w:eastAsia="en-US"/>
        </w:rPr>
        <w:tab/>
        <w:t>O avaliador deve resumir o resultado da verificação do caráter essencial e as razões para tal num parecer fundamentado ou, em caso de avaliação interpares, num parecer fundamentado definitivo, que não é juridicamente vinculativo.</w:t>
      </w:r>
    </w:p>
    <w:p w14:paraId="65C47C4A"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6.</w:t>
      </w:r>
      <w:r w:rsidRPr="002A673F">
        <w:rPr>
          <w:szCs w:val="24"/>
          <w:lang w:eastAsia="en-US"/>
        </w:rPr>
        <w:tab/>
        <w:t>O resultado da verificação do caráter essencial realizada e o parecer fundamentado do avaliador ou o parecer fundamentado definitivo do avaliador interpares podem ser utilizados como elementos de prova junto das partes interessadas, comunhões de patentes, autoridades públicas, tribunais ou árbitros.</w:t>
      </w:r>
    </w:p>
    <w:p w14:paraId="18A0F64B" w14:textId="77777777" w:rsidR="00937E3A" w:rsidRDefault="00937E3A">
      <w:pPr>
        <w:widowControl/>
        <w:rPr>
          <w:szCs w:val="24"/>
          <w:lang w:eastAsia="en-US"/>
        </w:rPr>
      </w:pPr>
      <w:r>
        <w:rPr>
          <w:szCs w:val="24"/>
          <w:lang w:eastAsia="en-US"/>
        </w:rPr>
        <w:br w:type="page"/>
      </w:r>
    </w:p>
    <w:p w14:paraId="3DE11779" w14:textId="3067C944"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29.º</w:t>
      </w:r>
      <w:r w:rsidRPr="002A673F">
        <w:rPr>
          <w:szCs w:val="24"/>
          <w:lang w:eastAsia="en-US"/>
        </w:rPr>
        <w:br/>
        <w:t xml:space="preserve">Gestão das verificações do caráter essencial </w:t>
      </w:r>
    </w:p>
    <w:p w14:paraId="7F4E48B5" w14:textId="6C6AC5CF"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O centro de competências</w:t>
      </w:r>
      <w:r w:rsidRPr="002A673F">
        <w:rPr>
          <w:b/>
          <w:i/>
          <w:szCs w:val="24"/>
          <w:lang w:eastAsia="en-US"/>
        </w:rPr>
        <w:t xml:space="preserve"> deve</w:t>
      </w:r>
      <w:r w:rsidRPr="002A673F">
        <w:rPr>
          <w:szCs w:val="24"/>
          <w:lang w:eastAsia="en-US"/>
        </w:rPr>
        <w:t xml:space="preserve"> selecionar anualmente uma amostra de PEN registadas de diferentes famílias de patentes de cada titular de PEN e no que diz respeito a cada norma específica do registo para efeitos de verificação do caráter essencial. As PEN registadas de micro e pequenas empresas devem ser excluídas do processo de amostragem anual</w:t>
      </w:r>
      <w:r w:rsidRPr="002A673F">
        <w:rPr>
          <w:b/>
          <w:i/>
          <w:szCs w:val="24"/>
          <w:lang w:eastAsia="en-US"/>
        </w:rPr>
        <w:t>, a menos que sejam uma entidade de asserção de patentes ou uma sucursal ou uma filial, ou detidas ou direta ou indiretamente controladas por outra pessoa singular ou coletiva não reconhecida como PME</w:t>
      </w:r>
      <w:r w:rsidRPr="002A673F">
        <w:rPr>
          <w:szCs w:val="24"/>
          <w:lang w:eastAsia="en-US"/>
        </w:rPr>
        <w:t xml:space="preserve">. As verificações devem ser realizadas com base numa metodologia que garanta o estabelecimento de uma seleção equitativa e estatisticamente válida, capaz de produzir resultados suficientemente precisos sobre a taxa de caráter essencial em todas as PEN registadas de um titular de PEN no que diz respeito a cada norma específica do registo. Até </w:t>
      </w:r>
      <w:r w:rsidR="00937E3A">
        <w:rPr>
          <w:szCs w:val="24"/>
          <w:lang w:eastAsia="en-US"/>
        </w:rPr>
        <w:t xml:space="preserve">... </w:t>
      </w:r>
      <w:r w:rsidRPr="002A673F">
        <w:rPr>
          <w:szCs w:val="24"/>
          <w:lang w:eastAsia="en-US"/>
        </w:rPr>
        <w:t>[JO: inserir a data correspondente a 18 meses a contar da data de entrada em vigor do presente regulamento], a Comissão determina, por meio de um ato de execução, a metodologia pormenorizada. Esse ato de execução é adotado em conformidade com o procedimento de</w:t>
      </w:r>
      <w:r w:rsidR="00937E3A">
        <w:rPr>
          <w:szCs w:val="24"/>
          <w:lang w:eastAsia="en-US"/>
        </w:rPr>
        <w:t xml:space="preserve"> exame a que se refere o artigo </w:t>
      </w:r>
      <w:r w:rsidRPr="002A673F">
        <w:rPr>
          <w:szCs w:val="24"/>
          <w:lang w:eastAsia="en-US"/>
        </w:rPr>
        <w:t>68.º, n.º 2.</w:t>
      </w:r>
      <w:r w:rsidRPr="002A673F">
        <w:rPr>
          <w:b/>
          <w:szCs w:val="24"/>
          <w:lang w:eastAsia="en-US"/>
        </w:rPr>
        <w:t xml:space="preserve"> [Alt. 168]</w:t>
      </w:r>
    </w:p>
    <w:p w14:paraId="7EBD5937" w14:textId="77777777" w:rsidR="00937E3A" w:rsidRDefault="00937E3A">
      <w:pPr>
        <w:widowControl/>
        <w:rPr>
          <w:szCs w:val="24"/>
          <w:lang w:eastAsia="en-US"/>
        </w:rPr>
      </w:pPr>
      <w:r>
        <w:rPr>
          <w:szCs w:val="24"/>
          <w:lang w:eastAsia="en-US"/>
        </w:rPr>
        <w:br w:type="page"/>
      </w:r>
    </w:p>
    <w:p w14:paraId="79483A17" w14:textId="0E3768D5"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O centro de competências notifica os titulares de PEN das PEN selecionadas para verificação do caráter essencial. Os titulares de PEN podem apresentar, dentro do prazo estabelecido pelo centro de competências, um quadro de reivindicações com um número máximo de cinco correspondências entre a PEN e a norma pertinente, qualquer informação técnica adicional que possa facilitar a verificação do caráter essencial e as traduções da patente solicitadas pelo centro de competências.</w:t>
      </w:r>
    </w:p>
    <w:p w14:paraId="62E98BC0"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O centro de competências publica a lista das PEN selecionadas para verificação do caráter essencial.</w:t>
      </w:r>
    </w:p>
    <w:p w14:paraId="34A32748" w14:textId="025F69DF" w:rsidR="002A673F" w:rsidRPr="00E075CA" w:rsidRDefault="002A673F" w:rsidP="002A673F">
      <w:pPr>
        <w:spacing w:before="120" w:after="120" w:line="360" w:lineRule="auto"/>
        <w:ind w:left="850" w:hanging="850"/>
        <w:rPr>
          <w:b/>
          <w:szCs w:val="24"/>
          <w:lang w:eastAsia="en-US"/>
        </w:rPr>
      </w:pPr>
      <w:r w:rsidRPr="002A673F">
        <w:rPr>
          <w:szCs w:val="24"/>
          <w:lang w:eastAsia="en-US"/>
        </w:rPr>
        <w:t>4.</w:t>
      </w:r>
      <w:r w:rsidRPr="002A673F">
        <w:rPr>
          <w:szCs w:val="24"/>
          <w:lang w:eastAsia="en-US"/>
        </w:rPr>
        <w:tab/>
        <w:t>Se uma PEN selecionada para verificação do caráter essencial já tiver sido objeto de uma verificação de caráter essencial anterior ou em curso nos termos do presente título ou de uma verificação ou decisão do caráter ess</w:t>
      </w:r>
      <w:r w:rsidR="009B7063">
        <w:rPr>
          <w:szCs w:val="24"/>
          <w:lang w:eastAsia="en-US"/>
        </w:rPr>
        <w:t>encial a que se refere o artigo </w:t>
      </w:r>
      <w:r w:rsidRPr="002A673F">
        <w:rPr>
          <w:szCs w:val="24"/>
          <w:lang w:eastAsia="en-US"/>
        </w:rPr>
        <w:t>8.º, não é efetuada qualquer verificação adicional do caráter essencial</w:t>
      </w:r>
      <w:r w:rsidRPr="002A673F">
        <w:rPr>
          <w:b/>
          <w:i/>
          <w:szCs w:val="24"/>
          <w:lang w:eastAsia="en-US"/>
        </w:rPr>
        <w:t>, a menos que seja aplicável o n.º 4-A</w:t>
      </w:r>
      <w:r w:rsidR="00937E3A">
        <w:rPr>
          <w:b/>
          <w:i/>
          <w:szCs w:val="24"/>
          <w:lang w:eastAsia="en-US"/>
        </w:rPr>
        <w:t xml:space="preserve"> do presente artigo</w:t>
      </w:r>
      <w:r w:rsidRPr="002A673F">
        <w:rPr>
          <w:szCs w:val="24"/>
          <w:lang w:eastAsia="en-US"/>
        </w:rPr>
        <w:t>. O resultado da verificação ou decisão do caráter essencial anterior deve ser utilizado para determinar a percentagem de amostras de PEN por titular de PEN e por norma registada específica que tenham sido bem-sucedidas na verificação do caráter essencial.</w:t>
      </w:r>
      <w:r w:rsidRPr="002A673F">
        <w:rPr>
          <w:b/>
          <w:szCs w:val="24"/>
          <w:lang w:eastAsia="en-US"/>
        </w:rPr>
        <w:t xml:space="preserve"> [Alt. 169]</w:t>
      </w:r>
    </w:p>
    <w:p w14:paraId="2EB60DCA" w14:textId="77777777" w:rsidR="00937E3A" w:rsidRDefault="00937E3A">
      <w:pPr>
        <w:widowControl/>
        <w:rPr>
          <w:b/>
          <w:i/>
          <w:szCs w:val="24"/>
          <w:lang w:eastAsia="en-US"/>
        </w:rPr>
      </w:pPr>
      <w:r>
        <w:rPr>
          <w:b/>
          <w:i/>
          <w:szCs w:val="24"/>
          <w:lang w:eastAsia="en-US"/>
        </w:rPr>
        <w:br w:type="page"/>
      </w:r>
    </w:p>
    <w:p w14:paraId="7226C986" w14:textId="23CFC591" w:rsidR="002A673F" w:rsidRPr="00E075CA" w:rsidRDefault="002A673F" w:rsidP="002A673F">
      <w:pPr>
        <w:spacing w:before="120" w:after="120" w:line="360" w:lineRule="auto"/>
        <w:ind w:left="850" w:hanging="850"/>
        <w:rPr>
          <w:b/>
          <w:szCs w:val="24"/>
          <w:lang w:eastAsia="en-US"/>
        </w:rPr>
      </w:pPr>
      <w:r w:rsidRPr="002A673F">
        <w:rPr>
          <w:b/>
          <w:i/>
          <w:szCs w:val="24"/>
          <w:lang w:eastAsia="en-US"/>
        </w:rPr>
        <w:lastRenderedPageBreak/>
        <w:t>4-A.</w:t>
      </w:r>
      <w:r w:rsidRPr="002A673F">
        <w:rPr>
          <w:szCs w:val="24"/>
          <w:lang w:eastAsia="en-US"/>
        </w:rPr>
        <w:tab/>
      </w:r>
      <w:r w:rsidRPr="002A673F">
        <w:rPr>
          <w:b/>
          <w:i/>
          <w:szCs w:val="24"/>
          <w:lang w:eastAsia="en-US"/>
        </w:rPr>
        <w:t>Caso um avaliador tenha razões suficientes para crer que uma verificação prévia do caráter essencial realizada ao abrigo do artigo 8.º, alínea b), pode ser inexata, deve assegurar que a autoridade analisa o resultado dessa verificação. Se, após essa análise, o avaliador concluir que o resultado da verificação prévia do caráter essencial estava incorreto, deve realizar uma nova verificação do caráter essencial para a PEN em questão.</w:t>
      </w:r>
      <w:r w:rsidRPr="002A673F">
        <w:rPr>
          <w:b/>
          <w:szCs w:val="24"/>
          <w:lang w:eastAsia="en-US"/>
        </w:rPr>
        <w:t xml:space="preserve"> [Alt. 170]</w:t>
      </w:r>
    </w:p>
    <w:p w14:paraId="550E07C0"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5.</w:t>
      </w:r>
      <w:r w:rsidRPr="002A673F">
        <w:rPr>
          <w:szCs w:val="24"/>
          <w:lang w:eastAsia="en-US"/>
        </w:rPr>
        <w:tab/>
        <w:t>Cada titular de PEN pode, voluntariamente, propor anualmente até 100 PEN registadas de diferentes famílias de patentes para verificação do caráter essencial em relação a cada norma específica para a qual a inscrição de PEN foi efetuada.</w:t>
      </w:r>
    </w:p>
    <w:p w14:paraId="164C2426"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6.</w:t>
      </w:r>
      <w:r w:rsidRPr="002A673F">
        <w:rPr>
          <w:szCs w:val="24"/>
          <w:lang w:eastAsia="en-US"/>
        </w:rPr>
        <w:tab/>
        <w:t>Qualquer utilizador pode, voluntariamente, propor anualmente até 100 PEN registadas de diferentes famílias de patentes para verificação do caráter essencial em relação a cada norma específica para a qual tenham sido efetuadas inscrições de PEN.</w:t>
      </w:r>
    </w:p>
    <w:p w14:paraId="02137FA7"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7.</w:t>
      </w:r>
      <w:r w:rsidRPr="002A673F">
        <w:rPr>
          <w:szCs w:val="24"/>
          <w:lang w:eastAsia="en-US"/>
        </w:rPr>
        <w:tab/>
        <w:t>O centro de competências atribui as PEN para verificação do caráter essencial aos avaliadores com base na lista de avaliadores estabelecida nos termos do artigo 27.º e faculta ao avaliador acesso à documentação completa fornecida pelo titular da PEN.</w:t>
      </w:r>
    </w:p>
    <w:p w14:paraId="27393C03" w14:textId="77777777" w:rsidR="00937E3A" w:rsidRDefault="00937E3A">
      <w:pPr>
        <w:widowControl/>
        <w:rPr>
          <w:szCs w:val="24"/>
          <w:lang w:eastAsia="en-US"/>
        </w:rPr>
      </w:pPr>
      <w:r>
        <w:rPr>
          <w:szCs w:val="24"/>
          <w:lang w:eastAsia="en-US"/>
        </w:rPr>
        <w:br w:type="page"/>
      </w:r>
    </w:p>
    <w:p w14:paraId="4114E5D6" w14:textId="193BD3CE"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8.</w:t>
      </w:r>
      <w:r w:rsidRPr="002A673F">
        <w:rPr>
          <w:szCs w:val="24"/>
          <w:lang w:eastAsia="en-US"/>
        </w:rPr>
        <w:tab/>
        <w:t>O centro de competências deve assegurar que a identidade do avaliador não seja divulgada aos titulares de PEN durante a verificação do caráter essencial nos termos do artigo 31.º ou durante a avaliação interpares nos termos do artigo 32.º. Toda a comunicação entre o titular da PEN e o avaliador passa pelo centro de competências.</w:t>
      </w:r>
    </w:p>
    <w:p w14:paraId="59C2171D"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9.</w:t>
      </w:r>
      <w:r w:rsidRPr="002A673F">
        <w:rPr>
          <w:szCs w:val="24"/>
          <w:lang w:eastAsia="en-US"/>
        </w:rPr>
        <w:tab/>
        <w:t>Em caso de incumprimento dos requisitos formais nos termos do artigo 28.º, de outros requisitos processuais ou do código de conduta, o centro de competências pode, mediante pedido de qualquer parte interessada apresentado no prazo de um mês a contar da publicação do parecer fundamentado ou do parecer fundamentado definitivo, ou por sua própria iniciativa, rever a verificação e decidir:</w:t>
      </w:r>
    </w:p>
    <w:p w14:paraId="05FD9240" w14:textId="1452609D"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Manter; ou</w:t>
      </w:r>
    </w:p>
    <w:p w14:paraId="6BE04523" w14:textId="3751241A"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Revogar</w:t>
      </w:r>
    </w:p>
    <w:p w14:paraId="15C95025" w14:textId="77777777" w:rsidR="002A673F" w:rsidRPr="002A673F" w:rsidRDefault="002A673F" w:rsidP="002A673F">
      <w:pPr>
        <w:spacing w:before="120" w:after="120" w:line="360" w:lineRule="auto"/>
        <w:ind w:left="850"/>
        <w:rPr>
          <w:szCs w:val="24"/>
          <w:lang w:eastAsia="en-US"/>
        </w:rPr>
      </w:pPr>
      <w:r w:rsidRPr="002A673F">
        <w:rPr>
          <w:szCs w:val="24"/>
          <w:lang w:eastAsia="en-US"/>
        </w:rPr>
        <w:t>os resultados da verificação do caráter essencial de uma PEN registada ou da avaliação interpares.</w:t>
      </w:r>
    </w:p>
    <w:p w14:paraId="35A980C0" w14:textId="77777777" w:rsidR="00937E3A" w:rsidRDefault="00937E3A">
      <w:pPr>
        <w:widowControl/>
        <w:rPr>
          <w:szCs w:val="24"/>
          <w:lang w:eastAsia="en-US"/>
        </w:rPr>
      </w:pPr>
      <w:r>
        <w:rPr>
          <w:szCs w:val="24"/>
          <w:lang w:eastAsia="en-US"/>
        </w:rPr>
        <w:br w:type="page"/>
      </w:r>
    </w:p>
    <w:p w14:paraId="67145BCE" w14:textId="59BFFF14"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10.</w:t>
      </w:r>
      <w:r w:rsidRPr="002A673F">
        <w:rPr>
          <w:szCs w:val="24"/>
          <w:lang w:eastAsia="en-US"/>
        </w:rPr>
        <w:tab/>
        <w:t>Se o centro de competências revogar os resultados nos termos do n.º 9, alínea b), deve nomear um novo avaliador ou avaliador interpares para realizar uma nova verificação do caráter essencial nos termos do artigo 31.º ou uma nova avaliação interpares nos termos do artigo 32.º.</w:t>
      </w:r>
    </w:p>
    <w:p w14:paraId="1312C8CD"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11.</w:t>
      </w:r>
      <w:r w:rsidRPr="002A673F">
        <w:rPr>
          <w:szCs w:val="24"/>
          <w:lang w:eastAsia="en-US"/>
        </w:rPr>
        <w:tab/>
        <w:t>Se a parte que solicita a revisão da verificação do caráter essencial ou da avaliação interpares e a nova nomeação do avaliador considerar que a conclusão do centro de competências é incorreta, pode solicitar às Câmaras de Recurso do EUIPO uma tomada de decisão sobre a questão. O pedido deve ser apresentado no prazo de dois meses a contar da conclusão do centro de competências. As Câmaras de Recurso do EUIPO rejeitam o pedido ou solicitam ao centro de competências que nomeie um novo avaliador e informe a pessoa requerente e, se for caso disso, o titular da PEN.</w:t>
      </w:r>
    </w:p>
    <w:p w14:paraId="52AE2794"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30.º</w:t>
      </w:r>
      <w:r w:rsidRPr="002A673F">
        <w:rPr>
          <w:szCs w:val="24"/>
          <w:lang w:eastAsia="en-US"/>
        </w:rPr>
        <w:br/>
        <w:t xml:space="preserve">Observações das partes interessadas </w:t>
      </w:r>
    </w:p>
    <w:p w14:paraId="7E314110"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No prazo de 90 dias a contar da publicação da lista de PEN registadas selecionadas para amostragem, qualquer parte interessada pode apresentar ao centro de competências observações escritas </w:t>
      </w:r>
      <w:r w:rsidRPr="002A673F">
        <w:rPr>
          <w:b/>
          <w:i/>
          <w:szCs w:val="24"/>
          <w:lang w:eastAsia="en-US"/>
        </w:rPr>
        <w:t xml:space="preserve">e elementos de prova </w:t>
      </w:r>
      <w:r w:rsidRPr="002A673F">
        <w:rPr>
          <w:szCs w:val="24"/>
          <w:lang w:eastAsia="en-US"/>
        </w:rPr>
        <w:t>sobre o caráter essencial das PEN selecionadas.</w:t>
      </w:r>
      <w:r w:rsidRPr="002A673F">
        <w:rPr>
          <w:b/>
          <w:szCs w:val="24"/>
          <w:lang w:eastAsia="en-US"/>
        </w:rPr>
        <w:t xml:space="preserve"> [Alt. 171]</w:t>
      </w:r>
    </w:p>
    <w:p w14:paraId="6CB9924B" w14:textId="77777777" w:rsidR="00937E3A" w:rsidRDefault="00937E3A">
      <w:pPr>
        <w:widowControl/>
        <w:rPr>
          <w:szCs w:val="24"/>
          <w:lang w:eastAsia="en-US"/>
        </w:rPr>
      </w:pPr>
      <w:r>
        <w:rPr>
          <w:szCs w:val="24"/>
          <w:lang w:eastAsia="en-US"/>
        </w:rPr>
        <w:br w:type="page"/>
      </w:r>
    </w:p>
    <w:p w14:paraId="4299FD05" w14:textId="42BD2176"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As observações referidas no n.º 1 são comunicadas ao titular da PEN, que pode comentar as mesmas no prazo fixado pelo centro de competências.</w:t>
      </w:r>
    </w:p>
    <w:p w14:paraId="288C8C8C"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O centro de competências apresenta as observações</w:t>
      </w:r>
      <w:r w:rsidRPr="002A673F">
        <w:rPr>
          <w:b/>
          <w:i/>
          <w:szCs w:val="24"/>
          <w:lang w:eastAsia="en-US"/>
        </w:rPr>
        <w:t>, os elementos de prova</w:t>
      </w:r>
      <w:r w:rsidRPr="002A673F">
        <w:rPr>
          <w:szCs w:val="24"/>
          <w:lang w:eastAsia="en-US"/>
        </w:rPr>
        <w:t xml:space="preserve"> e as respostas do titular da PEN ao avaliador após o termo dos prazos fixados.</w:t>
      </w:r>
      <w:r w:rsidRPr="002A673F">
        <w:rPr>
          <w:b/>
          <w:szCs w:val="24"/>
          <w:lang w:eastAsia="en-US"/>
        </w:rPr>
        <w:t xml:space="preserve"> [Alt. 172]</w:t>
      </w:r>
    </w:p>
    <w:p w14:paraId="32F8A7A2"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31.º</w:t>
      </w:r>
      <w:r w:rsidRPr="002A673F">
        <w:rPr>
          <w:szCs w:val="24"/>
          <w:lang w:eastAsia="en-US"/>
        </w:rPr>
        <w:br/>
        <w:t>Verificação do caráter essencial de uma PEN registada</w:t>
      </w:r>
    </w:p>
    <w:p w14:paraId="0843C45A"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A verificação do caráter essencial deve ser efetuada segundo um procedimento que garanta tempo suficiente, rigor e elevada qualidade.</w:t>
      </w:r>
    </w:p>
    <w:p w14:paraId="2AD063A6"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O avaliador pode convidar o titular da PEN em causa a apresentar observações, num prazo a fixar pelo avaliador.</w:t>
      </w:r>
    </w:p>
    <w:p w14:paraId="178B9E90"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Sempre que um avaliador tenha motivos para acreditar que a PEN pode não ser essencial para a norma, o centro de competências informa o titular da PEN desses motivos e fixa um prazo para o titular da PEN apresentar as suas observações ou apresentar um quadro de reivindicações alterado.</w:t>
      </w:r>
    </w:p>
    <w:p w14:paraId="5475A6C4" w14:textId="77777777" w:rsidR="00937E3A" w:rsidRDefault="00937E3A">
      <w:pPr>
        <w:widowControl/>
        <w:rPr>
          <w:szCs w:val="24"/>
          <w:lang w:eastAsia="en-US"/>
        </w:rPr>
      </w:pPr>
      <w:r>
        <w:rPr>
          <w:szCs w:val="24"/>
          <w:lang w:eastAsia="en-US"/>
        </w:rPr>
        <w:br w:type="page"/>
      </w:r>
    </w:p>
    <w:p w14:paraId="624ECA2F" w14:textId="262E2CB3"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w:t>
      </w:r>
      <w:r w:rsidRPr="002A673F">
        <w:rPr>
          <w:szCs w:val="24"/>
          <w:lang w:eastAsia="en-US"/>
        </w:rPr>
        <w:tab/>
        <w:t>O avaliador deve ter devidamente em conta todas as informações fornecidas pelo titular da PEN</w:t>
      </w:r>
      <w:r w:rsidRPr="002A673F">
        <w:rPr>
          <w:b/>
          <w:i/>
          <w:szCs w:val="24"/>
          <w:lang w:eastAsia="en-US"/>
        </w:rPr>
        <w:t xml:space="preserve"> ou pelas partes interessadas, em conformidade com o procedimento previsto no artigo 30.º</w:t>
      </w:r>
      <w:r w:rsidRPr="002A673F">
        <w:rPr>
          <w:szCs w:val="24"/>
          <w:lang w:eastAsia="en-US"/>
        </w:rPr>
        <w:t>.</w:t>
      </w:r>
      <w:r w:rsidRPr="002A673F">
        <w:rPr>
          <w:b/>
          <w:szCs w:val="24"/>
          <w:lang w:eastAsia="en-US"/>
        </w:rPr>
        <w:t xml:space="preserve"> [Alt. 173]</w:t>
      </w:r>
    </w:p>
    <w:p w14:paraId="03AF5F0B"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5.</w:t>
      </w:r>
      <w:r w:rsidRPr="002A673F">
        <w:rPr>
          <w:szCs w:val="24"/>
          <w:lang w:eastAsia="en-US"/>
        </w:rPr>
        <w:tab/>
        <w:t>O avaliador envia o seu parecer fundamentado ao centro de competências no prazo de seis meses a contar da sua nomeação. O parecer fundamentado deve incluir o nome do titular da PEN e do avaliador, a PEN sujeita à verificação do caráter essencial, a norma pertinente, um resumo do procedimento de exame, o resultado da verificação do caráter essencial e as razões nas quais esse resultado se baseia.</w:t>
      </w:r>
    </w:p>
    <w:p w14:paraId="79DDE709"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6.</w:t>
      </w:r>
      <w:r w:rsidRPr="002A673F">
        <w:rPr>
          <w:szCs w:val="24"/>
          <w:lang w:eastAsia="en-US"/>
        </w:rPr>
        <w:tab/>
        <w:t>O centro de competências notifica o parecer fundamentado ao titular da PEN.</w:t>
      </w:r>
    </w:p>
    <w:p w14:paraId="50F52D65"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32.º</w:t>
      </w:r>
      <w:r w:rsidRPr="002A673F">
        <w:rPr>
          <w:szCs w:val="24"/>
          <w:lang w:eastAsia="en-US"/>
        </w:rPr>
        <w:br/>
        <w:t xml:space="preserve">Avaliação pelos pares </w:t>
      </w:r>
    </w:p>
    <w:p w14:paraId="68DB4F89" w14:textId="41B2662C"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Se o centro de competências tiver informado o titu</w:t>
      </w:r>
      <w:r w:rsidR="00D45C43">
        <w:rPr>
          <w:szCs w:val="24"/>
          <w:lang w:eastAsia="en-US"/>
        </w:rPr>
        <w:t>lar da PEN nos termos do artigo </w:t>
      </w:r>
      <w:r w:rsidRPr="002A673F">
        <w:rPr>
          <w:szCs w:val="24"/>
          <w:lang w:eastAsia="en-US"/>
        </w:rPr>
        <w:t>31.º, n.º 3, o titular da PEN pode solicitar uma avaliação pelos pares antes do termo do prazo para apresentar as suas observações nos termos do artigo 31.º, n.º 3.</w:t>
      </w:r>
    </w:p>
    <w:p w14:paraId="40871E6D"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Se o titular da PEN solicitar uma avaliação pelos pares, o centro de competências nomeia um avaliador interpares.</w:t>
      </w:r>
    </w:p>
    <w:p w14:paraId="47D0743D" w14:textId="77777777" w:rsidR="00937E3A" w:rsidRDefault="00937E3A">
      <w:pPr>
        <w:widowControl/>
        <w:rPr>
          <w:szCs w:val="24"/>
          <w:lang w:eastAsia="en-US"/>
        </w:rPr>
      </w:pPr>
      <w:r>
        <w:rPr>
          <w:szCs w:val="24"/>
          <w:lang w:eastAsia="en-US"/>
        </w:rPr>
        <w:br w:type="page"/>
      </w:r>
    </w:p>
    <w:p w14:paraId="1AA70568" w14:textId="408BA1F1"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w:t>
      </w:r>
      <w:r w:rsidRPr="002A673F">
        <w:rPr>
          <w:szCs w:val="24"/>
          <w:lang w:eastAsia="en-US"/>
        </w:rPr>
        <w:tab/>
        <w:t>O avaliador interpares deve ter devidamente em conta todas as informações comunicadas pelo titular da PEN</w:t>
      </w:r>
      <w:r w:rsidRPr="002A673F">
        <w:rPr>
          <w:b/>
          <w:i/>
          <w:szCs w:val="24"/>
          <w:lang w:eastAsia="en-US"/>
        </w:rPr>
        <w:t xml:space="preserve"> ou partes interessadas que tenham fornecido observações ou elementos de prova em conformidade com o procedimento previsto no artigo 30.º</w:t>
      </w:r>
      <w:r w:rsidRPr="002A673F">
        <w:rPr>
          <w:szCs w:val="24"/>
          <w:lang w:eastAsia="en-US"/>
        </w:rPr>
        <w:t>,</w:t>
      </w:r>
      <w:r w:rsidRPr="002A673F">
        <w:rPr>
          <w:b/>
          <w:i/>
          <w:szCs w:val="24"/>
          <w:lang w:eastAsia="en-US"/>
        </w:rPr>
        <w:t xml:space="preserve"> bem como</w:t>
      </w:r>
      <w:r w:rsidRPr="002A673F">
        <w:rPr>
          <w:szCs w:val="24"/>
          <w:lang w:eastAsia="en-US"/>
        </w:rPr>
        <w:t xml:space="preserve"> as razões pelas quais o avaliador inicial considerou que a PEN pode não ser essencial para a norma e eventuais quadros de reivindicações alterados ou observações adicionais fornecidas pelo titular da PEN.</w:t>
      </w:r>
      <w:r w:rsidRPr="002A673F">
        <w:rPr>
          <w:b/>
          <w:szCs w:val="24"/>
          <w:lang w:eastAsia="en-US"/>
        </w:rPr>
        <w:t xml:space="preserve"> [Alt. 174]</w:t>
      </w:r>
    </w:p>
    <w:p w14:paraId="1487170A"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Se a avaliação pelos pares confirmar as conclusões preliminares do avaliador de que a PEN avaliada pode não ser essencial para a norma para a qual foi registada, o avaliador informa o centro de competências e apresenta as razões para esse parecer. O centro de competências informa o titular da PEN e convida-o a apresentar as suas observações.</w:t>
      </w:r>
    </w:p>
    <w:p w14:paraId="0C7CEF9D" w14:textId="77777777" w:rsidR="00937E3A" w:rsidRDefault="00937E3A">
      <w:pPr>
        <w:widowControl/>
        <w:rPr>
          <w:szCs w:val="24"/>
          <w:lang w:eastAsia="en-US"/>
        </w:rPr>
      </w:pPr>
      <w:r>
        <w:rPr>
          <w:szCs w:val="24"/>
          <w:lang w:eastAsia="en-US"/>
        </w:rPr>
        <w:br w:type="page"/>
      </w:r>
    </w:p>
    <w:p w14:paraId="1D8B8D36" w14:textId="23083243"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5.</w:t>
      </w:r>
      <w:r w:rsidRPr="002A673F">
        <w:rPr>
          <w:szCs w:val="24"/>
          <w:lang w:eastAsia="en-US"/>
        </w:rPr>
        <w:tab/>
        <w:t>O avaliador interpares deve ter devidamente em conta as observações do titular da PEN</w:t>
      </w:r>
      <w:r w:rsidRPr="002A673F">
        <w:rPr>
          <w:b/>
          <w:i/>
          <w:szCs w:val="24"/>
          <w:lang w:eastAsia="en-US"/>
        </w:rPr>
        <w:t>, ou as observações ou elementos de prova fornecidos por outras partes interessadas em conformidade com o artigo 30.º,</w:t>
      </w:r>
      <w:r w:rsidRPr="002A673F">
        <w:rPr>
          <w:szCs w:val="24"/>
          <w:lang w:eastAsia="en-US"/>
        </w:rPr>
        <w:t xml:space="preserve"> e emitir um parecer fundamentado definitivo dirigido ao centro de competências no prazo de três meses a contar da sua nomeação. O parecer fundamentado definitivo deve incluir o nome do titular da PEN, do avaliador e do avaliador interpares, a PEN sujeita à verificação do caráter essencial, a norma pertinente, um resumo do procedimento de exame e da avaliação pelos pares, a conclusão preliminar do avaliador, o resultado da avaliação pelos pares e as razões em que esse resultado se baseia.</w:t>
      </w:r>
      <w:r w:rsidRPr="002A673F">
        <w:rPr>
          <w:b/>
          <w:szCs w:val="24"/>
          <w:lang w:eastAsia="en-US"/>
        </w:rPr>
        <w:t xml:space="preserve"> [Alt. 175]</w:t>
      </w:r>
    </w:p>
    <w:p w14:paraId="0DB51B66"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6.</w:t>
      </w:r>
      <w:r w:rsidRPr="002A673F">
        <w:rPr>
          <w:szCs w:val="24"/>
          <w:lang w:eastAsia="en-US"/>
        </w:rPr>
        <w:tab/>
        <w:t>O centro de competências comunica o parecer fundamentado definitivo ao titular da PEN.</w:t>
      </w:r>
    </w:p>
    <w:p w14:paraId="77E8D62B"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7.</w:t>
      </w:r>
      <w:r w:rsidRPr="002A673F">
        <w:rPr>
          <w:szCs w:val="24"/>
          <w:lang w:eastAsia="en-US"/>
        </w:rPr>
        <w:tab/>
        <w:t>Os resultados da avaliação pelos pares servem para melhorar o processo de verificação do caráter essencial e assegurar a coerência.</w:t>
      </w:r>
    </w:p>
    <w:p w14:paraId="3A6D1FB7"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33.º</w:t>
      </w:r>
      <w:r w:rsidRPr="002A673F">
        <w:rPr>
          <w:szCs w:val="24"/>
          <w:lang w:eastAsia="en-US"/>
        </w:rPr>
        <w:br/>
        <w:t>Publicação dos resultados das verificações do caráter essencial</w:t>
      </w:r>
    </w:p>
    <w:p w14:paraId="07667F22"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O centro de competências deve inscrever o resultado da verificação do caráter essencial ou da avaliação pelos pares no registo e o parecer fundamentado e o parecer fundamentado definitivo na base de dados. O resultado da verificação do caráter essencial ao abrigo do presente regulamento é válido para todas as PEN da mesma família de patentes.</w:t>
      </w:r>
    </w:p>
    <w:p w14:paraId="3195E19A" w14:textId="77777777" w:rsidR="00937E3A" w:rsidRDefault="00937E3A">
      <w:pPr>
        <w:widowControl/>
        <w:rPr>
          <w:szCs w:val="24"/>
          <w:lang w:eastAsia="en-US"/>
        </w:rPr>
      </w:pPr>
      <w:r>
        <w:rPr>
          <w:szCs w:val="24"/>
          <w:lang w:eastAsia="en-US"/>
        </w:rPr>
        <w:br w:type="page"/>
      </w:r>
    </w:p>
    <w:p w14:paraId="0227F20E" w14:textId="30010126"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O centro de competências deve publicar no registo a percentagem de PEN incluídas na amostra por titular de PEN e por norma registada específica aprovada no teste do caráter essencial.</w:t>
      </w:r>
    </w:p>
    <w:p w14:paraId="517DA720"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Caso a publicação dos resultados contenha um erro imputável ao centro de competências, este deve, por sua própria iniciativa ou a pedido do titular da PEN que efetuou o registo, corrigir o erro e publicar a correção.</w:t>
      </w:r>
    </w:p>
    <w:p w14:paraId="5C815EA0" w14:textId="77777777" w:rsidR="002A673F" w:rsidRPr="002A673F" w:rsidRDefault="002A673F" w:rsidP="002A673F">
      <w:pPr>
        <w:spacing w:before="120" w:after="120" w:line="360" w:lineRule="auto"/>
        <w:jc w:val="center"/>
        <w:rPr>
          <w:szCs w:val="24"/>
          <w:lang w:eastAsia="en-US"/>
        </w:rPr>
      </w:pPr>
      <w:r w:rsidRPr="002A673F">
        <w:rPr>
          <w:szCs w:val="24"/>
          <w:lang w:eastAsia="en-US"/>
        </w:rPr>
        <w:t xml:space="preserve">Título VI </w:t>
      </w:r>
      <w:r w:rsidRPr="002A673F">
        <w:rPr>
          <w:szCs w:val="24"/>
          <w:lang w:eastAsia="en-US"/>
        </w:rPr>
        <w:br/>
        <w:t>Determinação FRAND</w:t>
      </w:r>
    </w:p>
    <w:p w14:paraId="6A181576"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34.º</w:t>
      </w:r>
      <w:r w:rsidRPr="002A673F">
        <w:rPr>
          <w:szCs w:val="24"/>
          <w:lang w:eastAsia="en-US"/>
        </w:rPr>
        <w:br/>
        <w:t>Início da determinação FRAND</w:t>
      </w:r>
    </w:p>
    <w:p w14:paraId="38FC3AF1"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A determinação FRAND relativamente a uma norma e aplicação para a qual tenha sido criada uma inscrição no registo pode ser iniciada por uma das seguintes pessoas:</w:t>
      </w:r>
    </w:p>
    <w:p w14:paraId="3F6DF8AE" w14:textId="3EE2D4B5"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O titular da PEN, antes da instauração de uma ação por violação da PEN perante um tribunal competente de um Estado-Membro;</w:t>
      </w:r>
    </w:p>
    <w:p w14:paraId="5DC5AF2B" w14:textId="77777777" w:rsidR="00937E3A" w:rsidRDefault="00937E3A">
      <w:pPr>
        <w:widowControl/>
        <w:rPr>
          <w:szCs w:val="24"/>
          <w:lang w:eastAsia="en-US"/>
        </w:rPr>
      </w:pPr>
      <w:r>
        <w:rPr>
          <w:szCs w:val="24"/>
          <w:lang w:eastAsia="en-US"/>
        </w:rPr>
        <w:br w:type="page"/>
      </w:r>
    </w:p>
    <w:p w14:paraId="78EA0FD6" w14:textId="1F0706BD"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b)</w:t>
      </w:r>
      <w:r w:rsidRPr="002A673F">
        <w:rPr>
          <w:szCs w:val="24"/>
          <w:lang w:eastAsia="en-US"/>
        </w:rPr>
        <w:tab/>
        <w:t>Um utilizador de uma PEN antes de qualquer pedido de determinação ou avaliação das condições FRAND de uma licença de PEN perante um tribunal competente de um Estado-Membro.</w:t>
      </w:r>
    </w:p>
    <w:p w14:paraId="466E82C6" w14:textId="77777777" w:rsidR="002A673F" w:rsidRPr="00E075CA" w:rsidRDefault="002A673F" w:rsidP="002A673F">
      <w:pPr>
        <w:spacing w:before="120" w:after="120" w:line="360" w:lineRule="auto"/>
        <w:ind w:left="850"/>
        <w:rPr>
          <w:b/>
          <w:szCs w:val="24"/>
          <w:lang w:eastAsia="en-US"/>
        </w:rPr>
      </w:pPr>
      <w:r w:rsidRPr="002A673F">
        <w:rPr>
          <w:b/>
          <w:i/>
          <w:szCs w:val="24"/>
          <w:lang w:eastAsia="en-US"/>
        </w:rPr>
        <w:t>A determinação FRAND não se aplica aos acordos de licenças em vigor durante o respetivo período de aplicação.</w:t>
      </w:r>
      <w:r w:rsidRPr="002A673F">
        <w:rPr>
          <w:b/>
          <w:szCs w:val="24"/>
          <w:lang w:eastAsia="en-US"/>
        </w:rPr>
        <w:t xml:space="preserve"> [Alt. 176]</w:t>
      </w:r>
    </w:p>
    <w:p w14:paraId="189BAD7D"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A parte que solicita a determinação FRAND é designada por «parte requerente», qualquer parte que responda ao pedido por «parte requerida» e ambas as partes são designadas por «partes» para efeitos da determinação FRAND.</w:t>
      </w:r>
    </w:p>
    <w:p w14:paraId="275B59CC"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A determinação FRAND pode ser iniciada por uma parte ou as partes podem a ela aderir para resolver voluntariamente litígios relacionados com as condições FRAND.</w:t>
      </w:r>
    </w:p>
    <w:p w14:paraId="739A904B" w14:textId="77777777" w:rsidR="00937E3A" w:rsidRDefault="00937E3A">
      <w:pPr>
        <w:widowControl/>
        <w:rPr>
          <w:szCs w:val="24"/>
          <w:lang w:eastAsia="en-US"/>
        </w:rPr>
      </w:pPr>
      <w:r>
        <w:rPr>
          <w:szCs w:val="24"/>
          <w:lang w:eastAsia="en-US"/>
        </w:rPr>
        <w:br w:type="page"/>
      </w:r>
    </w:p>
    <w:p w14:paraId="7690A23A" w14:textId="03DDEB5A"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w:t>
      </w:r>
      <w:r w:rsidRPr="002A673F">
        <w:rPr>
          <w:szCs w:val="24"/>
          <w:lang w:eastAsia="en-US"/>
        </w:rPr>
        <w:tab/>
        <w:t>A obrigação de iniciar a determinação FRAND nos termos do n.º 1</w:t>
      </w:r>
      <w:r w:rsidRPr="002A673F">
        <w:rPr>
          <w:strike/>
          <w:szCs w:val="24"/>
          <w:lang w:eastAsia="en-US"/>
        </w:rPr>
        <w:t xml:space="preserve"> antes do processo judicial</w:t>
      </w:r>
      <w:r w:rsidRPr="002A673F">
        <w:rPr>
          <w:szCs w:val="24"/>
          <w:lang w:eastAsia="en-US"/>
        </w:rPr>
        <w:t xml:space="preserve"> não inibe a possibilidade de qualquer uma das partes solicitar, enquanto se aguarda a determinação FRAND, ao tribunal competente de um Estado-Membro que emita uma injunção pecuniária provisória contra o alegado infrator. A injunção provisória exclui a apreensão de bens do alegado infrator e a apreensão ou entrega dos produtos suspeitos de violarem uma PEN. Se a legislação nacional previr que a injunção pecuniária provisória só pode ser requerida quando um processo estiver pendente de decisão quanto ao mérito, qualquer uma das partes pode intentar uma ação quanto ao mérito da causa perante o tribunal competente de um Estado-Membro para esse efeito. No entanto, as partes devem solicitar ao tribunal competente de um Estado-Membro que suspenda o processo quanto ao mérito durante a determinação FRAND. Ao decidir da concessão da injunção provisória, o tribunal competente de um Estado-Membro deve considerar que está em curso um procedimento de determinação FRAND.</w:t>
      </w:r>
      <w:r w:rsidRPr="002A673F">
        <w:rPr>
          <w:b/>
          <w:szCs w:val="24"/>
          <w:lang w:eastAsia="en-US"/>
        </w:rPr>
        <w:t xml:space="preserve"> [Alt. 177]</w:t>
      </w:r>
    </w:p>
    <w:p w14:paraId="25AC70FA" w14:textId="382A258A" w:rsidR="002A673F" w:rsidRPr="00E075CA" w:rsidRDefault="002A673F" w:rsidP="002A673F">
      <w:pPr>
        <w:spacing w:before="120" w:after="120" w:line="360" w:lineRule="auto"/>
        <w:ind w:left="850" w:hanging="850"/>
        <w:rPr>
          <w:b/>
          <w:szCs w:val="24"/>
          <w:lang w:eastAsia="en-US"/>
        </w:rPr>
      </w:pPr>
      <w:r w:rsidRPr="002A673F">
        <w:rPr>
          <w:szCs w:val="24"/>
          <w:lang w:eastAsia="en-US"/>
        </w:rPr>
        <w:t>5.</w:t>
      </w:r>
      <w:r w:rsidRPr="002A673F">
        <w:rPr>
          <w:szCs w:val="24"/>
          <w:lang w:eastAsia="en-US"/>
        </w:rPr>
        <w:tab/>
        <w:t>Uma vez concluída a determinação FRAND, as partes devem ter à sua disposição todo o conjunto de medidas, incluindo medidas provisórias, cautelares e corretivas.</w:t>
      </w:r>
      <w:r w:rsidRPr="002A673F">
        <w:rPr>
          <w:b/>
          <w:szCs w:val="24"/>
          <w:lang w:eastAsia="en-US"/>
        </w:rPr>
        <w:t xml:space="preserve"> [Alt. 178</w:t>
      </w:r>
      <w:r w:rsidR="00937E3A">
        <w:rPr>
          <w:b/>
          <w:szCs w:val="24"/>
          <w:lang w:eastAsia="en-US"/>
        </w:rPr>
        <w:t xml:space="preserve"> - </w:t>
      </w:r>
      <w:r w:rsidR="00937E3A" w:rsidRPr="002C5F88">
        <w:rPr>
          <w:b/>
          <w:szCs w:val="24"/>
          <w:lang w:eastAsia="en-US"/>
        </w:rPr>
        <w:t>Não se aplica à versão portuguesa</w:t>
      </w:r>
      <w:r w:rsidRPr="002A673F">
        <w:rPr>
          <w:b/>
          <w:szCs w:val="24"/>
          <w:lang w:eastAsia="en-US"/>
        </w:rPr>
        <w:t>]</w:t>
      </w:r>
    </w:p>
    <w:p w14:paraId="59D6A6DB" w14:textId="77777777" w:rsidR="00937E3A" w:rsidRDefault="00937E3A">
      <w:pPr>
        <w:widowControl/>
        <w:rPr>
          <w:szCs w:val="24"/>
          <w:lang w:eastAsia="en-US"/>
        </w:rPr>
      </w:pPr>
      <w:r>
        <w:rPr>
          <w:szCs w:val="24"/>
          <w:lang w:eastAsia="en-US"/>
        </w:rPr>
        <w:br w:type="page"/>
      </w:r>
    </w:p>
    <w:p w14:paraId="6376DB7E" w14:textId="0B9E7AB8"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35.º</w:t>
      </w:r>
      <w:r w:rsidRPr="002A673F">
        <w:rPr>
          <w:szCs w:val="24"/>
          <w:lang w:eastAsia="en-US"/>
        </w:rPr>
        <w:br/>
        <w:t>Regulamento interno</w:t>
      </w:r>
    </w:p>
    <w:p w14:paraId="61CF6536" w14:textId="77777777" w:rsidR="002A673F" w:rsidRPr="002A673F" w:rsidRDefault="002A673F" w:rsidP="002A673F">
      <w:pPr>
        <w:spacing w:before="120" w:after="120" w:line="360" w:lineRule="auto"/>
        <w:rPr>
          <w:szCs w:val="24"/>
          <w:lang w:eastAsia="en-US"/>
        </w:rPr>
      </w:pPr>
      <w:r w:rsidRPr="002A673F">
        <w:rPr>
          <w:szCs w:val="24"/>
          <w:lang w:eastAsia="en-US"/>
        </w:rPr>
        <w:t>A determinação FRAND rege-se pelos artigos 34.º a 58.º, tal como aplicado nos termos do artigo 26.º, n.º 5.</w:t>
      </w:r>
    </w:p>
    <w:p w14:paraId="6C6AACCB"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36.º</w:t>
      </w:r>
      <w:r w:rsidRPr="002A673F">
        <w:rPr>
          <w:szCs w:val="24"/>
          <w:lang w:eastAsia="en-US"/>
        </w:rPr>
        <w:br/>
        <w:t>Teor do pedido de início de uma determinação FRAND</w:t>
      </w:r>
    </w:p>
    <w:p w14:paraId="5373E254"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A determinação FRAND deve ser iniciada mediante pedido escrito ao centro de competências, o qual deve conter as seguintes informações:</w:t>
      </w:r>
    </w:p>
    <w:p w14:paraId="1FBE90A7" w14:textId="6B9A321C"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O nome e dados de contacto da parte requerente;</w:t>
      </w:r>
    </w:p>
    <w:p w14:paraId="6CC00BDD" w14:textId="158157E2"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O nome e endereço da parte requerida;</w:t>
      </w:r>
    </w:p>
    <w:p w14:paraId="1E941C24" w14:textId="1E152862"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Os números de inscrição das PEN relevantes constantes do registo;</w:t>
      </w:r>
    </w:p>
    <w:p w14:paraId="3308587C" w14:textId="2CBB02AE" w:rsidR="002A673F" w:rsidRPr="00E075CA" w:rsidRDefault="002A673F" w:rsidP="002A673F">
      <w:pPr>
        <w:spacing w:before="120" w:after="120" w:line="360" w:lineRule="auto"/>
        <w:ind w:left="1416" w:hanging="566"/>
        <w:rPr>
          <w:b/>
          <w:szCs w:val="24"/>
          <w:lang w:eastAsia="en-US"/>
        </w:rPr>
      </w:pPr>
      <w:r w:rsidRPr="002A673F">
        <w:rPr>
          <w:szCs w:val="24"/>
          <w:lang w:eastAsia="en-US"/>
        </w:rPr>
        <w:t>d)</w:t>
      </w:r>
      <w:r w:rsidRPr="002A673F">
        <w:rPr>
          <w:szCs w:val="24"/>
          <w:lang w:eastAsia="en-US"/>
        </w:rPr>
        <w:tab/>
        <w:t>A designação comercial da norma e o nome do organismo de normalização</w:t>
      </w:r>
      <w:r w:rsidRPr="002A673F">
        <w:rPr>
          <w:b/>
          <w:i/>
          <w:szCs w:val="24"/>
          <w:lang w:eastAsia="en-US"/>
        </w:rPr>
        <w:t xml:space="preserve"> pertinente</w:t>
      </w:r>
      <w:r w:rsidRPr="002A673F">
        <w:rPr>
          <w:szCs w:val="24"/>
          <w:lang w:eastAsia="en-US"/>
        </w:rPr>
        <w:t>;</w:t>
      </w:r>
      <w:r w:rsidRPr="002A673F">
        <w:rPr>
          <w:b/>
          <w:szCs w:val="24"/>
          <w:lang w:eastAsia="en-US"/>
        </w:rPr>
        <w:t xml:space="preserve"> [Alt. 179]</w:t>
      </w:r>
    </w:p>
    <w:p w14:paraId="62376ADB" w14:textId="1D62A734" w:rsidR="002A673F" w:rsidRPr="002A673F" w:rsidRDefault="002A673F" w:rsidP="002A673F">
      <w:pPr>
        <w:spacing w:before="120" w:after="120" w:line="360" w:lineRule="auto"/>
        <w:ind w:left="1416" w:hanging="566"/>
        <w:rPr>
          <w:szCs w:val="24"/>
          <w:lang w:eastAsia="en-US"/>
        </w:rPr>
      </w:pPr>
      <w:r w:rsidRPr="002A673F">
        <w:rPr>
          <w:szCs w:val="24"/>
          <w:lang w:eastAsia="en-US"/>
        </w:rPr>
        <w:t>e)</w:t>
      </w:r>
      <w:r w:rsidRPr="002A673F">
        <w:rPr>
          <w:szCs w:val="24"/>
          <w:lang w:eastAsia="en-US"/>
        </w:rPr>
        <w:tab/>
        <w:t>Um resumo das negociações de concessão de licenças até à data, se aplicável;</w:t>
      </w:r>
    </w:p>
    <w:p w14:paraId="1E50EE0C" w14:textId="77777777" w:rsidR="00937E3A" w:rsidRDefault="00937E3A">
      <w:pPr>
        <w:widowControl/>
        <w:rPr>
          <w:szCs w:val="24"/>
          <w:lang w:eastAsia="en-US"/>
        </w:rPr>
      </w:pPr>
      <w:r>
        <w:rPr>
          <w:szCs w:val="24"/>
          <w:lang w:eastAsia="en-US"/>
        </w:rPr>
        <w:br w:type="page"/>
      </w:r>
    </w:p>
    <w:p w14:paraId="030B3D49" w14:textId="6CB52F22" w:rsidR="002A673F" w:rsidRPr="00E075CA" w:rsidRDefault="002A673F" w:rsidP="002A673F">
      <w:pPr>
        <w:spacing w:before="120" w:after="120" w:line="360" w:lineRule="auto"/>
        <w:ind w:left="1416" w:hanging="566"/>
        <w:rPr>
          <w:b/>
          <w:szCs w:val="24"/>
          <w:lang w:eastAsia="en-US"/>
        </w:rPr>
      </w:pPr>
      <w:r w:rsidRPr="002A673F">
        <w:rPr>
          <w:szCs w:val="24"/>
          <w:lang w:eastAsia="en-US"/>
        </w:rPr>
        <w:lastRenderedPageBreak/>
        <w:t>f)</w:t>
      </w:r>
      <w:r w:rsidRPr="002A673F">
        <w:rPr>
          <w:szCs w:val="24"/>
          <w:lang w:eastAsia="en-US"/>
        </w:rPr>
        <w:tab/>
        <w:t>Referências a qualquer outra determinação FRAND</w:t>
      </w:r>
      <w:r w:rsidRPr="002A673F">
        <w:rPr>
          <w:b/>
          <w:i/>
          <w:szCs w:val="24"/>
          <w:lang w:eastAsia="en-US"/>
        </w:rPr>
        <w:t xml:space="preserve"> conexa</w:t>
      </w:r>
      <w:r w:rsidRPr="002A673F">
        <w:rPr>
          <w:szCs w:val="24"/>
          <w:lang w:eastAsia="en-US"/>
        </w:rPr>
        <w:t>, se aplicável.</w:t>
      </w:r>
      <w:r w:rsidRPr="002A673F">
        <w:rPr>
          <w:b/>
          <w:szCs w:val="24"/>
          <w:lang w:eastAsia="en-US"/>
        </w:rPr>
        <w:t xml:space="preserve"> [Alt. 180]</w:t>
      </w:r>
    </w:p>
    <w:p w14:paraId="613AD84F" w14:textId="01BB426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Se for apresentado por um titular de PEN, para além das informações enumeradas no n.º 1, o pedido de início de uma determinação FRAND deve conter as seguintes informações:</w:t>
      </w:r>
      <w:r w:rsidRPr="002A673F">
        <w:rPr>
          <w:b/>
          <w:szCs w:val="24"/>
          <w:lang w:eastAsia="en-US"/>
        </w:rPr>
        <w:t xml:space="preserve"> [Alt. 181</w:t>
      </w:r>
      <w:r w:rsidR="00937E3A">
        <w:rPr>
          <w:b/>
          <w:szCs w:val="24"/>
          <w:lang w:eastAsia="en-US"/>
        </w:rPr>
        <w:t xml:space="preserve"> - </w:t>
      </w:r>
      <w:r w:rsidR="00937E3A" w:rsidRPr="002C5F88">
        <w:rPr>
          <w:b/>
          <w:szCs w:val="24"/>
          <w:lang w:eastAsia="en-US"/>
        </w:rPr>
        <w:t>Não se aplica à versão portuguesa</w:t>
      </w:r>
      <w:r w:rsidRPr="002A673F">
        <w:rPr>
          <w:b/>
          <w:szCs w:val="24"/>
          <w:lang w:eastAsia="en-US"/>
        </w:rPr>
        <w:t>]</w:t>
      </w:r>
    </w:p>
    <w:p w14:paraId="298930C9" w14:textId="7DDE22DC"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Quadros de reivindicações que relacionem com a norma as reivindicações de patentes de uma seleção de PEN registadas;</w:t>
      </w:r>
    </w:p>
    <w:p w14:paraId="0F215096" w14:textId="4DEC4756"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Prova da verificação do caráter essencial, se disponível.</w:t>
      </w:r>
    </w:p>
    <w:p w14:paraId="0C1D3B80"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O pedido de início de uma determinação FRAND pode incluir uma proposta de determinação FRAND.</w:t>
      </w:r>
    </w:p>
    <w:p w14:paraId="58804908"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37.º</w:t>
      </w:r>
      <w:r w:rsidRPr="002A673F">
        <w:rPr>
          <w:szCs w:val="24"/>
          <w:lang w:eastAsia="en-US"/>
        </w:rPr>
        <w:br/>
        <w:t xml:space="preserve">Duração da determinação FRAND </w:t>
      </w:r>
    </w:p>
    <w:p w14:paraId="4C7EA633" w14:textId="7C7979FE"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Salvo acordo em contrário das partes, o período compreendido entre a data de apresentação do pedido de continuação da determinação FRAND em conformidade com o artigo 38.º, n.º 3, alíneas b) ou c), ou o artigo 38.º, n.º 4, alínea a), segunda frase, ou o artigo 38.º, n.º 4, alínea c), conforme aplicável, e a data de cessação do procedimento não pode exceder nove meses.</w:t>
      </w:r>
      <w:r w:rsidRPr="002A673F">
        <w:rPr>
          <w:b/>
          <w:szCs w:val="24"/>
          <w:lang w:eastAsia="en-US"/>
        </w:rPr>
        <w:t xml:space="preserve"> [Alt. 182</w:t>
      </w:r>
      <w:r w:rsidR="00937E3A">
        <w:rPr>
          <w:b/>
          <w:szCs w:val="24"/>
          <w:lang w:eastAsia="en-US"/>
        </w:rPr>
        <w:t xml:space="preserve"> - </w:t>
      </w:r>
      <w:r w:rsidR="00937E3A" w:rsidRPr="002C5F88">
        <w:rPr>
          <w:b/>
          <w:szCs w:val="24"/>
          <w:lang w:eastAsia="en-US"/>
        </w:rPr>
        <w:t>Não se aplica à versão portuguesa</w:t>
      </w:r>
      <w:r w:rsidRPr="002A673F">
        <w:rPr>
          <w:b/>
          <w:szCs w:val="24"/>
          <w:lang w:eastAsia="en-US"/>
        </w:rPr>
        <w:t>]</w:t>
      </w:r>
    </w:p>
    <w:p w14:paraId="576DE4C6" w14:textId="77777777" w:rsidR="00937E3A" w:rsidRDefault="00937E3A">
      <w:pPr>
        <w:widowControl/>
        <w:rPr>
          <w:szCs w:val="24"/>
          <w:lang w:eastAsia="en-US"/>
        </w:rPr>
      </w:pPr>
      <w:r>
        <w:rPr>
          <w:szCs w:val="24"/>
          <w:lang w:eastAsia="en-US"/>
        </w:rPr>
        <w:br w:type="page"/>
      </w:r>
    </w:p>
    <w:p w14:paraId="31BADAC1" w14:textId="1E6D0538"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O prazo de prescrição dos pedidos apresentados perante um tribunal competente de um Estado-Membro é suspenso durante o período de determinação FRAND.</w:t>
      </w:r>
    </w:p>
    <w:p w14:paraId="6866EAFD"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38.º</w:t>
      </w:r>
      <w:r w:rsidRPr="002A673F">
        <w:rPr>
          <w:szCs w:val="24"/>
          <w:lang w:eastAsia="en-US"/>
        </w:rPr>
        <w:br/>
        <w:t>Notificação do pedido de determinação FRAND e resposta</w:t>
      </w:r>
    </w:p>
    <w:p w14:paraId="4F51D3AF"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O centro de competências deve notificar o pedido à parte requerida no prazo de sete dias</w:t>
      </w:r>
      <w:r w:rsidRPr="002A673F">
        <w:rPr>
          <w:b/>
          <w:i/>
          <w:szCs w:val="24"/>
          <w:lang w:eastAsia="en-US"/>
        </w:rPr>
        <w:t>, incluindo as informações apresentadas nos termos do artigo 36.º,</w:t>
      </w:r>
      <w:r w:rsidRPr="002A673F">
        <w:rPr>
          <w:szCs w:val="24"/>
          <w:lang w:eastAsia="en-US"/>
        </w:rPr>
        <w:t xml:space="preserve"> e informar do facto a parte requerente.</w:t>
      </w:r>
      <w:r w:rsidRPr="002A673F">
        <w:rPr>
          <w:b/>
          <w:szCs w:val="24"/>
          <w:lang w:eastAsia="en-US"/>
        </w:rPr>
        <w:t xml:space="preserve"> [Alt. 183]</w:t>
      </w:r>
    </w:p>
    <w:p w14:paraId="1132D05F"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A parte requerida deve notificar o centro de competências no prazo de 15 dias a contar da receção da notificação do pedido de determinação FRAND do centro de competências, em conformidade com o n.º 1. A resposta deve indicar se a parte requerida concorda com a determinação FRAND e</w:t>
      </w:r>
      <w:r w:rsidRPr="002A673F">
        <w:rPr>
          <w:strike/>
          <w:szCs w:val="24"/>
          <w:lang w:eastAsia="en-US"/>
        </w:rPr>
        <w:t xml:space="preserve"> se se compromete a cumprir o resultado da mesma</w:t>
      </w:r>
      <w:r w:rsidRPr="002A673F">
        <w:rPr>
          <w:b/>
          <w:i/>
          <w:szCs w:val="24"/>
          <w:lang w:eastAsia="en-US"/>
        </w:rPr>
        <w:t>, em caso de desacordo, incluir os motivos da recusa em participar</w:t>
      </w:r>
      <w:r w:rsidRPr="002A673F">
        <w:rPr>
          <w:szCs w:val="24"/>
          <w:lang w:eastAsia="en-US"/>
        </w:rPr>
        <w:t>.</w:t>
      </w:r>
      <w:r w:rsidRPr="002A673F">
        <w:rPr>
          <w:b/>
          <w:szCs w:val="24"/>
          <w:lang w:eastAsia="en-US"/>
        </w:rPr>
        <w:t xml:space="preserve"> [Alt. 184]</w:t>
      </w:r>
    </w:p>
    <w:p w14:paraId="2BD70DAA" w14:textId="77777777" w:rsidR="00937E3A" w:rsidRDefault="00937E3A">
      <w:pPr>
        <w:widowControl/>
        <w:rPr>
          <w:szCs w:val="24"/>
          <w:lang w:eastAsia="en-US"/>
        </w:rPr>
      </w:pPr>
      <w:r>
        <w:rPr>
          <w:szCs w:val="24"/>
          <w:lang w:eastAsia="en-US"/>
        </w:rPr>
        <w:br w:type="page"/>
      </w:r>
    </w:p>
    <w:p w14:paraId="65708049" w14:textId="2DEE58F2"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w:t>
      </w:r>
      <w:r w:rsidRPr="002A673F">
        <w:rPr>
          <w:szCs w:val="24"/>
          <w:lang w:eastAsia="en-US"/>
        </w:rPr>
        <w:tab/>
        <w:t>Caso a parte requerida não responda no prazo fixado no n.º 2 ou informe o centro de competências da sua decisão de não participar na determinação FRAND</w:t>
      </w:r>
      <w:r w:rsidRPr="002A673F">
        <w:rPr>
          <w:strike/>
          <w:szCs w:val="24"/>
          <w:lang w:eastAsia="en-US"/>
        </w:rPr>
        <w:t xml:space="preserve"> ou de não se comprometer a cumprir o resultado</w:t>
      </w:r>
      <w:r w:rsidRPr="002A673F">
        <w:rPr>
          <w:szCs w:val="24"/>
          <w:lang w:eastAsia="en-US"/>
        </w:rPr>
        <w:t>, aplica-se o seguinte:</w:t>
      </w:r>
      <w:r w:rsidRPr="002A673F">
        <w:rPr>
          <w:b/>
          <w:szCs w:val="24"/>
          <w:lang w:eastAsia="en-US"/>
        </w:rPr>
        <w:t xml:space="preserve"> [Alt. 185]</w:t>
      </w:r>
    </w:p>
    <w:p w14:paraId="27F65E11" w14:textId="2C02F7F7" w:rsidR="002A673F" w:rsidRPr="00E075CA" w:rsidRDefault="002A673F" w:rsidP="002A673F">
      <w:pPr>
        <w:spacing w:before="120" w:after="120" w:line="360" w:lineRule="auto"/>
        <w:ind w:left="1416" w:hanging="566"/>
        <w:rPr>
          <w:b/>
          <w:szCs w:val="24"/>
          <w:lang w:eastAsia="en-US"/>
        </w:rPr>
      </w:pPr>
      <w:r w:rsidRPr="002A673F">
        <w:rPr>
          <w:szCs w:val="24"/>
          <w:lang w:eastAsia="en-US"/>
        </w:rPr>
        <w:t>a)</w:t>
      </w:r>
      <w:r w:rsidRPr="002A673F">
        <w:rPr>
          <w:szCs w:val="24"/>
          <w:lang w:eastAsia="en-US"/>
        </w:rPr>
        <w:tab/>
        <w:t>O centro de competências deve notificar do facto a parte requ</w:t>
      </w:r>
      <w:r w:rsidR="009B7063">
        <w:rPr>
          <w:szCs w:val="24"/>
          <w:lang w:eastAsia="en-US"/>
        </w:rPr>
        <w:t>erente e convidá</w:t>
      </w:r>
      <w:r w:rsidR="009B7063">
        <w:rPr>
          <w:szCs w:val="24"/>
          <w:lang w:eastAsia="en-US"/>
        </w:rPr>
        <w:noBreakHyphen/>
      </w:r>
      <w:r w:rsidRPr="002A673F">
        <w:rPr>
          <w:szCs w:val="24"/>
          <w:lang w:eastAsia="en-US"/>
        </w:rPr>
        <w:t>la a indicar, no prazo de sete dias, se solicita a continuação da determinação FRAND</w:t>
      </w:r>
      <w:r w:rsidRPr="002A673F">
        <w:rPr>
          <w:strike/>
          <w:szCs w:val="24"/>
          <w:lang w:eastAsia="en-US"/>
        </w:rPr>
        <w:t xml:space="preserve"> e se se compromete a cumprir o resultado da mesma</w:t>
      </w:r>
      <w:r w:rsidRPr="002A673F">
        <w:rPr>
          <w:szCs w:val="24"/>
          <w:lang w:eastAsia="en-US"/>
        </w:rPr>
        <w:t>;</w:t>
      </w:r>
      <w:r w:rsidRPr="002A673F">
        <w:rPr>
          <w:b/>
          <w:szCs w:val="24"/>
          <w:lang w:eastAsia="en-US"/>
        </w:rPr>
        <w:t xml:space="preserve"> [Alt. 186]</w:t>
      </w:r>
    </w:p>
    <w:p w14:paraId="31837B15" w14:textId="3FAD2311" w:rsidR="002A673F" w:rsidRPr="00E075CA" w:rsidRDefault="002A673F" w:rsidP="002A673F">
      <w:pPr>
        <w:spacing w:before="120" w:after="120" w:line="360" w:lineRule="auto"/>
        <w:ind w:left="1416" w:hanging="566"/>
        <w:rPr>
          <w:b/>
          <w:szCs w:val="24"/>
          <w:lang w:eastAsia="en-US"/>
        </w:rPr>
      </w:pPr>
      <w:r w:rsidRPr="002A673F">
        <w:rPr>
          <w:szCs w:val="24"/>
          <w:lang w:eastAsia="en-US"/>
        </w:rPr>
        <w:t>b)</w:t>
      </w:r>
      <w:r w:rsidRPr="002A673F">
        <w:rPr>
          <w:szCs w:val="24"/>
          <w:lang w:eastAsia="en-US"/>
        </w:rPr>
        <w:tab/>
        <w:t>Se a parte requerente solicitar a continuação da determinação FRAND</w:t>
      </w:r>
      <w:r w:rsidRPr="002A673F">
        <w:rPr>
          <w:strike/>
          <w:szCs w:val="24"/>
          <w:lang w:eastAsia="en-US"/>
        </w:rPr>
        <w:t xml:space="preserve"> e se comprometer a cumprir o seu resultado</w:t>
      </w:r>
      <w:r w:rsidRPr="002A673F">
        <w:rPr>
          <w:szCs w:val="24"/>
          <w:lang w:eastAsia="en-US"/>
        </w:rPr>
        <w:t>, a determinação FRAND prossegue, mas o artigo 34.º, n.º 1, não se aplica ao processo judicial para a parte requerente em relação à mesma matéria;</w:t>
      </w:r>
      <w:r w:rsidRPr="002A673F">
        <w:rPr>
          <w:b/>
          <w:szCs w:val="24"/>
          <w:lang w:eastAsia="en-US"/>
        </w:rPr>
        <w:t xml:space="preserve"> [Alt. 187]</w:t>
      </w:r>
    </w:p>
    <w:p w14:paraId="1C15A45B" w14:textId="702725A1"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Se a parte requerente não solicitar, no prazo a que se refere a alínea a), a continuação da determinação FRAND, o centro de competências deve pôr termo à mesma.</w:t>
      </w:r>
    </w:p>
    <w:p w14:paraId="070E7239" w14:textId="77777777" w:rsidR="00937E3A" w:rsidRDefault="00937E3A">
      <w:pPr>
        <w:widowControl/>
        <w:rPr>
          <w:szCs w:val="24"/>
          <w:lang w:eastAsia="en-US"/>
        </w:rPr>
      </w:pPr>
      <w:r>
        <w:rPr>
          <w:szCs w:val="24"/>
          <w:lang w:eastAsia="en-US"/>
        </w:rPr>
        <w:br w:type="page"/>
      </w:r>
    </w:p>
    <w:p w14:paraId="054EF4BA" w14:textId="7433ECC0"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4.</w:t>
      </w:r>
      <w:r w:rsidRPr="002A673F">
        <w:rPr>
          <w:szCs w:val="24"/>
          <w:lang w:eastAsia="en-US"/>
        </w:rPr>
        <w:tab/>
        <w:t>Se a parte requerida concordar com a determinação FRAND</w:t>
      </w:r>
      <w:r w:rsidRPr="002A673F">
        <w:rPr>
          <w:strike/>
          <w:szCs w:val="24"/>
          <w:lang w:eastAsia="en-US"/>
        </w:rPr>
        <w:t xml:space="preserve"> e se comprometer a cumprir o seu resultado nos termos do n.º 2, inclusive se esse compromisso depender do compromisso da</w:t>
      </w:r>
      <w:r w:rsidRPr="002A673F">
        <w:rPr>
          <w:b/>
          <w:i/>
          <w:szCs w:val="24"/>
          <w:lang w:eastAsia="en-US"/>
        </w:rPr>
        <w:t>, o centro de competências deve notificar do facto a</w:t>
      </w:r>
      <w:r w:rsidRPr="002A673F">
        <w:rPr>
          <w:szCs w:val="24"/>
          <w:lang w:eastAsia="en-US"/>
        </w:rPr>
        <w:t xml:space="preserve"> parte requerente</w:t>
      </w:r>
      <w:r w:rsidRPr="002A673F">
        <w:rPr>
          <w:strike/>
          <w:szCs w:val="24"/>
          <w:lang w:eastAsia="en-US"/>
        </w:rPr>
        <w:t xml:space="preserve"> de cumprir o resultado da determinação FRAND, aplica-se o seguinte:</w:t>
      </w:r>
      <w:r w:rsidRPr="002A673F">
        <w:rPr>
          <w:b/>
          <w:i/>
          <w:szCs w:val="24"/>
          <w:lang w:eastAsia="en-US"/>
        </w:rPr>
        <w:t>.</w:t>
      </w:r>
      <w:r w:rsidRPr="002A673F">
        <w:rPr>
          <w:b/>
          <w:szCs w:val="24"/>
          <w:lang w:eastAsia="en-US"/>
        </w:rPr>
        <w:t xml:space="preserve"> [Alt. 188]</w:t>
      </w:r>
    </w:p>
    <w:p w14:paraId="410F49DA" w14:textId="77777777" w:rsidR="002A673F" w:rsidRPr="00E075CA" w:rsidRDefault="002A673F" w:rsidP="002A673F">
      <w:pPr>
        <w:spacing w:before="120" w:after="120" w:line="360" w:lineRule="auto"/>
        <w:ind w:left="1416" w:hanging="566"/>
        <w:rPr>
          <w:b/>
          <w:szCs w:val="24"/>
          <w:lang w:eastAsia="en-US"/>
        </w:rPr>
      </w:pPr>
      <w:r w:rsidRPr="002A673F">
        <w:rPr>
          <w:strike/>
          <w:szCs w:val="24"/>
          <w:lang w:eastAsia="en-US"/>
        </w:rPr>
        <w:t>(a)</w:t>
      </w:r>
      <w:r w:rsidRPr="00E075CA">
        <w:rPr>
          <w:strike/>
          <w:szCs w:val="24"/>
          <w:lang w:eastAsia="en-US"/>
        </w:rPr>
        <w:tab/>
      </w:r>
      <w:r w:rsidRPr="002A673F">
        <w:rPr>
          <w:strike/>
          <w:szCs w:val="24"/>
          <w:lang w:eastAsia="en-US"/>
        </w:rPr>
        <w:t>O centro de competências deve notificar do facto a parte requerente e solicitar-lhe que informe o centro de competências, no prazo de sete dias, se também se compromete a cumprir o resultado da determinação FRAND. Em caso de aceitação do compromisso pela parte requerente, a determinação FRAND deve prosseguir e o resultado é vinculativo para ambas as partes;</w:t>
      </w:r>
      <w:r w:rsidRPr="002A673F">
        <w:rPr>
          <w:b/>
          <w:szCs w:val="24"/>
          <w:lang w:eastAsia="en-US"/>
        </w:rPr>
        <w:t xml:space="preserve"> [Alt. 189]</w:t>
      </w:r>
    </w:p>
    <w:p w14:paraId="02911893" w14:textId="77777777" w:rsidR="002A673F" w:rsidRPr="00E075CA" w:rsidRDefault="002A673F" w:rsidP="002A673F">
      <w:pPr>
        <w:spacing w:before="120" w:after="120" w:line="360" w:lineRule="auto"/>
        <w:ind w:left="1416" w:hanging="566"/>
        <w:rPr>
          <w:b/>
          <w:szCs w:val="24"/>
          <w:lang w:eastAsia="en-US"/>
        </w:rPr>
      </w:pPr>
      <w:r w:rsidRPr="002A673F">
        <w:rPr>
          <w:strike/>
          <w:szCs w:val="24"/>
          <w:lang w:eastAsia="en-US"/>
        </w:rPr>
        <w:t>(b)</w:t>
      </w:r>
      <w:r w:rsidRPr="00E075CA">
        <w:rPr>
          <w:strike/>
          <w:szCs w:val="24"/>
          <w:lang w:eastAsia="en-US"/>
        </w:rPr>
        <w:tab/>
      </w:r>
      <w:r w:rsidRPr="002A673F">
        <w:rPr>
          <w:strike/>
          <w:szCs w:val="24"/>
          <w:lang w:eastAsia="en-US"/>
        </w:rPr>
        <w:t>Caso a parte requerente não responda no prazo a que se refere a alínea a) ou informe o centro de competências da sua decisão de não se comprometer a cumprir o seu resultado, o centro de competências deve notificar a parte requerida e convidá-la a indicar, no prazo de sete dias, se solicita a continuação da determinação FRAND;</w:t>
      </w:r>
      <w:r w:rsidRPr="002A673F">
        <w:rPr>
          <w:b/>
          <w:szCs w:val="24"/>
          <w:lang w:eastAsia="en-US"/>
        </w:rPr>
        <w:t xml:space="preserve"> [Alt. 190]</w:t>
      </w:r>
    </w:p>
    <w:p w14:paraId="5975BC48" w14:textId="77777777" w:rsidR="00937E3A" w:rsidRDefault="00937E3A">
      <w:pPr>
        <w:widowControl/>
        <w:rPr>
          <w:strike/>
          <w:szCs w:val="24"/>
          <w:lang w:eastAsia="en-US"/>
        </w:rPr>
      </w:pPr>
      <w:r>
        <w:rPr>
          <w:strike/>
          <w:szCs w:val="24"/>
          <w:lang w:eastAsia="en-US"/>
        </w:rPr>
        <w:br w:type="page"/>
      </w:r>
    </w:p>
    <w:p w14:paraId="136873DB" w14:textId="50409A8C" w:rsidR="002A673F" w:rsidRPr="00E075CA" w:rsidRDefault="002A673F" w:rsidP="002A673F">
      <w:pPr>
        <w:spacing w:before="120" w:after="120" w:line="360" w:lineRule="auto"/>
        <w:ind w:left="1416" w:hanging="566"/>
        <w:rPr>
          <w:b/>
          <w:szCs w:val="24"/>
          <w:lang w:eastAsia="en-US"/>
        </w:rPr>
      </w:pPr>
      <w:r w:rsidRPr="002A673F">
        <w:rPr>
          <w:strike/>
          <w:szCs w:val="24"/>
          <w:lang w:eastAsia="en-US"/>
        </w:rPr>
        <w:lastRenderedPageBreak/>
        <w:t>(c)</w:t>
      </w:r>
      <w:r w:rsidRPr="00E075CA">
        <w:rPr>
          <w:strike/>
          <w:szCs w:val="24"/>
          <w:lang w:eastAsia="en-US"/>
        </w:rPr>
        <w:tab/>
      </w:r>
      <w:r w:rsidRPr="002A673F">
        <w:rPr>
          <w:strike/>
          <w:szCs w:val="24"/>
          <w:lang w:eastAsia="en-US"/>
        </w:rPr>
        <w:t>Se a parte requerida solicitar a continuação da determinação FRAND, esta deve prosseguir, mas o artigo 34.º, n.º 1, não se aplica ao processo judicial para a parte requerida em relação à mesma matéria;</w:t>
      </w:r>
      <w:r w:rsidRPr="002A673F">
        <w:rPr>
          <w:b/>
          <w:szCs w:val="24"/>
          <w:lang w:eastAsia="en-US"/>
        </w:rPr>
        <w:t xml:space="preserve"> [Alt. 191]</w:t>
      </w:r>
    </w:p>
    <w:p w14:paraId="293151BC" w14:textId="77777777" w:rsidR="002A673F" w:rsidRPr="00E075CA" w:rsidRDefault="002A673F" w:rsidP="002A673F">
      <w:pPr>
        <w:spacing w:before="120" w:after="120" w:line="360" w:lineRule="auto"/>
        <w:ind w:left="1416" w:hanging="566"/>
        <w:rPr>
          <w:b/>
          <w:szCs w:val="24"/>
          <w:lang w:eastAsia="en-US"/>
        </w:rPr>
      </w:pPr>
      <w:r w:rsidRPr="002A673F">
        <w:rPr>
          <w:strike/>
          <w:szCs w:val="24"/>
          <w:lang w:eastAsia="en-US"/>
        </w:rPr>
        <w:t>(d)</w:t>
      </w:r>
      <w:r w:rsidRPr="00E075CA">
        <w:rPr>
          <w:strike/>
          <w:szCs w:val="24"/>
          <w:lang w:eastAsia="en-US"/>
        </w:rPr>
        <w:tab/>
      </w:r>
      <w:r w:rsidRPr="002A673F">
        <w:rPr>
          <w:strike/>
          <w:szCs w:val="24"/>
          <w:lang w:eastAsia="en-US"/>
        </w:rPr>
        <w:t>Se a parte requerida não solicitar, no prazo a que se refere a alínea b), a continuação da determinação FRAND, o centro de competências deve pôr termo à mesma.</w:t>
      </w:r>
      <w:r w:rsidRPr="002A673F">
        <w:rPr>
          <w:b/>
          <w:szCs w:val="24"/>
          <w:lang w:eastAsia="en-US"/>
        </w:rPr>
        <w:t xml:space="preserve"> [Alt. 192]</w:t>
      </w:r>
    </w:p>
    <w:p w14:paraId="6419541D" w14:textId="28DB8541" w:rsidR="002A673F" w:rsidRPr="00E075CA" w:rsidRDefault="002A673F" w:rsidP="002A673F">
      <w:pPr>
        <w:spacing w:before="120" w:after="120" w:line="360" w:lineRule="auto"/>
        <w:ind w:left="850" w:hanging="850"/>
        <w:rPr>
          <w:b/>
          <w:szCs w:val="24"/>
          <w:lang w:eastAsia="en-US"/>
        </w:rPr>
      </w:pPr>
      <w:r w:rsidRPr="002A673F">
        <w:rPr>
          <w:b/>
          <w:i/>
          <w:szCs w:val="24"/>
          <w:lang w:eastAsia="en-US"/>
        </w:rPr>
        <w:t>4-A.</w:t>
      </w:r>
      <w:r w:rsidRPr="002A673F">
        <w:rPr>
          <w:szCs w:val="24"/>
          <w:lang w:eastAsia="en-US"/>
        </w:rPr>
        <w:tab/>
      </w:r>
      <w:r w:rsidRPr="002A673F">
        <w:rPr>
          <w:b/>
          <w:i/>
          <w:szCs w:val="24"/>
          <w:lang w:eastAsia="en-US"/>
        </w:rPr>
        <w:t>Cada uma das partes pode, em qualquer momento do processo de determinação FRAND, declarar que se compromete a respeitar o seu resultado. A parte que faz esta declaração pode condicionar o seu compromisso de cumprimento ao compromisso da outra parte relativamente ao resultado do processo. Este facto não põe termo ao processo de determinação FRAND.</w:t>
      </w:r>
      <w:r w:rsidRPr="002A673F">
        <w:rPr>
          <w:b/>
          <w:szCs w:val="24"/>
          <w:lang w:eastAsia="en-US"/>
        </w:rPr>
        <w:t xml:space="preserve"> [Alt. 193]</w:t>
      </w:r>
    </w:p>
    <w:p w14:paraId="6551379D" w14:textId="77777777" w:rsidR="00937E3A" w:rsidRDefault="00937E3A">
      <w:pPr>
        <w:widowControl/>
        <w:rPr>
          <w:strike/>
          <w:szCs w:val="24"/>
          <w:lang w:eastAsia="en-US"/>
        </w:rPr>
      </w:pPr>
      <w:r>
        <w:rPr>
          <w:strike/>
          <w:szCs w:val="24"/>
          <w:lang w:eastAsia="en-US"/>
        </w:rPr>
        <w:br w:type="page"/>
      </w:r>
    </w:p>
    <w:p w14:paraId="3ABCCCEE" w14:textId="14C504AE" w:rsidR="002A673F" w:rsidRPr="00E075CA" w:rsidRDefault="002A673F" w:rsidP="002A673F">
      <w:pPr>
        <w:spacing w:before="120" w:after="120" w:line="360" w:lineRule="auto"/>
        <w:ind w:left="850" w:hanging="850"/>
        <w:rPr>
          <w:b/>
          <w:szCs w:val="24"/>
          <w:lang w:eastAsia="en-US"/>
        </w:rPr>
      </w:pPr>
      <w:r w:rsidRPr="002A673F">
        <w:rPr>
          <w:strike/>
          <w:szCs w:val="24"/>
          <w:lang w:eastAsia="en-US"/>
        </w:rPr>
        <w:lastRenderedPageBreak/>
        <w:t>5.</w:t>
      </w:r>
      <w:r w:rsidRPr="00E075CA">
        <w:rPr>
          <w:strike/>
          <w:szCs w:val="24"/>
          <w:lang w:eastAsia="en-US"/>
        </w:rPr>
        <w:tab/>
      </w:r>
      <w:r w:rsidRPr="002A673F">
        <w:rPr>
          <w:strike/>
          <w:szCs w:val="24"/>
          <w:lang w:eastAsia="en-US"/>
        </w:rPr>
        <w:t>Se uma das partes se comprometer a cumprir o resultado da determinação FRAND e a outra parte não o fizer dentro dos prazos aplicáveis, o centro de competências deve adotar uma notificação de compromisso para com a determinação FRAND e notificar as partes no prazo de cinco dias a contar do termo do prazo para que assumam o compromisso. A notificação de compromisso deve incluir os nomes das partes, o objeto da determinação FRAND, um resumo do procedimento e informações sobre o compromisso assumido ou sobre a não assunção do compromisso em relação a cada parte.</w:t>
      </w:r>
      <w:r w:rsidRPr="002A673F">
        <w:rPr>
          <w:b/>
          <w:szCs w:val="24"/>
          <w:lang w:eastAsia="en-US"/>
        </w:rPr>
        <w:t xml:space="preserve"> [Alt. 194]</w:t>
      </w:r>
    </w:p>
    <w:p w14:paraId="780E8B9E"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6.</w:t>
      </w:r>
      <w:r w:rsidRPr="002A673F">
        <w:rPr>
          <w:szCs w:val="24"/>
          <w:lang w:eastAsia="en-US"/>
        </w:rPr>
        <w:tab/>
        <w:t xml:space="preserve">A determinação FRAND diz respeito a uma licença de PEN global, salvo especificação em contrário das partes, no caso de ambas as partes concordarem com a determinação FRAND, ou da parte que solicitou a continuação da determinação FRAND. As PME </w:t>
      </w:r>
      <w:r w:rsidRPr="002A673F">
        <w:rPr>
          <w:b/>
          <w:i/>
          <w:szCs w:val="24"/>
          <w:lang w:eastAsia="en-US"/>
        </w:rPr>
        <w:t xml:space="preserve">e as empresas em fase de arranque </w:t>
      </w:r>
      <w:r w:rsidRPr="002A673F">
        <w:rPr>
          <w:szCs w:val="24"/>
          <w:lang w:eastAsia="en-US"/>
        </w:rPr>
        <w:t>que sejam partes na determinação FRAND podem solicitar a limitação do âmbito territorial da determinação FRAND.</w:t>
      </w:r>
      <w:r w:rsidRPr="002A673F">
        <w:rPr>
          <w:b/>
          <w:szCs w:val="24"/>
          <w:lang w:eastAsia="en-US"/>
        </w:rPr>
        <w:t xml:space="preserve"> [Alt. 195]</w:t>
      </w:r>
    </w:p>
    <w:p w14:paraId="6AF89B8B" w14:textId="77777777" w:rsidR="00937E3A" w:rsidRDefault="00937E3A">
      <w:pPr>
        <w:widowControl/>
        <w:rPr>
          <w:szCs w:val="24"/>
          <w:lang w:eastAsia="en-US"/>
        </w:rPr>
      </w:pPr>
      <w:r>
        <w:rPr>
          <w:szCs w:val="24"/>
          <w:lang w:eastAsia="en-US"/>
        </w:rPr>
        <w:br w:type="page"/>
      </w:r>
    </w:p>
    <w:p w14:paraId="610F1F56" w14:textId="77CF68E9" w:rsidR="002A673F" w:rsidRPr="00E075CA" w:rsidRDefault="002A673F" w:rsidP="002A673F">
      <w:pPr>
        <w:spacing w:before="120" w:after="120" w:line="360" w:lineRule="auto"/>
        <w:jc w:val="center"/>
        <w:rPr>
          <w:b/>
          <w:szCs w:val="24"/>
          <w:lang w:eastAsia="en-US"/>
        </w:rPr>
      </w:pPr>
      <w:r w:rsidRPr="002A673F">
        <w:rPr>
          <w:szCs w:val="24"/>
          <w:lang w:eastAsia="en-US"/>
        </w:rPr>
        <w:lastRenderedPageBreak/>
        <w:t>Artigo 39.º</w:t>
      </w:r>
      <w:r w:rsidRPr="002A673F">
        <w:rPr>
          <w:szCs w:val="24"/>
          <w:lang w:eastAsia="en-US"/>
        </w:rPr>
        <w:br/>
        <w:t xml:space="preserve">Seleção </w:t>
      </w:r>
      <w:proofErr w:type="spellStart"/>
      <w:r w:rsidRPr="002A673F">
        <w:rPr>
          <w:strike/>
          <w:szCs w:val="24"/>
          <w:lang w:eastAsia="en-US"/>
        </w:rPr>
        <w:t>dos</w:t>
      </w:r>
      <w:r w:rsidRPr="002A673F">
        <w:rPr>
          <w:b/>
          <w:i/>
          <w:szCs w:val="24"/>
          <w:lang w:eastAsia="en-US"/>
        </w:rPr>
        <w:t>de</w:t>
      </w:r>
      <w:proofErr w:type="spellEnd"/>
      <w:r w:rsidRPr="002A673F">
        <w:rPr>
          <w:b/>
          <w:i/>
          <w:szCs w:val="24"/>
          <w:lang w:eastAsia="en-US"/>
        </w:rPr>
        <w:t xml:space="preserve"> um painel de</w:t>
      </w:r>
      <w:r w:rsidRPr="002A673F">
        <w:rPr>
          <w:szCs w:val="24"/>
          <w:lang w:eastAsia="en-US"/>
        </w:rPr>
        <w:t xml:space="preserve"> conciliadores</w:t>
      </w:r>
      <w:r w:rsidRPr="002A673F">
        <w:rPr>
          <w:b/>
          <w:szCs w:val="24"/>
          <w:lang w:eastAsia="en-US"/>
        </w:rPr>
        <w:t xml:space="preserve"> [Alt. 196]</w:t>
      </w:r>
    </w:p>
    <w:p w14:paraId="1C3218A9" w14:textId="5EA08282" w:rsidR="002A673F" w:rsidRPr="00E075CA" w:rsidRDefault="002A673F" w:rsidP="002A673F">
      <w:pPr>
        <w:spacing w:before="120" w:after="120" w:line="360" w:lineRule="auto"/>
        <w:ind w:left="850" w:hanging="850"/>
        <w:rPr>
          <w:b/>
          <w:szCs w:val="24"/>
          <w:lang w:eastAsia="en-US"/>
        </w:rPr>
      </w:pPr>
      <w:proofErr w:type="gramStart"/>
      <w:r w:rsidRPr="002A673F">
        <w:rPr>
          <w:szCs w:val="24"/>
          <w:lang w:eastAsia="en-US"/>
        </w:rPr>
        <w:t>1.</w:t>
      </w:r>
      <w:r w:rsidRPr="002A673F">
        <w:rPr>
          <w:szCs w:val="24"/>
          <w:lang w:eastAsia="en-US"/>
        </w:rPr>
        <w:tab/>
        <w:t>Na</w:t>
      </w:r>
      <w:proofErr w:type="gramEnd"/>
      <w:r w:rsidRPr="002A673F">
        <w:rPr>
          <w:szCs w:val="24"/>
          <w:lang w:eastAsia="en-US"/>
        </w:rPr>
        <w:t xml:space="preserve"> sequência da resposta à determinação FRAND pela parte requerida em conformidade com o artigo 38.º, n.º 2, </w:t>
      </w:r>
      <w:r w:rsidRPr="002A673F">
        <w:rPr>
          <w:strike/>
          <w:szCs w:val="24"/>
          <w:lang w:eastAsia="en-US"/>
        </w:rPr>
        <w:t>ou do pedido de continuação nos termos do</w:t>
      </w:r>
      <w:r w:rsidRPr="002A673F">
        <w:rPr>
          <w:b/>
          <w:i/>
          <w:szCs w:val="24"/>
          <w:lang w:eastAsia="en-US"/>
        </w:rPr>
        <w:t>a parte requerente e a parte requerida devem nomear, cada uma delas, um conciliador com base na lista de conciliadores a que se refere o</w:t>
      </w:r>
      <w:r w:rsidRPr="002A673F">
        <w:rPr>
          <w:szCs w:val="24"/>
          <w:lang w:eastAsia="en-US"/>
        </w:rPr>
        <w:t xml:space="preserve"> artigo </w:t>
      </w:r>
      <w:r w:rsidRPr="002A673F">
        <w:rPr>
          <w:strike/>
          <w:szCs w:val="24"/>
          <w:lang w:eastAsia="en-US"/>
        </w:rPr>
        <w:t>38.º</w:t>
      </w:r>
      <w:r w:rsidRPr="002A673F">
        <w:rPr>
          <w:b/>
          <w:i/>
          <w:szCs w:val="24"/>
          <w:lang w:eastAsia="en-US"/>
        </w:rPr>
        <w:t>27.º</w:t>
      </w:r>
      <w:r w:rsidR="00D45C43">
        <w:rPr>
          <w:szCs w:val="24"/>
          <w:lang w:eastAsia="en-US"/>
        </w:rPr>
        <w:t>, n.º </w:t>
      </w:r>
      <w:r w:rsidRPr="002A673F">
        <w:rPr>
          <w:strike/>
          <w:szCs w:val="24"/>
          <w:lang w:eastAsia="en-US"/>
        </w:rPr>
        <w:t>5, o</w:t>
      </w:r>
      <w:r w:rsidRPr="002A673F">
        <w:rPr>
          <w:b/>
          <w:i/>
          <w:szCs w:val="24"/>
          <w:lang w:eastAsia="en-US"/>
        </w:rPr>
        <w:t>2, para o painel de conciliadores. O terceiro conciliador deve ser nomeado pelo</w:t>
      </w:r>
      <w:r w:rsidRPr="002A673F">
        <w:rPr>
          <w:szCs w:val="24"/>
          <w:lang w:eastAsia="en-US"/>
        </w:rPr>
        <w:t xml:space="preserve"> centro de competências</w:t>
      </w:r>
      <w:r w:rsidRPr="002A673F">
        <w:rPr>
          <w:strike/>
          <w:szCs w:val="24"/>
          <w:lang w:eastAsia="en-US"/>
        </w:rPr>
        <w:t xml:space="preserve"> deve propor pelo menos três candidatos para a determinação FRAND</w:t>
      </w:r>
      <w:r w:rsidRPr="002A673F">
        <w:rPr>
          <w:szCs w:val="24"/>
          <w:lang w:eastAsia="en-US"/>
        </w:rPr>
        <w:t xml:space="preserve"> com base na lista de concili</w:t>
      </w:r>
      <w:r w:rsidR="00D45C43">
        <w:rPr>
          <w:szCs w:val="24"/>
          <w:lang w:eastAsia="en-US"/>
        </w:rPr>
        <w:t>adores a que se refere o artigo </w:t>
      </w:r>
      <w:r w:rsidRPr="002A673F">
        <w:rPr>
          <w:szCs w:val="24"/>
          <w:lang w:eastAsia="en-US"/>
        </w:rPr>
        <w:t>27.º, n.º 2.</w:t>
      </w:r>
      <w:r w:rsidRPr="002A673F">
        <w:rPr>
          <w:strike/>
          <w:szCs w:val="24"/>
          <w:lang w:eastAsia="en-US"/>
        </w:rPr>
        <w:t xml:space="preserve"> As partes ou a parte deve(m) escolher um dos candidatos propostos como conciliador para a determinação FRAND.</w:t>
      </w:r>
      <w:r w:rsidRPr="002A673F">
        <w:rPr>
          <w:b/>
          <w:szCs w:val="24"/>
          <w:lang w:eastAsia="en-US"/>
        </w:rPr>
        <w:t xml:space="preserve"> [Alt. 197]</w:t>
      </w:r>
    </w:p>
    <w:p w14:paraId="48E8CCE2" w14:textId="77777777" w:rsidR="002A673F" w:rsidRPr="00E075CA" w:rsidRDefault="002A673F" w:rsidP="002A673F">
      <w:pPr>
        <w:spacing w:before="120" w:after="120" w:line="360" w:lineRule="auto"/>
        <w:ind w:left="850" w:hanging="850"/>
        <w:rPr>
          <w:b/>
          <w:szCs w:val="24"/>
          <w:lang w:eastAsia="en-US"/>
        </w:rPr>
      </w:pPr>
      <w:r w:rsidRPr="002A673F">
        <w:rPr>
          <w:strike/>
          <w:szCs w:val="24"/>
          <w:lang w:eastAsia="en-US"/>
        </w:rPr>
        <w:t>2.</w:t>
      </w:r>
      <w:r w:rsidRPr="00E075CA">
        <w:rPr>
          <w:strike/>
          <w:szCs w:val="24"/>
          <w:lang w:eastAsia="en-US"/>
        </w:rPr>
        <w:tab/>
      </w:r>
      <w:r w:rsidRPr="002A673F">
        <w:rPr>
          <w:strike/>
          <w:szCs w:val="24"/>
          <w:lang w:eastAsia="en-US"/>
        </w:rPr>
        <w:t>Se as partes não chegarem a acordo sobre um conciliador, o centro de competências deve selecionar um candidato da lista de conciliadores a que se refere o artigo 27.º, n.º 2.</w:t>
      </w:r>
      <w:r w:rsidRPr="002A673F">
        <w:rPr>
          <w:b/>
          <w:szCs w:val="24"/>
          <w:lang w:eastAsia="en-US"/>
        </w:rPr>
        <w:t xml:space="preserve"> [Alt. 198]</w:t>
      </w:r>
    </w:p>
    <w:p w14:paraId="247F8A55" w14:textId="77777777" w:rsidR="00937E3A" w:rsidRDefault="00937E3A">
      <w:pPr>
        <w:widowControl/>
        <w:rPr>
          <w:szCs w:val="24"/>
          <w:lang w:eastAsia="en-US"/>
        </w:rPr>
      </w:pPr>
      <w:r>
        <w:rPr>
          <w:szCs w:val="24"/>
          <w:lang w:eastAsia="en-US"/>
        </w:rPr>
        <w:br w:type="page"/>
      </w:r>
    </w:p>
    <w:p w14:paraId="2608CA80" w14:textId="5E7408B9" w:rsidR="002A673F" w:rsidRPr="00E075CA" w:rsidRDefault="002A673F" w:rsidP="002A673F">
      <w:pPr>
        <w:spacing w:before="120" w:after="120" w:line="360" w:lineRule="auto"/>
        <w:jc w:val="center"/>
        <w:rPr>
          <w:b/>
          <w:szCs w:val="24"/>
          <w:lang w:eastAsia="en-US"/>
        </w:rPr>
      </w:pPr>
      <w:r w:rsidRPr="002A673F">
        <w:rPr>
          <w:szCs w:val="24"/>
          <w:lang w:eastAsia="en-US"/>
        </w:rPr>
        <w:lastRenderedPageBreak/>
        <w:t>Artigo 40.º</w:t>
      </w:r>
      <w:r w:rsidRPr="002A673F">
        <w:rPr>
          <w:szCs w:val="24"/>
          <w:lang w:eastAsia="en-US"/>
        </w:rPr>
        <w:br/>
      </w:r>
      <w:r w:rsidRPr="002A673F">
        <w:rPr>
          <w:b/>
          <w:i/>
          <w:szCs w:val="24"/>
          <w:lang w:eastAsia="en-US"/>
        </w:rPr>
        <w:t>Nomeação dos conciliadores</w:t>
      </w:r>
      <w:r w:rsidRPr="002A673F">
        <w:rPr>
          <w:b/>
          <w:szCs w:val="24"/>
          <w:lang w:eastAsia="en-US"/>
        </w:rPr>
        <w:t xml:space="preserve"> [Alt. 199]</w:t>
      </w:r>
    </w:p>
    <w:p w14:paraId="3A4D6685"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r>
      <w:r w:rsidRPr="002A673F">
        <w:rPr>
          <w:strike/>
          <w:szCs w:val="24"/>
          <w:lang w:eastAsia="en-US"/>
        </w:rPr>
        <w:t xml:space="preserve">O candidato selecionado </w:t>
      </w:r>
      <w:proofErr w:type="spellStart"/>
      <w:r w:rsidRPr="002A673F">
        <w:rPr>
          <w:strike/>
          <w:szCs w:val="24"/>
          <w:lang w:eastAsia="en-US"/>
        </w:rPr>
        <w:t>deve</w:t>
      </w:r>
      <w:r w:rsidRPr="002A673F">
        <w:rPr>
          <w:b/>
          <w:i/>
          <w:szCs w:val="24"/>
          <w:lang w:eastAsia="en-US"/>
        </w:rPr>
        <w:t>Os</w:t>
      </w:r>
      <w:proofErr w:type="spellEnd"/>
      <w:r w:rsidRPr="002A673F">
        <w:rPr>
          <w:b/>
          <w:i/>
          <w:szCs w:val="24"/>
          <w:lang w:eastAsia="en-US"/>
        </w:rPr>
        <w:t xml:space="preserve"> candidatos selecionados devem</w:t>
      </w:r>
      <w:r w:rsidRPr="002A673F">
        <w:rPr>
          <w:szCs w:val="24"/>
          <w:lang w:eastAsia="en-US"/>
        </w:rPr>
        <w:t xml:space="preserve"> comunicar ao centro de competências que </w:t>
      </w:r>
      <w:proofErr w:type="spellStart"/>
      <w:r w:rsidRPr="002A673F">
        <w:rPr>
          <w:strike/>
          <w:szCs w:val="24"/>
          <w:lang w:eastAsia="en-US"/>
        </w:rPr>
        <w:t>aceita</w:t>
      </w:r>
      <w:r w:rsidRPr="002A673F">
        <w:rPr>
          <w:b/>
          <w:i/>
          <w:szCs w:val="24"/>
          <w:lang w:eastAsia="en-US"/>
        </w:rPr>
        <w:t>aceitam</w:t>
      </w:r>
      <w:proofErr w:type="spellEnd"/>
      <w:r w:rsidRPr="002A673F">
        <w:rPr>
          <w:szCs w:val="24"/>
          <w:lang w:eastAsia="en-US"/>
        </w:rPr>
        <w:t xml:space="preserve"> assumir as funções de conciliador para a determinação FRAND, devendo o centro de competências notificar as partes dessa comunicação de aceitação.</w:t>
      </w:r>
      <w:r w:rsidRPr="002A673F">
        <w:rPr>
          <w:b/>
          <w:szCs w:val="24"/>
          <w:lang w:eastAsia="en-US"/>
        </w:rPr>
        <w:t xml:space="preserve"> [Alt. 200]</w:t>
      </w:r>
    </w:p>
    <w:p w14:paraId="4662C3DF"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 xml:space="preserve">No dia seguinte ao da notificação da aceitação às partes,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é nomeado e o centro de competências deve remeter-lhe o processo.</w:t>
      </w:r>
      <w:r w:rsidRPr="002A673F">
        <w:rPr>
          <w:b/>
          <w:szCs w:val="24"/>
          <w:lang w:eastAsia="en-US"/>
        </w:rPr>
        <w:t xml:space="preserve"> [Alt. 201]</w:t>
      </w:r>
    </w:p>
    <w:p w14:paraId="56012DC2"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41.º</w:t>
      </w:r>
      <w:r w:rsidRPr="002A673F">
        <w:rPr>
          <w:szCs w:val="24"/>
          <w:lang w:eastAsia="en-US"/>
        </w:rPr>
        <w:br/>
        <w:t xml:space="preserve">Preparação do processo </w:t>
      </w:r>
    </w:p>
    <w:p w14:paraId="06454CF6" w14:textId="77777777" w:rsidR="002A673F" w:rsidRPr="002A673F" w:rsidRDefault="002A673F" w:rsidP="002A673F">
      <w:pPr>
        <w:spacing w:before="120" w:after="120" w:line="360" w:lineRule="auto"/>
        <w:rPr>
          <w:szCs w:val="24"/>
          <w:lang w:eastAsia="en-US"/>
        </w:rPr>
      </w:pPr>
      <w:r w:rsidRPr="002A673F">
        <w:rPr>
          <w:szCs w:val="24"/>
          <w:lang w:eastAsia="en-US"/>
        </w:rPr>
        <w:t>Se, durante a determinação FRAND, um conciliador não puder participar, renunciar ou tiver de ser substituído por não cumprir os requisitos previstos no artigo 26.º, aplica-se o procedimento previsto no artigo 39.º. O prazo referido no artigo 37.º, n.º 1, é prorrogado pelo período de tempo necessário para a nomeação do novo conciliador para a determinação FRAND.</w:t>
      </w:r>
    </w:p>
    <w:p w14:paraId="05D466FF" w14:textId="77777777" w:rsidR="00937E3A" w:rsidRDefault="00937E3A">
      <w:pPr>
        <w:widowControl/>
        <w:rPr>
          <w:szCs w:val="24"/>
          <w:lang w:eastAsia="en-US"/>
        </w:rPr>
      </w:pPr>
      <w:r>
        <w:rPr>
          <w:szCs w:val="24"/>
          <w:lang w:eastAsia="en-US"/>
        </w:rPr>
        <w:br w:type="page"/>
      </w:r>
    </w:p>
    <w:p w14:paraId="2BA638E8" w14:textId="4BEAB2A6"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42.º</w:t>
      </w:r>
      <w:r w:rsidRPr="002A673F">
        <w:rPr>
          <w:szCs w:val="24"/>
          <w:lang w:eastAsia="en-US"/>
        </w:rPr>
        <w:br/>
        <w:t xml:space="preserve">Preparação do processo </w:t>
      </w:r>
    </w:p>
    <w:p w14:paraId="22E1F752"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Após o processo lhe ser remetido nos termos do artigo 40.º, n.º 2,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examina se o pedido contém as informações exigidas nos termos do artigo 36.º, em conformidade com o regulamento interno.</w:t>
      </w:r>
      <w:r w:rsidRPr="002A673F">
        <w:rPr>
          <w:b/>
          <w:szCs w:val="24"/>
          <w:lang w:eastAsia="en-US"/>
        </w:rPr>
        <w:t xml:space="preserve"> [Alt. 202]</w:t>
      </w:r>
    </w:p>
    <w:p w14:paraId="51D9D2DD"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 xml:space="preserve">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comunicar às partes ou à parte que solicita(m) a continuação da determinação FRAND a realização e o calendário do procedimento.</w:t>
      </w:r>
      <w:r w:rsidRPr="002A673F">
        <w:rPr>
          <w:b/>
          <w:szCs w:val="24"/>
          <w:lang w:eastAsia="en-US"/>
        </w:rPr>
        <w:t xml:space="preserve"> [Alt. 203]</w:t>
      </w:r>
    </w:p>
    <w:p w14:paraId="2C7B4C77"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43.º</w:t>
      </w:r>
      <w:r w:rsidRPr="002A673F">
        <w:rPr>
          <w:szCs w:val="24"/>
          <w:lang w:eastAsia="en-US"/>
        </w:rPr>
        <w:br/>
        <w:t xml:space="preserve">Procedimento escrito </w:t>
      </w:r>
    </w:p>
    <w:p w14:paraId="11314574" w14:textId="77777777" w:rsidR="002A673F" w:rsidRPr="00E075CA" w:rsidRDefault="002A673F" w:rsidP="002A673F">
      <w:pPr>
        <w:spacing w:before="120" w:after="120" w:line="360" w:lineRule="auto"/>
        <w:rPr>
          <w:b/>
          <w:szCs w:val="24"/>
          <w:lang w:eastAsia="en-US"/>
        </w:rPr>
      </w:pPr>
      <w:r w:rsidRPr="002A673F">
        <w:rPr>
          <w:szCs w:val="24"/>
          <w:lang w:eastAsia="en-US"/>
        </w:rPr>
        <w:t xml:space="preserve">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convida cada uma das partes a apresentar observações escritas expondo os seus argumentos relativos à determinação das condições FRAND aplicáveis, incluindo documentação de apoio e elementos de prova, e fixa prazos adequados.</w:t>
      </w:r>
      <w:r w:rsidRPr="002A673F">
        <w:rPr>
          <w:b/>
          <w:szCs w:val="24"/>
          <w:lang w:eastAsia="en-US"/>
        </w:rPr>
        <w:t xml:space="preserve"> [Alt. 204]</w:t>
      </w:r>
    </w:p>
    <w:p w14:paraId="069536C6" w14:textId="77777777" w:rsidR="00937E3A" w:rsidRDefault="00937E3A">
      <w:pPr>
        <w:widowControl/>
        <w:rPr>
          <w:szCs w:val="24"/>
          <w:lang w:eastAsia="en-US"/>
        </w:rPr>
      </w:pPr>
      <w:r>
        <w:rPr>
          <w:szCs w:val="24"/>
          <w:lang w:eastAsia="en-US"/>
        </w:rPr>
        <w:br w:type="page"/>
      </w:r>
    </w:p>
    <w:p w14:paraId="2A422CE9" w14:textId="407FEC33"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44.º</w:t>
      </w:r>
      <w:r w:rsidRPr="002A673F">
        <w:rPr>
          <w:szCs w:val="24"/>
          <w:lang w:eastAsia="en-US"/>
        </w:rPr>
        <w:br/>
        <w:t xml:space="preserve">Objeção à determinação FRAND </w:t>
      </w:r>
    </w:p>
    <w:p w14:paraId="47C1C235"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Uma parte pode apresentar uma objeção alegando que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não está em condições de proceder a uma determinação FRAND com base em fundamentos jurídicos, como uma anterior determinação FRAND vinculativa ou um acordo entre as partes, </w:t>
      </w:r>
      <w:r w:rsidRPr="002A673F">
        <w:rPr>
          <w:strike/>
          <w:szCs w:val="24"/>
          <w:lang w:eastAsia="en-US"/>
        </w:rPr>
        <w:t xml:space="preserve">o mais tardar aquando da apresentação das primeiras observações </w:t>
      </w:r>
      <w:proofErr w:type="spellStart"/>
      <w:r w:rsidRPr="002A673F">
        <w:rPr>
          <w:strike/>
          <w:szCs w:val="24"/>
          <w:lang w:eastAsia="en-US"/>
        </w:rPr>
        <w:t>escritas</w:t>
      </w:r>
      <w:r w:rsidRPr="002A673F">
        <w:rPr>
          <w:b/>
          <w:i/>
          <w:szCs w:val="24"/>
          <w:lang w:eastAsia="en-US"/>
        </w:rPr>
        <w:t>em</w:t>
      </w:r>
      <w:proofErr w:type="spellEnd"/>
      <w:r w:rsidRPr="002A673F">
        <w:rPr>
          <w:b/>
          <w:i/>
          <w:szCs w:val="24"/>
          <w:lang w:eastAsia="en-US"/>
        </w:rPr>
        <w:t xml:space="preserve"> qualquer momento</w:t>
      </w:r>
      <w:r w:rsidRPr="002A673F">
        <w:rPr>
          <w:szCs w:val="24"/>
          <w:lang w:eastAsia="en-US"/>
        </w:rPr>
        <w:t>. Será dada à outra parte a oportunidade de apresentar as suas observações.</w:t>
      </w:r>
      <w:r w:rsidRPr="002A673F">
        <w:rPr>
          <w:b/>
          <w:szCs w:val="24"/>
          <w:lang w:eastAsia="en-US"/>
        </w:rPr>
        <w:t xml:space="preserve"> [Alt. 205]</w:t>
      </w:r>
    </w:p>
    <w:p w14:paraId="6F4443BE" w14:textId="29D1F51D"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 xml:space="preserve">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decidir s</w:t>
      </w:r>
      <w:r w:rsidR="00D45C43">
        <w:rPr>
          <w:szCs w:val="24"/>
          <w:lang w:eastAsia="en-US"/>
        </w:rPr>
        <w:t>obre a objeção, podendo rejeitá</w:t>
      </w:r>
      <w:r w:rsidR="00D45C43">
        <w:rPr>
          <w:szCs w:val="24"/>
          <w:lang w:eastAsia="en-US"/>
        </w:rPr>
        <w:noBreakHyphen/>
      </w:r>
      <w:r w:rsidRPr="002A673F">
        <w:rPr>
          <w:szCs w:val="24"/>
          <w:lang w:eastAsia="en-US"/>
        </w:rPr>
        <w:t xml:space="preserve">la por falta de fundamento antes de proceder ao exame do mérito da causa ou integrá-la no exame do mérito da determinação das condições FRAND. Se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rejeitar a objeção ou a integrar no exame do mérito da determinação das condições FRAND, deve retomar o exame da determinação das condições FRAND.</w:t>
      </w:r>
      <w:r w:rsidRPr="002A673F">
        <w:rPr>
          <w:b/>
          <w:szCs w:val="24"/>
          <w:lang w:eastAsia="en-US"/>
        </w:rPr>
        <w:t xml:space="preserve"> [Alt. 206]</w:t>
      </w:r>
    </w:p>
    <w:p w14:paraId="28E7BDB8"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 xml:space="preserve">Se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decidir que a objeção é fundamentada, deve pôr termo à determinação FRAND e elaborar um relatório fundamentado da decisão.</w:t>
      </w:r>
      <w:r w:rsidRPr="002A673F">
        <w:rPr>
          <w:b/>
          <w:szCs w:val="24"/>
          <w:lang w:eastAsia="en-US"/>
        </w:rPr>
        <w:t xml:space="preserve"> [Alt. 207]</w:t>
      </w:r>
    </w:p>
    <w:p w14:paraId="6204EBED" w14:textId="77777777" w:rsidR="00937E3A" w:rsidRDefault="00937E3A">
      <w:pPr>
        <w:widowControl/>
        <w:rPr>
          <w:szCs w:val="24"/>
          <w:lang w:eastAsia="en-US"/>
        </w:rPr>
      </w:pPr>
      <w:r>
        <w:rPr>
          <w:szCs w:val="24"/>
          <w:lang w:eastAsia="en-US"/>
        </w:rPr>
        <w:br w:type="page"/>
      </w:r>
    </w:p>
    <w:p w14:paraId="5D6612AF" w14:textId="25630008"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45.º</w:t>
      </w:r>
      <w:r w:rsidRPr="002A673F">
        <w:rPr>
          <w:szCs w:val="24"/>
          <w:lang w:eastAsia="en-US"/>
        </w:rPr>
        <w:br/>
        <w:t>Realização da determinação FRAND</w:t>
      </w:r>
    </w:p>
    <w:p w14:paraId="2FE7B16C"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prestar assistência às partes, de forma independente e imparcial, nos seus esforços para chegar a uma determinação das condições FRAND.</w:t>
      </w:r>
      <w:r w:rsidRPr="002A673F">
        <w:rPr>
          <w:b/>
          <w:szCs w:val="24"/>
          <w:lang w:eastAsia="en-US"/>
        </w:rPr>
        <w:t xml:space="preserve"> [Alt. 208]</w:t>
      </w:r>
    </w:p>
    <w:p w14:paraId="668E3AA6"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 xml:space="preserve">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pode convidar as partes ou a parte que solicita(m) a continuação da determinação FRAND a reunir-se consigo ou dar-lhe(s) a possibilidade de comunicar(em) consigo oralmente ou por escrito.</w:t>
      </w:r>
      <w:r w:rsidRPr="002A673F">
        <w:rPr>
          <w:b/>
          <w:szCs w:val="24"/>
          <w:lang w:eastAsia="en-US"/>
        </w:rPr>
        <w:t xml:space="preserve"> [Alt. 209]</w:t>
      </w:r>
    </w:p>
    <w:p w14:paraId="796CD7E7"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 xml:space="preserve">As partes ou a parte que solicita(m) a continuação da determinação FRAND deve(m) cooperar de boa-fé com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e, em especial, assistir às reuniões, satisfazer os seus pedidos de apresentação de todos os documentos, informações e explicações pertinentes, bem como utilizar os meios ao seu dispor para permitir ao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ouvir testemunhas e peritos a que este possa recorrer.</w:t>
      </w:r>
      <w:r w:rsidRPr="002A673F">
        <w:rPr>
          <w:b/>
          <w:szCs w:val="24"/>
          <w:lang w:eastAsia="en-US"/>
        </w:rPr>
        <w:t xml:space="preserve"> [Alt. 210]</w:t>
      </w:r>
    </w:p>
    <w:p w14:paraId="173C65BB" w14:textId="77777777" w:rsidR="00937E3A" w:rsidRDefault="00937E3A">
      <w:pPr>
        <w:widowControl/>
        <w:rPr>
          <w:szCs w:val="24"/>
          <w:lang w:eastAsia="en-US"/>
        </w:rPr>
      </w:pPr>
      <w:r>
        <w:rPr>
          <w:szCs w:val="24"/>
          <w:lang w:eastAsia="en-US"/>
        </w:rPr>
        <w:br w:type="page"/>
      </w:r>
    </w:p>
    <w:p w14:paraId="5FA3C4CF" w14:textId="71DBC5B3"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4.</w:t>
      </w:r>
      <w:r w:rsidRPr="002A673F">
        <w:rPr>
          <w:szCs w:val="24"/>
          <w:lang w:eastAsia="en-US"/>
        </w:rPr>
        <w:tab/>
        <w:t>A parte requerida pode participar na determinação FRAND em qualquer momento antes do seu termo.</w:t>
      </w:r>
    </w:p>
    <w:p w14:paraId="28C217D6"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5.</w:t>
      </w:r>
      <w:r w:rsidRPr="002A673F">
        <w:rPr>
          <w:szCs w:val="24"/>
          <w:lang w:eastAsia="en-US"/>
        </w:rPr>
        <w:tab/>
        <w:t xml:space="preserve">Em qualquer fase do procedimento, a pedido de ambas as partes ou da parte que solicitou a continuação da determinação FRAND, consoante o caso,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pôr termo à determinação FRAND.</w:t>
      </w:r>
      <w:r w:rsidRPr="002A673F">
        <w:rPr>
          <w:b/>
          <w:szCs w:val="24"/>
          <w:lang w:eastAsia="en-US"/>
        </w:rPr>
        <w:t xml:space="preserve"> [Alt. 211]</w:t>
      </w:r>
    </w:p>
    <w:p w14:paraId="39193007"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46.º</w:t>
      </w:r>
      <w:r w:rsidRPr="002A673F">
        <w:rPr>
          <w:szCs w:val="24"/>
          <w:lang w:eastAsia="en-US"/>
        </w:rPr>
        <w:br/>
        <w:t xml:space="preserve">Falta de participação de uma parte </w:t>
      </w:r>
    </w:p>
    <w:p w14:paraId="16545ABB"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Se uma parte:</w:t>
      </w:r>
    </w:p>
    <w:p w14:paraId="3D2977C6" w14:textId="0893DA85" w:rsidR="002A673F" w:rsidRPr="00E075CA" w:rsidRDefault="002A673F" w:rsidP="002A673F">
      <w:pPr>
        <w:spacing w:before="120" w:after="120" w:line="360" w:lineRule="auto"/>
        <w:ind w:left="1416" w:hanging="566"/>
        <w:rPr>
          <w:b/>
          <w:szCs w:val="24"/>
          <w:lang w:eastAsia="en-US"/>
        </w:rPr>
      </w:pPr>
      <w:r w:rsidRPr="002A673F">
        <w:rPr>
          <w:szCs w:val="24"/>
          <w:lang w:eastAsia="en-US"/>
        </w:rPr>
        <w:t>a)</w:t>
      </w:r>
      <w:r w:rsidRPr="002A673F">
        <w:rPr>
          <w:szCs w:val="24"/>
          <w:lang w:eastAsia="en-US"/>
        </w:rPr>
        <w:tab/>
      </w:r>
      <w:r w:rsidRPr="002A673F">
        <w:rPr>
          <w:b/>
          <w:i/>
          <w:szCs w:val="24"/>
          <w:lang w:eastAsia="en-US"/>
        </w:rPr>
        <w:t xml:space="preserve">Não cumprir o disposto no artigo 45.º, n.º 3, ou </w:t>
      </w:r>
      <w:r w:rsidRPr="002A673F">
        <w:rPr>
          <w:szCs w:val="24"/>
          <w:lang w:eastAsia="en-US"/>
        </w:rPr>
        <w:t xml:space="preserve">não satisfizer um pedido do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ou não cumprir o regulamento interno ou o calendário do procedimento a que se refere o artigo 42.º, n.º 2,</w:t>
      </w:r>
      <w:r w:rsidRPr="002A673F">
        <w:rPr>
          <w:b/>
          <w:i/>
          <w:szCs w:val="24"/>
          <w:lang w:eastAsia="en-US"/>
        </w:rPr>
        <w:t xml:space="preserve"> ou </w:t>
      </w:r>
      <w:r w:rsidRPr="002A673F">
        <w:rPr>
          <w:b/>
          <w:szCs w:val="24"/>
          <w:lang w:eastAsia="en-US"/>
        </w:rPr>
        <w:t>[Alt. 212]</w:t>
      </w:r>
    </w:p>
    <w:p w14:paraId="7AE4B779" w14:textId="77777777" w:rsidR="002A673F" w:rsidRPr="00E075CA" w:rsidRDefault="002A673F" w:rsidP="002A673F">
      <w:pPr>
        <w:spacing w:before="120" w:after="120" w:line="360" w:lineRule="auto"/>
        <w:ind w:left="1416" w:hanging="566"/>
        <w:rPr>
          <w:b/>
          <w:szCs w:val="24"/>
          <w:lang w:eastAsia="en-US"/>
        </w:rPr>
      </w:pPr>
      <w:r w:rsidRPr="002A673F">
        <w:rPr>
          <w:strike/>
          <w:szCs w:val="24"/>
          <w:lang w:eastAsia="en-US"/>
        </w:rPr>
        <w:t>(b)</w:t>
      </w:r>
      <w:r w:rsidRPr="00E075CA">
        <w:rPr>
          <w:strike/>
          <w:szCs w:val="24"/>
          <w:lang w:eastAsia="en-US"/>
        </w:rPr>
        <w:tab/>
      </w:r>
      <w:r w:rsidRPr="002A673F">
        <w:rPr>
          <w:strike/>
          <w:szCs w:val="24"/>
          <w:lang w:eastAsia="en-US"/>
        </w:rPr>
        <w:t>Retirar o seu compromisso de cumprir o resultado da determinação FRAND em conformidade com o artigo 38.º, ou</w:t>
      </w:r>
      <w:r w:rsidRPr="002A673F">
        <w:rPr>
          <w:b/>
          <w:szCs w:val="24"/>
          <w:lang w:eastAsia="en-US"/>
        </w:rPr>
        <w:t xml:space="preserve"> [Alt. 213]</w:t>
      </w:r>
    </w:p>
    <w:p w14:paraId="36C6F3E2" w14:textId="77777777" w:rsidR="00937E3A" w:rsidRDefault="00937E3A">
      <w:pPr>
        <w:widowControl/>
        <w:rPr>
          <w:szCs w:val="24"/>
          <w:lang w:eastAsia="en-US"/>
        </w:rPr>
      </w:pPr>
      <w:r>
        <w:rPr>
          <w:szCs w:val="24"/>
          <w:lang w:eastAsia="en-US"/>
        </w:rPr>
        <w:br w:type="page"/>
      </w:r>
    </w:p>
    <w:p w14:paraId="335FA747" w14:textId="2B32D3DE"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c)</w:t>
      </w:r>
      <w:r w:rsidRPr="002A673F">
        <w:rPr>
          <w:szCs w:val="24"/>
          <w:lang w:eastAsia="en-US"/>
        </w:rPr>
        <w:tab/>
        <w:t>Não cumprir, de qualquer outra forma, um requisito relativo à determinação FRAND,</w:t>
      </w:r>
    </w:p>
    <w:p w14:paraId="77A10E41" w14:textId="77777777" w:rsidR="002A673F" w:rsidRPr="00E075CA" w:rsidRDefault="002A673F" w:rsidP="002A673F">
      <w:pPr>
        <w:spacing w:before="120" w:after="120" w:line="360" w:lineRule="auto"/>
        <w:ind w:left="850"/>
        <w:rPr>
          <w:b/>
          <w:szCs w:val="24"/>
          <w:lang w:eastAsia="en-US"/>
        </w:rPr>
      </w:pPr>
      <w:r w:rsidRPr="002A673F">
        <w:rPr>
          <w:szCs w:val="24"/>
          <w:lang w:eastAsia="en-US"/>
        </w:rPr>
        <w:t xml:space="preserve">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informar ambas as partes desse facto.</w:t>
      </w:r>
      <w:r w:rsidRPr="002A673F">
        <w:rPr>
          <w:b/>
          <w:szCs w:val="24"/>
          <w:lang w:eastAsia="en-US"/>
        </w:rPr>
        <w:t xml:space="preserve"> [Alt. 214]</w:t>
      </w:r>
    </w:p>
    <w:p w14:paraId="78ACCE0B"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 xml:space="preserve">Uma vez recebida a notificação do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a parte cumpridora pode solicitar ao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que tome uma das seguintes medidas:</w:t>
      </w:r>
      <w:r w:rsidRPr="002A673F">
        <w:rPr>
          <w:b/>
          <w:szCs w:val="24"/>
          <w:lang w:eastAsia="en-US"/>
        </w:rPr>
        <w:t xml:space="preserve"> [Alt. 215]</w:t>
      </w:r>
    </w:p>
    <w:p w14:paraId="186974B5" w14:textId="57F6C44A"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Que apresente uma proposta de determinação FRAND, em conformidade com o artigo 55.º, com base nas informações de que disponha, atribuindo o peso que considere adequado a qualquer elemento de prova que lhe seja apresentado;</w:t>
      </w:r>
    </w:p>
    <w:p w14:paraId="20AF0F35" w14:textId="30D52027"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Que cesse o procedimento.</w:t>
      </w:r>
    </w:p>
    <w:p w14:paraId="76E73AB8"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 xml:space="preserve">Se a parte que solicita a continuação da determinação FRAND não cumprir um pedido do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ou, de qualquer outra forma, não cumprir um requisito relativo à determinação FRAND,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pôr termo ao procedimento.</w:t>
      </w:r>
      <w:r w:rsidRPr="002A673F">
        <w:rPr>
          <w:b/>
          <w:szCs w:val="24"/>
          <w:lang w:eastAsia="en-US"/>
        </w:rPr>
        <w:t xml:space="preserve"> [Alt. 216]</w:t>
      </w:r>
    </w:p>
    <w:p w14:paraId="19B31A74" w14:textId="77777777" w:rsidR="00937E3A" w:rsidRDefault="00937E3A">
      <w:pPr>
        <w:widowControl/>
        <w:rPr>
          <w:szCs w:val="24"/>
          <w:lang w:eastAsia="en-US"/>
        </w:rPr>
      </w:pPr>
      <w:r>
        <w:rPr>
          <w:szCs w:val="24"/>
          <w:lang w:eastAsia="en-US"/>
        </w:rPr>
        <w:br w:type="page"/>
      </w:r>
    </w:p>
    <w:p w14:paraId="1FC49636" w14:textId="0986F6B4"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47.º</w:t>
      </w:r>
      <w:r w:rsidRPr="002A673F">
        <w:rPr>
          <w:szCs w:val="24"/>
          <w:lang w:eastAsia="en-US"/>
        </w:rPr>
        <w:br/>
        <w:t>Processo paralelo num país terceiro</w:t>
      </w:r>
    </w:p>
    <w:p w14:paraId="53C368B6"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Para efeitos do presente artigo, entende-se por processo paralelo um processo que preencha as seguintes condições:</w:t>
      </w:r>
    </w:p>
    <w:p w14:paraId="0A94F8D2" w14:textId="7B3F46C4"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Qualquer procedimento perante um órgão jurisdicional ou uma autoridade administrativa ou estatal de um país terceiro que tome decisões juridicamente vinculativas e executórias em matéria de reivindicação de patentes, injunções, violações, abusos de posição dominante no mercado ou determinações de condições FRAND;</w:t>
      </w:r>
    </w:p>
    <w:p w14:paraId="101A3695" w14:textId="458ABBCC"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Em caso de litígio em matéria de concessão de licenças relativo à mesma norma e aplicação e a uma patente que, em substância, tenha as mesmas reivindicações que a PEN que é objeto da determinação FRAND;</w:t>
      </w:r>
    </w:p>
    <w:p w14:paraId="58AC9EA3" w14:textId="76535ED7"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Em que uma ou mais das partes na determinação FRAND participe.</w:t>
      </w:r>
    </w:p>
    <w:p w14:paraId="714EA901"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 xml:space="preserve">Se um processo paralelo tiver sido iniciado antes ou durante a determinação FRAND por uma das partes,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ou, se este não tiver sido nomeado, o centro de competências, deve pôr termo à determinação FRAND a pedido </w:t>
      </w:r>
      <w:r w:rsidRPr="002A673F">
        <w:rPr>
          <w:strike/>
          <w:szCs w:val="24"/>
          <w:lang w:eastAsia="en-US"/>
        </w:rPr>
        <w:t xml:space="preserve">de </w:t>
      </w:r>
      <w:proofErr w:type="spellStart"/>
      <w:r w:rsidRPr="002A673F">
        <w:rPr>
          <w:strike/>
          <w:szCs w:val="24"/>
          <w:lang w:eastAsia="en-US"/>
        </w:rPr>
        <w:t>qualquer</w:t>
      </w:r>
      <w:r w:rsidRPr="002A673F">
        <w:rPr>
          <w:b/>
          <w:i/>
          <w:szCs w:val="24"/>
          <w:lang w:eastAsia="en-US"/>
        </w:rPr>
        <w:t>da</w:t>
      </w:r>
      <w:proofErr w:type="spellEnd"/>
      <w:r w:rsidRPr="002A673F">
        <w:rPr>
          <w:szCs w:val="24"/>
          <w:lang w:eastAsia="en-US"/>
        </w:rPr>
        <w:t xml:space="preserve"> outra parte.</w:t>
      </w:r>
      <w:r w:rsidRPr="002A673F">
        <w:rPr>
          <w:b/>
          <w:szCs w:val="24"/>
          <w:lang w:eastAsia="en-US"/>
        </w:rPr>
        <w:t xml:space="preserve"> [Alt. 217]</w:t>
      </w:r>
    </w:p>
    <w:p w14:paraId="3D460470" w14:textId="77777777" w:rsidR="00937E3A" w:rsidRDefault="00937E3A">
      <w:pPr>
        <w:widowControl/>
        <w:rPr>
          <w:szCs w:val="24"/>
          <w:lang w:eastAsia="en-US"/>
        </w:rPr>
      </w:pPr>
      <w:r>
        <w:rPr>
          <w:szCs w:val="24"/>
          <w:lang w:eastAsia="en-US"/>
        </w:rPr>
        <w:br w:type="page"/>
      </w:r>
    </w:p>
    <w:p w14:paraId="71B68ABD" w14:textId="070A9D6D"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48.º</w:t>
      </w:r>
      <w:r w:rsidRPr="002A673F">
        <w:rPr>
          <w:szCs w:val="24"/>
          <w:lang w:eastAsia="en-US"/>
        </w:rPr>
        <w:br/>
        <w:t>Elementos de prova</w:t>
      </w:r>
    </w:p>
    <w:p w14:paraId="02F56CC6"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Sem prejuízo da proteção da confidencialidade nos termos do artigo 54.º, n.º 3, em qualquer momento durante a determinação FRAND,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pode, a pedido de uma das partes ou por sua própria iniciativa, solicitar a apresentação de documentos ou outros elementos de prova.</w:t>
      </w:r>
      <w:r w:rsidRPr="002A673F">
        <w:rPr>
          <w:b/>
          <w:szCs w:val="24"/>
          <w:lang w:eastAsia="en-US"/>
        </w:rPr>
        <w:t xml:space="preserve"> [Alt. 218]</w:t>
      </w:r>
    </w:p>
    <w:p w14:paraId="1C5AA200"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 xml:space="preserve">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pode examinar as informações publicamente disponíveis e o registo</w:t>
      </w:r>
      <w:r w:rsidRPr="002A673F">
        <w:rPr>
          <w:b/>
          <w:i/>
          <w:szCs w:val="24"/>
          <w:lang w:eastAsia="en-US"/>
        </w:rPr>
        <w:t>, a base de dados</w:t>
      </w:r>
      <w:r w:rsidRPr="002A673F">
        <w:rPr>
          <w:szCs w:val="24"/>
          <w:lang w:eastAsia="en-US"/>
        </w:rPr>
        <w:t xml:space="preserve"> e relatórios confidenciais e não confidenciais de outras determinações FRAND</w:t>
      </w:r>
      <w:r w:rsidRPr="002A673F">
        <w:rPr>
          <w:b/>
          <w:i/>
          <w:szCs w:val="24"/>
          <w:lang w:eastAsia="en-US"/>
        </w:rPr>
        <w:t xml:space="preserve">, determinações de </w:t>
      </w:r>
      <w:r w:rsidRPr="00E075CA">
        <w:rPr>
          <w:b/>
          <w:szCs w:val="24"/>
          <w:lang w:eastAsia="en-US"/>
        </w:rPr>
        <w:t>royalties</w:t>
      </w:r>
      <w:r w:rsidRPr="002A673F">
        <w:rPr>
          <w:b/>
          <w:i/>
          <w:szCs w:val="24"/>
          <w:lang w:eastAsia="en-US"/>
        </w:rPr>
        <w:t xml:space="preserve"> agregados e resultados de verificações do caráter essencial</w:t>
      </w:r>
      <w:r w:rsidRPr="002A673F">
        <w:rPr>
          <w:szCs w:val="24"/>
          <w:lang w:eastAsia="en-US"/>
        </w:rPr>
        <w:t xml:space="preserve"> do centro de competências, bem como </w:t>
      </w:r>
      <w:proofErr w:type="spellStart"/>
      <w:r w:rsidRPr="002A673F">
        <w:rPr>
          <w:strike/>
          <w:szCs w:val="24"/>
          <w:lang w:eastAsia="en-US"/>
        </w:rPr>
        <w:t>os</w:t>
      </w:r>
      <w:r w:rsidRPr="002A673F">
        <w:rPr>
          <w:b/>
          <w:i/>
          <w:szCs w:val="24"/>
          <w:lang w:eastAsia="en-US"/>
        </w:rPr>
        <w:t>outros</w:t>
      </w:r>
      <w:proofErr w:type="spellEnd"/>
      <w:r w:rsidRPr="002A673F">
        <w:rPr>
          <w:szCs w:val="24"/>
          <w:lang w:eastAsia="en-US"/>
        </w:rPr>
        <w:t xml:space="preserve"> documentos e informações não confidenciais produzidos pelo centro de competências ou a este apresentados.</w:t>
      </w:r>
      <w:r w:rsidRPr="002A673F">
        <w:rPr>
          <w:b/>
          <w:szCs w:val="24"/>
          <w:lang w:eastAsia="en-US"/>
        </w:rPr>
        <w:t xml:space="preserve"> [Alt. 219]</w:t>
      </w:r>
    </w:p>
    <w:p w14:paraId="5C05AB13"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49.º</w:t>
      </w:r>
      <w:r w:rsidRPr="002A673F">
        <w:rPr>
          <w:szCs w:val="24"/>
          <w:lang w:eastAsia="en-US"/>
        </w:rPr>
        <w:br/>
        <w:t>Testemunhas e peritos</w:t>
      </w:r>
    </w:p>
    <w:p w14:paraId="6080D6E9" w14:textId="77777777" w:rsidR="002A673F" w:rsidRPr="00E075CA" w:rsidRDefault="002A673F" w:rsidP="002A673F">
      <w:pPr>
        <w:spacing w:before="120" w:after="120" w:line="360" w:lineRule="auto"/>
        <w:rPr>
          <w:b/>
          <w:szCs w:val="24"/>
          <w:lang w:eastAsia="en-US"/>
        </w:rPr>
      </w:pPr>
      <w:r w:rsidRPr="002A673F">
        <w:rPr>
          <w:szCs w:val="24"/>
          <w:lang w:eastAsia="en-US"/>
        </w:rPr>
        <w:t xml:space="preserve">O </w:t>
      </w:r>
      <w:proofErr w:type="spellStart"/>
      <w:r w:rsidRPr="00E075CA">
        <w:rPr>
          <w:strike/>
          <w:szCs w:val="24"/>
          <w:lang w:eastAsia="en-US"/>
        </w:rPr>
        <w:t>conciliador</w:t>
      </w:r>
      <w:r w:rsidRPr="00E075CA">
        <w:rPr>
          <w:b/>
          <w:i/>
          <w:szCs w:val="24"/>
          <w:lang w:eastAsia="en-US"/>
        </w:rPr>
        <w:t>painel</w:t>
      </w:r>
      <w:proofErr w:type="spellEnd"/>
      <w:r w:rsidRPr="00E075CA">
        <w:rPr>
          <w:b/>
          <w:i/>
          <w:szCs w:val="24"/>
          <w:lang w:eastAsia="en-US"/>
        </w:rPr>
        <w:t xml:space="preserve"> de conciliadores</w:t>
      </w:r>
      <w:r w:rsidRPr="002A673F">
        <w:rPr>
          <w:szCs w:val="24"/>
          <w:lang w:eastAsia="en-US"/>
        </w:rPr>
        <w:t xml:space="preserve"> pode ouvir testemunhas e peritos mediante pedido de qualquer uma das partes, desde que os elementos de prova sejam necessários para a determinação FRAND e haja tempo para os analisar.</w:t>
      </w:r>
      <w:r w:rsidRPr="002A673F">
        <w:rPr>
          <w:b/>
          <w:szCs w:val="24"/>
          <w:lang w:eastAsia="en-US"/>
        </w:rPr>
        <w:t xml:space="preserve"> [Alt. 220]</w:t>
      </w:r>
    </w:p>
    <w:p w14:paraId="224E7CB1" w14:textId="77777777" w:rsidR="00937E3A" w:rsidRDefault="00937E3A">
      <w:pPr>
        <w:widowControl/>
        <w:rPr>
          <w:szCs w:val="24"/>
          <w:lang w:eastAsia="en-US"/>
        </w:rPr>
      </w:pPr>
      <w:r>
        <w:rPr>
          <w:szCs w:val="24"/>
          <w:lang w:eastAsia="en-US"/>
        </w:rPr>
        <w:br w:type="page"/>
      </w:r>
    </w:p>
    <w:p w14:paraId="49C18EC6" w14:textId="42250C1D"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50.º</w:t>
      </w:r>
      <w:r w:rsidRPr="002A673F">
        <w:rPr>
          <w:szCs w:val="24"/>
          <w:lang w:eastAsia="en-US"/>
        </w:rPr>
        <w:br/>
        <w:t xml:space="preserve">Proposta para a determinação das condições FRAND </w:t>
      </w:r>
    </w:p>
    <w:p w14:paraId="218F0B83"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Em qualquer momento da determinação FRAND,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ou uma das partes, por sua própria iniciativa ou a convite do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pode apresentar propostas para uma determinação das condições FRAND.</w:t>
      </w:r>
      <w:r w:rsidRPr="002A673F">
        <w:rPr>
          <w:b/>
          <w:szCs w:val="24"/>
          <w:lang w:eastAsia="en-US"/>
        </w:rPr>
        <w:t xml:space="preserve"> [Alt. 221]</w:t>
      </w:r>
    </w:p>
    <w:p w14:paraId="07B9624E"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Se a parte requerente tiver apresentado uma proposta escrita de condições FRAND nas suas observações escritas, deve ser dada à parte requerida a oportunidade de apresentar observações e/ou uma contraproposta por escrito na sua resposta.</w:t>
      </w:r>
    </w:p>
    <w:p w14:paraId="6DFD0946"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 xml:space="preserve">Ao apresentar sugestões de condições FRAND,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ter em conta o impacto da determinação das condições FRAND na cadeia de valor e nos incentivos à inovação tanto do titular da PEN como das partes interessadas na cadeia de valor pertinente. Para o efeito,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pode basear-se no parecer de peritos a que se refere o artigo 18.º ou, na ausência desse parecer, solicitar informações adicionais e ouvir peritos ou partes interessadas.</w:t>
      </w:r>
      <w:r w:rsidRPr="002A673F">
        <w:rPr>
          <w:b/>
          <w:szCs w:val="24"/>
          <w:lang w:eastAsia="en-US"/>
        </w:rPr>
        <w:t xml:space="preserve"> [Alt. 222]</w:t>
      </w:r>
    </w:p>
    <w:p w14:paraId="3555980E" w14:textId="77777777" w:rsidR="00937E3A" w:rsidRDefault="00937E3A">
      <w:pPr>
        <w:widowControl/>
        <w:rPr>
          <w:szCs w:val="24"/>
          <w:lang w:eastAsia="en-US"/>
        </w:rPr>
      </w:pPr>
      <w:r>
        <w:rPr>
          <w:szCs w:val="24"/>
          <w:lang w:eastAsia="en-US"/>
        </w:rPr>
        <w:br w:type="page"/>
      </w:r>
    </w:p>
    <w:p w14:paraId="1F59B273" w14:textId="38126912" w:rsidR="002A673F" w:rsidRPr="00E075CA" w:rsidRDefault="002A673F" w:rsidP="002A673F">
      <w:pPr>
        <w:spacing w:before="120" w:after="120" w:line="360" w:lineRule="auto"/>
        <w:jc w:val="center"/>
        <w:rPr>
          <w:b/>
          <w:szCs w:val="24"/>
          <w:lang w:eastAsia="en-US"/>
        </w:rPr>
      </w:pPr>
      <w:r w:rsidRPr="002A673F">
        <w:rPr>
          <w:szCs w:val="24"/>
          <w:lang w:eastAsia="en-US"/>
        </w:rPr>
        <w:lastRenderedPageBreak/>
        <w:t>Artigo 51.º</w:t>
      </w:r>
      <w:r w:rsidRPr="002A673F">
        <w:rPr>
          <w:szCs w:val="24"/>
          <w:lang w:eastAsia="en-US"/>
        </w:rPr>
        <w:br/>
        <w:t xml:space="preserve">Recomendação de determinação das condições FRAND pelo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b/>
          <w:szCs w:val="24"/>
          <w:lang w:eastAsia="en-US"/>
        </w:rPr>
        <w:t xml:space="preserve"> [Alt. 223]</w:t>
      </w:r>
    </w:p>
    <w:p w14:paraId="4F1FAE88" w14:textId="77777777" w:rsidR="002A673F" w:rsidRPr="00E075CA" w:rsidRDefault="002A673F" w:rsidP="002A673F">
      <w:pPr>
        <w:spacing w:before="120" w:after="120" w:line="360" w:lineRule="auto"/>
        <w:rPr>
          <w:b/>
          <w:szCs w:val="24"/>
          <w:lang w:eastAsia="en-US"/>
        </w:rPr>
      </w:pPr>
      <w:r w:rsidRPr="002A673F">
        <w:rPr>
          <w:szCs w:val="24"/>
          <w:lang w:eastAsia="en-US"/>
        </w:rPr>
        <w:t xml:space="preserve">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notificar as partes de uma recomendação escrita sobre uma determinação das condições FRAND, o mais tardar cinco meses antes do termo do prazo a que se refere o artigo 37.º.</w:t>
      </w:r>
      <w:r w:rsidRPr="002A673F">
        <w:rPr>
          <w:b/>
          <w:szCs w:val="24"/>
          <w:lang w:eastAsia="en-US"/>
        </w:rPr>
        <w:t xml:space="preserve"> [Alt. 224]</w:t>
      </w:r>
    </w:p>
    <w:p w14:paraId="0D777F8F"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52.º</w:t>
      </w:r>
      <w:r w:rsidRPr="002A673F">
        <w:rPr>
          <w:szCs w:val="24"/>
          <w:lang w:eastAsia="en-US"/>
        </w:rPr>
        <w:br/>
        <w:t>Apresentação pelas partes de propostas fundamentadas para a determinação das condições FRAND</w:t>
      </w:r>
    </w:p>
    <w:p w14:paraId="3C6556DC" w14:textId="77777777" w:rsidR="002A673F" w:rsidRPr="00E075CA" w:rsidRDefault="002A673F" w:rsidP="002A673F">
      <w:pPr>
        <w:spacing w:before="120" w:after="120" w:line="360" w:lineRule="auto"/>
        <w:rPr>
          <w:b/>
          <w:szCs w:val="24"/>
          <w:lang w:eastAsia="en-US"/>
        </w:rPr>
      </w:pPr>
      <w:r w:rsidRPr="002A673F">
        <w:rPr>
          <w:szCs w:val="24"/>
          <w:lang w:eastAsia="en-US"/>
        </w:rPr>
        <w:t xml:space="preserve">Na sequência da notificação, pelo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da recomendação escrita relativa às condições FRAND, qualquer uma das partes deve apresentar uma proposta circunstanciada e fundamentada para a determinação das condições FRAND. Se uma das partes já tiver apresentado uma proposta de determinação das condições FRAND, devem ser apresentadas versões revistas, se necessário, tendo em conta a recomendação do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w:t>
      </w:r>
      <w:r w:rsidRPr="002A673F">
        <w:rPr>
          <w:b/>
          <w:szCs w:val="24"/>
          <w:lang w:eastAsia="en-US"/>
        </w:rPr>
        <w:t xml:space="preserve"> [Alt. 225]</w:t>
      </w:r>
    </w:p>
    <w:p w14:paraId="1D789FFE" w14:textId="77777777" w:rsidR="00937E3A" w:rsidRDefault="00937E3A">
      <w:pPr>
        <w:widowControl/>
        <w:rPr>
          <w:szCs w:val="24"/>
          <w:lang w:eastAsia="en-US"/>
        </w:rPr>
      </w:pPr>
      <w:r>
        <w:rPr>
          <w:szCs w:val="24"/>
          <w:lang w:eastAsia="en-US"/>
        </w:rPr>
        <w:br w:type="page"/>
      </w:r>
    </w:p>
    <w:p w14:paraId="16C1FB75" w14:textId="2FB713A0"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53.º</w:t>
      </w:r>
      <w:r w:rsidRPr="002A673F">
        <w:rPr>
          <w:szCs w:val="24"/>
          <w:lang w:eastAsia="en-US"/>
        </w:rPr>
        <w:br/>
        <w:t xml:space="preserve">Procedimento oral </w:t>
      </w:r>
    </w:p>
    <w:p w14:paraId="2AD88090" w14:textId="77777777" w:rsidR="002A673F" w:rsidRPr="00E075CA" w:rsidRDefault="002A673F" w:rsidP="002A673F">
      <w:pPr>
        <w:spacing w:before="120" w:after="120" w:line="360" w:lineRule="auto"/>
        <w:rPr>
          <w:b/>
          <w:szCs w:val="24"/>
          <w:lang w:eastAsia="en-US"/>
        </w:rPr>
      </w:pPr>
      <w:r w:rsidRPr="002A673F">
        <w:rPr>
          <w:szCs w:val="24"/>
          <w:lang w:eastAsia="en-US"/>
        </w:rPr>
        <w:t xml:space="preserve">Se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o considerar necessário ou se uma das partes o solicitar, deve realizar-se uma audição oral no prazo de 20 dias a contar da apresentação de propostas fundamentadas para a determinação das condições FRAND.</w:t>
      </w:r>
      <w:r w:rsidRPr="002A673F">
        <w:rPr>
          <w:b/>
          <w:szCs w:val="24"/>
          <w:lang w:eastAsia="en-US"/>
        </w:rPr>
        <w:t xml:space="preserve"> [Alt. 226]</w:t>
      </w:r>
    </w:p>
    <w:p w14:paraId="4EC8CB9C"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54.º</w:t>
      </w:r>
      <w:r w:rsidRPr="002A673F">
        <w:rPr>
          <w:szCs w:val="24"/>
          <w:lang w:eastAsia="en-US"/>
        </w:rPr>
        <w:br/>
        <w:t xml:space="preserve">Divulgação de informações </w:t>
      </w:r>
    </w:p>
    <w:p w14:paraId="0837FB76"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Quando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receber informações de uma parte para efeitos da determinação FRAND, deve divulgá-las à outra parte, para que esta tenha a oportunidade de apresentar eventuais explicações.</w:t>
      </w:r>
      <w:r w:rsidRPr="002A673F">
        <w:rPr>
          <w:b/>
          <w:szCs w:val="24"/>
          <w:lang w:eastAsia="en-US"/>
        </w:rPr>
        <w:t xml:space="preserve"> [Alt. 227]</w:t>
      </w:r>
    </w:p>
    <w:p w14:paraId="66B6A4E6"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 xml:space="preserve">Uma parte pode solicitar ao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que seja mantida a confidencialidade das informações específicas constantes de um documento apresentado.</w:t>
      </w:r>
      <w:r w:rsidRPr="002A673F">
        <w:rPr>
          <w:b/>
          <w:szCs w:val="24"/>
          <w:lang w:eastAsia="en-US"/>
        </w:rPr>
        <w:t xml:space="preserve"> [Alt. 228]</w:t>
      </w:r>
    </w:p>
    <w:p w14:paraId="07E0ECE4"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 xml:space="preserve">Quando uma parte solicitar que seja mantida a confidencialidade das informações específicas constantes de um documento que tenha apresentado,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não pode divulgar essas informações à outra parte. A parte que invoca a confidencialidade deve também facultar uma versão não confidencial e suficientemente pormenorizada das informações comunicadas a título confidencial para permitir compreender de forma adequada o essencial dessas informações. Esta versão não confidencial deve ser divulgada à outra parte.</w:t>
      </w:r>
      <w:r w:rsidRPr="002A673F">
        <w:rPr>
          <w:b/>
          <w:szCs w:val="24"/>
          <w:lang w:eastAsia="en-US"/>
        </w:rPr>
        <w:t xml:space="preserve"> [Alt. 229]</w:t>
      </w:r>
    </w:p>
    <w:p w14:paraId="59EBCB2B" w14:textId="77777777" w:rsidR="00937E3A" w:rsidRDefault="00937E3A">
      <w:pPr>
        <w:widowControl/>
        <w:rPr>
          <w:szCs w:val="24"/>
          <w:lang w:eastAsia="en-US"/>
        </w:rPr>
      </w:pPr>
      <w:r>
        <w:rPr>
          <w:szCs w:val="24"/>
          <w:lang w:eastAsia="en-US"/>
        </w:rPr>
        <w:br w:type="page"/>
      </w:r>
    </w:p>
    <w:p w14:paraId="5AEC986E" w14:textId="379E95F6"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55.º</w:t>
      </w:r>
      <w:r w:rsidRPr="002A673F">
        <w:rPr>
          <w:szCs w:val="24"/>
          <w:lang w:eastAsia="en-US"/>
        </w:rPr>
        <w:br/>
        <w:t>Proposta fundamentada de determinação das condições FRAND pelo conciliador</w:t>
      </w:r>
    </w:p>
    <w:p w14:paraId="41A0973E"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O mais tardar 45 dias antes do termo do prazo a que se refere o artigo 37.º, 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apresentar uma proposta fundamentada de determinação das condições FRAND às partes ou, se for caso disso, à parte que solicita a continuação da determinação FRAND.</w:t>
      </w:r>
      <w:r w:rsidRPr="002A673F">
        <w:rPr>
          <w:b/>
          <w:szCs w:val="24"/>
          <w:lang w:eastAsia="en-US"/>
        </w:rPr>
        <w:t xml:space="preserve"> [Alt. 230]</w:t>
      </w:r>
    </w:p>
    <w:p w14:paraId="48D6F2D9"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t xml:space="preserve">Qualquer uma das partes pode apresentar observações sobre a proposta e sugerir a introdução de alterações </w:t>
      </w:r>
      <w:r w:rsidRPr="002A673F">
        <w:rPr>
          <w:strike/>
          <w:szCs w:val="24"/>
          <w:lang w:eastAsia="en-US"/>
        </w:rPr>
        <w:t xml:space="preserve">à proposta ao </w:t>
      </w:r>
      <w:proofErr w:type="spellStart"/>
      <w:r w:rsidRPr="002A673F">
        <w:rPr>
          <w:strike/>
          <w:szCs w:val="24"/>
          <w:lang w:eastAsia="en-US"/>
        </w:rPr>
        <w:t>conciliador</w:t>
      </w:r>
      <w:r w:rsidRPr="002A673F">
        <w:rPr>
          <w:b/>
          <w:i/>
          <w:szCs w:val="24"/>
          <w:lang w:eastAsia="en-US"/>
        </w:rPr>
        <w:t>num</w:t>
      </w:r>
      <w:proofErr w:type="spellEnd"/>
      <w:r w:rsidRPr="002A673F">
        <w:rPr>
          <w:b/>
          <w:i/>
          <w:szCs w:val="24"/>
          <w:lang w:eastAsia="en-US"/>
        </w:rPr>
        <w:t xml:space="preserve"> prazo fixado pelo painel de conciliadores</w:t>
      </w:r>
      <w:r w:rsidRPr="002A673F">
        <w:rPr>
          <w:szCs w:val="24"/>
          <w:lang w:eastAsia="en-US"/>
        </w:rPr>
        <w:t xml:space="preserve">, o qual pode reformular a sua proposta para ter em conta as observações apresentadas pelas partes e deve informar </w:t>
      </w:r>
      <w:r w:rsidRPr="002A673F">
        <w:rPr>
          <w:b/>
          <w:i/>
          <w:szCs w:val="24"/>
          <w:lang w:eastAsia="en-US"/>
        </w:rPr>
        <w:t xml:space="preserve">prontamente </w:t>
      </w:r>
      <w:r w:rsidRPr="002A673F">
        <w:rPr>
          <w:szCs w:val="24"/>
          <w:lang w:eastAsia="en-US"/>
        </w:rPr>
        <w:t>as partes ou a parte que solicita a continuação da determinação FRAND, consoante o caso, dessa reformulação.</w:t>
      </w:r>
      <w:r w:rsidRPr="002A673F">
        <w:rPr>
          <w:b/>
          <w:szCs w:val="24"/>
          <w:lang w:eastAsia="en-US"/>
        </w:rPr>
        <w:t xml:space="preserve"> [Alt. 231]</w:t>
      </w:r>
    </w:p>
    <w:p w14:paraId="792F5A0D"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56.º</w:t>
      </w:r>
      <w:r w:rsidRPr="002A673F">
        <w:rPr>
          <w:szCs w:val="24"/>
          <w:lang w:eastAsia="en-US"/>
        </w:rPr>
        <w:br/>
        <w:t>Cessação da determinação FRAND e notificação da cessação</w:t>
      </w:r>
    </w:p>
    <w:p w14:paraId="289EA228" w14:textId="57816E53"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Para além da cessação da determinação FRAND pe</w:t>
      </w:r>
      <w:r w:rsidR="00937E3A">
        <w:rPr>
          <w:szCs w:val="24"/>
          <w:lang w:eastAsia="en-US"/>
        </w:rPr>
        <w:t>los motivos previstos no artigo </w:t>
      </w:r>
      <w:r w:rsidRPr="002A673F">
        <w:rPr>
          <w:szCs w:val="24"/>
          <w:lang w:eastAsia="en-US"/>
        </w:rPr>
        <w:t>38.º, n.º 4, no artigo 44.º, n.º 3, no artigo 45.º, n.º 5</w:t>
      </w:r>
      <w:r w:rsidR="00937E3A">
        <w:rPr>
          <w:szCs w:val="24"/>
          <w:lang w:eastAsia="en-US"/>
        </w:rPr>
        <w:t>, no artigo 46.º, n.º 2, alínea </w:t>
      </w:r>
      <w:r w:rsidRPr="002A673F">
        <w:rPr>
          <w:szCs w:val="24"/>
          <w:lang w:eastAsia="en-US"/>
        </w:rPr>
        <w:t>b), no artigo 46.º, n.º 3, e no artigo 47.º, n.º 2, a determinação FRAND cessa de uma das seguintes formas:</w:t>
      </w:r>
    </w:p>
    <w:p w14:paraId="0D550AAE" w14:textId="77777777" w:rsidR="00937E3A" w:rsidRDefault="00937E3A">
      <w:pPr>
        <w:widowControl/>
        <w:rPr>
          <w:szCs w:val="24"/>
          <w:lang w:eastAsia="en-US"/>
        </w:rPr>
      </w:pPr>
      <w:r>
        <w:rPr>
          <w:szCs w:val="24"/>
          <w:lang w:eastAsia="en-US"/>
        </w:rPr>
        <w:br w:type="page"/>
      </w:r>
    </w:p>
    <w:p w14:paraId="68BF8EB4" w14:textId="776A6739"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a)</w:t>
      </w:r>
      <w:r w:rsidRPr="002A673F">
        <w:rPr>
          <w:szCs w:val="24"/>
          <w:lang w:eastAsia="en-US"/>
        </w:rPr>
        <w:tab/>
        <w:t>As partes assinam um acordo de resolução;</w:t>
      </w:r>
    </w:p>
    <w:p w14:paraId="17D275BF" w14:textId="4806DF22" w:rsidR="002A673F" w:rsidRPr="00E075CA" w:rsidRDefault="002A673F" w:rsidP="002A673F">
      <w:pPr>
        <w:spacing w:before="120" w:after="120" w:line="360" w:lineRule="auto"/>
        <w:ind w:left="1416" w:hanging="566"/>
        <w:rPr>
          <w:b/>
          <w:szCs w:val="24"/>
          <w:lang w:eastAsia="en-US"/>
        </w:rPr>
      </w:pPr>
      <w:r w:rsidRPr="002A673F">
        <w:rPr>
          <w:szCs w:val="24"/>
          <w:lang w:eastAsia="en-US"/>
        </w:rPr>
        <w:t>b)</w:t>
      </w:r>
      <w:r w:rsidRPr="002A673F">
        <w:rPr>
          <w:szCs w:val="24"/>
          <w:lang w:eastAsia="en-US"/>
        </w:rPr>
        <w:tab/>
        <w:t xml:space="preserve">As partes assinam uma declaração escrita em como aceitam a proposta fundamentada de determinação das condições FRAND apresentada pelo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conforme previsto no artigo 55.º;</w:t>
      </w:r>
      <w:r w:rsidRPr="002A673F">
        <w:rPr>
          <w:b/>
          <w:szCs w:val="24"/>
          <w:lang w:eastAsia="en-US"/>
        </w:rPr>
        <w:t xml:space="preserve"> [Alt. 232]</w:t>
      </w:r>
    </w:p>
    <w:p w14:paraId="7FFBD881" w14:textId="4AAAE4B5" w:rsidR="002A673F" w:rsidRPr="00E075CA" w:rsidRDefault="002A673F" w:rsidP="002A673F">
      <w:pPr>
        <w:spacing w:before="120" w:after="120" w:line="360" w:lineRule="auto"/>
        <w:ind w:left="1416" w:hanging="566"/>
        <w:rPr>
          <w:b/>
          <w:szCs w:val="24"/>
          <w:lang w:eastAsia="en-US"/>
        </w:rPr>
      </w:pPr>
      <w:r w:rsidRPr="002A673F">
        <w:rPr>
          <w:szCs w:val="24"/>
          <w:lang w:eastAsia="en-US"/>
        </w:rPr>
        <w:t>c)</w:t>
      </w:r>
      <w:r w:rsidRPr="002A673F">
        <w:rPr>
          <w:szCs w:val="24"/>
          <w:lang w:eastAsia="en-US"/>
        </w:rPr>
        <w:tab/>
        <w:t xml:space="preserve">Uma das partes elabora uma declaração escrita em como não aceita a proposta fundamentada de determinação das condições FRAND apresentada pelo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conforme previsto no artigo 55.º;</w:t>
      </w:r>
      <w:r w:rsidRPr="002A673F">
        <w:rPr>
          <w:b/>
          <w:szCs w:val="24"/>
          <w:lang w:eastAsia="en-US"/>
        </w:rPr>
        <w:t xml:space="preserve"> [Alt. 233]</w:t>
      </w:r>
    </w:p>
    <w:p w14:paraId="7BADCEEF" w14:textId="1914C6ED" w:rsidR="002A673F" w:rsidRPr="00E075CA" w:rsidRDefault="002A673F" w:rsidP="002A673F">
      <w:pPr>
        <w:spacing w:before="120" w:after="120" w:line="360" w:lineRule="auto"/>
        <w:ind w:left="1416" w:hanging="566"/>
        <w:rPr>
          <w:b/>
          <w:szCs w:val="24"/>
          <w:lang w:eastAsia="en-US"/>
        </w:rPr>
      </w:pPr>
      <w:r w:rsidRPr="002A673F">
        <w:rPr>
          <w:szCs w:val="24"/>
          <w:lang w:eastAsia="en-US"/>
        </w:rPr>
        <w:t>d)</w:t>
      </w:r>
      <w:r w:rsidRPr="002A673F">
        <w:rPr>
          <w:szCs w:val="24"/>
          <w:lang w:eastAsia="en-US"/>
        </w:rPr>
        <w:tab/>
        <w:t xml:space="preserve">Uma das partes não apresentou uma resposta à proposta fundamentada de determinação das condições FRAND apresentada pelo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conforme previsto no artigo 55.º.</w:t>
      </w:r>
      <w:r w:rsidRPr="002A673F">
        <w:rPr>
          <w:b/>
          <w:szCs w:val="24"/>
          <w:lang w:eastAsia="en-US"/>
        </w:rPr>
        <w:t xml:space="preserve"> [Alt. 234]</w:t>
      </w:r>
    </w:p>
    <w:p w14:paraId="55E8B39D"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Em caso de cessação da determinação FRAND, o centro de competências deve adotar uma notificação de cessação da determinação FRAND e notificar as partes no prazo de cinco dias a contar da cessação. A notificação de cessação deve incluir os nomes das partes e do conciliador, o objeto da determinação FRAND, um resumo do procedimento e os motivos da cessação.</w:t>
      </w:r>
    </w:p>
    <w:p w14:paraId="6EC5453F" w14:textId="77777777" w:rsidR="00937E3A" w:rsidRDefault="00937E3A">
      <w:pPr>
        <w:widowControl/>
        <w:rPr>
          <w:szCs w:val="24"/>
          <w:lang w:eastAsia="en-US"/>
        </w:rPr>
      </w:pPr>
      <w:r>
        <w:rPr>
          <w:szCs w:val="24"/>
          <w:lang w:eastAsia="en-US"/>
        </w:rPr>
        <w:br w:type="page"/>
      </w:r>
    </w:p>
    <w:p w14:paraId="5B3F7390" w14:textId="128761F2"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3.</w:t>
      </w:r>
      <w:r w:rsidRPr="002A673F">
        <w:rPr>
          <w:szCs w:val="24"/>
          <w:lang w:eastAsia="en-US"/>
        </w:rPr>
        <w:tab/>
        <w:t>A notificação de cessação notificada ao titular da PEN é considerada um documento na aceção do artigo 6.º, n.º 3, alínea c), do Regulamento (UE) n.º 608/2013, no que diz respeito a qualquer pedido de intervenção aduaneira contra mercadorias suspeitas de violarem a respetiva PEN.</w:t>
      </w:r>
    </w:p>
    <w:p w14:paraId="2C4139E0"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4.</w:t>
      </w:r>
      <w:r w:rsidRPr="002A673F">
        <w:rPr>
          <w:szCs w:val="24"/>
          <w:lang w:eastAsia="en-US"/>
        </w:rPr>
        <w:tab/>
        <w:t>Um tribunal competente de um Estado-Membro, chamado a decidir sobre a determinação das condições FRAND, incluindo em casos de abuso de posição dominante entre particulares ou de uma alegação de violação de PEN em relação a uma PEN em vigor num ou em mais Estados-Membros objeto da determinação FRAND, não deve proceder ao exame do mérito dessa alegação, a menos que lhe tenha sido apresentada uma notificação de cessação da determinação FRAND</w:t>
      </w:r>
      <w:r w:rsidRPr="002A673F">
        <w:rPr>
          <w:strike/>
          <w:szCs w:val="24"/>
          <w:lang w:eastAsia="en-US"/>
        </w:rPr>
        <w:t xml:space="preserve"> ou, nos casos previstos no artigo 38.º, n.º 3, alínea b), e no artigo 38.º, n.º 4, alínea c), uma notificação de compromisso nos termos do artigo 38.º, n.º 5</w:t>
      </w:r>
      <w:r w:rsidRPr="002A673F">
        <w:rPr>
          <w:szCs w:val="24"/>
          <w:lang w:eastAsia="en-US"/>
        </w:rPr>
        <w:t>.</w:t>
      </w:r>
      <w:r w:rsidRPr="002A673F">
        <w:rPr>
          <w:b/>
          <w:szCs w:val="24"/>
          <w:lang w:eastAsia="en-US"/>
        </w:rPr>
        <w:t xml:space="preserve"> [Alt. 235]</w:t>
      </w:r>
    </w:p>
    <w:p w14:paraId="5D5602B1"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5.</w:t>
      </w:r>
      <w:r w:rsidRPr="002A673F">
        <w:rPr>
          <w:szCs w:val="24"/>
          <w:lang w:eastAsia="en-US"/>
        </w:rPr>
        <w:tab/>
        <w:t>Nos casos previstos no artigo 38.º, n.º 3, alínea b), e no artigo 38.º, n.º 4, alínea c), aplica-se ao processo perante um tribunal competente de um Estado-Membro, com as necessárias adaptações, o artigo 34.º, n.º 5.</w:t>
      </w:r>
    </w:p>
    <w:p w14:paraId="5CD794DD" w14:textId="77777777" w:rsidR="00937E3A" w:rsidRDefault="00937E3A">
      <w:pPr>
        <w:widowControl/>
        <w:rPr>
          <w:szCs w:val="24"/>
          <w:lang w:eastAsia="en-US"/>
        </w:rPr>
      </w:pPr>
      <w:r>
        <w:rPr>
          <w:szCs w:val="24"/>
          <w:lang w:eastAsia="en-US"/>
        </w:rPr>
        <w:br w:type="page"/>
      </w:r>
    </w:p>
    <w:p w14:paraId="47B2229B" w14:textId="20FE74E7"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57.º</w:t>
      </w:r>
      <w:r w:rsidRPr="002A673F">
        <w:rPr>
          <w:szCs w:val="24"/>
          <w:lang w:eastAsia="en-US"/>
        </w:rPr>
        <w:br/>
        <w:t xml:space="preserve">Relatório </w:t>
      </w:r>
    </w:p>
    <w:p w14:paraId="17E67A24"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deve apresentar às partes um relatório escrito após a cessação da determinação FRAND nos casos enumerados no artigo 56.º, n.º 1, alínea c), e no artigo 56.º, n.º 1, alínea d).</w:t>
      </w:r>
      <w:r w:rsidRPr="002A673F">
        <w:rPr>
          <w:b/>
          <w:szCs w:val="24"/>
          <w:lang w:eastAsia="en-US"/>
        </w:rPr>
        <w:t xml:space="preserve"> [Alt. 236]</w:t>
      </w:r>
    </w:p>
    <w:p w14:paraId="7FE864C8"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O relatório deve incluir os seguintes elementos:</w:t>
      </w:r>
    </w:p>
    <w:p w14:paraId="116F4538" w14:textId="4D203D66"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Os nomes das partes;</w:t>
      </w:r>
    </w:p>
    <w:p w14:paraId="74BF32DB" w14:textId="68E060F2"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Uma avaliação confidencial da determinação FRAND;</w:t>
      </w:r>
    </w:p>
    <w:p w14:paraId="660F00A1" w14:textId="02F41D87"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Um resumo confidencial dos principais pontos de discordância;</w:t>
      </w:r>
    </w:p>
    <w:p w14:paraId="6898111A" w14:textId="6A1D6FF3" w:rsidR="002A673F" w:rsidRPr="00E075CA" w:rsidRDefault="002A673F" w:rsidP="002A673F">
      <w:pPr>
        <w:spacing w:before="120" w:after="120" w:line="360" w:lineRule="auto"/>
        <w:ind w:left="1416" w:hanging="566"/>
        <w:rPr>
          <w:b/>
          <w:szCs w:val="24"/>
          <w:lang w:eastAsia="en-US"/>
        </w:rPr>
      </w:pPr>
      <w:r w:rsidRPr="002A673F">
        <w:rPr>
          <w:szCs w:val="24"/>
          <w:lang w:eastAsia="en-US"/>
        </w:rPr>
        <w:t>d)</w:t>
      </w:r>
      <w:r w:rsidRPr="002A673F">
        <w:rPr>
          <w:szCs w:val="24"/>
          <w:lang w:eastAsia="en-US"/>
        </w:rPr>
        <w:tab/>
        <w:t xml:space="preserve">Uma metodologia não confidencial e a avaliação da determinação das condições FRAND pelo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w:t>
      </w:r>
      <w:r w:rsidRPr="002A673F">
        <w:rPr>
          <w:b/>
          <w:szCs w:val="24"/>
          <w:lang w:eastAsia="en-US"/>
        </w:rPr>
        <w:t xml:space="preserve"> [Alt. 237]</w:t>
      </w:r>
    </w:p>
    <w:p w14:paraId="478C0441" w14:textId="77777777" w:rsidR="00937E3A" w:rsidRDefault="00937E3A">
      <w:pPr>
        <w:widowControl/>
        <w:rPr>
          <w:szCs w:val="24"/>
          <w:lang w:eastAsia="en-US"/>
        </w:rPr>
      </w:pPr>
      <w:r>
        <w:rPr>
          <w:szCs w:val="24"/>
          <w:lang w:eastAsia="en-US"/>
        </w:rPr>
        <w:br w:type="page"/>
      </w:r>
    </w:p>
    <w:p w14:paraId="2CD512E0" w14:textId="5576BF0C"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3.</w:t>
      </w:r>
      <w:r w:rsidRPr="002A673F">
        <w:rPr>
          <w:szCs w:val="24"/>
          <w:lang w:eastAsia="en-US"/>
        </w:rPr>
        <w:tab/>
        <w:t>O relatório confidencial só deve ser disponibilizado às partes e ao centro de competências. O centro de competências deve publicar o relatório não confidencial na base de dados.</w:t>
      </w:r>
    </w:p>
    <w:p w14:paraId="0541DB98"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Qualquer uma das partes na determinação FRAND pode apresentar o relatório em qualquer processo perante um tribunal competente de um Estado-Membro contra a outra parte na determinação FRAND, independentemente de qualquer obstáculo processual.</w:t>
      </w:r>
    </w:p>
    <w:p w14:paraId="4A91FCE2"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58.º</w:t>
      </w:r>
      <w:r w:rsidRPr="002A673F">
        <w:rPr>
          <w:szCs w:val="24"/>
          <w:lang w:eastAsia="en-US"/>
        </w:rPr>
        <w:br/>
        <w:t xml:space="preserve">Confidencialidade </w:t>
      </w:r>
    </w:p>
    <w:p w14:paraId="5D9F3973"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Com exceção da metodologia e da avaliação da determinação FRAND pelo </w:t>
      </w:r>
      <w:proofErr w:type="spellStart"/>
      <w:r w:rsidRPr="002A673F">
        <w:rPr>
          <w:strike/>
          <w:szCs w:val="24"/>
          <w:lang w:eastAsia="en-US"/>
        </w:rPr>
        <w:t>conciliador</w:t>
      </w:r>
      <w:r w:rsidRPr="002A673F">
        <w:rPr>
          <w:b/>
          <w:i/>
          <w:szCs w:val="24"/>
          <w:lang w:eastAsia="en-US"/>
        </w:rPr>
        <w:t>painel</w:t>
      </w:r>
      <w:proofErr w:type="spellEnd"/>
      <w:r w:rsidRPr="002A673F">
        <w:rPr>
          <w:b/>
          <w:i/>
          <w:szCs w:val="24"/>
          <w:lang w:eastAsia="en-US"/>
        </w:rPr>
        <w:t xml:space="preserve"> de conciliadores</w:t>
      </w:r>
      <w:r w:rsidRPr="002A673F">
        <w:rPr>
          <w:szCs w:val="24"/>
          <w:lang w:eastAsia="en-US"/>
        </w:rPr>
        <w:t xml:space="preserve"> a que se refere o artigo 57.º, n.º 2, alínea d), o centro de competências deve manter a confidencialidade da determinação das condições FRAND, quaisquer propostas de determinação das condições FRAND apresentadas durante o procedimento e quaisquer provas documentais ou de outra natureza divulgadas durante a determinação FRAND que não estejam publicamente disponíveis, salvo disposição em contrário das partes.</w:t>
      </w:r>
      <w:r w:rsidRPr="002A673F">
        <w:rPr>
          <w:b/>
          <w:szCs w:val="24"/>
          <w:lang w:eastAsia="en-US"/>
        </w:rPr>
        <w:t xml:space="preserve"> [Alt. 238]</w:t>
      </w:r>
    </w:p>
    <w:p w14:paraId="53782022" w14:textId="77777777" w:rsidR="00937E3A" w:rsidRDefault="00937E3A">
      <w:pPr>
        <w:widowControl/>
        <w:rPr>
          <w:szCs w:val="24"/>
          <w:lang w:eastAsia="en-US"/>
        </w:rPr>
      </w:pPr>
      <w:r>
        <w:rPr>
          <w:szCs w:val="24"/>
          <w:lang w:eastAsia="en-US"/>
        </w:rPr>
        <w:br w:type="page"/>
      </w:r>
    </w:p>
    <w:p w14:paraId="406BD854" w14:textId="618C03BC"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Não obstante o disposto no n.º 1, o centro de competências pode incluir informações relativas à determinação FRAND em quaisquer dados estatísticos agregados que publique sobre as suas atividades, desde que essas informações não permitam identificar as partes ou as circunstâncias específicas do litígio.</w:t>
      </w:r>
    </w:p>
    <w:p w14:paraId="0456E968" w14:textId="77777777" w:rsidR="002A673F" w:rsidRPr="002A673F" w:rsidRDefault="002A673F" w:rsidP="002A673F">
      <w:pPr>
        <w:spacing w:before="120" w:after="120" w:line="360" w:lineRule="auto"/>
        <w:jc w:val="center"/>
        <w:rPr>
          <w:szCs w:val="24"/>
          <w:lang w:eastAsia="en-US"/>
        </w:rPr>
      </w:pPr>
      <w:r w:rsidRPr="002A673F">
        <w:rPr>
          <w:szCs w:val="24"/>
          <w:lang w:eastAsia="en-US"/>
        </w:rPr>
        <w:t xml:space="preserve">Título VII </w:t>
      </w:r>
      <w:r w:rsidRPr="002A673F">
        <w:rPr>
          <w:szCs w:val="24"/>
          <w:lang w:eastAsia="en-US"/>
        </w:rPr>
        <w:br/>
        <w:t>Regras processuais</w:t>
      </w:r>
    </w:p>
    <w:p w14:paraId="1544FAEC"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59.º</w:t>
      </w:r>
      <w:r w:rsidRPr="002A673F">
        <w:rPr>
          <w:szCs w:val="24"/>
          <w:lang w:eastAsia="en-US"/>
        </w:rPr>
        <w:br/>
        <w:t xml:space="preserve">Comunicações ao centro de competências e notificações provenientes deste </w:t>
      </w:r>
    </w:p>
    <w:p w14:paraId="125AF5CC"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Em princípio, a comunicação ao centro de competências e as notificações deste devem ser efetuadas por via eletrónica.</w:t>
      </w:r>
    </w:p>
    <w:p w14:paraId="46944037"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O diretor executivo do EUIPO determina em que medida e em que condições técnicas as comunicações e as notificações referidas no n.º 1 devem ser transmitidas por via eletrónica.</w:t>
      </w:r>
    </w:p>
    <w:p w14:paraId="33C3CFFB" w14:textId="77777777" w:rsidR="00937E3A" w:rsidRDefault="00937E3A">
      <w:pPr>
        <w:widowControl/>
        <w:rPr>
          <w:szCs w:val="24"/>
          <w:lang w:eastAsia="en-US"/>
        </w:rPr>
      </w:pPr>
      <w:r>
        <w:rPr>
          <w:szCs w:val="24"/>
          <w:lang w:eastAsia="en-US"/>
        </w:rPr>
        <w:br w:type="page"/>
      </w:r>
    </w:p>
    <w:p w14:paraId="40706528" w14:textId="42759437"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60.º</w:t>
      </w:r>
      <w:r w:rsidRPr="002A673F">
        <w:rPr>
          <w:szCs w:val="24"/>
          <w:lang w:eastAsia="en-US"/>
        </w:rPr>
        <w:br/>
        <w:t>Prazos</w:t>
      </w:r>
    </w:p>
    <w:p w14:paraId="32E58DF1"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Os prazos são fixados em termos de anos, meses, semanas ou dias completos. O início do prazo é calculado a contar do dia seguinte ao da ocorrência do acontecimento relevante.</w:t>
      </w:r>
    </w:p>
    <w:p w14:paraId="2B832B4C" w14:textId="065CA80E" w:rsidR="002A673F" w:rsidRPr="00E075CA" w:rsidRDefault="002A673F" w:rsidP="002A673F">
      <w:pPr>
        <w:spacing w:before="120" w:after="120" w:line="360" w:lineRule="auto"/>
        <w:ind w:left="850" w:hanging="850"/>
        <w:rPr>
          <w:b/>
          <w:szCs w:val="24"/>
          <w:lang w:eastAsia="en-US"/>
        </w:rPr>
      </w:pPr>
      <w:r w:rsidRPr="002A673F">
        <w:rPr>
          <w:b/>
          <w:i/>
          <w:szCs w:val="24"/>
          <w:lang w:eastAsia="en-US"/>
        </w:rPr>
        <w:t>1-A.</w:t>
      </w:r>
      <w:r w:rsidRPr="002A673F">
        <w:rPr>
          <w:szCs w:val="24"/>
          <w:lang w:eastAsia="en-US"/>
        </w:rPr>
        <w:tab/>
      </w:r>
      <w:r w:rsidRPr="002A673F">
        <w:rPr>
          <w:b/>
          <w:i/>
          <w:szCs w:val="24"/>
          <w:lang w:eastAsia="en-US"/>
        </w:rPr>
        <w:t>Um prazo fixado em dias termina no último dia, um prazo fixado em semanas termina no final do dia da última semana, um prazo fixado em meses termina no final do dia correspondente ao dia em que o prazo começa a correr e, se esse dia não existir no último mês, no último dia desse mês, um prazo fixado em anos termina no final do dia correspondente ao dia em que determinado prazo começa a correr e, se esse dia não existir, tem como data de termo o último dia desse mês.</w:t>
      </w:r>
      <w:r w:rsidRPr="002A673F">
        <w:rPr>
          <w:b/>
          <w:szCs w:val="24"/>
          <w:lang w:eastAsia="en-US"/>
        </w:rPr>
        <w:t xml:space="preserve"> [Alt. 239]</w:t>
      </w:r>
    </w:p>
    <w:p w14:paraId="6220C6CB"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O diretor executivo do EUIPO determina, antes do início de cada ano civil, os dias em que o EUIPO não está aberto para receção de documentos ou em que o correio normal não é distribuído no local em que o EUIPO tem a sua sede.</w:t>
      </w:r>
    </w:p>
    <w:p w14:paraId="201ED409" w14:textId="77777777" w:rsidR="00937E3A" w:rsidRDefault="00937E3A">
      <w:pPr>
        <w:widowControl/>
        <w:rPr>
          <w:szCs w:val="24"/>
          <w:lang w:eastAsia="en-US"/>
        </w:rPr>
      </w:pPr>
      <w:r>
        <w:rPr>
          <w:szCs w:val="24"/>
          <w:lang w:eastAsia="en-US"/>
        </w:rPr>
        <w:br w:type="page"/>
      </w:r>
    </w:p>
    <w:p w14:paraId="1E773ED4" w14:textId="7A0EAD64"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3.</w:t>
      </w:r>
      <w:r w:rsidRPr="002A673F">
        <w:rPr>
          <w:szCs w:val="24"/>
          <w:lang w:eastAsia="en-US"/>
        </w:rPr>
        <w:tab/>
        <w:t>O diretor-executivo do EUIPO determina a duração do período de interrupção em caso de interrupção geral na entrega de correio no Estado-Membro em que o EUIPO está situado ou no caso de uma interrupção efetiva da ligação do EUIPO com os meios de comunicação eletrónicos admitidos.</w:t>
      </w:r>
    </w:p>
    <w:p w14:paraId="5FB1FFC3"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Em caso de ocorrências excecionais que compliquem a comunicação entre as partes no processo e o centro de competências, o diretor executivo do EUIPO pode prorrogar todos os prazos que, de outro modo, expirariam na data ou após a data de início de uma ocorrência desse tipo, de acordo com a sua determinação em relação às seguintes partes:</w:t>
      </w:r>
    </w:p>
    <w:p w14:paraId="4AADD73F" w14:textId="2BA7E559"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As partes no processo com domicílio ou sede social na região em causa;</w:t>
      </w:r>
    </w:p>
    <w:p w14:paraId="0A276BF3" w14:textId="63164D03"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Os representantes ou assistentes, designados pelas partes, com domicílio profissional na região em causa.</w:t>
      </w:r>
    </w:p>
    <w:p w14:paraId="2CAA36B7" w14:textId="77777777" w:rsidR="00937E3A" w:rsidRDefault="00937E3A">
      <w:pPr>
        <w:widowControl/>
        <w:rPr>
          <w:szCs w:val="24"/>
          <w:lang w:eastAsia="en-US"/>
        </w:rPr>
      </w:pPr>
      <w:r>
        <w:rPr>
          <w:szCs w:val="24"/>
          <w:lang w:eastAsia="en-US"/>
        </w:rPr>
        <w:br w:type="page"/>
      </w:r>
    </w:p>
    <w:p w14:paraId="2564F783" w14:textId="59B916BD"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5.</w:t>
      </w:r>
      <w:r w:rsidRPr="002A673F">
        <w:rPr>
          <w:szCs w:val="24"/>
          <w:lang w:eastAsia="en-US"/>
        </w:rPr>
        <w:tab/>
        <w:t>Ao determinar a duração da prorrogação a que se refere o n.º 4, o diretor executivo do EUIPO deve ter em conta a data de termo da ocorrência excecional. Se a ocorrência a que se refere o segundo parágrafo afetar a sede do EUIPO, a determinação do seu diretor executivo deve especificar que se aplica a todas as partes no processo.</w:t>
      </w:r>
    </w:p>
    <w:p w14:paraId="2D7812D7" w14:textId="77777777" w:rsidR="002A673F" w:rsidRPr="002A673F" w:rsidRDefault="002A673F" w:rsidP="002A673F">
      <w:pPr>
        <w:spacing w:before="120" w:after="120" w:line="360" w:lineRule="auto"/>
        <w:jc w:val="center"/>
        <w:rPr>
          <w:szCs w:val="24"/>
          <w:lang w:eastAsia="en-US"/>
        </w:rPr>
      </w:pPr>
      <w:r w:rsidRPr="002A673F">
        <w:rPr>
          <w:szCs w:val="24"/>
          <w:lang w:eastAsia="en-US"/>
        </w:rPr>
        <w:t xml:space="preserve">Título VIII </w:t>
      </w:r>
      <w:r w:rsidRPr="002A673F">
        <w:rPr>
          <w:szCs w:val="24"/>
          <w:lang w:eastAsia="en-US"/>
        </w:rPr>
        <w:br/>
        <w:t>Micro, pequenas e médias empresas</w:t>
      </w:r>
    </w:p>
    <w:p w14:paraId="7277890F" w14:textId="77777777" w:rsidR="002A673F" w:rsidRPr="00E075CA" w:rsidRDefault="002A673F" w:rsidP="002A673F">
      <w:pPr>
        <w:spacing w:before="120" w:after="120" w:line="360" w:lineRule="auto"/>
        <w:jc w:val="center"/>
        <w:rPr>
          <w:b/>
          <w:szCs w:val="24"/>
          <w:lang w:eastAsia="en-US"/>
        </w:rPr>
      </w:pPr>
      <w:r w:rsidRPr="002A673F">
        <w:rPr>
          <w:szCs w:val="24"/>
          <w:lang w:eastAsia="en-US"/>
        </w:rPr>
        <w:t>Artigo 61.º</w:t>
      </w:r>
      <w:r w:rsidRPr="002A673F">
        <w:rPr>
          <w:szCs w:val="24"/>
          <w:lang w:eastAsia="en-US"/>
        </w:rPr>
        <w:br/>
      </w:r>
      <w:r w:rsidRPr="002A673F">
        <w:rPr>
          <w:strike/>
          <w:szCs w:val="24"/>
          <w:lang w:eastAsia="en-US"/>
        </w:rPr>
        <w:t xml:space="preserve">Formação, aconselhamento e apoio </w:t>
      </w:r>
      <w:r w:rsidRPr="002A673F">
        <w:rPr>
          <w:b/>
          <w:i/>
          <w:szCs w:val="24"/>
          <w:lang w:eastAsia="en-US"/>
        </w:rPr>
        <w:t>Plataforma de assistência em matéria de concessão de licenças de PEN para PME e empresas em fase de arranque</w:t>
      </w:r>
      <w:r w:rsidRPr="002A673F">
        <w:rPr>
          <w:b/>
          <w:szCs w:val="24"/>
          <w:lang w:eastAsia="en-US"/>
        </w:rPr>
        <w:t xml:space="preserve"> [Alt. 240]</w:t>
      </w:r>
    </w:p>
    <w:p w14:paraId="6ED2052C"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 xml:space="preserve">O centro de competências deve </w:t>
      </w:r>
      <w:proofErr w:type="spellStart"/>
      <w:r w:rsidRPr="002A673F">
        <w:rPr>
          <w:strike/>
          <w:szCs w:val="24"/>
          <w:lang w:eastAsia="en-US"/>
        </w:rPr>
        <w:t>proporcionar</w:t>
      </w:r>
      <w:r w:rsidRPr="002A673F">
        <w:rPr>
          <w:b/>
          <w:i/>
          <w:szCs w:val="24"/>
          <w:lang w:eastAsia="en-US"/>
        </w:rPr>
        <w:t>criar</w:t>
      </w:r>
      <w:proofErr w:type="spellEnd"/>
      <w:r w:rsidRPr="002A673F">
        <w:rPr>
          <w:b/>
          <w:i/>
          <w:szCs w:val="24"/>
          <w:lang w:eastAsia="en-US"/>
        </w:rPr>
        <w:t xml:space="preserve"> e gerir uma plataforma de assistência em matéria de concessão de licenças de PEN para as PME e as empresas em fase de arranque, a qual deve ajudar</w:t>
      </w:r>
      <w:r w:rsidRPr="002A673F">
        <w:rPr>
          <w:szCs w:val="24"/>
          <w:lang w:eastAsia="en-US"/>
        </w:rPr>
        <w:t xml:space="preserve"> gratuitamente </w:t>
      </w:r>
      <w:r w:rsidRPr="002A673F">
        <w:rPr>
          <w:strike/>
          <w:szCs w:val="24"/>
          <w:lang w:eastAsia="en-US"/>
        </w:rPr>
        <w:t xml:space="preserve">formação e apoio sobre questões relacionadas com as PEN às micro, pequenas e </w:t>
      </w:r>
      <w:proofErr w:type="spellStart"/>
      <w:r w:rsidRPr="002A673F">
        <w:rPr>
          <w:strike/>
          <w:szCs w:val="24"/>
          <w:lang w:eastAsia="en-US"/>
        </w:rPr>
        <w:t>médias</w:t>
      </w:r>
      <w:r w:rsidRPr="002A673F">
        <w:rPr>
          <w:b/>
          <w:i/>
          <w:szCs w:val="24"/>
          <w:lang w:eastAsia="en-US"/>
        </w:rPr>
        <w:t>as</w:t>
      </w:r>
      <w:proofErr w:type="spellEnd"/>
      <w:r w:rsidRPr="002A673F">
        <w:rPr>
          <w:b/>
          <w:i/>
          <w:szCs w:val="24"/>
          <w:lang w:eastAsia="en-US"/>
        </w:rPr>
        <w:t xml:space="preserve"> PME e as</w:t>
      </w:r>
      <w:r w:rsidRPr="002A673F">
        <w:rPr>
          <w:szCs w:val="24"/>
          <w:lang w:eastAsia="en-US"/>
        </w:rPr>
        <w:t xml:space="preserve"> empresas</w:t>
      </w:r>
      <w:r w:rsidRPr="002A673F">
        <w:rPr>
          <w:strike/>
          <w:szCs w:val="24"/>
          <w:lang w:eastAsia="en-US"/>
        </w:rPr>
        <w:t>.</w:t>
      </w:r>
      <w:r w:rsidRPr="002A673F">
        <w:rPr>
          <w:b/>
          <w:i/>
          <w:szCs w:val="24"/>
          <w:lang w:eastAsia="en-US"/>
        </w:rPr>
        <w:t xml:space="preserve"> em fase de arranque a realizar as seguintes tarefas:</w:t>
      </w:r>
      <w:r w:rsidRPr="002A673F">
        <w:rPr>
          <w:b/>
          <w:szCs w:val="24"/>
          <w:lang w:eastAsia="en-US"/>
        </w:rPr>
        <w:t xml:space="preserve"> [Alt. 241]</w:t>
      </w:r>
    </w:p>
    <w:p w14:paraId="7525D78D" w14:textId="77777777" w:rsidR="00937E3A" w:rsidRDefault="00937E3A">
      <w:pPr>
        <w:widowControl/>
        <w:rPr>
          <w:b/>
          <w:i/>
          <w:szCs w:val="24"/>
          <w:lang w:eastAsia="en-US"/>
        </w:rPr>
      </w:pPr>
      <w:r>
        <w:rPr>
          <w:b/>
          <w:i/>
          <w:szCs w:val="24"/>
          <w:lang w:eastAsia="en-US"/>
        </w:rPr>
        <w:br w:type="page"/>
      </w:r>
    </w:p>
    <w:p w14:paraId="0A1D6B97" w14:textId="1901CD18" w:rsidR="002A673F" w:rsidRPr="00E075CA" w:rsidRDefault="002A673F" w:rsidP="002A673F">
      <w:pPr>
        <w:spacing w:before="120" w:after="120" w:line="360" w:lineRule="auto"/>
        <w:ind w:left="1416" w:hanging="566"/>
        <w:rPr>
          <w:b/>
          <w:szCs w:val="24"/>
          <w:lang w:eastAsia="en-US"/>
        </w:rPr>
      </w:pPr>
      <w:r w:rsidRPr="002A673F">
        <w:rPr>
          <w:b/>
          <w:i/>
          <w:szCs w:val="24"/>
          <w:lang w:eastAsia="en-US"/>
        </w:rPr>
        <w:lastRenderedPageBreak/>
        <w:t>a)</w:t>
      </w:r>
      <w:r w:rsidRPr="002A673F">
        <w:rPr>
          <w:szCs w:val="24"/>
          <w:lang w:eastAsia="en-US"/>
        </w:rPr>
        <w:tab/>
      </w:r>
      <w:r w:rsidRPr="002A673F">
        <w:rPr>
          <w:b/>
          <w:i/>
          <w:szCs w:val="24"/>
          <w:lang w:eastAsia="en-US"/>
        </w:rPr>
        <w:t>Identificação de PEN que possam ser pertinentes para o seu produto ou serviço, bem como possíveis licenciantes e comunhões de patentes, no caso de a PME ou a empresa em fase de arranque ser um utilizador de PEN;</w:t>
      </w:r>
      <w:r w:rsidRPr="002A673F">
        <w:rPr>
          <w:b/>
          <w:szCs w:val="24"/>
          <w:lang w:eastAsia="en-US"/>
        </w:rPr>
        <w:t xml:space="preserve"> [Alt. 242]</w:t>
      </w:r>
    </w:p>
    <w:p w14:paraId="25B5240C" w14:textId="77777777" w:rsidR="002A673F" w:rsidRPr="00E075CA" w:rsidRDefault="002A673F" w:rsidP="002A673F">
      <w:pPr>
        <w:spacing w:before="120" w:after="120" w:line="360" w:lineRule="auto"/>
        <w:ind w:left="1416" w:hanging="566"/>
        <w:rPr>
          <w:b/>
          <w:szCs w:val="24"/>
          <w:lang w:eastAsia="en-US"/>
        </w:rPr>
      </w:pPr>
      <w:r w:rsidRPr="002A673F">
        <w:rPr>
          <w:b/>
          <w:i/>
          <w:szCs w:val="24"/>
          <w:lang w:eastAsia="en-US"/>
        </w:rPr>
        <w:t>b)</w:t>
      </w:r>
      <w:r w:rsidRPr="002A673F">
        <w:rPr>
          <w:szCs w:val="24"/>
          <w:lang w:eastAsia="en-US"/>
        </w:rPr>
        <w:tab/>
      </w:r>
      <w:r w:rsidRPr="002A673F">
        <w:rPr>
          <w:b/>
          <w:i/>
          <w:szCs w:val="24"/>
          <w:lang w:eastAsia="en-US"/>
        </w:rPr>
        <w:t>Identificação de possíveis titulares de licenças e, com a ajuda do Observatório Europeu das Infrações aos Direitos de Propriedade Intelectual, aconselhá-las sobre a melhor forma de fazer valer os seus direitos em matéria de PEN a nível europeu e mundial, no caso de a PME ou a empresa em fase de arranque ser um titular de PEN;</w:t>
      </w:r>
      <w:r w:rsidRPr="002A673F">
        <w:rPr>
          <w:b/>
          <w:szCs w:val="24"/>
          <w:lang w:eastAsia="en-US"/>
        </w:rPr>
        <w:t xml:space="preserve"> [Alt. 243]</w:t>
      </w:r>
    </w:p>
    <w:p w14:paraId="3134AFEF" w14:textId="77777777" w:rsidR="002A673F" w:rsidRPr="00E075CA" w:rsidRDefault="002A673F" w:rsidP="002A673F">
      <w:pPr>
        <w:spacing w:before="120" w:after="120" w:line="360" w:lineRule="auto"/>
        <w:ind w:left="1416" w:hanging="566"/>
        <w:rPr>
          <w:b/>
          <w:szCs w:val="24"/>
          <w:lang w:eastAsia="en-US"/>
        </w:rPr>
      </w:pPr>
      <w:r w:rsidRPr="002A673F">
        <w:rPr>
          <w:b/>
          <w:i/>
          <w:szCs w:val="24"/>
          <w:lang w:eastAsia="en-US"/>
        </w:rPr>
        <w:t>c)</w:t>
      </w:r>
      <w:r w:rsidRPr="002A673F">
        <w:rPr>
          <w:szCs w:val="24"/>
          <w:lang w:eastAsia="en-US"/>
        </w:rPr>
        <w:tab/>
      </w:r>
      <w:r w:rsidRPr="002A673F">
        <w:rPr>
          <w:b/>
          <w:i/>
          <w:szCs w:val="24"/>
          <w:lang w:eastAsia="en-US"/>
        </w:rPr>
        <w:t>Oferta de formação e apoio sobre questões relacionadas com as PEN.</w:t>
      </w:r>
      <w:r w:rsidRPr="002A673F">
        <w:rPr>
          <w:b/>
          <w:szCs w:val="24"/>
          <w:lang w:eastAsia="en-US"/>
        </w:rPr>
        <w:t xml:space="preserve"> [Alt. 244]</w:t>
      </w:r>
    </w:p>
    <w:p w14:paraId="4D4E39EB" w14:textId="77777777" w:rsidR="002A673F" w:rsidRPr="00E075CA" w:rsidRDefault="002A673F" w:rsidP="002A673F">
      <w:pPr>
        <w:spacing w:before="120" w:after="120" w:line="360" w:lineRule="auto"/>
        <w:ind w:left="850"/>
        <w:rPr>
          <w:b/>
          <w:szCs w:val="24"/>
          <w:lang w:eastAsia="en-US"/>
        </w:rPr>
      </w:pPr>
      <w:r w:rsidRPr="002A673F">
        <w:rPr>
          <w:b/>
          <w:i/>
          <w:szCs w:val="24"/>
          <w:lang w:eastAsia="en-US"/>
        </w:rPr>
        <w:t>O centro de competências não incorre em nenhuma responsabilidade pela assistência prestada às PME e às empresas em fase de arranque ao abrigo do presente número. No desempenho das funções referidas no presente número, o centro de competências pode trabalhar em estreita cooperação com os institutos nacionais de patentes e os regimes governamentais de apoio às PME.</w:t>
      </w:r>
      <w:r w:rsidRPr="002A673F">
        <w:rPr>
          <w:b/>
          <w:szCs w:val="24"/>
          <w:lang w:eastAsia="en-US"/>
        </w:rPr>
        <w:t xml:space="preserve"> [Alt. 245]</w:t>
      </w:r>
    </w:p>
    <w:p w14:paraId="4D10BAE5" w14:textId="110AA6D5" w:rsidR="002A673F" w:rsidRPr="00E075CA" w:rsidRDefault="002A673F" w:rsidP="002A673F">
      <w:pPr>
        <w:spacing w:before="120" w:after="120" w:line="360" w:lineRule="auto"/>
        <w:ind w:left="850" w:hanging="850"/>
        <w:rPr>
          <w:b/>
          <w:szCs w:val="24"/>
          <w:lang w:eastAsia="en-US"/>
        </w:rPr>
      </w:pPr>
      <w:r w:rsidRPr="002A673F">
        <w:rPr>
          <w:b/>
          <w:i/>
          <w:szCs w:val="24"/>
          <w:lang w:eastAsia="en-US"/>
        </w:rPr>
        <w:t>1-A.</w:t>
      </w:r>
      <w:r w:rsidRPr="002A673F">
        <w:rPr>
          <w:szCs w:val="24"/>
          <w:lang w:eastAsia="en-US"/>
        </w:rPr>
        <w:tab/>
      </w:r>
      <w:r w:rsidRPr="002A673F">
        <w:rPr>
          <w:b/>
          <w:i/>
          <w:szCs w:val="24"/>
          <w:lang w:eastAsia="en-US"/>
        </w:rPr>
        <w:t>O centro de competências deve, regular e pró-ativamente, solicitar o contributo das PME e das empresas em fase de arranque sobre os tipos de formação e de apoio que consideram mais úteis.</w:t>
      </w:r>
      <w:r w:rsidRPr="002A673F">
        <w:rPr>
          <w:b/>
          <w:szCs w:val="24"/>
          <w:lang w:eastAsia="en-US"/>
        </w:rPr>
        <w:t xml:space="preserve"> [Alt. 246]</w:t>
      </w:r>
    </w:p>
    <w:p w14:paraId="56C3A26B" w14:textId="77777777" w:rsidR="00937E3A" w:rsidRDefault="00937E3A">
      <w:pPr>
        <w:widowControl/>
        <w:rPr>
          <w:szCs w:val="24"/>
          <w:lang w:eastAsia="en-US"/>
        </w:rPr>
      </w:pPr>
      <w:r>
        <w:rPr>
          <w:szCs w:val="24"/>
          <w:lang w:eastAsia="en-US"/>
        </w:rPr>
        <w:br w:type="page"/>
      </w:r>
    </w:p>
    <w:p w14:paraId="15DECAD2" w14:textId="47CB2127"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2.</w:t>
      </w:r>
      <w:r w:rsidRPr="002A673F">
        <w:rPr>
          <w:szCs w:val="24"/>
          <w:lang w:eastAsia="en-US"/>
        </w:rPr>
        <w:tab/>
        <w:t xml:space="preserve">O centro de competências pode encomendar estudos, se o considerar necessário, para prestar assistência às </w:t>
      </w:r>
      <w:r w:rsidRPr="002A673F">
        <w:rPr>
          <w:strike/>
          <w:szCs w:val="24"/>
          <w:lang w:eastAsia="en-US"/>
        </w:rPr>
        <w:t xml:space="preserve">micro, pequenas e médias </w:t>
      </w:r>
      <w:proofErr w:type="spellStart"/>
      <w:r w:rsidRPr="002A673F">
        <w:rPr>
          <w:strike/>
          <w:szCs w:val="24"/>
          <w:lang w:eastAsia="en-US"/>
        </w:rPr>
        <w:t>empresas</w:t>
      </w:r>
      <w:r w:rsidRPr="002A673F">
        <w:rPr>
          <w:b/>
          <w:i/>
          <w:szCs w:val="24"/>
          <w:lang w:eastAsia="en-US"/>
        </w:rPr>
        <w:t>PME</w:t>
      </w:r>
      <w:proofErr w:type="spellEnd"/>
      <w:r w:rsidRPr="002A673F">
        <w:rPr>
          <w:szCs w:val="24"/>
          <w:lang w:eastAsia="en-US"/>
        </w:rPr>
        <w:t xml:space="preserve"> sobre questões relacionadas com as PEN.</w:t>
      </w:r>
      <w:r w:rsidRPr="002A673F">
        <w:rPr>
          <w:b/>
          <w:i/>
          <w:szCs w:val="24"/>
          <w:lang w:eastAsia="en-US"/>
        </w:rPr>
        <w:t xml:space="preserve"> Tais estudos podem incluir análises, com base em informações prestadas por titulares e utilizadores de PEN relativas às licenças contratadas, aos </w:t>
      </w:r>
      <w:r w:rsidRPr="00E075CA">
        <w:rPr>
          <w:b/>
          <w:szCs w:val="24"/>
          <w:lang w:eastAsia="en-US"/>
        </w:rPr>
        <w:t>royalties</w:t>
      </w:r>
      <w:r w:rsidRPr="002A673F">
        <w:rPr>
          <w:b/>
          <w:i/>
          <w:szCs w:val="24"/>
          <w:lang w:eastAsia="en-US"/>
        </w:rPr>
        <w:t xml:space="preserve"> pagos ou cobrados e aos produtos vendidos para aplicações da </w:t>
      </w:r>
      <w:proofErr w:type="spellStart"/>
      <w:r w:rsidRPr="002A673F">
        <w:rPr>
          <w:b/>
          <w:i/>
          <w:szCs w:val="24"/>
          <w:lang w:eastAsia="en-US"/>
        </w:rPr>
        <w:t>IdC</w:t>
      </w:r>
      <w:proofErr w:type="spellEnd"/>
      <w:r w:rsidRPr="002A673F">
        <w:rPr>
          <w:b/>
          <w:i/>
          <w:szCs w:val="24"/>
          <w:lang w:eastAsia="en-US"/>
        </w:rPr>
        <w:t>, e o centro de competências pode fornecer às PME estimativas dos custos de concessão de licenças para essas aplicações.</w:t>
      </w:r>
      <w:r w:rsidRPr="002A673F">
        <w:rPr>
          <w:b/>
          <w:szCs w:val="24"/>
          <w:lang w:eastAsia="en-US"/>
        </w:rPr>
        <w:t xml:space="preserve"> [Alt. 247]</w:t>
      </w:r>
    </w:p>
    <w:p w14:paraId="1F1795C9"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Os custos decorrentes dos serviços a que se referem o n.º 1 e o n.º 2 são suportados pelo EUIPO</w:t>
      </w:r>
      <w:r w:rsidRPr="002A673F">
        <w:rPr>
          <w:b/>
          <w:i/>
          <w:szCs w:val="24"/>
          <w:lang w:eastAsia="en-US"/>
        </w:rPr>
        <w:t xml:space="preserve"> e o EUIPO deve assegurar que os serviços sejam suficientemente financiados e dotados de recursos</w:t>
      </w:r>
      <w:r w:rsidRPr="002A673F">
        <w:rPr>
          <w:szCs w:val="24"/>
          <w:lang w:eastAsia="en-US"/>
        </w:rPr>
        <w:t>.</w:t>
      </w:r>
      <w:r w:rsidRPr="002A673F">
        <w:rPr>
          <w:b/>
          <w:szCs w:val="24"/>
          <w:lang w:eastAsia="en-US"/>
        </w:rPr>
        <w:t xml:space="preserve"> [Alt. 248]</w:t>
      </w:r>
    </w:p>
    <w:p w14:paraId="66D9FC09" w14:textId="719B3AEA" w:rsidR="002A673F" w:rsidRPr="00E075CA" w:rsidRDefault="002A673F" w:rsidP="002A673F">
      <w:pPr>
        <w:spacing w:before="120" w:after="120" w:line="360" w:lineRule="auto"/>
        <w:ind w:left="850" w:hanging="850"/>
        <w:rPr>
          <w:b/>
          <w:szCs w:val="24"/>
          <w:lang w:eastAsia="en-US"/>
        </w:rPr>
      </w:pPr>
      <w:r w:rsidRPr="002A673F">
        <w:rPr>
          <w:b/>
          <w:i/>
          <w:szCs w:val="24"/>
          <w:lang w:eastAsia="en-US"/>
        </w:rPr>
        <w:t>3-A.</w:t>
      </w:r>
      <w:r w:rsidRPr="002A673F">
        <w:rPr>
          <w:szCs w:val="24"/>
          <w:lang w:eastAsia="en-US"/>
        </w:rPr>
        <w:tab/>
      </w:r>
      <w:r w:rsidRPr="002A673F">
        <w:rPr>
          <w:b/>
          <w:i/>
          <w:szCs w:val="24"/>
          <w:lang w:eastAsia="en-US"/>
        </w:rPr>
        <w:t>Os n.ºs 1 e 2 não se aplicam a entidades de asserção de patentes ou a PME que sejam uma sucursal ou uma filial, ou detidas ou direta ou indiretamente controladas por outra pessoa singular ou coletiva que não seja uma PME.</w:t>
      </w:r>
      <w:r w:rsidRPr="002A673F">
        <w:rPr>
          <w:b/>
          <w:szCs w:val="24"/>
          <w:lang w:eastAsia="en-US"/>
        </w:rPr>
        <w:t xml:space="preserve"> [Alt. 249]</w:t>
      </w:r>
    </w:p>
    <w:p w14:paraId="2BF5F1D0" w14:textId="77777777" w:rsidR="00937E3A" w:rsidRDefault="00937E3A">
      <w:pPr>
        <w:widowControl/>
        <w:rPr>
          <w:szCs w:val="24"/>
          <w:lang w:eastAsia="en-US"/>
        </w:rPr>
      </w:pPr>
      <w:r>
        <w:rPr>
          <w:szCs w:val="24"/>
          <w:lang w:eastAsia="en-US"/>
        </w:rPr>
        <w:br w:type="page"/>
      </w:r>
    </w:p>
    <w:p w14:paraId="53A6D211" w14:textId="2A3AC720"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62.º</w:t>
      </w:r>
      <w:r w:rsidRPr="002A673F">
        <w:rPr>
          <w:szCs w:val="24"/>
          <w:lang w:eastAsia="en-US"/>
        </w:rPr>
        <w:br/>
        <w:t xml:space="preserve">Condições FRAND para micro, pequenas e médias empresas </w:t>
      </w:r>
    </w:p>
    <w:p w14:paraId="41D5A620"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Ao negociar uma licença de PEN com micro, pequenas e médias empresas, os titulares de PEN devem considerar a possibilidade de lhes oferecer condições FRAND mais favoráveis do que as condições FRAND que oferecem a empresas que não sejam micro, pequenas e médias empresas para a mesma norma e aplicações.</w:t>
      </w:r>
    </w:p>
    <w:p w14:paraId="3C52EC32"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2.</w:t>
      </w:r>
      <w:r w:rsidRPr="002A673F">
        <w:rPr>
          <w:szCs w:val="24"/>
          <w:lang w:eastAsia="en-US"/>
        </w:rPr>
        <w:tab/>
      </w:r>
      <w:proofErr w:type="spellStart"/>
      <w:r w:rsidRPr="002A673F">
        <w:rPr>
          <w:strike/>
          <w:szCs w:val="24"/>
          <w:lang w:eastAsia="en-US"/>
        </w:rPr>
        <w:t>Se</w:t>
      </w:r>
      <w:r w:rsidRPr="002A673F">
        <w:rPr>
          <w:b/>
          <w:i/>
          <w:szCs w:val="24"/>
          <w:lang w:eastAsia="en-US"/>
        </w:rPr>
        <w:t>Quando</w:t>
      </w:r>
      <w:proofErr w:type="spellEnd"/>
      <w:r w:rsidRPr="002A673F">
        <w:rPr>
          <w:szCs w:val="24"/>
          <w:lang w:eastAsia="en-US"/>
        </w:rPr>
        <w:t xml:space="preserve"> o titular de uma PEN </w:t>
      </w:r>
      <w:r w:rsidRPr="002A673F">
        <w:rPr>
          <w:strike/>
          <w:szCs w:val="24"/>
          <w:lang w:eastAsia="en-US"/>
        </w:rPr>
        <w:t xml:space="preserve">oferecer condições FRAND mais favoráveis às micro, pequenas e médias empresas, ou </w:t>
      </w:r>
      <w:proofErr w:type="spellStart"/>
      <w:r w:rsidRPr="002A673F">
        <w:rPr>
          <w:strike/>
          <w:szCs w:val="24"/>
          <w:lang w:eastAsia="en-US"/>
        </w:rPr>
        <w:t>conceder</w:t>
      </w:r>
      <w:r w:rsidRPr="002A673F">
        <w:rPr>
          <w:b/>
          <w:i/>
          <w:szCs w:val="24"/>
          <w:lang w:eastAsia="en-US"/>
        </w:rPr>
        <w:t>concede</w:t>
      </w:r>
      <w:proofErr w:type="spellEnd"/>
      <w:r w:rsidRPr="002A673F">
        <w:rPr>
          <w:szCs w:val="24"/>
          <w:lang w:eastAsia="en-US"/>
        </w:rPr>
        <w:t xml:space="preserve"> uma licença de PEN que inclua condições mais favoráveis</w:t>
      </w:r>
      <w:r w:rsidRPr="002A673F">
        <w:rPr>
          <w:b/>
          <w:i/>
          <w:szCs w:val="24"/>
          <w:lang w:eastAsia="en-US"/>
        </w:rPr>
        <w:t xml:space="preserve"> do que as oferecidas a empresas que não sejam PME</w:t>
      </w:r>
      <w:r w:rsidRPr="002A673F">
        <w:rPr>
          <w:szCs w:val="24"/>
          <w:lang w:eastAsia="en-US"/>
        </w:rPr>
        <w:t>, nos termos do n.º 1, essas condições FRAND não podem ser consideradas numa determinação FRAND, a menos que a determinação FRAND seja efetuada apenas no que respeita às condições FRAND para outra micro, pequena ou média empresa.</w:t>
      </w:r>
      <w:r w:rsidRPr="002A673F">
        <w:rPr>
          <w:b/>
          <w:szCs w:val="24"/>
          <w:lang w:eastAsia="en-US"/>
        </w:rPr>
        <w:t xml:space="preserve"> [Alt. 250]</w:t>
      </w:r>
    </w:p>
    <w:p w14:paraId="6932A756" w14:textId="77777777" w:rsidR="00937E3A" w:rsidRDefault="00937E3A">
      <w:pPr>
        <w:widowControl/>
        <w:rPr>
          <w:szCs w:val="24"/>
          <w:lang w:eastAsia="en-US"/>
        </w:rPr>
      </w:pPr>
      <w:r>
        <w:rPr>
          <w:szCs w:val="24"/>
          <w:lang w:eastAsia="en-US"/>
        </w:rPr>
        <w:br w:type="page"/>
      </w:r>
    </w:p>
    <w:p w14:paraId="543C1A72" w14:textId="154A9494"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3.</w:t>
      </w:r>
      <w:r w:rsidRPr="002A673F">
        <w:rPr>
          <w:szCs w:val="24"/>
          <w:lang w:eastAsia="en-US"/>
        </w:rPr>
        <w:tab/>
        <w:t>Os titulares de PEN devem igualmente considerar a concessão de descontos</w:t>
      </w:r>
      <w:r w:rsidRPr="002A673F">
        <w:rPr>
          <w:b/>
          <w:i/>
          <w:szCs w:val="24"/>
          <w:lang w:eastAsia="en-US"/>
        </w:rPr>
        <w:t>, o fracionamento dos pagamentos sem juros acrescidos</w:t>
      </w:r>
      <w:r w:rsidRPr="002A673F">
        <w:rPr>
          <w:szCs w:val="24"/>
          <w:lang w:eastAsia="en-US"/>
        </w:rPr>
        <w:t xml:space="preserve"> ou licenças isentas de </w:t>
      </w:r>
      <w:r w:rsidRPr="00E075CA">
        <w:rPr>
          <w:i/>
          <w:szCs w:val="24"/>
          <w:lang w:eastAsia="en-US"/>
        </w:rPr>
        <w:t>royalties</w:t>
      </w:r>
      <w:r w:rsidRPr="002A673F">
        <w:rPr>
          <w:szCs w:val="24"/>
          <w:lang w:eastAsia="en-US"/>
        </w:rPr>
        <w:t xml:space="preserve"> para volumes de vendas baixos, independentemente da dimensão do utilizador que obtém a licença. Os referidos descontos ou licenças isentas de </w:t>
      </w:r>
      <w:r w:rsidRPr="00E075CA">
        <w:rPr>
          <w:i/>
          <w:szCs w:val="24"/>
          <w:lang w:eastAsia="en-US"/>
        </w:rPr>
        <w:t>royalties</w:t>
      </w:r>
      <w:r w:rsidRPr="002A673F">
        <w:rPr>
          <w:szCs w:val="24"/>
          <w:lang w:eastAsia="en-US"/>
        </w:rPr>
        <w:t xml:space="preserve"> devem ser equitativos, razoáveis e não discriminatórios e estar disponíveis na base de dados eletrónica, conforme previsto no artigo 5.º, n.º 2, alínea b).</w:t>
      </w:r>
      <w:r w:rsidRPr="002A673F">
        <w:rPr>
          <w:b/>
          <w:szCs w:val="24"/>
          <w:lang w:eastAsia="en-US"/>
        </w:rPr>
        <w:t xml:space="preserve"> [Alt. 251]</w:t>
      </w:r>
    </w:p>
    <w:p w14:paraId="20CF70EA" w14:textId="6B30095C" w:rsidR="002A673F" w:rsidRPr="00E075CA" w:rsidRDefault="002A673F" w:rsidP="002A673F">
      <w:pPr>
        <w:spacing w:before="120" w:after="120" w:line="360" w:lineRule="auto"/>
        <w:ind w:left="850" w:hanging="850"/>
        <w:rPr>
          <w:b/>
          <w:szCs w:val="24"/>
          <w:lang w:eastAsia="en-US"/>
        </w:rPr>
      </w:pPr>
      <w:r w:rsidRPr="002A673F">
        <w:rPr>
          <w:b/>
          <w:i/>
          <w:szCs w:val="24"/>
          <w:lang w:eastAsia="en-US"/>
        </w:rPr>
        <w:t>3-A.</w:t>
      </w:r>
      <w:r w:rsidRPr="002A673F">
        <w:rPr>
          <w:szCs w:val="24"/>
          <w:lang w:eastAsia="en-US"/>
        </w:rPr>
        <w:tab/>
      </w:r>
      <w:r w:rsidRPr="002A673F">
        <w:rPr>
          <w:b/>
          <w:i/>
          <w:szCs w:val="24"/>
          <w:lang w:eastAsia="en-US"/>
        </w:rPr>
        <w:t>Quaisquer benefícios concedidos às PME ao abrigo do presente regulamento podem ser retidos ou retirados em caso de evasão ou de utilização indevida.</w:t>
      </w:r>
      <w:r w:rsidRPr="002A673F">
        <w:rPr>
          <w:b/>
          <w:szCs w:val="24"/>
          <w:lang w:eastAsia="en-US"/>
        </w:rPr>
        <w:t xml:space="preserve"> [Alt. 252]</w:t>
      </w:r>
    </w:p>
    <w:p w14:paraId="512B9141" w14:textId="77777777" w:rsidR="002A673F" w:rsidRPr="002A673F" w:rsidRDefault="002A673F" w:rsidP="002A673F">
      <w:pPr>
        <w:spacing w:before="120" w:after="120" w:line="360" w:lineRule="auto"/>
        <w:jc w:val="center"/>
        <w:rPr>
          <w:szCs w:val="24"/>
          <w:lang w:eastAsia="en-US"/>
        </w:rPr>
      </w:pPr>
      <w:r w:rsidRPr="002A673F">
        <w:rPr>
          <w:szCs w:val="24"/>
          <w:lang w:eastAsia="en-US"/>
        </w:rPr>
        <w:t xml:space="preserve">Título IX </w:t>
      </w:r>
      <w:r w:rsidRPr="002A673F">
        <w:rPr>
          <w:szCs w:val="24"/>
          <w:lang w:eastAsia="en-US"/>
        </w:rPr>
        <w:br/>
        <w:t>Taxas e encargos</w:t>
      </w:r>
    </w:p>
    <w:p w14:paraId="0F705910"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63.º</w:t>
      </w:r>
      <w:r w:rsidRPr="002A673F">
        <w:rPr>
          <w:szCs w:val="24"/>
          <w:lang w:eastAsia="en-US"/>
        </w:rPr>
        <w:br/>
        <w:t xml:space="preserve">Taxas e encargos </w:t>
      </w:r>
    </w:p>
    <w:p w14:paraId="6415643F"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O centro de competências poderá cobrar taxas administrativas pelos serviços que presta no âmbito do presente regulamento.</w:t>
      </w:r>
    </w:p>
    <w:p w14:paraId="618CA57E" w14:textId="77777777" w:rsidR="00937E3A" w:rsidRDefault="00937E3A">
      <w:pPr>
        <w:widowControl/>
        <w:rPr>
          <w:szCs w:val="24"/>
          <w:lang w:eastAsia="en-US"/>
        </w:rPr>
      </w:pPr>
      <w:r>
        <w:rPr>
          <w:szCs w:val="24"/>
          <w:lang w:eastAsia="en-US"/>
        </w:rPr>
        <w:br w:type="page"/>
      </w:r>
    </w:p>
    <w:p w14:paraId="23B3AFE3" w14:textId="574A8993"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Podem ser cobradas taxas, pelo menos, nos seguintes casos:</w:t>
      </w:r>
    </w:p>
    <w:p w14:paraId="3F6F59A0" w14:textId="2CE3ED0F"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 xml:space="preserve">Para os conciliadores que facilitem acordos sobre a determinação de </w:t>
      </w:r>
      <w:r w:rsidRPr="00E075CA">
        <w:rPr>
          <w:i/>
          <w:szCs w:val="24"/>
          <w:lang w:eastAsia="en-US"/>
        </w:rPr>
        <w:t>royalties</w:t>
      </w:r>
      <w:r w:rsidRPr="002A673F">
        <w:rPr>
          <w:szCs w:val="24"/>
          <w:lang w:eastAsia="en-US"/>
        </w:rPr>
        <w:t xml:space="preserve"> agregados, em conformidade com o artigo 17.º;</w:t>
      </w:r>
    </w:p>
    <w:p w14:paraId="2DCE37E0" w14:textId="3F0A1BCF"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 xml:space="preserve">Para o parecer de peritos sobre </w:t>
      </w:r>
      <w:r w:rsidRPr="00E075CA">
        <w:rPr>
          <w:i/>
          <w:szCs w:val="24"/>
          <w:lang w:eastAsia="en-US"/>
        </w:rPr>
        <w:t>royalties</w:t>
      </w:r>
      <w:r w:rsidRPr="002A673F">
        <w:rPr>
          <w:szCs w:val="24"/>
          <w:lang w:eastAsia="en-US"/>
        </w:rPr>
        <w:t xml:space="preserve"> agregados, em conformidade com o artigo 18.º;</w:t>
      </w:r>
    </w:p>
    <w:p w14:paraId="5B4263AA" w14:textId="01D9B95B"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Para a verificação do caráter essencial realizada pelo avaliador, em conformidade com o artigo 31.º, e pelo avaliador interpares, em conformidade com o artigo 32.º;</w:t>
      </w:r>
    </w:p>
    <w:p w14:paraId="1CF6620D" w14:textId="18A893C7" w:rsidR="002A673F" w:rsidRPr="002A673F" w:rsidRDefault="002A673F" w:rsidP="002A673F">
      <w:pPr>
        <w:spacing w:before="120" w:after="120" w:line="360" w:lineRule="auto"/>
        <w:ind w:left="1416" w:hanging="566"/>
        <w:rPr>
          <w:szCs w:val="24"/>
          <w:lang w:eastAsia="en-US"/>
        </w:rPr>
      </w:pPr>
      <w:r w:rsidRPr="002A673F">
        <w:rPr>
          <w:szCs w:val="24"/>
          <w:lang w:eastAsia="en-US"/>
        </w:rPr>
        <w:t>d)</w:t>
      </w:r>
      <w:r w:rsidRPr="002A673F">
        <w:rPr>
          <w:szCs w:val="24"/>
          <w:lang w:eastAsia="en-US"/>
        </w:rPr>
        <w:tab/>
        <w:t xml:space="preserve">Para os conciliadores da determinação FRAND, em </w:t>
      </w:r>
      <w:r w:rsidR="00937E3A">
        <w:rPr>
          <w:szCs w:val="24"/>
          <w:lang w:eastAsia="en-US"/>
        </w:rPr>
        <w:t>conformidade com o título </w:t>
      </w:r>
      <w:r w:rsidRPr="002A673F">
        <w:rPr>
          <w:szCs w:val="24"/>
          <w:lang w:eastAsia="en-US"/>
        </w:rPr>
        <w:t>VI.</w:t>
      </w:r>
    </w:p>
    <w:p w14:paraId="331C58C7"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Se o centro de competências cobrar taxas nos termos do n.º 2, as taxas são suportadas do seguinte modo:</w:t>
      </w:r>
    </w:p>
    <w:p w14:paraId="61868BC7" w14:textId="163A0A39"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As taxas a que se refere o n.º 2, alínea a), pelos titulares de PEN que participaram no processo com base na percentagem estimada das suas PEN de todas as PEN para a norma;</w:t>
      </w:r>
    </w:p>
    <w:p w14:paraId="3380B6A6" w14:textId="77777777" w:rsidR="00937E3A" w:rsidRDefault="00937E3A">
      <w:pPr>
        <w:widowControl/>
        <w:rPr>
          <w:szCs w:val="24"/>
          <w:lang w:eastAsia="en-US"/>
        </w:rPr>
      </w:pPr>
      <w:r>
        <w:rPr>
          <w:szCs w:val="24"/>
          <w:lang w:eastAsia="en-US"/>
        </w:rPr>
        <w:br w:type="page"/>
      </w:r>
    </w:p>
    <w:p w14:paraId="01AD480F" w14:textId="4BA6D76A"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b)</w:t>
      </w:r>
      <w:r w:rsidRPr="002A673F">
        <w:rPr>
          <w:szCs w:val="24"/>
          <w:lang w:eastAsia="en-US"/>
        </w:rPr>
        <w:tab/>
        <w:t xml:space="preserve">As taxas a que se refere o n.º 2, alínea b), de forma equitativa pelas partes que participaram no procedimento de parecer de peritos sobre </w:t>
      </w:r>
      <w:r w:rsidRPr="00E075CA">
        <w:rPr>
          <w:i/>
          <w:szCs w:val="24"/>
          <w:lang w:eastAsia="en-US"/>
        </w:rPr>
        <w:t>royalties</w:t>
      </w:r>
      <w:r w:rsidRPr="002A673F">
        <w:rPr>
          <w:szCs w:val="24"/>
          <w:lang w:eastAsia="en-US"/>
        </w:rPr>
        <w:t xml:space="preserve"> agregados, salvo acordo em contrário ou se o painel sugerir uma repartição diferente com base na dimensão das partes determinada com base no seu volume de negócios;</w:t>
      </w:r>
    </w:p>
    <w:p w14:paraId="6FB2171A" w14:textId="5AA2EBE0"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As taxas a que se refere o n.º 2, alínea c), pelo titular da PEN que solicitou uma verificação do caráter essencial nos termos do artigo 29.º, n.º 5, ou uma avaliação pelos pares nos termos do artigo 32.º, n.º 1, e pelo utilizador que solicitou uma verificação do caráter essencial nos termos do artigo 29.º, n.º 6;</w:t>
      </w:r>
    </w:p>
    <w:p w14:paraId="1E2D2E5F" w14:textId="373FDF92" w:rsidR="002A673F" w:rsidRPr="002A673F" w:rsidRDefault="002A673F" w:rsidP="002A673F">
      <w:pPr>
        <w:spacing w:before="120" w:after="120" w:line="360" w:lineRule="auto"/>
        <w:ind w:left="1416" w:hanging="566"/>
        <w:rPr>
          <w:szCs w:val="24"/>
          <w:lang w:eastAsia="en-US"/>
        </w:rPr>
      </w:pPr>
      <w:r w:rsidRPr="002A673F">
        <w:rPr>
          <w:szCs w:val="24"/>
          <w:lang w:eastAsia="en-US"/>
        </w:rPr>
        <w:t>d)</w:t>
      </w:r>
      <w:r w:rsidRPr="002A673F">
        <w:rPr>
          <w:szCs w:val="24"/>
          <w:lang w:eastAsia="en-US"/>
        </w:rPr>
        <w:tab/>
        <w:t>As taxas a que se refere o n.º 2, alínea d), de forma equitativa pelas partes, salvo acordo em contrário ou se o conciliador sugerir uma repartição diferente com base no nível de participação das partes na determinação FRAND.</w:t>
      </w:r>
    </w:p>
    <w:p w14:paraId="4658A889"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4.</w:t>
      </w:r>
      <w:r w:rsidRPr="002A673F">
        <w:rPr>
          <w:szCs w:val="24"/>
          <w:lang w:eastAsia="en-US"/>
        </w:rPr>
        <w:tab/>
        <w:t xml:space="preserve">O nível das taxas deve ser razoável e </w:t>
      </w:r>
      <w:proofErr w:type="spellStart"/>
      <w:r w:rsidRPr="002A673F">
        <w:rPr>
          <w:strike/>
          <w:szCs w:val="24"/>
          <w:lang w:eastAsia="en-US"/>
        </w:rPr>
        <w:t>corresponder</w:t>
      </w:r>
      <w:r w:rsidRPr="002A673F">
        <w:rPr>
          <w:b/>
          <w:i/>
          <w:szCs w:val="24"/>
          <w:lang w:eastAsia="en-US"/>
        </w:rPr>
        <w:t>limitado</w:t>
      </w:r>
      <w:proofErr w:type="spellEnd"/>
      <w:r w:rsidRPr="002A673F">
        <w:rPr>
          <w:szCs w:val="24"/>
          <w:lang w:eastAsia="en-US"/>
        </w:rPr>
        <w:t xml:space="preserve"> aos custos dos serviços, devendo ter em conta a situação das micro, pequenas e médias empresas.</w:t>
      </w:r>
      <w:r w:rsidRPr="002A673F">
        <w:rPr>
          <w:b/>
          <w:szCs w:val="24"/>
          <w:lang w:eastAsia="en-US"/>
        </w:rPr>
        <w:t xml:space="preserve"> [Alt. 253]</w:t>
      </w:r>
    </w:p>
    <w:p w14:paraId="4357DC69" w14:textId="77777777" w:rsidR="00937E3A" w:rsidRDefault="00937E3A">
      <w:pPr>
        <w:widowControl/>
        <w:rPr>
          <w:szCs w:val="24"/>
          <w:lang w:eastAsia="en-US"/>
        </w:rPr>
      </w:pPr>
      <w:r>
        <w:rPr>
          <w:szCs w:val="24"/>
          <w:lang w:eastAsia="en-US"/>
        </w:rPr>
        <w:br w:type="page"/>
      </w:r>
    </w:p>
    <w:p w14:paraId="5246682F" w14:textId="745A32B2"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5.</w:t>
      </w:r>
      <w:r w:rsidRPr="002A673F">
        <w:rPr>
          <w:szCs w:val="24"/>
          <w:lang w:eastAsia="en-US"/>
        </w:rPr>
        <w:tab/>
        <w:t>Até</w:t>
      </w:r>
      <w:r w:rsidRPr="002A673F">
        <w:rPr>
          <w:b/>
          <w:i/>
          <w:szCs w:val="24"/>
          <w:lang w:eastAsia="en-US"/>
        </w:rPr>
        <w:t xml:space="preserve"> ...</w:t>
      </w:r>
      <w:r w:rsidRPr="002A673F">
        <w:rPr>
          <w:szCs w:val="24"/>
          <w:lang w:eastAsia="en-US"/>
        </w:rPr>
        <w:t xml:space="preserve"> [JO: inserir a data correspondente a 18 meses a contar da data de entrada em vigor do presente regulamento], a Comissão adota um ato de execução determinando os montantes das taxas a que se refere o artigo 63.º e as disposições relativas aos métodos de pagamento relacionados com as regras estabelecidas nos </w:t>
      </w:r>
      <w:proofErr w:type="spellStart"/>
      <w:r w:rsidRPr="002A673F">
        <w:rPr>
          <w:szCs w:val="24"/>
          <w:lang w:eastAsia="en-US"/>
        </w:rPr>
        <w:t>n.</w:t>
      </w:r>
      <w:r w:rsidRPr="002A673F">
        <w:rPr>
          <w:szCs w:val="24"/>
          <w:vertAlign w:val="superscript"/>
          <w:lang w:eastAsia="en-US"/>
        </w:rPr>
        <w:t>os</w:t>
      </w:r>
      <w:proofErr w:type="spellEnd"/>
      <w:r w:rsidRPr="002A673F">
        <w:rPr>
          <w:szCs w:val="24"/>
          <w:vertAlign w:val="superscript"/>
          <w:lang w:eastAsia="en-US"/>
        </w:rPr>
        <w:t xml:space="preserve"> </w:t>
      </w:r>
      <w:r w:rsidRPr="002A673F">
        <w:rPr>
          <w:szCs w:val="24"/>
          <w:lang w:eastAsia="en-US"/>
        </w:rPr>
        <w:t>3 e 4 do presente artigo. O ato de execução é adotado em conformidade com o procedimento de exame a que se refere o artigo 68.º, n.º 2.</w:t>
      </w:r>
    </w:p>
    <w:p w14:paraId="7217B9CC"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64.º</w:t>
      </w:r>
      <w:r w:rsidRPr="002A673F">
        <w:rPr>
          <w:szCs w:val="24"/>
          <w:lang w:eastAsia="en-US"/>
        </w:rPr>
        <w:br/>
        <w:t>Pagamento de taxas</w:t>
      </w:r>
    </w:p>
    <w:p w14:paraId="133FC870"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As taxas são pagas ao EUIPO. Todos os pagamentos são efetuados em euros. O diretor executivo do EUIPO pode determinar os métodos de pagamento específicos que podem ser utilizados.</w:t>
      </w:r>
    </w:p>
    <w:p w14:paraId="10F937F3"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 xml:space="preserve">Se os montantes solicitados não forem integralmente pagos no prazo de dez dias a contar da data do pedido, o centro de competências pode notificar a parte faltosa e dar-lhe a oportunidade de efetuar o pagamento exigido no prazo de [cinco] dias. Em caso de </w:t>
      </w:r>
      <w:r w:rsidRPr="00E075CA">
        <w:rPr>
          <w:i/>
          <w:szCs w:val="24"/>
          <w:lang w:eastAsia="en-US"/>
        </w:rPr>
        <w:t>royalties</w:t>
      </w:r>
      <w:r w:rsidRPr="002A673F">
        <w:rPr>
          <w:szCs w:val="24"/>
          <w:lang w:eastAsia="en-US"/>
        </w:rPr>
        <w:t xml:space="preserve"> agregados ou de determinação FRAND, o centro de competências deve enviar uma cópia do pedido à outra parte.</w:t>
      </w:r>
    </w:p>
    <w:p w14:paraId="156DA2F6" w14:textId="77777777" w:rsidR="00937E3A" w:rsidRDefault="00937E3A">
      <w:pPr>
        <w:widowControl/>
        <w:rPr>
          <w:szCs w:val="24"/>
          <w:lang w:eastAsia="en-US"/>
        </w:rPr>
      </w:pPr>
      <w:r>
        <w:rPr>
          <w:szCs w:val="24"/>
          <w:lang w:eastAsia="en-US"/>
        </w:rPr>
        <w:br w:type="page"/>
      </w:r>
    </w:p>
    <w:p w14:paraId="43E40ECA" w14:textId="1CAF8AD4"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3.</w:t>
      </w:r>
      <w:r w:rsidRPr="002A673F">
        <w:rPr>
          <w:szCs w:val="24"/>
          <w:lang w:eastAsia="en-US"/>
        </w:rPr>
        <w:tab/>
        <w:t>A data a considerar como data de pagamento ao EUIPO será a data em que o montante do pagamento ou da transferência entra efetivamente numa conta bancária em nome do EUIPO.</w:t>
      </w:r>
    </w:p>
    <w:p w14:paraId="1F1826FD"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Se uma parte do pagamento exigido se mantiver em dívida após o termo do prazo fixado no n.º 2, o centro de competências pode suspender o acesso à base de dados da parte faltosa enquanto o pagamento não for efetuado.</w:t>
      </w:r>
    </w:p>
    <w:p w14:paraId="7C9C75F3"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65.º</w:t>
      </w:r>
      <w:r w:rsidRPr="002A673F">
        <w:rPr>
          <w:szCs w:val="24"/>
          <w:lang w:eastAsia="en-US"/>
        </w:rPr>
        <w:br/>
        <w:t>Disposições financeiras</w:t>
      </w:r>
    </w:p>
    <w:p w14:paraId="1965D468"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As despesas incorridas pelo EUIPO ou pelos avaliadores ou conciliadores selecionados pelo EUIPO nos termos dos artigos 26.º e 27.º no exercício das funções que lhe são conferidas em conformidade com o presente regulamento são cobertas pelas taxas administrativas que os utilizadores dos serviços do centro de competências pagam ao EUIPO.</w:t>
      </w:r>
    </w:p>
    <w:p w14:paraId="72924743"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No que diz respeito aos custos incorridos pelo EUIPO com atividades que lhe são confiadas pelo presente regulamento e que não estejam cobertas pelas taxas nele previstas, o EUIPO deve financiar essas atividades com os seus próprios recursos orçamentais.</w:t>
      </w:r>
    </w:p>
    <w:p w14:paraId="7B089D72" w14:textId="77777777" w:rsidR="00937E3A" w:rsidRDefault="00937E3A">
      <w:pPr>
        <w:widowControl/>
        <w:rPr>
          <w:b/>
          <w:i/>
          <w:szCs w:val="24"/>
          <w:lang w:eastAsia="en-US"/>
        </w:rPr>
      </w:pPr>
      <w:r>
        <w:rPr>
          <w:b/>
          <w:i/>
          <w:szCs w:val="24"/>
          <w:lang w:eastAsia="en-US"/>
        </w:rPr>
        <w:br w:type="page"/>
      </w:r>
    </w:p>
    <w:p w14:paraId="70C4B8FE" w14:textId="2A1176D5" w:rsidR="002A673F" w:rsidRPr="002A673F" w:rsidRDefault="002A673F" w:rsidP="002A673F">
      <w:pPr>
        <w:spacing w:before="120" w:after="120" w:line="360" w:lineRule="auto"/>
        <w:jc w:val="center"/>
        <w:rPr>
          <w:szCs w:val="24"/>
          <w:lang w:eastAsia="en-US"/>
        </w:rPr>
      </w:pPr>
      <w:r w:rsidRPr="002A673F">
        <w:rPr>
          <w:b/>
          <w:i/>
          <w:szCs w:val="24"/>
          <w:lang w:eastAsia="en-US"/>
        </w:rPr>
        <w:lastRenderedPageBreak/>
        <w:t>Artigo 65.º</w:t>
      </w:r>
      <w:r w:rsidRPr="002A673F">
        <w:rPr>
          <w:b/>
          <w:i/>
          <w:szCs w:val="24"/>
          <w:lang w:eastAsia="en-US"/>
        </w:rPr>
        <w:noBreakHyphen/>
        <w:t>A</w:t>
      </w:r>
      <w:r w:rsidRPr="002A673F">
        <w:rPr>
          <w:szCs w:val="24"/>
          <w:lang w:eastAsia="en-US"/>
        </w:rPr>
        <w:br/>
      </w:r>
      <w:r w:rsidRPr="002A673F">
        <w:rPr>
          <w:b/>
          <w:i/>
          <w:szCs w:val="24"/>
          <w:lang w:eastAsia="en-US"/>
        </w:rPr>
        <w:t>Pedido fundamentado à Comissão</w:t>
      </w:r>
    </w:p>
    <w:p w14:paraId="45F9D897" w14:textId="77777777" w:rsidR="002A673F" w:rsidRPr="002A673F" w:rsidRDefault="002A673F" w:rsidP="002A673F">
      <w:pPr>
        <w:spacing w:before="120" w:after="120" w:line="360" w:lineRule="auto"/>
        <w:rPr>
          <w:szCs w:val="24"/>
          <w:lang w:eastAsia="en-US"/>
        </w:rPr>
      </w:pPr>
      <w:r w:rsidRPr="002A673F">
        <w:rPr>
          <w:b/>
          <w:i/>
          <w:szCs w:val="24"/>
          <w:lang w:eastAsia="en-US"/>
        </w:rPr>
        <w:t>Um titular de PEN ou um utilizador de PEN pode apresentar um pedido fundamentado à Comissão para determinar se:</w:t>
      </w:r>
    </w:p>
    <w:p w14:paraId="1CF6FD7D" w14:textId="2870ACCC" w:rsidR="002A673F" w:rsidRPr="002A673F" w:rsidRDefault="002A673F" w:rsidP="002A673F">
      <w:pPr>
        <w:spacing w:before="120" w:after="120" w:line="360" w:lineRule="auto"/>
        <w:ind w:left="850" w:hanging="850"/>
        <w:rPr>
          <w:szCs w:val="24"/>
          <w:lang w:eastAsia="en-US"/>
        </w:rPr>
      </w:pPr>
      <w:r w:rsidRPr="002A673F">
        <w:rPr>
          <w:b/>
          <w:i/>
          <w:szCs w:val="24"/>
          <w:lang w:eastAsia="en-US"/>
        </w:rPr>
        <w:t>a)</w:t>
      </w:r>
      <w:r w:rsidRPr="002A673F">
        <w:rPr>
          <w:szCs w:val="24"/>
          <w:lang w:eastAsia="en-US"/>
        </w:rPr>
        <w:tab/>
      </w:r>
      <w:r w:rsidR="00937E3A">
        <w:rPr>
          <w:b/>
          <w:i/>
          <w:szCs w:val="24"/>
          <w:lang w:eastAsia="en-US"/>
        </w:rPr>
        <w:t>A</w:t>
      </w:r>
      <w:r w:rsidR="00937E3A" w:rsidRPr="002A673F">
        <w:rPr>
          <w:b/>
          <w:i/>
          <w:szCs w:val="24"/>
          <w:lang w:eastAsia="en-US"/>
        </w:rPr>
        <w:t xml:space="preserve">s </w:t>
      </w:r>
      <w:r w:rsidRPr="002A673F">
        <w:rPr>
          <w:b/>
          <w:i/>
          <w:szCs w:val="24"/>
          <w:lang w:eastAsia="en-US"/>
        </w:rPr>
        <w:t>negociações de concessão de licenças de PEN em condições FRAND não dão origem a dificuldades ou ineficiências significativas que afetem o funcionamento do mercado interno no que diz respeito à aplicação identificada de determinadas normas ou partes das mesmas no prazo de 1 mês a contar da publicação da norma pelo organismo de normalização;</w:t>
      </w:r>
    </w:p>
    <w:p w14:paraId="4A6755B6" w14:textId="05A1CFE6" w:rsidR="002A673F" w:rsidRPr="00E075CA" w:rsidRDefault="002A673F" w:rsidP="002A673F">
      <w:pPr>
        <w:spacing w:before="120" w:after="120" w:line="360" w:lineRule="auto"/>
        <w:ind w:left="850" w:hanging="850"/>
        <w:rPr>
          <w:b/>
          <w:szCs w:val="24"/>
          <w:lang w:eastAsia="en-US"/>
        </w:rPr>
      </w:pPr>
      <w:r w:rsidRPr="002A673F">
        <w:rPr>
          <w:b/>
          <w:i/>
          <w:szCs w:val="24"/>
          <w:lang w:eastAsia="en-US"/>
        </w:rPr>
        <w:t>b)</w:t>
      </w:r>
      <w:r w:rsidRPr="002A673F">
        <w:rPr>
          <w:szCs w:val="24"/>
          <w:lang w:eastAsia="en-US"/>
        </w:rPr>
        <w:tab/>
      </w:r>
      <w:r w:rsidR="00937E3A">
        <w:rPr>
          <w:b/>
          <w:i/>
          <w:szCs w:val="24"/>
          <w:lang w:eastAsia="en-US"/>
        </w:rPr>
        <w:t>O</w:t>
      </w:r>
      <w:r w:rsidR="00937E3A" w:rsidRPr="002A673F">
        <w:rPr>
          <w:b/>
          <w:i/>
          <w:szCs w:val="24"/>
          <w:lang w:eastAsia="en-US"/>
        </w:rPr>
        <w:t xml:space="preserve"> </w:t>
      </w:r>
      <w:r w:rsidRPr="002A673F">
        <w:rPr>
          <w:b/>
          <w:i/>
          <w:szCs w:val="24"/>
          <w:lang w:eastAsia="en-US"/>
        </w:rPr>
        <w:t>funcionamento do mercado interno é gravemente distorcido devido a dificuldades ou ineficiências significativas na concessão de licenças de PEN para determinadas aplicações existentes de normas ou partes das mesmas, no prazo de 12 meses a contar da data de entrada em vigor do presente regulamento.</w:t>
      </w:r>
      <w:r w:rsidRPr="002A673F">
        <w:rPr>
          <w:b/>
          <w:szCs w:val="24"/>
          <w:lang w:eastAsia="en-US"/>
        </w:rPr>
        <w:t xml:space="preserve"> [Alt. 254]</w:t>
      </w:r>
    </w:p>
    <w:p w14:paraId="658E9A38" w14:textId="77777777" w:rsidR="00937E3A" w:rsidRDefault="00937E3A">
      <w:pPr>
        <w:widowControl/>
        <w:rPr>
          <w:b/>
          <w:i/>
          <w:szCs w:val="24"/>
          <w:lang w:eastAsia="en-US"/>
        </w:rPr>
      </w:pPr>
      <w:r>
        <w:rPr>
          <w:b/>
          <w:i/>
          <w:szCs w:val="24"/>
          <w:lang w:eastAsia="en-US"/>
        </w:rPr>
        <w:br w:type="page"/>
      </w:r>
    </w:p>
    <w:p w14:paraId="795014E2" w14:textId="5A96C84A" w:rsidR="002A673F" w:rsidRPr="002A673F" w:rsidRDefault="002A673F" w:rsidP="002A673F">
      <w:pPr>
        <w:spacing w:before="120" w:after="120" w:line="360" w:lineRule="auto"/>
        <w:jc w:val="center"/>
        <w:rPr>
          <w:szCs w:val="24"/>
          <w:lang w:eastAsia="en-US"/>
        </w:rPr>
      </w:pPr>
      <w:r w:rsidRPr="002A673F">
        <w:rPr>
          <w:b/>
          <w:i/>
          <w:szCs w:val="24"/>
          <w:lang w:eastAsia="en-US"/>
        </w:rPr>
        <w:lastRenderedPageBreak/>
        <w:t>Artigo 65.º</w:t>
      </w:r>
      <w:r w:rsidRPr="002A673F">
        <w:rPr>
          <w:b/>
          <w:i/>
          <w:szCs w:val="24"/>
          <w:lang w:eastAsia="en-US"/>
        </w:rPr>
        <w:noBreakHyphen/>
        <w:t>B</w:t>
      </w:r>
      <w:r w:rsidRPr="002A673F">
        <w:rPr>
          <w:szCs w:val="24"/>
          <w:lang w:eastAsia="en-US"/>
        </w:rPr>
        <w:br/>
      </w:r>
      <w:r w:rsidRPr="002A673F">
        <w:rPr>
          <w:b/>
          <w:i/>
          <w:szCs w:val="24"/>
          <w:lang w:eastAsia="en-US"/>
        </w:rPr>
        <w:t>Atos delegados relativos a novas normas</w:t>
      </w:r>
    </w:p>
    <w:p w14:paraId="103E2647" w14:textId="224D755F" w:rsidR="002A673F" w:rsidRPr="002A673F" w:rsidRDefault="002A673F" w:rsidP="002A673F">
      <w:pPr>
        <w:spacing w:before="120" w:after="120" w:line="360" w:lineRule="auto"/>
        <w:ind w:left="850" w:hanging="850"/>
        <w:rPr>
          <w:szCs w:val="24"/>
          <w:lang w:eastAsia="en-US"/>
        </w:rPr>
      </w:pPr>
      <w:r w:rsidRPr="002A673F">
        <w:rPr>
          <w:b/>
          <w:i/>
          <w:szCs w:val="24"/>
          <w:lang w:eastAsia="en-US"/>
        </w:rPr>
        <w:t>1.</w:t>
      </w:r>
      <w:r w:rsidRPr="002A673F">
        <w:rPr>
          <w:szCs w:val="24"/>
          <w:lang w:eastAsia="en-US"/>
        </w:rPr>
        <w:tab/>
      </w:r>
      <w:r w:rsidRPr="002A673F">
        <w:rPr>
          <w:b/>
          <w:i/>
          <w:szCs w:val="24"/>
          <w:lang w:eastAsia="en-US"/>
        </w:rPr>
        <w:t xml:space="preserve">No prazo de 4 meses a contar da receção do pedido a que se refere o </w:t>
      </w:r>
      <w:r w:rsidR="00937E3A">
        <w:rPr>
          <w:b/>
          <w:i/>
          <w:szCs w:val="24"/>
          <w:lang w:eastAsia="en-US"/>
        </w:rPr>
        <w:t>artigo 65.º</w:t>
      </w:r>
      <w:r w:rsidR="00937E3A">
        <w:rPr>
          <w:b/>
          <w:i/>
          <w:szCs w:val="24"/>
          <w:lang w:eastAsia="en-US"/>
        </w:rPr>
        <w:noBreakHyphen/>
        <w:t>A</w:t>
      </w:r>
      <w:r w:rsidRPr="002A673F">
        <w:rPr>
          <w:b/>
          <w:i/>
          <w:szCs w:val="24"/>
          <w:lang w:eastAsia="en-US"/>
        </w:rPr>
        <w:t>, a Comissão fica habilitada a adotar atos delegad</w:t>
      </w:r>
      <w:r w:rsidR="009B7063">
        <w:rPr>
          <w:b/>
          <w:i/>
          <w:szCs w:val="24"/>
          <w:lang w:eastAsia="en-US"/>
        </w:rPr>
        <w:t>os em conformidade com o artigo </w:t>
      </w:r>
      <w:r w:rsidRPr="002A673F">
        <w:rPr>
          <w:b/>
          <w:i/>
          <w:szCs w:val="24"/>
          <w:lang w:eastAsia="en-US"/>
        </w:rPr>
        <w:t>67.º e após um processo de consulta adequado que inclua todas as partes interessadas pertinentes, bem como a estabelecer uma lista de aplicações, normas ou partes das mesmas, sempre que as negociações de concessão de licenças de PEN em condições FRAND não suscitem dificuldades ou ineficiências significativas que afetem o funcionamento do mercado interno.</w:t>
      </w:r>
    </w:p>
    <w:p w14:paraId="3B4F3527" w14:textId="77777777" w:rsidR="002A673F" w:rsidRPr="002A673F" w:rsidRDefault="002A673F" w:rsidP="002A673F">
      <w:pPr>
        <w:spacing w:before="120" w:after="120" w:line="360" w:lineRule="auto"/>
        <w:ind w:left="850" w:hanging="850"/>
        <w:rPr>
          <w:szCs w:val="24"/>
          <w:lang w:eastAsia="en-US"/>
        </w:rPr>
      </w:pPr>
      <w:r w:rsidRPr="002A673F">
        <w:rPr>
          <w:b/>
          <w:i/>
          <w:szCs w:val="24"/>
          <w:lang w:eastAsia="en-US"/>
        </w:rPr>
        <w:t>2.</w:t>
      </w:r>
      <w:r w:rsidRPr="002A673F">
        <w:rPr>
          <w:szCs w:val="24"/>
          <w:lang w:eastAsia="en-US"/>
        </w:rPr>
        <w:tab/>
      </w:r>
      <w:r w:rsidRPr="002A673F">
        <w:rPr>
          <w:b/>
          <w:i/>
          <w:szCs w:val="24"/>
          <w:lang w:eastAsia="en-US"/>
        </w:rPr>
        <w:t>A Comissão avalia a lista referida no n.º 1 anualmente, a fim de determinar se precisa de ser atualizada.</w:t>
      </w:r>
    </w:p>
    <w:p w14:paraId="68B6FE52" w14:textId="77777777" w:rsidR="002A673F" w:rsidRPr="002A673F" w:rsidRDefault="002A673F" w:rsidP="002A673F">
      <w:pPr>
        <w:spacing w:before="120" w:after="120" w:line="360" w:lineRule="auto"/>
        <w:ind w:left="850" w:hanging="850"/>
        <w:rPr>
          <w:b/>
          <w:szCs w:val="24"/>
          <w:lang w:eastAsia="en-US"/>
        </w:rPr>
      </w:pPr>
      <w:r w:rsidRPr="002A673F">
        <w:rPr>
          <w:b/>
          <w:i/>
          <w:szCs w:val="24"/>
          <w:lang w:eastAsia="en-US"/>
        </w:rPr>
        <w:t>3.</w:t>
      </w:r>
      <w:r w:rsidRPr="002A673F">
        <w:rPr>
          <w:szCs w:val="24"/>
          <w:lang w:eastAsia="en-US"/>
        </w:rPr>
        <w:tab/>
      </w:r>
      <w:r w:rsidRPr="002A673F">
        <w:rPr>
          <w:b/>
          <w:i/>
          <w:szCs w:val="24"/>
          <w:lang w:eastAsia="en-US"/>
        </w:rPr>
        <w:t>O procedimento previsto no presente artigo não afeta os prazos previstos nos artigos 17.º e 18.º.</w:t>
      </w:r>
      <w:r w:rsidRPr="002A673F">
        <w:rPr>
          <w:b/>
          <w:szCs w:val="24"/>
          <w:lang w:eastAsia="en-US"/>
        </w:rPr>
        <w:t xml:space="preserve"> [Alt. 255]</w:t>
      </w:r>
    </w:p>
    <w:p w14:paraId="0AD56C83" w14:textId="77777777" w:rsidR="00937E3A" w:rsidRDefault="00937E3A">
      <w:pPr>
        <w:widowControl/>
        <w:rPr>
          <w:b/>
          <w:i/>
          <w:szCs w:val="24"/>
          <w:lang w:eastAsia="en-US"/>
        </w:rPr>
      </w:pPr>
      <w:r>
        <w:rPr>
          <w:b/>
          <w:i/>
          <w:szCs w:val="24"/>
          <w:lang w:eastAsia="en-US"/>
        </w:rPr>
        <w:br w:type="page"/>
      </w:r>
    </w:p>
    <w:p w14:paraId="4F4771DF" w14:textId="2AC60C5F" w:rsidR="002A673F" w:rsidRPr="002A673F" w:rsidRDefault="002A673F" w:rsidP="002A673F">
      <w:pPr>
        <w:spacing w:before="120" w:after="120" w:line="360" w:lineRule="auto"/>
        <w:jc w:val="center"/>
        <w:rPr>
          <w:szCs w:val="24"/>
          <w:lang w:eastAsia="en-US"/>
        </w:rPr>
      </w:pPr>
      <w:r w:rsidRPr="002A673F">
        <w:rPr>
          <w:b/>
          <w:i/>
          <w:szCs w:val="24"/>
          <w:lang w:eastAsia="en-US"/>
        </w:rPr>
        <w:lastRenderedPageBreak/>
        <w:t>Artigo 65.º</w:t>
      </w:r>
      <w:r w:rsidRPr="002A673F">
        <w:rPr>
          <w:b/>
          <w:i/>
          <w:szCs w:val="24"/>
          <w:lang w:eastAsia="en-US"/>
        </w:rPr>
        <w:noBreakHyphen/>
        <w:t>C</w:t>
      </w:r>
      <w:r w:rsidRPr="002A673F">
        <w:rPr>
          <w:szCs w:val="24"/>
          <w:lang w:eastAsia="en-US"/>
        </w:rPr>
        <w:br/>
      </w:r>
      <w:r w:rsidRPr="002A673F">
        <w:rPr>
          <w:b/>
          <w:i/>
          <w:szCs w:val="24"/>
          <w:lang w:eastAsia="en-US"/>
        </w:rPr>
        <w:t>Atos delegados relativos às normas existentes</w:t>
      </w:r>
    </w:p>
    <w:p w14:paraId="02E848F0" w14:textId="77777777" w:rsidR="002A673F" w:rsidRPr="002A673F" w:rsidRDefault="002A673F" w:rsidP="002A673F">
      <w:pPr>
        <w:spacing w:before="120" w:after="120" w:line="360" w:lineRule="auto"/>
        <w:ind w:left="850" w:hanging="850"/>
        <w:rPr>
          <w:szCs w:val="24"/>
          <w:lang w:eastAsia="en-US"/>
        </w:rPr>
      </w:pPr>
      <w:r w:rsidRPr="002A673F">
        <w:rPr>
          <w:b/>
          <w:i/>
          <w:szCs w:val="24"/>
          <w:lang w:eastAsia="en-US"/>
        </w:rPr>
        <w:t>1.</w:t>
      </w:r>
      <w:r w:rsidRPr="002A673F">
        <w:rPr>
          <w:szCs w:val="24"/>
          <w:lang w:eastAsia="en-US"/>
        </w:rPr>
        <w:tab/>
      </w:r>
      <w:r w:rsidRPr="002A673F">
        <w:rPr>
          <w:b/>
          <w:i/>
          <w:szCs w:val="24"/>
          <w:lang w:eastAsia="en-US"/>
        </w:rPr>
        <w:t>A Comissão realiza as consultas adequadas, inclusive junto das partes interessadas pertinentes.</w:t>
      </w:r>
    </w:p>
    <w:p w14:paraId="2442D942" w14:textId="196DB2DC" w:rsidR="002A673F" w:rsidRPr="00E075CA" w:rsidRDefault="002A673F" w:rsidP="002A673F">
      <w:pPr>
        <w:spacing w:before="120" w:after="120" w:line="360" w:lineRule="auto"/>
        <w:ind w:left="850" w:hanging="850"/>
        <w:rPr>
          <w:b/>
          <w:szCs w:val="24"/>
          <w:lang w:eastAsia="en-US"/>
        </w:rPr>
      </w:pPr>
      <w:r w:rsidRPr="002A673F">
        <w:rPr>
          <w:b/>
          <w:i/>
          <w:szCs w:val="24"/>
          <w:lang w:eastAsia="en-US"/>
        </w:rPr>
        <w:t>2.</w:t>
      </w:r>
      <w:r w:rsidRPr="002A673F">
        <w:rPr>
          <w:szCs w:val="24"/>
          <w:lang w:eastAsia="en-US"/>
        </w:rPr>
        <w:tab/>
      </w:r>
      <w:r w:rsidRPr="002A673F">
        <w:rPr>
          <w:b/>
          <w:i/>
          <w:szCs w:val="24"/>
          <w:lang w:eastAsia="en-US"/>
        </w:rPr>
        <w:t>Após ter examinado todos os elementos de prova e pareceres de peritos, a Comissão fica habilitada a adotar um ato delega</w:t>
      </w:r>
      <w:r w:rsidR="009B7063">
        <w:rPr>
          <w:b/>
          <w:i/>
          <w:szCs w:val="24"/>
          <w:lang w:eastAsia="en-US"/>
        </w:rPr>
        <w:t>do em conformidade com o artigo </w:t>
      </w:r>
      <w:r w:rsidRPr="002A673F">
        <w:rPr>
          <w:b/>
          <w:i/>
          <w:szCs w:val="24"/>
          <w:lang w:eastAsia="en-US"/>
        </w:rPr>
        <w:t>67.º, a fim de estabelecer uma lista que determine quais as aplicações existentes de normas ou partes das mesmas que podem ser notificadas em conformidade com o artigo 66.º, n.º 1 ou 2. Mediante o referido ato delegado, a Comissão deve determinar igualmente que requisitos em matéria de procedimentos, notificação e publicação estabelecidos no presente regulamento se aplicam a essas normas existentes, às partes das mesmas ou às aplicações pertinentes. O ato delegado é adotado até ... [JO: inserir a data correspondente a 18 meses a contar da data de entrada em vigor do presente regulamento]. A Comissão verifica anualmente se essa lista precisa de ser atualizada.</w:t>
      </w:r>
      <w:r w:rsidRPr="002A673F">
        <w:rPr>
          <w:b/>
          <w:szCs w:val="24"/>
          <w:lang w:eastAsia="en-US"/>
        </w:rPr>
        <w:t xml:space="preserve"> [Alt. 256]</w:t>
      </w:r>
    </w:p>
    <w:p w14:paraId="66898410" w14:textId="77777777" w:rsidR="00937E3A" w:rsidRDefault="00937E3A">
      <w:pPr>
        <w:widowControl/>
        <w:rPr>
          <w:szCs w:val="24"/>
          <w:lang w:eastAsia="en-US"/>
        </w:rPr>
      </w:pPr>
      <w:r>
        <w:rPr>
          <w:szCs w:val="24"/>
          <w:lang w:eastAsia="en-US"/>
        </w:rPr>
        <w:br w:type="page"/>
      </w:r>
    </w:p>
    <w:p w14:paraId="33958A0D" w14:textId="38B08275" w:rsidR="002A673F" w:rsidRPr="002A673F" w:rsidRDefault="002A673F" w:rsidP="002A673F">
      <w:pPr>
        <w:spacing w:before="120" w:after="120" w:line="360" w:lineRule="auto"/>
        <w:jc w:val="center"/>
        <w:rPr>
          <w:szCs w:val="24"/>
          <w:lang w:eastAsia="en-US"/>
        </w:rPr>
      </w:pPr>
      <w:r w:rsidRPr="002A673F">
        <w:rPr>
          <w:szCs w:val="24"/>
          <w:lang w:eastAsia="en-US"/>
        </w:rPr>
        <w:lastRenderedPageBreak/>
        <w:t xml:space="preserve">Título X </w:t>
      </w:r>
      <w:r w:rsidRPr="002A673F">
        <w:rPr>
          <w:szCs w:val="24"/>
          <w:lang w:eastAsia="en-US"/>
        </w:rPr>
        <w:br/>
        <w:t>Disposições finais</w:t>
      </w:r>
    </w:p>
    <w:p w14:paraId="0ADDF3BC"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66.º</w:t>
      </w:r>
      <w:r w:rsidRPr="002A673F">
        <w:rPr>
          <w:szCs w:val="24"/>
          <w:lang w:eastAsia="en-US"/>
        </w:rPr>
        <w:br/>
        <w:t>Abertura do registo de uma norma existente</w:t>
      </w:r>
    </w:p>
    <w:p w14:paraId="7FDC330F"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Até</w:t>
      </w:r>
      <w:r w:rsidRPr="002A673F">
        <w:rPr>
          <w:b/>
          <w:i/>
          <w:szCs w:val="24"/>
          <w:lang w:eastAsia="en-US"/>
        </w:rPr>
        <w:t xml:space="preserve"> ...</w:t>
      </w:r>
      <w:r w:rsidRPr="002A673F">
        <w:rPr>
          <w:szCs w:val="24"/>
          <w:lang w:eastAsia="en-US"/>
        </w:rPr>
        <w:t xml:space="preserve"> [JO: inserir a data correspondente a 28 meses a contar da data de entrada em vigor do presente regulamento], os titulares de PEN essenciais a uma norma publicada antes da entrada em vigor do presente regulamento («normas existentes»), relativamente à qual tenham sido </w:t>
      </w:r>
      <w:r w:rsidRPr="002A673F">
        <w:rPr>
          <w:b/>
          <w:i/>
          <w:szCs w:val="24"/>
          <w:lang w:eastAsia="en-US"/>
        </w:rPr>
        <w:t xml:space="preserve">ou não sido </w:t>
      </w:r>
      <w:r w:rsidRPr="002A673F">
        <w:rPr>
          <w:szCs w:val="24"/>
          <w:lang w:eastAsia="en-US"/>
        </w:rPr>
        <w:t xml:space="preserve">assumidos compromissos FRAND, podem notificar o centro de competências nos termos dos artigos 14.º, 15.º e 17.º de eventuais normas existentes ou de partes das mesmas que serão determinadas no ato delegado em conformidade com o </w:t>
      </w:r>
      <w:r w:rsidRPr="002A673F">
        <w:rPr>
          <w:strike/>
          <w:szCs w:val="24"/>
          <w:lang w:eastAsia="en-US"/>
        </w:rPr>
        <w:t>n.º 4</w:t>
      </w:r>
      <w:r w:rsidRPr="002A673F">
        <w:rPr>
          <w:b/>
          <w:i/>
          <w:szCs w:val="24"/>
          <w:lang w:eastAsia="en-US"/>
        </w:rPr>
        <w:t>artigo 65.º-C</w:t>
      </w:r>
      <w:r w:rsidRPr="002A673F">
        <w:rPr>
          <w:szCs w:val="24"/>
          <w:lang w:eastAsia="en-US"/>
        </w:rPr>
        <w:t>. São aplicáveis, com as necessárias adaptações, os procedimentos e os requisitos de notificação e publicação estabelecidos no presente regulamento.</w:t>
      </w:r>
      <w:r w:rsidRPr="002A673F">
        <w:rPr>
          <w:b/>
          <w:szCs w:val="24"/>
          <w:lang w:eastAsia="en-US"/>
        </w:rPr>
        <w:t xml:space="preserve"> [Alt. 257]</w:t>
      </w:r>
    </w:p>
    <w:p w14:paraId="3CD74165" w14:textId="77777777" w:rsidR="00937E3A" w:rsidRDefault="00937E3A">
      <w:pPr>
        <w:widowControl/>
        <w:rPr>
          <w:szCs w:val="24"/>
          <w:lang w:eastAsia="en-US"/>
        </w:rPr>
      </w:pPr>
      <w:r>
        <w:rPr>
          <w:szCs w:val="24"/>
          <w:lang w:eastAsia="en-US"/>
        </w:rPr>
        <w:br w:type="page"/>
      </w:r>
    </w:p>
    <w:p w14:paraId="3D9FB664" w14:textId="449C578B"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Até ... [JO: inserir a data = 28 meses a contar da data de entrada em vigor do presente regulamento], os utilizadores de uma norma publicada antes da entrada em vigor do presente regulamento, relativamente à qual tenham sido assumidos compromissos FRAND, podem notificar, nos termos do artigo 14.º, n.º 4, o centro de competências de eventuais normas existentes ou de partes das mesmas, que serão determinadas no ato delegado em conformidade com o n.º 4. São aplicáveis, com as necessárias adaptações, os procedimentos e os requisitos de notificação e publicação estabelecidos no presente regulamento.</w:t>
      </w:r>
    </w:p>
    <w:p w14:paraId="3325028E"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Até ... [JO: inserir a data = 30 meses a contar da data de entrada em vigor do presente regulamento], um titular ou um utilizador de uma PEN pode solicitar um parecer de peritos nos termos do artigo 18.º no que respeita às PEN essenciais a uma norma existente ou a partes da mesma, que serão determinadas no ato delegado em conformidade com o n.º 4. São aplicáveis, com as necessárias adaptações, os requisitos e os procedimentos estabelecidos no artigo 18.º.</w:t>
      </w:r>
    </w:p>
    <w:p w14:paraId="4803C6FD" w14:textId="77777777" w:rsidR="00937E3A" w:rsidRDefault="00937E3A">
      <w:pPr>
        <w:widowControl/>
        <w:rPr>
          <w:strike/>
          <w:szCs w:val="24"/>
          <w:lang w:eastAsia="en-US"/>
        </w:rPr>
      </w:pPr>
      <w:r>
        <w:rPr>
          <w:strike/>
          <w:szCs w:val="24"/>
          <w:lang w:eastAsia="en-US"/>
        </w:rPr>
        <w:br w:type="page"/>
      </w:r>
    </w:p>
    <w:p w14:paraId="2DDFCE77" w14:textId="28F487A0" w:rsidR="002A673F" w:rsidRPr="00E075CA" w:rsidRDefault="002A673F" w:rsidP="002A673F">
      <w:pPr>
        <w:spacing w:before="120" w:after="120" w:line="360" w:lineRule="auto"/>
        <w:ind w:left="850" w:hanging="850"/>
        <w:rPr>
          <w:b/>
          <w:szCs w:val="24"/>
          <w:lang w:eastAsia="en-US"/>
        </w:rPr>
      </w:pPr>
      <w:r w:rsidRPr="002A673F">
        <w:rPr>
          <w:strike/>
          <w:szCs w:val="24"/>
          <w:lang w:eastAsia="en-US"/>
        </w:rPr>
        <w:lastRenderedPageBreak/>
        <w:t>4.</w:t>
      </w:r>
      <w:r w:rsidRPr="00E075CA">
        <w:rPr>
          <w:strike/>
          <w:szCs w:val="24"/>
          <w:lang w:eastAsia="en-US"/>
        </w:rPr>
        <w:tab/>
      </w:r>
      <w:r w:rsidRPr="002A673F">
        <w:rPr>
          <w:strike/>
          <w:szCs w:val="24"/>
          <w:lang w:eastAsia="en-US"/>
        </w:rPr>
        <w:t>Caso o funcionamento do mercado interno seja gravemente distorcido devido a ineficiências na concessão de licenças de PEN, a Comissão deve, após um processo de consulta adequado, por meio de um ato delegado nos termos do artigo 67.º, determinar quais das normas existentes, partes das mesmas ou casos de utilização pertinentes podem ser notificados em conformidade com o n.º 1 ou com o n.º 2, ou para as quais pode ser solicitado um parecer de peritos em conformidade com o n.º 3. O ato delegado deve determinar igualmente quais os procedimentos e requisitos de notificação e publicação estabelecidos no presente regulamento que se aplicam a essas normas existentes. O ato delegado é adotado no prazo de [JO: inserir a data = 18 meses a contar da data de entrada em vigor do presente regulamento].</w:t>
      </w:r>
      <w:r w:rsidRPr="002A673F">
        <w:rPr>
          <w:b/>
          <w:szCs w:val="24"/>
          <w:lang w:eastAsia="en-US"/>
        </w:rPr>
        <w:t xml:space="preserve"> [Alt. 258]</w:t>
      </w:r>
    </w:p>
    <w:p w14:paraId="7E006CA4" w14:textId="59DA8807" w:rsidR="002A673F" w:rsidRPr="002A673F" w:rsidRDefault="002A673F" w:rsidP="002A673F">
      <w:pPr>
        <w:spacing w:before="120" w:after="120" w:line="360" w:lineRule="auto"/>
        <w:ind w:left="850" w:hanging="850"/>
        <w:rPr>
          <w:szCs w:val="24"/>
          <w:lang w:eastAsia="en-US"/>
        </w:rPr>
      </w:pPr>
      <w:r w:rsidRPr="002A673F">
        <w:rPr>
          <w:szCs w:val="24"/>
          <w:lang w:eastAsia="en-US"/>
        </w:rPr>
        <w:t>5.</w:t>
      </w:r>
      <w:r w:rsidRPr="002A673F">
        <w:rPr>
          <w:szCs w:val="24"/>
          <w:lang w:eastAsia="en-US"/>
        </w:rPr>
        <w:tab/>
        <w:t xml:space="preserve">O presente artigo é aplicável sem prejuízo de quaisquer atos concluídos e direitos adquiridos antes de </w:t>
      </w:r>
      <w:r w:rsidR="009B7063">
        <w:rPr>
          <w:szCs w:val="24"/>
          <w:lang w:eastAsia="en-US"/>
        </w:rPr>
        <w:t xml:space="preserve">... </w:t>
      </w:r>
      <w:r w:rsidRPr="002A673F">
        <w:rPr>
          <w:szCs w:val="24"/>
          <w:lang w:eastAsia="en-US"/>
        </w:rPr>
        <w:t>[SP: inserir a data = 28 meses a contar da data de entrada em vigor do presente regulamento].</w:t>
      </w:r>
    </w:p>
    <w:p w14:paraId="7154BF5E"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67.º</w:t>
      </w:r>
      <w:r w:rsidRPr="002A673F">
        <w:rPr>
          <w:szCs w:val="24"/>
          <w:lang w:eastAsia="en-US"/>
        </w:rPr>
        <w:br/>
        <w:t>Exercício da delegação de poderes</w:t>
      </w:r>
    </w:p>
    <w:p w14:paraId="5B3E79A6"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O poder de adotar atos delegados é conferido à Comissão nas condições estabelecidas no presente artigo.</w:t>
      </w:r>
    </w:p>
    <w:p w14:paraId="11BF9ACC" w14:textId="77777777" w:rsidR="00937E3A" w:rsidRDefault="00937E3A">
      <w:pPr>
        <w:widowControl/>
        <w:rPr>
          <w:szCs w:val="24"/>
          <w:lang w:eastAsia="en-US"/>
        </w:rPr>
      </w:pPr>
      <w:r>
        <w:rPr>
          <w:szCs w:val="24"/>
          <w:lang w:eastAsia="en-US"/>
        </w:rPr>
        <w:br w:type="page"/>
      </w:r>
    </w:p>
    <w:p w14:paraId="06CDC2EE" w14:textId="53F5A4C9"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2.</w:t>
      </w:r>
      <w:r w:rsidRPr="002A673F">
        <w:rPr>
          <w:szCs w:val="24"/>
          <w:lang w:eastAsia="en-US"/>
        </w:rPr>
        <w:tab/>
        <w:t xml:space="preserve">O poder de adotar atos delegados referido no artigo </w:t>
      </w:r>
      <w:r w:rsidRPr="002A673F">
        <w:rPr>
          <w:strike/>
          <w:szCs w:val="24"/>
          <w:lang w:eastAsia="en-US"/>
        </w:rPr>
        <w:t>1.º</w:t>
      </w:r>
      <w:r w:rsidRPr="002A673F">
        <w:rPr>
          <w:b/>
          <w:i/>
          <w:szCs w:val="24"/>
          <w:lang w:eastAsia="en-US"/>
        </w:rPr>
        <w:t>4.º</w:t>
      </w:r>
      <w:r w:rsidRPr="002A673F">
        <w:rPr>
          <w:szCs w:val="24"/>
          <w:lang w:eastAsia="en-US"/>
        </w:rPr>
        <w:t xml:space="preserve">, n.º </w:t>
      </w:r>
      <w:r w:rsidRPr="002A673F">
        <w:rPr>
          <w:strike/>
          <w:szCs w:val="24"/>
          <w:lang w:eastAsia="en-US"/>
        </w:rPr>
        <w:t>4</w:t>
      </w:r>
      <w:r w:rsidRPr="002A673F">
        <w:rPr>
          <w:b/>
          <w:i/>
          <w:szCs w:val="24"/>
          <w:lang w:eastAsia="en-US"/>
        </w:rPr>
        <w:t>5</w:t>
      </w:r>
      <w:r w:rsidRPr="002A673F">
        <w:rPr>
          <w:szCs w:val="24"/>
          <w:lang w:eastAsia="en-US"/>
        </w:rPr>
        <w:t xml:space="preserve">, no artigo </w:t>
      </w:r>
      <w:r w:rsidRPr="002A673F">
        <w:rPr>
          <w:strike/>
          <w:szCs w:val="24"/>
          <w:lang w:eastAsia="en-US"/>
        </w:rPr>
        <w:t>4.º, n.º 5,</w:t>
      </w:r>
      <w:r w:rsidRPr="002A673F">
        <w:rPr>
          <w:b/>
          <w:i/>
          <w:szCs w:val="24"/>
          <w:lang w:eastAsia="en-US"/>
        </w:rPr>
        <w:t>65.º-B</w:t>
      </w:r>
      <w:r w:rsidRPr="002A673F">
        <w:rPr>
          <w:szCs w:val="24"/>
          <w:lang w:eastAsia="en-US"/>
        </w:rPr>
        <w:t xml:space="preserve"> e no artigo </w:t>
      </w:r>
      <w:r w:rsidRPr="002A673F">
        <w:rPr>
          <w:strike/>
          <w:szCs w:val="24"/>
          <w:lang w:eastAsia="en-US"/>
        </w:rPr>
        <w:t>66.º, n.º 4,</w:t>
      </w:r>
      <w:r w:rsidRPr="002A673F">
        <w:rPr>
          <w:b/>
          <w:i/>
          <w:szCs w:val="24"/>
          <w:lang w:eastAsia="en-US"/>
        </w:rPr>
        <w:t>65.º-C</w:t>
      </w:r>
      <w:r w:rsidRPr="002A673F">
        <w:rPr>
          <w:szCs w:val="24"/>
          <w:lang w:eastAsia="en-US"/>
        </w:rPr>
        <w:t xml:space="preserve"> é conferido à Comissão por tempo indeterminado a contar da data de entrada em vigor do presente regulamento.</w:t>
      </w:r>
      <w:r w:rsidRPr="002A673F">
        <w:rPr>
          <w:b/>
          <w:szCs w:val="24"/>
          <w:lang w:eastAsia="en-US"/>
        </w:rPr>
        <w:t xml:space="preserve"> [Alt. 259]</w:t>
      </w:r>
    </w:p>
    <w:p w14:paraId="1EBBCDF9"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 xml:space="preserve">A delegação de poderes referida no artigo </w:t>
      </w:r>
      <w:r w:rsidRPr="002A673F">
        <w:rPr>
          <w:strike/>
          <w:szCs w:val="24"/>
          <w:lang w:eastAsia="en-US"/>
        </w:rPr>
        <w:t>1.º</w:t>
      </w:r>
      <w:r w:rsidRPr="002A673F">
        <w:rPr>
          <w:b/>
          <w:i/>
          <w:szCs w:val="24"/>
          <w:lang w:eastAsia="en-US"/>
        </w:rPr>
        <w:t>4.º</w:t>
      </w:r>
      <w:r w:rsidRPr="002A673F">
        <w:rPr>
          <w:szCs w:val="24"/>
          <w:lang w:eastAsia="en-US"/>
        </w:rPr>
        <w:t xml:space="preserve">, n.º </w:t>
      </w:r>
      <w:r w:rsidRPr="002A673F">
        <w:rPr>
          <w:strike/>
          <w:szCs w:val="24"/>
          <w:lang w:eastAsia="en-US"/>
        </w:rPr>
        <w:t>4</w:t>
      </w:r>
      <w:r w:rsidRPr="002A673F">
        <w:rPr>
          <w:b/>
          <w:i/>
          <w:szCs w:val="24"/>
          <w:lang w:eastAsia="en-US"/>
        </w:rPr>
        <w:t>5</w:t>
      </w:r>
      <w:r w:rsidRPr="002A673F">
        <w:rPr>
          <w:szCs w:val="24"/>
          <w:lang w:eastAsia="en-US"/>
        </w:rPr>
        <w:t xml:space="preserve">, no artigo </w:t>
      </w:r>
      <w:r w:rsidRPr="002A673F">
        <w:rPr>
          <w:strike/>
          <w:szCs w:val="24"/>
          <w:lang w:eastAsia="en-US"/>
        </w:rPr>
        <w:t>4.º, n.º 5,</w:t>
      </w:r>
      <w:r w:rsidRPr="002A673F">
        <w:rPr>
          <w:b/>
          <w:i/>
          <w:szCs w:val="24"/>
          <w:lang w:eastAsia="en-US"/>
        </w:rPr>
        <w:t>65.º-B</w:t>
      </w:r>
      <w:r w:rsidRPr="002A673F">
        <w:rPr>
          <w:szCs w:val="24"/>
          <w:lang w:eastAsia="en-US"/>
        </w:rPr>
        <w:t xml:space="preserve"> e no artigo </w:t>
      </w:r>
      <w:r w:rsidRPr="002A673F">
        <w:rPr>
          <w:strike/>
          <w:szCs w:val="24"/>
          <w:lang w:eastAsia="en-US"/>
        </w:rPr>
        <w:t>66.º, n.º 4,</w:t>
      </w:r>
      <w:r w:rsidRPr="002A673F">
        <w:rPr>
          <w:b/>
          <w:i/>
          <w:szCs w:val="24"/>
          <w:lang w:eastAsia="en-US"/>
        </w:rPr>
        <w:t>65.º-C</w:t>
      </w:r>
      <w:r w:rsidRPr="002A673F">
        <w:rPr>
          <w:szCs w:val="24"/>
          <w:lang w:eastAsia="en-US"/>
        </w:rPr>
        <w:t xml:space="preserve"> pode ser revogada em qualquer momento pelo Parlamento Europeu ou pelo Conselho. A decisão de revogação põe termo à delegação dos poderes nela especificados. A decisão de revogação produz efeitos a partir do dia seguinte ao da sua publicação no </w:t>
      </w:r>
      <w:r w:rsidRPr="009B7063">
        <w:rPr>
          <w:i/>
          <w:szCs w:val="24"/>
          <w:lang w:eastAsia="en-US"/>
        </w:rPr>
        <w:t>Jornal Oficial da União Europeia</w:t>
      </w:r>
      <w:r w:rsidRPr="002A673F">
        <w:rPr>
          <w:szCs w:val="24"/>
          <w:lang w:eastAsia="en-US"/>
        </w:rPr>
        <w:t xml:space="preserve"> ou de uma data posterior nela especificada. A decisão de revogação não afeta a validade dos atos delegados já em vigor.</w:t>
      </w:r>
      <w:r w:rsidRPr="002A673F">
        <w:rPr>
          <w:b/>
          <w:szCs w:val="24"/>
          <w:lang w:eastAsia="en-US"/>
        </w:rPr>
        <w:t xml:space="preserve"> [Alt. 260]</w:t>
      </w:r>
    </w:p>
    <w:p w14:paraId="25D99510"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4.</w:t>
      </w:r>
      <w:r w:rsidRPr="002A673F">
        <w:rPr>
          <w:szCs w:val="24"/>
          <w:lang w:eastAsia="en-US"/>
        </w:rPr>
        <w:tab/>
        <w:t>Antes de adotar um ato delegado, a Comissão consulta os peritos designados por cada Estado-Membro de acordo com os princípios estabelecidos no Acordo Interinstitucional, de 13 de abril de 2016, sobre legislar melhor.</w:t>
      </w:r>
    </w:p>
    <w:p w14:paraId="273844DB"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5.</w:t>
      </w:r>
      <w:r w:rsidRPr="002A673F">
        <w:rPr>
          <w:szCs w:val="24"/>
          <w:lang w:eastAsia="en-US"/>
        </w:rPr>
        <w:tab/>
        <w:t>Assim que adotar um ato delegado, a Comissão notifica-o simultaneamente ao Parlamento Europeu e ao Conselho.</w:t>
      </w:r>
    </w:p>
    <w:p w14:paraId="33858146" w14:textId="77777777" w:rsidR="00937E3A" w:rsidRDefault="00937E3A">
      <w:pPr>
        <w:widowControl/>
        <w:rPr>
          <w:szCs w:val="24"/>
          <w:lang w:eastAsia="en-US"/>
        </w:rPr>
      </w:pPr>
      <w:r>
        <w:rPr>
          <w:szCs w:val="24"/>
          <w:lang w:eastAsia="en-US"/>
        </w:rPr>
        <w:br w:type="page"/>
      </w:r>
    </w:p>
    <w:p w14:paraId="34B64852" w14:textId="2FA16AB5" w:rsidR="002A673F" w:rsidRPr="00E075CA" w:rsidRDefault="002A673F" w:rsidP="002A673F">
      <w:pPr>
        <w:spacing w:before="120" w:after="120" w:line="360" w:lineRule="auto"/>
        <w:ind w:left="850" w:hanging="850"/>
        <w:rPr>
          <w:b/>
          <w:szCs w:val="24"/>
          <w:lang w:eastAsia="en-US"/>
        </w:rPr>
      </w:pPr>
      <w:r w:rsidRPr="002A673F">
        <w:rPr>
          <w:szCs w:val="24"/>
          <w:lang w:eastAsia="en-US"/>
        </w:rPr>
        <w:lastRenderedPageBreak/>
        <w:t>6.</w:t>
      </w:r>
      <w:r w:rsidRPr="002A673F">
        <w:rPr>
          <w:szCs w:val="24"/>
          <w:lang w:eastAsia="en-US"/>
        </w:rPr>
        <w:tab/>
      </w:r>
      <w:r w:rsidRPr="002A673F">
        <w:rPr>
          <w:strike/>
          <w:szCs w:val="24"/>
          <w:lang w:eastAsia="en-US"/>
        </w:rPr>
        <w:t xml:space="preserve">Os atos delegados </w:t>
      </w:r>
      <w:proofErr w:type="spellStart"/>
      <w:r w:rsidRPr="002A673F">
        <w:rPr>
          <w:strike/>
          <w:szCs w:val="24"/>
          <w:lang w:eastAsia="en-US"/>
        </w:rPr>
        <w:t>adotados</w:t>
      </w:r>
      <w:r w:rsidRPr="002A673F">
        <w:rPr>
          <w:b/>
          <w:i/>
          <w:szCs w:val="24"/>
          <w:lang w:eastAsia="en-US"/>
        </w:rPr>
        <w:t>Um</w:t>
      </w:r>
      <w:proofErr w:type="spellEnd"/>
      <w:r w:rsidRPr="002A673F">
        <w:rPr>
          <w:b/>
          <w:i/>
          <w:szCs w:val="24"/>
          <w:lang w:eastAsia="en-US"/>
        </w:rPr>
        <w:t xml:space="preserve"> ato delegado adotado</w:t>
      </w:r>
      <w:r w:rsidRPr="002A673F">
        <w:rPr>
          <w:szCs w:val="24"/>
          <w:lang w:eastAsia="en-US"/>
        </w:rPr>
        <w:t xml:space="preserve"> nos termos</w:t>
      </w:r>
      <w:r w:rsidRPr="002A673F">
        <w:rPr>
          <w:strike/>
          <w:szCs w:val="24"/>
          <w:lang w:eastAsia="en-US"/>
        </w:rPr>
        <w:t xml:space="preserve"> do artigo 1.º, n.º 4,</w:t>
      </w:r>
      <w:r w:rsidRPr="002A673F">
        <w:rPr>
          <w:szCs w:val="24"/>
          <w:lang w:eastAsia="en-US"/>
        </w:rPr>
        <w:t xml:space="preserve"> do artigo 4.º, n.º 5, </w:t>
      </w:r>
      <w:r w:rsidRPr="002A673F">
        <w:rPr>
          <w:b/>
          <w:i/>
          <w:szCs w:val="24"/>
          <w:lang w:eastAsia="en-US"/>
        </w:rPr>
        <w:t xml:space="preserve">do artigo 65.º-B </w:t>
      </w:r>
      <w:r w:rsidRPr="002A673F">
        <w:rPr>
          <w:szCs w:val="24"/>
          <w:lang w:eastAsia="en-US"/>
        </w:rPr>
        <w:t xml:space="preserve">e do artigo </w:t>
      </w:r>
      <w:r w:rsidRPr="002A673F">
        <w:rPr>
          <w:strike/>
          <w:szCs w:val="24"/>
          <w:lang w:eastAsia="en-US"/>
        </w:rPr>
        <w:t>66.º, n.º 4, só entram</w:t>
      </w:r>
      <w:r w:rsidRPr="002A673F">
        <w:rPr>
          <w:b/>
          <w:i/>
          <w:szCs w:val="24"/>
          <w:lang w:eastAsia="en-US"/>
        </w:rPr>
        <w:t>65.º-C</w:t>
      </w:r>
      <w:r w:rsidR="009B7063">
        <w:rPr>
          <w:b/>
          <w:i/>
          <w:szCs w:val="24"/>
          <w:lang w:eastAsia="en-US"/>
        </w:rPr>
        <w:t xml:space="preserve"> </w:t>
      </w:r>
      <w:r w:rsidRPr="002A673F">
        <w:rPr>
          <w:b/>
          <w:i/>
          <w:szCs w:val="24"/>
          <w:lang w:eastAsia="en-US"/>
        </w:rPr>
        <w:t>só entra</w:t>
      </w:r>
      <w:r w:rsidRPr="002A673F">
        <w:rPr>
          <w:szCs w:val="24"/>
          <w:lang w:eastAsia="en-US"/>
        </w:rPr>
        <w:t xml:space="preserve"> em vigor se não tiverem sido formuladas objeções pelo Parlamento Europeu ou pelo Conselho no prazo de dois meses a contar da notificação </w:t>
      </w:r>
      <w:proofErr w:type="spellStart"/>
      <w:r w:rsidRPr="002A673F">
        <w:rPr>
          <w:strike/>
          <w:szCs w:val="24"/>
          <w:lang w:eastAsia="en-US"/>
        </w:rPr>
        <w:t>do</w:t>
      </w:r>
      <w:r w:rsidRPr="002A673F">
        <w:rPr>
          <w:b/>
          <w:i/>
          <w:szCs w:val="24"/>
          <w:lang w:eastAsia="en-US"/>
        </w:rPr>
        <w:t>desse</w:t>
      </w:r>
      <w:proofErr w:type="spellEnd"/>
      <w:r w:rsidRPr="002A673F">
        <w:rPr>
          <w:szCs w:val="24"/>
          <w:lang w:eastAsia="en-US"/>
        </w:rPr>
        <w:t xml:space="preserve"> ato ao Parlamento Europeu e ao Conselho, ou se, antes do termo desse prazo, o Parlamento Europeu e o Conselho tiverem informado a Comissão de que não têm objeções a formular. O referido prazo é prorrogável por dois meses por iniciativa do Parlamento Europeu ou do Conselho.</w:t>
      </w:r>
      <w:r w:rsidRPr="002A673F">
        <w:rPr>
          <w:b/>
          <w:szCs w:val="24"/>
          <w:lang w:eastAsia="en-US"/>
        </w:rPr>
        <w:t xml:space="preserve"> [Alt. 261]</w:t>
      </w:r>
    </w:p>
    <w:p w14:paraId="5001458F"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68.º</w:t>
      </w:r>
      <w:r w:rsidRPr="002A673F">
        <w:rPr>
          <w:szCs w:val="24"/>
          <w:lang w:eastAsia="en-US"/>
        </w:rPr>
        <w:br/>
        <w:t xml:space="preserve">Procedimento de comité </w:t>
      </w:r>
    </w:p>
    <w:p w14:paraId="5BD65BA2"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A Comissão é assistida por um comité. Esse comité é um comité na aceção do Regulamento (UE) n.º 182/2011.</w:t>
      </w:r>
    </w:p>
    <w:p w14:paraId="49864A24"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Caso se faça referência ao presente número, aplica-se o artigo 5.º do Regulamento (UE) n.º 182/2011.</w:t>
      </w:r>
    </w:p>
    <w:p w14:paraId="29C22CD0" w14:textId="77777777" w:rsidR="00937E3A" w:rsidRDefault="00937E3A">
      <w:pPr>
        <w:widowControl/>
        <w:rPr>
          <w:szCs w:val="24"/>
          <w:lang w:eastAsia="en-US"/>
        </w:rPr>
      </w:pPr>
      <w:r>
        <w:rPr>
          <w:szCs w:val="24"/>
          <w:lang w:eastAsia="en-US"/>
        </w:rPr>
        <w:br w:type="page"/>
      </w:r>
    </w:p>
    <w:p w14:paraId="3FD71D52" w14:textId="23BD21B0"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69.º</w:t>
      </w:r>
      <w:r w:rsidRPr="002A673F">
        <w:rPr>
          <w:szCs w:val="24"/>
          <w:lang w:eastAsia="en-US"/>
        </w:rPr>
        <w:br/>
        <w:t>Orientações da Comissão</w:t>
      </w:r>
    </w:p>
    <w:p w14:paraId="3A8CAF40" w14:textId="77777777" w:rsidR="002A673F" w:rsidRPr="002A673F" w:rsidRDefault="002A673F" w:rsidP="002A673F">
      <w:pPr>
        <w:spacing w:before="120" w:after="120" w:line="360" w:lineRule="auto"/>
        <w:rPr>
          <w:szCs w:val="24"/>
          <w:lang w:eastAsia="en-US"/>
        </w:rPr>
      </w:pPr>
      <w:r w:rsidRPr="002A673F">
        <w:rPr>
          <w:szCs w:val="24"/>
          <w:lang w:eastAsia="en-US"/>
        </w:rPr>
        <w:t>A Comissão pode emitir orientações ao abrigo do presente regulamento sobre matérias abrangidas pelo seu âmbito de aplicação, excluindo matérias relacionadas com a interpretação do artigo 101.º e do artigo 102.º do TFUE.</w:t>
      </w:r>
    </w:p>
    <w:p w14:paraId="422C09A2"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70.º</w:t>
      </w:r>
      <w:r w:rsidRPr="002A673F">
        <w:rPr>
          <w:szCs w:val="24"/>
          <w:lang w:eastAsia="en-US"/>
        </w:rPr>
        <w:br/>
        <w:t>Avaliação</w:t>
      </w:r>
    </w:p>
    <w:p w14:paraId="2E7A6E75"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1.</w:t>
      </w:r>
      <w:r w:rsidRPr="002A673F">
        <w:rPr>
          <w:szCs w:val="24"/>
          <w:lang w:eastAsia="en-US"/>
        </w:rPr>
        <w:tab/>
        <w:t>Até</w:t>
      </w:r>
      <w:r w:rsidRPr="002A673F">
        <w:rPr>
          <w:b/>
          <w:i/>
          <w:szCs w:val="24"/>
          <w:lang w:eastAsia="en-US"/>
        </w:rPr>
        <w:t xml:space="preserve"> ...</w:t>
      </w:r>
      <w:r w:rsidRPr="002A673F">
        <w:rPr>
          <w:szCs w:val="24"/>
          <w:lang w:eastAsia="en-US"/>
        </w:rPr>
        <w:t xml:space="preserve"> [JO: inserir a data = cinco anos a contar da data de entrada em vigor do presente regulamento]</w:t>
      </w:r>
      <w:r w:rsidRPr="002A673F">
        <w:rPr>
          <w:b/>
          <w:i/>
          <w:szCs w:val="24"/>
          <w:lang w:eastAsia="en-US"/>
        </w:rPr>
        <w:t xml:space="preserve"> e, posteriormente, de três em três anos</w:t>
      </w:r>
      <w:r w:rsidRPr="002A673F">
        <w:rPr>
          <w:szCs w:val="24"/>
          <w:lang w:eastAsia="en-US"/>
        </w:rPr>
        <w:t xml:space="preserve">, a Comissão avalia a </w:t>
      </w:r>
      <w:r w:rsidRPr="002A673F">
        <w:rPr>
          <w:strike/>
          <w:szCs w:val="24"/>
          <w:lang w:eastAsia="en-US"/>
        </w:rPr>
        <w:t xml:space="preserve">eficácia e a eficiência do sistema de registo de PEN e de verificação do caráter </w:t>
      </w:r>
      <w:proofErr w:type="spellStart"/>
      <w:r w:rsidRPr="002A673F">
        <w:rPr>
          <w:strike/>
          <w:szCs w:val="24"/>
          <w:lang w:eastAsia="en-US"/>
        </w:rPr>
        <w:t>essencial.</w:t>
      </w:r>
      <w:r w:rsidRPr="002A673F">
        <w:rPr>
          <w:b/>
          <w:i/>
          <w:szCs w:val="24"/>
          <w:lang w:eastAsia="en-US"/>
        </w:rPr>
        <w:t>aplicação</w:t>
      </w:r>
      <w:proofErr w:type="spellEnd"/>
      <w:r w:rsidRPr="002A673F">
        <w:rPr>
          <w:b/>
          <w:i/>
          <w:szCs w:val="24"/>
          <w:lang w:eastAsia="en-US"/>
        </w:rPr>
        <w:t xml:space="preserve"> do presente regulamento. A avaliação deve analisar o funcionamento do presente regulamento, nomeadamente:</w:t>
      </w:r>
      <w:r w:rsidRPr="002A673F">
        <w:rPr>
          <w:b/>
          <w:szCs w:val="24"/>
          <w:lang w:eastAsia="en-US"/>
        </w:rPr>
        <w:t xml:space="preserve"> [Alt. 262]</w:t>
      </w:r>
    </w:p>
    <w:p w14:paraId="29EC59D8" w14:textId="77777777" w:rsidR="002A673F" w:rsidRPr="00E075CA" w:rsidRDefault="002A673F" w:rsidP="002A673F">
      <w:pPr>
        <w:spacing w:before="120" w:after="120" w:line="360" w:lineRule="auto"/>
        <w:ind w:left="1416" w:hanging="566"/>
        <w:rPr>
          <w:b/>
          <w:szCs w:val="24"/>
          <w:lang w:eastAsia="en-US"/>
        </w:rPr>
      </w:pPr>
      <w:r w:rsidRPr="002A673F">
        <w:rPr>
          <w:b/>
          <w:i/>
          <w:szCs w:val="24"/>
          <w:lang w:eastAsia="en-US"/>
        </w:rPr>
        <w:t>a)</w:t>
      </w:r>
      <w:r w:rsidRPr="002A673F">
        <w:rPr>
          <w:szCs w:val="24"/>
          <w:lang w:eastAsia="en-US"/>
        </w:rPr>
        <w:tab/>
      </w:r>
      <w:r w:rsidRPr="002A673F">
        <w:rPr>
          <w:b/>
          <w:i/>
          <w:szCs w:val="24"/>
          <w:lang w:eastAsia="en-US"/>
        </w:rPr>
        <w:t>O impacto, a eficácia e a eficiência do centro de competências e dos seus métodos de trabalho;</w:t>
      </w:r>
      <w:r w:rsidRPr="002A673F">
        <w:rPr>
          <w:b/>
          <w:szCs w:val="24"/>
          <w:lang w:eastAsia="en-US"/>
        </w:rPr>
        <w:t xml:space="preserve"> [Alt. 263]</w:t>
      </w:r>
    </w:p>
    <w:p w14:paraId="6B3F770D" w14:textId="77777777" w:rsidR="002A673F" w:rsidRPr="00E075CA" w:rsidRDefault="002A673F" w:rsidP="002A673F">
      <w:pPr>
        <w:spacing w:before="120" w:after="120" w:line="360" w:lineRule="auto"/>
        <w:ind w:left="1416" w:hanging="566"/>
        <w:rPr>
          <w:b/>
          <w:szCs w:val="24"/>
          <w:lang w:eastAsia="en-US"/>
        </w:rPr>
      </w:pPr>
      <w:r w:rsidRPr="002A673F">
        <w:rPr>
          <w:b/>
          <w:i/>
          <w:szCs w:val="24"/>
          <w:lang w:eastAsia="en-US"/>
        </w:rPr>
        <w:t>b)</w:t>
      </w:r>
      <w:r w:rsidRPr="002A673F">
        <w:rPr>
          <w:szCs w:val="24"/>
          <w:lang w:eastAsia="en-US"/>
        </w:rPr>
        <w:tab/>
      </w:r>
      <w:r w:rsidRPr="002A673F">
        <w:rPr>
          <w:b/>
          <w:i/>
          <w:szCs w:val="24"/>
          <w:lang w:eastAsia="en-US"/>
        </w:rPr>
        <w:t>A eficácia e a eficiência do sistema de registo de PEN e de verificação do caráter essencial; e</w:t>
      </w:r>
      <w:r w:rsidRPr="002A673F">
        <w:rPr>
          <w:b/>
          <w:szCs w:val="24"/>
          <w:lang w:eastAsia="en-US"/>
        </w:rPr>
        <w:t xml:space="preserve"> [Alt. 264]</w:t>
      </w:r>
    </w:p>
    <w:p w14:paraId="78A676A9" w14:textId="77777777" w:rsidR="00937E3A" w:rsidRDefault="00937E3A">
      <w:pPr>
        <w:widowControl/>
        <w:rPr>
          <w:b/>
          <w:i/>
          <w:szCs w:val="24"/>
          <w:lang w:eastAsia="en-US"/>
        </w:rPr>
      </w:pPr>
      <w:r>
        <w:rPr>
          <w:b/>
          <w:i/>
          <w:szCs w:val="24"/>
          <w:lang w:eastAsia="en-US"/>
        </w:rPr>
        <w:br w:type="page"/>
      </w:r>
    </w:p>
    <w:p w14:paraId="7CC727C7" w14:textId="193DF32B" w:rsidR="002A673F" w:rsidRPr="00E075CA" w:rsidRDefault="002A673F" w:rsidP="002A673F">
      <w:pPr>
        <w:spacing w:before="120" w:after="120" w:line="360" w:lineRule="auto"/>
        <w:ind w:left="1416" w:hanging="566"/>
        <w:rPr>
          <w:b/>
          <w:szCs w:val="24"/>
          <w:lang w:eastAsia="en-US"/>
        </w:rPr>
      </w:pPr>
      <w:r w:rsidRPr="002A673F">
        <w:rPr>
          <w:b/>
          <w:i/>
          <w:szCs w:val="24"/>
          <w:lang w:eastAsia="en-US"/>
        </w:rPr>
        <w:lastRenderedPageBreak/>
        <w:t>c)</w:t>
      </w:r>
      <w:r w:rsidRPr="002A673F">
        <w:rPr>
          <w:szCs w:val="24"/>
          <w:lang w:eastAsia="en-US"/>
        </w:rPr>
        <w:tab/>
      </w:r>
      <w:r w:rsidRPr="002A673F">
        <w:rPr>
          <w:b/>
          <w:i/>
          <w:szCs w:val="24"/>
          <w:lang w:eastAsia="en-US"/>
        </w:rPr>
        <w:t xml:space="preserve">O impacto que o sistema de verificação do caráter essencial, a determinação dos </w:t>
      </w:r>
      <w:r w:rsidRPr="00E075CA">
        <w:rPr>
          <w:b/>
          <w:szCs w:val="24"/>
          <w:lang w:eastAsia="en-US"/>
        </w:rPr>
        <w:t>royalties</w:t>
      </w:r>
      <w:r w:rsidRPr="002A673F">
        <w:rPr>
          <w:b/>
          <w:i/>
          <w:szCs w:val="24"/>
          <w:lang w:eastAsia="en-US"/>
        </w:rPr>
        <w:t xml:space="preserve"> agregados e o sistema de determinação FRAND têm na competitividade dos titulares de PEN da União à escala mundial, bem como na inovação na União.</w:t>
      </w:r>
      <w:r w:rsidRPr="002A673F">
        <w:rPr>
          <w:b/>
          <w:szCs w:val="24"/>
          <w:lang w:eastAsia="en-US"/>
        </w:rPr>
        <w:t xml:space="preserve"> [Alt. 265]</w:t>
      </w:r>
    </w:p>
    <w:p w14:paraId="7F4DF972" w14:textId="77777777" w:rsidR="002A673F" w:rsidRPr="00E075CA" w:rsidRDefault="002A673F" w:rsidP="002A673F">
      <w:pPr>
        <w:spacing w:before="120" w:after="120" w:line="360" w:lineRule="auto"/>
        <w:ind w:left="850" w:hanging="850"/>
        <w:rPr>
          <w:b/>
          <w:szCs w:val="24"/>
          <w:lang w:eastAsia="en-US"/>
        </w:rPr>
      </w:pPr>
      <w:r w:rsidRPr="002A673F">
        <w:rPr>
          <w:strike/>
          <w:szCs w:val="24"/>
          <w:lang w:eastAsia="en-US"/>
        </w:rPr>
        <w:t>2.</w:t>
      </w:r>
      <w:r w:rsidRPr="009B7063">
        <w:rPr>
          <w:strike/>
          <w:szCs w:val="24"/>
          <w:lang w:eastAsia="en-US"/>
        </w:rPr>
        <w:tab/>
      </w:r>
      <w:r w:rsidRPr="002A673F">
        <w:rPr>
          <w:strike/>
          <w:szCs w:val="24"/>
          <w:lang w:eastAsia="en-US"/>
        </w:rPr>
        <w:t>Até [JO: inserir a data = oito anos a contar da data de entrada em vigor do presente regulamento] e, posteriormente, de cinco em cinco anos, a Comissão avalia a aplicação do presente regulamento. A avaliação incide sobre o funcionamento do presente regulamento, em especial, o impacto, a eficácia e a eficiência do centro de competências e dos seus métodos de trabalho.</w:t>
      </w:r>
      <w:r w:rsidRPr="002A673F">
        <w:rPr>
          <w:b/>
          <w:szCs w:val="24"/>
          <w:lang w:eastAsia="en-US"/>
        </w:rPr>
        <w:t xml:space="preserve"> [Alt. 266]</w:t>
      </w:r>
    </w:p>
    <w:p w14:paraId="6D6789DD"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3.</w:t>
      </w:r>
      <w:r w:rsidRPr="002A673F">
        <w:rPr>
          <w:szCs w:val="24"/>
          <w:lang w:eastAsia="en-US"/>
        </w:rPr>
        <w:tab/>
        <w:t xml:space="preserve">A Comissão deve consultar o EUIPO e as partes interessadas ao elaborar os relatórios de avaliação a que se </w:t>
      </w:r>
      <w:r w:rsidRPr="002A673F">
        <w:rPr>
          <w:strike/>
          <w:szCs w:val="24"/>
          <w:lang w:eastAsia="en-US"/>
        </w:rPr>
        <w:t xml:space="preserve">referem os </w:t>
      </w:r>
      <w:proofErr w:type="spellStart"/>
      <w:r w:rsidRPr="002A673F">
        <w:rPr>
          <w:strike/>
          <w:szCs w:val="24"/>
          <w:lang w:eastAsia="en-US"/>
        </w:rPr>
        <w:t>n.os</w:t>
      </w:r>
      <w:proofErr w:type="spellEnd"/>
      <w:r w:rsidRPr="002A673F">
        <w:rPr>
          <w:strike/>
          <w:szCs w:val="24"/>
          <w:lang w:eastAsia="en-US"/>
        </w:rPr>
        <w:t xml:space="preserve"> 1 e 2</w:t>
      </w:r>
      <w:r w:rsidRPr="002A673F">
        <w:rPr>
          <w:b/>
          <w:i/>
          <w:szCs w:val="24"/>
          <w:lang w:eastAsia="en-US"/>
        </w:rPr>
        <w:t>refere o n.º 1</w:t>
      </w:r>
      <w:r w:rsidRPr="002A673F">
        <w:rPr>
          <w:szCs w:val="24"/>
          <w:lang w:eastAsia="en-US"/>
        </w:rPr>
        <w:t>.</w:t>
      </w:r>
      <w:r w:rsidRPr="002A673F">
        <w:rPr>
          <w:b/>
          <w:szCs w:val="24"/>
          <w:lang w:eastAsia="en-US"/>
        </w:rPr>
        <w:t xml:space="preserve"> [Alt. 267]</w:t>
      </w:r>
    </w:p>
    <w:p w14:paraId="3820E270" w14:textId="77777777" w:rsidR="002A673F" w:rsidRPr="00E075CA" w:rsidRDefault="002A673F" w:rsidP="002A673F">
      <w:pPr>
        <w:spacing w:before="120" w:after="120" w:line="360" w:lineRule="auto"/>
        <w:ind w:left="850" w:hanging="850"/>
        <w:rPr>
          <w:b/>
          <w:szCs w:val="24"/>
          <w:lang w:eastAsia="en-US"/>
        </w:rPr>
      </w:pPr>
      <w:r w:rsidRPr="002A673F">
        <w:rPr>
          <w:szCs w:val="24"/>
          <w:lang w:eastAsia="en-US"/>
        </w:rPr>
        <w:t>4.</w:t>
      </w:r>
      <w:r w:rsidRPr="002A673F">
        <w:rPr>
          <w:szCs w:val="24"/>
          <w:lang w:eastAsia="en-US"/>
        </w:rPr>
        <w:tab/>
        <w:t xml:space="preserve">A Comissão apresenta os relatórios de avaliação a que se </w:t>
      </w:r>
      <w:r w:rsidRPr="002A673F">
        <w:rPr>
          <w:strike/>
          <w:szCs w:val="24"/>
          <w:lang w:eastAsia="en-US"/>
        </w:rPr>
        <w:t xml:space="preserve">referem os </w:t>
      </w:r>
      <w:proofErr w:type="spellStart"/>
      <w:r w:rsidRPr="002A673F">
        <w:rPr>
          <w:strike/>
          <w:szCs w:val="24"/>
          <w:lang w:eastAsia="en-US"/>
        </w:rPr>
        <w:t>n.os</w:t>
      </w:r>
      <w:proofErr w:type="spellEnd"/>
      <w:r w:rsidRPr="002A673F">
        <w:rPr>
          <w:strike/>
          <w:szCs w:val="24"/>
          <w:lang w:eastAsia="en-US"/>
        </w:rPr>
        <w:t xml:space="preserve"> 1 e 2</w:t>
      </w:r>
      <w:r w:rsidRPr="002A673F">
        <w:rPr>
          <w:b/>
          <w:i/>
          <w:szCs w:val="24"/>
          <w:lang w:eastAsia="en-US"/>
        </w:rPr>
        <w:t>refere o n.º 1</w:t>
      </w:r>
      <w:r w:rsidRPr="002A673F">
        <w:rPr>
          <w:szCs w:val="24"/>
          <w:lang w:eastAsia="en-US"/>
        </w:rPr>
        <w:t>, juntamente com as conclusões a que tiver chegado com base nesses relatórios, ao Parlamento Europeu, ao Conselho, ao Comité Económico e Social Europeu e ao Conselho de Administração do EUIPO.</w:t>
      </w:r>
      <w:r w:rsidRPr="002A673F">
        <w:rPr>
          <w:b/>
          <w:i/>
          <w:szCs w:val="24"/>
          <w:lang w:eastAsia="en-US"/>
        </w:rPr>
        <w:t xml:space="preserve"> O relatório de avaliação a que se refere o n.º 1 é acompanhado, se for caso disso, de uma proposta legislativa.</w:t>
      </w:r>
      <w:r w:rsidRPr="002A673F">
        <w:rPr>
          <w:b/>
          <w:szCs w:val="24"/>
          <w:lang w:eastAsia="en-US"/>
        </w:rPr>
        <w:t xml:space="preserve"> [Alt. 268]</w:t>
      </w:r>
    </w:p>
    <w:p w14:paraId="4EBD3429" w14:textId="77777777" w:rsidR="00937E3A" w:rsidRDefault="00937E3A">
      <w:pPr>
        <w:widowControl/>
        <w:rPr>
          <w:szCs w:val="24"/>
          <w:lang w:eastAsia="en-US"/>
        </w:rPr>
      </w:pPr>
      <w:r>
        <w:rPr>
          <w:szCs w:val="24"/>
          <w:lang w:eastAsia="en-US"/>
        </w:rPr>
        <w:br w:type="page"/>
      </w:r>
    </w:p>
    <w:p w14:paraId="609BC5F7" w14:textId="25231A85" w:rsidR="002A673F" w:rsidRPr="002A673F" w:rsidRDefault="002A673F" w:rsidP="002A673F">
      <w:pPr>
        <w:spacing w:before="120" w:after="120" w:line="360" w:lineRule="auto"/>
        <w:jc w:val="center"/>
        <w:rPr>
          <w:szCs w:val="24"/>
          <w:lang w:eastAsia="en-US"/>
        </w:rPr>
      </w:pPr>
      <w:r w:rsidRPr="002A673F">
        <w:rPr>
          <w:szCs w:val="24"/>
          <w:lang w:eastAsia="en-US"/>
        </w:rPr>
        <w:lastRenderedPageBreak/>
        <w:t>Artigo 71.º</w:t>
      </w:r>
      <w:r w:rsidRPr="002A673F">
        <w:rPr>
          <w:szCs w:val="24"/>
          <w:lang w:eastAsia="en-US"/>
        </w:rPr>
        <w:br/>
        <w:t>Alterações do Regulamento (UE) 2017/1001</w:t>
      </w:r>
    </w:p>
    <w:p w14:paraId="5306886B" w14:textId="77777777" w:rsidR="002A673F" w:rsidRPr="002A673F" w:rsidRDefault="002A673F" w:rsidP="002A673F">
      <w:pPr>
        <w:spacing w:before="120" w:after="120" w:line="360" w:lineRule="auto"/>
        <w:rPr>
          <w:szCs w:val="24"/>
          <w:lang w:eastAsia="en-US"/>
        </w:rPr>
      </w:pPr>
      <w:r w:rsidRPr="002A673F">
        <w:rPr>
          <w:szCs w:val="24"/>
          <w:lang w:eastAsia="en-US"/>
        </w:rPr>
        <w:t>O Regulamento (UE) 2017/1001 é alterado do seguinte modo:</w:t>
      </w:r>
    </w:p>
    <w:p w14:paraId="3CAC5C18"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O artigo 151.º, n.º 1, é alterado do seguinte modo:</w:t>
      </w:r>
    </w:p>
    <w:p w14:paraId="3B55DBC9" w14:textId="51344AC3"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É inserida a seguinte alínea:</w:t>
      </w:r>
    </w:p>
    <w:p w14:paraId="67DD8A67" w14:textId="4B86EC8C" w:rsidR="002A673F" w:rsidRDefault="002A673F" w:rsidP="002A673F">
      <w:pPr>
        <w:spacing w:before="120" w:after="120" w:line="360" w:lineRule="auto"/>
        <w:ind w:left="1982" w:hanging="566"/>
        <w:rPr>
          <w:szCs w:val="24"/>
          <w:lang w:eastAsia="en-US"/>
        </w:rPr>
      </w:pPr>
      <w:r w:rsidRPr="002A673F">
        <w:rPr>
          <w:szCs w:val="24"/>
          <w:lang w:eastAsia="en-US"/>
        </w:rPr>
        <w:t>«</w:t>
      </w:r>
      <w:proofErr w:type="spellStart"/>
      <w:r w:rsidRPr="002A673F">
        <w:rPr>
          <w:szCs w:val="24"/>
          <w:lang w:eastAsia="en-US"/>
        </w:rPr>
        <w:t>b-A</w:t>
      </w:r>
      <w:proofErr w:type="spellEnd"/>
      <w:r w:rsidRPr="002A673F">
        <w:rPr>
          <w:szCs w:val="24"/>
          <w:lang w:eastAsia="en-US"/>
        </w:rPr>
        <w:t>)</w:t>
      </w:r>
      <w:r w:rsidRPr="002A673F">
        <w:rPr>
          <w:szCs w:val="24"/>
          <w:lang w:eastAsia="en-US"/>
        </w:rPr>
        <w:tab/>
        <w:t>A administração, a promoção e o apoio das atribuições que lhe são conferidas, executadas por um centro de competências, ao abrigo do Regulamento (UE) n.º […] do Parlamento Europeu e do Conselho</w:t>
      </w:r>
      <w:r w:rsidRPr="00E075CA">
        <w:rPr>
          <w:szCs w:val="24"/>
          <w:vertAlign w:val="superscript"/>
          <w:lang w:eastAsia="en-US"/>
        </w:rPr>
        <w:t>+*</w:t>
      </w:r>
      <w:r w:rsidRPr="002A673F">
        <w:rPr>
          <w:szCs w:val="24"/>
          <w:lang w:eastAsia="en-US"/>
        </w:rPr>
        <w:t>;</w:t>
      </w:r>
    </w:p>
    <w:p w14:paraId="39139033" w14:textId="7AF00703" w:rsidR="002A673F" w:rsidRPr="002A673F" w:rsidRDefault="002A673F" w:rsidP="00E075CA">
      <w:pPr>
        <w:spacing w:before="120" w:after="120" w:line="360" w:lineRule="auto"/>
        <w:ind w:left="2552" w:hanging="570"/>
        <w:rPr>
          <w:szCs w:val="24"/>
          <w:lang w:eastAsia="en-US"/>
        </w:rPr>
      </w:pPr>
      <w:r w:rsidRPr="00E075CA">
        <w:rPr>
          <w:szCs w:val="24"/>
          <w:vertAlign w:val="superscript"/>
          <w:lang w:eastAsia="en-US"/>
        </w:rPr>
        <w:t>*</w:t>
      </w:r>
      <w:r w:rsidRPr="002A673F">
        <w:rPr>
          <w:szCs w:val="24"/>
          <w:lang w:eastAsia="en-US"/>
        </w:rPr>
        <w:t xml:space="preserve"> </w:t>
      </w:r>
      <w:r w:rsidR="00937E3A">
        <w:rPr>
          <w:szCs w:val="24"/>
          <w:lang w:eastAsia="en-US"/>
        </w:rPr>
        <w:tab/>
      </w:r>
      <w:r w:rsidRPr="002A673F">
        <w:rPr>
          <w:szCs w:val="24"/>
          <w:lang w:eastAsia="en-US"/>
        </w:rPr>
        <w:t>Regulamento (UE).../... do Parlamento Europeu e do Conselho, de</w:t>
      </w:r>
      <w:r w:rsidR="009B7063">
        <w:rPr>
          <w:szCs w:val="24"/>
          <w:lang w:eastAsia="en-US"/>
        </w:rPr>
        <w:t xml:space="preserve"> </w:t>
      </w:r>
      <w:r w:rsidRPr="002A673F">
        <w:rPr>
          <w:szCs w:val="24"/>
          <w:lang w:eastAsia="en-US"/>
        </w:rPr>
        <w:t>..., relativo às patentes essenciais a normas (JO</w:t>
      </w:r>
      <w:r w:rsidR="009B7063">
        <w:rPr>
          <w:szCs w:val="24"/>
          <w:lang w:eastAsia="en-US"/>
        </w:rPr>
        <w:t xml:space="preserve"> ...).</w:t>
      </w:r>
      <w:r w:rsidRPr="002A673F">
        <w:rPr>
          <w:szCs w:val="24"/>
          <w:lang w:eastAsia="en-US"/>
        </w:rPr>
        <w:t>»</w:t>
      </w:r>
      <w:r w:rsidR="00937E3A">
        <w:rPr>
          <w:szCs w:val="24"/>
          <w:lang w:eastAsia="en-US"/>
        </w:rPr>
        <w:t>;</w:t>
      </w:r>
    </w:p>
    <w:p w14:paraId="3E8FB4E4" w14:textId="5E250A42"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O n.º 3 passa a ter a seguinte redação:</w:t>
      </w:r>
    </w:p>
    <w:p w14:paraId="2A1B69CB" w14:textId="7ADC485D" w:rsidR="002A673F" w:rsidRPr="002A673F" w:rsidRDefault="002A673F" w:rsidP="002A673F">
      <w:pPr>
        <w:spacing w:before="120" w:after="120" w:line="360" w:lineRule="auto"/>
        <w:ind w:left="1982" w:hanging="566"/>
        <w:rPr>
          <w:szCs w:val="24"/>
          <w:lang w:eastAsia="en-US"/>
        </w:rPr>
      </w:pPr>
      <w:r w:rsidRPr="002A673F">
        <w:rPr>
          <w:szCs w:val="24"/>
          <w:lang w:eastAsia="en-US"/>
        </w:rPr>
        <w:t>«3.</w:t>
      </w:r>
      <w:r w:rsidRPr="002A673F">
        <w:rPr>
          <w:szCs w:val="24"/>
          <w:lang w:eastAsia="en-US"/>
        </w:rPr>
        <w:tab/>
        <w:t xml:space="preserve">O Instituto pode prestar serviços de resolução alternativa de litígios, incluindo mediação, conciliação, arbitragem, determinação de </w:t>
      </w:r>
      <w:r w:rsidRPr="00E075CA">
        <w:rPr>
          <w:i/>
          <w:szCs w:val="24"/>
          <w:lang w:eastAsia="en-US"/>
        </w:rPr>
        <w:t>royalties</w:t>
      </w:r>
      <w:r w:rsidR="009B7063">
        <w:rPr>
          <w:szCs w:val="24"/>
          <w:lang w:eastAsia="en-US"/>
        </w:rPr>
        <w:t xml:space="preserve"> e determinação FRAND.</w:t>
      </w:r>
      <w:r w:rsidRPr="002A673F">
        <w:rPr>
          <w:szCs w:val="24"/>
          <w:lang w:eastAsia="en-US"/>
        </w:rPr>
        <w:t>»</w:t>
      </w:r>
      <w:r w:rsidR="009B7063">
        <w:rPr>
          <w:szCs w:val="24"/>
          <w:lang w:eastAsia="en-US"/>
        </w:rPr>
        <w:t>;</w:t>
      </w:r>
    </w:p>
    <w:p w14:paraId="06AE3B63" w14:textId="77777777" w:rsidR="00937E3A" w:rsidRDefault="00937E3A">
      <w:pPr>
        <w:widowControl/>
        <w:rPr>
          <w:szCs w:val="24"/>
          <w:lang w:eastAsia="en-US"/>
        </w:rPr>
      </w:pPr>
      <w:r>
        <w:rPr>
          <w:szCs w:val="24"/>
          <w:lang w:eastAsia="en-US"/>
        </w:rPr>
        <w:br w:type="page"/>
      </w:r>
    </w:p>
    <w:p w14:paraId="78B657DA" w14:textId="7768B32A" w:rsidR="002A673F" w:rsidRPr="002A673F" w:rsidRDefault="002A673F" w:rsidP="002A673F">
      <w:pPr>
        <w:spacing w:before="120" w:after="120" w:line="360" w:lineRule="auto"/>
        <w:ind w:left="850" w:hanging="850"/>
        <w:rPr>
          <w:szCs w:val="24"/>
          <w:lang w:eastAsia="en-US"/>
        </w:rPr>
      </w:pPr>
      <w:r w:rsidRPr="002A673F">
        <w:rPr>
          <w:szCs w:val="24"/>
          <w:lang w:eastAsia="en-US"/>
        </w:rPr>
        <w:lastRenderedPageBreak/>
        <w:t>2.</w:t>
      </w:r>
      <w:r w:rsidRPr="002A673F">
        <w:rPr>
          <w:szCs w:val="24"/>
          <w:lang w:eastAsia="en-US"/>
        </w:rPr>
        <w:tab/>
        <w:t>No artigo 157.º, ao n.º 4 é aditada a seguinte alínea:</w:t>
      </w:r>
    </w:p>
    <w:p w14:paraId="06552E80" w14:textId="6A1F74AF" w:rsidR="002A673F" w:rsidRPr="002A673F" w:rsidRDefault="002A673F" w:rsidP="002A673F">
      <w:pPr>
        <w:spacing w:before="120" w:after="120" w:line="360" w:lineRule="auto"/>
        <w:ind w:left="1416" w:hanging="566"/>
        <w:rPr>
          <w:szCs w:val="24"/>
          <w:lang w:eastAsia="en-US"/>
        </w:rPr>
      </w:pPr>
      <w:r w:rsidRPr="002A673F">
        <w:rPr>
          <w:szCs w:val="24"/>
          <w:lang w:eastAsia="en-US"/>
        </w:rPr>
        <w:t>«p)</w:t>
      </w:r>
      <w:r w:rsidRPr="002A673F">
        <w:rPr>
          <w:szCs w:val="24"/>
          <w:lang w:eastAsia="en-US"/>
        </w:rPr>
        <w:tab/>
        <w:t>Exerce os poderes que lhe são conferid</w:t>
      </w:r>
      <w:r w:rsidR="009B7063">
        <w:rPr>
          <w:szCs w:val="24"/>
          <w:lang w:eastAsia="en-US"/>
        </w:rPr>
        <w:t>os pelo Regulamento (UE) […]</w:t>
      </w:r>
      <w:r w:rsidR="009B7063" w:rsidRPr="009B7063">
        <w:rPr>
          <w:szCs w:val="24"/>
          <w:vertAlign w:val="superscript"/>
          <w:lang w:eastAsia="en-US"/>
        </w:rPr>
        <w:t>++</w:t>
      </w:r>
      <w:r w:rsidR="009B7063">
        <w:rPr>
          <w:szCs w:val="24"/>
          <w:lang w:eastAsia="en-US"/>
        </w:rPr>
        <w:t>.</w:t>
      </w:r>
      <w:r w:rsidRPr="002A673F">
        <w:rPr>
          <w:szCs w:val="24"/>
          <w:lang w:eastAsia="en-US"/>
        </w:rPr>
        <w:t>»</w:t>
      </w:r>
      <w:r w:rsidR="00937E3A">
        <w:rPr>
          <w:szCs w:val="24"/>
          <w:lang w:eastAsia="en-US"/>
        </w:rPr>
        <w:t>;</w:t>
      </w:r>
    </w:p>
    <w:p w14:paraId="0CE591FC"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3.</w:t>
      </w:r>
      <w:r w:rsidRPr="002A673F">
        <w:rPr>
          <w:szCs w:val="24"/>
          <w:lang w:eastAsia="en-US"/>
        </w:rPr>
        <w:tab/>
        <w:t>O artigo 170.º é alterado do seguinte modo:</w:t>
      </w:r>
    </w:p>
    <w:p w14:paraId="5E1E2DD6" w14:textId="4E0763A3" w:rsidR="002A673F" w:rsidRPr="002A673F" w:rsidRDefault="002A673F" w:rsidP="002A673F">
      <w:pPr>
        <w:spacing w:before="120" w:after="120" w:line="360" w:lineRule="auto"/>
        <w:ind w:left="1416" w:hanging="566"/>
        <w:rPr>
          <w:szCs w:val="24"/>
          <w:lang w:eastAsia="en-US"/>
        </w:rPr>
      </w:pPr>
      <w:r w:rsidRPr="002A673F">
        <w:rPr>
          <w:szCs w:val="24"/>
          <w:lang w:eastAsia="en-US"/>
        </w:rPr>
        <w:t>a)</w:t>
      </w:r>
      <w:r w:rsidRPr="002A673F">
        <w:rPr>
          <w:szCs w:val="24"/>
          <w:lang w:eastAsia="en-US"/>
        </w:rPr>
        <w:tab/>
        <w:t>O título passa a ter a seguinte redação:</w:t>
      </w:r>
    </w:p>
    <w:p w14:paraId="46D15AE9" w14:textId="6EE9E311" w:rsidR="002A673F" w:rsidRPr="002A673F" w:rsidRDefault="002A673F" w:rsidP="002A673F">
      <w:pPr>
        <w:spacing w:before="120" w:after="120" w:line="360" w:lineRule="auto"/>
        <w:ind w:left="1416"/>
        <w:rPr>
          <w:szCs w:val="24"/>
          <w:lang w:eastAsia="en-US"/>
        </w:rPr>
      </w:pPr>
      <w:r w:rsidRPr="002A673F">
        <w:rPr>
          <w:szCs w:val="24"/>
          <w:lang w:eastAsia="en-US"/>
        </w:rPr>
        <w:t>«Centro de Resolução de Litígios alternativo;»</w:t>
      </w:r>
      <w:r w:rsidR="00937E3A">
        <w:rPr>
          <w:szCs w:val="24"/>
          <w:lang w:eastAsia="en-US"/>
        </w:rPr>
        <w:t>;</w:t>
      </w:r>
    </w:p>
    <w:p w14:paraId="68997342" w14:textId="0C864001" w:rsidR="002A673F" w:rsidRPr="002A673F" w:rsidRDefault="002A673F" w:rsidP="002A673F">
      <w:pPr>
        <w:spacing w:before="120" w:after="120" w:line="360" w:lineRule="auto"/>
        <w:ind w:left="1416" w:hanging="566"/>
        <w:rPr>
          <w:szCs w:val="24"/>
          <w:lang w:eastAsia="en-US"/>
        </w:rPr>
      </w:pPr>
      <w:r w:rsidRPr="002A673F">
        <w:rPr>
          <w:szCs w:val="24"/>
          <w:lang w:eastAsia="en-US"/>
        </w:rPr>
        <w:t>b)</w:t>
      </w:r>
      <w:r w:rsidRPr="002A673F">
        <w:rPr>
          <w:szCs w:val="24"/>
          <w:lang w:eastAsia="en-US"/>
        </w:rPr>
        <w:tab/>
        <w:t xml:space="preserve">Os </w:t>
      </w:r>
      <w:proofErr w:type="spellStart"/>
      <w:r w:rsidRPr="002A673F">
        <w:rPr>
          <w:szCs w:val="24"/>
          <w:lang w:eastAsia="en-US"/>
        </w:rPr>
        <w:t>n.</w:t>
      </w:r>
      <w:r w:rsidRPr="002A673F">
        <w:rPr>
          <w:szCs w:val="24"/>
          <w:vertAlign w:val="superscript"/>
          <w:lang w:eastAsia="en-US"/>
        </w:rPr>
        <w:t>os</w:t>
      </w:r>
      <w:proofErr w:type="spellEnd"/>
      <w:r w:rsidRPr="002A673F">
        <w:rPr>
          <w:szCs w:val="24"/>
          <w:lang w:eastAsia="en-US"/>
        </w:rPr>
        <w:t xml:space="preserve"> 1 e 2 passam a ter a seguinte redação:</w:t>
      </w:r>
    </w:p>
    <w:p w14:paraId="61E7AA47" w14:textId="77777777" w:rsidR="002A673F" w:rsidRPr="002A673F" w:rsidRDefault="002A673F" w:rsidP="002A673F">
      <w:pPr>
        <w:spacing w:before="120" w:after="120" w:line="360" w:lineRule="auto"/>
        <w:ind w:left="1982" w:hanging="566"/>
        <w:rPr>
          <w:szCs w:val="24"/>
          <w:lang w:eastAsia="en-US"/>
        </w:rPr>
      </w:pPr>
      <w:r w:rsidRPr="002A673F">
        <w:rPr>
          <w:szCs w:val="24"/>
          <w:lang w:eastAsia="en-US"/>
        </w:rPr>
        <w:t>«1.</w:t>
      </w:r>
      <w:r w:rsidRPr="002A673F">
        <w:rPr>
          <w:szCs w:val="24"/>
          <w:lang w:eastAsia="en-US"/>
        </w:rPr>
        <w:tab/>
        <w:t>Para efeitos do artigo 151.º, n.º 3, o Instituto pode criar um Centro de Resolução de Litígios alternativo («Centro»).</w:t>
      </w:r>
    </w:p>
    <w:p w14:paraId="0F7C56F0" w14:textId="1DB8F359" w:rsidR="002A673F" w:rsidRPr="002A673F" w:rsidRDefault="002A673F" w:rsidP="002A673F">
      <w:pPr>
        <w:spacing w:before="120" w:after="120" w:line="360" w:lineRule="auto"/>
        <w:ind w:left="1982" w:hanging="566"/>
        <w:rPr>
          <w:szCs w:val="24"/>
          <w:lang w:eastAsia="en-US"/>
        </w:rPr>
      </w:pPr>
      <w:r w:rsidRPr="002A673F">
        <w:rPr>
          <w:szCs w:val="24"/>
          <w:lang w:eastAsia="en-US"/>
        </w:rPr>
        <w:t>2.</w:t>
      </w:r>
      <w:r w:rsidRPr="002A673F">
        <w:rPr>
          <w:szCs w:val="24"/>
          <w:lang w:eastAsia="en-US"/>
        </w:rPr>
        <w:tab/>
        <w:t>Qualquer pessoa singular ou coletiva pode recorrer aos serviços do Centro para a resolução de litígios em matéria de direitos de propriedade intelectual;»</w:t>
      </w:r>
      <w:r w:rsidR="00937E3A">
        <w:rPr>
          <w:szCs w:val="24"/>
          <w:lang w:eastAsia="en-US"/>
        </w:rPr>
        <w:t>;</w:t>
      </w:r>
    </w:p>
    <w:p w14:paraId="301FF34E" w14:textId="15522D66" w:rsidR="002A673F" w:rsidRPr="002A673F" w:rsidRDefault="002A673F" w:rsidP="002A673F">
      <w:pPr>
        <w:spacing w:before="120" w:after="120" w:line="360" w:lineRule="auto"/>
        <w:ind w:left="1416" w:hanging="566"/>
        <w:rPr>
          <w:szCs w:val="24"/>
          <w:lang w:eastAsia="en-US"/>
        </w:rPr>
      </w:pPr>
      <w:r w:rsidRPr="002A673F">
        <w:rPr>
          <w:szCs w:val="24"/>
          <w:lang w:eastAsia="en-US"/>
        </w:rPr>
        <w:t>c)</w:t>
      </w:r>
      <w:r w:rsidRPr="002A673F">
        <w:rPr>
          <w:szCs w:val="24"/>
          <w:lang w:eastAsia="en-US"/>
        </w:rPr>
        <w:tab/>
        <w:t>O n.º 15 passa a ter a seguinte redação:</w:t>
      </w:r>
    </w:p>
    <w:p w14:paraId="54C5C110" w14:textId="5B5C4DA9" w:rsidR="002A673F" w:rsidRPr="002A673F" w:rsidRDefault="002A673F" w:rsidP="002A673F">
      <w:pPr>
        <w:spacing w:before="120" w:after="120" w:line="360" w:lineRule="auto"/>
        <w:ind w:left="1982" w:hanging="566"/>
        <w:rPr>
          <w:szCs w:val="24"/>
          <w:lang w:eastAsia="en-US"/>
        </w:rPr>
      </w:pPr>
      <w:r w:rsidRPr="002A673F">
        <w:rPr>
          <w:szCs w:val="24"/>
          <w:lang w:eastAsia="en-US"/>
        </w:rPr>
        <w:t>«15.</w:t>
      </w:r>
      <w:r w:rsidRPr="002A673F">
        <w:rPr>
          <w:szCs w:val="24"/>
          <w:lang w:eastAsia="en-US"/>
        </w:rPr>
        <w:tab/>
        <w:t>O Instituto pode cooperar com outros organismos nacionais ou internacionais reconhecidos que prestem serviços de resolução alternativa de litígios.;»</w:t>
      </w:r>
      <w:r w:rsidR="00937E3A">
        <w:rPr>
          <w:szCs w:val="24"/>
          <w:lang w:eastAsia="en-US"/>
        </w:rPr>
        <w:t>;</w:t>
      </w:r>
    </w:p>
    <w:p w14:paraId="76DC72FE" w14:textId="77777777" w:rsidR="00937E3A" w:rsidRDefault="00937E3A">
      <w:pPr>
        <w:widowControl/>
        <w:rPr>
          <w:szCs w:val="24"/>
          <w:lang w:eastAsia="en-US"/>
        </w:rPr>
      </w:pPr>
      <w:r>
        <w:rPr>
          <w:szCs w:val="24"/>
          <w:lang w:eastAsia="en-US"/>
        </w:rPr>
        <w:br w:type="page"/>
      </w:r>
    </w:p>
    <w:p w14:paraId="418C78D3" w14:textId="0CA45D07" w:rsidR="002A673F" w:rsidRPr="002A673F" w:rsidRDefault="002A673F" w:rsidP="002A673F">
      <w:pPr>
        <w:spacing w:before="120" w:after="120" w:line="360" w:lineRule="auto"/>
        <w:ind w:left="1416" w:hanging="566"/>
        <w:rPr>
          <w:szCs w:val="24"/>
          <w:lang w:eastAsia="en-US"/>
        </w:rPr>
      </w:pPr>
      <w:r w:rsidRPr="002A673F">
        <w:rPr>
          <w:szCs w:val="24"/>
          <w:lang w:eastAsia="en-US"/>
        </w:rPr>
        <w:lastRenderedPageBreak/>
        <w:t>d)</w:t>
      </w:r>
      <w:r w:rsidRPr="002A673F">
        <w:rPr>
          <w:szCs w:val="24"/>
          <w:lang w:eastAsia="en-US"/>
        </w:rPr>
        <w:tab/>
        <w:t>É aditado o seguinte número:</w:t>
      </w:r>
    </w:p>
    <w:p w14:paraId="450413B7" w14:textId="18918726" w:rsidR="002A673F" w:rsidRPr="002A673F" w:rsidRDefault="002A673F" w:rsidP="002A673F">
      <w:pPr>
        <w:spacing w:before="120" w:after="120" w:line="360" w:lineRule="auto"/>
        <w:ind w:left="1982" w:hanging="566"/>
        <w:rPr>
          <w:szCs w:val="24"/>
          <w:lang w:eastAsia="en-US"/>
        </w:rPr>
      </w:pPr>
      <w:r w:rsidRPr="002A673F">
        <w:rPr>
          <w:szCs w:val="24"/>
          <w:lang w:eastAsia="en-US"/>
        </w:rPr>
        <w:t>«16.</w:t>
      </w:r>
      <w:r w:rsidRPr="002A673F">
        <w:rPr>
          <w:szCs w:val="24"/>
          <w:lang w:eastAsia="en-US"/>
        </w:rPr>
        <w:tab/>
        <w:t>Os artigos 18.º, 19.º e 34.º a 58.º do Regulamento […]</w:t>
      </w:r>
      <w:r w:rsidRPr="00E075CA">
        <w:rPr>
          <w:szCs w:val="24"/>
          <w:vertAlign w:val="superscript"/>
          <w:lang w:eastAsia="en-US"/>
        </w:rPr>
        <w:t>++</w:t>
      </w:r>
      <w:r w:rsidRPr="002A673F">
        <w:rPr>
          <w:szCs w:val="24"/>
          <w:lang w:eastAsia="en-US"/>
        </w:rPr>
        <w:t xml:space="preserve"> são aplicáveis ao Centro em todos os processos relativos a patentes essenciais a normas.».</w:t>
      </w:r>
    </w:p>
    <w:p w14:paraId="48751DE2" w14:textId="77777777" w:rsidR="002A673F" w:rsidRPr="002A673F" w:rsidRDefault="002A673F" w:rsidP="002A673F">
      <w:pPr>
        <w:spacing w:before="120" w:after="120" w:line="360" w:lineRule="auto"/>
        <w:ind w:left="1982"/>
        <w:rPr>
          <w:szCs w:val="24"/>
          <w:lang w:eastAsia="en-US"/>
        </w:rPr>
      </w:pPr>
      <w:r w:rsidRPr="002A673F">
        <w:rPr>
          <w:szCs w:val="24"/>
          <w:lang w:eastAsia="en-US"/>
        </w:rPr>
        <w:t>[</w:t>
      </w:r>
      <w:r w:rsidRPr="00E075CA">
        <w:rPr>
          <w:szCs w:val="24"/>
          <w:vertAlign w:val="superscript"/>
          <w:lang w:eastAsia="en-US"/>
        </w:rPr>
        <w:t>+</w:t>
      </w:r>
      <w:r w:rsidRPr="002A673F">
        <w:rPr>
          <w:szCs w:val="24"/>
          <w:lang w:eastAsia="en-US"/>
        </w:rPr>
        <w:t xml:space="preserve"> SP: inserir no texto o número do presente regulamento e inserir o número, a data e a referência do JO do presente regulamento na nota de rodapé.]</w:t>
      </w:r>
    </w:p>
    <w:p w14:paraId="50084F1A" w14:textId="02345F35" w:rsidR="002A673F" w:rsidRPr="002A673F" w:rsidRDefault="002A673F" w:rsidP="002A673F">
      <w:pPr>
        <w:spacing w:before="120" w:after="120" w:line="360" w:lineRule="auto"/>
        <w:ind w:left="1982"/>
        <w:rPr>
          <w:szCs w:val="24"/>
          <w:lang w:eastAsia="en-US"/>
        </w:rPr>
      </w:pPr>
      <w:r w:rsidRPr="002A673F">
        <w:rPr>
          <w:szCs w:val="24"/>
          <w:lang w:eastAsia="en-US"/>
        </w:rPr>
        <w:t>[</w:t>
      </w:r>
      <w:r w:rsidRPr="00E075CA">
        <w:rPr>
          <w:szCs w:val="24"/>
          <w:vertAlign w:val="superscript"/>
          <w:lang w:eastAsia="en-US"/>
        </w:rPr>
        <w:t>++</w:t>
      </w:r>
      <w:r w:rsidRPr="002A673F">
        <w:rPr>
          <w:szCs w:val="24"/>
          <w:lang w:eastAsia="en-US"/>
        </w:rPr>
        <w:t xml:space="preserve"> SP: inserir no texto o número do presente regulamento].»</w:t>
      </w:r>
      <w:r w:rsidR="00937E3A">
        <w:rPr>
          <w:szCs w:val="24"/>
          <w:lang w:eastAsia="en-US"/>
        </w:rPr>
        <w:t>.</w:t>
      </w:r>
    </w:p>
    <w:p w14:paraId="69CF76C7" w14:textId="77777777" w:rsidR="002A673F" w:rsidRPr="002A673F" w:rsidRDefault="002A673F" w:rsidP="002A673F">
      <w:pPr>
        <w:spacing w:before="120" w:after="120" w:line="360" w:lineRule="auto"/>
        <w:jc w:val="center"/>
        <w:rPr>
          <w:szCs w:val="24"/>
          <w:lang w:eastAsia="en-US"/>
        </w:rPr>
      </w:pPr>
      <w:r w:rsidRPr="002A673F">
        <w:rPr>
          <w:szCs w:val="24"/>
          <w:lang w:eastAsia="en-US"/>
        </w:rPr>
        <w:t>Artigo 72.º</w:t>
      </w:r>
      <w:r w:rsidRPr="002A673F">
        <w:rPr>
          <w:szCs w:val="24"/>
          <w:lang w:eastAsia="en-US"/>
        </w:rPr>
        <w:br/>
        <w:t>Entrada em vigor e aplicação</w:t>
      </w:r>
    </w:p>
    <w:p w14:paraId="570CA46E" w14:textId="77777777" w:rsidR="002A673F" w:rsidRPr="002A673F" w:rsidRDefault="002A673F" w:rsidP="002A673F">
      <w:pPr>
        <w:spacing w:before="120" w:after="120" w:line="360" w:lineRule="auto"/>
        <w:ind w:left="850" w:hanging="850"/>
        <w:rPr>
          <w:szCs w:val="24"/>
          <w:lang w:eastAsia="en-US"/>
        </w:rPr>
      </w:pPr>
      <w:r w:rsidRPr="002A673F">
        <w:rPr>
          <w:szCs w:val="24"/>
          <w:lang w:eastAsia="en-US"/>
        </w:rPr>
        <w:t>1.</w:t>
      </w:r>
      <w:r w:rsidRPr="002A673F">
        <w:rPr>
          <w:szCs w:val="24"/>
          <w:lang w:eastAsia="en-US"/>
        </w:rPr>
        <w:tab/>
        <w:t xml:space="preserve">O presente regulamento entra em vigor no vigésimo dia seguinte ao da sua publicação no </w:t>
      </w:r>
      <w:r w:rsidRPr="00E075CA">
        <w:rPr>
          <w:i/>
          <w:szCs w:val="24"/>
          <w:lang w:eastAsia="en-US"/>
        </w:rPr>
        <w:t>Jornal Oficial da União Europeia</w:t>
      </w:r>
      <w:r w:rsidRPr="002A673F">
        <w:rPr>
          <w:szCs w:val="24"/>
          <w:lang w:eastAsia="en-US"/>
        </w:rPr>
        <w:t>.</w:t>
      </w:r>
    </w:p>
    <w:p w14:paraId="1B0CFEA2" w14:textId="20BFF07D" w:rsidR="002A673F" w:rsidRPr="002A673F" w:rsidRDefault="002A673F" w:rsidP="002A673F">
      <w:pPr>
        <w:spacing w:before="120" w:after="120" w:line="360" w:lineRule="auto"/>
        <w:ind w:left="850" w:hanging="850"/>
        <w:rPr>
          <w:szCs w:val="24"/>
          <w:lang w:eastAsia="en-US"/>
        </w:rPr>
      </w:pPr>
      <w:r w:rsidRPr="002A673F">
        <w:rPr>
          <w:szCs w:val="24"/>
          <w:lang w:eastAsia="en-US"/>
        </w:rPr>
        <w:t>2.</w:t>
      </w:r>
      <w:r w:rsidRPr="002A673F">
        <w:rPr>
          <w:szCs w:val="24"/>
          <w:lang w:eastAsia="en-US"/>
        </w:rPr>
        <w:tab/>
        <w:t xml:space="preserve">É aplicável a partir de </w:t>
      </w:r>
      <w:r w:rsidR="00937E3A">
        <w:rPr>
          <w:szCs w:val="24"/>
          <w:lang w:eastAsia="en-US"/>
        </w:rPr>
        <w:t xml:space="preserve">... </w:t>
      </w:r>
      <w:r w:rsidRPr="002A673F">
        <w:rPr>
          <w:szCs w:val="24"/>
          <w:lang w:eastAsia="en-US"/>
        </w:rPr>
        <w:t>[SP: inserir data = 24 meses após a data de entrada em vigor do presente regulamento].</w:t>
      </w:r>
    </w:p>
    <w:p w14:paraId="5C914B31" w14:textId="77777777" w:rsidR="002A673F" w:rsidRPr="002A673F" w:rsidRDefault="002A673F" w:rsidP="00E075CA">
      <w:pPr>
        <w:spacing w:before="480" w:after="120" w:line="360" w:lineRule="auto"/>
        <w:rPr>
          <w:szCs w:val="24"/>
          <w:lang w:eastAsia="en-US"/>
        </w:rPr>
      </w:pPr>
      <w:r w:rsidRPr="002A673F">
        <w:rPr>
          <w:szCs w:val="24"/>
          <w:lang w:eastAsia="en-US"/>
        </w:rPr>
        <w:t>O presente regulamento é obrigatório em todos os seus elementos e diretamente aplicável em todos os Estados-Membros.</w:t>
      </w:r>
    </w:p>
    <w:p w14:paraId="4CFE756F" w14:textId="21FA79B9" w:rsidR="002A673F" w:rsidRPr="002A673F" w:rsidRDefault="002A673F" w:rsidP="002A673F">
      <w:pPr>
        <w:keepNext/>
        <w:widowControl/>
        <w:spacing w:before="120" w:line="360" w:lineRule="auto"/>
        <w:rPr>
          <w:szCs w:val="24"/>
          <w:lang w:eastAsia="en-US"/>
        </w:rPr>
      </w:pPr>
      <w:r w:rsidRPr="002A673F">
        <w:rPr>
          <w:szCs w:val="24"/>
          <w:lang w:eastAsia="en-US"/>
        </w:rPr>
        <w:t>Feito em …, em</w:t>
      </w:r>
    </w:p>
    <w:p w14:paraId="58EC0CF9" w14:textId="77777777" w:rsidR="002A673F" w:rsidRPr="002A673F" w:rsidRDefault="002A673F" w:rsidP="00E075CA">
      <w:pPr>
        <w:keepNext/>
        <w:widowControl/>
        <w:tabs>
          <w:tab w:val="left" w:pos="4252"/>
        </w:tabs>
        <w:spacing w:before="720" w:line="360" w:lineRule="auto"/>
        <w:jc w:val="both"/>
        <w:rPr>
          <w:i/>
          <w:szCs w:val="24"/>
          <w:lang w:eastAsia="en-US"/>
        </w:rPr>
      </w:pPr>
      <w:r w:rsidRPr="002A673F">
        <w:rPr>
          <w:i/>
          <w:szCs w:val="24"/>
          <w:lang w:eastAsia="en-US"/>
        </w:rPr>
        <w:t>Pelo Parlamento Europeu</w:t>
      </w:r>
      <w:r w:rsidRPr="002A673F">
        <w:rPr>
          <w:i/>
          <w:szCs w:val="24"/>
          <w:lang w:eastAsia="en-US"/>
        </w:rPr>
        <w:tab/>
        <w:t>Pelo Conselho</w:t>
      </w:r>
    </w:p>
    <w:p w14:paraId="60694E6C" w14:textId="7B07B733" w:rsidR="002A673F" w:rsidRPr="003C2C77" w:rsidRDefault="002A673F" w:rsidP="003C2C77">
      <w:pPr>
        <w:widowControl/>
        <w:tabs>
          <w:tab w:val="left" w:pos="4252"/>
        </w:tabs>
        <w:spacing w:line="360" w:lineRule="auto"/>
        <w:rPr>
          <w:i/>
          <w:szCs w:val="24"/>
          <w:lang w:eastAsia="en-US"/>
        </w:rPr>
      </w:pPr>
      <w:r w:rsidRPr="002A673F">
        <w:rPr>
          <w:i/>
          <w:szCs w:val="24"/>
          <w:lang w:eastAsia="en-US"/>
        </w:rPr>
        <w:t>A Presidente</w:t>
      </w:r>
      <w:r w:rsidRPr="002A673F">
        <w:rPr>
          <w:i/>
          <w:szCs w:val="24"/>
          <w:lang w:eastAsia="en-US"/>
        </w:rPr>
        <w:tab/>
        <w:t>O Presidente / A Presidente</w:t>
      </w:r>
    </w:p>
    <w:sectPr w:rsidR="002A673F" w:rsidRPr="003C2C77" w:rsidSect="00536B5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B0412" w14:textId="77777777" w:rsidR="00873481" w:rsidRPr="00536B52" w:rsidRDefault="00873481">
      <w:r w:rsidRPr="00536B52">
        <w:separator/>
      </w:r>
    </w:p>
  </w:endnote>
  <w:endnote w:type="continuationSeparator" w:id="0">
    <w:p w14:paraId="21902A2C" w14:textId="77777777" w:rsidR="00873481" w:rsidRPr="00536B52" w:rsidRDefault="00873481">
      <w:r w:rsidRPr="00536B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2D954" w14:textId="77777777" w:rsidR="00873481" w:rsidRPr="00536B52" w:rsidRDefault="008734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BCA50" w14:textId="77777777" w:rsidR="00873481" w:rsidRPr="00536B52" w:rsidRDefault="0087348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DD35C" w14:textId="77777777" w:rsidR="00873481" w:rsidRPr="00536B52" w:rsidRDefault="008734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AB54E" w14:textId="77777777" w:rsidR="00873481" w:rsidRPr="00536B52" w:rsidRDefault="00873481">
      <w:r w:rsidRPr="00536B52">
        <w:separator/>
      </w:r>
    </w:p>
  </w:footnote>
  <w:footnote w:type="continuationSeparator" w:id="0">
    <w:p w14:paraId="3AD7E0B9" w14:textId="77777777" w:rsidR="00873481" w:rsidRPr="00536B52" w:rsidRDefault="00873481">
      <w:r w:rsidRPr="00536B52">
        <w:continuationSeparator/>
      </w:r>
    </w:p>
  </w:footnote>
  <w:footnote w:id="1">
    <w:p w14:paraId="5E084947" w14:textId="4014B053" w:rsidR="00873481" w:rsidRPr="00515FDB" w:rsidRDefault="00873481" w:rsidP="00536B52">
      <w:pPr>
        <w:pStyle w:val="FootnoteText"/>
        <w:ind w:left="567" w:hanging="567"/>
        <w:rPr>
          <w:sz w:val="24"/>
          <w:lang w:val="fi-FI"/>
        </w:rPr>
      </w:pPr>
      <w:r w:rsidRPr="00536B52">
        <w:rPr>
          <w:rStyle w:val="FootnoteReference"/>
          <w:sz w:val="24"/>
          <w:lang w:val="pt-PT"/>
        </w:rPr>
        <w:footnoteRef/>
      </w:r>
      <w:r w:rsidRPr="00515FDB">
        <w:rPr>
          <w:sz w:val="24"/>
          <w:lang w:val="fi-FI"/>
        </w:rPr>
        <w:t xml:space="preserve"> </w:t>
      </w:r>
      <w:r w:rsidRPr="00515FDB">
        <w:rPr>
          <w:sz w:val="24"/>
          <w:lang w:val="fi-FI"/>
        </w:rPr>
        <w:tab/>
        <w:t xml:space="preserve">JO C, </w:t>
      </w:r>
      <w:r w:rsidR="00D31454">
        <w:rPr>
          <w:sz w:val="24"/>
          <w:lang w:val="fi-FI"/>
        </w:rPr>
        <w:t>C/</w:t>
      </w:r>
      <w:r w:rsidRPr="00515FDB">
        <w:rPr>
          <w:sz w:val="24"/>
          <w:lang w:val="fi-FI"/>
        </w:rPr>
        <w:t>2023/865, 08.12.2023</w:t>
      </w:r>
      <w:r w:rsidRPr="00BE2258">
        <w:rPr>
          <w:sz w:val="24"/>
          <w:lang w:val="fi-FI"/>
        </w:rPr>
        <w:t xml:space="preserve">, ELI: </w:t>
      </w:r>
      <w:hyperlink r:id="rId1" w:history="1">
        <w:r w:rsidRPr="00345689">
          <w:rPr>
            <w:rStyle w:val="Hyperlink"/>
            <w:sz w:val="24"/>
            <w:lang w:val="fi-FI"/>
          </w:rPr>
          <w:t>http://data.europa.eu/eli/C/2023/865/oj</w:t>
        </w:r>
      </w:hyperlink>
      <w:r w:rsidRPr="00515FDB">
        <w:rPr>
          <w:sz w:val="24"/>
          <w:lang w:val="fi-FI"/>
        </w:rPr>
        <w:t xml:space="preserve">. </w:t>
      </w:r>
    </w:p>
  </w:footnote>
  <w:footnote w:id="2">
    <w:p w14:paraId="36705B4A" w14:textId="211C7B89" w:rsidR="00873481" w:rsidRPr="003A4BA9" w:rsidRDefault="00873481" w:rsidP="002A673F">
      <w:pPr>
        <w:pStyle w:val="FootnoteTextForceStyle"/>
        <w:rPr>
          <w:lang w:val="da-DK"/>
        </w:rPr>
      </w:pPr>
      <w:r>
        <w:rPr>
          <w:vertAlign w:val="superscript"/>
        </w:rPr>
        <w:footnoteRef/>
      </w:r>
      <w:r w:rsidRPr="003A4BA9">
        <w:rPr>
          <w:lang w:val="da-DK"/>
        </w:rPr>
        <w:tab/>
        <w:t xml:space="preserve">JO C </w:t>
      </w:r>
      <w:proofErr w:type="gramStart"/>
      <w:r w:rsidRPr="003A4BA9">
        <w:rPr>
          <w:lang w:val="da-DK"/>
        </w:rPr>
        <w:t>de ,</w:t>
      </w:r>
      <w:proofErr w:type="gramEnd"/>
      <w:r w:rsidRPr="003A4BA9">
        <w:rPr>
          <w:lang w:val="da-DK"/>
        </w:rPr>
        <w:t xml:space="preserve"> p. .</w:t>
      </w:r>
    </w:p>
  </w:footnote>
  <w:footnote w:id="3">
    <w:p w14:paraId="0F6AF28A" w14:textId="5CBBFBA1" w:rsidR="00873481" w:rsidRPr="003A4BA9" w:rsidRDefault="00873481" w:rsidP="002A673F">
      <w:pPr>
        <w:pStyle w:val="FootnoteTextForceStyle"/>
        <w:rPr>
          <w:lang w:val="da-DK"/>
        </w:rPr>
      </w:pPr>
      <w:r>
        <w:rPr>
          <w:vertAlign w:val="superscript"/>
        </w:rPr>
        <w:footnoteRef/>
      </w:r>
      <w:r w:rsidRPr="003A4BA9">
        <w:rPr>
          <w:lang w:val="da-DK"/>
        </w:rPr>
        <w:tab/>
        <w:t xml:space="preserve">JO C </w:t>
      </w:r>
      <w:proofErr w:type="gramStart"/>
      <w:r w:rsidRPr="003A4BA9">
        <w:rPr>
          <w:lang w:val="da-DK"/>
        </w:rPr>
        <w:t>de ,</w:t>
      </w:r>
      <w:proofErr w:type="gramEnd"/>
      <w:r w:rsidRPr="003A4BA9">
        <w:rPr>
          <w:lang w:val="da-DK"/>
        </w:rPr>
        <w:t xml:space="preserve"> p. .</w:t>
      </w:r>
    </w:p>
  </w:footnote>
  <w:footnote w:id="4">
    <w:p w14:paraId="14E744A5" w14:textId="77777777" w:rsidR="00873481" w:rsidRPr="003A4BA9" w:rsidRDefault="00873481" w:rsidP="002A673F">
      <w:pPr>
        <w:pStyle w:val="FootnoteTextForceStyle"/>
        <w:rPr>
          <w:lang w:val="pt-PT"/>
        </w:rPr>
      </w:pPr>
      <w:r>
        <w:rPr>
          <w:vertAlign w:val="superscript"/>
        </w:rPr>
        <w:footnoteRef/>
      </w:r>
      <w:r w:rsidRPr="003A4BA9">
        <w:rPr>
          <w:lang w:val="pt-PT"/>
        </w:rPr>
        <w:tab/>
        <w:t xml:space="preserve">Comunicação da Comissão ao Parlamento Europeu, ao Conselho, ao Comité Económico e Social Europeu e ao Comité das Regiões intitulada «Tirar pleno partido do potencial de inovação da UE — Um plano de ação em matéria de propriedade intelectual para apoiar a recuperação e resiliência da UE», </w:t>
      </w:r>
      <w:proofErr w:type="gramStart"/>
      <w:r w:rsidRPr="003A4BA9">
        <w:rPr>
          <w:lang w:val="pt-PT"/>
        </w:rPr>
        <w:t>COM(</w:t>
      </w:r>
      <w:proofErr w:type="gramEnd"/>
      <w:r w:rsidRPr="003A4BA9">
        <w:rPr>
          <w:lang w:val="pt-PT"/>
        </w:rPr>
        <w:t>2020) 760 final de 25.11.2020.</w:t>
      </w:r>
    </w:p>
  </w:footnote>
  <w:footnote w:id="5">
    <w:p w14:paraId="07411D60" w14:textId="77777777" w:rsidR="00873481" w:rsidRPr="003A4BA9" w:rsidRDefault="00873481" w:rsidP="002A673F">
      <w:pPr>
        <w:pStyle w:val="FootnoteTextForceStyle"/>
        <w:rPr>
          <w:lang w:val="pt-PT"/>
        </w:rPr>
      </w:pPr>
      <w:r>
        <w:rPr>
          <w:vertAlign w:val="superscript"/>
        </w:rPr>
        <w:footnoteRef/>
      </w:r>
      <w:r w:rsidRPr="003A4BA9">
        <w:rPr>
          <w:lang w:val="pt-PT"/>
        </w:rPr>
        <w:tab/>
        <w:t>JO L 124 de 20.5.2003, p. 36.</w:t>
      </w:r>
    </w:p>
  </w:footnote>
  <w:footnote w:id="6">
    <w:p w14:paraId="68109E86" w14:textId="32B1268E" w:rsidR="00873481" w:rsidRPr="003A4BA9" w:rsidRDefault="00873481" w:rsidP="002A673F">
      <w:pPr>
        <w:pStyle w:val="FootnoteTextForceStyle"/>
        <w:rPr>
          <w:lang w:val="pt-PT"/>
        </w:rPr>
      </w:pPr>
      <w:r>
        <w:rPr>
          <w:vertAlign w:val="superscript"/>
        </w:rPr>
        <w:footnoteRef/>
      </w:r>
      <w:r w:rsidRPr="003A4BA9">
        <w:rPr>
          <w:lang w:val="pt-PT"/>
        </w:rPr>
        <w:tab/>
        <w:t>Conclusões do Conselho sobre a política de propriedade intelectual, aprovadas pelo Conselho (Assuntos Económicos e Financeiros) na sua reunião de 18 de junho de</w:t>
      </w:r>
      <w:r>
        <w:rPr>
          <w:lang w:val="pt-PT"/>
        </w:rPr>
        <w:t> </w:t>
      </w:r>
      <w:r w:rsidRPr="003A4BA9">
        <w:rPr>
          <w:lang w:val="pt-PT"/>
        </w:rPr>
        <w:t>2021.</w:t>
      </w:r>
    </w:p>
  </w:footnote>
  <w:footnote w:id="7">
    <w:p w14:paraId="609E72CA" w14:textId="77777777" w:rsidR="00873481" w:rsidRPr="003A4BA9" w:rsidRDefault="00873481" w:rsidP="002A673F">
      <w:pPr>
        <w:pStyle w:val="FootnoteTextForceStyle"/>
        <w:rPr>
          <w:lang w:val="pt-PT"/>
        </w:rPr>
      </w:pPr>
      <w:r>
        <w:rPr>
          <w:vertAlign w:val="superscript"/>
        </w:rPr>
        <w:footnoteRef/>
      </w:r>
      <w:r w:rsidRPr="003A4BA9">
        <w:rPr>
          <w:lang w:val="pt-PT"/>
        </w:rPr>
        <w:tab/>
        <w:t>Resolução do Parlamento Europeu, de 11 de novembro de 2021, sobre um plano de ação em matéria de propriedade intelectual para apoiar a recuperação e resiliência da UE [2021/2007 (INI)].</w:t>
      </w:r>
    </w:p>
  </w:footnote>
  <w:footnote w:id="8">
    <w:p w14:paraId="39A68FBE" w14:textId="77777777" w:rsidR="00873481" w:rsidRPr="003A4BA9" w:rsidRDefault="00873481" w:rsidP="002A673F">
      <w:pPr>
        <w:pStyle w:val="FootnoteTextForceStyle"/>
        <w:rPr>
          <w:lang w:val="pt-PT"/>
        </w:rPr>
      </w:pPr>
      <w:r>
        <w:rPr>
          <w:vertAlign w:val="superscript"/>
        </w:rPr>
        <w:footnoteRef/>
      </w:r>
      <w:r w:rsidRPr="003A4BA9">
        <w:rPr>
          <w:lang w:val="pt-PT"/>
        </w:rPr>
        <w:tab/>
        <w:t>Regulamento (UE) n.º 1025/2012 do Parlamento Europeu e do Conselho, de 25 de outubro de 2012, relativo à normalização europeia, que altera as Diretivas 89/686/CEE e 93/15/CEE do Conselho e as Diretivas 94/9/CE, 94/25/CE, 95/16/CE, 97/23/CE, 98/34/CE, 2004/22/CE, 2007/23/CE, 2009/23/CE e 2009/105/CE do Parlamento Europeu e do Conselho e revoga a Decisão 87/95/CEE do Conselho e a Decisão n.º 1673/2006/CE do Parlamento Europeu e do Conselho (JO L 316 de 14.11.2012, p. 12).</w:t>
      </w:r>
    </w:p>
  </w:footnote>
  <w:footnote w:id="9">
    <w:p w14:paraId="45E53621" w14:textId="77EFB5DF" w:rsidR="00873481" w:rsidRPr="003A4BA9" w:rsidRDefault="00873481" w:rsidP="002A673F">
      <w:pPr>
        <w:pStyle w:val="FootnoteTextForceStyle"/>
        <w:rPr>
          <w:lang w:val="pt-PT"/>
        </w:rPr>
      </w:pPr>
      <w:r>
        <w:rPr>
          <w:vertAlign w:val="superscript"/>
        </w:rPr>
        <w:footnoteRef/>
      </w:r>
      <w:r w:rsidRPr="003A4BA9">
        <w:rPr>
          <w:lang w:val="pt-PT"/>
        </w:rPr>
        <w:tab/>
        <w:t xml:space="preserve">Comunicação da Comissão </w:t>
      </w:r>
      <w:r>
        <w:rPr>
          <w:lang w:val="pt-PT"/>
        </w:rPr>
        <w:t>–</w:t>
      </w:r>
      <w:r w:rsidRPr="003A4BA9">
        <w:rPr>
          <w:lang w:val="pt-PT"/>
        </w:rPr>
        <w:t xml:space="preserve"> Orientações sobre a aplicação do artigo 101.º do Tratado sobre o Funcionamento da União Europeia aos acordos de cooperação horizontal, JO C 11 de 14.1.2011, p. 1 (atualmente em processo de revisão).</w:t>
      </w:r>
    </w:p>
  </w:footnote>
  <w:footnote w:id="10">
    <w:p w14:paraId="055A5C1F" w14:textId="77777777" w:rsidR="00873481" w:rsidRPr="003A4BA9" w:rsidRDefault="00873481" w:rsidP="002A673F">
      <w:pPr>
        <w:pStyle w:val="FootnoteTextForceStyle"/>
        <w:rPr>
          <w:lang w:val="pt-PT"/>
        </w:rPr>
      </w:pPr>
      <w:r>
        <w:rPr>
          <w:vertAlign w:val="superscript"/>
        </w:rPr>
        <w:footnoteRef/>
      </w:r>
      <w:r w:rsidRPr="003A4BA9">
        <w:rPr>
          <w:lang w:val="pt-PT"/>
        </w:rPr>
        <w:tab/>
        <w:t xml:space="preserve">Acórdão do Tribunal de Justiça de 16 de julho de 2015, </w:t>
      </w:r>
      <w:proofErr w:type="spellStart"/>
      <w:r w:rsidRPr="003A4BA9">
        <w:rPr>
          <w:lang w:val="pt-PT"/>
        </w:rPr>
        <w:t>Huawei</w:t>
      </w:r>
      <w:proofErr w:type="spellEnd"/>
      <w:r w:rsidRPr="003A4BA9">
        <w:rPr>
          <w:lang w:val="pt-PT"/>
        </w:rPr>
        <w:t xml:space="preserve"> Technologies Co. </w:t>
      </w:r>
      <w:proofErr w:type="spellStart"/>
      <w:r w:rsidRPr="003A4BA9">
        <w:rPr>
          <w:lang w:val="pt-PT"/>
        </w:rPr>
        <w:t>Ltd</w:t>
      </w:r>
      <w:proofErr w:type="spellEnd"/>
      <w:r w:rsidRPr="003A4BA9">
        <w:rPr>
          <w:lang w:val="pt-PT"/>
        </w:rPr>
        <w:t xml:space="preserve"> contra ZTE </w:t>
      </w:r>
      <w:proofErr w:type="spellStart"/>
      <w:r w:rsidRPr="003A4BA9">
        <w:rPr>
          <w:lang w:val="pt-PT"/>
        </w:rPr>
        <w:t>Corp</w:t>
      </w:r>
      <w:proofErr w:type="spellEnd"/>
      <w:r w:rsidRPr="003A4BA9">
        <w:rPr>
          <w:lang w:val="pt-PT"/>
        </w:rPr>
        <w:t xml:space="preserve">. e ZTE </w:t>
      </w:r>
      <w:proofErr w:type="spellStart"/>
      <w:r w:rsidRPr="003A4BA9">
        <w:rPr>
          <w:lang w:val="pt-PT"/>
        </w:rPr>
        <w:t>Deutschland</w:t>
      </w:r>
      <w:proofErr w:type="spellEnd"/>
      <w:r w:rsidRPr="003A4BA9">
        <w:rPr>
          <w:lang w:val="pt-PT"/>
        </w:rPr>
        <w:t xml:space="preserve"> </w:t>
      </w:r>
      <w:proofErr w:type="spellStart"/>
      <w:r w:rsidRPr="003A4BA9">
        <w:rPr>
          <w:lang w:val="pt-PT"/>
        </w:rPr>
        <w:t>GmbH</w:t>
      </w:r>
      <w:proofErr w:type="spellEnd"/>
      <w:r w:rsidRPr="003A4BA9">
        <w:rPr>
          <w:lang w:val="pt-PT"/>
        </w:rPr>
        <w:t>, C-170/13, ECLI:EU:C:2015:477.</w:t>
      </w:r>
    </w:p>
  </w:footnote>
  <w:footnote w:id="11">
    <w:p w14:paraId="768CB35A" w14:textId="422112BD" w:rsidR="00873481" w:rsidRPr="003A4BA9" w:rsidRDefault="00873481" w:rsidP="002A673F">
      <w:pPr>
        <w:pStyle w:val="FootnoteTextForceStyle"/>
        <w:rPr>
          <w:lang w:val="pt-PT"/>
        </w:rPr>
      </w:pPr>
      <w:r>
        <w:rPr>
          <w:vertAlign w:val="superscript"/>
        </w:rPr>
        <w:footnoteRef/>
      </w:r>
      <w:r w:rsidRPr="003A4BA9">
        <w:rPr>
          <w:lang w:val="pt-PT"/>
        </w:rPr>
        <w:tab/>
        <w:t>Diretiva 2004/48/CE do Parlamento Europeu e do Conselho, de 29 de abril de 2004, relativa ao respeito dos direitos de propriedade intelec</w:t>
      </w:r>
      <w:r>
        <w:rPr>
          <w:lang w:val="pt-PT"/>
        </w:rPr>
        <w:t>tual (JO L 157 de 30.4.2004, p. </w:t>
      </w:r>
      <w:r w:rsidRPr="003A4BA9">
        <w:rPr>
          <w:lang w:val="pt-PT"/>
        </w:rPr>
        <w:t>45).</w:t>
      </w:r>
    </w:p>
  </w:footnote>
  <w:footnote w:id="12">
    <w:p w14:paraId="0EC97657" w14:textId="77777777" w:rsidR="00873481" w:rsidRPr="003A4BA9" w:rsidRDefault="00873481" w:rsidP="002A673F">
      <w:pPr>
        <w:pStyle w:val="FootnoteTextForceStyle"/>
        <w:rPr>
          <w:lang w:val="pt-PT"/>
        </w:rPr>
      </w:pPr>
      <w:r>
        <w:rPr>
          <w:vertAlign w:val="superscript"/>
        </w:rPr>
        <w:footnoteRef/>
      </w:r>
      <w:r w:rsidRPr="003A4BA9">
        <w:rPr>
          <w:lang w:val="pt-PT"/>
        </w:rPr>
        <w:tab/>
        <w:t xml:space="preserve">Acórdão do Tribunal de Justiça de 13 de dezembro de 1979, </w:t>
      </w:r>
      <w:proofErr w:type="spellStart"/>
      <w:r w:rsidRPr="003A4BA9">
        <w:rPr>
          <w:lang w:val="pt-PT"/>
        </w:rPr>
        <w:t>Hauer</w:t>
      </w:r>
      <w:proofErr w:type="spellEnd"/>
      <w:r w:rsidRPr="003A4BA9">
        <w:rPr>
          <w:lang w:val="pt-PT"/>
        </w:rPr>
        <w:t xml:space="preserve"> contra Land </w:t>
      </w:r>
      <w:proofErr w:type="spellStart"/>
      <w:r w:rsidRPr="003A4BA9">
        <w:rPr>
          <w:lang w:val="pt-PT"/>
        </w:rPr>
        <w:t>Rheinland-Pfalz</w:t>
      </w:r>
      <w:proofErr w:type="spellEnd"/>
      <w:r w:rsidRPr="003A4BA9">
        <w:rPr>
          <w:lang w:val="pt-PT"/>
        </w:rPr>
        <w:t xml:space="preserve">, C-44/79, ECLI:EU:C:1979:290, ponto 32; acórdão do Tribunal de Justiça de 11 de julho de 1989, </w:t>
      </w:r>
      <w:proofErr w:type="spellStart"/>
      <w:r w:rsidRPr="003A4BA9">
        <w:rPr>
          <w:lang w:val="pt-PT"/>
        </w:rPr>
        <w:t>Hermann</w:t>
      </w:r>
      <w:proofErr w:type="spellEnd"/>
      <w:r w:rsidRPr="003A4BA9">
        <w:rPr>
          <w:lang w:val="pt-PT"/>
        </w:rPr>
        <w:t xml:space="preserve"> </w:t>
      </w:r>
      <w:proofErr w:type="spellStart"/>
      <w:r w:rsidRPr="003A4BA9">
        <w:rPr>
          <w:lang w:val="pt-PT"/>
        </w:rPr>
        <w:t>Schräder</w:t>
      </w:r>
      <w:proofErr w:type="spellEnd"/>
      <w:r w:rsidRPr="003A4BA9">
        <w:rPr>
          <w:lang w:val="pt-PT"/>
        </w:rPr>
        <w:t xml:space="preserve"> HS </w:t>
      </w:r>
      <w:proofErr w:type="spellStart"/>
      <w:r w:rsidRPr="003A4BA9">
        <w:rPr>
          <w:lang w:val="pt-PT"/>
        </w:rPr>
        <w:t>Kraftfutter</w:t>
      </w:r>
      <w:proofErr w:type="spellEnd"/>
      <w:r w:rsidRPr="003A4BA9">
        <w:rPr>
          <w:lang w:val="pt-PT"/>
        </w:rPr>
        <w:t xml:space="preserve"> </w:t>
      </w:r>
      <w:proofErr w:type="spellStart"/>
      <w:r w:rsidRPr="003A4BA9">
        <w:rPr>
          <w:lang w:val="pt-PT"/>
        </w:rPr>
        <w:t>GmbH</w:t>
      </w:r>
      <w:proofErr w:type="spellEnd"/>
      <w:r w:rsidRPr="003A4BA9">
        <w:rPr>
          <w:lang w:val="pt-PT"/>
        </w:rPr>
        <w:t xml:space="preserve"> &amp; Co. KG contra </w:t>
      </w:r>
      <w:proofErr w:type="spellStart"/>
      <w:r w:rsidRPr="003A4BA9">
        <w:rPr>
          <w:lang w:val="pt-PT"/>
        </w:rPr>
        <w:t>Hauptzollamt</w:t>
      </w:r>
      <w:proofErr w:type="spellEnd"/>
      <w:r w:rsidRPr="003A4BA9">
        <w:rPr>
          <w:lang w:val="pt-PT"/>
        </w:rPr>
        <w:t xml:space="preserve"> </w:t>
      </w:r>
      <w:proofErr w:type="spellStart"/>
      <w:r w:rsidRPr="003A4BA9">
        <w:rPr>
          <w:lang w:val="pt-PT"/>
        </w:rPr>
        <w:t>Gronau</w:t>
      </w:r>
      <w:proofErr w:type="spellEnd"/>
      <w:r w:rsidRPr="003A4BA9">
        <w:rPr>
          <w:lang w:val="pt-PT"/>
        </w:rPr>
        <w:t xml:space="preserve">, C-256/87, ECLI:EU:C:1999:332, ponto 15, e acórdão do Tribunal de Justiça de 13 de julho de 1989, </w:t>
      </w:r>
      <w:proofErr w:type="spellStart"/>
      <w:r w:rsidRPr="003A4BA9">
        <w:rPr>
          <w:lang w:val="pt-PT"/>
        </w:rPr>
        <w:t>Hubert</w:t>
      </w:r>
      <w:proofErr w:type="spellEnd"/>
      <w:r w:rsidRPr="003A4BA9">
        <w:rPr>
          <w:lang w:val="pt-PT"/>
        </w:rPr>
        <w:t xml:space="preserve"> </w:t>
      </w:r>
      <w:proofErr w:type="spellStart"/>
      <w:r w:rsidRPr="003A4BA9">
        <w:rPr>
          <w:lang w:val="pt-PT"/>
        </w:rPr>
        <w:t>Wachauf</w:t>
      </w:r>
      <w:proofErr w:type="spellEnd"/>
      <w:r w:rsidRPr="003A4BA9">
        <w:rPr>
          <w:lang w:val="pt-PT"/>
        </w:rPr>
        <w:t xml:space="preserve"> contra </w:t>
      </w:r>
      <w:proofErr w:type="spellStart"/>
      <w:r w:rsidRPr="003A4BA9">
        <w:rPr>
          <w:lang w:val="pt-PT"/>
        </w:rPr>
        <w:t>Bundesamt</w:t>
      </w:r>
      <w:proofErr w:type="spellEnd"/>
      <w:r w:rsidRPr="003A4BA9">
        <w:rPr>
          <w:lang w:val="pt-PT"/>
        </w:rPr>
        <w:t xml:space="preserve"> </w:t>
      </w:r>
      <w:proofErr w:type="spellStart"/>
      <w:r w:rsidRPr="003A4BA9">
        <w:rPr>
          <w:lang w:val="pt-PT"/>
        </w:rPr>
        <w:t>für</w:t>
      </w:r>
      <w:proofErr w:type="spellEnd"/>
      <w:r w:rsidRPr="003A4BA9">
        <w:rPr>
          <w:lang w:val="pt-PT"/>
        </w:rPr>
        <w:t xml:space="preserve"> </w:t>
      </w:r>
      <w:proofErr w:type="spellStart"/>
      <w:r w:rsidRPr="003A4BA9">
        <w:rPr>
          <w:lang w:val="pt-PT"/>
        </w:rPr>
        <w:t>Ernährung</w:t>
      </w:r>
      <w:proofErr w:type="spellEnd"/>
      <w:r w:rsidRPr="003A4BA9">
        <w:rPr>
          <w:lang w:val="pt-PT"/>
        </w:rPr>
        <w:t xml:space="preserve"> </w:t>
      </w:r>
      <w:proofErr w:type="spellStart"/>
      <w:r w:rsidRPr="003A4BA9">
        <w:rPr>
          <w:lang w:val="pt-PT"/>
        </w:rPr>
        <w:t>und</w:t>
      </w:r>
      <w:proofErr w:type="spellEnd"/>
      <w:r w:rsidRPr="003A4BA9">
        <w:rPr>
          <w:lang w:val="pt-PT"/>
        </w:rPr>
        <w:t xml:space="preserve"> </w:t>
      </w:r>
      <w:proofErr w:type="spellStart"/>
      <w:r w:rsidRPr="003A4BA9">
        <w:rPr>
          <w:lang w:val="pt-PT"/>
        </w:rPr>
        <w:t>Forstwirtschaft</w:t>
      </w:r>
      <w:proofErr w:type="spellEnd"/>
      <w:r w:rsidRPr="003A4BA9">
        <w:rPr>
          <w:lang w:val="pt-PT"/>
        </w:rPr>
        <w:t>, C-5/88, ECLI:EU:C:1989:321, pontos 17 e 18.</w:t>
      </w:r>
    </w:p>
  </w:footnote>
  <w:footnote w:id="13">
    <w:p w14:paraId="61CD97C8" w14:textId="02B1F5E2" w:rsidR="00873481" w:rsidRPr="003A4BA9" w:rsidRDefault="00873481" w:rsidP="002A673F">
      <w:pPr>
        <w:pStyle w:val="FootnoteTextForceStyle"/>
        <w:rPr>
          <w:lang w:val="pt-PT"/>
        </w:rPr>
      </w:pPr>
      <w:r>
        <w:rPr>
          <w:vertAlign w:val="superscript"/>
        </w:rPr>
        <w:footnoteRef/>
      </w:r>
      <w:r w:rsidRPr="003A4BA9">
        <w:rPr>
          <w:lang w:val="pt-PT"/>
        </w:rPr>
        <w:tab/>
        <w:t xml:space="preserve">O processo de conciliação segue os termos da obrigação de recurso a procedimentos de resolução alternativa de litígios como condição para a admissibilidade do recurso perante o juiz, conforme referido nos acórdãos do TJUE; Processos apensos C-317/08 a C-320/08, </w:t>
      </w:r>
      <w:proofErr w:type="spellStart"/>
      <w:r w:rsidRPr="003A4BA9">
        <w:rPr>
          <w:lang w:val="pt-PT"/>
        </w:rPr>
        <w:t>Alassini</w:t>
      </w:r>
      <w:proofErr w:type="spellEnd"/>
      <w:r w:rsidRPr="003A4BA9">
        <w:rPr>
          <w:lang w:val="pt-PT"/>
        </w:rPr>
        <w:t xml:space="preserve"> e outros, de 18 de março de 2010, e processo C-75/16, </w:t>
      </w:r>
      <w:proofErr w:type="spellStart"/>
      <w:r w:rsidRPr="003A4BA9">
        <w:rPr>
          <w:lang w:val="pt-PT"/>
        </w:rPr>
        <w:t>Menini</w:t>
      </w:r>
      <w:proofErr w:type="spellEnd"/>
      <w:r w:rsidRPr="003A4BA9">
        <w:rPr>
          <w:lang w:val="pt-PT"/>
        </w:rPr>
        <w:t xml:space="preserve"> e </w:t>
      </w:r>
      <w:proofErr w:type="spellStart"/>
      <w:r w:rsidRPr="003A4BA9">
        <w:rPr>
          <w:lang w:val="pt-PT"/>
        </w:rPr>
        <w:t>Rampanelli</w:t>
      </w:r>
      <w:proofErr w:type="spellEnd"/>
      <w:r w:rsidRPr="003A4BA9">
        <w:rPr>
          <w:lang w:val="pt-PT"/>
        </w:rPr>
        <w:t xml:space="preserve"> contra Banco </w:t>
      </w:r>
      <w:proofErr w:type="spellStart"/>
      <w:r w:rsidRPr="003A4BA9">
        <w:rPr>
          <w:lang w:val="pt-PT"/>
        </w:rPr>
        <w:t>Popolare</w:t>
      </w:r>
      <w:proofErr w:type="spellEnd"/>
      <w:r w:rsidRPr="003A4BA9">
        <w:rPr>
          <w:lang w:val="pt-PT"/>
        </w:rPr>
        <w:t xml:space="preserve"> </w:t>
      </w:r>
      <w:proofErr w:type="spellStart"/>
      <w:r w:rsidRPr="003A4BA9">
        <w:rPr>
          <w:lang w:val="pt-PT"/>
        </w:rPr>
        <w:t>Società</w:t>
      </w:r>
      <w:proofErr w:type="spellEnd"/>
      <w:r>
        <w:rPr>
          <w:lang w:val="pt-PT"/>
        </w:rPr>
        <w:t xml:space="preserve"> Cooperativa, de 14 de junho de </w:t>
      </w:r>
      <w:r w:rsidRPr="003A4BA9">
        <w:rPr>
          <w:lang w:val="pt-PT"/>
        </w:rPr>
        <w:t>2017, tendo em conta as especificidades da concessão de licenças de PEN.</w:t>
      </w:r>
    </w:p>
  </w:footnote>
  <w:footnote w:id="14">
    <w:p w14:paraId="2744CBFE" w14:textId="09D8B7B4" w:rsidR="00873481" w:rsidRPr="003A4BA9" w:rsidRDefault="00873481" w:rsidP="002A673F">
      <w:pPr>
        <w:pStyle w:val="FootnoteTextForceStyle"/>
        <w:rPr>
          <w:lang w:val="pt-PT"/>
        </w:rPr>
      </w:pPr>
      <w:r>
        <w:rPr>
          <w:vertAlign w:val="superscript"/>
        </w:rPr>
        <w:footnoteRef/>
      </w:r>
      <w:r w:rsidRPr="003A4BA9">
        <w:rPr>
          <w:lang w:val="pt-PT"/>
        </w:rPr>
        <w:tab/>
        <w:t xml:space="preserve">Acórdão do Tribunal de Justiça de 18 de março de 2010, Rosalba </w:t>
      </w:r>
      <w:proofErr w:type="spellStart"/>
      <w:r w:rsidRPr="003A4BA9">
        <w:rPr>
          <w:lang w:val="pt-PT"/>
        </w:rPr>
        <w:t>Alassini</w:t>
      </w:r>
      <w:proofErr w:type="spellEnd"/>
      <w:r w:rsidRPr="003A4BA9">
        <w:rPr>
          <w:lang w:val="pt-PT"/>
        </w:rPr>
        <w:t xml:space="preserve"> contra Telecom </w:t>
      </w:r>
      <w:proofErr w:type="spellStart"/>
      <w:r w:rsidRPr="003A4BA9">
        <w:rPr>
          <w:lang w:val="pt-PT"/>
        </w:rPr>
        <w:t>Italia</w:t>
      </w:r>
      <w:proofErr w:type="spellEnd"/>
      <w:r w:rsidRPr="003A4BA9">
        <w:rPr>
          <w:lang w:val="pt-PT"/>
        </w:rPr>
        <w:t xml:space="preserve"> </w:t>
      </w:r>
      <w:proofErr w:type="spellStart"/>
      <w:r w:rsidRPr="003A4BA9">
        <w:rPr>
          <w:lang w:val="pt-PT"/>
        </w:rPr>
        <w:t>SpA</w:t>
      </w:r>
      <w:proofErr w:type="spellEnd"/>
      <w:r w:rsidRPr="003A4BA9">
        <w:rPr>
          <w:lang w:val="pt-PT"/>
        </w:rPr>
        <w:t xml:space="preserve"> (C-317/08), Filomena </w:t>
      </w:r>
      <w:proofErr w:type="spellStart"/>
      <w:r w:rsidRPr="003A4BA9">
        <w:rPr>
          <w:lang w:val="pt-PT"/>
        </w:rPr>
        <w:t>Califano</w:t>
      </w:r>
      <w:proofErr w:type="spellEnd"/>
      <w:r w:rsidRPr="003A4BA9">
        <w:rPr>
          <w:lang w:val="pt-PT"/>
        </w:rPr>
        <w:t xml:space="preserve"> contra </w:t>
      </w:r>
      <w:proofErr w:type="spellStart"/>
      <w:r w:rsidRPr="003A4BA9">
        <w:rPr>
          <w:lang w:val="pt-PT"/>
        </w:rPr>
        <w:t>Wind</w:t>
      </w:r>
      <w:proofErr w:type="spellEnd"/>
      <w:r w:rsidRPr="003A4BA9">
        <w:rPr>
          <w:lang w:val="pt-PT"/>
        </w:rPr>
        <w:t xml:space="preserve"> </w:t>
      </w:r>
      <w:proofErr w:type="spellStart"/>
      <w:r w:rsidRPr="003A4BA9">
        <w:rPr>
          <w:lang w:val="pt-PT"/>
        </w:rPr>
        <w:t>SpA</w:t>
      </w:r>
      <w:proofErr w:type="spellEnd"/>
      <w:r w:rsidRPr="003A4BA9">
        <w:rPr>
          <w:lang w:val="pt-PT"/>
        </w:rPr>
        <w:t xml:space="preserve"> (C-318/08), </w:t>
      </w:r>
      <w:proofErr w:type="spellStart"/>
      <w:r w:rsidRPr="003A4BA9">
        <w:rPr>
          <w:lang w:val="pt-PT"/>
        </w:rPr>
        <w:t>Lucia</w:t>
      </w:r>
      <w:proofErr w:type="spellEnd"/>
      <w:r w:rsidRPr="003A4BA9">
        <w:rPr>
          <w:lang w:val="pt-PT"/>
        </w:rPr>
        <w:t xml:space="preserve"> </w:t>
      </w:r>
      <w:proofErr w:type="spellStart"/>
      <w:r w:rsidRPr="003A4BA9">
        <w:rPr>
          <w:lang w:val="pt-PT"/>
        </w:rPr>
        <w:t>Anna</w:t>
      </w:r>
      <w:proofErr w:type="spellEnd"/>
      <w:r w:rsidRPr="003A4BA9">
        <w:rPr>
          <w:lang w:val="pt-PT"/>
        </w:rPr>
        <w:t xml:space="preserve"> </w:t>
      </w:r>
      <w:proofErr w:type="spellStart"/>
      <w:r w:rsidRPr="003A4BA9">
        <w:rPr>
          <w:lang w:val="pt-PT"/>
        </w:rPr>
        <w:t>Giorgia</w:t>
      </w:r>
      <w:proofErr w:type="spellEnd"/>
      <w:r w:rsidRPr="003A4BA9">
        <w:rPr>
          <w:lang w:val="pt-PT"/>
        </w:rPr>
        <w:t xml:space="preserve"> </w:t>
      </w:r>
      <w:proofErr w:type="spellStart"/>
      <w:r w:rsidRPr="003A4BA9">
        <w:rPr>
          <w:lang w:val="pt-PT"/>
        </w:rPr>
        <w:t>Iacono</w:t>
      </w:r>
      <w:proofErr w:type="spellEnd"/>
      <w:r w:rsidRPr="003A4BA9">
        <w:rPr>
          <w:lang w:val="pt-PT"/>
        </w:rPr>
        <w:t xml:space="preserve"> contra Telecom </w:t>
      </w:r>
      <w:proofErr w:type="spellStart"/>
      <w:r w:rsidRPr="003A4BA9">
        <w:rPr>
          <w:lang w:val="pt-PT"/>
        </w:rPr>
        <w:t>Italia</w:t>
      </w:r>
      <w:proofErr w:type="spellEnd"/>
      <w:r w:rsidRPr="003A4BA9">
        <w:rPr>
          <w:lang w:val="pt-PT"/>
        </w:rPr>
        <w:t xml:space="preserve"> </w:t>
      </w:r>
      <w:proofErr w:type="spellStart"/>
      <w:r w:rsidRPr="003A4BA9">
        <w:rPr>
          <w:lang w:val="pt-PT"/>
        </w:rPr>
        <w:t>SpA</w:t>
      </w:r>
      <w:proofErr w:type="spellEnd"/>
      <w:r w:rsidRPr="003A4BA9">
        <w:rPr>
          <w:lang w:val="pt-PT"/>
        </w:rPr>
        <w:t xml:space="preserve"> (C-319/08) e </w:t>
      </w:r>
      <w:proofErr w:type="spellStart"/>
      <w:r w:rsidRPr="003A4BA9">
        <w:rPr>
          <w:lang w:val="pt-PT"/>
        </w:rPr>
        <w:t>Multiservice</w:t>
      </w:r>
      <w:proofErr w:type="spellEnd"/>
      <w:r w:rsidRPr="003A4BA9">
        <w:rPr>
          <w:lang w:val="pt-PT"/>
        </w:rPr>
        <w:t xml:space="preserve"> </w:t>
      </w:r>
      <w:proofErr w:type="spellStart"/>
      <w:r w:rsidRPr="003A4BA9">
        <w:rPr>
          <w:lang w:val="pt-PT"/>
        </w:rPr>
        <w:t>Srl</w:t>
      </w:r>
      <w:proofErr w:type="spellEnd"/>
      <w:r w:rsidRPr="003A4BA9">
        <w:rPr>
          <w:lang w:val="pt-PT"/>
        </w:rPr>
        <w:t xml:space="preserve"> contra Telecom </w:t>
      </w:r>
      <w:proofErr w:type="spellStart"/>
      <w:r w:rsidRPr="003A4BA9">
        <w:rPr>
          <w:lang w:val="pt-PT"/>
        </w:rPr>
        <w:t>Italia</w:t>
      </w:r>
      <w:proofErr w:type="spellEnd"/>
      <w:r w:rsidRPr="003A4BA9">
        <w:rPr>
          <w:lang w:val="pt-PT"/>
        </w:rPr>
        <w:t xml:space="preserve"> </w:t>
      </w:r>
      <w:proofErr w:type="spellStart"/>
      <w:r w:rsidRPr="003A4BA9">
        <w:rPr>
          <w:lang w:val="pt-PT"/>
        </w:rPr>
        <w:t>SpA</w:t>
      </w:r>
      <w:proofErr w:type="spellEnd"/>
      <w:r w:rsidRPr="003A4BA9">
        <w:rPr>
          <w:lang w:val="pt-PT"/>
        </w:rPr>
        <w:t xml:space="preserve"> (C-320/08), Processos apensos C-317/08, C-318/08, C-319/08 e C-320/08, ECLI:EU:C:2010:146, e acórdão do Tribunal de Justiça de 14 de junho de 2017, </w:t>
      </w:r>
      <w:proofErr w:type="spellStart"/>
      <w:r w:rsidRPr="003A4BA9">
        <w:rPr>
          <w:lang w:val="pt-PT"/>
        </w:rPr>
        <w:t>Livio</w:t>
      </w:r>
      <w:proofErr w:type="spellEnd"/>
      <w:r w:rsidRPr="003A4BA9">
        <w:rPr>
          <w:lang w:val="pt-PT"/>
        </w:rPr>
        <w:t xml:space="preserve"> </w:t>
      </w:r>
      <w:proofErr w:type="spellStart"/>
      <w:r w:rsidRPr="003A4BA9">
        <w:rPr>
          <w:lang w:val="pt-PT"/>
        </w:rPr>
        <w:t>Menini</w:t>
      </w:r>
      <w:proofErr w:type="spellEnd"/>
      <w:r w:rsidRPr="003A4BA9">
        <w:rPr>
          <w:lang w:val="pt-PT"/>
        </w:rPr>
        <w:t xml:space="preserve"> e Maria </w:t>
      </w:r>
      <w:proofErr w:type="spellStart"/>
      <w:r w:rsidRPr="003A4BA9">
        <w:rPr>
          <w:lang w:val="pt-PT"/>
        </w:rPr>
        <w:t>Antonia</w:t>
      </w:r>
      <w:proofErr w:type="spellEnd"/>
      <w:r w:rsidRPr="003A4BA9">
        <w:rPr>
          <w:lang w:val="pt-PT"/>
        </w:rPr>
        <w:t xml:space="preserve"> </w:t>
      </w:r>
      <w:proofErr w:type="spellStart"/>
      <w:r w:rsidRPr="003A4BA9">
        <w:rPr>
          <w:lang w:val="pt-PT"/>
        </w:rPr>
        <w:t>Rampanelli</w:t>
      </w:r>
      <w:proofErr w:type="spellEnd"/>
      <w:r w:rsidRPr="003A4BA9">
        <w:rPr>
          <w:lang w:val="pt-PT"/>
        </w:rPr>
        <w:t xml:space="preserve"> contra Banco </w:t>
      </w:r>
      <w:proofErr w:type="spellStart"/>
      <w:r w:rsidRPr="003A4BA9">
        <w:rPr>
          <w:lang w:val="pt-PT"/>
        </w:rPr>
        <w:t>Popolare</w:t>
      </w:r>
      <w:proofErr w:type="spellEnd"/>
      <w:r w:rsidRPr="003A4BA9">
        <w:rPr>
          <w:lang w:val="pt-PT"/>
        </w:rPr>
        <w:t xml:space="preserve"> </w:t>
      </w:r>
      <w:r>
        <w:rPr>
          <w:lang w:val="pt-PT"/>
        </w:rPr>
        <w:t>–</w:t>
      </w:r>
      <w:r w:rsidRPr="003A4BA9">
        <w:rPr>
          <w:lang w:val="pt-PT"/>
        </w:rPr>
        <w:t xml:space="preserve"> </w:t>
      </w:r>
      <w:proofErr w:type="spellStart"/>
      <w:r w:rsidRPr="003A4BA9">
        <w:rPr>
          <w:lang w:val="pt-PT"/>
        </w:rPr>
        <w:t>Società</w:t>
      </w:r>
      <w:proofErr w:type="spellEnd"/>
      <w:r w:rsidRPr="003A4BA9">
        <w:rPr>
          <w:lang w:val="pt-PT"/>
        </w:rPr>
        <w:t xml:space="preserve"> Cooperativa, C-75/16, ECLI:EU:C:2017:457.</w:t>
      </w:r>
    </w:p>
  </w:footnote>
  <w:footnote w:id="15">
    <w:p w14:paraId="15529E2D" w14:textId="5A0C1C1A" w:rsidR="00873481" w:rsidRPr="003A4BA9" w:rsidRDefault="00873481" w:rsidP="002A673F">
      <w:pPr>
        <w:pStyle w:val="FootnoteTextForceStyle"/>
        <w:rPr>
          <w:lang w:val="pt-PT"/>
        </w:rPr>
      </w:pPr>
      <w:r>
        <w:rPr>
          <w:vertAlign w:val="superscript"/>
        </w:rPr>
        <w:footnoteRef/>
      </w:r>
      <w:r w:rsidRPr="003A4BA9">
        <w:rPr>
          <w:lang w:val="pt-PT"/>
        </w:rPr>
        <w:tab/>
        <w:t xml:space="preserve">Comunicação da Comissão - Orientações sobre a aplicação do artigo 101.º do Tratado sobre o Funcionamento da União Europeia aos acordos de cooperação horizontal </w:t>
      </w:r>
      <w:r>
        <w:rPr>
          <w:lang w:val="pt-PT"/>
        </w:rPr>
        <w:t>(</w:t>
      </w:r>
      <w:r w:rsidRPr="003A4BA9">
        <w:rPr>
          <w:lang w:val="pt-PT"/>
        </w:rPr>
        <w:t>JO C 11 de 14.1.2011, p. 1</w:t>
      </w:r>
      <w:r>
        <w:rPr>
          <w:lang w:val="pt-PT"/>
        </w:rPr>
        <w:t>)</w:t>
      </w:r>
      <w:r w:rsidRPr="003A4BA9">
        <w:rPr>
          <w:lang w:val="pt-PT"/>
        </w:rPr>
        <w:t xml:space="preserve"> (atualmente em processo de revisão).</w:t>
      </w:r>
    </w:p>
  </w:footnote>
  <w:footnote w:id="16">
    <w:p w14:paraId="1D8AE217" w14:textId="77777777" w:rsidR="00873481" w:rsidRPr="003A4BA9" w:rsidRDefault="00873481" w:rsidP="002A673F">
      <w:pPr>
        <w:pStyle w:val="FootnoteTextForceStyle"/>
        <w:rPr>
          <w:lang w:val="pt-PT"/>
        </w:rPr>
      </w:pPr>
      <w:r>
        <w:rPr>
          <w:vertAlign w:val="superscript"/>
        </w:rPr>
        <w:footnoteRef/>
      </w:r>
      <w:r w:rsidRPr="003A4BA9">
        <w:rPr>
          <w:lang w:val="pt-PT"/>
        </w:rPr>
        <w:tab/>
        <w:t>Comunicação que define a abordagem da UE em matéria de patentes essenciais a normas, COM (2017) 712 final de 29.11.2017.</w:t>
      </w:r>
    </w:p>
  </w:footnote>
  <w:footnote w:id="17">
    <w:p w14:paraId="7410599B" w14:textId="77777777" w:rsidR="00873481" w:rsidRPr="003A4BA9" w:rsidRDefault="00873481" w:rsidP="002A673F">
      <w:pPr>
        <w:pStyle w:val="FootnoteTextForceStyle"/>
        <w:rPr>
          <w:lang w:val="pt-PT"/>
        </w:rPr>
      </w:pPr>
      <w:r>
        <w:rPr>
          <w:vertAlign w:val="superscript"/>
        </w:rPr>
        <w:footnoteRef/>
      </w:r>
      <w:r w:rsidRPr="003A4BA9">
        <w:rPr>
          <w:lang w:val="pt-PT"/>
        </w:rPr>
        <w:tab/>
        <w:t>JO L 123 de 12.5.2016, p. 1.</w:t>
      </w:r>
    </w:p>
  </w:footnote>
  <w:footnote w:id="18">
    <w:p w14:paraId="324A7390" w14:textId="60AEEE20" w:rsidR="00873481" w:rsidRPr="003A4BA9" w:rsidRDefault="00873481" w:rsidP="002A673F">
      <w:pPr>
        <w:pStyle w:val="FootnoteTextForceStyle"/>
        <w:rPr>
          <w:lang w:val="pt-PT"/>
        </w:rPr>
      </w:pPr>
      <w:r>
        <w:rPr>
          <w:vertAlign w:val="superscript"/>
        </w:rPr>
        <w:footnoteRef/>
      </w:r>
      <w:r w:rsidRPr="003A4BA9">
        <w:rPr>
          <w:lang w:val="pt-PT"/>
        </w:rPr>
        <w:tab/>
        <w:t xml:space="preserve">Regulamento (UE) n.º 182/2011 do Parlamento Europeu e do Conselho, </w:t>
      </w:r>
      <w:bookmarkStart w:id="8" w:name="_GoBack"/>
      <w:bookmarkEnd w:id="8"/>
      <w:r w:rsidRPr="003A4BA9">
        <w:rPr>
          <w:lang w:val="pt-PT"/>
        </w:rPr>
        <w:t>que estabelece as regras e os princípios gerais relativos aos mecanismos de controlo pelos Estados-Membros do exercício das competências de execução pela Comissão (JO L 55 de 28.2.2011, p. 13).</w:t>
      </w:r>
    </w:p>
  </w:footnote>
  <w:footnote w:id="19">
    <w:p w14:paraId="6D4036A6" w14:textId="77777777" w:rsidR="00873481" w:rsidRPr="003A4BA9" w:rsidRDefault="00873481" w:rsidP="002A673F">
      <w:pPr>
        <w:pStyle w:val="FootnoteTextForceStyle"/>
        <w:rPr>
          <w:lang w:val="pt-PT"/>
        </w:rPr>
      </w:pPr>
      <w:r>
        <w:rPr>
          <w:vertAlign w:val="superscript"/>
        </w:rPr>
        <w:footnoteRef/>
      </w:r>
      <w:r w:rsidRPr="003A4BA9">
        <w:rPr>
          <w:lang w:val="pt-PT"/>
        </w:rPr>
        <w:tab/>
        <w:t xml:space="preserve"> Regulamento (UE) 2017/1001 do Parlamento Europeu e do Conselho, de 14 de junho de 2017, sobre a marca da União Europeia (JO L 154 de 16.6.2017, p. 1).</w:t>
      </w:r>
    </w:p>
  </w:footnote>
  <w:footnote w:id="20">
    <w:p w14:paraId="537D6841" w14:textId="1D9EF5A0" w:rsidR="00873481" w:rsidRPr="003A4BA9" w:rsidRDefault="00873481" w:rsidP="002A673F">
      <w:pPr>
        <w:pStyle w:val="FootnoteTextForceStyle"/>
        <w:rPr>
          <w:lang w:val="pt-PT"/>
        </w:rPr>
      </w:pPr>
      <w:r>
        <w:rPr>
          <w:vertAlign w:val="superscript"/>
        </w:rPr>
        <w:footnoteRef/>
      </w:r>
      <w:r w:rsidRPr="003A4BA9">
        <w:rPr>
          <w:lang w:val="pt-PT"/>
        </w:rPr>
        <w:tab/>
        <w:t>Regulamento (UE) 2018/1725 do Parlamento Europeu e do Conselho, de 23 de outubro de 2018, relativo à proteção das pessoas singulares no que diz respeito ao tratamento de dados pessoais pelas instituições e pelos órgãos e organismos da União e à livre circulação desses dados, e que revoga o Regulamento (CE) n.º 45/2001 e a Decisão n.º 1247/2002/CE (JO L 295 de 21.11.2018, p. 39).</w:t>
      </w:r>
    </w:p>
  </w:footnote>
  <w:footnote w:id="21">
    <w:p w14:paraId="0D155976" w14:textId="77777777" w:rsidR="00873481" w:rsidRPr="003A4BA9" w:rsidRDefault="00873481" w:rsidP="002A673F">
      <w:pPr>
        <w:pStyle w:val="FootnoteTextForceStyle"/>
        <w:rPr>
          <w:lang w:val="pt-PT"/>
        </w:rPr>
      </w:pPr>
      <w:r>
        <w:rPr>
          <w:vertAlign w:val="superscript"/>
        </w:rPr>
        <w:footnoteRef/>
      </w:r>
      <w:r w:rsidRPr="003A4BA9">
        <w:rPr>
          <w:lang w:val="pt-PT"/>
        </w:rPr>
        <w:tab/>
        <w:t xml:space="preserve"> Regulamento (UE) n.º 1025/2012 do Parlamento Europeu e do Conselho, de 25 de outubro de 2012, relativo à normalização europeia, que altera as Diretivas 89/686/CEE e 93/15/CEE do Conselho e as Diretivas 94/9/CE, 94/25/CE, 95/16/CE, 97/23/CE, 98/34/CE, 2004/22/CE, 2007/23/CE, 2009/23/CE e 2009/105/CE do Parlamento Europeu e do Conselho e revoga a Decisão 87/95/CEE do Conselho e a Decisão n.º 1673/2006/CE do Parlamento Europeu e do Conselho (JO L 316 de 14.11.2012, p.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70D91" w14:textId="77777777" w:rsidR="00873481" w:rsidRPr="00536B52" w:rsidRDefault="0087348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6B3EC" w14:textId="77777777" w:rsidR="00873481" w:rsidRPr="00536B52" w:rsidRDefault="0087348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C585" w14:textId="77777777" w:rsidR="00873481" w:rsidRPr="00536B52" w:rsidRDefault="008734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73F86F82">
      <w:start w:val="1"/>
      <w:numFmt w:val="decimal"/>
      <w:lvlText w:val="%1."/>
      <w:lvlJc w:val="left"/>
      <w:pPr>
        <w:ind w:left="720" w:hanging="360"/>
      </w:pPr>
      <w:rPr>
        <w:rFonts w:hint="default"/>
      </w:rPr>
    </w:lvl>
    <w:lvl w:ilvl="1" w:tplc="6D549A68" w:tentative="1">
      <w:start w:val="1"/>
      <w:numFmt w:val="lowerLetter"/>
      <w:lvlText w:val="%2."/>
      <w:lvlJc w:val="left"/>
      <w:pPr>
        <w:ind w:left="1440" w:hanging="360"/>
      </w:pPr>
    </w:lvl>
    <w:lvl w:ilvl="2" w:tplc="04B61436" w:tentative="1">
      <w:start w:val="1"/>
      <w:numFmt w:val="lowerRoman"/>
      <w:lvlText w:val="%3."/>
      <w:lvlJc w:val="right"/>
      <w:pPr>
        <w:ind w:left="2160" w:hanging="180"/>
      </w:pPr>
    </w:lvl>
    <w:lvl w:ilvl="3" w:tplc="BC44EBFA" w:tentative="1">
      <w:start w:val="1"/>
      <w:numFmt w:val="decimal"/>
      <w:lvlText w:val="%4."/>
      <w:lvlJc w:val="left"/>
      <w:pPr>
        <w:ind w:left="2880" w:hanging="360"/>
      </w:pPr>
    </w:lvl>
    <w:lvl w:ilvl="4" w:tplc="5A40BB62" w:tentative="1">
      <w:start w:val="1"/>
      <w:numFmt w:val="lowerLetter"/>
      <w:lvlText w:val="%5."/>
      <w:lvlJc w:val="left"/>
      <w:pPr>
        <w:ind w:left="3600" w:hanging="360"/>
      </w:pPr>
    </w:lvl>
    <w:lvl w:ilvl="5" w:tplc="2F82D932" w:tentative="1">
      <w:start w:val="1"/>
      <w:numFmt w:val="lowerRoman"/>
      <w:lvlText w:val="%6."/>
      <w:lvlJc w:val="right"/>
      <w:pPr>
        <w:ind w:left="4320" w:hanging="180"/>
      </w:pPr>
    </w:lvl>
    <w:lvl w:ilvl="6" w:tplc="116CB248" w:tentative="1">
      <w:start w:val="1"/>
      <w:numFmt w:val="decimal"/>
      <w:lvlText w:val="%7."/>
      <w:lvlJc w:val="left"/>
      <w:pPr>
        <w:ind w:left="5040" w:hanging="360"/>
      </w:pPr>
    </w:lvl>
    <w:lvl w:ilvl="7" w:tplc="ED42809E" w:tentative="1">
      <w:start w:val="1"/>
      <w:numFmt w:val="lowerLetter"/>
      <w:lvlText w:val="%8."/>
      <w:lvlJc w:val="left"/>
      <w:pPr>
        <w:ind w:left="5760" w:hanging="360"/>
      </w:pPr>
    </w:lvl>
    <w:lvl w:ilvl="8" w:tplc="A54CCE2C"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F7D06BF0">
      <w:start w:val="1"/>
      <w:numFmt w:val="decimal"/>
      <w:lvlText w:val="%1."/>
      <w:lvlJc w:val="left"/>
      <w:pPr>
        <w:ind w:left="720" w:hanging="360"/>
      </w:pPr>
    </w:lvl>
    <w:lvl w:ilvl="1" w:tplc="6986A6B4" w:tentative="1">
      <w:start w:val="1"/>
      <w:numFmt w:val="lowerLetter"/>
      <w:lvlText w:val="%2."/>
      <w:lvlJc w:val="left"/>
      <w:pPr>
        <w:ind w:left="1440" w:hanging="360"/>
      </w:pPr>
    </w:lvl>
    <w:lvl w:ilvl="2" w:tplc="E4FE738C" w:tentative="1">
      <w:start w:val="1"/>
      <w:numFmt w:val="lowerRoman"/>
      <w:lvlText w:val="%3."/>
      <w:lvlJc w:val="right"/>
      <w:pPr>
        <w:ind w:left="2160" w:hanging="180"/>
      </w:pPr>
    </w:lvl>
    <w:lvl w:ilvl="3" w:tplc="612093FE" w:tentative="1">
      <w:start w:val="1"/>
      <w:numFmt w:val="decimal"/>
      <w:lvlText w:val="%4."/>
      <w:lvlJc w:val="left"/>
      <w:pPr>
        <w:ind w:left="2880" w:hanging="360"/>
      </w:pPr>
    </w:lvl>
    <w:lvl w:ilvl="4" w:tplc="25F45F0E" w:tentative="1">
      <w:start w:val="1"/>
      <w:numFmt w:val="lowerLetter"/>
      <w:lvlText w:val="%5."/>
      <w:lvlJc w:val="left"/>
      <w:pPr>
        <w:ind w:left="3600" w:hanging="360"/>
      </w:pPr>
    </w:lvl>
    <w:lvl w:ilvl="5" w:tplc="1C5A0DAC" w:tentative="1">
      <w:start w:val="1"/>
      <w:numFmt w:val="lowerRoman"/>
      <w:lvlText w:val="%6."/>
      <w:lvlJc w:val="right"/>
      <w:pPr>
        <w:ind w:left="4320" w:hanging="180"/>
      </w:pPr>
    </w:lvl>
    <w:lvl w:ilvl="6" w:tplc="EA1E0A2C" w:tentative="1">
      <w:start w:val="1"/>
      <w:numFmt w:val="decimal"/>
      <w:lvlText w:val="%7."/>
      <w:lvlJc w:val="left"/>
      <w:pPr>
        <w:ind w:left="5040" w:hanging="360"/>
      </w:pPr>
    </w:lvl>
    <w:lvl w:ilvl="7" w:tplc="B5121BEE" w:tentative="1">
      <w:start w:val="1"/>
      <w:numFmt w:val="lowerLetter"/>
      <w:lvlText w:val="%8."/>
      <w:lvlJc w:val="left"/>
      <w:pPr>
        <w:ind w:left="5760" w:hanging="360"/>
      </w:pPr>
    </w:lvl>
    <w:lvl w:ilvl="8" w:tplc="FC84F714"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PT"/>
    <w:docVar w:name="dvnumam" w:val="530"/>
    <w:docVar w:name="dvpe" w:val="753.697"/>
    <w:docVar w:name="dvrapporteur" w:val="Relatora: "/>
    <w:docVar w:name="dvstar" w:val="***I"/>
    <w:docVar w:name="dvtitre" w:val="Resolução legislativa do Parlamento Europeu, de ... de ... de 2024,_x000d__x000a_ sobre a proposta de regulamento do Parlamento Europeu e do Conselho relativo a patentes essenciais a normas que altera o Regulamento (UE) 2017/1001(COM(2023)0232 – C9-0147/2023 – 2023/0133(COD))"/>
  </w:docVars>
  <w:rsids>
    <w:rsidRoot w:val="00BF3EC2"/>
    <w:rsid w:val="00002272"/>
    <w:rsid w:val="00064002"/>
    <w:rsid w:val="000677B9"/>
    <w:rsid w:val="000831BA"/>
    <w:rsid w:val="00084105"/>
    <w:rsid w:val="000A42CC"/>
    <w:rsid w:val="000E7DD9"/>
    <w:rsid w:val="0010095E"/>
    <w:rsid w:val="00125B37"/>
    <w:rsid w:val="00187494"/>
    <w:rsid w:val="001F32AE"/>
    <w:rsid w:val="0020468B"/>
    <w:rsid w:val="00256929"/>
    <w:rsid w:val="002767FF"/>
    <w:rsid w:val="002A673F"/>
    <w:rsid w:val="002B18FE"/>
    <w:rsid w:val="002B5493"/>
    <w:rsid w:val="002C5F88"/>
    <w:rsid w:val="00343214"/>
    <w:rsid w:val="00345689"/>
    <w:rsid w:val="00361C00"/>
    <w:rsid w:val="00395FA1"/>
    <w:rsid w:val="003C2C77"/>
    <w:rsid w:val="003E15D4"/>
    <w:rsid w:val="00411CCE"/>
    <w:rsid w:val="0041666E"/>
    <w:rsid w:val="00421060"/>
    <w:rsid w:val="00471C19"/>
    <w:rsid w:val="004867E3"/>
    <w:rsid w:val="00494A28"/>
    <w:rsid w:val="004B6DC4"/>
    <w:rsid w:val="004C0004"/>
    <w:rsid w:val="004C5D52"/>
    <w:rsid w:val="0050519A"/>
    <w:rsid w:val="005072A1"/>
    <w:rsid w:val="00514517"/>
    <w:rsid w:val="00515FDB"/>
    <w:rsid w:val="00536B52"/>
    <w:rsid w:val="00541231"/>
    <w:rsid w:val="00545827"/>
    <w:rsid w:val="00560270"/>
    <w:rsid w:val="005C2568"/>
    <w:rsid w:val="006037C0"/>
    <w:rsid w:val="006631B6"/>
    <w:rsid w:val="00663813"/>
    <w:rsid w:val="00680577"/>
    <w:rsid w:val="00686290"/>
    <w:rsid w:val="006D09F7"/>
    <w:rsid w:val="006F74FA"/>
    <w:rsid w:val="00731ADD"/>
    <w:rsid w:val="00734777"/>
    <w:rsid w:val="00747932"/>
    <w:rsid w:val="00751A4A"/>
    <w:rsid w:val="00756632"/>
    <w:rsid w:val="00762C74"/>
    <w:rsid w:val="00786EC0"/>
    <w:rsid w:val="007C3E32"/>
    <w:rsid w:val="007D1690"/>
    <w:rsid w:val="007D3B00"/>
    <w:rsid w:val="007E22AD"/>
    <w:rsid w:val="00817416"/>
    <w:rsid w:val="00842779"/>
    <w:rsid w:val="00865F67"/>
    <w:rsid w:val="00873481"/>
    <w:rsid w:val="00881A7B"/>
    <w:rsid w:val="008840E5"/>
    <w:rsid w:val="00887B3E"/>
    <w:rsid w:val="008C2AC6"/>
    <w:rsid w:val="00916FB6"/>
    <w:rsid w:val="009212D1"/>
    <w:rsid w:val="00921D26"/>
    <w:rsid w:val="00930C23"/>
    <w:rsid w:val="0093193B"/>
    <w:rsid w:val="00937E3A"/>
    <w:rsid w:val="009509D8"/>
    <w:rsid w:val="00950B64"/>
    <w:rsid w:val="009739CE"/>
    <w:rsid w:val="00981893"/>
    <w:rsid w:val="009B7063"/>
    <w:rsid w:val="00A1687D"/>
    <w:rsid w:val="00A43E52"/>
    <w:rsid w:val="00A4678D"/>
    <w:rsid w:val="00A778C7"/>
    <w:rsid w:val="00AB441E"/>
    <w:rsid w:val="00AB6293"/>
    <w:rsid w:val="00AE0928"/>
    <w:rsid w:val="00AF3B82"/>
    <w:rsid w:val="00B12E95"/>
    <w:rsid w:val="00B22876"/>
    <w:rsid w:val="00B558F0"/>
    <w:rsid w:val="00BB0DAD"/>
    <w:rsid w:val="00BC0044"/>
    <w:rsid w:val="00BD48FE"/>
    <w:rsid w:val="00BD7BD8"/>
    <w:rsid w:val="00BE2258"/>
    <w:rsid w:val="00BE6ADC"/>
    <w:rsid w:val="00BF3EC2"/>
    <w:rsid w:val="00C05BFE"/>
    <w:rsid w:val="00C23CD4"/>
    <w:rsid w:val="00C43153"/>
    <w:rsid w:val="00C61C0C"/>
    <w:rsid w:val="00C941CB"/>
    <w:rsid w:val="00CB72F3"/>
    <w:rsid w:val="00CC2357"/>
    <w:rsid w:val="00CF071A"/>
    <w:rsid w:val="00D058B8"/>
    <w:rsid w:val="00D25768"/>
    <w:rsid w:val="00D31454"/>
    <w:rsid w:val="00D45C43"/>
    <w:rsid w:val="00D56C11"/>
    <w:rsid w:val="00D635BC"/>
    <w:rsid w:val="00D834A0"/>
    <w:rsid w:val="00D872DF"/>
    <w:rsid w:val="00D91E21"/>
    <w:rsid w:val="00DA7FCD"/>
    <w:rsid w:val="00DB7B8D"/>
    <w:rsid w:val="00DD22FC"/>
    <w:rsid w:val="00E075CA"/>
    <w:rsid w:val="00E365E1"/>
    <w:rsid w:val="00E820A4"/>
    <w:rsid w:val="00EB006A"/>
    <w:rsid w:val="00EB4772"/>
    <w:rsid w:val="00ED169E"/>
    <w:rsid w:val="00ED4235"/>
    <w:rsid w:val="00F04346"/>
    <w:rsid w:val="00F05F2C"/>
    <w:rsid w:val="00F075DC"/>
    <w:rsid w:val="00F149E9"/>
    <w:rsid w:val="00F21604"/>
    <w:rsid w:val="00F5134D"/>
    <w:rsid w:val="00F67B86"/>
    <w:rsid w:val="00F725CF"/>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5F7AA6"/>
  <w15:chartTrackingRefBased/>
  <w15:docId w15:val="{18BF1841-85FB-4E88-AC24-A5D49CBAA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86290"/>
    <w:rPr>
      <w:b/>
      <w:kern w:val="28"/>
      <w:sz w:val="28"/>
      <w:lang w:val="fr-FR" w:eastAsia="fr-FR"/>
    </w:rPr>
  </w:style>
  <w:style w:type="character" w:customStyle="1" w:styleId="Heading2Char">
    <w:name w:val="Heading 2 Char"/>
    <w:basedOn w:val="DefaultParagraphFont"/>
    <w:link w:val="Heading2"/>
    <w:rsid w:val="00686290"/>
    <w:rPr>
      <w:sz w:val="24"/>
      <w:lang w:val="fr-FR" w:eastAsia="fr-FR"/>
    </w:rPr>
  </w:style>
  <w:style w:type="character" w:customStyle="1" w:styleId="Heading3Char">
    <w:name w:val="Heading 3 Char"/>
    <w:basedOn w:val="DefaultParagraphFont"/>
    <w:link w:val="Heading3"/>
    <w:rsid w:val="00686290"/>
    <w:rPr>
      <w:rFonts w:ascii="Arial" w:hAnsi="Arial"/>
      <w:sz w:val="24"/>
      <w:lang w:val="fr-FR" w:eastAsia="fr-FR"/>
    </w:rPr>
  </w:style>
  <w:style w:type="character" w:customStyle="1" w:styleId="Heading4Char">
    <w:name w:val="Heading 4 Char"/>
    <w:basedOn w:val="DefaultParagraphFont"/>
    <w:link w:val="Heading4"/>
    <w:rsid w:val="00686290"/>
    <w:rPr>
      <w:sz w:val="24"/>
      <w:lang w:val="en-US" w:eastAsia="fr-FR"/>
    </w:rPr>
  </w:style>
  <w:style w:type="character" w:customStyle="1" w:styleId="Heading5Char">
    <w:name w:val="Heading 5 Char"/>
    <w:basedOn w:val="DefaultParagraphFont"/>
    <w:link w:val="Heading5"/>
    <w:semiHidden/>
    <w:rsid w:val="00686290"/>
    <w:rPr>
      <w:sz w:val="24"/>
      <w:lang w:val="en-US" w:eastAsia="fr-FR"/>
    </w:rPr>
  </w:style>
  <w:style w:type="character" w:customStyle="1" w:styleId="Heading6Char">
    <w:name w:val="Heading 6 Char"/>
    <w:basedOn w:val="DefaultParagraphFont"/>
    <w:link w:val="Heading6"/>
    <w:semiHidden/>
    <w:rsid w:val="00686290"/>
    <w:rPr>
      <w:i/>
      <w:sz w:val="22"/>
      <w:lang w:val="pt-PT"/>
    </w:rPr>
  </w:style>
  <w:style w:type="character" w:customStyle="1" w:styleId="Heading7Char">
    <w:name w:val="Heading 7 Char"/>
    <w:basedOn w:val="DefaultParagraphFont"/>
    <w:link w:val="Heading7"/>
    <w:semiHidden/>
    <w:rsid w:val="00686290"/>
    <w:rPr>
      <w:rFonts w:ascii="Arial" w:hAnsi="Arial"/>
      <w:sz w:val="24"/>
      <w:lang w:val="pt-PT"/>
    </w:rPr>
  </w:style>
  <w:style w:type="character" w:customStyle="1" w:styleId="Heading8Char">
    <w:name w:val="Heading 8 Char"/>
    <w:basedOn w:val="DefaultParagraphFont"/>
    <w:link w:val="Heading8"/>
    <w:semiHidden/>
    <w:rsid w:val="00686290"/>
    <w:rPr>
      <w:rFonts w:ascii="Arial" w:hAnsi="Arial"/>
      <w:i/>
      <w:sz w:val="24"/>
      <w:lang w:val="pt-PT"/>
    </w:rPr>
  </w:style>
  <w:style w:type="character" w:customStyle="1" w:styleId="Heading9Char">
    <w:name w:val="Heading 9 Char"/>
    <w:basedOn w:val="DefaultParagraphFont"/>
    <w:link w:val="Heading9"/>
    <w:semiHidden/>
    <w:rsid w:val="00686290"/>
    <w:rPr>
      <w:rFonts w:ascii="Arial" w:hAnsi="Arial"/>
      <w:b/>
      <w:i/>
      <w:sz w:val="18"/>
      <w:lang w:val="pt-PT"/>
    </w:rPr>
  </w:style>
  <w:style w:type="paragraph" w:styleId="TOCHeading">
    <w:name w:val="TOC Heading"/>
    <w:basedOn w:val="Normal"/>
    <w:next w:val="Normal"/>
    <w:uiPriority w:val="39"/>
    <w:unhideWhenUsed/>
    <w:qFormat/>
    <w:rsid w:val="00686290"/>
    <w:pPr>
      <w:widowControl/>
      <w:spacing w:after="240"/>
    </w:pPr>
    <w:rPr>
      <w:lang w:val="en-GB"/>
    </w:rPr>
  </w:style>
  <w:style w:type="paragraph" w:customStyle="1" w:styleId="EPFooter2">
    <w:name w:val="EPFooter2"/>
    <w:basedOn w:val="Normal"/>
    <w:next w:val="Normal"/>
    <w:rsid w:val="0068629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86290"/>
    <w:pPr>
      <w:keepNext/>
      <w:spacing w:after="240"/>
      <w:jc w:val="right"/>
    </w:pPr>
    <w:rPr>
      <w:rFonts w:ascii="Arial" w:hAnsi="Arial"/>
      <w:b/>
    </w:rPr>
  </w:style>
  <w:style w:type="paragraph" w:customStyle="1" w:styleId="Normal6a">
    <w:name w:val="Normal6a"/>
    <w:basedOn w:val="Normal"/>
    <w:rsid w:val="00686290"/>
    <w:pPr>
      <w:spacing w:after="120"/>
    </w:pPr>
  </w:style>
  <w:style w:type="paragraph" w:customStyle="1" w:styleId="PageHeading">
    <w:name w:val="PageHeading"/>
    <w:basedOn w:val="Normal"/>
    <w:rsid w:val="00686290"/>
    <w:pPr>
      <w:keepNext/>
      <w:spacing w:after="480"/>
      <w:jc w:val="center"/>
    </w:pPr>
    <w:rPr>
      <w:rFonts w:ascii="Arial" w:hAnsi="Arial" w:cs="Arial"/>
      <w:b/>
    </w:rPr>
  </w:style>
  <w:style w:type="paragraph" w:customStyle="1" w:styleId="NormalBold">
    <w:name w:val="NormalBold"/>
    <w:basedOn w:val="Normal"/>
    <w:link w:val="NormalBoldChar"/>
    <w:rsid w:val="00686290"/>
    <w:rPr>
      <w:b/>
    </w:rPr>
  </w:style>
  <w:style w:type="character" w:customStyle="1" w:styleId="NormalBoldChar">
    <w:name w:val="NormalBold Char"/>
    <w:basedOn w:val="DefaultParagraphFont"/>
    <w:link w:val="NormalBold"/>
    <w:locked/>
    <w:rsid w:val="00686290"/>
    <w:rPr>
      <w:b/>
      <w:sz w:val="24"/>
      <w:lang w:val="pt-PT"/>
    </w:rPr>
  </w:style>
  <w:style w:type="paragraph" w:customStyle="1" w:styleId="NormalBold12a">
    <w:name w:val="NormalBold12a"/>
    <w:basedOn w:val="Normal"/>
    <w:rsid w:val="00686290"/>
    <w:pPr>
      <w:spacing w:after="240"/>
    </w:pPr>
    <w:rPr>
      <w:b/>
    </w:rPr>
  </w:style>
  <w:style w:type="paragraph" w:customStyle="1" w:styleId="AmJustText">
    <w:name w:val="AmJustText"/>
    <w:basedOn w:val="Normal"/>
    <w:rsid w:val="00686290"/>
    <w:pPr>
      <w:spacing w:after="240"/>
    </w:pPr>
    <w:rPr>
      <w:i/>
    </w:rPr>
  </w:style>
  <w:style w:type="paragraph" w:customStyle="1" w:styleId="NormalHanging12a">
    <w:name w:val="NormalHanging12a"/>
    <w:basedOn w:val="Normal"/>
    <w:link w:val="NormalHanging12aChar"/>
    <w:rsid w:val="00686290"/>
    <w:pPr>
      <w:spacing w:after="240"/>
      <w:ind w:left="567" w:hanging="567"/>
    </w:pPr>
  </w:style>
  <w:style w:type="paragraph" w:customStyle="1" w:styleId="CoverNormal24a">
    <w:name w:val="CoverNormal24a"/>
    <w:basedOn w:val="Normal"/>
    <w:rsid w:val="00686290"/>
    <w:pPr>
      <w:spacing w:after="480"/>
      <w:ind w:left="1417"/>
    </w:pPr>
  </w:style>
  <w:style w:type="paragraph" w:customStyle="1" w:styleId="CoverNormal">
    <w:name w:val="CoverNormal"/>
    <w:basedOn w:val="Normal"/>
    <w:rsid w:val="00686290"/>
    <w:pPr>
      <w:ind w:left="1418"/>
    </w:pPr>
  </w:style>
  <w:style w:type="paragraph" w:customStyle="1" w:styleId="AmCrossRef">
    <w:name w:val="AmCrossRef"/>
    <w:basedOn w:val="Normal"/>
    <w:rsid w:val="00686290"/>
    <w:pPr>
      <w:spacing w:before="240" w:after="240"/>
      <w:jc w:val="center"/>
    </w:pPr>
    <w:rPr>
      <w:i/>
    </w:rPr>
  </w:style>
  <w:style w:type="paragraph" w:customStyle="1" w:styleId="AmJustTitle">
    <w:name w:val="AmJustTitle"/>
    <w:basedOn w:val="Normal"/>
    <w:next w:val="AmJustText"/>
    <w:rsid w:val="00686290"/>
    <w:pPr>
      <w:keepNext/>
      <w:spacing w:before="240" w:after="240"/>
      <w:jc w:val="center"/>
    </w:pPr>
    <w:rPr>
      <w:i/>
    </w:rPr>
  </w:style>
  <w:style w:type="paragraph" w:customStyle="1" w:styleId="CoverReference">
    <w:name w:val="CoverReference"/>
    <w:basedOn w:val="Normal"/>
    <w:rsid w:val="00686290"/>
    <w:pPr>
      <w:spacing w:before="1080"/>
      <w:jc w:val="right"/>
    </w:pPr>
    <w:rPr>
      <w:rFonts w:ascii="Arial" w:hAnsi="Arial" w:cs="Arial"/>
      <w:b/>
    </w:rPr>
  </w:style>
  <w:style w:type="paragraph" w:customStyle="1" w:styleId="CoverDocType">
    <w:name w:val="CoverDocType"/>
    <w:basedOn w:val="Normal"/>
    <w:rsid w:val="00686290"/>
    <w:pPr>
      <w:ind w:left="1418"/>
    </w:pPr>
    <w:rPr>
      <w:rFonts w:ascii="Arial" w:hAnsi="Arial"/>
      <w:b/>
      <w:sz w:val="48"/>
    </w:rPr>
  </w:style>
  <w:style w:type="paragraph" w:customStyle="1" w:styleId="CoverDocType24a">
    <w:name w:val="CoverDocType24a"/>
    <w:basedOn w:val="Normal"/>
    <w:rsid w:val="00686290"/>
    <w:pPr>
      <w:spacing w:after="480"/>
      <w:ind w:left="1418"/>
    </w:pPr>
    <w:rPr>
      <w:rFonts w:ascii="Arial" w:hAnsi="Arial"/>
      <w:b/>
      <w:sz w:val="48"/>
    </w:rPr>
  </w:style>
  <w:style w:type="paragraph" w:customStyle="1" w:styleId="CoverDate">
    <w:name w:val="CoverDate"/>
    <w:basedOn w:val="Normal"/>
    <w:rsid w:val="00686290"/>
    <w:pPr>
      <w:spacing w:before="240" w:after="1200"/>
    </w:pPr>
  </w:style>
  <w:style w:type="paragraph" w:styleId="Header">
    <w:name w:val="header"/>
    <w:basedOn w:val="Normal"/>
    <w:link w:val="HeaderChar"/>
    <w:rsid w:val="00686290"/>
    <w:pPr>
      <w:tabs>
        <w:tab w:val="center" w:pos="4513"/>
        <w:tab w:val="right" w:pos="9026"/>
      </w:tabs>
    </w:pPr>
  </w:style>
  <w:style w:type="character" w:customStyle="1" w:styleId="HeaderChar">
    <w:name w:val="Header Char"/>
    <w:basedOn w:val="DefaultParagraphFont"/>
    <w:link w:val="Header"/>
    <w:rsid w:val="00686290"/>
    <w:rPr>
      <w:sz w:val="24"/>
      <w:lang w:val="pt-PT"/>
    </w:rPr>
  </w:style>
  <w:style w:type="paragraph" w:customStyle="1" w:styleId="AmOrLang">
    <w:name w:val="AmOrLang"/>
    <w:basedOn w:val="Normal"/>
    <w:rsid w:val="00686290"/>
    <w:pPr>
      <w:spacing w:before="240" w:after="240"/>
      <w:jc w:val="right"/>
    </w:pPr>
  </w:style>
  <w:style w:type="paragraph" w:customStyle="1" w:styleId="AmColumnHeading">
    <w:name w:val="AmColumnHeading"/>
    <w:basedOn w:val="Normal"/>
    <w:rsid w:val="00686290"/>
    <w:pPr>
      <w:spacing w:after="240"/>
      <w:jc w:val="center"/>
    </w:pPr>
    <w:rPr>
      <w:i/>
    </w:rPr>
  </w:style>
  <w:style w:type="paragraph" w:customStyle="1" w:styleId="AmNumberTabs">
    <w:name w:val="AmNumberTabs"/>
    <w:basedOn w:val="Normal"/>
    <w:link w:val="AmNumberTabsChar"/>
    <w:rsid w:val="0068629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686290"/>
    <w:rPr>
      <w:b/>
      <w:sz w:val="24"/>
      <w:lang w:val="pt-PT"/>
    </w:rPr>
  </w:style>
  <w:style w:type="paragraph" w:customStyle="1" w:styleId="NormalBold12b">
    <w:name w:val="NormalBold12b"/>
    <w:basedOn w:val="Normal"/>
    <w:link w:val="NormalBold12bChar"/>
    <w:rsid w:val="00686290"/>
    <w:pPr>
      <w:spacing w:before="240"/>
    </w:pPr>
    <w:rPr>
      <w:b/>
    </w:rPr>
  </w:style>
  <w:style w:type="character" w:customStyle="1" w:styleId="NormalBold12bChar">
    <w:name w:val="NormalBold12b Char"/>
    <w:basedOn w:val="AmNumberTabsChar"/>
    <w:link w:val="NormalBold12b"/>
    <w:rsid w:val="00686290"/>
    <w:rPr>
      <w:b/>
      <w:sz w:val="24"/>
      <w:lang w:val="pt-PT"/>
    </w:rPr>
  </w:style>
  <w:style w:type="paragraph" w:customStyle="1" w:styleId="EPBody">
    <w:name w:val="EPBody"/>
    <w:basedOn w:val="Normal"/>
    <w:rsid w:val="00686290"/>
    <w:pPr>
      <w:jc w:val="center"/>
    </w:pPr>
    <w:rPr>
      <w:rFonts w:ascii="Arial" w:hAnsi="Arial" w:cs="Arial"/>
      <w:i/>
      <w:sz w:val="22"/>
      <w:szCs w:val="22"/>
    </w:rPr>
  </w:style>
  <w:style w:type="paragraph" w:customStyle="1" w:styleId="EPFooter">
    <w:name w:val="EPFooter"/>
    <w:basedOn w:val="Normal"/>
    <w:rsid w:val="00686290"/>
    <w:pPr>
      <w:tabs>
        <w:tab w:val="center" w:pos="4535"/>
        <w:tab w:val="right" w:pos="9071"/>
      </w:tabs>
      <w:spacing w:before="240" w:after="240"/>
    </w:pPr>
    <w:rPr>
      <w:color w:val="010000"/>
      <w:sz w:val="22"/>
    </w:rPr>
  </w:style>
  <w:style w:type="paragraph" w:customStyle="1" w:styleId="EPComma">
    <w:name w:val="EPComma"/>
    <w:basedOn w:val="Normal"/>
    <w:rsid w:val="00686290"/>
    <w:pPr>
      <w:spacing w:before="480" w:after="240"/>
    </w:pPr>
  </w:style>
  <w:style w:type="paragraph" w:customStyle="1" w:styleId="Lgendesigne">
    <w:name w:val="Légende signe"/>
    <w:basedOn w:val="Normal"/>
    <w:rsid w:val="00686290"/>
    <w:pPr>
      <w:tabs>
        <w:tab w:val="right" w:pos="454"/>
        <w:tab w:val="left" w:pos="737"/>
      </w:tabs>
      <w:ind w:left="737" w:hanging="737"/>
    </w:pPr>
    <w:rPr>
      <w:snapToGrid w:val="0"/>
      <w:sz w:val="18"/>
      <w:lang w:eastAsia="en-US"/>
    </w:rPr>
  </w:style>
  <w:style w:type="paragraph" w:customStyle="1" w:styleId="Lgendetitre">
    <w:name w:val="Légende titre"/>
    <w:basedOn w:val="Normal"/>
    <w:rsid w:val="00686290"/>
    <w:pPr>
      <w:spacing w:before="240" w:after="240"/>
    </w:pPr>
    <w:rPr>
      <w:b/>
      <w:i/>
      <w:snapToGrid w:val="0"/>
      <w:lang w:eastAsia="en-US"/>
    </w:rPr>
  </w:style>
  <w:style w:type="paragraph" w:customStyle="1" w:styleId="Lgendestandard">
    <w:name w:val="Légende standard"/>
    <w:basedOn w:val="Normal"/>
    <w:rsid w:val="00686290"/>
    <w:rPr>
      <w:sz w:val="18"/>
    </w:rPr>
  </w:style>
  <w:style w:type="character" w:customStyle="1" w:styleId="Normal12Char">
    <w:name w:val="Normal12 Char"/>
    <w:basedOn w:val="DefaultParagraphFont"/>
    <w:link w:val="Normal12"/>
    <w:locked/>
    <w:rsid w:val="00686290"/>
    <w:rPr>
      <w:noProof/>
      <w:sz w:val="24"/>
    </w:rPr>
  </w:style>
  <w:style w:type="paragraph" w:customStyle="1" w:styleId="Normal12">
    <w:name w:val="Normal12"/>
    <w:basedOn w:val="Normal"/>
    <w:link w:val="Normal12Char"/>
    <w:rsid w:val="00686290"/>
    <w:pPr>
      <w:spacing w:after="240"/>
    </w:pPr>
    <w:rPr>
      <w:noProof/>
      <w:lang w:val="en-GB"/>
    </w:rPr>
  </w:style>
  <w:style w:type="character" w:customStyle="1" w:styleId="Normal6Char">
    <w:name w:val="Normal6 Char"/>
    <w:basedOn w:val="DefaultParagraphFont"/>
    <w:link w:val="Normal6"/>
    <w:locked/>
    <w:rsid w:val="00686290"/>
    <w:rPr>
      <w:sz w:val="24"/>
      <w:lang w:val="pt-PT"/>
    </w:rPr>
  </w:style>
  <w:style w:type="paragraph" w:customStyle="1" w:styleId="Normal6">
    <w:name w:val="Normal6"/>
    <w:basedOn w:val="Normal"/>
    <w:link w:val="Normal6Char"/>
    <w:rsid w:val="00686290"/>
    <w:pPr>
      <w:spacing w:after="120"/>
    </w:pPr>
  </w:style>
  <w:style w:type="paragraph" w:customStyle="1" w:styleId="Normal12Italic">
    <w:name w:val="Normal12Italic"/>
    <w:basedOn w:val="Normal12"/>
    <w:rsid w:val="00686290"/>
    <w:rPr>
      <w:i/>
    </w:rPr>
  </w:style>
  <w:style w:type="paragraph" w:customStyle="1" w:styleId="EntPE">
    <w:name w:val="EntPE"/>
    <w:basedOn w:val="Normal12"/>
    <w:rsid w:val="00686290"/>
    <w:pPr>
      <w:jc w:val="center"/>
    </w:pPr>
    <w:rPr>
      <w:noProof w:val="0"/>
      <w:sz w:val="56"/>
    </w:rPr>
  </w:style>
  <w:style w:type="paragraph" w:customStyle="1" w:styleId="AMNumberTabs0">
    <w:name w:val="AMNumberTabs"/>
    <w:basedOn w:val="Normal"/>
    <w:rsid w:val="0068629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686290"/>
    <w:pPr>
      <w:spacing w:after="240"/>
      <w:jc w:val="center"/>
    </w:pPr>
    <w:rPr>
      <w:i/>
    </w:rPr>
  </w:style>
  <w:style w:type="paragraph" w:customStyle="1" w:styleId="Olang">
    <w:name w:val="Olang"/>
    <w:basedOn w:val="Normal"/>
    <w:rsid w:val="00686290"/>
    <w:pPr>
      <w:spacing w:before="240" w:after="240"/>
      <w:jc w:val="right"/>
    </w:pPr>
    <w:rPr>
      <w:noProof/>
      <w:szCs w:val="24"/>
    </w:rPr>
  </w:style>
  <w:style w:type="paragraph" w:customStyle="1" w:styleId="JustificationTitle">
    <w:name w:val="JustificationTitle"/>
    <w:basedOn w:val="Normal"/>
    <w:next w:val="Normal12"/>
    <w:rsid w:val="00686290"/>
    <w:pPr>
      <w:keepNext/>
      <w:spacing w:before="240" w:after="240"/>
      <w:jc w:val="center"/>
    </w:pPr>
    <w:rPr>
      <w:i/>
      <w:noProof/>
    </w:rPr>
  </w:style>
  <w:style w:type="paragraph" w:styleId="ListParagraph">
    <w:name w:val="List Paragraph"/>
    <w:basedOn w:val="Normal"/>
    <w:uiPriority w:val="34"/>
    <w:qFormat/>
    <w:rsid w:val="00686290"/>
    <w:pPr>
      <w:ind w:left="720"/>
      <w:contextualSpacing/>
    </w:pPr>
  </w:style>
  <w:style w:type="paragraph" w:styleId="BalloonText">
    <w:name w:val="Balloon Text"/>
    <w:basedOn w:val="Normal"/>
    <w:link w:val="BalloonTextChar"/>
    <w:unhideWhenUsed/>
    <w:rsid w:val="00686290"/>
    <w:rPr>
      <w:rFonts w:ascii="Segoe UI" w:hAnsi="Segoe UI" w:cs="Segoe UI"/>
      <w:sz w:val="18"/>
      <w:szCs w:val="18"/>
    </w:rPr>
  </w:style>
  <w:style w:type="character" w:customStyle="1" w:styleId="BalloonTextChar">
    <w:name w:val="Balloon Text Char"/>
    <w:basedOn w:val="DefaultParagraphFont"/>
    <w:link w:val="BalloonText"/>
    <w:rsid w:val="00686290"/>
    <w:rPr>
      <w:rFonts w:ascii="Segoe UI" w:hAnsi="Segoe UI" w:cs="Segoe UI"/>
      <w:sz w:val="18"/>
      <w:szCs w:val="18"/>
      <w:lang w:val="pt-PT"/>
    </w:rPr>
  </w:style>
  <w:style w:type="character" w:styleId="CommentReference">
    <w:name w:val="annotation reference"/>
    <w:basedOn w:val="DefaultParagraphFont"/>
    <w:rsid w:val="00686290"/>
    <w:rPr>
      <w:sz w:val="16"/>
      <w:szCs w:val="16"/>
    </w:rPr>
  </w:style>
  <w:style w:type="paragraph" w:styleId="CommentText">
    <w:name w:val="annotation text"/>
    <w:basedOn w:val="Normal"/>
    <w:link w:val="CommentTextChar"/>
    <w:rsid w:val="00686290"/>
    <w:rPr>
      <w:sz w:val="20"/>
    </w:rPr>
  </w:style>
  <w:style w:type="character" w:customStyle="1" w:styleId="CommentTextChar">
    <w:name w:val="Comment Text Char"/>
    <w:basedOn w:val="DefaultParagraphFont"/>
    <w:link w:val="CommentText"/>
    <w:rsid w:val="00686290"/>
    <w:rPr>
      <w:lang w:val="pt-PT"/>
    </w:rPr>
  </w:style>
  <w:style w:type="paragraph" w:styleId="CommentSubject">
    <w:name w:val="annotation subject"/>
    <w:basedOn w:val="CommentText"/>
    <w:next w:val="CommentText"/>
    <w:link w:val="CommentSubjectChar"/>
    <w:unhideWhenUsed/>
    <w:rsid w:val="00686290"/>
    <w:rPr>
      <w:b/>
      <w:bCs/>
    </w:rPr>
  </w:style>
  <w:style w:type="character" w:customStyle="1" w:styleId="CommentSubjectChar">
    <w:name w:val="Comment Subject Char"/>
    <w:basedOn w:val="CommentTextChar"/>
    <w:link w:val="CommentSubject"/>
    <w:rsid w:val="00686290"/>
    <w:rPr>
      <w:b/>
      <w:bCs/>
      <w:lang w:val="pt-PT"/>
    </w:rPr>
  </w:style>
  <w:style w:type="paragraph" w:customStyle="1" w:styleId="Titrearticle">
    <w:name w:val="Titre article"/>
    <w:basedOn w:val="Normal"/>
    <w:next w:val="Normal"/>
    <w:rsid w:val="00686290"/>
    <w:pPr>
      <w:keepNext/>
      <w:widowControl/>
      <w:spacing w:before="360" w:after="120"/>
      <w:jc w:val="center"/>
    </w:pPr>
    <w:rPr>
      <w:rFonts w:eastAsia="Calibri"/>
      <w:i/>
      <w:szCs w:val="22"/>
      <w:lang w:eastAsia="en-US"/>
    </w:rPr>
  </w:style>
  <w:style w:type="paragraph" w:customStyle="1" w:styleId="Normal12a">
    <w:name w:val="Normal12a"/>
    <w:basedOn w:val="Normal"/>
    <w:rsid w:val="00686290"/>
    <w:pPr>
      <w:spacing w:after="240"/>
    </w:pPr>
  </w:style>
  <w:style w:type="paragraph" w:customStyle="1" w:styleId="PageHeadingNotTOC">
    <w:name w:val="PageHeadingNotTOC"/>
    <w:basedOn w:val="Normal"/>
    <w:rsid w:val="00686290"/>
    <w:pPr>
      <w:keepNext/>
      <w:spacing w:after="480"/>
      <w:jc w:val="center"/>
    </w:pPr>
    <w:rPr>
      <w:rFonts w:ascii="Arial" w:hAnsi="Arial" w:cs="Arial"/>
      <w:b/>
    </w:rPr>
  </w:style>
  <w:style w:type="paragraph" w:customStyle="1" w:styleId="AmHeadingPA">
    <w:name w:val="AmHeadingPA"/>
    <w:basedOn w:val="Normal"/>
    <w:next w:val="Normal"/>
    <w:rsid w:val="00686290"/>
    <w:pPr>
      <w:spacing w:before="480" w:after="240"/>
      <w:jc w:val="center"/>
    </w:pPr>
    <w:rPr>
      <w:rFonts w:ascii="Arial" w:hAnsi="Arial"/>
      <w:b/>
      <w:caps/>
      <w:snapToGrid w:val="0"/>
      <w:szCs w:val="24"/>
      <w:lang w:eastAsia="en-US"/>
    </w:rPr>
  </w:style>
  <w:style w:type="paragraph" w:customStyle="1" w:styleId="msonormal0">
    <w:name w:val="msonormal"/>
    <w:basedOn w:val="Normal"/>
    <w:rsid w:val="00686290"/>
    <w:pPr>
      <w:widowControl/>
      <w:spacing w:before="100" w:beforeAutospacing="1" w:after="100" w:afterAutospacing="1"/>
    </w:pPr>
    <w:rPr>
      <w:szCs w:val="24"/>
    </w:rPr>
  </w:style>
  <w:style w:type="paragraph" w:customStyle="1" w:styleId="CommitteeAM">
    <w:name w:val="CommitteeAM"/>
    <w:basedOn w:val="Normal"/>
    <w:rsid w:val="00686290"/>
    <w:pPr>
      <w:spacing w:before="240" w:after="600"/>
      <w:jc w:val="center"/>
    </w:pPr>
    <w:rPr>
      <w:i/>
    </w:rPr>
  </w:style>
  <w:style w:type="paragraph" w:customStyle="1" w:styleId="ZDateAM">
    <w:name w:val="ZDateAM"/>
    <w:basedOn w:val="Normal"/>
    <w:rsid w:val="00686290"/>
    <w:pPr>
      <w:tabs>
        <w:tab w:val="right" w:pos="9356"/>
      </w:tabs>
      <w:spacing w:after="480"/>
    </w:pPr>
    <w:rPr>
      <w:noProof/>
    </w:rPr>
  </w:style>
  <w:style w:type="paragraph" w:customStyle="1" w:styleId="ProjRap">
    <w:name w:val="ProjRap"/>
    <w:basedOn w:val="Normal"/>
    <w:rsid w:val="00686290"/>
    <w:pPr>
      <w:tabs>
        <w:tab w:val="right" w:pos="9356"/>
      </w:tabs>
    </w:pPr>
    <w:rPr>
      <w:b/>
      <w:noProof/>
    </w:rPr>
  </w:style>
  <w:style w:type="paragraph" w:customStyle="1" w:styleId="PELeft">
    <w:name w:val="PELeft"/>
    <w:basedOn w:val="Normal"/>
    <w:rsid w:val="00686290"/>
    <w:pPr>
      <w:spacing w:before="40" w:after="40"/>
    </w:pPr>
    <w:rPr>
      <w:rFonts w:ascii="Arial" w:hAnsi="Arial" w:cs="Arial"/>
      <w:sz w:val="22"/>
      <w:szCs w:val="22"/>
    </w:rPr>
  </w:style>
  <w:style w:type="paragraph" w:customStyle="1" w:styleId="PERight">
    <w:name w:val="PERight"/>
    <w:basedOn w:val="Normal"/>
    <w:next w:val="Normal"/>
    <w:rsid w:val="00686290"/>
    <w:pPr>
      <w:jc w:val="right"/>
    </w:pPr>
    <w:rPr>
      <w:rFonts w:ascii="Arial" w:hAnsi="Arial" w:cs="Arial"/>
      <w:sz w:val="22"/>
      <w:szCs w:val="22"/>
    </w:rPr>
  </w:style>
  <w:style w:type="paragraph" w:customStyle="1" w:styleId="CrossRef">
    <w:name w:val="CrossRef"/>
    <w:basedOn w:val="Normal"/>
    <w:rsid w:val="00686290"/>
    <w:pPr>
      <w:spacing w:before="240"/>
      <w:jc w:val="center"/>
    </w:pPr>
    <w:rPr>
      <w:i/>
    </w:rPr>
  </w:style>
  <w:style w:type="paragraph" w:customStyle="1" w:styleId="RollCallSymbols14pt">
    <w:name w:val="RollCallSymbols14pt"/>
    <w:basedOn w:val="Normal"/>
    <w:rsid w:val="00686290"/>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686290"/>
    <w:pPr>
      <w:tabs>
        <w:tab w:val="center" w:pos="284"/>
        <w:tab w:val="left" w:pos="426"/>
      </w:tabs>
    </w:pPr>
    <w:rPr>
      <w:snapToGrid w:val="0"/>
      <w:lang w:eastAsia="en-US"/>
    </w:rPr>
  </w:style>
  <w:style w:type="paragraph" w:customStyle="1" w:styleId="RollCallVotes">
    <w:name w:val="RollCallVotes"/>
    <w:basedOn w:val="Normal"/>
    <w:rsid w:val="00686290"/>
    <w:pPr>
      <w:spacing w:before="120" w:after="120"/>
      <w:jc w:val="center"/>
    </w:pPr>
    <w:rPr>
      <w:b/>
      <w:bCs/>
      <w:snapToGrid w:val="0"/>
      <w:sz w:val="16"/>
      <w:lang w:eastAsia="en-US"/>
    </w:rPr>
  </w:style>
  <w:style w:type="paragraph" w:customStyle="1" w:styleId="RollCallTable">
    <w:name w:val="RollCallTable"/>
    <w:basedOn w:val="Normal"/>
    <w:rsid w:val="00686290"/>
    <w:pPr>
      <w:spacing w:before="120" w:after="120"/>
    </w:pPr>
    <w:rPr>
      <w:snapToGrid w:val="0"/>
      <w:sz w:val="16"/>
      <w:lang w:eastAsia="en-US"/>
    </w:rPr>
  </w:style>
  <w:style w:type="paragraph" w:customStyle="1" w:styleId="Normal24a">
    <w:name w:val="Normal24a"/>
    <w:basedOn w:val="Normal"/>
    <w:rsid w:val="00686290"/>
    <w:pPr>
      <w:spacing w:after="480"/>
    </w:pPr>
  </w:style>
  <w:style w:type="paragraph" w:customStyle="1" w:styleId="NormalBoldCenter">
    <w:name w:val="NormalBoldCenter"/>
    <w:basedOn w:val="Normal"/>
    <w:rsid w:val="00686290"/>
    <w:pPr>
      <w:jc w:val="center"/>
    </w:pPr>
    <w:rPr>
      <w:b/>
    </w:rPr>
  </w:style>
  <w:style w:type="paragraph" w:customStyle="1" w:styleId="NormalCentered">
    <w:name w:val="Normal Centered"/>
    <w:basedOn w:val="Normal"/>
    <w:rsid w:val="00686290"/>
    <w:pPr>
      <w:widowControl/>
      <w:spacing w:before="120" w:after="120"/>
      <w:jc w:val="center"/>
    </w:pPr>
    <w:rPr>
      <w:rFonts w:eastAsiaTheme="minorHAnsi"/>
      <w:szCs w:val="22"/>
      <w:lang w:eastAsia="en-US"/>
    </w:rPr>
  </w:style>
  <w:style w:type="paragraph" w:customStyle="1" w:styleId="Text1">
    <w:name w:val="Text 1"/>
    <w:basedOn w:val="Normal"/>
    <w:rsid w:val="00686290"/>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686290"/>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686290"/>
    <w:rPr>
      <w:color w:val="0563C1" w:themeColor="hyperlink"/>
      <w:u w:val="single"/>
    </w:rPr>
  </w:style>
  <w:style w:type="paragraph" w:styleId="Footer">
    <w:name w:val="footer"/>
    <w:basedOn w:val="Normal"/>
    <w:link w:val="FooterChar"/>
    <w:rsid w:val="00686290"/>
    <w:pPr>
      <w:tabs>
        <w:tab w:val="center" w:pos="4513"/>
        <w:tab w:val="right" w:pos="9026"/>
      </w:tabs>
    </w:pPr>
  </w:style>
  <w:style w:type="character" w:customStyle="1" w:styleId="FooterChar">
    <w:name w:val="Footer Char"/>
    <w:basedOn w:val="DefaultParagraphFont"/>
    <w:link w:val="Footer"/>
    <w:rsid w:val="00686290"/>
    <w:rPr>
      <w:sz w:val="24"/>
      <w:lang w:val="pt-PT"/>
    </w:rPr>
  </w:style>
  <w:style w:type="numbering" w:customStyle="1" w:styleId="NoList1">
    <w:name w:val="No List1"/>
    <w:next w:val="NoList"/>
    <w:uiPriority w:val="99"/>
    <w:semiHidden/>
    <w:unhideWhenUsed/>
    <w:rsid w:val="002A673F"/>
  </w:style>
  <w:style w:type="paragraph" w:customStyle="1" w:styleId="SignaturePersonne">
    <w:name w:val="Signature Personne"/>
    <w:basedOn w:val="Normal"/>
    <w:rsid w:val="002A673F"/>
    <w:pPr>
      <w:widowControl/>
      <w:tabs>
        <w:tab w:val="left" w:pos="4252"/>
      </w:tabs>
      <w:spacing w:line="360" w:lineRule="auto"/>
    </w:pPr>
    <w:rPr>
      <w:i/>
      <w:szCs w:val="24"/>
      <w:lang w:val="en-GB" w:eastAsia="en-US"/>
    </w:rPr>
  </w:style>
  <w:style w:type="paragraph" w:customStyle="1" w:styleId="Considrant">
    <w:name w:val="Considérant"/>
    <w:basedOn w:val="Normal"/>
    <w:rsid w:val="002A673F"/>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2A673F"/>
    <w:pPr>
      <w:keepNext/>
      <w:spacing w:before="600" w:after="120" w:line="360" w:lineRule="auto"/>
    </w:pPr>
    <w:rPr>
      <w:szCs w:val="24"/>
      <w:lang w:val="en-GB" w:eastAsia="en-US"/>
    </w:rPr>
  </w:style>
  <w:style w:type="paragraph" w:customStyle="1" w:styleId="Institutionquisigne">
    <w:name w:val="Institution qui signe"/>
    <w:basedOn w:val="Normal"/>
    <w:next w:val="Normal"/>
    <w:rsid w:val="002A673F"/>
    <w:pPr>
      <w:keepNext/>
      <w:tabs>
        <w:tab w:val="left" w:pos="4252"/>
      </w:tabs>
      <w:spacing w:before="720" w:line="360" w:lineRule="auto"/>
    </w:pPr>
    <w:rPr>
      <w:i/>
      <w:szCs w:val="24"/>
      <w:lang w:val="en-GB" w:eastAsia="en-US"/>
    </w:rPr>
  </w:style>
  <w:style w:type="paragraph" w:customStyle="1" w:styleId="Fait">
    <w:name w:val="Fait à"/>
    <w:basedOn w:val="Normal"/>
    <w:rsid w:val="002A673F"/>
    <w:pPr>
      <w:keepNext/>
      <w:widowControl/>
      <w:spacing w:before="120" w:line="360" w:lineRule="auto"/>
    </w:pPr>
    <w:rPr>
      <w:szCs w:val="24"/>
      <w:lang w:val="en-GB" w:eastAsia="en-US"/>
    </w:rPr>
  </w:style>
  <w:style w:type="paragraph" w:customStyle="1" w:styleId="FootnoteTextForceStyle">
    <w:name w:val="Footnote Text ForceStyle"/>
    <w:rsid w:val="002A673F"/>
    <w:pPr>
      <w:keepLines/>
      <w:widowControl w:val="0"/>
      <w:ind w:left="850" w:hanging="850"/>
    </w:pPr>
    <w:rPr>
      <w:sz w:val="24"/>
      <w:lang w:eastAsia="en-US"/>
    </w:rPr>
  </w:style>
  <w:style w:type="character" w:customStyle="1" w:styleId="Footer2">
    <w:name w:val="Footer2"/>
    <w:rsid w:val="002A673F"/>
    <w:rPr>
      <w:rFonts w:ascii="Arial" w:hAnsi="Arial"/>
      <w:b/>
      <w:sz w:val="48"/>
    </w:rPr>
  </w:style>
  <w:style w:type="paragraph" w:customStyle="1" w:styleId="Applicationdirecte">
    <w:name w:val="Application directe"/>
    <w:basedOn w:val="Normal"/>
    <w:next w:val="Normal"/>
    <w:rsid w:val="002A673F"/>
    <w:pPr>
      <w:spacing w:before="120" w:after="120" w:line="360" w:lineRule="auto"/>
    </w:pPr>
    <w:rPr>
      <w:szCs w:val="24"/>
      <w:lang w:val="en-GB" w:eastAsia="en-US"/>
    </w:rPr>
  </w:style>
  <w:style w:type="paragraph" w:customStyle="1" w:styleId="Normale">
    <w:name w:val="Normale"/>
    <w:rsid w:val="002A673F"/>
    <w:pPr>
      <w:widowControl w:val="0"/>
      <w:spacing w:before="120" w:after="120" w:line="360" w:lineRule="auto"/>
    </w:pPr>
    <w:rPr>
      <w:sz w:val="24"/>
      <w:lang w:eastAsia="en-US"/>
    </w:rPr>
  </w:style>
  <w:style w:type="paragraph" w:customStyle="1" w:styleId="Formuledadoption">
    <w:name w:val="Formule d'adoption"/>
    <w:basedOn w:val="Normal"/>
    <w:next w:val="Normal"/>
    <w:rsid w:val="002A673F"/>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2A673F"/>
    <w:pPr>
      <w:widowControl/>
      <w:spacing w:after="240" w:line="360" w:lineRule="auto"/>
      <w:ind w:left="5102"/>
    </w:pPr>
    <w:rPr>
      <w:szCs w:val="24"/>
      <w:lang w:val="en-GB" w:eastAsia="en-US"/>
    </w:rPr>
  </w:style>
  <w:style w:type="paragraph" w:customStyle="1" w:styleId="Footer1">
    <w:name w:val="Footer1"/>
    <w:basedOn w:val="Normal"/>
    <w:rsid w:val="002A673F"/>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2A673F"/>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2A673F"/>
    <w:pPr>
      <w:widowControl/>
      <w:spacing w:before="840" w:line="360" w:lineRule="auto"/>
      <w:jc w:val="center"/>
    </w:pPr>
    <w:rPr>
      <w:szCs w:val="24"/>
      <w:lang w:val="en-GB" w:eastAsia="en-US"/>
    </w:rPr>
  </w:style>
  <w:style w:type="paragraph" w:customStyle="1" w:styleId="Typedudocument">
    <w:name w:val="Type du document"/>
    <w:basedOn w:val="Normal"/>
    <w:next w:val="Normal"/>
    <w:rsid w:val="002A673F"/>
    <w:pPr>
      <w:widowControl/>
      <w:spacing w:before="360" w:line="360" w:lineRule="auto"/>
      <w:jc w:val="center"/>
    </w:pPr>
    <w:rPr>
      <w:b/>
      <w:szCs w:val="24"/>
      <w:lang w:val="en-GB" w:eastAsia="en-US"/>
    </w:rPr>
  </w:style>
  <w:style w:type="paragraph" w:customStyle="1" w:styleId="Titreobjet">
    <w:name w:val="Titre objet"/>
    <w:basedOn w:val="Normal"/>
    <w:next w:val="Normal"/>
    <w:rsid w:val="002A673F"/>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2A673F"/>
    <w:pPr>
      <w:widowControl/>
      <w:spacing w:before="360" w:after="240" w:line="360" w:lineRule="auto"/>
      <w:jc w:val="center"/>
    </w:pPr>
    <w:rPr>
      <w:szCs w:val="24"/>
      <w:lang w:val="en-GB" w:eastAsia="en-US"/>
    </w:rPr>
  </w:style>
  <w:style w:type="character" w:customStyle="1" w:styleId="CMissingStyle">
    <w:name w:val="C_MissingStyle"/>
    <w:rsid w:val="002A673F"/>
    <w:rPr>
      <w:color w:val="FFFFFF"/>
      <w:sz w:val="22"/>
      <w:shd w:val="clear" w:color="000000" w:fill="000000"/>
    </w:rPr>
  </w:style>
  <w:style w:type="paragraph" w:customStyle="1" w:styleId="PMissingStyle">
    <w:name w:val="P_MissingStyle"/>
    <w:basedOn w:val="Normal"/>
    <w:rsid w:val="002A673F"/>
    <w:pPr>
      <w:spacing w:before="120" w:after="120" w:line="360" w:lineRule="auto"/>
    </w:pPr>
    <w:rPr>
      <w:color w:val="FFFFFF"/>
      <w:szCs w:val="24"/>
      <w:shd w:val="clear" w:color="000000" w:fill="000000"/>
      <w:lang w:val="en-GB" w:eastAsia="en-US"/>
    </w:rPr>
  </w:style>
  <w:style w:type="character" w:customStyle="1" w:styleId="NormalHanging12aChar">
    <w:name w:val="NormalHanging12a Char"/>
    <w:basedOn w:val="DefaultParagraphFont"/>
    <w:link w:val="NormalHanging12a"/>
    <w:locked/>
    <w:rsid w:val="002A673F"/>
    <w:rPr>
      <w:sz w:val="24"/>
      <w:lang w:val="pt-PT"/>
    </w:rPr>
  </w:style>
  <w:style w:type="character" w:styleId="FollowedHyperlink">
    <w:name w:val="FollowedHyperlink"/>
    <w:basedOn w:val="DefaultParagraphFont"/>
    <w:rsid w:val="00D314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3841F-BF57-4EE9-9733-998795632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27449</Words>
  <Characters>144749</Characters>
  <Application>Microsoft Office Word</Application>
  <DocSecurity>4</DocSecurity>
  <Lines>1206</Lines>
  <Paragraphs>343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dc:creator>
  <cp:keywords/>
  <cp:lastModifiedBy>SOLTYSOVA Zuzana</cp:lastModifiedBy>
  <cp:revision>2</cp:revision>
  <cp:lastPrinted>2004-11-19T15:42:00Z</cp:lastPrinted>
  <dcterms:created xsi:type="dcterms:W3CDTF">2024-12-18T16:09:00Z</dcterms:created>
  <dcterms:modified xsi:type="dcterms:W3CDTF">2024-12-18T16:09:00Z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A9-0016/2024</vt:lpwstr>
  </property>
  <property fmtid="{D5CDD505-2E9C-101B-9397-08002B2CF9AE}" pid="4" name="&lt;Type&gt;">
    <vt:lpwstr>RR</vt:lpwstr>
  </property>
  <property fmtid="{D5CDD505-2E9C-101B-9397-08002B2CF9AE}" pid="5" name="&lt;Model&gt;">
    <vt:lpwstr/>
  </property>
</Properties>
</file>