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F6D0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F6D0D" w:rsidRDefault="00836775" w:rsidP="0010095E">
            <w:pPr>
              <w:pStyle w:val="EPName"/>
            </w:pPr>
            <w:r w:rsidRPr="006F6D0D">
              <w:t>Европейски</w:t>
            </w:r>
            <w:r w:rsidR="00A462AE" w:rsidRPr="006F6D0D">
              <w:t xml:space="preserve"> парламент</w:t>
            </w:r>
          </w:p>
          <w:p w:rsidR="00751A4A" w:rsidRPr="006F6D0D" w:rsidRDefault="00836775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D29E7">
              <w:t>2019</w:t>
            </w:r>
            <w:r w:rsidRPr="006F6D0D">
              <w:t> – </w:t>
            </w:r>
            <w:r w:rsidR="00817416" w:rsidRPr="00FD29E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F6D0D" w:rsidRDefault="00187494" w:rsidP="0010095E">
            <w:pPr>
              <w:pStyle w:val="EPLogo"/>
            </w:pPr>
            <w:r w:rsidRPr="006F6D0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F6D0D" w:rsidRDefault="00D058B8" w:rsidP="004C5D52">
      <w:pPr>
        <w:pStyle w:val="LineTop"/>
      </w:pPr>
    </w:p>
    <w:p w:rsidR="00680577" w:rsidRPr="006F6D0D" w:rsidRDefault="00A462AE" w:rsidP="00680577">
      <w:pPr>
        <w:pStyle w:val="EPBodyTA1"/>
      </w:pPr>
      <w:r w:rsidRPr="006F6D0D">
        <w:t>ПРИЕТИ ТЕКСТОВЕ</w:t>
      </w:r>
    </w:p>
    <w:p w:rsidR="00D058B8" w:rsidRPr="006F6D0D" w:rsidRDefault="00D058B8" w:rsidP="00D058B8">
      <w:pPr>
        <w:pStyle w:val="LineBottom"/>
      </w:pPr>
    </w:p>
    <w:p w:rsidR="00A462AE" w:rsidRPr="006F6D0D" w:rsidRDefault="00A462AE" w:rsidP="00A462AE">
      <w:pPr>
        <w:pStyle w:val="ATHeading1"/>
      </w:pPr>
      <w:bookmarkStart w:id="0" w:name="TANumber"/>
      <w:r w:rsidRPr="006F6D0D">
        <w:t>P</w:t>
      </w:r>
      <w:r w:rsidRPr="00FD29E7">
        <w:t>9</w:t>
      </w:r>
      <w:r w:rsidRPr="006F6D0D">
        <w:t>_TA(</w:t>
      </w:r>
      <w:r w:rsidRPr="00FD29E7">
        <w:t>2024</w:t>
      </w:r>
      <w:r w:rsidRPr="006F6D0D">
        <w:t>)</w:t>
      </w:r>
      <w:r w:rsidRPr="00FD29E7">
        <w:t>0</w:t>
      </w:r>
      <w:r w:rsidR="009B5EED" w:rsidRPr="00FD29E7">
        <w:t>1</w:t>
      </w:r>
      <w:r w:rsidRPr="00FD29E7">
        <w:t>0</w:t>
      </w:r>
      <w:r w:rsidR="009B5EED" w:rsidRPr="00FD29E7">
        <w:t>1</w:t>
      </w:r>
      <w:bookmarkEnd w:id="0"/>
    </w:p>
    <w:p w:rsidR="00A462AE" w:rsidRPr="006F6D0D" w:rsidRDefault="004E7568" w:rsidP="00A462AE">
      <w:pPr>
        <w:pStyle w:val="ATHeading2"/>
      </w:pPr>
      <w:r w:rsidRPr="006F6D0D">
        <w:t>Географски означения за вина, спиртни напитки и селскостопански продукти</w:t>
      </w:r>
    </w:p>
    <w:p w:rsidR="00A462AE" w:rsidRPr="006F6D0D" w:rsidRDefault="00A462AE" w:rsidP="00A462AE">
      <w:pPr>
        <w:rPr>
          <w:i/>
          <w:vanish/>
        </w:rPr>
      </w:pPr>
      <w:r w:rsidRPr="006F6D0D">
        <w:rPr>
          <w:i/>
        </w:rPr>
        <w:fldChar w:fldCharType="begin"/>
      </w:r>
      <w:r w:rsidRPr="006F6D0D">
        <w:rPr>
          <w:i/>
        </w:rPr>
        <w:instrText xml:space="preserve"> TC"(</w:instrText>
      </w:r>
      <w:bookmarkStart w:id="1" w:name="DocNumber"/>
      <w:r w:rsidRPr="006F6D0D">
        <w:rPr>
          <w:i/>
        </w:rPr>
        <w:instrText>A</w:instrText>
      </w:r>
      <w:r w:rsidRPr="00FD29E7">
        <w:rPr>
          <w:i/>
        </w:rPr>
        <w:instrText>9</w:instrText>
      </w:r>
      <w:r w:rsidRPr="006F6D0D">
        <w:rPr>
          <w:i/>
        </w:rPr>
        <w:instrText>-</w:instrText>
      </w:r>
      <w:r w:rsidRPr="00FD29E7">
        <w:rPr>
          <w:i/>
        </w:rPr>
        <w:instrText>0173</w:instrText>
      </w:r>
      <w:r w:rsidRPr="006F6D0D">
        <w:rPr>
          <w:i/>
        </w:rPr>
        <w:instrText>/</w:instrText>
      </w:r>
      <w:r w:rsidRPr="00FD29E7">
        <w:rPr>
          <w:i/>
        </w:rPr>
        <w:instrText>2023</w:instrText>
      </w:r>
      <w:bookmarkEnd w:id="1"/>
      <w:r w:rsidRPr="006F6D0D">
        <w:rPr>
          <w:i/>
        </w:rPr>
        <w:instrText xml:space="preserve"> - Докладчик: </w:instrText>
      </w:r>
      <w:proofErr w:type="spellStart"/>
      <w:r w:rsidRPr="006F6D0D">
        <w:rPr>
          <w:i/>
        </w:rPr>
        <w:instrText>Паоло</w:instrText>
      </w:r>
      <w:proofErr w:type="spellEnd"/>
      <w:r w:rsidRPr="006F6D0D">
        <w:rPr>
          <w:i/>
        </w:rPr>
        <w:instrText xml:space="preserve"> Де Кастро)"\l</w:instrText>
      </w:r>
      <w:r w:rsidRPr="00FD29E7">
        <w:rPr>
          <w:i/>
        </w:rPr>
        <w:instrText>3</w:instrText>
      </w:r>
      <w:r w:rsidRPr="006F6D0D">
        <w:rPr>
          <w:i/>
        </w:rPr>
        <w:instrText xml:space="preserve"> \n&gt; \* MERGEFORMAT </w:instrText>
      </w:r>
      <w:r w:rsidRPr="006F6D0D">
        <w:rPr>
          <w:i/>
        </w:rPr>
        <w:fldChar w:fldCharType="end"/>
      </w:r>
    </w:p>
    <w:p w:rsidR="00A462AE" w:rsidRPr="006F6D0D" w:rsidRDefault="00A462AE" w:rsidP="00A462AE">
      <w:pPr>
        <w:rPr>
          <w:vanish/>
        </w:rPr>
      </w:pPr>
      <w:bookmarkStart w:id="2" w:name="Commission"/>
      <w:r w:rsidRPr="006F6D0D">
        <w:rPr>
          <w:vanish/>
        </w:rPr>
        <w:t>Комисия по земеделие и развитие на селските райони</w:t>
      </w:r>
      <w:bookmarkEnd w:id="2"/>
    </w:p>
    <w:p w:rsidR="00A462AE" w:rsidRPr="006F6D0D" w:rsidRDefault="00A462AE" w:rsidP="00A462AE">
      <w:pPr>
        <w:rPr>
          <w:vanish/>
        </w:rPr>
      </w:pPr>
      <w:bookmarkStart w:id="3" w:name="PE"/>
      <w:r w:rsidRPr="006F6D0D">
        <w:rPr>
          <w:vanish/>
        </w:rPr>
        <w:t>PE</w:t>
      </w:r>
      <w:r w:rsidRPr="00FD29E7">
        <w:rPr>
          <w:vanish/>
        </w:rPr>
        <w:t>736</w:t>
      </w:r>
      <w:r w:rsidRPr="006F6D0D">
        <w:rPr>
          <w:vanish/>
        </w:rPr>
        <w:t>.</w:t>
      </w:r>
      <w:r w:rsidRPr="00FD29E7">
        <w:rPr>
          <w:vanish/>
        </w:rPr>
        <w:t>493</w:t>
      </w:r>
      <w:bookmarkEnd w:id="3"/>
    </w:p>
    <w:p w:rsidR="00A462AE" w:rsidRPr="006F6D0D" w:rsidRDefault="00A462AE" w:rsidP="00A462AE">
      <w:pPr>
        <w:pStyle w:val="ATHeading3"/>
      </w:pPr>
      <w:bookmarkStart w:id="4" w:name="Sujet"/>
      <w:r w:rsidRPr="006F6D0D">
        <w:t xml:space="preserve">Законодателна резолюция на Европейския парламент от </w:t>
      </w:r>
      <w:r w:rsidR="004E1C2C" w:rsidRPr="00FD29E7">
        <w:t>28</w:t>
      </w:r>
      <w:r w:rsidR="00836775" w:rsidRPr="006F6D0D">
        <w:t xml:space="preserve"> февруари </w:t>
      </w:r>
      <w:r w:rsidRPr="00FD29E7">
        <w:t>2024</w:t>
      </w:r>
      <w:r w:rsidRPr="006F6D0D">
        <w:t xml:space="preserve"> г. относно предложението за регламент на Европейския парламент и на Съвета относно географските означения на Европейския съюз за вина, спиртни напитки и селскостопански продукти и относно схемите за качество на селскостопанските продукти, за изменение на регламенти (ЕС) № </w:t>
      </w:r>
      <w:r w:rsidRPr="00FD29E7">
        <w:t>1308</w:t>
      </w:r>
      <w:r w:rsidRPr="006F6D0D">
        <w:t>/</w:t>
      </w:r>
      <w:r w:rsidRPr="00FD29E7">
        <w:t>2013</w:t>
      </w:r>
      <w:r w:rsidRPr="006F6D0D">
        <w:t xml:space="preserve">, (ЕС) </w:t>
      </w:r>
      <w:r w:rsidRPr="00FD29E7">
        <w:t>2017</w:t>
      </w:r>
      <w:r w:rsidRPr="006F6D0D">
        <w:t>/</w:t>
      </w:r>
      <w:r w:rsidRPr="00FD29E7">
        <w:t>1001</w:t>
      </w:r>
      <w:r w:rsidRPr="006F6D0D">
        <w:t xml:space="preserve"> и (ЕС) </w:t>
      </w:r>
      <w:r w:rsidRPr="00FD29E7">
        <w:t>2019</w:t>
      </w:r>
      <w:r w:rsidRPr="006F6D0D">
        <w:t>/</w:t>
      </w:r>
      <w:r w:rsidRPr="00FD29E7">
        <w:t>787</w:t>
      </w:r>
      <w:r w:rsidRPr="006F6D0D">
        <w:t xml:space="preserve"> и за отмяна на Регламент (ЕС) № </w:t>
      </w:r>
      <w:r w:rsidRPr="00FD29E7">
        <w:t>1151</w:t>
      </w:r>
      <w:r w:rsidRPr="006F6D0D">
        <w:t>/</w:t>
      </w:r>
      <w:r w:rsidRPr="00FD29E7">
        <w:t>2012</w:t>
      </w:r>
      <w:bookmarkEnd w:id="4"/>
      <w:r w:rsidRPr="006F6D0D">
        <w:t xml:space="preserve"> </w:t>
      </w:r>
      <w:bookmarkStart w:id="5" w:name="References"/>
      <w:r w:rsidRPr="006F6D0D">
        <w:t>(COM(</w:t>
      </w:r>
      <w:r w:rsidRPr="00FD29E7">
        <w:t>2022</w:t>
      </w:r>
      <w:r w:rsidRPr="006F6D0D">
        <w:t>)</w:t>
      </w:r>
      <w:r w:rsidRPr="00FD29E7">
        <w:t>0134</w:t>
      </w:r>
      <w:r w:rsidRPr="006F6D0D">
        <w:t xml:space="preserve"> – C</w:t>
      </w:r>
      <w:r w:rsidRPr="00FD29E7">
        <w:t>9</w:t>
      </w:r>
      <w:r w:rsidRPr="006F6D0D">
        <w:t>-</w:t>
      </w:r>
      <w:r w:rsidRPr="00FD29E7">
        <w:t>0130</w:t>
      </w:r>
      <w:r w:rsidRPr="006F6D0D">
        <w:t>/</w:t>
      </w:r>
      <w:r w:rsidRPr="00FD29E7">
        <w:t>2022</w:t>
      </w:r>
      <w:r w:rsidRPr="006F6D0D">
        <w:t xml:space="preserve"> – </w:t>
      </w:r>
      <w:r w:rsidRPr="00FD29E7">
        <w:t>2022</w:t>
      </w:r>
      <w:r w:rsidRPr="006F6D0D">
        <w:t>/</w:t>
      </w:r>
      <w:r w:rsidRPr="00FD29E7">
        <w:t>0089</w:t>
      </w:r>
      <w:r w:rsidRPr="006F6D0D">
        <w:t>(COD))</w:t>
      </w:r>
      <w:bookmarkEnd w:id="5"/>
    </w:p>
    <w:p w:rsidR="00144FF5" w:rsidRPr="006F6D0D" w:rsidRDefault="00144FF5" w:rsidP="00144FF5">
      <w:pPr>
        <w:pStyle w:val="NormalBold"/>
      </w:pPr>
      <w:bookmarkStart w:id="6" w:name="TextBodyBegin"/>
      <w:bookmarkEnd w:id="6"/>
      <w:r w:rsidRPr="006F6D0D">
        <w:t>(Обикновена законодателна процедура: първо четене)</w:t>
      </w:r>
    </w:p>
    <w:p w:rsidR="00144FF5" w:rsidRPr="006F6D0D" w:rsidRDefault="00144FF5" w:rsidP="00144FF5">
      <w:pPr>
        <w:pStyle w:val="EPComma"/>
      </w:pPr>
      <w:r w:rsidRPr="006F6D0D">
        <w:rPr>
          <w:i/>
        </w:rPr>
        <w:t>Европейският парламент</w:t>
      </w:r>
      <w:r w:rsidRPr="006F6D0D">
        <w:t>,</w:t>
      </w:r>
    </w:p>
    <w:p w:rsidR="00144FF5" w:rsidRPr="006F6D0D" w:rsidRDefault="00144FF5" w:rsidP="00144FF5">
      <w:pPr>
        <w:pStyle w:val="NormalHanging12a"/>
      </w:pPr>
      <w:r w:rsidRPr="006F6D0D">
        <w:t>–</w:t>
      </w:r>
      <w:r w:rsidRPr="006F6D0D">
        <w:tab/>
        <w:t xml:space="preserve">като взе предвид предложението на Комисията до </w:t>
      </w:r>
      <w:r w:rsidR="00836775" w:rsidRPr="006F6D0D">
        <w:t>П</w:t>
      </w:r>
      <w:r w:rsidRPr="006F6D0D">
        <w:t>арламент</w:t>
      </w:r>
      <w:r w:rsidR="00836775" w:rsidRPr="006F6D0D">
        <w:t>а</w:t>
      </w:r>
      <w:r w:rsidRPr="006F6D0D">
        <w:t xml:space="preserve"> и до Съвета (COM(</w:t>
      </w:r>
      <w:r w:rsidRPr="00FD29E7">
        <w:t>2022</w:t>
      </w:r>
      <w:r w:rsidRPr="006F6D0D">
        <w:t>)</w:t>
      </w:r>
      <w:r w:rsidRPr="00FD29E7">
        <w:t>0134</w:t>
      </w:r>
      <w:r w:rsidRPr="006F6D0D">
        <w:t>),</w:t>
      </w:r>
    </w:p>
    <w:p w:rsidR="00144FF5" w:rsidRPr="006F6D0D" w:rsidRDefault="00144FF5" w:rsidP="00144FF5">
      <w:pPr>
        <w:pStyle w:val="NormalHanging12a"/>
      </w:pPr>
      <w:r w:rsidRPr="006F6D0D">
        <w:t>–</w:t>
      </w:r>
      <w:r w:rsidRPr="006F6D0D">
        <w:tab/>
        <w:t>като взе предвид член </w:t>
      </w:r>
      <w:r w:rsidRPr="00FD29E7">
        <w:t>294</w:t>
      </w:r>
      <w:r w:rsidRPr="006F6D0D">
        <w:t>, параграф </w:t>
      </w:r>
      <w:r w:rsidRPr="00FD29E7">
        <w:t>2</w:t>
      </w:r>
      <w:r w:rsidRPr="006F6D0D">
        <w:t>, член </w:t>
      </w:r>
      <w:r w:rsidRPr="00FD29E7">
        <w:t>43</w:t>
      </w:r>
      <w:r w:rsidRPr="006F6D0D">
        <w:t>, параграф </w:t>
      </w:r>
      <w:r w:rsidRPr="00FD29E7">
        <w:t>2</w:t>
      </w:r>
      <w:r w:rsidRPr="006F6D0D">
        <w:t xml:space="preserve"> и член </w:t>
      </w:r>
      <w:r w:rsidRPr="00FD29E7">
        <w:t>118</w:t>
      </w:r>
      <w:r w:rsidRPr="006F6D0D">
        <w:t>, параграф </w:t>
      </w:r>
      <w:r w:rsidRPr="00FD29E7">
        <w:t>1</w:t>
      </w:r>
      <w:r w:rsidRPr="006F6D0D">
        <w:t xml:space="preserve"> от Договора за функционирането на Европейския съюз, съгласно които Комисията е внесла предложението в Парламента (C</w:t>
      </w:r>
      <w:r w:rsidRPr="00FD29E7">
        <w:t>9</w:t>
      </w:r>
      <w:r w:rsidRPr="006F6D0D">
        <w:noBreakHyphen/>
      </w:r>
      <w:r w:rsidRPr="00FD29E7">
        <w:t>0130</w:t>
      </w:r>
      <w:r w:rsidRPr="006F6D0D">
        <w:t>/</w:t>
      </w:r>
      <w:r w:rsidRPr="00FD29E7">
        <w:t>2022</w:t>
      </w:r>
      <w:r w:rsidRPr="006F6D0D">
        <w:t>),</w:t>
      </w:r>
    </w:p>
    <w:p w:rsidR="00144FF5" w:rsidRPr="006F6D0D" w:rsidRDefault="00144FF5" w:rsidP="00144FF5">
      <w:pPr>
        <w:pStyle w:val="NormalHanging12a"/>
      </w:pPr>
      <w:r w:rsidRPr="006F6D0D">
        <w:t>–</w:t>
      </w:r>
      <w:r w:rsidRPr="006F6D0D">
        <w:tab/>
        <w:t>като взе предвид член </w:t>
      </w:r>
      <w:r w:rsidRPr="00FD29E7">
        <w:t>294</w:t>
      </w:r>
      <w:r w:rsidRPr="006F6D0D">
        <w:t xml:space="preserve">, параграф </w:t>
      </w:r>
      <w:r w:rsidRPr="00FD29E7">
        <w:t>3</w:t>
      </w:r>
      <w:r w:rsidRPr="006F6D0D">
        <w:t xml:space="preserve"> от Договора за функционирането на Европейския съюз,</w:t>
      </w:r>
    </w:p>
    <w:p w:rsidR="00144FF5" w:rsidRPr="006F6D0D" w:rsidRDefault="00144FF5" w:rsidP="00144FF5">
      <w:pPr>
        <w:pStyle w:val="NormalHanging12a"/>
      </w:pPr>
      <w:r w:rsidRPr="006F6D0D">
        <w:t>–</w:t>
      </w:r>
      <w:r w:rsidRPr="006F6D0D">
        <w:tab/>
        <w:t xml:space="preserve">като взе предвид становището на Европейския икономически и социален комитет от </w:t>
      </w:r>
      <w:r w:rsidRPr="00FD29E7">
        <w:t>13</w:t>
      </w:r>
      <w:r w:rsidRPr="006F6D0D">
        <w:t xml:space="preserve"> юли </w:t>
      </w:r>
      <w:r w:rsidRPr="00FD29E7">
        <w:t>2022</w:t>
      </w:r>
      <w:r w:rsidRPr="006F6D0D">
        <w:t xml:space="preserve"> г.</w:t>
      </w:r>
      <w:r w:rsidRPr="006F6D0D">
        <w:rPr>
          <w:rStyle w:val="FootnoteReference"/>
        </w:rPr>
        <w:footnoteReference w:id="1"/>
      </w:r>
      <w:r w:rsidRPr="006F6D0D">
        <w:t>,</w:t>
      </w:r>
    </w:p>
    <w:p w:rsidR="004E1C2C" w:rsidRPr="006F6D0D" w:rsidRDefault="004E1C2C" w:rsidP="00144FF5">
      <w:pPr>
        <w:pStyle w:val="NormalHanging12a"/>
      </w:pPr>
      <w:r w:rsidRPr="006F6D0D">
        <w:t>–</w:t>
      </w:r>
      <w:r w:rsidRPr="006F6D0D">
        <w:tab/>
        <w:t xml:space="preserve">като взе предвид становището на Комитета на регионите от </w:t>
      </w:r>
      <w:r w:rsidRPr="00FD29E7">
        <w:t>30</w:t>
      </w:r>
      <w:r w:rsidRPr="006F6D0D">
        <w:t xml:space="preserve"> ноември </w:t>
      </w:r>
      <w:r w:rsidRPr="00FD29E7">
        <w:t>2</w:t>
      </w:r>
      <w:r w:rsidR="00957C76" w:rsidRPr="00FD29E7">
        <w:t>022</w:t>
      </w:r>
      <w:r w:rsidRPr="006F6D0D">
        <w:t> г.</w:t>
      </w:r>
      <w:r w:rsidRPr="006F6D0D">
        <w:rPr>
          <w:rStyle w:val="FootnoteReference"/>
        </w:rPr>
        <w:footnoteReference w:id="2"/>
      </w:r>
      <w:r w:rsidRPr="006F6D0D">
        <w:t>,</w:t>
      </w:r>
    </w:p>
    <w:p w:rsidR="00A57889" w:rsidRPr="006F6D0D" w:rsidRDefault="00A57889" w:rsidP="00144FF5">
      <w:pPr>
        <w:pStyle w:val="NormalHanging12a"/>
      </w:pPr>
      <w:r w:rsidRPr="006F6D0D">
        <w:t>–</w:t>
      </w:r>
      <w:r w:rsidRPr="006F6D0D">
        <w:tab/>
        <w:t xml:space="preserve">като взе предвид временното споразумение, одобрено от компетентната комисия съгласно член </w:t>
      </w:r>
      <w:r w:rsidRPr="00FD29E7">
        <w:t>74</w:t>
      </w:r>
      <w:r w:rsidRPr="006F6D0D">
        <w:t xml:space="preserve">, параграф </w:t>
      </w:r>
      <w:r w:rsidRPr="00FD29E7">
        <w:t>4</w:t>
      </w:r>
      <w:r w:rsidRPr="006F6D0D">
        <w:t xml:space="preserve"> от своя Правилник за дейността, и поетия с писмо от </w:t>
      </w:r>
      <w:r w:rsidRPr="00FD29E7">
        <w:t>27</w:t>
      </w:r>
      <w:r w:rsidRPr="006F6D0D">
        <w:t xml:space="preserve"> ноември </w:t>
      </w:r>
      <w:r w:rsidRPr="00FD29E7">
        <w:t>2023</w:t>
      </w:r>
      <w:r w:rsidRPr="006F6D0D">
        <w:t xml:space="preserve"> г. ангажимент на представителя на Съвета за одобряване на позицията на Парламента в съответствие с член </w:t>
      </w:r>
      <w:r w:rsidRPr="00FD29E7">
        <w:t>294</w:t>
      </w:r>
      <w:r w:rsidRPr="006F6D0D">
        <w:t xml:space="preserve">, параграф </w:t>
      </w:r>
      <w:r w:rsidRPr="00FD29E7">
        <w:t>4</w:t>
      </w:r>
      <w:r w:rsidRPr="006F6D0D">
        <w:t xml:space="preserve"> от Договора за функционирането на Европейския съюз,</w:t>
      </w:r>
    </w:p>
    <w:p w:rsidR="00144FF5" w:rsidRPr="006F6D0D" w:rsidRDefault="00144FF5" w:rsidP="00144FF5">
      <w:pPr>
        <w:pStyle w:val="NormalHanging12a"/>
      </w:pPr>
      <w:r w:rsidRPr="006F6D0D">
        <w:lastRenderedPageBreak/>
        <w:t>–</w:t>
      </w:r>
      <w:r w:rsidRPr="006F6D0D">
        <w:tab/>
        <w:t>като взе предвид член </w:t>
      </w:r>
      <w:r w:rsidRPr="00FD29E7">
        <w:t>59</w:t>
      </w:r>
      <w:r w:rsidRPr="006F6D0D">
        <w:t xml:space="preserve"> от своя Правилник за дейността,</w:t>
      </w:r>
    </w:p>
    <w:p w:rsidR="00144FF5" w:rsidRPr="006F6D0D" w:rsidRDefault="00144FF5" w:rsidP="00144FF5">
      <w:pPr>
        <w:pStyle w:val="NormalHanging12a"/>
        <w:rPr>
          <w:szCs w:val="24"/>
        </w:rPr>
      </w:pPr>
      <w:r w:rsidRPr="006F6D0D">
        <w:t>–</w:t>
      </w:r>
      <w:r w:rsidRPr="006F6D0D">
        <w:tab/>
        <w:t>като взе предвид становищата на комисията по правни въпроси и на комисията по международна търговия,</w:t>
      </w:r>
    </w:p>
    <w:p w:rsidR="00144FF5" w:rsidRPr="006F6D0D" w:rsidRDefault="00144FF5" w:rsidP="00144FF5">
      <w:pPr>
        <w:pStyle w:val="NormalHanging12a"/>
        <w:rPr>
          <w:szCs w:val="24"/>
        </w:rPr>
      </w:pPr>
      <w:r w:rsidRPr="006F6D0D">
        <w:t>–</w:t>
      </w:r>
      <w:r w:rsidRPr="006F6D0D">
        <w:tab/>
        <w:t>като взе предвид доклада на комисията по земеделие и развитие на селските райони (A</w:t>
      </w:r>
      <w:r w:rsidRPr="00FD29E7">
        <w:t>9</w:t>
      </w:r>
      <w:r w:rsidRPr="006F6D0D">
        <w:t>-</w:t>
      </w:r>
      <w:r w:rsidRPr="00FD29E7">
        <w:t>0173</w:t>
      </w:r>
      <w:r w:rsidRPr="006F6D0D">
        <w:t>/</w:t>
      </w:r>
      <w:r w:rsidRPr="00FD29E7">
        <w:t>2023</w:t>
      </w:r>
      <w:r w:rsidRPr="006F6D0D">
        <w:t>),</w:t>
      </w:r>
    </w:p>
    <w:p w:rsidR="00144FF5" w:rsidRPr="006F6D0D" w:rsidRDefault="00144FF5" w:rsidP="00144FF5">
      <w:pPr>
        <w:pStyle w:val="NormalHanging12a"/>
      </w:pPr>
      <w:r w:rsidRPr="00FD29E7">
        <w:t>1</w:t>
      </w:r>
      <w:r w:rsidR="00FD29E7" w:rsidRPr="00FD29E7">
        <w:t>.</w:t>
      </w:r>
      <w:r w:rsidRPr="006F6D0D">
        <w:tab/>
        <w:t>приема изложената по-долу позиция на първо четене</w:t>
      </w:r>
      <w:r w:rsidR="00871873" w:rsidRPr="006F6D0D">
        <w:rPr>
          <w:rStyle w:val="FootnoteReference"/>
        </w:rPr>
        <w:footnoteReference w:id="3"/>
      </w:r>
      <w:r w:rsidRPr="006F6D0D">
        <w:t>;</w:t>
      </w:r>
    </w:p>
    <w:p w:rsidR="00A57889" w:rsidRPr="006F6D0D" w:rsidRDefault="00144FF5" w:rsidP="00144FF5">
      <w:pPr>
        <w:pStyle w:val="NormalHanging12a"/>
      </w:pPr>
      <w:r w:rsidRPr="00FD29E7">
        <w:t>2</w:t>
      </w:r>
      <w:r w:rsidR="00FD29E7" w:rsidRPr="00FD29E7">
        <w:t>.</w:t>
      </w:r>
      <w:r w:rsidRPr="006F6D0D">
        <w:tab/>
      </w:r>
      <w:r w:rsidR="004E1C2C" w:rsidRPr="006F6D0D">
        <w:t>одобрява съвместното изявление на Парламента и Съвета, приложено към настоящата резолюция;</w:t>
      </w:r>
    </w:p>
    <w:p w:rsidR="00144FF5" w:rsidRPr="006F6D0D" w:rsidRDefault="00A57889" w:rsidP="00144FF5">
      <w:pPr>
        <w:pStyle w:val="NormalHanging12a"/>
      </w:pPr>
      <w:r w:rsidRPr="00FD29E7">
        <w:t>3</w:t>
      </w:r>
      <w:r w:rsidRPr="006F6D0D">
        <w:t>.</w:t>
      </w:r>
      <w:r w:rsidRPr="006F6D0D">
        <w:tab/>
      </w:r>
      <w:r w:rsidR="00144FF5" w:rsidRPr="006F6D0D">
        <w:t>приканва Комисията да се отнесе до него отново, в случай че замени своето предложение с друг текст</w:t>
      </w:r>
      <w:r w:rsidR="00836775" w:rsidRPr="006F6D0D">
        <w:t>,</w:t>
      </w:r>
      <w:r w:rsidR="00144FF5" w:rsidRPr="006F6D0D">
        <w:t xml:space="preserve"> внесе или възнамерява да внесе съществени промени в това предложение;</w:t>
      </w:r>
    </w:p>
    <w:p w:rsidR="00144FF5" w:rsidRPr="006F6D0D" w:rsidRDefault="00A57889" w:rsidP="00144FF5">
      <w:pPr>
        <w:pStyle w:val="NormalHanging12a"/>
      </w:pPr>
      <w:r w:rsidRPr="00FD29E7">
        <w:t>4</w:t>
      </w:r>
      <w:r w:rsidR="00FD29E7" w:rsidRPr="00FD29E7">
        <w:t>.</w:t>
      </w:r>
      <w:r w:rsidR="00144FF5" w:rsidRPr="006F6D0D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A57889" w:rsidRPr="006F6D0D" w:rsidRDefault="00A57889" w:rsidP="00144FF5">
      <w:pPr>
        <w:pStyle w:val="NormalHanging12a"/>
        <w:sectPr w:rsidR="00A57889" w:rsidRPr="006F6D0D" w:rsidSect="00A57889">
          <w:footnotePr>
            <w:numRestart w:val="eachSect"/>
          </w:footnotePr>
          <w:endnotePr>
            <w:numFmt w:val="decimal"/>
          </w:end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:rsidR="00A57889" w:rsidRPr="006F6D0D" w:rsidRDefault="00A57889" w:rsidP="00A5788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F6D0D">
        <w:rPr>
          <w:rFonts w:eastAsia="Calibri"/>
          <w:b/>
          <w:bCs/>
          <w:color w:val="000000"/>
          <w:szCs w:val="24"/>
        </w:rPr>
        <w:lastRenderedPageBreak/>
        <w:t>P</w:t>
      </w:r>
      <w:r w:rsidRPr="00FD29E7">
        <w:rPr>
          <w:rFonts w:eastAsia="Calibri"/>
          <w:b/>
          <w:bCs/>
          <w:color w:val="000000"/>
          <w:szCs w:val="24"/>
        </w:rPr>
        <w:t>9</w:t>
      </w:r>
      <w:r w:rsidRPr="006F6D0D">
        <w:rPr>
          <w:rFonts w:eastAsia="Calibri"/>
          <w:b/>
          <w:bCs/>
          <w:color w:val="000000"/>
          <w:szCs w:val="24"/>
        </w:rPr>
        <w:t>_TC</w:t>
      </w:r>
      <w:r w:rsidRPr="00FD29E7">
        <w:rPr>
          <w:rFonts w:eastAsia="Calibri"/>
          <w:b/>
          <w:bCs/>
          <w:color w:val="000000"/>
          <w:szCs w:val="24"/>
        </w:rPr>
        <w:t>1</w:t>
      </w:r>
      <w:r w:rsidRPr="006F6D0D">
        <w:rPr>
          <w:rFonts w:eastAsia="Calibri"/>
          <w:b/>
          <w:bCs/>
          <w:color w:val="000000"/>
          <w:szCs w:val="24"/>
        </w:rPr>
        <w:t>-COD(</w:t>
      </w:r>
      <w:r w:rsidRPr="00FD29E7">
        <w:rPr>
          <w:rFonts w:eastAsia="Calibri"/>
          <w:b/>
          <w:bCs/>
          <w:color w:val="000000"/>
          <w:szCs w:val="24"/>
        </w:rPr>
        <w:t>2022</w:t>
      </w:r>
      <w:r w:rsidRPr="006F6D0D">
        <w:rPr>
          <w:rFonts w:eastAsia="Calibri"/>
          <w:b/>
          <w:bCs/>
          <w:color w:val="000000"/>
          <w:szCs w:val="24"/>
        </w:rPr>
        <w:t>)</w:t>
      </w:r>
      <w:r w:rsidRPr="00FD29E7">
        <w:rPr>
          <w:rFonts w:eastAsia="Calibri"/>
          <w:b/>
          <w:bCs/>
          <w:color w:val="000000"/>
          <w:szCs w:val="24"/>
        </w:rPr>
        <w:t>0089</w:t>
      </w:r>
    </w:p>
    <w:p w:rsidR="00144FF5" w:rsidRPr="006F6D0D" w:rsidRDefault="00A57889" w:rsidP="00144FF5">
      <w:pPr>
        <w:widowControl/>
        <w:rPr>
          <w:rFonts w:eastAsia="Calibri"/>
          <w:b/>
          <w:szCs w:val="22"/>
          <w:lang w:eastAsia="en-US"/>
        </w:rPr>
      </w:pPr>
      <w:r w:rsidRPr="006F6D0D">
        <w:rPr>
          <w:b/>
          <w:szCs w:val="24"/>
        </w:rPr>
        <w:t xml:space="preserve">Позиция на Европейския парламент, приета на първо четене на </w:t>
      </w:r>
      <w:r w:rsidRPr="00FD29E7">
        <w:rPr>
          <w:b/>
          <w:szCs w:val="24"/>
        </w:rPr>
        <w:t>28</w:t>
      </w:r>
      <w:r w:rsidRPr="006F6D0D">
        <w:rPr>
          <w:b/>
          <w:szCs w:val="24"/>
        </w:rPr>
        <w:t xml:space="preserve"> февруари </w:t>
      </w:r>
      <w:r w:rsidRPr="00FD29E7">
        <w:rPr>
          <w:b/>
          <w:szCs w:val="24"/>
        </w:rPr>
        <w:t>2024</w:t>
      </w:r>
      <w:r w:rsidRPr="006F6D0D">
        <w:rPr>
          <w:b/>
          <w:szCs w:val="24"/>
        </w:rPr>
        <w:t xml:space="preserve"> г. с оглед на приемането на Регламент (ЕС) </w:t>
      </w:r>
      <w:r w:rsidRPr="00FD29E7">
        <w:rPr>
          <w:b/>
          <w:szCs w:val="24"/>
        </w:rPr>
        <w:t>2024</w:t>
      </w:r>
      <w:r w:rsidRPr="006F6D0D">
        <w:rPr>
          <w:b/>
          <w:szCs w:val="24"/>
        </w:rPr>
        <w:t xml:space="preserve">/... на Европейския парламент и на Съвета </w:t>
      </w:r>
      <w:r w:rsidR="00BF1C28">
        <w:rPr>
          <w:rFonts w:eastAsia="Calibri"/>
          <w:b/>
          <w:szCs w:val="22"/>
          <w:lang w:eastAsia="en-US"/>
        </w:rPr>
        <w:t xml:space="preserve">относно географските означения </w:t>
      </w:r>
      <w:r w:rsidRPr="006F6D0D">
        <w:rPr>
          <w:rFonts w:eastAsia="Calibri"/>
          <w:b/>
          <w:szCs w:val="22"/>
          <w:lang w:eastAsia="en-US"/>
        </w:rPr>
        <w:t xml:space="preserve">за вина, спиртни напитки и селскостопански продукти, </w:t>
      </w:r>
      <w:r w:rsidRPr="00BF1C28">
        <w:rPr>
          <w:rFonts w:eastAsia="Calibri"/>
          <w:b/>
          <w:bCs/>
          <w:iCs/>
          <w:szCs w:val="22"/>
          <w:lang w:eastAsia="en-US"/>
        </w:rPr>
        <w:t>както и</w:t>
      </w:r>
      <w:r w:rsidRPr="00BF1C28">
        <w:rPr>
          <w:rFonts w:eastAsia="Calibri"/>
          <w:b/>
          <w:bCs/>
          <w:szCs w:val="22"/>
          <w:lang w:eastAsia="en-US"/>
        </w:rPr>
        <w:t xml:space="preserve"> за </w:t>
      </w:r>
      <w:r w:rsidRPr="00BF1C28">
        <w:rPr>
          <w:rFonts w:eastAsia="Calibri"/>
          <w:b/>
          <w:bCs/>
          <w:iCs/>
          <w:szCs w:val="22"/>
          <w:lang w:eastAsia="en-US"/>
        </w:rPr>
        <w:t>храните с традиционно специфичен характер и незадължителните термини за</w:t>
      </w:r>
      <w:r w:rsidRPr="006F6D0D">
        <w:rPr>
          <w:rFonts w:eastAsia="Calibri"/>
          <w:b/>
          <w:szCs w:val="22"/>
          <w:lang w:eastAsia="en-US"/>
        </w:rPr>
        <w:t xml:space="preserve"> качество за селскостопанските продукти, за изменение на регламенти (ЕС) № </w:t>
      </w:r>
      <w:r w:rsidRPr="00FD29E7">
        <w:rPr>
          <w:rFonts w:eastAsia="Calibri"/>
          <w:b/>
          <w:szCs w:val="22"/>
          <w:lang w:eastAsia="en-US"/>
        </w:rPr>
        <w:t>1308</w:t>
      </w:r>
      <w:r w:rsidRPr="006F6D0D">
        <w:rPr>
          <w:rFonts w:eastAsia="Calibri"/>
          <w:b/>
          <w:szCs w:val="22"/>
          <w:lang w:eastAsia="en-US"/>
        </w:rPr>
        <w:t>/</w:t>
      </w:r>
      <w:r w:rsidRPr="00FD29E7">
        <w:rPr>
          <w:rFonts w:eastAsia="Calibri"/>
          <w:b/>
          <w:szCs w:val="22"/>
          <w:lang w:eastAsia="en-US"/>
        </w:rPr>
        <w:t>2013</w:t>
      </w:r>
      <w:r w:rsidRPr="006F6D0D">
        <w:rPr>
          <w:rFonts w:eastAsia="Calibri"/>
          <w:b/>
          <w:szCs w:val="22"/>
          <w:lang w:eastAsia="en-US"/>
        </w:rPr>
        <w:t xml:space="preserve">, (ЕС) </w:t>
      </w:r>
      <w:r w:rsidRPr="00BF1C28">
        <w:rPr>
          <w:rFonts w:eastAsia="Calibri"/>
          <w:b/>
          <w:bCs/>
          <w:iCs/>
          <w:szCs w:val="22"/>
          <w:lang w:eastAsia="en-US"/>
        </w:rPr>
        <w:t>2019/787 и (ЕС)</w:t>
      </w:r>
      <w:r w:rsidRPr="006F6D0D">
        <w:rPr>
          <w:rFonts w:eastAsia="Calibri"/>
          <w:b/>
          <w:bCs/>
          <w:i/>
          <w:iCs/>
          <w:szCs w:val="22"/>
          <w:lang w:eastAsia="en-US"/>
        </w:rPr>
        <w:t xml:space="preserve"> </w:t>
      </w:r>
      <w:r w:rsidRPr="00BF1C28">
        <w:rPr>
          <w:rFonts w:eastAsia="Calibri"/>
          <w:b/>
          <w:bCs/>
          <w:iCs/>
          <w:szCs w:val="22"/>
          <w:lang w:eastAsia="en-US"/>
        </w:rPr>
        <w:t>2019/1753</w:t>
      </w:r>
      <w:r w:rsidRPr="006F6D0D">
        <w:rPr>
          <w:rFonts w:eastAsia="Calibri"/>
          <w:b/>
          <w:szCs w:val="22"/>
          <w:lang w:eastAsia="en-US"/>
        </w:rPr>
        <w:t xml:space="preserve"> и за отмяна на Регламент (ЕС) № </w:t>
      </w:r>
      <w:r w:rsidRPr="00FD29E7">
        <w:rPr>
          <w:rFonts w:eastAsia="Calibri"/>
          <w:b/>
          <w:szCs w:val="22"/>
          <w:lang w:eastAsia="en-US"/>
        </w:rPr>
        <w:t>1151</w:t>
      </w:r>
      <w:r w:rsidRPr="006F6D0D">
        <w:rPr>
          <w:rFonts w:eastAsia="Calibri"/>
          <w:b/>
          <w:szCs w:val="22"/>
          <w:lang w:eastAsia="en-US"/>
        </w:rPr>
        <w:t>/</w:t>
      </w:r>
      <w:r w:rsidRPr="00FD29E7">
        <w:rPr>
          <w:rFonts w:eastAsia="Calibri"/>
          <w:b/>
          <w:szCs w:val="22"/>
          <w:lang w:eastAsia="en-US"/>
        </w:rPr>
        <w:t>2012</w:t>
      </w:r>
    </w:p>
    <w:p w:rsidR="00FD29E7" w:rsidRPr="002B6E0C" w:rsidRDefault="00BF1C28" w:rsidP="00BF1C28">
      <w:pPr>
        <w:keepNext/>
        <w:widowControl/>
        <w:spacing w:before="600" w:after="120"/>
        <w:rPr>
          <w:rFonts w:eastAsia="Calibri"/>
          <w:b/>
          <w:szCs w:val="22"/>
          <w:lang w:eastAsia="en-US"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окончателния законодат</w:t>
      </w:r>
      <w:r w:rsidRPr="00BF1C28">
        <w:rPr>
          <w:i/>
          <w:szCs w:val="24"/>
        </w:rPr>
        <w:t xml:space="preserve">елен акт, </w:t>
      </w:r>
      <w:proofErr w:type="spellStart"/>
      <w:r w:rsidRPr="00BF1C28">
        <w:rPr>
          <w:i/>
          <w:szCs w:val="24"/>
          <w:lang w:val="lt-LT"/>
        </w:rPr>
        <w:t>Регламент</w:t>
      </w:r>
      <w:proofErr w:type="spellEnd"/>
      <w:r w:rsidRPr="00BF1C28">
        <w:rPr>
          <w:i/>
          <w:szCs w:val="24"/>
          <w:lang w:val="lt-LT"/>
        </w:rPr>
        <w:t xml:space="preserve"> (ЕС) </w:t>
      </w:r>
      <w:r w:rsidRPr="00BF1C28">
        <w:rPr>
          <w:i/>
          <w:szCs w:val="24"/>
          <w:lang w:val="lt-LT"/>
        </w:rPr>
        <w:t>2024/1143</w:t>
      </w:r>
      <w:r w:rsidRPr="00BF1C28">
        <w:rPr>
          <w:i/>
          <w:szCs w:val="24"/>
          <w:lang w:val="lt-LT"/>
        </w:rPr>
        <w:t>.)</w:t>
      </w:r>
    </w:p>
    <w:p w:rsidR="00FD29E7" w:rsidRPr="002B6E0C" w:rsidRDefault="00FD29E7" w:rsidP="00FD29E7">
      <w:pPr>
        <w:spacing w:after="240"/>
        <w:jc w:val="center"/>
      </w:pPr>
    </w:p>
    <w:p w:rsidR="004E1C2C" w:rsidRPr="006F6D0D" w:rsidRDefault="004E1C2C" w:rsidP="00144FF5">
      <w:pPr>
        <w:widowControl/>
        <w:sectPr w:rsidR="004E1C2C" w:rsidRPr="006F6D0D" w:rsidSect="00E91A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57889" w:rsidRPr="006F6D0D" w:rsidRDefault="004E1C2C" w:rsidP="004E1C2C">
      <w:pPr>
        <w:widowControl/>
        <w:jc w:val="right"/>
        <w:rPr>
          <w:rStyle w:val="Strong"/>
          <w:b w:val="0"/>
        </w:rPr>
      </w:pPr>
      <w:r w:rsidRPr="006F6D0D">
        <w:rPr>
          <w:rStyle w:val="Strong"/>
          <w:b w:val="0"/>
        </w:rPr>
        <w:lastRenderedPageBreak/>
        <w:t>ПРИЛОЖЕНИЕ КЪМ ЗАКОНОДАТЕЛНАТА РЕЗОЛЮЦИЯ</w:t>
      </w:r>
    </w:p>
    <w:p w:rsidR="004E1C2C" w:rsidRPr="006F6D0D" w:rsidRDefault="004E1C2C" w:rsidP="004E1C2C">
      <w:pPr>
        <w:widowControl/>
      </w:pPr>
    </w:p>
    <w:p w:rsidR="004E1C2C" w:rsidRPr="006F6D0D" w:rsidRDefault="004E1C2C" w:rsidP="004E1C2C">
      <w:pPr>
        <w:spacing w:after="240" w:line="360" w:lineRule="auto"/>
        <w:jc w:val="center"/>
        <w:rPr>
          <w:b/>
          <w:bCs/>
        </w:rPr>
      </w:pPr>
      <w:r w:rsidRPr="006F6D0D">
        <w:rPr>
          <w:b/>
        </w:rPr>
        <w:t xml:space="preserve">Съвместно изявление на Европейския парламент и на Съвета по повод приемането на Регламент (ЕС) </w:t>
      </w:r>
      <w:r w:rsidRPr="00FD29E7">
        <w:rPr>
          <w:b/>
        </w:rPr>
        <w:t>2024</w:t>
      </w:r>
      <w:r w:rsidRPr="006F6D0D">
        <w:rPr>
          <w:b/>
        </w:rPr>
        <w:t>/</w:t>
      </w:r>
      <w:r w:rsidR="00BF1C28">
        <w:rPr>
          <w:b/>
          <w:lang w:val="en-GB"/>
        </w:rPr>
        <w:t>1143</w:t>
      </w:r>
      <w:r w:rsidR="00BF1C28">
        <w:rPr>
          <w:rStyle w:val="FootnoteReference"/>
          <w:b/>
          <w:lang w:val="en-GB"/>
        </w:rPr>
        <w:footnoteReference w:id="4"/>
      </w:r>
    </w:p>
    <w:p w:rsidR="004E1C2C" w:rsidRPr="006F6D0D" w:rsidRDefault="004E1C2C" w:rsidP="004E1C2C">
      <w:pPr>
        <w:spacing w:before="120" w:after="120" w:line="360" w:lineRule="auto"/>
      </w:pPr>
      <w:r w:rsidRPr="006F6D0D">
        <w:t>Европейският парламент и Съветът подчертават, че всички процедури, свързани с географските означения, уредени с настоящия регламент, остават отговорност единствено на Комисията.</w:t>
      </w:r>
    </w:p>
    <w:p w:rsidR="004E1C2C" w:rsidRPr="006F6D0D" w:rsidRDefault="004E1C2C" w:rsidP="00B875E7">
      <w:pPr>
        <w:spacing w:before="120" w:after="120" w:line="360" w:lineRule="auto"/>
      </w:pPr>
      <w:r w:rsidRPr="006F6D0D">
        <w:t>Европейският парламент и Съветът отбелязват, че Комисията може да бъде подпомагана само по отношение на изпълнението на административни задачи, ако и доколкото това е възможно съгласно съществуващата правна рамка.</w:t>
      </w:r>
    </w:p>
    <w:p w:rsidR="004E1C2C" w:rsidRPr="00E91A1C" w:rsidRDefault="004E1C2C" w:rsidP="009B5EED">
      <w:pPr>
        <w:widowControl/>
        <w:spacing w:line="360" w:lineRule="auto"/>
      </w:pPr>
      <w:r w:rsidRPr="006F6D0D">
        <w:t>За целите на прозрачността Комисията се приканва да информира всяка година Европейския парламент и Съвета относно помощта, получена при изпълнението на тези задачи.</w:t>
      </w:r>
      <w:bookmarkStart w:id="7" w:name="_GoBack"/>
      <w:bookmarkEnd w:id="7"/>
    </w:p>
    <w:sectPr w:rsidR="004E1C2C" w:rsidRPr="00E91A1C" w:rsidSect="00E91A1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2AE" w:rsidRPr="00E91A1C" w:rsidRDefault="00A462AE">
      <w:r w:rsidRPr="00E91A1C">
        <w:separator/>
      </w:r>
    </w:p>
  </w:endnote>
  <w:endnote w:type="continuationSeparator" w:id="0">
    <w:p w:rsidR="00A462AE" w:rsidRPr="00E91A1C" w:rsidRDefault="00A462AE">
      <w:r w:rsidRPr="00E91A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91A1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91A1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91A1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2AE" w:rsidRPr="00E91A1C" w:rsidRDefault="00A462AE">
      <w:r w:rsidRPr="00E91A1C">
        <w:separator/>
      </w:r>
    </w:p>
  </w:footnote>
  <w:footnote w:type="continuationSeparator" w:id="0">
    <w:p w:rsidR="00A462AE" w:rsidRPr="00E91A1C" w:rsidRDefault="00A462AE">
      <w:r w:rsidRPr="00E91A1C">
        <w:continuationSeparator/>
      </w:r>
    </w:p>
  </w:footnote>
  <w:footnote w:id="1">
    <w:p w:rsidR="00144FF5" w:rsidRPr="00FD29E7" w:rsidRDefault="00144FF5" w:rsidP="00E91A1C">
      <w:pPr>
        <w:pStyle w:val="FootnoteText"/>
        <w:ind w:left="567" w:hanging="567"/>
        <w:rPr>
          <w:sz w:val="24"/>
          <w:szCs w:val="24"/>
          <w:lang w:val="bg-BG"/>
        </w:rPr>
      </w:pPr>
      <w:r w:rsidRPr="00FD29E7">
        <w:rPr>
          <w:rStyle w:val="FootnoteReference"/>
          <w:sz w:val="24"/>
          <w:szCs w:val="24"/>
          <w:lang w:val="bg-BG"/>
        </w:rPr>
        <w:footnoteRef/>
      </w:r>
      <w:r w:rsidR="00E91A1C" w:rsidRPr="00FD29E7">
        <w:rPr>
          <w:sz w:val="24"/>
          <w:szCs w:val="24"/>
          <w:lang w:val="bg-BG"/>
        </w:rPr>
        <w:t xml:space="preserve"> </w:t>
      </w:r>
      <w:r w:rsidR="00E91A1C" w:rsidRPr="00FD29E7">
        <w:rPr>
          <w:sz w:val="24"/>
          <w:szCs w:val="24"/>
          <w:lang w:val="bg-BG"/>
        </w:rPr>
        <w:tab/>
      </w:r>
      <w:r w:rsidRPr="00FD29E7">
        <w:rPr>
          <w:sz w:val="24"/>
          <w:szCs w:val="24"/>
          <w:lang w:val="bg-BG"/>
        </w:rPr>
        <w:t>ОВ C 443, 22.11.2022 г., стр. 116.</w:t>
      </w:r>
    </w:p>
  </w:footnote>
  <w:footnote w:id="2">
    <w:p w:rsidR="004E1C2C" w:rsidRPr="00FD29E7" w:rsidRDefault="004E1C2C" w:rsidP="009B5EED">
      <w:pPr>
        <w:pStyle w:val="FootnoteText"/>
        <w:ind w:left="567" w:hanging="567"/>
        <w:rPr>
          <w:sz w:val="24"/>
          <w:szCs w:val="24"/>
          <w:lang w:val="bg-BG"/>
        </w:rPr>
      </w:pPr>
      <w:r w:rsidRPr="00FD29E7">
        <w:rPr>
          <w:rStyle w:val="FootnoteReference"/>
          <w:sz w:val="24"/>
          <w:szCs w:val="24"/>
        </w:rPr>
        <w:footnoteRef/>
      </w:r>
      <w:r w:rsidRPr="00FD29E7">
        <w:rPr>
          <w:sz w:val="24"/>
          <w:szCs w:val="24"/>
        </w:rPr>
        <w:t xml:space="preserve"> </w:t>
      </w:r>
      <w:r w:rsidRPr="00FD29E7">
        <w:rPr>
          <w:sz w:val="24"/>
          <w:szCs w:val="24"/>
          <w:lang w:val="bg-BG"/>
        </w:rPr>
        <w:tab/>
      </w:r>
      <w:r w:rsidRPr="00FD29E7">
        <w:rPr>
          <w:sz w:val="24"/>
          <w:szCs w:val="24"/>
          <w:lang w:val="pl-PL"/>
        </w:rPr>
        <w:t>ОВ C 79, 2.3.2023</w:t>
      </w:r>
      <w:r w:rsidRPr="00FD29E7">
        <w:rPr>
          <w:sz w:val="24"/>
          <w:szCs w:val="24"/>
          <w:lang w:val="bg-BG"/>
        </w:rPr>
        <w:t> г.</w:t>
      </w:r>
      <w:r w:rsidRPr="00FD29E7">
        <w:rPr>
          <w:sz w:val="24"/>
          <w:szCs w:val="24"/>
          <w:lang w:val="pl-PL"/>
        </w:rPr>
        <w:t xml:space="preserve">, </w:t>
      </w:r>
      <w:proofErr w:type="spellStart"/>
      <w:r w:rsidRPr="00FD29E7">
        <w:rPr>
          <w:sz w:val="24"/>
          <w:szCs w:val="24"/>
          <w:lang w:val="bg-BG"/>
        </w:rPr>
        <w:t>стр</w:t>
      </w:r>
      <w:proofErr w:type="spellEnd"/>
      <w:r w:rsidRPr="00FD29E7">
        <w:rPr>
          <w:sz w:val="24"/>
          <w:szCs w:val="24"/>
          <w:lang w:val="pl-PL"/>
        </w:rPr>
        <w:t>. 74.</w:t>
      </w:r>
    </w:p>
  </w:footnote>
  <w:footnote w:id="3">
    <w:p w:rsidR="00871873" w:rsidRPr="00FD29E7" w:rsidRDefault="00871873" w:rsidP="009B5EED">
      <w:pPr>
        <w:pStyle w:val="FootnoteText"/>
        <w:ind w:left="567" w:hanging="567"/>
        <w:rPr>
          <w:sz w:val="24"/>
          <w:szCs w:val="24"/>
          <w:lang w:val="bg-BG"/>
        </w:rPr>
      </w:pPr>
      <w:r w:rsidRPr="00FD29E7">
        <w:rPr>
          <w:rStyle w:val="FootnoteReference"/>
          <w:sz w:val="24"/>
          <w:szCs w:val="24"/>
        </w:rPr>
        <w:footnoteRef/>
      </w:r>
      <w:r w:rsidRPr="00FD29E7">
        <w:rPr>
          <w:sz w:val="24"/>
          <w:szCs w:val="24"/>
          <w:lang w:val="bg-BG"/>
        </w:rPr>
        <w:t xml:space="preserve"> </w:t>
      </w:r>
      <w:r w:rsidRPr="00FD29E7">
        <w:rPr>
          <w:sz w:val="24"/>
          <w:szCs w:val="24"/>
          <w:lang w:val="bg-BG"/>
        </w:rPr>
        <w:tab/>
        <w:t>Тази позиция заменя измененията, приети на 1 юни 2023 г. (Приети текстове, P9_TA(2023)0210).</w:t>
      </w:r>
    </w:p>
  </w:footnote>
  <w:footnote w:id="4">
    <w:p w:rsidR="00BF1C28" w:rsidRPr="00BF1C28" w:rsidRDefault="00BF1C28">
      <w:pPr>
        <w:pStyle w:val="FootnoteText"/>
        <w:rPr>
          <w:sz w:val="24"/>
          <w:szCs w:val="24"/>
          <w:lang w:val="en-GB"/>
        </w:rPr>
      </w:pPr>
      <w:r w:rsidRPr="00BF1C28">
        <w:rPr>
          <w:rStyle w:val="FootnoteReference"/>
          <w:sz w:val="24"/>
          <w:szCs w:val="24"/>
        </w:rPr>
        <w:footnoteRef/>
      </w:r>
      <w:r w:rsidRPr="00BF1C28">
        <w:rPr>
          <w:sz w:val="24"/>
          <w:szCs w:val="24"/>
        </w:rPr>
        <w:t xml:space="preserve"> </w:t>
      </w:r>
      <w:r w:rsidRPr="00BF1C28">
        <w:rPr>
          <w:sz w:val="24"/>
          <w:szCs w:val="24"/>
          <w:lang w:val="en-GB"/>
        </w:rPr>
        <w:tab/>
      </w:r>
      <w:r w:rsidRPr="00BF1C28">
        <w:rPr>
          <w:sz w:val="24"/>
          <w:szCs w:val="24"/>
          <w:lang w:val="bg-BG"/>
        </w:rPr>
        <w:t>ОВ</w:t>
      </w:r>
      <w:r w:rsidRPr="00BF1C28">
        <w:rPr>
          <w:sz w:val="24"/>
          <w:szCs w:val="24"/>
          <w:lang w:val="en-GB"/>
        </w:rPr>
        <w:t xml:space="preserve"> L, 2024/1143, 23.4.2024</w:t>
      </w:r>
      <w:r w:rsidRPr="00BF1C28">
        <w:rPr>
          <w:sz w:val="24"/>
          <w:szCs w:val="24"/>
          <w:lang w:val="bg-BG"/>
        </w:rPr>
        <w:t> г.</w:t>
      </w:r>
      <w:r w:rsidRPr="00BF1C28">
        <w:rPr>
          <w:sz w:val="24"/>
          <w:szCs w:val="24"/>
          <w:lang w:val="en-GB"/>
        </w:rPr>
        <w:t xml:space="preserve">, ELI: </w:t>
      </w:r>
      <w:hyperlink r:id="rId1" w:history="1">
        <w:r w:rsidR="004E2658" w:rsidRPr="00F305F8">
          <w:rPr>
            <w:rStyle w:val="Hyperlink"/>
            <w:sz w:val="24"/>
            <w:szCs w:val="24"/>
            <w:lang w:val="en-GB"/>
          </w:rPr>
          <w:t>http://data.europa.eu/eli/reg/2024/1143/oj</w:t>
        </w:r>
      </w:hyperlink>
      <w:r w:rsidRPr="00BF1C28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91A1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91A1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91A1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2CB"/>
    <w:multiLevelType w:val="multilevel"/>
    <w:tmpl w:val="3746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4" w15:restartNumberingAfterBreak="0">
    <w:nsid w:val="34030330"/>
    <w:multiLevelType w:val="hybridMultilevel"/>
    <w:tmpl w:val="48102388"/>
    <w:lvl w:ilvl="0" w:tplc="98BCE08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9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1" w15:restartNumberingAfterBreak="0">
    <w:nsid w:val="4B2048F3"/>
    <w:multiLevelType w:val="hybridMultilevel"/>
    <w:tmpl w:val="A3B25AA0"/>
    <w:lvl w:ilvl="0" w:tplc="B08EA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4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0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1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5"/>
  </w:num>
  <w:num w:numId="3">
    <w:abstractNumId w:val="31"/>
  </w:num>
  <w:num w:numId="4">
    <w:abstractNumId w:val="2"/>
  </w:num>
  <w:num w:numId="5">
    <w:abstractNumId w:val="32"/>
  </w:num>
  <w:num w:numId="6">
    <w:abstractNumId w:val="28"/>
  </w:num>
  <w:num w:numId="7">
    <w:abstractNumId w:val="4"/>
  </w:num>
  <w:num w:numId="8">
    <w:abstractNumId w:val="34"/>
  </w:num>
  <w:num w:numId="9">
    <w:abstractNumId w:val="39"/>
  </w:num>
  <w:num w:numId="10">
    <w:abstractNumId w:val="25"/>
  </w:num>
  <w:num w:numId="11">
    <w:abstractNumId w:val="33"/>
  </w:num>
  <w:num w:numId="12">
    <w:abstractNumId w:val="29"/>
  </w:num>
  <w:num w:numId="13">
    <w:abstractNumId w:val="19"/>
  </w:num>
  <w:num w:numId="14">
    <w:abstractNumId w:val="10"/>
  </w:num>
  <w:num w:numId="15">
    <w:abstractNumId w:val="8"/>
  </w:num>
  <w:num w:numId="16">
    <w:abstractNumId w:val="30"/>
  </w:num>
  <w:num w:numId="17">
    <w:abstractNumId w:val="35"/>
  </w:num>
  <w:num w:numId="18">
    <w:abstractNumId w:val="1"/>
  </w:num>
  <w:num w:numId="19">
    <w:abstractNumId w:val="11"/>
  </w:num>
  <w:num w:numId="20">
    <w:abstractNumId w:val="7"/>
  </w:num>
  <w:num w:numId="21">
    <w:abstractNumId w:val="12"/>
  </w:num>
  <w:num w:numId="22">
    <w:abstractNumId w:val="26"/>
  </w:num>
  <w:num w:numId="23">
    <w:abstractNumId w:val="6"/>
  </w:num>
  <w:num w:numId="24">
    <w:abstractNumId w:val="20"/>
  </w:num>
  <w:num w:numId="25">
    <w:abstractNumId w:val="24"/>
  </w:num>
  <w:num w:numId="26">
    <w:abstractNumId w:val="23"/>
  </w:num>
  <w:num w:numId="27">
    <w:abstractNumId w:val="40"/>
  </w:num>
  <w:num w:numId="28">
    <w:abstractNumId w:val="16"/>
  </w:num>
  <w:num w:numId="29">
    <w:abstractNumId w:val="17"/>
  </w:num>
  <w:num w:numId="30">
    <w:abstractNumId w:val="18"/>
  </w:num>
  <w:num w:numId="31">
    <w:abstractNumId w:val="22"/>
  </w:num>
  <w:num w:numId="32">
    <w:abstractNumId w:val="9"/>
  </w:num>
  <w:num w:numId="33">
    <w:abstractNumId w:val="41"/>
  </w:num>
  <w:num w:numId="34">
    <w:abstractNumId w:val="13"/>
  </w:num>
  <w:num w:numId="35">
    <w:abstractNumId w:val="27"/>
  </w:num>
  <w:num w:numId="36">
    <w:abstractNumId w:val="37"/>
  </w:num>
  <w:num w:numId="37">
    <w:abstractNumId w:val="36"/>
  </w:num>
  <w:num w:numId="38">
    <w:abstractNumId w:val="38"/>
  </w:num>
  <w:num w:numId="39">
    <w:abstractNumId w:val="5"/>
  </w:num>
  <w:num w:numId="40">
    <w:abstractNumId w:val="21"/>
  </w:num>
  <w:num w:numId="41">
    <w:abstractNumId w:val="14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BG"/>
    <w:docVar w:name="dvnumam" w:val="468"/>
    <w:docVar w:name="dvpe" w:val="736.493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относно географските означения на Европейския съюз за вина, спиртни напитки и селскостопански продукти и относно схемите за качество на селскостопанските продукти, за изменение на регламенти (ЕС) № 1308/2013, (ЕС) 2017/1001 и (ЕС) 2019/787 и за отмяна на Регламент (ЕС) № 1151/2012(COM(2022)0134 – C9-0130/2022 – 2022/0089(COD))"/>
  </w:docVars>
  <w:rsids>
    <w:rsidRoot w:val="00A462AE"/>
    <w:rsid w:val="00002272"/>
    <w:rsid w:val="00064002"/>
    <w:rsid w:val="000677B9"/>
    <w:rsid w:val="000831BA"/>
    <w:rsid w:val="000A1FA3"/>
    <w:rsid w:val="000A42CC"/>
    <w:rsid w:val="000E7DD9"/>
    <w:rsid w:val="0010095E"/>
    <w:rsid w:val="00125B37"/>
    <w:rsid w:val="00144FF5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1C2C"/>
    <w:rsid w:val="004E2658"/>
    <w:rsid w:val="004E7568"/>
    <w:rsid w:val="0050519A"/>
    <w:rsid w:val="005072A1"/>
    <w:rsid w:val="00514517"/>
    <w:rsid w:val="005447A7"/>
    <w:rsid w:val="00545827"/>
    <w:rsid w:val="00560270"/>
    <w:rsid w:val="005806C9"/>
    <w:rsid w:val="005B23E5"/>
    <w:rsid w:val="005C2568"/>
    <w:rsid w:val="006037C0"/>
    <w:rsid w:val="006631B6"/>
    <w:rsid w:val="00680577"/>
    <w:rsid w:val="006F6D0D"/>
    <w:rsid w:val="006F74FA"/>
    <w:rsid w:val="00731ADD"/>
    <w:rsid w:val="00734777"/>
    <w:rsid w:val="00747932"/>
    <w:rsid w:val="00751A4A"/>
    <w:rsid w:val="00756632"/>
    <w:rsid w:val="00762C74"/>
    <w:rsid w:val="00786EC0"/>
    <w:rsid w:val="007B13FC"/>
    <w:rsid w:val="007D1690"/>
    <w:rsid w:val="007E22AD"/>
    <w:rsid w:val="00817416"/>
    <w:rsid w:val="00836775"/>
    <w:rsid w:val="00842779"/>
    <w:rsid w:val="00865F67"/>
    <w:rsid w:val="00871873"/>
    <w:rsid w:val="00881A7B"/>
    <w:rsid w:val="008840E5"/>
    <w:rsid w:val="00887B3E"/>
    <w:rsid w:val="008C2AC6"/>
    <w:rsid w:val="00930C23"/>
    <w:rsid w:val="0093193B"/>
    <w:rsid w:val="009509D8"/>
    <w:rsid w:val="00950B64"/>
    <w:rsid w:val="00957C76"/>
    <w:rsid w:val="00981893"/>
    <w:rsid w:val="009B5EED"/>
    <w:rsid w:val="00A0512E"/>
    <w:rsid w:val="00A1687D"/>
    <w:rsid w:val="00A43E52"/>
    <w:rsid w:val="00A462AE"/>
    <w:rsid w:val="00A4678D"/>
    <w:rsid w:val="00A57889"/>
    <w:rsid w:val="00A778C7"/>
    <w:rsid w:val="00AB441E"/>
    <w:rsid w:val="00AB6293"/>
    <w:rsid w:val="00AE0928"/>
    <w:rsid w:val="00AF3B82"/>
    <w:rsid w:val="00B12E95"/>
    <w:rsid w:val="00B22876"/>
    <w:rsid w:val="00B558F0"/>
    <w:rsid w:val="00B875E7"/>
    <w:rsid w:val="00BD48FE"/>
    <w:rsid w:val="00BD7BD8"/>
    <w:rsid w:val="00BE6ADC"/>
    <w:rsid w:val="00BF1C28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1A1C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F0D74"/>
  <w15:chartTrackingRefBased/>
  <w15:docId w15:val="{0B835148-58B6-4EAD-9EC5-0665293F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44FF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FF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FF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FF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FF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FF5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FF5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144FF5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144FF5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144FF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44FF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44FF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44FF5"/>
    <w:pPr>
      <w:spacing w:after="120"/>
    </w:pPr>
  </w:style>
  <w:style w:type="paragraph" w:customStyle="1" w:styleId="PageHeading">
    <w:name w:val="PageHeading"/>
    <w:basedOn w:val="Normal"/>
    <w:rsid w:val="00144FF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44FF5"/>
    <w:rPr>
      <w:b/>
    </w:rPr>
  </w:style>
  <w:style w:type="character" w:customStyle="1" w:styleId="NormalBoldChar">
    <w:name w:val="NormalBold Char"/>
    <w:link w:val="NormalBold"/>
    <w:locked/>
    <w:rsid w:val="00144FF5"/>
    <w:rPr>
      <w:b/>
      <w:sz w:val="24"/>
      <w:lang w:val="bg-BG"/>
    </w:rPr>
  </w:style>
  <w:style w:type="paragraph" w:customStyle="1" w:styleId="NormalBold12a">
    <w:name w:val="NormalBold12a"/>
    <w:basedOn w:val="Normal"/>
    <w:rsid w:val="00144FF5"/>
    <w:pPr>
      <w:spacing w:after="240"/>
    </w:pPr>
    <w:rPr>
      <w:b/>
    </w:rPr>
  </w:style>
  <w:style w:type="paragraph" w:customStyle="1" w:styleId="AmJustText">
    <w:name w:val="AmJustText"/>
    <w:basedOn w:val="Normal"/>
    <w:rsid w:val="00144FF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44FF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44FF5"/>
    <w:pPr>
      <w:spacing w:after="480"/>
      <w:ind w:left="1417"/>
    </w:pPr>
  </w:style>
  <w:style w:type="paragraph" w:customStyle="1" w:styleId="CoverNormal">
    <w:name w:val="CoverNormal"/>
    <w:basedOn w:val="Normal"/>
    <w:rsid w:val="00144FF5"/>
    <w:pPr>
      <w:ind w:left="1418"/>
    </w:pPr>
  </w:style>
  <w:style w:type="paragraph" w:customStyle="1" w:styleId="AmCrossRef">
    <w:name w:val="AmCrossRef"/>
    <w:basedOn w:val="Normal"/>
    <w:rsid w:val="00144FF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44FF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44FF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44FF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44FF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44FF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44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FF5"/>
    <w:rPr>
      <w:sz w:val="24"/>
      <w:lang w:val="bg-BG"/>
    </w:rPr>
  </w:style>
  <w:style w:type="paragraph" w:customStyle="1" w:styleId="AmOrLang">
    <w:name w:val="AmOrLang"/>
    <w:basedOn w:val="Normal"/>
    <w:rsid w:val="00144FF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44FF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44FF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144FF5"/>
    <w:rPr>
      <w:b/>
      <w:sz w:val="24"/>
      <w:lang w:val="bg-BG"/>
    </w:rPr>
  </w:style>
  <w:style w:type="paragraph" w:customStyle="1" w:styleId="NormalBold12b">
    <w:name w:val="NormalBold12b"/>
    <w:basedOn w:val="Normal"/>
    <w:link w:val="NormalBold12bChar"/>
    <w:rsid w:val="00144FF5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144FF5"/>
    <w:rPr>
      <w:b/>
      <w:sz w:val="24"/>
      <w:lang w:val="bg-BG"/>
    </w:rPr>
  </w:style>
  <w:style w:type="paragraph" w:customStyle="1" w:styleId="EPBody">
    <w:name w:val="EPBody"/>
    <w:basedOn w:val="Normal"/>
    <w:rsid w:val="00144FF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44FF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44FF5"/>
    <w:pPr>
      <w:spacing w:before="480" w:after="240"/>
    </w:pPr>
  </w:style>
  <w:style w:type="paragraph" w:customStyle="1" w:styleId="Lgendesigne">
    <w:name w:val="Légende signe"/>
    <w:basedOn w:val="Normal"/>
    <w:rsid w:val="00144FF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44FF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44FF5"/>
    <w:rPr>
      <w:sz w:val="18"/>
    </w:rPr>
  </w:style>
  <w:style w:type="paragraph" w:customStyle="1" w:styleId="msonormal0">
    <w:name w:val="msonormal"/>
    <w:basedOn w:val="Normal"/>
    <w:rsid w:val="00144FF5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link w:val="Normal12"/>
    <w:locked/>
    <w:rsid w:val="00144FF5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144FF5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144FF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44FF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44FF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44FF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44FF5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144FF5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144FF5"/>
    <w:pPr>
      <w:spacing w:after="120"/>
    </w:pPr>
  </w:style>
  <w:style w:type="paragraph" w:customStyle="1" w:styleId="Normal12Italic">
    <w:name w:val="Normal12Italic"/>
    <w:basedOn w:val="Normal12"/>
    <w:rsid w:val="00144FF5"/>
    <w:rPr>
      <w:i/>
    </w:rPr>
  </w:style>
  <w:style w:type="paragraph" w:customStyle="1" w:styleId="JustificationTitle">
    <w:name w:val="JustificationTitle"/>
    <w:basedOn w:val="Normal"/>
    <w:next w:val="Normal12"/>
    <w:rsid w:val="00144FF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44FF5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144FF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44FF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44FF5"/>
    <w:pPr>
      <w:spacing w:before="240"/>
      <w:jc w:val="center"/>
    </w:pPr>
    <w:rPr>
      <w:i/>
    </w:rPr>
  </w:style>
  <w:style w:type="paragraph" w:customStyle="1" w:styleId="NormalBoldItalicCenter6a">
    <w:name w:val="NormalBoldItalicCenter6a"/>
    <w:basedOn w:val="Normal6a"/>
    <w:qFormat/>
    <w:rsid w:val="00144FF5"/>
    <w:pPr>
      <w:jc w:val="center"/>
    </w:pPr>
    <w:rPr>
      <w:b/>
      <w:i/>
    </w:rPr>
  </w:style>
  <w:style w:type="character" w:customStyle="1" w:styleId="Footer2Middle">
    <w:name w:val="Footer2Middle"/>
    <w:rsid w:val="00144FF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44FF5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144F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44FF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FF5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44F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44FF5"/>
    <w:rPr>
      <w:b/>
      <w:bCs/>
      <w:lang w:val="bg-BG"/>
    </w:rPr>
  </w:style>
  <w:style w:type="paragraph" w:styleId="BalloonText">
    <w:name w:val="Balloon Text"/>
    <w:basedOn w:val="Normal"/>
    <w:link w:val="BalloonTextChar"/>
    <w:uiPriority w:val="99"/>
    <w:unhideWhenUsed/>
    <w:rsid w:val="00144F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44FF5"/>
    <w:rPr>
      <w:rFonts w:ascii="Segoe UI" w:hAnsi="Segoe UI" w:cs="Segoe UI"/>
      <w:sz w:val="18"/>
      <w:szCs w:val="18"/>
      <w:lang w:val="bg-BG"/>
    </w:rPr>
  </w:style>
  <w:style w:type="character" w:customStyle="1" w:styleId="Sup">
    <w:name w:val="Sup"/>
    <w:uiPriority w:val="1"/>
    <w:qFormat/>
    <w:rsid w:val="00144FF5"/>
    <w:rPr>
      <w:vertAlign w:val="superscript"/>
    </w:rPr>
  </w:style>
  <w:style w:type="character" w:customStyle="1" w:styleId="SupBoldItalic">
    <w:name w:val="SupBoldItalic"/>
    <w:uiPriority w:val="1"/>
    <w:qFormat/>
    <w:rsid w:val="00144FF5"/>
    <w:rPr>
      <w:b/>
      <w:i/>
      <w:vertAlign w:val="superscript"/>
    </w:rPr>
  </w:style>
  <w:style w:type="paragraph" w:customStyle="1" w:styleId="Normal12a">
    <w:name w:val="Normal12a"/>
    <w:basedOn w:val="Normal"/>
    <w:rsid w:val="00144FF5"/>
    <w:pPr>
      <w:spacing w:after="240"/>
    </w:pPr>
  </w:style>
  <w:style w:type="paragraph" w:customStyle="1" w:styleId="RollCallVotes">
    <w:name w:val="RollCallVotes"/>
    <w:basedOn w:val="Normal"/>
    <w:rsid w:val="00144FF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44FF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44FF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44FF5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144FF5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144FF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44FF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144FF5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144FF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144FF5"/>
    <w:rPr>
      <w:sz w:val="24"/>
      <w:lang w:val="bg-BG"/>
    </w:rPr>
  </w:style>
  <w:style w:type="character" w:customStyle="1" w:styleId="num">
    <w:name w:val="num"/>
    <w:basedOn w:val="DefaultParagraphFont"/>
    <w:rsid w:val="00144FF5"/>
  </w:style>
  <w:style w:type="paragraph" w:customStyle="1" w:styleId="AmDocTypeTab">
    <w:name w:val="AmDocTypeTab"/>
    <w:basedOn w:val="Normal"/>
    <w:rsid w:val="00A57889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57889"/>
    <w:pPr>
      <w:spacing w:after="240"/>
      <w:jc w:val="center"/>
    </w:pPr>
  </w:style>
  <w:style w:type="paragraph" w:customStyle="1" w:styleId="AmDateTab">
    <w:name w:val="AmDateTab"/>
    <w:basedOn w:val="Normal"/>
    <w:rsid w:val="00A5788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57889"/>
    <w:pPr>
      <w:spacing w:before="720" w:after="240"/>
      <w:jc w:val="center"/>
    </w:pPr>
  </w:style>
  <w:style w:type="paragraph" w:styleId="Footer">
    <w:name w:val="footer"/>
    <w:basedOn w:val="Normal"/>
    <w:link w:val="FooterChar"/>
    <w:uiPriority w:val="99"/>
    <w:rsid w:val="00A578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89"/>
    <w:rPr>
      <w:sz w:val="24"/>
      <w:lang w:val="bg-BG"/>
    </w:rPr>
  </w:style>
  <w:style w:type="numbering" w:customStyle="1" w:styleId="NoList1">
    <w:name w:val="No List1"/>
    <w:next w:val="NoList"/>
    <w:uiPriority w:val="99"/>
    <w:semiHidden/>
    <w:unhideWhenUsed/>
    <w:rsid w:val="00A57889"/>
  </w:style>
  <w:style w:type="paragraph" w:customStyle="1" w:styleId="NormalCentered">
    <w:name w:val="Normal Centered"/>
    <w:basedOn w:val="Normal"/>
    <w:rsid w:val="00A57889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A57889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A57889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A57889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A57889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A5788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5788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57889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A5788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A5788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A57889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A57889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A57889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A57889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A57889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A57889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A57889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A57889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A57889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A57889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A57889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A57889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A57889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A57889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A57889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A57889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A57889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A57889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A57889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A57889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A57889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A57889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A57889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A57889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A57889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A57889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A57889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A57889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A57889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A57889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A57889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A57889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A57889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A57889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A57889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A57889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A57889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A57889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A57889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A57889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A57889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A57889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A57889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A57889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A57889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A57889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57889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A57889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A57889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A57889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A57889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A57889"/>
    <w:pPr>
      <w:jc w:val="center"/>
    </w:pPr>
  </w:style>
  <w:style w:type="paragraph" w:customStyle="1" w:styleId="Jardin">
    <w:name w:val="Jardin"/>
    <w:basedOn w:val="Normal"/>
    <w:rsid w:val="00A57889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A57889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A57889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A57889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A57889"/>
    <w:rPr>
      <w:b/>
    </w:rPr>
  </w:style>
  <w:style w:type="paragraph" w:customStyle="1" w:styleId="Annex">
    <w:name w:val="Annex"/>
    <w:basedOn w:val="Normal"/>
    <w:next w:val="Normal"/>
    <w:rsid w:val="00A57889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A57889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A57889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A5788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A57889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57889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57889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A57889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A57889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57889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57889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rsid w:val="00A57889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57889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A5788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57889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57889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57889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5788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5788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A5788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5788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5788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5788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A5788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A5788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A5788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A5788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A5788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A5788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A5788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A5788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5788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5788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5788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5788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A5788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A5788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A5788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A5788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A5788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5788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A5788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A5788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A5788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A5788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A5788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5788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A57889"/>
    <w:pPr>
      <w:widowControl/>
      <w:numPr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A57889"/>
    <w:pPr>
      <w:widowControl/>
      <w:numPr>
        <w:numId w:val="24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A57889"/>
    <w:pPr>
      <w:widowControl/>
      <w:numPr>
        <w:numId w:val="25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A57889"/>
    <w:pPr>
      <w:widowControl/>
      <w:numPr>
        <w:numId w:val="26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A57889"/>
    <w:pPr>
      <w:widowControl/>
      <w:numPr>
        <w:numId w:val="27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A57889"/>
    <w:pPr>
      <w:widowControl/>
      <w:numPr>
        <w:numId w:val="28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57889"/>
    <w:pPr>
      <w:widowControl/>
      <w:numPr>
        <w:numId w:val="29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57889"/>
    <w:pPr>
      <w:widowControl/>
      <w:numPr>
        <w:numId w:val="30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57889"/>
    <w:pPr>
      <w:widowControl/>
      <w:numPr>
        <w:numId w:val="31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A57889"/>
    <w:pPr>
      <w:widowControl/>
      <w:numPr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A57889"/>
    <w:pPr>
      <w:widowControl/>
      <w:numPr>
        <w:ilvl w:val="1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A57889"/>
    <w:pPr>
      <w:widowControl/>
      <w:numPr>
        <w:ilvl w:val="2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A57889"/>
    <w:pPr>
      <w:widowControl/>
      <w:numPr>
        <w:ilvl w:val="3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A57889"/>
    <w:pPr>
      <w:widowControl/>
      <w:numPr>
        <w:ilvl w:val="4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A57889"/>
    <w:pPr>
      <w:widowControl/>
      <w:numPr>
        <w:ilvl w:val="5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A57889"/>
    <w:pPr>
      <w:widowControl/>
      <w:numPr>
        <w:ilvl w:val="6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5788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5788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5788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5788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5788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5788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5788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A5788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5788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5788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5788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5788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A5788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A5788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A5788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57889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57889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57889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57889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A57889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A57889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A57889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A57889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A57889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A57889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A57889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A57889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A57889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A57889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57889"/>
    <w:pPr>
      <w:widowControl/>
      <w:numPr>
        <w:numId w:val="35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57889"/>
    <w:pPr>
      <w:widowControl/>
      <w:numPr>
        <w:numId w:val="36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57889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57889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5788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5788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57889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A57889"/>
    <w:pPr>
      <w:widowControl/>
      <w:numPr>
        <w:numId w:val="39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5788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57889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57889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57889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57889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5788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57889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A57889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A5788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57889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A57889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A5788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5788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5788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A5788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A57889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57889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57889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57889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A5788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5788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5788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5788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5788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57889"/>
    <w:pPr>
      <w:spacing w:before="240"/>
    </w:pPr>
  </w:style>
  <w:style w:type="paragraph" w:customStyle="1" w:styleId="Accordtitre">
    <w:name w:val="Accord titre"/>
    <w:basedOn w:val="Normal"/>
    <w:rsid w:val="00A5788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5788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5788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5788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5788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57889"/>
    <w:pPr>
      <w:spacing w:after="240"/>
    </w:pPr>
  </w:style>
  <w:style w:type="paragraph" w:customStyle="1" w:styleId="Annexetitre">
    <w:name w:val="Annexe titre"/>
    <w:basedOn w:val="Normal"/>
    <w:next w:val="Normal"/>
    <w:rsid w:val="00A5788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A5788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A5788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5788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5788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5788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5788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5788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5788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5788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5788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5788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5788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5788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5788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5788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5788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5788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5788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5788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5788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5788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5788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5788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5788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5788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5788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5788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A5788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rsid w:val="00A5788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5788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A57889"/>
    <w:rPr>
      <w:b/>
      <w:i/>
    </w:rPr>
  </w:style>
  <w:style w:type="character" w:customStyle="1" w:styleId="diff-tte-removed">
    <w:name w:val="diff-tte-removed"/>
    <w:basedOn w:val="DefaultParagraphFont"/>
    <w:rsid w:val="00A57889"/>
    <w:rPr>
      <w:strike/>
    </w:rPr>
  </w:style>
  <w:style w:type="paragraph" w:styleId="Revision">
    <w:name w:val="Revision"/>
    <w:hidden/>
    <w:uiPriority w:val="99"/>
    <w:semiHidden/>
    <w:rsid w:val="00A57889"/>
    <w:rPr>
      <w:rFonts w:eastAsia="Calibri"/>
      <w:sz w:val="24"/>
      <w:szCs w:val="22"/>
      <w:lang w:val="bg-BG" w:eastAsia="en-US"/>
    </w:rPr>
  </w:style>
  <w:style w:type="paragraph" w:customStyle="1" w:styleId="Norml">
    <w:name w:val="Norml"/>
    <w:basedOn w:val="ManualNumPar1"/>
    <w:rsid w:val="00A57889"/>
  </w:style>
  <w:style w:type="paragraph" w:customStyle="1" w:styleId="Txt2">
    <w:name w:val="Txt 2"/>
    <w:basedOn w:val="Text4"/>
    <w:rsid w:val="00A57889"/>
    <w:pPr>
      <w:ind w:left="1985"/>
    </w:pPr>
  </w:style>
  <w:style w:type="character" w:styleId="Emphasis">
    <w:name w:val="Emphasis"/>
    <w:basedOn w:val="DefaultParagraphFont"/>
    <w:uiPriority w:val="20"/>
    <w:qFormat/>
    <w:rsid w:val="00A57889"/>
    <w:rPr>
      <w:i/>
      <w:iCs/>
    </w:rPr>
  </w:style>
  <w:style w:type="paragraph" w:customStyle="1" w:styleId="title-doc-first">
    <w:name w:val="title-doc-first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styleId="FollowedHyperlink">
    <w:name w:val="FollowedHyperlink"/>
    <w:basedOn w:val="DefaultParagraphFont"/>
    <w:uiPriority w:val="99"/>
    <w:unhideWhenUsed/>
    <w:rsid w:val="00A57889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A57889"/>
  </w:style>
  <w:style w:type="paragraph" w:customStyle="1" w:styleId="title-article-norm">
    <w:name w:val="title-article-norm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A57889"/>
  </w:style>
  <w:style w:type="paragraph" w:customStyle="1" w:styleId="modref">
    <w:name w:val="modref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A57889"/>
  </w:style>
  <w:style w:type="character" w:customStyle="1" w:styleId="italics">
    <w:name w:val="italics"/>
    <w:basedOn w:val="DefaultParagraphFont"/>
    <w:rsid w:val="00A57889"/>
  </w:style>
  <w:style w:type="character" w:customStyle="1" w:styleId="expanded">
    <w:name w:val="expanded"/>
    <w:basedOn w:val="DefaultParagraphFont"/>
    <w:rsid w:val="00A57889"/>
  </w:style>
  <w:style w:type="paragraph" w:customStyle="1" w:styleId="Normal1">
    <w:name w:val="Normal1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A57889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basedOn w:val="DefaultParagraphFont"/>
    <w:rsid w:val="00A57889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A57889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A57889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paragraph" w:customStyle="1" w:styleId="oj-normal">
    <w:name w:val="oj-normal"/>
    <w:basedOn w:val="Normal"/>
    <w:rsid w:val="00A57889"/>
    <w:pPr>
      <w:widowControl/>
      <w:spacing w:before="100" w:beforeAutospacing="1" w:after="100" w:afterAutospacing="1"/>
    </w:pPr>
    <w:rPr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A57889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4E1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28663-1E09-4C12-9F4C-0E40FC96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543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2024-04-30T10:36:00Z</dcterms:created>
  <dcterms:modified xsi:type="dcterms:W3CDTF">2024-04-30T10:36:00Z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