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C3B6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C3B6F" w:rsidRDefault="007A21FC" w:rsidP="0010095E">
            <w:pPr>
              <w:pStyle w:val="EPName"/>
            </w:pPr>
            <w:r w:rsidRPr="00DC3B6F">
              <w:t>Evropský parlament</w:t>
            </w:r>
          </w:p>
          <w:p w:rsidR="00751A4A" w:rsidRPr="00DC3B6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8055D">
              <w:t>2019</w:t>
            </w:r>
            <w:r w:rsidRPr="00DC3B6F">
              <w:t>-</w:t>
            </w:r>
            <w:r w:rsidRPr="0088055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C3B6F" w:rsidRDefault="00187494" w:rsidP="0010095E">
            <w:pPr>
              <w:pStyle w:val="EPLogo"/>
            </w:pPr>
            <w:r w:rsidRPr="00DC3B6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C3B6F" w:rsidRDefault="00D058B8" w:rsidP="004C5D52">
      <w:pPr>
        <w:pStyle w:val="LineTop"/>
      </w:pPr>
    </w:p>
    <w:p w:rsidR="00680577" w:rsidRPr="00DC3B6F" w:rsidRDefault="007A21FC" w:rsidP="00680577">
      <w:pPr>
        <w:pStyle w:val="EPBodyTA1"/>
      </w:pPr>
      <w:r w:rsidRPr="00DC3B6F">
        <w:t>PŘIJATÉ TEXTY</w:t>
      </w:r>
    </w:p>
    <w:p w:rsidR="00D058B8" w:rsidRPr="00DC3B6F" w:rsidRDefault="00D058B8" w:rsidP="00D058B8">
      <w:pPr>
        <w:pStyle w:val="LineBottom"/>
      </w:pPr>
    </w:p>
    <w:p w:rsidR="007A21FC" w:rsidRPr="00DC3B6F" w:rsidRDefault="007A21FC" w:rsidP="007A21FC">
      <w:pPr>
        <w:pStyle w:val="ATHeading1"/>
      </w:pPr>
      <w:bookmarkStart w:id="0" w:name="TANumber"/>
      <w:r w:rsidRPr="00DC3B6F">
        <w:t>P</w:t>
      </w:r>
      <w:r w:rsidRPr="0088055D">
        <w:t>9</w:t>
      </w:r>
      <w:r w:rsidRPr="00DC3B6F">
        <w:t>_TA(</w:t>
      </w:r>
      <w:r w:rsidRPr="0088055D">
        <w:t>2024</w:t>
      </w:r>
      <w:r w:rsidRPr="00DC3B6F">
        <w:t>)</w:t>
      </w:r>
      <w:r w:rsidRPr="0088055D">
        <w:t>0</w:t>
      </w:r>
      <w:r w:rsidR="00CF1A2D" w:rsidRPr="0088055D">
        <w:t>101</w:t>
      </w:r>
      <w:bookmarkEnd w:id="0"/>
    </w:p>
    <w:p w:rsidR="007A21FC" w:rsidRPr="00DC3B6F" w:rsidRDefault="00FF06A6" w:rsidP="007A21FC">
      <w:pPr>
        <w:pStyle w:val="ATHeading2"/>
      </w:pPr>
      <w:r w:rsidRPr="00FF06A6">
        <w:t>Zeměpisná označení pro víno, lihoviny a zemědělské produkty</w:t>
      </w:r>
    </w:p>
    <w:p w:rsidR="007A21FC" w:rsidRPr="00DC3B6F" w:rsidRDefault="007A21FC" w:rsidP="007A21FC">
      <w:pPr>
        <w:rPr>
          <w:i/>
          <w:vanish/>
        </w:rPr>
      </w:pPr>
      <w:r w:rsidRPr="00DC3B6F">
        <w:rPr>
          <w:i/>
        </w:rPr>
        <w:fldChar w:fldCharType="begin"/>
      </w:r>
      <w:r w:rsidRPr="00DC3B6F">
        <w:rPr>
          <w:i/>
        </w:rPr>
        <w:instrText xml:space="preserve"> TC"(</w:instrText>
      </w:r>
      <w:bookmarkStart w:id="1" w:name="DocNumber"/>
      <w:r w:rsidRPr="00DC3B6F">
        <w:rPr>
          <w:i/>
        </w:rPr>
        <w:instrText>A</w:instrText>
      </w:r>
      <w:r w:rsidRPr="0088055D">
        <w:rPr>
          <w:i/>
        </w:rPr>
        <w:instrText>9</w:instrText>
      </w:r>
      <w:r w:rsidRPr="00DC3B6F">
        <w:rPr>
          <w:i/>
        </w:rPr>
        <w:instrText>-</w:instrText>
      </w:r>
      <w:r w:rsidRPr="0088055D">
        <w:rPr>
          <w:i/>
        </w:rPr>
        <w:instrText>0173</w:instrText>
      </w:r>
      <w:r w:rsidRPr="00DC3B6F">
        <w:rPr>
          <w:i/>
        </w:rPr>
        <w:instrText>/</w:instrText>
      </w:r>
      <w:r w:rsidRPr="0088055D">
        <w:rPr>
          <w:i/>
        </w:rPr>
        <w:instrText>2023</w:instrText>
      </w:r>
      <w:bookmarkEnd w:id="1"/>
      <w:r w:rsidRPr="00DC3B6F">
        <w:rPr>
          <w:i/>
        </w:rPr>
        <w:instrText xml:space="preserve"> - Zpravodaj: Paolo De Castro)"\l</w:instrText>
      </w:r>
      <w:r w:rsidRPr="0088055D">
        <w:rPr>
          <w:i/>
        </w:rPr>
        <w:instrText>3</w:instrText>
      </w:r>
      <w:r w:rsidRPr="00DC3B6F">
        <w:rPr>
          <w:i/>
        </w:rPr>
        <w:instrText xml:space="preserve"> \n&gt; \* MERGEFORMAT </w:instrText>
      </w:r>
      <w:r w:rsidRPr="00DC3B6F">
        <w:rPr>
          <w:i/>
        </w:rPr>
        <w:fldChar w:fldCharType="end"/>
      </w:r>
    </w:p>
    <w:p w:rsidR="007A21FC" w:rsidRPr="00DC3B6F" w:rsidRDefault="007A21FC" w:rsidP="007A21FC">
      <w:pPr>
        <w:rPr>
          <w:vanish/>
        </w:rPr>
      </w:pPr>
      <w:bookmarkStart w:id="2" w:name="Commission"/>
      <w:r w:rsidRPr="00DC3B6F">
        <w:rPr>
          <w:vanish/>
        </w:rPr>
        <w:t>Výbor pro zemědělství a rozvoj venkova</w:t>
      </w:r>
      <w:bookmarkEnd w:id="2"/>
    </w:p>
    <w:p w:rsidR="007A21FC" w:rsidRPr="00DC3B6F" w:rsidRDefault="007A21FC" w:rsidP="007A21FC">
      <w:pPr>
        <w:rPr>
          <w:vanish/>
        </w:rPr>
      </w:pPr>
      <w:bookmarkStart w:id="3" w:name="PE"/>
      <w:r w:rsidRPr="00DC3B6F">
        <w:rPr>
          <w:vanish/>
        </w:rPr>
        <w:t>PE</w:t>
      </w:r>
      <w:r w:rsidRPr="0088055D">
        <w:rPr>
          <w:vanish/>
        </w:rPr>
        <w:t>736</w:t>
      </w:r>
      <w:r w:rsidRPr="00DC3B6F">
        <w:rPr>
          <w:vanish/>
        </w:rPr>
        <w:t>.</w:t>
      </w:r>
      <w:r w:rsidRPr="0088055D">
        <w:rPr>
          <w:vanish/>
        </w:rPr>
        <w:t>493</w:t>
      </w:r>
      <w:bookmarkEnd w:id="3"/>
    </w:p>
    <w:p w:rsidR="007A21FC" w:rsidRPr="00DC3B6F" w:rsidRDefault="007A21FC" w:rsidP="007A21FC">
      <w:pPr>
        <w:pStyle w:val="ATHeading3"/>
      </w:pPr>
      <w:bookmarkStart w:id="4" w:name="Sujet"/>
      <w:r w:rsidRPr="00DC3B6F">
        <w:t xml:space="preserve">Legislativní usnesení </w:t>
      </w:r>
      <w:r w:rsidR="000D0A89">
        <w:t xml:space="preserve">Evropského parlamentu ze dne </w:t>
      </w:r>
      <w:r w:rsidR="002C3B88" w:rsidRPr="0088055D">
        <w:t>28</w:t>
      </w:r>
      <w:r w:rsidR="000D0A89">
        <w:t>. února</w:t>
      </w:r>
      <w:r w:rsidRPr="00DC3B6F">
        <w:t xml:space="preserve"> </w:t>
      </w:r>
      <w:r w:rsidRPr="0088055D">
        <w:t>2024</w:t>
      </w:r>
      <w:r w:rsidRPr="00DC3B6F">
        <w:t xml:space="preserve"> o návrhu nařízení Evropského parlamentu a Rady o zeměpisných označeních Evropské unie pro víno, lihoviny a zemědělské produkty a o režimech jakosti zemědělských produktů, kterým se mění nařízení (EU) č. </w:t>
      </w:r>
      <w:r w:rsidRPr="0088055D">
        <w:t>1308</w:t>
      </w:r>
      <w:r w:rsidRPr="00DC3B6F">
        <w:t>/</w:t>
      </w:r>
      <w:r w:rsidRPr="0088055D">
        <w:t>2013</w:t>
      </w:r>
      <w:r w:rsidRPr="00DC3B6F">
        <w:t xml:space="preserve">, (EU) </w:t>
      </w:r>
      <w:r w:rsidRPr="0088055D">
        <w:t>2017</w:t>
      </w:r>
      <w:r w:rsidRPr="00DC3B6F">
        <w:t>/</w:t>
      </w:r>
      <w:r w:rsidRPr="0088055D">
        <w:t>1001</w:t>
      </w:r>
      <w:r w:rsidRPr="00DC3B6F">
        <w:t xml:space="preserve"> a (EU) </w:t>
      </w:r>
      <w:r w:rsidRPr="0088055D">
        <w:t>2019</w:t>
      </w:r>
      <w:r w:rsidRPr="00DC3B6F">
        <w:t>/</w:t>
      </w:r>
      <w:r w:rsidRPr="0088055D">
        <w:t>787</w:t>
      </w:r>
      <w:r w:rsidRPr="00DC3B6F">
        <w:t xml:space="preserve"> a zrušuje nařízení (EU) č. </w:t>
      </w:r>
      <w:r w:rsidRPr="0088055D">
        <w:t>1151</w:t>
      </w:r>
      <w:r w:rsidRPr="00DC3B6F">
        <w:t>/</w:t>
      </w:r>
      <w:r w:rsidRPr="0088055D">
        <w:t>2012</w:t>
      </w:r>
      <w:bookmarkEnd w:id="4"/>
      <w:r w:rsidRPr="00DC3B6F">
        <w:t xml:space="preserve"> </w:t>
      </w:r>
      <w:bookmarkStart w:id="5" w:name="References"/>
      <w:r w:rsidRPr="00DC3B6F">
        <w:t>(</w:t>
      </w:r>
      <w:proofErr w:type="gramStart"/>
      <w:r w:rsidRPr="00DC3B6F">
        <w:t>COM(</w:t>
      </w:r>
      <w:r w:rsidRPr="0088055D">
        <w:t>2022</w:t>
      </w:r>
      <w:proofErr w:type="gramEnd"/>
      <w:r w:rsidRPr="00DC3B6F">
        <w:t>)</w:t>
      </w:r>
      <w:r w:rsidRPr="0088055D">
        <w:t>0134</w:t>
      </w:r>
      <w:r w:rsidRPr="00DC3B6F">
        <w:t xml:space="preserve"> – C</w:t>
      </w:r>
      <w:r w:rsidRPr="0088055D">
        <w:t>9</w:t>
      </w:r>
      <w:r w:rsidRPr="00DC3B6F">
        <w:t>-</w:t>
      </w:r>
      <w:r w:rsidRPr="0088055D">
        <w:t>0130</w:t>
      </w:r>
      <w:r w:rsidRPr="00DC3B6F">
        <w:t>/</w:t>
      </w:r>
      <w:r w:rsidRPr="0088055D">
        <w:t>2022</w:t>
      </w:r>
      <w:r w:rsidRPr="00DC3B6F">
        <w:t xml:space="preserve"> – </w:t>
      </w:r>
      <w:r w:rsidRPr="0088055D">
        <w:t>2022</w:t>
      </w:r>
      <w:r w:rsidRPr="00DC3B6F">
        <w:t>/</w:t>
      </w:r>
      <w:r w:rsidRPr="0088055D">
        <w:t>0089</w:t>
      </w:r>
      <w:r w:rsidRPr="00DC3B6F">
        <w:t>(COD))</w:t>
      </w:r>
      <w:bookmarkEnd w:id="5"/>
    </w:p>
    <w:p w:rsidR="00DA6BE3" w:rsidRPr="00DC3B6F" w:rsidRDefault="00DA6BE3" w:rsidP="00DA6BE3">
      <w:pPr>
        <w:pStyle w:val="NormalBold"/>
      </w:pPr>
      <w:bookmarkStart w:id="6" w:name="TextBodyBegin"/>
      <w:bookmarkEnd w:id="6"/>
      <w:r w:rsidRPr="00DC3B6F">
        <w:t>(Řádný legislativní postup: první čtení)</w:t>
      </w:r>
    </w:p>
    <w:p w:rsidR="00DA6BE3" w:rsidRPr="00DC3B6F" w:rsidRDefault="00DA6BE3" w:rsidP="00DA6BE3">
      <w:pPr>
        <w:pStyle w:val="EPComma"/>
      </w:pPr>
      <w:r w:rsidRPr="00DC3B6F">
        <w:rPr>
          <w:i/>
          <w:iCs/>
        </w:rPr>
        <w:t>Evropský parlament</w:t>
      </w:r>
      <w:r w:rsidRPr="00DC3B6F">
        <w:t>,</w:t>
      </w:r>
    </w:p>
    <w:p w:rsidR="00DA6BE3" w:rsidRPr="00DC3B6F" w:rsidRDefault="00DA6BE3" w:rsidP="00DA6BE3">
      <w:pPr>
        <w:pStyle w:val="NormalHanging12a"/>
      </w:pPr>
      <w:r w:rsidRPr="00DC3B6F">
        <w:t>–</w:t>
      </w:r>
      <w:r w:rsidRPr="00DC3B6F">
        <w:tab/>
        <w:t>s ohledem na návrh Komise předložený Evropskému parlamentu a Radě (</w:t>
      </w:r>
      <w:proofErr w:type="gramStart"/>
      <w:r w:rsidRPr="00DC3B6F">
        <w:t>COM(</w:t>
      </w:r>
      <w:r w:rsidRPr="0088055D">
        <w:t>2022</w:t>
      </w:r>
      <w:proofErr w:type="gramEnd"/>
      <w:r w:rsidRPr="00DC3B6F">
        <w:t>)</w:t>
      </w:r>
      <w:r w:rsidRPr="0088055D">
        <w:t>0134</w:t>
      </w:r>
      <w:r w:rsidRPr="00DC3B6F">
        <w:t>),</w:t>
      </w:r>
    </w:p>
    <w:p w:rsidR="00DA6BE3" w:rsidRPr="00DC3B6F" w:rsidRDefault="00DA6BE3" w:rsidP="00DA6BE3">
      <w:pPr>
        <w:pStyle w:val="NormalHanging12a"/>
      </w:pPr>
      <w:r w:rsidRPr="00DC3B6F">
        <w:t>–</w:t>
      </w:r>
      <w:r w:rsidRPr="00DC3B6F">
        <w:tab/>
        <w:t>s ohledem na čl. </w:t>
      </w:r>
      <w:r w:rsidRPr="0088055D">
        <w:t>294</w:t>
      </w:r>
      <w:r w:rsidRPr="00DC3B6F">
        <w:t xml:space="preserve"> odst. </w:t>
      </w:r>
      <w:r w:rsidRPr="0088055D">
        <w:t>2</w:t>
      </w:r>
      <w:r w:rsidRPr="00DC3B6F">
        <w:t xml:space="preserve"> a čl. </w:t>
      </w:r>
      <w:r w:rsidRPr="0088055D">
        <w:t>43</w:t>
      </w:r>
      <w:r w:rsidRPr="00DC3B6F">
        <w:t xml:space="preserve"> odst. </w:t>
      </w:r>
      <w:r w:rsidRPr="0088055D">
        <w:t>2</w:t>
      </w:r>
      <w:r w:rsidRPr="00DC3B6F">
        <w:t xml:space="preserve"> a čl. </w:t>
      </w:r>
      <w:r w:rsidRPr="0088055D">
        <w:t>118</w:t>
      </w:r>
      <w:r w:rsidRPr="00DC3B6F">
        <w:t xml:space="preserve"> odst. </w:t>
      </w:r>
      <w:r w:rsidRPr="0088055D">
        <w:t>1</w:t>
      </w:r>
      <w:r w:rsidRPr="00DC3B6F">
        <w:t xml:space="preserve"> Smlouvy o fungování Evropské unie, v souladu se kterými Komise předložila svůj návrh Parlamentu (C</w:t>
      </w:r>
      <w:r w:rsidRPr="0088055D">
        <w:t>9</w:t>
      </w:r>
      <w:r w:rsidRPr="00DC3B6F">
        <w:noBreakHyphen/>
      </w:r>
      <w:r w:rsidRPr="0088055D">
        <w:t>0130</w:t>
      </w:r>
      <w:r w:rsidRPr="00DC3B6F">
        <w:t>/</w:t>
      </w:r>
      <w:r w:rsidRPr="0088055D">
        <w:t>2022</w:t>
      </w:r>
      <w:r w:rsidRPr="00DC3B6F">
        <w:t>),</w:t>
      </w:r>
    </w:p>
    <w:p w:rsidR="00DA6BE3" w:rsidRPr="00DC3B6F" w:rsidRDefault="00DA6BE3" w:rsidP="00DA6BE3">
      <w:pPr>
        <w:pStyle w:val="NormalHanging12a"/>
      </w:pPr>
      <w:r w:rsidRPr="00DC3B6F">
        <w:t>–</w:t>
      </w:r>
      <w:r w:rsidRPr="00DC3B6F">
        <w:tab/>
        <w:t xml:space="preserve">s ohledem na čl. </w:t>
      </w:r>
      <w:r w:rsidRPr="0088055D">
        <w:t>294</w:t>
      </w:r>
      <w:r w:rsidRPr="00DC3B6F">
        <w:t xml:space="preserve"> odst. </w:t>
      </w:r>
      <w:r w:rsidRPr="0088055D">
        <w:t>3</w:t>
      </w:r>
      <w:r w:rsidRPr="00DC3B6F">
        <w:t xml:space="preserve"> Smlouvy o fungování Evropské unie,</w:t>
      </w:r>
    </w:p>
    <w:p w:rsidR="00DA6BE3" w:rsidRDefault="00DA6BE3" w:rsidP="00DA6BE3">
      <w:pPr>
        <w:pStyle w:val="NormalHanging12a"/>
      </w:pPr>
      <w:r w:rsidRPr="00DC3B6F">
        <w:t>–</w:t>
      </w:r>
      <w:r w:rsidRPr="00DC3B6F">
        <w:tab/>
        <w:t xml:space="preserve">s ohledem na stanovisko Evropského hospodářského a sociálního výboru ze dne </w:t>
      </w:r>
      <w:r w:rsidRPr="0088055D">
        <w:t>13</w:t>
      </w:r>
      <w:r w:rsidRPr="00DC3B6F">
        <w:t xml:space="preserve">. července </w:t>
      </w:r>
      <w:r w:rsidRPr="0088055D">
        <w:t>2022</w:t>
      </w:r>
      <w:r w:rsidRPr="00DC3B6F">
        <w:rPr>
          <w:rStyle w:val="FootnoteReference"/>
        </w:rPr>
        <w:footnoteReference w:id="1"/>
      </w:r>
      <w:r w:rsidRPr="00DC3B6F">
        <w:t>,</w:t>
      </w:r>
    </w:p>
    <w:p w:rsidR="002C3B88" w:rsidRDefault="002C3B88" w:rsidP="00DA6BE3">
      <w:pPr>
        <w:pStyle w:val="NormalHanging12a"/>
      </w:pPr>
      <w:r w:rsidRPr="002C3B88">
        <w:t>–</w:t>
      </w:r>
      <w:r w:rsidRPr="002C3B88">
        <w:tab/>
      </w:r>
      <w:r>
        <w:t xml:space="preserve">s ohledem na stanovisko Výbor regionů ze dne </w:t>
      </w:r>
      <w:r w:rsidRPr="0088055D">
        <w:t>30</w:t>
      </w:r>
      <w:r>
        <w:t xml:space="preserve">. listopadu </w:t>
      </w:r>
      <w:r w:rsidRPr="0088055D">
        <w:t>2022</w:t>
      </w:r>
      <w:r>
        <w:rPr>
          <w:rStyle w:val="FootnoteReference"/>
        </w:rPr>
        <w:footnoteReference w:id="2"/>
      </w:r>
      <w:r>
        <w:t>,</w:t>
      </w:r>
    </w:p>
    <w:p w:rsidR="002C3B88" w:rsidRPr="00DC3B6F" w:rsidRDefault="002C3B88" w:rsidP="00DA6BE3">
      <w:pPr>
        <w:pStyle w:val="NormalHanging12a"/>
      </w:pPr>
      <w:r w:rsidRPr="002C3B88">
        <w:t>–</w:t>
      </w:r>
      <w:r w:rsidRPr="002C3B88">
        <w:tab/>
        <w:t xml:space="preserve">s ohledem na předběžnou dohodu přijatou příslušným výborem podle čl. </w:t>
      </w:r>
      <w:r w:rsidRPr="0088055D">
        <w:t>74</w:t>
      </w:r>
      <w:r w:rsidRPr="002C3B88">
        <w:t xml:space="preserve"> odst. </w:t>
      </w:r>
      <w:r w:rsidRPr="0088055D">
        <w:t>4</w:t>
      </w:r>
      <w:r w:rsidRPr="002C3B88">
        <w:t xml:space="preserve"> jednacího řádu a s ohledem na to, že s</w:t>
      </w:r>
      <w:r>
        <w:t xml:space="preserve">e zástupce Rady dopisem ze dne </w:t>
      </w:r>
      <w:r w:rsidRPr="0088055D">
        <w:t>27</w:t>
      </w:r>
      <w:r>
        <w:t>. listopadu</w:t>
      </w:r>
      <w:r w:rsidRPr="002C3B88">
        <w:t xml:space="preserve"> </w:t>
      </w:r>
      <w:r w:rsidRPr="0088055D">
        <w:t>2023</w:t>
      </w:r>
      <w:r w:rsidRPr="002C3B88">
        <w:t xml:space="preserve"> zavázal schválit postoj Parlamentu v souladu s čl. </w:t>
      </w:r>
      <w:r w:rsidRPr="0088055D">
        <w:t>294</w:t>
      </w:r>
      <w:r w:rsidRPr="002C3B88">
        <w:t xml:space="preserve"> odst. </w:t>
      </w:r>
      <w:r w:rsidRPr="0088055D">
        <w:t>4</w:t>
      </w:r>
      <w:r w:rsidRPr="002C3B88">
        <w:t xml:space="preserve"> Smlouvy o fungování Evropské unie,</w:t>
      </w:r>
    </w:p>
    <w:p w:rsidR="00DA6BE3" w:rsidRPr="00DC3B6F" w:rsidRDefault="00DA6BE3" w:rsidP="00DA6BE3">
      <w:pPr>
        <w:pStyle w:val="NormalHanging12a"/>
      </w:pPr>
      <w:r w:rsidRPr="00DC3B6F">
        <w:t>–</w:t>
      </w:r>
      <w:r w:rsidRPr="00DC3B6F">
        <w:tab/>
        <w:t xml:space="preserve">s ohledem na článek </w:t>
      </w:r>
      <w:r w:rsidRPr="0088055D">
        <w:t>59</w:t>
      </w:r>
      <w:r w:rsidRPr="00DC3B6F">
        <w:t xml:space="preserve"> jednacího řádu,</w:t>
      </w:r>
    </w:p>
    <w:p w:rsidR="00DA6BE3" w:rsidRPr="00DC3B6F" w:rsidRDefault="00DA6BE3" w:rsidP="00DA6BE3">
      <w:pPr>
        <w:pStyle w:val="NormalHanging12a"/>
        <w:rPr>
          <w:szCs w:val="24"/>
        </w:rPr>
      </w:pPr>
      <w:r w:rsidRPr="00DC3B6F">
        <w:t>–</w:t>
      </w:r>
      <w:r w:rsidRPr="00DC3B6F">
        <w:tab/>
        <w:t xml:space="preserve">s ohledem na stanoviska Výboru pro právní záležitosti a Výboru pro mezinárodní </w:t>
      </w:r>
      <w:r w:rsidRPr="00DC3B6F">
        <w:lastRenderedPageBreak/>
        <w:t>obchod,</w:t>
      </w:r>
    </w:p>
    <w:p w:rsidR="00DA6BE3" w:rsidRPr="00DC3B6F" w:rsidRDefault="00DA6BE3" w:rsidP="00DA6BE3">
      <w:pPr>
        <w:pStyle w:val="NormalHanging12a"/>
        <w:rPr>
          <w:szCs w:val="24"/>
        </w:rPr>
      </w:pPr>
      <w:r w:rsidRPr="00DC3B6F">
        <w:t>–</w:t>
      </w:r>
      <w:r w:rsidRPr="00DC3B6F">
        <w:tab/>
        <w:t>s ohledem na zprávu Výboru pro zemědělství a rozvoj venkova (A</w:t>
      </w:r>
      <w:r w:rsidRPr="0088055D">
        <w:t>9</w:t>
      </w:r>
      <w:r w:rsidRPr="00DC3B6F">
        <w:t>-</w:t>
      </w:r>
      <w:r w:rsidRPr="0088055D">
        <w:t>0173</w:t>
      </w:r>
      <w:r w:rsidRPr="00DC3B6F">
        <w:t>/</w:t>
      </w:r>
      <w:r w:rsidRPr="0088055D">
        <w:t>2023</w:t>
      </w:r>
      <w:r w:rsidRPr="00DC3B6F">
        <w:t>),</w:t>
      </w:r>
    </w:p>
    <w:p w:rsidR="00DA6BE3" w:rsidRDefault="00DA6BE3" w:rsidP="00DA6BE3">
      <w:pPr>
        <w:pStyle w:val="NormalHanging12a"/>
      </w:pPr>
      <w:r w:rsidRPr="0088055D">
        <w:t>1</w:t>
      </w:r>
      <w:r w:rsidRPr="00DC3B6F">
        <w:t>.</w:t>
      </w:r>
      <w:r w:rsidRPr="00DC3B6F">
        <w:tab/>
        <w:t>přijímá níže uvedený postoj v prvním čtení</w:t>
      </w:r>
      <w:r w:rsidR="00400BCA">
        <w:rPr>
          <w:rStyle w:val="FootnoteReference"/>
        </w:rPr>
        <w:footnoteReference w:id="3"/>
      </w:r>
      <w:r w:rsidRPr="00DC3B6F">
        <w:t>;</w:t>
      </w:r>
    </w:p>
    <w:p w:rsidR="002C3B88" w:rsidRPr="00DC3B6F" w:rsidRDefault="002C3B88" w:rsidP="00DA6BE3">
      <w:pPr>
        <w:pStyle w:val="NormalHanging12a"/>
      </w:pPr>
      <w:r w:rsidRPr="0088055D">
        <w:t>2</w:t>
      </w:r>
      <w:r>
        <w:t>.</w:t>
      </w:r>
      <w:r>
        <w:tab/>
      </w:r>
      <w:r w:rsidR="003B25CF">
        <w:t>s</w:t>
      </w:r>
      <w:r w:rsidR="003B25CF" w:rsidRPr="003B25CF">
        <w:t>chvaluje společné prohlášení Parlamentu a Rady, jež je přílohou tohoto usnesení;</w:t>
      </w:r>
    </w:p>
    <w:p w:rsidR="00DA6BE3" w:rsidRPr="00DC3B6F" w:rsidRDefault="002C3B88" w:rsidP="00DA6BE3">
      <w:pPr>
        <w:pStyle w:val="NormalHanging12a"/>
      </w:pPr>
      <w:r w:rsidRPr="0088055D">
        <w:t>3</w:t>
      </w:r>
      <w:r w:rsidR="00DA6BE3" w:rsidRPr="00DC3B6F">
        <w:t>.</w:t>
      </w:r>
      <w:r w:rsidR="00DA6BE3" w:rsidRPr="00DC3B6F">
        <w:tab/>
        <w:t>vyzývá Komisi, aby věc znovu postoupila Parlamentu, jestliže svůj návrh nahradí jiným textem, podstatně jej změní nebo má v úmyslu jej podstatně změnit;</w:t>
      </w:r>
    </w:p>
    <w:p w:rsidR="00DA6BE3" w:rsidRPr="00DC3B6F" w:rsidRDefault="002C3B88" w:rsidP="00DA6BE3">
      <w:pPr>
        <w:pStyle w:val="NormalHanging12a"/>
      </w:pPr>
      <w:r w:rsidRPr="0088055D">
        <w:t>4</w:t>
      </w:r>
      <w:r w:rsidR="00DA6BE3" w:rsidRPr="00DC3B6F">
        <w:t>.</w:t>
      </w:r>
      <w:r w:rsidR="00DA6BE3" w:rsidRPr="00DC3B6F">
        <w:tab/>
        <w:t>pověřuje svou předsedkyni, aby</w:t>
      </w:r>
      <w:r w:rsidR="000D0A89">
        <w:t xml:space="preserve"> předala postoj Parlamentu Radě a</w:t>
      </w:r>
      <w:r w:rsidR="00DA6BE3" w:rsidRPr="00DC3B6F">
        <w:t xml:space="preserve"> Komisi, jakož i vnitrostátním parlamen</w:t>
      </w:r>
      <w:bookmarkStart w:id="7" w:name="_GoBack"/>
      <w:bookmarkEnd w:id="7"/>
      <w:r w:rsidR="00DA6BE3" w:rsidRPr="00DC3B6F">
        <w:t>tům.</w:t>
      </w:r>
    </w:p>
    <w:p w:rsidR="002C3B88" w:rsidRDefault="002C3B88" w:rsidP="00DA6BE3">
      <w:pPr>
        <w:pStyle w:val="NormalHanging12a"/>
        <w:sectPr w:rsidR="002C3B88" w:rsidSect="00DC3B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C3B88" w:rsidRPr="00365805" w:rsidRDefault="002C3B88" w:rsidP="002C3B88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65805">
        <w:rPr>
          <w:rFonts w:eastAsia="Calibri"/>
          <w:b/>
          <w:bCs/>
          <w:color w:val="000000"/>
          <w:szCs w:val="24"/>
        </w:rPr>
        <w:lastRenderedPageBreak/>
        <w:t>P</w:t>
      </w:r>
      <w:r w:rsidRPr="0088055D">
        <w:rPr>
          <w:rFonts w:eastAsia="Calibri"/>
          <w:b/>
          <w:bCs/>
          <w:color w:val="000000"/>
          <w:szCs w:val="24"/>
        </w:rPr>
        <w:t>9</w:t>
      </w:r>
      <w:r w:rsidRPr="00365805">
        <w:rPr>
          <w:rFonts w:eastAsia="Calibri"/>
          <w:b/>
          <w:bCs/>
          <w:color w:val="000000"/>
          <w:szCs w:val="24"/>
        </w:rPr>
        <w:t>_TC</w:t>
      </w:r>
      <w:r w:rsidRPr="0088055D">
        <w:rPr>
          <w:rFonts w:eastAsia="Calibri"/>
          <w:b/>
          <w:bCs/>
          <w:color w:val="000000"/>
          <w:szCs w:val="24"/>
        </w:rPr>
        <w:t>1</w:t>
      </w:r>
      <w:r w:rsidRPr="00365805">
        <w:rPr>
          <w:rFonts w:eastAsia="Calibri"/>
          <w:b/>
          <w:bCs/>
          <w:color w:val="000000"/>
          <w:szCs w:val="24"/>
        </w:rPr>
        <w:t>-COD(</w:t>
      </w:r>
      <w:r w:rsidRPr="0088055D">
        <w:rPr>
          <w:rFonts w:eastAsia="Calibri"/>
          <w:b/>
          <w:bCs/>
          <w:color w:val="000000"/>
          <w:szCs w:val="24"/>
        </w:rPr>
        <w:t>2022</w:t>
      </w:r>
      <w:r w:rsidRPr="00365805">
        <w:rPr>
          <w:rFonts w:eastAsia="Calibri"/>
          <w:b/>
          <w:bCs/>
          <w:color w:val="000000"/>
          <w:szCs w:val="24"/>
        </w:rPr>
        <w:t>)</w:t>
      </w:r>
      <w:r w:rsidRPr="0088055D">
        <w:rPr>
          <w:rFonts w:eastAsia="Calibri"/>
          <w:b/>
          <w:bCs/>
          <w:color w:val="000000"/>
          <w:szCs w:val="24"/>
        </w:rPr>
        <w:t>0089</w:t>
      </w:r>
    </w:p>
    <w:p w:rsidR="002C3B88" w:rsidRPr="00314FD7" w:rsidRDefault="002C3B88" w:rsidP="002C3B88">
      <w:pPr>
        <w:pStyle w:val="Point1231"/>
        <w:widowControl w:val="0"/>
        <w:tabs>
          <w:tab w:val="clear" w:pos="1134"/>
        </w:tabs>
        <w:spacing w:before="0" w:after="240" w:line="240" w:lineRule="auto"/>
        <w:ind w:left="0" w:firstLine="0"/>
        <w:rPr>
          <w:b/>
        </w:rPr>
      </w:pPr>
      <w:r w:rsidRPr="00314FD7">
        <w:rPr>
          <w:b/>
        </w:rPr>
        <w:t>Postoj Evropského parlamentu přijatý v prvním čtení dne 28. února 2024 k přijetí nařízení Evropského paramentu Rady</w:t>
      </w:r>
      <w:r w:rsidRPr="00314FD7">
        <w:rPr>
          <w:rFonts w:eastAsia="Times New Roman"/>
          <w:b/>
          <w:szCs w:val="20"/>
          <w:lang w:eastAsia="en-GB"/>
        </w:rPr>
        <w:t xml:space="preserve"> </w:t>
      </w:r>
      <w:r w:rsidRPr="00314FD7">
        <w:rPr>
          <w:b/>
        </w:rPr>
        <w:t>(EU) 2024/... o zeměpisných označeních pro víno, lihoviny a zemědělské produkty, jakož i zaručené tradiční speciality, a o nepovinných údajích o jakosti pro zemědělské produkty, kterým se mění nařízení (EU) č. 1308/2013, (EU) 2019/787 a (EU) 2019/1753 a zrušuje nařízení (EU) č. 1151/2012</w:t>
      </w:r>
    </w:p>
    <w:p w:rsidR="00314FD7" w:rsidRPr="00314FD7" w:rsidRDefault="00314FD7" w:rsidP="00314FD7">
      <w:pPr>
        <w:widowControl/>
        <w:spacing w:before="480"/>
        <w:jc w:val="both"/>
        <w:rPr>
          <w:i/>
          <w:szCs w:val="24"/>
        </w:rPr>
      </w:pPr>
      <w:r w:rsidRPr="00314FD7">
        <w:rPr>
          <w:i/>
          <w:szCs w:val="24"/>
        </w:rPr>
        <w:t xml:space="preserve">(Vzhledem k tomu, že bylo dosaženo dohody mezi Parlamentem a Radou, postoj Parlamentu odpovídá konečnému znění legislativního aktu, nařízení (EU) </w:t>
      </w:r>
      <w:r>
        <w:rPr>
          <w:i/>
          <w:szCs w:val="24"/>
        </w:rPr>
        <w:t>2024</w:t>
      </w:r>
      <w:r w:rsidRPr="00314FD7">
        <w:rPr>
          <w:i/>
          <w:szCs w:val="24"/>
        </w:rPr>
        <w:t>/</w:t>
      </w:r>
      <w:r>
        <w:rPr>
          <w:i/>
          <w:szCs w:val="24"/>
        </w:rPr>
        <w:t>1143</w:t>
      </w:r>
      <w:r w:rsidRPr="00314FD7">
        <w:rPr>
          <w:i/>
          <w:szCs w:val="24"/>
        </w:rPr>
        <w:t>.)</w:t>
      </w:r>
    </w:p>
    <w:p w:rsidR="00314FD7" w:rsidRDefault="00314FD7">
      <w:pPr>
        <w:widowControl/>
      </w:pPr>
    </w:p>
    <w:p w:rsidR="00314FD7" w:rsidRDefault="00314FD7">
      <w:pPr>
        <w:widowControl/>
      </w:pPr>
    </w:p>
    <w:p w:rsidR="00314FD7" w:rsidRDefault="00314FD7">
      <w:pPr>
        <w:widowControl/>
        <w:sectPr w:rsidR="00314FD7" w:rsidSect="00DC3B6F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C3B88" w:rsidRDefault="003B25CF" w:rsidP="00C8696E">
      <w:pPr>
        <w:widowControl/>
        <w:jc w:val="right"/>
      </w:pPr>
      <w:r>
        <w:t>PŘÍLOHA K LEGISLATIVNÍMU USNESENÍ</w:t>
      </w:r>
    </w:p>
    <w:p w:rsidR="002C3B88" w:rsidRPr="00E10408" w:rsidRDefault="002C3B88" w:rsidP="00314FD7">
      <w:pPr>
        <w:spacing w:before="600" w:after="120" w:line="360" w:lineRule="auto"/>
        <w:jc w:val="center"/>
        <w:rPr>
          <w:b/>
          <w:bCs/>
        </w:rPr>
      </w:pPr>
      <w:r w:rsidRPr="00E10408">
        <w:rPr>
          <w:b/>
        </w:rPr>
        <w:t>Společné prohlášení Evropského parlamentu</w:t>
      </w:r>
      <w:r>
        <w:rPr>
          <w:b/>
        </w:rPr>
        <w:t xml:space="preserve"> a </w:t>
      </w:r>
      <w:r w:rsidRPr="00E10408">
        <w:rPr>
          <w:b/>
        </w:rPr>
        <w:t>Rady</w:t>
      </w:r>
      <w:r w:rsidR="003B25CF">
        <w:rPr>
          <w:b/>
        </w:rPr>
        <w:t xml:space="preserve"> </w:t>
      </w:r>
      <w:r w:rsidR="003B25CF" w:rsidRPr="003B25CF">
        <w:rPr>
          <w:b/>
        </w:rPr>
        <w:t xml:space="preserve">u příležitosti přijetí nařízení </w:t>
      </w:r>
      <w:r w:rsidR="003B25CF">
        <w:rPr>
          <w:b/>
        </w:rPr>
        <w:t xml:space="preserve">(EU) </w:t>
      </w:r>
      <w:r w:rsidR="003B25CF" w:rsidRPr="0088055D">
        <w:rPr>
          <w:b/>
        </w:rPr>
        <w:t>2024</w:t>
      </w:r>
      <w:r w:rsidR="00314FD7">
        <w:rPr>
          <w:b/>
        </w:rPr>
        <w:t>/1143</w:t>
      </w:r>
      <w:r w:rsidR="00314FD7">
        <w:rPr>
          <w:rStyle w:val="FootnoteReference"/>
          <w:b/>
        </w:rPr>
        <w:footnoteReference w:id="4"/>
      </w:r>
    </w:p>
    <w:p w:rsidR="002C3B88" w:rsidRPr="00E10408" w:rsidRDefault="002C3B88" w:rsidP="00314FD7">
      <w:pPr>
        <w:spacing w:before="360" w:after="120" w:line="360" w:lineRule="auto"/>
      </w:pPr>
      <w:r w:rsidRPr="00E10408">
        <w:t>Evropský parlament</w:t>
      </w:r>
      <w:r>
        <w:t xml:space="preserve"> a </w:t>
      </w:r>
      <w:r w:rsidRPr="00E10408">
        <w:t>Rada zdůrazňují, že všechny postupy týkající se zeměpisných označení,</w:t>
      </w:r>
      <w:r>
        <w:t xml:space="preserve"> na </w:t>
      </w:r>
      <w:r w:rsidRPr="00E10408">
        <w:t>něž se vztahuje toto nařízení, zůstávají ve výlučné pravomoci Komise.</w:t>
      </w:r>
    </w:p>
    <w:p w:rsidR="002C3B88" w:rsidRPr="00E10408" w:rsidRDefault="002C3B88" w:rsidP="00C8696E">
      <w:pPr>
        <w:spacing w:before="120" w:after="120" w:line="360" w:lineRule="auto"/>
      </w:pPr>
      <w:r w:rsidRPr="00E10408">
        <w:t>Berou</w:t>
      </w:r>
      <w:r>
        <w:t xml:space="preserve"> na </w:t>
      </w:r>
      <w:r w:rsidRPr="00E10408">
        <w:t>vědomí, že Komisi může být poskytnuta pomoc pouze</w:t>
      </w:r>
      <w:r>
        <w:t xml:space="preserve"> v </w:t>
      </w:r>
      <w:r w:rsidRPr="00E10408">
        <w:t>souvislosti</w:t>
      </w:r>
      <w:r>
        <w:t xml:space="preserve"> s </w:t>
      </w:r>
      <w:r w:rsidRPr="00E10408">
        <w:t>plněním administrativních úkolů, je-li to podle stávajícího právního rámce možné.</w:t>
      </w:r>
    </w:p>
    <w:p w:rsidR="002C3B88" w:rsidRDefault="002C3B88" w:rsidP="00C8696E">
      <w:pPr>
        <w:spacing w:before="120" w:after="120" w:line="360" w:lineRule="auto"/>
      </w:pPr>
      <w:r w:rsidRPr="00E10408">
        <w:t xml:space="preserve">Komise se vyzývá, aby </w:t>
      </w:r>
      <w:r w:rsidR="003B25CF">
        <w:t xml:space="preserve">Evropský parlament a </w:t>
      </w:r>
      <w:r w:rsidRPr="00E10408">
        <w:t>Radu</w:t>
      </w:r>
      <w:r>
        <w:t xml:space="preserve"> v </w:t>
      </w:r>
      <w:r w:rsidRPr="00E10408">
        <w:t>zájmu transparentnosti každoročně informovala</w:t>
      </w:r>
      <w:r>
        <w:t xml:space="preserve"> o </w:t>
      </w:r>
      <w:r w:rsidRPr="00E10408">
        <w:t>pomoci, která jí byla při plnění těchto úkolů poskytnuta.</w:t>
      </w:r>
    </w:p>
    <w:sectPr w:rsidR="002C3B88" w:rsidSect="00DC3B6F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5CF" w:rsidRPr="00DC3B6F" w:rsidRDefault="003B25CF">
      <w:r w:rsidRPr="00DC3B6F">
        <w:separator/>
      </w:r>
    </w:p>
  </w:endnote>
  <w:endnote w:type="continuationSeparator" w:id="0">
    <w:p w:rsidR="003B25CF" w:rsidRPr="00DC3B6F" w:rsidRDefault="003B25CF">
      <w:r w:rsidRPr="00DC3B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Pr="00DC3B6F" w:rsidRDefault="003B25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Pr="00DC3B6F" w:rsidRDefault="003B25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Pr="00DC3B6F" w:rsidRDefault="003B25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5CF" w:rsidRPr="00DC3B6F" w:rsidRDefault="003B25CF">
      <w:r w:rsidRPr="00DC3B6F">
        <w:separator/>
      </w:r>
    </w:p>
  </w:footnote>
  <w:footnote w:type="continuationSeparator" w:id="0">
    <w:p w:rsidR="003B25CF" w:rsidRPr="00DC3B6F" w:rsidRDefault="003B25CF">
      <w:r w:rsidRPr="00DC3B6F">
        <w:continuationSeparator/>
      </w:r>
    </w:p>
  </w:footnote>
  <w:footnote w:id="1">
    <w:p w:rsidR="003B25CF" w:rsidRPr="0088055D" w:rsidRDefault="003B25CF" w:rsidP="00314FD7">
      <w:pPr>
        <w:pStyle w:val="FootnoteText"/>
        <w:ind w:left="851" w:hanging="851"/>
        <w:rPr>
          <w:sz w:val="24"/>
          <w:szCs w:val="24"/>
          <w:lang w:val="cs-CZ"/>
        </w:rPr>
      </w:pPr>
      <w:r w:rsidRPr="0088055D">
        <w:rPr>
          <w:rStyle w:val="FootnoteReference"/>
          <w:sz w:val="24"/>
          <w:szCs w:val="24"/>
          <w:lang w:val="cs-CZ"/>
        </w:rPr>
        <w:footnoteRef/>
      </w:r>
      <w:r w:rsidRPr="0088055D">
        <w:rPr>
          <w:sz w:val="24"/>
          <w:szCs w:val="24"/>
          <w:lang w:val="cs-CZ"/>
        </w:rPr>
        <w:t xml:space="preserve"> </w:t>
      </w:r>
      <w:r w:rsidRPr="0088055D">
        <w:rPr>
          <w:sz w:val="24"/>
          <w:szCs w:val="24"/>
          <w:lang w:val="cs-CZ"/>
        </w:rPr>
        <w:tab/>
      </w:r>
      <w:proofErr w:type="spellStart"/>
      <w:r w:rsidRPr="0088055D">
        <w:rPr>
          <w:sz w:val="24"/>
          <w:szCs w:val="24"/>
          <w:lang w:val="cs-CZ"/>
        </w:rPr>
        <w:t>Úř</w:t>
      </w:r>
      <w:proofErr w:type="spellEnd"/>
      <w:r w:rsidRPr="0088055D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Pr="0088055D">
        <w:rPr>
          <w:sz w:val="24"/>
          <w:szCs w:val="24"/>
          <w:lang w:val="cs-CZ"/>
        </w:rPr>
        <w:t>věst</w:t>
      </w:r>
      <w:proofErr w:type="spellEnd"/>
      <w:proofErr w:type="gramEnd"/>
      <w:r w:rsidRPr="0088055D">
        <w:rPr>
          <w:sz w:val="24"/>
          <w:szCs w:val="24"/>
          <w:lang w:val="cs-CZ"/>
        </w:rPr>
        <w:t xml:space="preserve">. C 443, </w:t>
      </w:r>
      <w:proofErr w:type="gramStart"/>
      <w:r w:rsidRPr="0088055D">
        <w:rPr>
          <w:sz w:val="24"/>
          <w:szCs w:val="24"/>
          <w:lang w:val="cs-CZ"/>
        </w:rPr>
        <w:t>22.11.2022</w:t>
      </w:r>
      <w:proofErr w:type="gramEnd"/>
      <w:r w:rsidRPr="0088055D">
        <w:rPr>
          <w:sz w:val="24"/>
          <w:szCs w:val="24"/>
          <w:lang w:val="cs-CZ"/>
        </w:rPr>
        <w:t>, s. 116.</w:t>
      </w:r>
    </w:p>
  </w:footnote>
  <w:footnote w:id="2">
    <w:p w:rsidR="003B25CF" w:rsidRPr="0088055D" w:rsidRDefault="003B25CF" w:rsidP="00314FD7">
      <w:pPr>
        <w:pStyle w:val="FootnoteText"/>
        <w:ind w:left="851" w:hanging="851"/>
        <w:rPr>
          <w:sz w:val="24"/>
          <w:szCs w:val="24"/>
          <w:lang w:val="cs-CZ"/>
        </w:rPr>
      </w:pPr>
      <w:r w:rsidRPr="0088055D">
        <w:rPr>
          <w:rStyle w:val="FootnoteReference"/>
          <w:sz w:val="24"/>
          <w:szCs w:val="24"/>
        </w:rPr>
        <w:footnoteRef/>
      </w:r>
      <w:r w:rsidRPr="0088055D">
        <w:rPr>
          <w:sz w:val="24"/>
          <w:szCs w:val="24"/>
          <w:lang w:val="cs-CZ"/>
        </w:rPr>
        <w:t xml:space="preserve"> </w:t>
      </w:r>
      <w:r w:rsidRPr="0088055D">
        <w:rPr>
          <w:sz w:val="24"/>
          <w:szCs w:val="24"/>
          <w:lang w:val="cs-CZ"/>
        </w:rPr>
        <w:tab/>
      </w:r>
      <w:proofErr w:type="spellStart"/>
      <w:r w:rsidRPr="0088055D">
        <w:rPr>
          <w:sz w:val="24"/>
          <w:szCs w:val="24"/>
          <w:lang w:val="cs-CZ"/>
        </w:rPr>
        <w:t>Úř</w:t>
      </w:r>
      <w:proofErr w:type="spellEnd"/>
      <w:r w:rsidRPr="0088055D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Pr="0088055D">
        <w:rPr>
          <w:sz w:val="24"/>
          <w:szCs w:val="24"/>
          <w:lang w:val="cs-CZ"/>
        </w:rPr>
        <w:t>věst</w:t>
      </w:r>
      <w:proofErr w:type="spellEnd"/>
      <w:proofErr w:type="gramEnd"/>
      <w:r w:rsidRPr="0088055D">
        <w:rPr>
          <w:sz w:val="24"/>
          <w:szCs w:val="24"/>
          <w:lang w:val="cs-CZ"/>
        </w:rPr>
        <w:t xml:space="preserve">. C 79, </w:t>
      </w:r>
      <w:proofErr w:type="gramStart"/>
      <w:r w:rsidRPr="0088055D">
        <w:rPr>
          <w:sz w:val="24"/>
          <w:szCs w:val="24"/>
          <w:lang w:val="cs-CZ"/>
        </w:rPr>
        <w:t>2.3.2023</w:t>
      </w:r>
      <w:proofErr w:type="gramEnd"/>
      <w:r w:rsidRPr="0088055D">
        <w:rPr>
          <w:sz w:val="24"/>
          <w:szCs w:val="24"/>
          <w:lang w:val="cs-CZ"/>
        </w:rPr>
        <w:t>, s. 74.</w:t>
      </w:r>
    </w:p>
  </w:footnote>
  <w:footnote w:id="3">
    <w:p w:rsidR="00400BCA" w:rsidRPr="0088055D" w:rsidRDefault="00400BCA" w:rsidP="00314FD7">
      <w:pPr>
        <w:pStyle w:val="FootnoteText"/>
        <w:ind w:left="851" w:hanging="851"/>
        <w:rPr>
          <w:sz w:val="24"/>
          <w:szCs w:val="24"/>
          <w:lang w:val="cs-CZ"/>
        </w:rPr>
      </w:pPr>
      <w:r w:rsidRPr="0088055D">
        <w:rPr>
          <w:rStyle w:val="FootnoteReference"/>
          <w:sz w:val="24"/>
          <w:szCs w:val="24"/>
        </w:rPr>
        <w:footnoteRef/>
      </w:r>
      <w:r w:rsidRPr="0088055D">
        <w:rPr>
          <w:sz w:val="24"/>
          <w:szCs w:val="24"/>
          <w:lang w:val="cs-CZ"/>
        </w:rPr>
        <w:t xml:space="preserve"> </w:t>
      </w:r>
      <w:r w:rsidRPr="0088055D">
        <w:rPr>
          <w:sz w:val="24"/>
          <w:szCs w:val="24"/>
          <w:lang w:val="cs-CZ"/>
        </w:rPr>
        <w:tab/>
        <w:t xml:space="preserve">Tento postoj nahrazuje pozměňovací </w:t>
      </w:r>
      <w:r w:rsidR="00B24740">
        <w:rPr>
          <w:sz w:val="24"/>
          <w:szCs w:val="24"/>
          <w:lang w:val="cs-CZ"/>
        </w:rPr>
        <w:t>návrhy přijaté dne 1. června 202</w:t>
      </w:r>
      <w:r w:rsidRPr="0088055D">
        <w:rPr>
          <w:sz w:val="24"/>
          <w:szCs w:val="24"/>
          <w:lang w:val="cs-CZ"/>
        </w:rPr>
        <w:t>3 (Přijaté texty, P9_TA(2023)0210).</w:t>
      </w:r>
    </w:p>
  </w:footnote>
  <w:footnote w:id="4">
    <w:p w:rsidR="00314FD7" w:rsidRPr="00314FD7" w:rsidRDefault="00314FD7" w:rsidP="00314FD7">
      <w:pPr>
        <w:pStyle w:val="FootnoteText"/>
        <w:ind w:left="851" w:hanging="851"/>
        <w:rPr>
          <w:sz w:val="24"/>
          <w:szCs w:val="24"/>
          <w:lang w:val="cs-CZ"/>
        </w:rPr>
      </w:pPr>
      <w:r>
        <w:rPr>
          <w:rStyle w:val="FootnoteReference"/>
        </w:rPr>
        <w:footnoteRef/>
      </w:r>
      <w:r w:rsidRPr="00314FD7">
        <w:rPr>
          <w:lang w:val="cs-CZ"/>
        </w:rPr>
        <w:t xml:space="preserve"> </w:t>
      </w:r>
      <w:r>
        <w:rPr>
          <w:lang w:val="cs-CZ"/>
        </w:rPr>
        <w:tab/>
      </w:r>
      <w:proofErr w:type="spellStart"/>
      <w:r w:rsidRPr="00314FD7">
        <w:rPr>
          <w:sz w:val="24"/>
          <w:szCs w:val="24"/>
          <w:lang w:val="cs-CZ"/>
        </w:rPr>
        <w:t>Úř</w:t>
      </w:r>
      <w:proofErr w:type="spellEnd"/>
      <w:r w:rsidRPr="00314FD7">
        <w:rPr>
          <w:sz w:val="24"/>
          <w:szCs w:val="24"/>
          <w:lang w:val="cs-CZ"/>
        </w:rPr>
        <w:t xml:space="preserve">. </w:t>
      </w:r>
      <w:proofErr w:type="spellStart"/>
      <w:proofErr w:type="gramStart"/>
      <w:r w:rsidRPr="00314FD7">
        <w:rPr>
          <w:sz w:val="24"/>
          <w:szCs w:val="24"/>
          <w:lang w:val="cs-CZ"/>
        </w:rPr>
        <w:t>věst</w:t>
      </w:r>
      <w:proofErr w:type="spellEnd"/>
      <w:proofErr w:type="gramEnd"/>
      <w:r w:rsidRPr="00314FD7">
        <w:rPr>
          <w:sz w:val="24"/>
          <w:szCs w:val="24"/>
          <w:lang w:val="cs-CZ"/>
        </w:rPr>
        <w:t xml:space="preserve">. L, 2024/1143, </w:t>
      </w:r>
      <w:proofErr w:type="gramStart"/>
      <w:r w:rsidRPr="00314FD7">
        <w:rPr>
          <w:sz w:val="24"/>
          <w:szCs w:val="24"/>
          <w:lang w:val="cs-CZ"/>
        </w:rPr>
        <w:t>23.4.2024</w:t>
      </w:r>
      <w:proofErr w:type="gramEnd"/>
      <w:r w:rsidRPr="00314FD7">
        <w:rPr>
          <w:sz w:val="24"/>
          <w:szCs w:val="24"/>
          <w:lang w:val="cs-CZ"/>
        </w:rPr>
        <w:t>, ELI: http://data.europa.eu/eli/reg/2024/1143/oj.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Pr="00DC3B6F" w:rsidRDefault="003B25C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Pr="00DC3B6F" w:rsidRDefault="003B25C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Pr="00DC3B6F" w:rsidRDefault="003B25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7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1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7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2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6" w15:restartNumberingAfterBreak="0">
    <w:nsid w:val="34030330"/>
    <w:multiLevelType w:val="hybridMultilevel"/>
    <w:tmpl w:val="A4166F48"/>
    <w:lvl w:ilvl="0" w:tplc="080C0017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9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0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3" w15:restartNumberingAfterBreak="0">
    <w:nsid w:val="4B2048F3"/>
    <w:multiLevelType w:val="hybridMultilevel"/>
    <w:tmpl w:val="A3B25AA0"/>
    <w:lvl w:ilvl="0" w:tplc="B08EA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5" w15:restartNumberingAfterBreak="0">
    <w:nsid w:val="4E153F53"/>
    <w:multiLevelType w:val="multilevel"/>
    <w:tmpl w:val="3B824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7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8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9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3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4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6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5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6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4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7"/>
  </w:num>
  <w:num w:numId="3">
    <w:abstractNumId w:val="34"/>
  </w:num>
  <w:num w:numId="4">
    <w:abstractNumId w:val="2"/>
  </w:num>
  <w:num w:numId="5">
    <w:abstractNumId w:val="35"/>
  </w:num>
  <w:num w:numId="6">
    <w:abstractNumId w:val="31"/>
  </w:num>
  <w:num w:numId="7">
    <w:abstractNumId w:val="4"/>
  </w:num>
  <w:num w:numId="8">
    <w:abstractNumId w:val="39"/>
  </w:num>
  <w:num w:numId="9">
    <w:abstractNumId w:val="44"/>
  </w:num>
  <w:num w:numId="10">
    <w:abstractNumId w:val="28"/>
  </w:num>
  <w:num w:numId="11">
    <w:abstractNumId w:val="37"/>
  </w:num>
  <w:num w:numId="12">
    <w:abstractNumId w:val="32"/>
  </w:num>
  <w:num w:numId="13">
    <w:abstractNumId w:val="21"/>
  </w:num>
  <w:num w:numId="14">
    <w:abstractNumId w:val="12"/>
  </w:num>
  <w:num w:numId="15">
    <w:abstractNumId w:val="10"/>
  </w:num>
  <w:num w:numId="16">
    <w:abstractNumId w:val="33"/>
  </w:num>
  <w:num w:numId="17">
    <w:abstractNumId w:val="40"/>
  </w:num>
  <w:num w:numId="18">
    <w:abstractNumId w:val="1"/>
  </w:num>
  <w:num w:numId="19">
    <w:abstractNumId w:val="13"/>
  </w:num>
  <w:num w:numId="20">
    <w:abstractNumId w:val="9"/>
  </w:num>
  <w:num w:numId="21">
    <w:abstractNumId w:val="14"/>
  </w:num>
  <w:num w:numId="22">
    <w:abstractNumId w:val="29"/>
  </w:num>
  <w:num w:numId="23">
    <w:abstractNumId w:val="8"/>
  </w:num>
  <w:num w:numId="24">
    <w:abstractNumId w:val="22"/>
  </w:num>
  <w:num w:numId="25">
    <w:abstractNumId w:val="27"/>
  </w:num>
  <w:num w:numId="26">
    <w:abstractNumId w:val="26"/>
  </w:num>
  <w:num w:numId="27">
    <w:abstractNumId w:val="45"/>
  </w:num>
  <w:num w:numId="28">
    <w:abstractNumId w:val="18"/>
  </w:num>
  <w:num w:numId="29">
    <w:abstractNumId w:val="19"/>
  </w:num>
  <w:num w:numId="30">
    <w:abstractNumId w:val="20"/>
  </w:num>
  <w:num w:numId="31">
    <w:abstractNumId w:val="24"/>
  </w:num>
  <w:num w:numId="32">
    <w:abstractNumId w:val="11"/>
  </w:num>
  <w:num w:numId="33">
    <w:abstractNumId w:val="46"/>
  </w:num>
  <w:num w:numId="34">
    <w:abstractNumId w:val="15"/>
  </w:num>
  <w:num w:numId="35">
    <w:abstractNumId w:val="30"/>
  </w:num>
  <w:num w:numId="36">
    <w:abstractNumId w:val="42"/>
  </w:num>
  <w:num w:numId="37">
    <w:abstractNumId w:val="41"/>
  </w:num>
  <w:num w:numId="38">
    <w:abstractNumId w:val="43"/>
  </w:num>
  <w:num w:numId="39">
    <w:abstractNumId w:val="7"/>
  </w:num>
  <w:num w:numId="40">
    <w:abstractNumId w:val="23"/>
  </w:num>
  <w:num w:numId="41">
    <w:abstractNumId w:val="16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CS"/>
    <w:docVar w:name="dvnumam" w:val="468"/>
    <w:docVar w:name="dvpe" w:val="736.493"/>
    <w:docVar w:name="dvrapporteur" w:val="Zpravodaj: "/>
    <w:docVar w:name="dvstar" w:val="***I"/>
    <w:docVar w:name="dvtitre" w:val="Legislativní usnesení Evropského parlamentu ze dne.... 2024 o návrhu nařízení Evropského parlamentu a Rady o zeměpisných označeních Evropské unie pro víno, lihoviny a zemědělské produkty a o režimech jakosti zemědělských produktů, kterým se mění nařízení (EU) č. 1308/2013, (EU) 2017/1001 a (EU) 2019/787 a zrušuje nařízení (EU) č. 1151/2012(COM(2022)0134 – C9-0130/2022 – 2022/0089(COD))"/>
  </w:docVars>
  <w:rsids>
    <w:rsidRoot w:val="007A21FC"/>
    <w:rsid w:val="00002140"/>
    <w:rsid w:val="00002272"/>
    <w:rsid w:val="00064002"/>
    <w:rsid w:val="000677B9"/>
    <w:rsid w:val="000831BA"/>
    <w:rsid w:val="000A42CC"/>
    <w:rsid w:val="000D0A89"/>
    <w:rsid w:val="000D5581"/>
    <w:rsid w:val="000E7DD9"/>
    <w:rsid w:val="0010095E"/>
    <w:rsid w:val="00125B37"/>
    <w:rsid w:val="00187494"/>
    <w:rsid w:val="001F32AE"/>
    <w:rsid w:val="002767FF"/>
    <w:rsid w:val="00282478"/>
    <w:rsid w:val="002B18FE"/>
    <w:rsid w:val="002B5493"/>
    <w:rsid w:val="002C3B88"/>
    <w:rsid w:val="00314FD7"/>
    <w:rsid w:val="00343214"/>
    <w:rsid w:val="00361C00"/>
    <w:rsid w:val="00395FA1"/>
    <w:rsid w:val="003B25CF"/>
    <w:rsid w:val="003E15D4"/>
    <w:rsid w:val="00400BCA"/>
    <w:rsid w:val="00411CCE"/>
    <w:rsid w:val="0041666E"/>
    <w:rsid w:val="00421060"/>
    <w:rsid w:val="00471C19"/>
    <w:rsid w:val="004867E3"/>
    <w:rsid w:val="00494A28"/>
    <w:rsid w:val="004C0004"/>
    <w:rsid w:val="004C5217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21FC"/>
    <w:rsid w:val="007D1690"/>
    <w:rsid w:val="007E22AD"/>
    <w:rsid w:val="00817416"/>
    <w:rsid w:val="00842779"/>
    <w:rsid w:val="00865F67"/>
    <w:rsid w:val="0088055D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4740"/>
    <w:rsid w:val="00B558F0"/>
    <w:rsid w:val="00BD48FE"/>
    <w:rsid w:val="00BD7BD8"/>
    <w:rsid w:val="00BE6ADC"/>
    <w:rsid w:val="00C05BFE"/>
    <w:rsid w:val="00C23CD4"/>
    <w:rsid w:val="00C61C0C"/>
    <w:rsid w:val="00C8696E"/>
    <w:rsid w:val="00C941CB"/>
    <w:rsid w:val="00CC2357"/>
    <w:rsid w:val="00CF071A"/>
    <w:rsid w:val="00CF1A2D"/>
    <w:rsid w:val="00D058B8"/>
    <w:rsid w:val="00D56C11"/>
    <w:rsid w:val="00D834A0"/>
    <w:rsid w:val="00D872DF"/>
    <w:rsid w:val="00D91E21"/>
    <w:rsid w:val="00DA6BE3"/>
    <w:rsid w:val="00DA7FCD"/>
    <w:rsid w:val="00DC3B6F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8A28B"/>
  <w15:chartTrackingRefBased/>
  <w15:docId w15:val="{5FB37CC0-5321-47E8-9567-15BD3B82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BE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BE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BE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BE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BE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BE3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BE3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DA6BE3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DA6BE3"/>
    <w:rPr>
      <w:rFonts w:ascii="Arial" w:hAnsi="Arial"/>
      <w:b/>
      <w:i/>
      <w:sz w:val="18"/>
      <w:lang w:val="cs-CZ"/>
    </w:rPr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3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styleId="TOCHeading">
    <w:name w:val="TOC Heading"/>
    <w:basedOn w:val="Normal"/>
    <w:next w:val="Normal"/>
    <w:uiPriority w:val="39"/>
    <w:unhideWhenUsed/>
    <w:qFormat/>
    <w:rsid w:val="00DA6BE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A6BE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A6BE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A6BE3"/>
    <w:pPr>
      <w:spacing w:after="120"/>
    </w:pPr>
  </w:style>
  <w:style w:type="paragraph" w:customStyle="1" w:styleId="PageHeading">
    <w:name w:val="PageHeading"/>
    <w:basedOn w:val="Normal"/>
    <w:rsid w:val="00DA6BE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A6BE3"/>
    <w:rPr>
      <w:b/>
    </w:rPr>
  </w:style>
  <w:style w:type="character" w:customStyle="1" w:styleId="NormalBoldChar">
    <w:name w:val="NormalBold Char"/>
    <w:link w:val="NormalBold"/>
    <w:locked/>
    <w:rsid w:val="00DA6BE3"/>
    <w:rPr>
      <w:b/>
      <w:sz w:val="24"/>
      <w:lang w:val="cs-CZ"/>
    </w:rPr>
  </w:style>
  <w:style w:type="paragraph" w:customStyle="1" w:styleId="NormalBold12a">
    <w:name w:val="NormalBold12a"/>
    <w:basedOn w:val="Normal"/>
    <w:rsid w:val="00DA6BE3"/>
    <w:pPr>
      <w:spacing w:after="240"/>
    </w:pPr>
    <w:rPr>
      <w:b/>
    </w:rPr>
  </w:style>
  <w:style w:type="paragraph" w:customStyle="1" w:styleId="AmJustText">
    <w:name w:val="AmJustText"/>
    <w:basedOn w:val="Normal"/>
    <w:rsid w:val="00DA6BE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A6BE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A6BE3"/>
    <w:pPr>
      <w:spacing w:after="480"/>
      <w:ind w:left="1417"/>
    </w:pPr>
  </w:style>
  <w:style w:type="paragraph" w:customStyle="1" w:styleId="CoverNormal">
    <w:name w:val="CoverNormal"/>
    <w:basedOn w:val="Normal"/>
    <w:rsid w:val="00DA6BE3"/>
    <w:pPr>
      <w:ind w:left="1418"/>
    </w:pPr>
  </w:style>
  <w:style w:type="paragraph" w:customStyle="1" w:styleId="AmCrossRef">
    <w:name w:val="AmCrossRef"/>
    <w:basedOn w:val="Normal"/>
    <w:rsid w:val="00DA6BE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A6BE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A6BE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A6BE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A6BE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A6BE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A6B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BE3"/>
    <w:rPr>
      <w:sz w:val="24"/>
      <w:lang w:val="cs-CZ"/>
    </w:rPr>
  </w:style>
  <w:style w:type="paragraph" w:customStyle="1" w:styleId="AmOrLang">
    <w:name w:val="AmOrLang"/>
    <w:basedOn w:val="Normal"/>
    <w:rsid w:val="00DA6BE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A6BE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A6B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DA6BE3"/>
    <w:rPr>
      <w:b/>
      <w:sz w:val="24"/>
      <w:lang w:val="cs-CZ"/>
    </w:rPr>
  </w:style>
  <w:style w:type="paragraph" w:customStyle="1" w:styleId="NormalBold12b">
    <w:name w:val="NormalBold12b"/>
    <w:basedOn w:val="Normal"/>
    <w:link w:val="NormalBold12bChar"/>
    <w:rsid w:val="00DA6BE3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DA6BE3"/>
    <w:rPr>
      <w:b/>
      <w:sz w:val="24"/>
      <w:lang w:val="cs-CZ"/>
    </w:rPr>
  </w:style>
  <w:style w:type="paragraph" w:customStyle="1" w:styleId="EPBody">
    <w:name w:val="EPBody"/>
    <w:basedOn w:val="Normal"/>
    <w:rsid w:val="00DA6BE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A6BE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A6BE3"/>
    <w:pPr>
      <w:spacing w:before="480" w:after="240"/>
    </w:pPr>
  </w:style>
  <w:style w:type="paragraph" w:customStyle="1" w:styleId="Lgendesigne">
    <w:name w:val="Légende signe"/>
    <w:basedOn w:val="Normal"/>
    <w:rsid w:val="00DA6BE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A6BE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A6BE3"/>
    <w:rPr>
      <w:sz w:val="18"/>
    </w:rPr>
  </w:style>
  <w:style w:type="paragraph" w:customStyle="1" w:styleId="msonormal0">
    <w:name w:val="msonormal"/>
    <w:basedOn w:val="Normal"/>
    <w:rsid w:val="00DA6BE3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DA6B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BE3"/>
    <w:rPr>
      <w:sz w:val="24"/>
      <w:lang w:val="cs-CZ"/>
    </w:rPr>
  </w:style>
  <w:style w:type="character" w:customStyle="1" w:styleId="Normal12Char">
    <w:name w:val="Normal12 Char"/>
    <w:link w:val="Normal12"/>
    <w:locked/>
    <w:rsid w:val="00DA6BE3"/>
    <w:rPr>
      <w:noProof/>
      <w:sz w:val="24"/>
    </w:rPr>
  </w:style>
  <w:style w:type="paragraph" w:customStyle="1" w:styleId="Normal12">
    <w:name w:val="Normal12"/>
    <w:basedOn w:val="Normal"/>
    <w:link w:val="Normal12Char"/>
    <w:rsid w:val="00DA6BE3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DA6BE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A6BE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A6BE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A6BE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A6BE3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link w:val="Normal6"/>
    <w:locked/>
    <w:rsid w:val="00DA6BE3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DA6BE3"/>
    <w:pPr>
      <w:spacing w:after="120"/>
    </w:pPr>
  </w:style>
  <w:style w:type="paragraph" w:customStyle="1" w:styleId="Normal12Italic">
    <w:name w:val="Normal12Italic"/>
    <w:basedOn w:val="Normal12"/>
    <w:rsid w:val="00DA6BE3"/>
    <w:rPr>
      <w:i/>
    </w:rPr>
  </w:style>
  <w:style w:type="paragraph" w:customStyle="1" w:styleId="JustificationTitle">
    <w:name w:val="JustificationTitle"/>
    <w:basedOn w:val="Normal"/>
    <w:next w:val="Normal12"/>
    <w:rsid w:val="00DA6BE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DA6BE3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DA6BE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A6B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DA6BE3"/>
    <w:pPr>
      <w:spacing w:before="240"/>
      <w:jc w:val="center"/>
    </w:pPr>
    <w:rPr>
      <w:i/>
    </w:rPr>
  </w:style>
  <w:style w:type="paragraph" w:customStyle="1" w:styleId="NormalBoldItalicCenter6a">
    <w:name w:val="NormalBoldItalicCenter6a"/>
    <w:basedOn w:val="Normal6a"/>
    <w:qFormat/>
    <w:rsid w:val="00DA6BE3"/>
    <w:pPr>
      <w:jc w:val="center"/>
    </w:pPr>
    <w:rPr>
      <w:b/>
      <w:i/>
    </w:rPr>
  </w:style>
  <w:style w:type="character" w:customStyle="1" w:styleId="Footer2Middle">
    <w:name w:val="Footer2Middle"/>
    <w:rsid w:val="00DA6BE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DA6BE3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DA6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A6BE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6BE3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6B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A6BE3"/>
    <w:rPr>
      <w:b/>
      <w:bCs/>
      <w:lang w:val="cs-CZ"/>
    </w:rPr>
  </w:style>
  <w:style w:type="paragraph" w:styleId="BalloonText">
    <w:name w:val="Balloon Text"/>
    <w:basedOn w:val="Normal"/>
    <w:link w:val="BalloonTextChar"/>
    <w:uiPriority w:val="99"/>
    <w:unhideWhenUsed/>
    <w:rsid w:val="00DA6B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A6BE3"/>
    <w:rPr>
      <w:rFonts w:ascii="Segoe UI" w:hAnsi="Segoe UI" w:cs="Segoe UI"/>
      <w:sz w:val="18"/>
      <w:szCs w:val="18"/>
      <w:lang w:val="cs-CZ"/>
    </w:rPr>
  </w:style>
  <w:style w:type="character" w:customStyle="1" w:styleId="Sup">
    <w:name w:val="Sup"/>
    <w:uiPriority w:val="1"/>
    <w:qFormat/>
    <w:rsid w:val="00DA6BE3"/>
    <w:rPr>
      <w:vertAlign w:val="superscript"/>
    </w:rPr>
  </w:style>
  <w:style w:type="character" w:customStyle="1" w:styleId="SupBoldItalic">
    <w:name w:val="SupBoldItalic"/>
    <w:uiPriority w:val="1"/>
    <w:qFormat/>
    <w:rsid w:val="00DA6BE3"/>
    <w:rPr>
      <w:b/>
      <w:i/>
      <w:vertAlign w:val="superscript"/>
    </w:rPr>
  </w:style>
  <w:style w:type="paragraph" w:customStyle="1" w:styleId="Normal12a">
    <w:name w:val="Normal12a"/>
    <w:basedOn w:val="Normal"/>
    <w:rsid w:val="00DA6BE3"/>
    <w:pPr>
      <w:spacing w:after="240"/>
    </w:pPr>
  </w:style>
  <w:style w:type="paragraph" w:customStyle="1" w:styleId="RollCallVotes">
    <w:name w:val="RollCallVotes"/>
    <w:basedOn w:val="Normal"/>
    <w:rsid w:val="00DA6BE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A6BE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A6BE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A6BE3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DA6BE3"/>
    <w:rPr>
      <w:color w:val="0563C1" w:themeColor="hyperlink"/>
      <w:u w:val="single"/>
    </w:rPr>
  </w:style>
  <w:style w:type="paragraph" w:customStyle="1" w:styleId="PageHeadingNotTOC">
    <w:name w:val="PageHeadingNotTOC"/>
    <w:basedOn w:val="Normal"/>
    <w:rsid w:val="00DA6BE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A6BE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li">
    <w:name w:val="li"/>
    <w:basedOn w:val="Normal"/>
    <w:rsid w:val="00DA6BE3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DA6BE3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A6BE3"/>
    <w:rPr>
      <w:sz w:val="24"/>
      <w:lang w:val="cs-CZ"/>
    </w:rPr>
  </w:style>
  <w:style w:type="character" w:customStyle="1" w:styleId="num">
    <w:name w:val="num"/>
    <w:basedOn w:val="DefaultParagraphFont"/>
    <w:rsid w:val="00DA6BE3"/>
  </w:style>
  <w:style w:type="paragraph" w:customStyle="1" w:styleId="NormalCentered">
    <w:name w:val="Normal Centered"/>
    <w:basedOn w:val="Normal"/>
    <w:rsid w:val="002C3B88"/>
    <w:pPr>
      <w:widowControl/>
      <w:spacing w:before="20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2C3B88"/>
    <w:pPr>
      <w:widowControl/>
      <w:spacing w:before="20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NormalJustified">
    <w:name w:val="Normal Justified"/>
    <w:basedOn w:val="Normal"/>
    <w:rsid w:val="002C3B88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2C3B88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2C3B88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2C3B88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2C3B88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2C3B88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2C3B88"/>
    <w:rPr>
      <w:rFonts w:eastAsiaTheme="minorHAnsi"/>
      <w:sz w:val="24"/>
      <w:szCs w:val="22"/>
      <w:lang w:val="cs-CZ" w:eastAsia="en-US"/>
    </w:rPr>
  </w:style>
  <w:style w:type="paragraph" w:customStyle="1" w:styleId="FinalLine">
    <w:name w:val="Final Line"/>
    <w:basedOn w:val="Normal"/>
    <w:next w:val="Normal"/>
    <w:rsid w:val="002C3B8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2C3B8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Text1">
    <w:name w:val="Text 1"/>
    <w:basedOn w:val="Normal"/>
    <w:rsid w:val="002C3B88"/>
    <w:pPr>
      <w:widowControl/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2C3B88"/>
    <w:pPr>
      <w:widowControl/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2C3B88"/>
    <w:pPr>
      <w:widowControl/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2C3B88"/>
    <w:pPr>
      <w:widowControl/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2C3B88"/>
    <w:pPr>
      <w:widowControl/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2C3B88"/>
    <w:pPr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PointManual">
    <w:name w:val="Point Manual"/>
    <w:basedOn w:val="Normal"/>
    <w:rsid w:val="002C3B88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2C3B88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2C3B88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2C3B88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2C3B88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2C3B8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2C3B8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2C3B8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2C3B8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2C3B8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2C3B88"/>
    <w:pPr>
      <w:widowControl/>
      <w:numPr>
        <w:ilvl w:val="1"/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2C3B8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2C3B88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2C3B88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2C3B88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2C3B88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2C3B8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2C3B88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2C3B88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2C3B88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2C3B8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2C3B88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2C3B88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2C3B88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2C3B88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2C3B88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2C3B88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2C3B88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2C3B88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2C3B88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2C3B88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2C3B88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2C3B88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2C3B88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2C3B88"/>
    <w:pPr>
      <w:numPr>
        <w:numId w:val="8"/>
      </w:numPr>
    </w:pPr>
  </w:style>
  <w:style w:type="paragraph" w:customStyle="1" w:styleId="DashEqual1">
    <w:name w:val="Dash Equal 1"/>
    <w:basedOn w:val="Dash1"/>
    <w:rsid w:val="002C3B88"/>
    <w:pPr>
      <w:numPr>
        <w:numId w:val="9"/>
      </w:numPr>
    </w:pPr>
  </w:style>
  <w:style w:type="paragraph" w:customStyle="1" w:styleId="DashEqual2">
    <w:name w:val="Dash Equal 2"/>
    <w:basedOn w:val="Dash2"/>
    <w:rsid w:val="002C3B88"/>
    <w:pPr>
      <w:numPr>
        <w:numId w:val="10"/>
      </w:numPr>
    </w:pPr>
  </w:style>
  <w:style w:type="paragraph" w:customStyle="1" w:styleId="DashEqual3">
    <w:name w:val="Dash Equal 3"/>
    <w:basedOn w:val="Dash3"/>
    <w:rsid w:val="002C3B88"/>
    <w:pPr>
      <w:numPr>
        <w:numId w:val="11"/>
      </w:numPr>
    </w:pPr>
  </w:style>
  <w:style w:type="paragraph" w:customStyle="1" w:styleId="DashEqual4">
    <w:name w:val="Dash Equal 4"/>
    <w:basedOn w:val="Dash4"/>
    <w:rsid w:val="002C3B88"/>
    <w:pPr>
      <w:numPr>
        <w:numId w:val="12"/>
      </w:numPr>
    </w:pPr>
  </w:style>
  <w:style w:type="character" w:customStyle="1" w:styleId="Marker">
    <w:name w:val="Marker"/>
    <w:basedOn w:val="DefaultParagraphFont"/>
    <w:rsid w:val="002C3B8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2C3B88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2C3B88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2C3B88"/>
    <w:pPr>
      <w:numPr>
        <w:numId w:val="22"/>
      </w:numPr>
    </w:pPr>
  </w:style>
  <w:style w:type="paragraph" w:customStyle="1" w:styleId="Heading123">
    <w:name w:val="Heading 123"/>
    <w:basedOn w:val="HeadingLeft"/>
    <w:next w:val="Normal"/>
    <w:rsid w:val="002C3B88"/>
    <w:pPr>
      <w:numPr>
        <w:numId w:val="21"/>
      </w:numPr>
    </w:pPr>
  </w:style>
  <w:style w:type="paragraph" w:customStyle="1" w:styleId="HeadingABC">
    <w:name w:val="Heading ABC"/>
    <w:basedOn w:val="HeadingLeft"/>
    <w:next w:val="Normal"/>
    <w:rsid w:val="002C3B88"/>
    <w:pPr>
      <w:numPr>
        <w:numId w:val="20"/>
      </w:numPr>
    </w:pPr>
  </w:style>
  <w:style w:type="paragraph" w:customStyle="1" w:styleId="HeadingCentered">
    <w:name w:val="Heading Centered"/>
    <w:basedOn w:val="HeadingLeft"/>
    <w:next w:val="Normal"/>
    <w:rsid w:val="002C3B88"/>
    <w:pPr>
      <w:jc w:val="center"/>
    </w:pPr>
  </w:style>
  <w:style w:type="paragraph" w:customStyle="1" w:styleId="Jardin">
    <w:name w:val="Jardin"/>
    <w:basedOn w:val="Normal"/>
    <w:rsid w:val="002C3B88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2C3B88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2C3B88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2C3B88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2C3B88"/>
    <w:rPr>
      <w:b/>
    </w:rPr>
  </w:style>
  <w:style w:type="paragraph" w:customStyle="1" w:styleId="Annex">
    <w:name w:val="Annex"/>
    <w:basedOn w:val="Normal"/>
    <w:next w:val="Normal"/>
    <w:rsid w:val="002C3B88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2C3B88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2C3B88"/>
    <w:pPr>
      <w:widowControl/>
      <w:spacing w:before="120" w:after="120" w:line="360" w:lineRule="auto"/>
    </w:pPr>
    <w:rPr>
      <w:rFonts w:eastAsiaTheme="minorHAns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2C3B8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2C3B88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2C3B88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C3B88"/>
    <w:rPr>
      <w:rFonts w:eastAsiaTheme="minorHAnsi"/>
      <w:lang w:val="cs-CZ" w:eastAsia="en-US"/>
    </w:rPr>
  </w:style>
  <w:style w:type="character" w:styleId="EndnoteReference">
    <w:name w:val="endnote reference"/>
    <w:basedOn w:val="DefaultParagraphFont"/>
    <w:uiPriority w:val="99"/>
    <w:unhideWhenUsed/>
    <w:rsid w:val="002C3B88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2C3B88"/>
    <w:pPr>
      <w:widowControl/>
      <w:spacing w:after="440" w:line="360" w:lineRule="auto"/>
      <w:ind w:left="-1134" w:right="-1134"/>
    </w:pPr>
    <w:rPr>
      <w:rFonts w:eastAsiaTheme="minorHAnsi"/>
      <w:sz w:val="2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2C3B88"/>
    <w:rPr>
      <w:rFonts w:eastAsiaTheme="minorHAns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2C3B88"/>
    <w:pPr>
      <w:widowControl/>
    </w:pPr>
    <w:rPr>
      <w:szCs w:val="24"/>
      <w:lang w:eastAsia="en-US"/>
    </w:rPr>
  </w:style>
  <w:style w:type="paragraph" w:styleId="TOC4">
    <w:name w:val="toc 4"/>
    <w:basedOn w:val="Normal"/>
    <w:next w:val="Normal"/>
    <w:uiPriority w:val="39"/>
    <w:unhideWhenUsed/>
    <w:rsid w:val="002C3B8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2C3B88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2C3B88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2C3B88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2C3B88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2C3B88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2C3B88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2C3B88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2C3B88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2C3B88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2C3B8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2C3B88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2C3B88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C3B88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2C3B88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2C3B88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2C3B88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2C3B88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2C3B88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2C3B88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2C3B88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2C3B88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2C3B8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2C3B8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2C3B8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2C3B8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2C3B8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2C3B8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2C3B8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2C3B8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2C3B8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2C3B8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2C3B8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2C3B8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2C3B88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2C3B88"/>
    <w:pPr>
      <w:widowControl/>
      <w:numPr>
        <w:numId w:val="2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2C3B88"/>
    <w:pPr>
      <w:widowControl/>
      <w:numPr>
        <w:numId w:val="2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2C3B88"/>
    <w:pPr>
      <w:widowControl/>
      <w:numPr>
        <w:numId w:val="2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2C3B88"/>
    <w:pPr>
      <w:widowControl/>
      <w:numPr>
        <w:numId w:val="2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2C3B88"/>
    <w:pPr>
      <w:widowControl/>
      <w:numPr>
        <w:numId w:val="2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2C3B88"/>
    <w:pPr>
      <w:widowControl/>
      <w:numPr>
        <w:numId w:val="2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2C3B88"/>
    <w:pPr>
      <w:widowControl/>
      <w:numPr>
        <w:numId w:val="3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2C3B88"/>
    <w:pPr>
      <w:widowControl/>
      <w:numPr>
        <w:numId w:val="3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2C3B88"/>
    <w:pPr>
      <w:widowControl/>
      <w:tabs>
        <w:tab w:val="left" w:pos="850"/>
      </w:tabs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2C3B88"/>
    <w:pPr>
      <w:widowControl/>
      <w:tabs>
        <w:tab w:val="left" w:pos="850"/>
      </w:tabs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2C3B88"/>
    <w:pPr>
      <w:widowControl/>
      <w:tabs>
        <w:tab w:val="left" w:pos="850"/>
      </w:tabs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2C3B88"/>
    <w:pPr>
      <w:widowControl/>
      <w:tabs>
        <w:tab w:val="left" w:pos="850"/>
      </w:tabs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2C3B88"/>
    <w:pPr>
      <w:widowControl/>
      <w:tabs>
        <w:tab w:val="left" w:pos="1417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2C3B88"/>
    <w:pPr>
      <w:widowControl/>
      <w:tabs>
        <w:tab w:val="left" w:pos="1417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2C3B88"/>
    <w:pPr>
      <w:widowControl/>
      <w:numPr>
        <w:ilvl w:val="6"/>
        <w:numId w:val="3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C3B88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2C3B88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2C3B88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2C3B88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2C3B88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2C3B88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2C3B88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2C3B88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2C3B8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2C3B8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2C3B8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2C3B8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2C3B8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2C3B8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2C3B8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C3B88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2C3B88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2C3B88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2C3B88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2C3B88"/>
    <w:pPr>
      <w:widowControl/>
      <w:tabs>
        <w:tab w:val="num" w:pos="850"/>
      </w:tabs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2C3B88"/>
    <w:pPr>
      <w:widowControl/>
      <w:tabs>
        <w:tab w:val="num" w:pos="1417"/>
      </w:tabs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2C3B88"/>
    <w:pPr>
      <w:widowControl/>
      <w:tabs>
        <w:tab w:val="num" w:pos="1984"/>
      </w:tabs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2C3B88"/>
    <w:pPr>
      <w:widowControl/>
      <w:tabs>
        <w:tab w:val="num" w:pos="2551"/>
      </w:tabs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2C3B88"/>
    <w:pPr>
      <w:widowControl/>
      <w:tabs>
        <w:tab w:val="num" w:pos="850"/>
      </w:tabs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2C3B88"/>
    <w:pPr>
      <w:widowControl/>
      <w:tabs>
        <w:tab w:val="num" w:pos="1417"/>
      </w:tabs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2C3B88"/>
    <w:pPr>
      <w:widowControl/>
      <w:tabs>
        <w:tab w:val="num" w:pos="1984"/>
      </w:tabs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2C3B88"/>
    <w:pPr>
      <w:widowControl/>
      <w:tabs>
        <w:tab w:val="num" w:pos="2551"/>
      </w:tabs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2C3B88"/>
    <w:pPr>
      <w:widowControl/>
      <w:numPr>
        <w:ilvl w:val="8"/>
        <w:numId w:val="3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2C3B88"/>
    <w:pPr>
      <w:widowControl/>
      <w:numPr>
        <w:numId w:val="3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2C3B88"/>
    <w:pPr>
      <w:widowControl/>
      <w:numPr>
        <w:numId w:val="3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2C3B88"/>
    <w:pPr>
      <w:widowControl/>
      <w:numPr>
        <w:numId w:val="3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2C3B88"/>
    <w:pPr>
      <w:widowControl/>
      <w:numPr>
        <w:numId w:val="3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2C3B88"/>
    <w:pPr>
      <w:widowControl/>
      <w:numPr>
        <w:numId w:val="3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2C3B88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2C3B88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2C3B88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C3B88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C3B88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C3B88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Considrant">
    <w:name w:val="Considérant"/>
    <w:basedOn w:val="Normal"/>
    <w:rsid w:val="002C3B88"/>
    <w:pPr>
      <w:widowControl/>
      <w:numPr>
        <w:numId w:val="3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2C3B88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2C3B88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ous-titreobjet">
    <w:name w:val="Sous-titre objet"/>
    <w:basedOn w:val="Normal"/>
    <w:rsid w:val="002C3B88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C3B88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C3B88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C3B88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C3B88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2C3B88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2C3B88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2C3B8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C3B8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2C3B88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2C3B88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2C3B88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2C3B88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2C3B88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2C3B8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2C3B88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2C3B88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2C3B88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2C3B88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2C3B88"/>
    <w:pPr>
      <w:spacing w:before="240"/>
    </w:pPr>
  </w:style>
  <w:style w:type="paragraph" w:customStyle="1" w:styleId="Accordtitre">
    <w:name w:val="Accord titre"/>
    <w:basedOn w:val="Normal"/>
    <w:rsid w:val="002C3B88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2C3B8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2C3B8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2C3B88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2C3B88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2C3B88"/>
    <w:pPr>
      <w:spacing w:after="240"/>
    </w:pPr>
  </w:style>
  <w:style w:type="paragraph" w:customStyle="1" w:styleId="Annexetitre">
    <w:name w:val="Annexe titre"/>
    <w:basedOn w:val="Normal"/>
    <w:next w:val="Normal"/>
    <w:rsid w:val="002C3B88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2C3B88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customStyle="1" w:styleId="Division1">
    <w:name w:val="Division 1"/>
    <w:basedOn w:val="Normal"/>
    <w:next w:val="Normal"/>
    <w:rsid w:val="002C3B88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2C3B88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2C3B88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2C3B88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2C3B88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2C3B88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2C3B88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2C3B88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2C3B88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2C3B88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2C3B88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2C3B88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2C3B88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2C3B88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2C3B88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2C3B88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2C3B88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2C3B88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2C3B88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2C3B88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2C3B88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2C3B88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2C3B88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2C3B88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2C3B8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2C3B88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2C3B88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cs-CZ" w:eastAsia="en-US"/>
    </w:rPr>
  </w:style>
  <w:style w:type="paragraph" w:customStyle="1" w:styleId="CommentFwdQuotedText">
    <w:name w:val="CommentFwdQuotedText"/>
    <w:basedOn w:val="Normal"/>
    <w:rsid w:val="002C3B8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2C3B8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2C3B88"/>
    <w:rPr>
      <w:b/>
      <w:i/>
    </w:rPr>
  </w:style>
  <w:style w:type="character" w:customStyle="1" w:styleId="diff-tte-removed">
    <w:name w:val="diff-tte-removed"/>
    <w:basedOn w:val="DefaultParagraphFont"/>
    <w:rsid w:val="002C3B88"/>
    <w:rPr>
      <w:strike/>
    </w:rPr>
  </w:style>
  <w:style w:type="paragraph" w:customStyle="1" w:styleId="Norml">
    <w:name w:val="Norml"/>
    <w:basedOn w:val="ManualNumPar1"/>
    <w:rsid w:val="002C3B88"/>
  </w:style>
  <w:style w:type="paragraph" w:customStyle="1" w:styleId="Txt2">
    <w:name w:val="Txt 2"/>
    <w:basedOn w:val="Text4"/>
    <w:rsid w:val="002C3B88"/>
    <w:pPr>
      <w:ind w:left="1985"/>
    </w:pPr>
  </w:style>
  <w:style w:type="character" w:styleId="Emphasis">
    <w:name w:val="Emphasis"/>
    <w:basedOn w:val="DefaultParagraphFont"/>
    <w:uiPriority w:val="20"/>
    <w:qFormat/>
    <w:rsid w:val="002C3B88"/>
    <w:rPr>
      <w:i/>
      <w:iCs/>
    </w:rPr>
  </w:style>
  <w:style w:type="paragraph" w:customStyle="1" w:styleId="title-doc-first">
    <w:name w:val="title-doc-first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last">
    <w:name w:val="title-doc-last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styleId="FollowedHyperlink">
    <w:name w:val="FollowedHyperlink"/>
    <w:basedOn w:val="DefaultParagraphFont"/>
    <w:uiPriority w:val="99"/>
    <w:unhideWhenUsed/>
    <w:rsid w:val="002C3B88"/>
    <w:rPr>
      <w:color w:val="800080"/>
      <w:u w:val="single"/>
    </w:rPr>
  </w:style>
  <w:style w:type="paragraph" w:customStyle="1" w:styleId="title-doc-oj-reference">
    <w:name w:val="title-doc-oj-reference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modifiers">
    <w:name w:val="hd-modifiers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">
    <w:name w:val="norm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1">
    <w:name w:val="hd-toc-1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2">
    <w:name w:val="hd-toc-2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3">
    <w:name w:val="hd-toc-3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arrow">
    <w:name w:val="arrow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-star">
    <w:name w:val="title-fam-member-star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1">
    <w:name w:val="toc-1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2">
    <w:name w:val="toc-2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">
    <w:name w:val="title-fam-member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1">
    <w:name w:val="title-division-1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2">
    <w:name w:val="title-division-2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boldface">
    <w:name w:val="boldface"/>
    <w:basedOn w:val="DefaultParagraphFont"/>
    <w:rsid w:val="002C3B88"/>
  </w:style>
  <w:style w:type="paragraph" w:customStyle="1" w:styleId="title-article-norm">
    <w:name w:val="title-article-norm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stitle-article-norm">
    <w:name w:val="stitle-article-norm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no-parag">
    <w:name w:val="no-parag"/>
    <w:basedOn w:val="DefaultParagraphFont"/>
    <w:rsid w:val="002C3B88"/>
  </w:style>
  <w:style w:type="paragraph" w:customStyle="1" w:styleId="modref">
    <w:name w:val="modref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basedOn w:val="DefaultParagraphFont"/>
    <w:rsid w:val="002C3B88"/>
  </w:style>
  <w:style w:type="character" w:customStyle="1" w:styleId="italics">
    <w:name w:val="italics"/>
    <w:basedOn w:val="DefaultParagraphFont"/>
    <w:rsid w:val="002C3B88"/>
  </w:style>
  <w:style w:type="character" w:customStyle="1" w:styleId="expanded">
    <w:name w:val="expanded"/>
    <w:basedOn w:val="DefaultParagraphFont"/>
    <w:rsid w:val="002C3B88"/>
  </w:style>
  <w:style w:type="paragraph" w:customStyle="1" w:styleId="Normal1">
    <w:name w:val="Normal1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List1">
    <w:name w:val="List1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bl-norm">
    <w:name w:val="tbl-norm"/>
    <w:basedOn w:val="Normal"/>
    <w:rsid w:val="002C3B88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basedOn w:val="DefaultParagraphFont"/>
    <w:rsid w:val="002C3B88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basedOn w:val="DefaultParagraphFont"/>
    <w:rsid w:val="002C3B88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basedOn w:val="DefaultParagraphFont"/>
    <w:rsid w:val="002C3B88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character" w:customStyle="1" w:styleId="DeltaViewInsertion">
    <w:name w:val="DeltaView Insertion"/>
    <w:uiPriority w:val="99"/>
    <w:rsid w:val="002C3B88"/>
    <w:rPr>
      <w:b/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557B3-65F5-45BA-8D71-F48783AA3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2024-04-29T16:34:00Z</dcterms:created>
  <dcterms:modified xsi:type="dcterms:W3CDTF">2024-04-29T16:34:00Z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