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E0AF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E0AFF" w:rsidRDefault="00D64871" w:rsidP="0010095E">
            <w:pPr>
              <w:pStyle w:val="EPName"/>
            </w:pPr>
            <w:r w:rsidRPr="003E0AFF">
              <w:t>Europski parlament</w:t>
            </w:r>
          </w:p>
          <w:p w:rsidR="00751A4A" w:rsidRPr="003E0AF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E0AFF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3E0AFF" w:rsidRDefault="00187494" w:rsidP="0010095E">
            <w:pPr>
              <w:pStyle w:val="EPLogo"/>
            </w:pPr>
            <w:r w:rsidRPr="003E0AF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E0AFF" w:rsidRDefault="00D058B8" w:rsidP="004C5D52">
      <w:pPr>
        <w:pStyle w:val="LineTop"/>
      </w:pPr>
    </w:p>
    <w:p w:rsidR="00680577" w:rsidRPr="003E0AFF" w:rsidRDefault="00D64871" w:rsidP="00680577">
      <w:pPr>
        <w:pStyle w:val="EPBodyTA1"/>
      </w:pPr>
      <w:r w:rsidRPr="003E0AFF">
        <w:t>USVOJENI TEKSTOVI</w:t>
      </w:r>
    </w:p>
    <w:p w:rsidR="00D058B8" w:rsidRPr="003E0AFF" w:rsidRDefault="00D058B8" w:rsidP="00D058B8">
      <w:pPr>
        <w:pStyle w:val="LineBottom"/>
      </w:pPr>
    </w:p>
    <w:p w:rsidR="00D64871" w:rsidRPr="003E0AFF" w:rsidRDefault="00D64871" w:rsidP="00D64871">
      <w:pPr>
        <w:pStyle w:val="ATHeading1"/>
      </w:pPr>
      <w:bookmarkStart w:id="0" w:name="TANumber"/>
      <w:r w:rsidRPr="003E0AFF">
        <w:t>P9_TA(2024)0</w:t>
      </w:r>
      <w:r w:rsidR="00D243B7" w:rsidRPr="003E0AFF">
        <w:t>101</w:t>
      </w:r>
      <w:bookmarkEnd w:id="0"/>
    </w:p>
    <w:p w:rsidR="00D64871" w:rsidRPr="003E0AFF" w:rsidRDefault="00D64871" w:rsidP="00D64871">
      <w:pPr>
        <w:pStyle w:val="ATHeading2"/>
      </w:pPr>
      <w:bookmarkStart w:id="1" w:name="title"/>
      <w:r w:rsidRPr="003E0AFF">
        <w:t>Oznake zemljopisnog podrijetla za vino, jaka alkoholna pića i poljoprivredne proizvode</w:t>
      </w:r>
      <w:bookmarkEnd w:id="1"/>
    </w:p>
    <w:p w:rsidR="00D64871" w:rsidRPr="003E0AFF" w:rsidRDefault="00D64871" w:rsidP="00D64871">
      <w:pPr>
        <w:rPr>
          <w:i/>
          <w:vanish/>
        </w:rPr>
      </w:pPr>
      <w:r w:rsidRPr="003E0AFF">
        <w:rPr>
          <w:i/>
        </w:rPr>
        <w:fldChar w:fldCharType="begin"/>
      </w:r>
      <w:r w:rsidRPr="003E0AFF">
        <w:rPr>
          <w:i/>
        </w:rPr>
        <w:instrText xml:space="preserve"> TC"(</w:instrText>
      </w:r>
      <w:bookmarkStart w:id="2" w:name="DocNumber"/>
      <w:r w:rsidRPr="003E0AFF">
        <w:rPr>
          <w:i/>
        </w:rPr>
        <w:instrText>A9-0173/2023</w:instrText>
      </w:r>
      <w:bookmarkEnd w:id="2"/>
      <w:r w:rsidRPr="003E0AFF">
        <w:rPr>
          <w:i/>
        </w:rPr>
        <w:instrText xml:space="preserve"> - Izvjestitelj: Paolo De Castro)"\l3 \n&gt; \* MERGEFORMAT </w:instrText>
      </w:r>
      <w:r w:rsidRPr="003E0AFF">
        <w:rPr>
          <w:i/>
        </w:rPr>
        <w:fldChar w:fldCharType="end"/>
      </w:r>
    </w:p>
    <w:p w:rsidR="00D64871" w:rsidRPr="003E0AFF" w:rsidRDefault="00D64871" w:rsidP="00D64871">
      <w:pPr>
        <w:rPr>
          <w:vanish/>
        </w:rPr>
      </w:pPr>
      <w:bookmarkStart w:id="3" w:name="Commission"/>
      <w:r w:rsidRPr="003E0AFF">
        <w:rPr>
          <w:vanish/>
        </w:rPr>
        <w:t>Odbor za poljoprivredu i ruralni razvoj</w:t>
      </w:r>
      <w:bookmarkEnd w:id="3"/>
    </w:p>
    <w:p w:rsidR="00D64871" w:rsidRPr="003E0AFF" w:rsidRDefault="00D64871" w:rsidP="00D64871">
      <w:pPr>
        <w:rPr>
          <w:vanish/>
        </w:rPr>
      </w:pPr>
      <w:bookmarkStart w:id="4" w:name="PE"/>
      <w:r w:rsidRPr="003E0AFF">
        <w:rPr>
          <w:vanish/>
        </w:rPr>
        <w:t>PE736.493</w:t>
      </w:r>
      <w:bookmarkEnd w:id="4"/>
    </w:p>
    <w:p w:rsidR="00D64871" w:rsidRPr="003E0AFF" w:rsidRDefault="00D64871" w:rsidP="00D64871">
      <w:pPr>
        <w:pStyle w:val="ATHeading3"/>
      </w:pPr>
      <w:bookmarkStart w:id="5" w:name="Sujet"/>
      <w:r w:rsidRPr="003E0AFF">
        <w:t>Zakonodavna rezolu</w:t>
      </w:r>
      <w:r w:rsidR="00524975" w:rsidRPr="003E0AFF">
        <w:t>cija Europskog parlamenta od 28</w:t>
      </w:r>
      <w:r w:rsidRPr="003E0AFF">
        <w:t xml:space="preserve">. </w:t>
      </w:r>
      <w:r w:rsidR="00524975" w:rsidRPr="003E0AFF">
        <w:t xml:space="preserve">veljače </w:t>
      </w:r>
      <w:r w:rsidRPr="003E0AFF">
        <w:t>2024. o Prijedlogu uredbe Europskog parlamenta i Vijeća o oznakama zemljopisnog podrijetla Europske unije za vino, jaka alkoholna pića i poljoprivredne proizvode i sustavima kvalitete za poljoprivredne proizvode, o izmjeni uredaba (EU) br. 1308/2013, (EU) 2017/1001 i (EU) 2019/787 te o stavljanju izvan snage Uredbe (EU) br. 1151/2012</w:t>
      </w:r>
      <w:bookmarkEnd w:id="5"/>
      <w:r w:rsidRPr="003E0AFF">
        <w:t xml:space="preserve"> </w:t>
      </w:r>
      <w:bookmarkStart w:id="6" w:name="References"/>
      <w:r w:rsidRPr="003E0AFF">
        <w:t>(COM(2022)0134 – C9-0130/2022 – 2022/0089(COD))</w:t>
      </w:r>
      <w:bookmarkEnd w:id="6"/>
    </w:p>
    <w:p w:rsidR="00A455BC" w:rsidRPr="003E0AFF" w:rsidRDefault="00A455BC" w:rsidP="00A455BC">
      <w:pPr>
        <w:pStyle w:val="NormalBold"/>
      </w:pPr>
      <w:bookmarkStart w:id="7" w:name="TextBodyBegin"/>
      <w:bookmarkEnd w:id="7"/>
      <w:r w:rsidRPr="003E0AFF">
        <w:t>(Redovni zakonodavni postupak: prvo čitanje)</w:t>
      </w:r>
    </w:p>
    <w:p w:rsidR="00A455BC" w:rsidRPr="003E0AFF" w:rsidRDefault="00A455BC" w:rsidP="00A455BC">
      <w:pPr>
        <w:pStyle w:val="EPComma"/>
      </w:pPr>
      <w:r w:rsidRPr="003E0AFF">
        <w:rPr>
          <w:i/>
        </w:rPr>
        <w:t>Europski parlament,</w:t>
      </w:r>
    </w:p>
    <w:p w:rsidR="00A455BC" w:rsidRPr="003E0AFF" w:rsidRDefault="00A455BC" w:rsidP="00A455BC">
      <w:pPr>
        <w:pStyle w:val="NormalHanging12a"/>
      </w:pPr>
      <w:r w:rsidRPr="003E0AFF">
        <w:t>–</w:t>
      </w:r>
      <w:r w:rsidRPr="003E0AFF">
        <w:tab/>
        <w:t>uzimajući u obzir Prijedlog Komisije upućen Europskom parlamentu i Vijeću (COM(2022)0134),</w:t>
      </w:r>
    </w:p>
    <w:p w:rsidR="00A455BC" w:rsidRPr="003E0AFF" w:rsidRDefault="00A455BC" w:rsidP="00A455BC">
      <w:pPr>
        <w:pStyle w:val="NormalHanging12a"/>
      </w:pPr>
      <w:r w:rsidRPr="003E0AFF">
        <w:t>–</w:t>
      </w:r>
      <w:r w:rsidRPr="003E0AFF">
        <w:tab/>
        <w:t>uzimajući u obzir članak 294. stavak 2., članak 43. stavak 2. i prvi stavak članka 118. Ugovora o funkcioniranju Europske unije, u skladu s kojima je Komisija podnijela Prijedlog Parlamentu (C9</w:t>
      </w:r>
      <w:r w:rsidRPr="003E0AFF">
        <w:noBreakHyphen/>
        <w:t>0130/2022),</w:t>
      </w:r>
    </w:p>
    <w:p w:rsidR="00A455BC" w:rsidRPr="003E0AFF" w:rsidRDefault="00A455BC" w:rsidP="00A455BC">
      <w:pPr>
        <w:pStyle w:val="NormalHanging12a"/>
      </w:pPr>
      <w:r w:rsidRPr="003E0AFF">
        <w:t>–</w:t>
      </w:r>
      <w:r w:rsidRPr="003E0AFF">
        <w:tab/>
        <w:t>uzimajući u obzir članak 294. stavak 3. Ugovora o funkcioniranju Europske unije,</w:t>
      </w:r>
    </w:p>
    <w:p w:rsidR="00A455BC" w:rsidRPr="003E0AFF" w:rsidRDefault="00A455BC" w:rsidP="00A455BC">
      <w:pPr>
        <w:pStyle w:val="NormalHanging12a"/>
      </w:pPr>
      <w:r w:rsidRPr="003E0AFF">
        <w:t>–</w:t>
      </w:r>
      <w:r w:rsidRPr="003E0AFF">
        <w:tab/>
        <w:t>uzimajući u obzir mišljenje Europskoga gospodarskog i socijalnog odbora od 13. srpnja 2022.</w:t>
      </w:r>
      <w:r w:rsidRPr="003E0AFF">
        <w:rPr>
          <w:rStyle w:val="FootnoteReference"/>
        </w:rPr>
        <w:footnoteReference w:id="1"/>
      </w:r>
      <w:r w:rsidRPr="003E0AFF">
        <w:t>,</w:t>
      </w:r>
    </w:p>
    <w:p w:rsidR="00BF7E53" w:rsidRPr="003E0AFF" w:rsidRDefault="00BF7E53" w:rsidP="00A455BC">
      <w:pPr>
        <w:pStyle w:val="NormalHanging12a"/>
      </w:pPr>
      <w:r w:rsidRPr="003E0AFF">
        <w:t>–</w:t>
      </w:r>
      <w:r w:rsidRPr="003E0AFF">
        <w:tab/>
        <w:t>uzimajući u obzir mišljenje Odbora regija od 30. studenoga 2022.</w:t>
      </w:r>
      <w:r w:rsidRPr="003E0AFF">
        <w:rPr>
          <w:rStyle w:val="FootnoteReference"/>
        </w:rPr>
        <w:footnoteReference w:id="2"/>
      </w:r>
      <w:r w:rsidRPr="003E0AFF">
        <w:t>,</w:t>
      </w:r>
    </w:p>
    <w:p w:rsidR="00BF7E53" w:rsidRPr="003E0AFF" w:rsidRDefault="00BF7E53" w:rsidP="00BF7E53">
      <w:pPr>
        <w:spacing w:after="240"/>
        <w:ind w:left="567" w:hanging="567"/>
      </w:pPr>
      <w:r w:rsidRPr="003E0AFF">
        <w:rPr>
          <w:szCs w:val="24"/>
        </w:rPr>
        <w:t>–</w:t>
      </w:r>
      <w:r w:rsidRPr="003E0AFF">
        <w:rPr>
          <w:szCs w:val="24"/>
        </w:rPr>
        <w:tab/>
        <w:t>uzimajući u obzir privremeni sporazum koji je odobrio nadležni odbor u skladu s člankom 74. stavkom 4. Poslovnika te činjenicu da se predstavnik Vijeća pismom od 27. studenoga 2023. obvezao prihvatiti stajalište Europskog parlamenta u skladu s člankom 294. stavkom 4. Ugovora o funkcioniranju Europske unije,</w:t>
      </w:r>
    </w:p>
    <w:p w:rsidR="00A455BC" w:rsidRPr="003E0AFF" w:rsidRDefault="00A455BC" w:rsidP="00A455BC">
      <w:pPr>
        <w:pStyle w:val="NormalHanging12a"/>
      </w:pPr>
      <w:r w:rsidRPr="003E0AFF">
        <w:t>–</w:t>
      </w:r>
      <w:r w:rsidRPr="003E0AFF">
        <w:tab/>
        <w:t>uzimajući u obzir članak 59. Poslovnika,</w:t>
      </w:r>
    </w:p>
    <w:p w:rsidR="00A455BC" w:rsidRPr="003E0AFF" w:rsidRDefault="00A455BC" w:rsidP="00A455BC">
      <w:pPr>
        <w:pStyle w:val="NormalHanging12a"/>
        <w:rPr>
          <w:szCs w:val="24"/>
        </w:rPr>
      </w:pPr>
      <w:r w:rsidRPr="003E0AFF">
        <w:t>–</w:t>
      </w:r>
      <w:r w:rsidRPr="003E0AFF">
        <w:tab/>
        <w:t>uzimajući u obzir mišljenja Odbora za pravna pitanja i Odbora za međunarodnu trgovinu,</w:t>
      </w:r>
    </w:p>
    <w:p w:rsidR="00A455BC" w:rsidRPr="003E0AFF" w:rsidRDefault="00A455BC" w:rsidP="00A455BC">
      <w:pPr>
        <w:pStyle w:val="NormalHanging12a"/>
      </w:pPr>
      <w:r w:rsidRPr="003E0AFF">
        <w:lastRenderedPageBreak/>
        <w:t>–</w:t>
      </w:r>
      <w:r w:rsidRPr="003E0AFF">
        <w:tab/>
        <w:t>uzimajući u obzir izvješće Odbora za poljoprivredu i ruralni razvoj (A9</w:t>
      </w:r>
      <w:r w:rsidRPr="003E0AFF">
        <w:noBreakHyphen/>
        <w:t>0173/2023),</w:t>
      </w:r>
    </w:p>
    <w:p w:rsidR="00A455BC" w:rsidRPr="003E0AFF" w:rsidRDefault="00A455BC" w:rsidP="00A455BC">
      <w:pPr>
        <w:pStyle w:val="NormalHanging12a"/>
      </w:pPr>
      <w:r w:rsidRPr="003E0AFF">
        <w:t>1.</w:t>
      </w:r>
      <w:r w:rsidRPr="003E0AFF">
        <w:tab/>
        <w:t>usvaja sljedeće stajalište u prvom čitanju</w:t>
      </w:r>
      <w:r w:rsidR="00993975" w:rsidRPr="003E0AFF">
        <w:rPr>
          <w:rStyle w:val="FootnoteReference"/>
        </w:rPr>
        <w:footnoteReference w:id="3"/>
      </w:r>
      <w:r w:rsidRPr="003E0AFF">
        <w:t>;</w:t>
      </w:r>
    </w:p>
    <w:p w:rsidR="00BF7E53" w:rsidRPr="003E0AFF" w:rsidRDefault="00BF7E53" w:rsidP="00A455BC">
      <w:pPr>
        <w:pStyle w:val="NormalHanging12a"/>
      </w:pPr>
      <w:r w:rsidRPr="003E0AFF">
        <w:t>2.</w:t>
      </w:r>
      <w:r w:rsidRPr="003E0AFF">
        <w:tab/>
        <w:t>prihvaća zajedničku izjavu Europskog parlamenta i Vijeća priloženu ovoj Rezoluciji;</w:t>
      </w:r>
    </w:p>
    <w:p w:rsidR="00A455BC" w:rsidRPr="003E0AFF" w:rsidRDefault="00BF7E53" w:rsidP="00A455BC">
      <w:pPr>
        <w:pStyle w:val="NormalHanging12a"/>
      </w:pPr>
      <w:r w:rsidRPr="003E0AFF">
        <w:t>3</w:t>
      </w:r>
      <w:r w:rsidR="00A455BC" w:rsidRPr="003E0AFF">
        <w:t>.</w:t>
      </w:r>
      <w:r w:rsidR="00A455BC" w:rsidRPr="003E0AFF">
        <w:tab/>
        <w:t>poziva Komisiju da predmet ponovno uputi Parlamentu ako zamijeni, bitno izmijeni ili namjerava bitno izmijeniti svoj Prijedlog;</w:t>
      </w:r>
    </w:p>
    <w:p w:rsidR="00A455BC" w:rsidRPr="003E0AFF" w:rsidRDefault="00BF7E53" w:rsidP="00A455BC">
      <w:pPr>
        <w:pStyle w:val="NormalHanging12a"/>
      </w:pPr>
      <w:r w:rsidRPr="003E0AFF">
        <w:t>4</w:t>
      </w:r>
      <w:r w:rsidR="00A455BC" w:rsidRPr="003E0AFF">
        <w:t>.</w:t>
      </w:r>
      <w:r w:rsidR="00A455BC" w:rsidRPr="003E0AFF">
        <w:tab/>
        <w:t>nalaže svojoj predsjednici da stajalište Parlamenta proslijedi Vijeću, Komisiji i nacionalnim parlamentima.</w:t>
      </w:r>
    </w:p>
    <w:p w:rsidR="00BF7E53" w:rsidRPr="003E0AFF" w:rsidRDefault="00BF7E53" w:rsidP="00A455BC">
      <w:pPr>
        <w:pStyle w:val="NormalHanging12a"/>
        <w:sectPr w:rsidR="00BF7E53" w:rsidRPr="003E0AFF" w:rsidSect="00363ED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F7E53" w:rsidRPr="003E0AFF" w:rsidRDefault="00BF7E53" w:rsidP="00BF7E5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E0AFF">
        <w:rPr>
          <w:rFonts w:eastAsia="Calibri"/>
          <w:b/>
          <w:bCs/>
          <w:color w:val="000000"/>
          <w:szCs w:val="24"/>
        </w:rPr>
        <w:t>P9_TC1-COD(2022)0089</w:t>
      </w:r>
    </w:p>
    <w:p w:rsidR="00BF7E53" w:rsidRDefault="00BF7E53" w:rsidP="00BF7E53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3E0AFF">
        <w:rPr>
          <w:b/>
        </w:rPr>
        <w:t>Stajalište Europskog parlamenta usvojeno u prvom čitanju 28. veljače 2024. radi donošenja Uredbe (EU) 2024/</w:t>
      </w:r>
      <w:r w:rsidRPr="003E0AFF">
        <w:rPr>
          <w:rFonts w:eastAsia="Calibri"/>
          <w:b/>
          <w:bCs/>
          <w:szCs w:val="24"/>
        </w:rPr>
        <w:t xml:space="preserve">… </w:t>
      </w:r>
      <w:r w:rsidRPr="003E0AFF">
        <w:rPr>
          <w:b/>
        </w:rPr>
        <w:t>Europskog parlamenta i Vijeća</w:t>
      </w:r>
      <w:r w:rsidR="003F6397" w:rsidRPr="003E0AFF">
        <w:rPr>
          <w:b/>
        </w:rPr>
        <w:t xml:space="preserve"> </w:t>
      </w:r>
      <w:r w:rsidRPr="003E0AFF">
        <w:rPr>
          <w:rFonts w:eastAsia="Calibri"/>
          <w:b/>
          <w:szCs w:val="22"/>
          <w:lang w:eastAsia="en-US"/>
        </w:rPr>
        <w:t xml:space="preserve">o oznakama zemljopisnog podrijetla za vino, jaka alkoholna pića i poljoprivredne proizvode, te </w:t>
      </w:r>
      <w:r w:rsidRPr="003E0AFF">
        <w:rPr>
          <w:rFonts w:eastAsia="Calibri"/>
          <w:b/>
          <w:i/>
          <w:szCs w:val="22"/>
          <w:lang w:eastAsia="en-US"/>
        </w:rPr>
        <w:t>z</w:t>
      </w:r>
      <w:r w:rsidRPr="003A77BA">
        <w:rPr>
          <w:rFonts w:eastAsia="Calibri"/>
          <w:b/>
          <w:szCs w:val="22"/>
          <w:lang w:eastAsia="en-US"/>
        </w:rPr>
        <w:t>ajamčeno tradicionalnim specijalitetima i neobveznim izrazima</w:t>
      </w:r>
      <w:r w:rsidRPr="003E0AFF">
        <w:rPr>
          <w:rFonts w:eastAsia="Calibri"/>
          <w:b/>
          <w:i/>
          <w:szCs w:val="22"/>
          <w:lang w:eastAsia="en-US"/>
        </w:rPr>
        <w:t xml:space="preserve"> </w:t>
      </w:r>
      <w:r w:rsidRPr="003E0AFF">
        <w:rPr>
          <w:rFonts w:eastAsia="Calibri"/>
          <w:b/>
          <w:szCs w:val="22"/>
          <w:lang w:eastAsia="en-US"/>
        </w:rPr>
        <w:t xml:space="preserve">kvalitete za poljoprivredne proizvode, izmjeni uredaba (EU) br. 1308/2013, (EU) </w:t>
      </w:r>
      <w:r w:rsidRPr="003A77BA">
        <w:rPr>
          <w:rFonts w:eastAsia="Calibri"/>
          <w:b/>
          <w:bCs/>
          <w:szCs w:val="22"/>
          <w:lang w:eastAsia="en-US"/>
        </w:rPr>
        <w:t>2019/787 i (EU) 2019/1753</w:t>
      </w:r>
      <w:r w:rsidRPr="003E0AFF">
        <w:rPr>
          <w:rFonts w:eastAsia="Calibri"/>
          <w:b/>
          <w:bCs/>
          <w:szCs w:val="22"/>
          <w:lang w:eastAsia="en-US"/>
        </w:rPr>
        <w:t xml:space="preserve"> </w:t>
      </w:r>
      <w:r w:rsidRPr="003E0AFF">
        <w:rPr>
          <w:rFonts w:eastAsia="Calibri"/>
          <w:b/>
          <w:szCs w:val="22"/>
          <w:lang w:eastAsia="en-US"/>
        </w:rPr>
        <w:t>te stavljanju izvan snage Uredbe (EU) br. 1151/2012</w:t>
      </w:r>
    </w:p>
    <w:p w:rsidR="003A77BA" w:rsidRPr="003A77BA" w:rsidRDefault="003A77BA" w:rsidP="003A77BA">
      <w:pPr>
        <w:widowControl/>
        <w:jc w:val="both"/>
        <w:rPr>
          <w:rFonts w:eastAsia="Calibri"/>
          <w:i/>
          <w:szCs w:val="24"/>
          <w:lang w:eastAsia="en-US"/>
        </w:rPr>
      </w:pPr>
      <w:r w:rsidRPr="003A77BA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Uredbi (EU) 2024/1143.</w:t>
      </w:r>
      <w:r w:rsidRPr="003A77BA">
        <w:rPr>
          <w:rFonts w:eastAsia="Calibri"/>
          <w:i/>
          <w:szCs w:val="24"/>
          <w:lang w:eastAsia="en-US"/>
        </w:rPr>
        <w:t>)</w:t>
      </w:r>
    </w:p>
    <w:p w:rsidR="003A77BA" w:rsidRPr="003E0AFF" w:rsidRDefault="003A77BA" w:rsidP="00BF7E53">
      <w:pPr>
        <w:widowControl/>
        <w:spacing w:before="360" w:after="360"/>
        <w:rPr>
          <w:rFonts w:eastAsia="Calibri"/>
          <w:b/>
          <w:szCs w:val="22"/>
          <w:lang w:eastAsia="en-US"/>
        </w:rPr>
      </w:pPr>
    </w:p>
    <w:p w:rsidR="003A77BA" w:rsidRDefault="003A77BA" w:rsidP="00FF7466">
      <w:pPr>
        <w:pStyle w:val="NormalHanging12a"/>
        <w:jc w:val="right"/>
      </w:pPr>
      <w:r>
        <w:br w:type="page"/>
      </w:r>
    </w:p>
    <w:p w:rsidR="00E365E1" w:rsidRPr="003E0AFF" w:rsidRDefault="00FF7466" w:rsidP="00FF7466">
      <w:pPr>
        <w:pStyle w:val="NormalHanging12a"/>
        <w:jc w:val="right"/>
      </w:pPr>
      <w:r w:rsidRPr="003E0AFF">
        <w:t>PRILOG ZAKONODAVNOJ REZOLUCIJI</w:t>
      </w:r>
    </w:p>
    <w:p w:rsidR="00FF7466" w:rsidRPr="003E0AFF" w:rsidRDefault="00FF7466" w:rsidP="00FF7466">
      <w:pPr>
        <w:spacing w:after="480"/>
        <w:jc w:val="center"/>
        <w:rPr>
          <w:b/>
          <w:bCs/>
        </w:rPr>
      </w:pPr>
      <w:r w:rsidRPr="003E0AFF">
        <w:rPr>
          <w:b/>
        </w:rPr>
        <w:t>Zajednička izjava Europskog parlamenta i Vijeća</w:t>
      </w:r>
      <w:r w:rsidR="00D76D3D" w:rsidRPr="003E0AFF">
        <w:rPr>
          <w:b/>
        </w:rPr>
        <w:t xml:space="preserve"> povodom</w:t>
      </w:r>
      <w:r w:rsidRPr="003E0AFF">
        <w:rPr>
          <w:b/>
        </w:rPr>
        <w:t xml:space="preserve"> donošenja Uredbe (EU) 2024/</w:t>
      </w:r>
      <w:r w:rsidR="003A77BA">
        <w:rPr>
          <w:b/>
        </w:rPr>
        <w:t>1143</w:t>
      </w:r>
      <w:r w:rsidR="003A77BA">
        <w:rPr>
          <w:rStyle w:val="FootnoteReference"/>
          <w:b/>
        </w:rPr>
        <w:footnoteReference w:id="4"/>
      </w:r>
    </w:p>
    <w:p w:rsidR="00FF7466" w:rsidRPr="003E0AFF" w:rsidRDefault="00FF7466" w:rsidP="00FF7466">
      <w:pPr>
        <w:widowControl/>
        <w:spacing w:before="120" w:after="120" w:line="360" w:lineRule="auto"/>
      </w:pPr>
      <w:r w:rsidRPr="003E0AFF">
        <w:t>Europski parlament i Vijeće ističu da svi postupci koji se odnose na oznake zemljopisnog podrijetla uređeni ovom Uredbom ostaju u isključivoj nadležnosti Komisije.</w:t>
      </w:r>
    </w:p>
    <w:p w:rsidR="00FF7466" w:rsidRPr="003E0AFF" w:rsidRDefault="00FF7466" w:rsidP="00FF7466">
      <w:pPr>
        <w:widowControl/>
        <w:spacing w:before="120" w:after="120" w:line="360" w:lineRule="auto"/>
      </w:pPr>
      <w:r w:rsidRPr="003E0AFF">
        <w:t>Europski parlament i Vijeće napominju da se Komisiji može pomoći samo u izvršavanju administrativnih zadaća, ako i u mjeri u kojoj je to moguće u skladu s postojećim pravnim okvirom.</w:t>
      </w:r>
    </w:p>
    <w:p w:rsidR="00FF7466" w:rsidRPr="00414A93" w:rsidRDefault="00FF7466" w:rsidP="00FF7466">
      <w:pPr>
        <w:pStyle w:val="Normal12a"/>
        <w:widowControl/>
        <w:spacing w:before="120" w:after="120" w:line="360" w:lineRule="auto"/>
      </w:pPr>
      <w:r w:rsidRPr="003E0AFF">
        <w:t xml:space="preserve">U svrhu transparentnosti Komisiju se poziva da svake godine obavijesti </w:t>
      </w:r>
      <w:r w:rsidR="00624EA7" w:rsidRPr="003E0AFF">
        <w:t xml:space="preserve">Europski parlament i </w:t>
      </w:r>
      <w:r w:rsidRPr="003E0AFF">
        <w:t>Vijeće o pomoći koju je primila u izvršavanju tih zadaća.</w:t>
      </w:r>
    </w:p>
    <w:p w:rsidR="00FF7466" w:rsidRPr="00FF7466" w:rsidRDefault="00FF7466" w:rsidP="00FF7466">
      <w:pPr>
        <w:pStyle w:val="NormalHanging12a"/>
        <w:jc w:val="right"/>
      </w:pPr>
    </w:p>
    <w:sectPr w:rsidR="00FF7466" w:rsidRPr="00FF7466" w:rsidSect="00363E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E53" w:rsidRPr="00363EDC" w:rsidRDefault="00BF7E53">
      <w:r w:rsidRPr="00363EDC">
        <w:separator/>
      </w:r>
    </w:p>
  </w:endnote>
  <w:endnote w:type="continuationSeparator" w:id="0">
    <w:p w:rsidR="00BF7E53" w:rsidRPr="00363EDC" w:rsidRDefault="00BF7E53">
      <w:r w:rsidRPr="00363E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50049D" w:rsidRDefault="00BF7E53" w:rsidP="00BF7E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BF7E53" w:rsidRDefault="00BF7E53" w:rsidP="00BF7E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50049D" w:rsidRDefault="00BF7E53" w:rsidP="00BF7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E53" w:rsidRPr="00363EDC" w:rsidRDefault="00BF7E53">
      <w:r w:rsidRPr="00363EDC">
        <w:separator/>
      </w:r>
    </w:p>
  </w:footnote>
  <w:footnote w:type="continuationSeparator" w:id="0">
    <w:p w:rsidR="00BF7E53" w:rsidRPr="00363EDC" w:rsidRDefault="00BF7E53">
      <w:r w:rsidRPr="00363EDC">
        <w:continuationSeparator/>
      </w:r>
    </w:p>
  </w:footnote>
  <w:footnote w:id="1">
    <w:p w:rsidR="00BF7E53" w:rsidRPr="00363EDC" w:rsidRDefault="00BF7E53" w:rsidP="00363EDC">
      <w:pPr>
        <w:pStyle w:val="FootnoteText"/>
        <w:ind w:left="567" w:hanging="567"/>
        <w:rPr>
          <w:sz w:val="24"/>
          <w:lang w:val="hr-HR"/>
        </w:rPr>
      </w:pPr>
      <w:r w:rsidRPr="00363EDC">
        <w:rPr>
          <w:rStyle w:val="FootnoteReference"/>
          <w:sz w:val="24"/>
          <w:lang w:val="hr-HR"/>
        </w:rPr>
        <w:footnoteRef/>
      </w:r>
      <w:r w:rsidRPr="00363EDC">
        <w:rPr>
          <w:sz w:val="24"/>
          <w:lang w:val="hr-HR"/>
        </w:rPr>
        <w:t xml:space="preserve"> </w:t>
      </w:r>
      <w:r w:rsidRPr="00363EDC">
        <w:rPr>
          <w:sz w:val="24"/>
          <w:lang w:val="hr-HR"/>
        </w:rPr>
        <w:tab/>
        <w:t>SL C </w:t>
      </w:r>
      <w:r w:rsidRPr="006156BA">
        <w:rPr>
          <w:sz w:val="24"/>
          <w:lang w:val="hr-HR"/>
        </w:rPr>
        <w:t>443</w:t>
      </w:r>
      <w:r w:rsidRPr="00363EDC">
        <w:rPr>
          <w:sz w:val="24"/>
          <w:lang w:val="hr-HR"/>
        </w:rPr>
        <w:t xml:space="preserve">, </w:t>
      </w:r>
      <w:r w:rsidRPr="006156BA">
        <w:rPr>
          <w:sz w:val="24"/>
          <w:lang w:val="hr-HR"/>
        </w:rPr>
        <w:t>22</w:t>
      </w:r>
      <w:r w:rsidRPr="00363EDC">
        <w:rPr>
          <w:sz w:val="24"/>
          <w:lang w:val="hr-HR"/>
        </w:rPr>
        <w:t>.</w:t>
      </w:r>
      <w:r w:rsidRPr="006156BA">
        <w:rPr>
          <w:sz w:val="24"/>
          <w:lang w:val="hr-HR"/>
        </w:rPr>
        <w:t>11</w:t>
      </w:r>
      <w:r w:rsidRPr="00363EDC">
        <w:rPr>
          <w:sz w:val="24"/>
          <w:lang w:val="hr-HR"/>
        </w:rPr>
        <w:t>.</w:t>
      </w:r>
      <w:r w:rsidRPr="006156BA">
        <w:rPr>
          <w:sz w:val="24"/>
          <w:lang w:val="hr-HR"/>
        </w:rPr>
        <w:t>2022</w:t>
      </w:r>
      <w:r w:rsidRPr="00363EDC">
        <w:rPr>
          <w:sz w:val="24"/>
          <w:lang w:val="hr-HR"/>
        </w:rPr>
        <w:t>., str. </w:t>
      </w:r>
      <w:r w:rsidRPr="006156BA">
        <w:rPr>
          <w:sz w:val="24"/>
          <w:lang w:val="hr-HR"/>
        </w:rPr>
        <w:t>116</w:t>
      </w:r>
      <w:r w:rsidRPr="00363EDC">
        <w:rPr>
          <w:sz w:val="24"/>
          <w:lang w:val="hr-HR"/>
        </w:rPr>
        <w:t>.</w:t>
      </w:r>
    </w:p>
  </w:footnote>
  <w:footnote w:id="2">
    <w:p w:rsidR="00BF7E53" w:rsidRPr="00D243B7" w:rsidRDefault="00BF7E53" w:rsidP="00D243B7">
      <w:pPr>
        <w:pStyle w:val="FootnoteText"/>
        <w:ind w:left="567" w:hanging="567"/>
        <w:rPr>
          <w:sz w:val="24"/>
          <w:szCs w:val="24"/>
          <w:lang w:val="hr-HR"/>
        </w:rPr>
      </w:pPr>
      <w:r w:rsidRPr="00D243B7">
        <w:rPr>
          <w:rStyle w:val="FootnoteReference"/>
          <w:sz w:val="24"/>
          <w:szCs w:val="24"/>
        </w:rPr>
        <w:footnoteRef/>
      </w:r>
      <w:r w:rsidRPr="00D243B7">
        <w:rPr>
          <w:sz w:val="24"/>
          <w:szCs w:val="24"/>
        </w:rPr>
        <w:t xml:space="preserve"> </w:t>
      </w:r>
      <w:r w:rsidRPr="00D243B7">
        <w:rPr>
          <w:sz w:val="24"/>
          <w:szCs w:val="24"/>
          <w:lang w:val="hr-HR"/>
        </w:rPr>
        <w:tab/>
        <w:t xml:space="preserve">SL C </w:t>
      </w:r>
      <w:r w:rsidRPr="006156BA">
        <w:rPr>
          <w:sz w:val="24"/>
          <w:szCs w:val="24"/>
          <w:lang w:val="hr-HR"/>
        </w:rPr>
        <w:t>79</w:t>
      </w:r>
      <w:r w:rsidRPr="00D243B7">
        <w:rPr>
          <w:sz w:val="24"/>
          <w:szCs w:val="24"/>
          <w:lang w:val="hr-HR"/>
        </w:rPr>
        <w:t xml:space="preserve">, </w:t>
      </w:r>
      <w:r w:rsidRPr="006156BA">
        <w:rPr>
          <w:sz w:val="24"/>
          <w:szCs w:val="24"/>
          <w:lang w:val="hr-HR"/>
        </w:rPr>
        <w:t>2</w:t>
      </w:r>
      <w:r w:rsidRPr="00D243B7">
        <w:rPr>
          <w:sz w:val="24"/>
          <w:szCs w:val="24"/>
          <w:lang w:val="hr-HR"/>
        </w:rPr>
        <w:t>.</w:t>
      </w:r>
      <w:r w:rsidRPr="006156BA">
        <w:rPr>
          <w:sz w:val="24"/>
          <w:szCs w:val="24"/>
          <w:lang w:val="hr-HR"/>
        </w:rPr>
        <w:t>3</w:t>
      </w:r>
      <w:r w:rsidRPr="00D243B7">
        <w:rPr>
          <w:sz w:val="24"/>
          <w:szCs w:val="24"/>
          <w:lang w:val="hr-HR"/>
        </w:rPr>
        <w:t>.</w:t>
      </w:r>
      <w:r w:rsidRPr="006156BA">
        <w:rPr>
          <w:sz w:val="24"/>
          <w:szCs w:val="24"/>
          <w:lang w:val="hr-HR"/>
        </w:rPr>
        <w:t>2023</w:t>
      </w:r>
      <w:r w:rsidRPr="00D243B7">
        <w:rPr>
          <w:sz w:val="24"/>
          <w:szCs w:val="24"/>
          <w:lang w:val="hr-HR"/>
        </w:rPr>
        <w:t xml:space="preserve">., str. </w:t>
      </w:r>
      <w:r w:rsidRPr="006156BA">
        <w:rPr>
          <w:sz w:val="24"/>
          <w:szCs w:val="24"/>
          <w:lang w:val="hr-HR"/>
        </w:rPr>
        <w:t>74</w:t>
      </w:r>
      <w:r w:rsidRPr="00D243B7">
        <w:rPr>
          <w:sz w:val="24"/>
          <w:szCs w:val="24"/>
          <w:lang w:val="hr-HR"/>
        </w:rPr>
        <w:t>.</w:t>
      </w:r>
    </w:p>
  </w:footnote>
  <w:footnote w:id="3">
    <w:p w:rsidR="00993975" w:rsidRPr="00D243B7" w:rsidRDefault="00993975" w:rsidP="00D243B7">
      <w:pPr>
        <w:pStyle w:val="FootnoteText"/>
        <w:ind w:left="567" w:hanging="567"/>
        <w:rPr>
          <w:sz w:val="24"/>
          <w:szCs w:val="24"/>
          <w:lang w:val="hr-HR"/>
        </w:rPr>
      </w:pPr>
      <w:r w:rsidRPr="00D243B7">
        <w:rPr>
          <w:rStyle w:val="FootnoteReference"/>
          <w:sz w:val="24"/>
          <w:szCs w:val="24"/>
        </w:rPr>
        <w:footnoteRef/>
      </w:r>
      <w:r w:rsidRPr="00D243B7">
        <w:rPr>
          <w:sz w:val="24"/>
          <w:szCs w:val="24"/>
          <w:lang w:val="hr-HR"/>
        </w:rPr>
        <w:t xml:space="preserve"> </w:t>
      </w:r>
      <w:r w:rsidRPr="00D243B7">
        <w:rPr>
          <w:sz w:val="24"/>
          <w:szCs w:val="24"/>
          <w:lang w:val="hr-HR"/>
        </w:rPr>
        <w:tab/>
      </w:r>
      <w:r w:rsidRPr="00993975">
        <w:rPr>
          <w:sz w:val="24"/>
          <w:szCs w:val="24"/>
          <w:lang w:val="hr-HR"/>
        </w:rPr>
        <w:t xml:space="preserve">Ovo stajalište zamjenjuje amandmane usvojene </w:t>
      </w:r>
      <w:r w:rsidRPr="006156BA">
        <w:rPr>
          <w:sz w:val="24"/>
          <w:szCs w:val="24"/>
          <w:lang w:val="hr-HR"/>
        </w:rPr>
        <w:t>1</w:t>
      </w:r>
      <w:r w:rsidRPr="00993975">
        <w:rPr>
          <w:sz w:val="24"/>
          <w:szCs w:val="24"/>
          <w:lang w:val="hr-HR"/>
        </w:rPr>
        <w:t>. l</w:t>
      </w:r>
      <w:r>
        <w:rPr>
          <w:sz w:val="24"/>
          <w:szCs w:val="24"/>
          <w:lang w:val="hr-HR"/>
        </w:rPr>
        <w:t>ipnja</w:t>
      </w:r>
      <w:r w:rsidRPr="00993975">
        <w:rPr>
          <w:sz w:val="24"/>
          <w:szCs w:val="24"/>
          <w:lang w:val="hr-HR"/>
        </w:rPr>
        <w:t xml:space="preserve"> </w:t>
      </w:r>
      <w:r w:rsidRPr="006156BA">
        <w:rPr>
          <w:sz w:val="24"/>
          <w:szCs w:val="24"/>
          <w:lang w:val="hr-HR"/>
        </w:rPr>
        <w:t>2023</w:t>
      </w:r>
      <w:r w:rsidRPr="00993975">
        <w:rPr>
          <w:sz w:val="24"/>
          <w:szCs w:val="24"/>
          <w:lang w:val="hr-HR"/>
        </w:rPr>
        <w:t>. (Us</w:t>
      </w:r>
      <w:r>
        <w:rPr>
          <w:sz w:val="24"/>
          <w:szCs w:val="24"/>
          <w:lang w:val="hr-HR"/>
        </w:rPr>
        <w:t>vojeni tekstovi, P</w:t>
      </w:r>
      <w:r w:rsidRPr="006156BA">
        <w:rPr>
          <w:sz w:val="24"/>
          <w:szCs w:val="24"/>
          <w:lang w:val="hr-HR"/>
        </w:rPr>
        <w:t>9</w:t>
      </w:r>
      <w:r>
        <w:rPr>
          <w:sz w:val="24"/>
          <w:szCs w:val="24"/>
          <w:lang w:val="hr-HR"/>
        </w:rPr>
        <w:t>_TA(</w:t>
      </w:r>
      <w:r w:rsidRPr="006156BA">
        <w:rPr>
          <w:sz w:val="24"/>
          <w:szCs w:val="24"/>
          <w:lang w:val="hr-HR"/>
        </w:rPr>
        <w:t>2023</w:t>
      </w:r>
      <w:r>
        <w:rPr>
          <w:sz w:val="24"/>
          <w:szCs w:val="24"/>
          <w:lang w:val="hr-HR"/>
        </w:rPr>
        <w:t>)</w:t>
      </w:r>
      <w:r w:rsidRPr="006156BA">
        <w:rPr>
          <w:sz w:val="24"/>
          <w:szCs w:val="24"/>
          <w:lang w:val="hr-HR"/>
        </w:rPr>
        <w:t>0210</w:t>
      </w:r>
      <w:r w:rsidRPr="00993975">
        <w:rPr>
          <w:sz w:val="24"/>
          <w:szCs w:val="24"/>
          <w:lang w:val="hr-HR"/>
        </w:rPr>
        <w:t>).</w:t>
      </w:r>
    </w:p>
  </w:footnote>
  <w:footnote w:id="4">
    <w:p w:rsidR="003A77BA" w:rsidRPr="003A77BA" w:rsidRDefault="003A77BA" w:rsidP="003A77BA">
      <w:pPr>
        <w:pStyle w:val="FootnoteText"/>
        <w:ind w:left="567" w:hanging="567"/>
        <w:rPr>
          <w:sz w:val="24"/>
          <w:szCs w:val="24"/>
          <w:lang w:val="sl-SI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3A77BA">
        <w:rPr>
          <w:sz w:val="24"/>
          <w:szCs w:val="24"/>
        </w:rPr>
        <w:t>SL</w:t>
      </w:r>
      <w:r w:rsidRPr="003A77BA">
        <w:rPr>
          <w:sz w:val="24"/>
          <w:szCs w:val="24"/>
          <w:lang w:val="en-GB"/>
        </w:rPr>
        <w:t xml:space="preserve"> L, 2024/1143, 23.4.2024., ELI: </w:t>
      </w:r>
      <w:hyperlink r:id="rId1" w:history="1">
        <w:r w:rsidRPr="003A77BA">
          <w:rPr>
            <w:rStyle w:val="Hyperlink"/>
            <w:sz w:val="24"/>
            <w:szCs w:val="24"/>
            <w:lang w:val="en-GB"/>
          </w:rPr>
          <w:t>http://data.europa.e</w:t>
        </w:r>
        <w:bookmarkStart w:id="8" w:name="_GoBack"/>
        <w:bookmarkEnd w:id="8"/>
        <w:r w:rsidRPr="003A77BA">
          <w:rPr>
            <w:rStyle w:val="Hyperlink"/>
            <w:sz w:val="24"/>
            <w:szCs w:val="24"/>
            <w:lang w:val="en-GB"/>
          </w:rPr>
          <w:t>u</w:t>
        </w:r>
        <w:r w:rsidRPr="003A77BA">
          <w:rPr>
            <w:rStyle w:val="Hyperlink"/>
            <w:sz w:val="24"/>
            <w:szCs w:val="24"/>
            <w:lang w:val="en-GB"/>
          </w:rPr>
          <w:t>/eli/reg/2024/1143/oj</w:t>
        </w:r>
      </w:hyperlink>
      <w:r w:rsidRPr="003A77BA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50049D" w:rsidRDefault="00BF7E53" w:rsidP="00BF7E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50049D" w:rsidRDefault="00BF7E53" w:rsidP="00BF7E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53" w:rsidRPr="0050049D" w:rsidRDefault="00BF7E53" w:rsidP="00BF7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410F91"/>
    <w:multiLevelType w:val="hybridMultilevel"/>
    <w:tmpl w:val="0E42457E"/>
    <w:lvl w:ilvl="0" w:tplc="3514A5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4" w15:restartNumberingAfterBreak="0">
    <w:nsid w:val="34030330"/>
    <w:multiLevelType w:val="hybridMultilevel"/>
    <w:tmpl w:val="C72ECE0E"/>
    <w:lvl w:ilvl="0" w:tplc="8F680CF8">
      <w:start w:val="1"/>
      <w:numFmt w:val="lowerLetter"/>
      <w:lvlText w:val="(%1)"/>
      <w:lvlJc w:val="left"/>
      <w:rPr>
        <w:rFonts w:ascii="Times New Roman" w:eastAsia="Calibri" w:hAnsi="Times New Roman" w:cs="Times New Roman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4EE491A"/>
    <w:multiLevelType w:val="multilevel"/>
    <w:tmpl w:val="471E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5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7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5"/>
  </w:num>
  <w:num w:numId="3">
    <w:abstractNumId w:val="32"/>
  </w:num>
  <w:num w:numId="4">
    <w:abstractNumId w:val="1"/>
  </w:num>
  <w:num w:numId="5">
    <w:abstractNumId w:val="33"/>
  </w:num>
  <w:num w:numId="6">
    <w:abstractNumId w:val="28"/>
  </w:num>
  <w:num w:numId="7">
    <w:abstractNumId w:val="3"/>
  </w:num>
  <w:num w:numId="8">
    <w:abstractNumId w:val="35"/>
  </w:num>
  <w:num w:numId="9">
    <w:abstractNumId w:val="40"/>
  </w:num>
  <w:num w:numId="10">
    <w:abstractNumId w:val="25"/>
  </w:num>
  <w:num w:numId="11">
    <w:abstractNumId w:val="34"/>
  </w:num>
  <w:num w:numId="12">
    <w:abstractNumId w:val="30"/>
  </w:num>
  <w:num w:numId="13">
    <w:abstractNumId w:val="19"/>
  </w:num>
  <w:num w:numId="14">
    <w:abstractNumId w:val="9"/>
  </w:num>
  <w:num w:numId="15">
    <w:abstractNumId w:val="7"/>
  </w:num>
  <w:num w:numId="16">
    <w:abstractNumId w:val="31"/>
  </w:num>
  <w:num w:numId="17">
    <w:abstractNumId w:val="36"/>
  </w:num>
  <w:num w:numId="18">
    <w:abstractNumId w:val="0"/>
  </w:num>
  <w:num w:numId="19">
    <w:abstractNumId w:val="10"/>
  </w:num>
  <w:num w:numId="20">
    <w:abstractNumId w:val="6"/>
  </w:num>
  <w:num w:numId="21">
    <w:abstractNumId w:val="11"/>
  </w:num>
  <w:num w:numId="22">
    <w:abstractNumId w:val="26"/>
  </w:num>
  <w:num w:numId="23">
    <w:abstractNumId w:val="5"/>
  </w:num>
  <w:num w:numId="24">
    <w:abstractNumId w:val="20"/>
  </w:num>
  <w:num w:numId="25">
    <w:abstractNumId w:val="24"/>
  </w:num>
  <w:num w:numId="26">
    <w:abstractNumId w:val="23"/>
  </w:num>
  <w:num w:numId="27">
    <w:abstractNumId w:val="41"/>
  </w:num>
  <w:num w:numId="28">
    <w:abstractNumId w:val="16"/>
  </w:num>
  <w:num w:numId="29">
    <w:abstractNumId w:val="17"/>
  </w:num>
  <w:num w:numId="30">
    <w:abstractNumId w:val="18"/>
  </w:num>
  <w:num w:numId="31">
    <w:abstractNumId w:val="22"/>
  </w:num>
  <w:num w:numId="32">
    <w:abstractNumId w:val="8"/>
  </w:num>
  <w:num w:numId="33">
    <w:abstractNumId w:val="42"/>
  </w:num>
  <w:num w:numId="34">
    <w:abstractNumId w:val="13"/>
  </w:num>
  <w:num w:numId="35">
    <w:abstractNumId w:val="27"/>
  </w:num>
  <w:num w:numId="36">
    <w:abstractNumId w:val="38"/>
  </w:num>
  <w:num w:numId="37">
    <w:abstractNumId w:val="37"/>
  </w:num>
  <w:num w:numId="38">
    <w:abstractNumId w:val="39"/>
  </w:num>
  <w:num w:numId="39">
    <w:abstractNumId w:val="4"/>
  </w:num>
  <w:num w:numId="40">
    <w:abstractNumId w:val="21"/>
  </w:num>
  <w:num w:numId="41">
    <w:abstractNumId w:val="14"/>
  </w:num>
  <w:num w:numId="42">
    <w:abstractNumId w:val="12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HR"/>
    <w:docVar w:name="dvnumam" w:val="468"/>
    <w:docVar w:name="dvpe" w:val="736.493"/>
    <w:docVar w:name="dvrapporteur" w:val="Izvjestitelj: "/>
    <w:docVar w:name="dvstar" w:val="***I"/>
    <w:docVar w:name="dvtitre" w:val="Zakonodavna rezolucija Europskog parlamenta od .... 2024. o Prijedlogu uredbe Europskog parlamenta i Vijeća o oznakama zemljopisnog podrijetla Europske unije za vino, jaka alkoholna pića i poljoprivredne proizvode i sustavima kvalitete za poljoprivredne proizvode, o izmjeni uredaba (EU) br. 1308/2013, (EU) 2017/1001 i (EU) 2019/787 te o stavljanju izvan snage Uredbe (EU) br. 1151/2012(COM(2022)0134 – C9-0130/2022 – 2022/0089(COD))"/>
  </w:docVars>
  <w:rsids>
    <w:rsidRoot w:val="00D6487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63EDC"/>
    <w:rsid w:val="00395FA1"/>
    <w:rsid w:val="003A77BA"/>
    <w:rsid w:val="003E0AFF"/>
    <w:rsid w:val="003E15D4"/>
    <w:rsid w:val="003F6397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4975"/>
    <w:rsid w:val="00545827"/>
    <w:rsid w:val="00560270"/>
    <w:rsid w:val="005C2568"/>
    <w:rsid w:val="006037C0"/>
    <w:rsid w:val="006156BA"/>
    <w:rsid w:val="00624EA7"/>
    <w:rsid w:val="006631B6"/>
    <w:rsid w:val="00675FD4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3975"/>
    <w:rsid w:val="00A1687D"/>
    <w:rsid w:val="00A43E52"/>
    <w:rsid w:val="00A455BC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7E53"/>
    <w:rsid w:val="00C05BFE"/>
    <w:rsid w:val="00C23CD4"/>
    <w:rsid w:val="00C61C0C"/>
    <w:rsid w:val="00C941CB"/>
    <w:rsid w:val="00CC2357"/>
    <w:rsid w:val="00CF071A"/>
    <w:rsid w:val="00CF57CE"/>
    <w:rsid w:val="00D058B8"/>
    <w:rsid w:val="00D243B7"/>
    <w:rsid w:val="00D56C11"/>
    <w:rsid w:val="00D64871"/>
    <w:rsid w:val="00D76D3D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D57CA"/>
  <w15:chartTrackingRefBased/>
  <w15:docId w15:val="{06A1601D-F854-4842-AE08-A940847E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455B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5B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5B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5B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5B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5BC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5BC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A455BC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A455BC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A455B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455B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455B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455BC"/>
    <w:pPr>
      <w:spacing w:after="120"/>
    </w:pPr>
  </w:style>
  <w:style w:type="paragraph" w:customStyle="1" w:styleId="PageHeading">
    <w:name w:val="PageHeading"/>
    <w:basedOn w:val="Normal"/>
    <w:rsid w:val="00A455B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455BC"/>
    <w:rPr>
      <w:b/>
    </w:rPr>
  </w:style>
  <w:style w:type="paragraph" w:customStyle="1" w:styleId="NormalBold12a">
    <w:name w:val="NormalBold12a"/>
    <w:basedOn w:val="Normal"/>
    <w:rsid w:val="00A455BC"/>
    <w:pPr>
      <w:spacing w:after="240"/>
    </w:pPr>
    <w:rPr>
      <w:b/>
    </w:rPr>
  </w:style>
  <w:style w:type="paragraph" w:customStyle="1" w:styleId="AmJustText">
    <w:name w:val="AmJustText"/>
    <w:basedOn w:val="Normal"/>
    <w:rsid w:val="00A455B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455B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455BC"/>
    <w:pPr>
      <w:spacing w:after="480"/>
      <w:ind w:left="1417"/>
    </w:pPr>
  </w:style>
  <w:style w:type="paragraph" w:customStyle="1" w:styleId="CoverNormal">
    <w:name w:val="CoverNormal"/>
    <w:basedOn w:val="Normal"/>
    <w:rsid w:val="00A455BC"/>
    <w:pPr>
      <w:ind w:left="1418"/>
    </w:pPr>
  </w:style>
  <w:style w:type="paragraph" w:customStyle="1" w:styleId="AmCrossRef">
    <w:name w:val="AmCrossRef"/>
    <w:basedOn w:val="Normal"/>
    <w:rsid w:val="00A455B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455B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455B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455B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455B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455B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455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5BC"/>
    <w:rPr>
      <w:sz w:val="24"/>
      <w:lang w:val="hr-HR"/>
    </w:rPr>
  </w:style>
  <w:style w:type="paragraph" w:customStyle="1" w:styleId="AmOrLang">
    <w:name w:val="AmOrLang"/>
    <w:basedOn w:val="Normal"/>
    <w:rsid w:val="00A455B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455B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455B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455BC"/>
    <w:pPr>
      <w:spacing w:before="240"/>
    </w:pPr>
    <w:rPr>
      <w:b/>
    </w:rPr>
  </w:style>
  <w:style w:type="paragraph" w:customStyle="1" w:styleId="EPBody">
    <w:name w:val="EPBody"/>
    <w:basedOn w:val="Normal"/>
    <w:rsid w:val="00A455B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455B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455BC"/>
    <w:pPr>
      <w:spacing w:before="480" w:after="240"/>
    </w:pPr>
  </w:style>
  <w:style w:type="paragraph" w:customStyle="1" w:styleId="Lgendesigne">
    <w:name w:val="Légende signe"/>
    <w:basedOn w:val="Normal"/>
    <w:rsid w:val="00A455B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455B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455BC"/>
    <w:rPr>
      <w:sz w:val="18"/>
    </w:rPr>
  </w:style>
  <w:style w:type="paragraph" w:customStyle="1" w:styleId="msonormal0">
    <w:name w:val="msonormal"/>
    <w:basedOn w:val="Normal"/>
    <w:rsid w:val="00A455BC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A455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5BC"/>
    <w:rPr>
      <w:sz w:val="24"/>
      <w:lang w:val="hr-HR"/>
    </w:rPr>
  </w:style>
  <w:style w:type="character" w:customStyle="1" w:styleId="Normal12Char">
    <w:name w:val="Normal12 Char"/>
    <w:link w:val="Normal12"/>
    <w:locked/>
    <w:rsid w:val="00A455BC"/>
    <w:rPr>
      <w:noProof/>
      <w:sz w:val="24"/>
    </w:rPr>
  </w:style>
  <w:style w:type="paragraph" w:customStyle="1" w:styleId="Normal12">
    <w:name w:val="Normal12"/>
    <w:basedOn w:val="Normal"/>
    <w:link w:val="Normal12Char"/>
    <w:rsid w:val="00A455BC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A455B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455B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455B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455B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455BC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A455BC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A455BC"/>
    <w:pPr>
      <w:spacing w:after="120"/>
    </w:pPr>
  </w:style>
  <w:style w:type="character" w:customStyle="1" w:styleId="NormalBoldChar">
    <w:name w:val="NormalBold Char"/>
    <w:link w:val="NormalBold"/>
    <w:locked/>
    <w:rsid w:val="00A455BC"/>
    <w:rPr>
      <w:b/>
      <w:sz w:val="24"/>
      <w:lang w:val="hr-HR"/>
    </w:rPr>
  </w:style>
  <w:style w:type="paragraph" w:customStyle="1" w:styleId="Normal12Italic">
    <w:name w:val="Normal12Italic"/>
    <w:basedOn w:val="Normal12"/>
    <w:rsid w:val="00A455BC"/>
    <w:rPr>
      <w:i/>
    </w:rPr>
  </w:style>
  <w:style w:type="paragraph" w:customStyle="1" w:styleId="JustificationTitle">
    <w:name w:val="JustificationTitle"/>
    <w:basedOn w:val="Normal"/>
    <w:next w:val="Normal12"/>
    <w:rsid w:val="00A455B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A455BC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A455B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455B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A455BC"/>
    <w:pPr>
      <w:spacing w:before="240"/>
      <w:jc w:val="center"/>
    </w:pPr>
    <w:rPr>
      <w:i/>
    </w:rPr>
  </w:style>
  <w:style w:type="character" w:customStyle="1" w:styleId="Footer2Middle">
    <w:name w:val="Footer2Middle"/>
    <w:rsid w:val="00A455B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A455BC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A45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455B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5BC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45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455BC"/>
    <w:rPr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unhideWhenUsed/>
    <w:rsid w:val="00A45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455BC"/>
    <w:rPr>
      <w:rFonts w:ascii="Segoe UI" w:hAnsi="Segoe UI" w:cs="Segoe UI"/>
      <w:sz w:val="18"/>
      <w:szCs w:val="18"/>
      <w:lang w:val="hr-HR"/>
    </w:rPr>
  </w:style>
  <w:style w:type="character" w:customStyle="1" w:styleId="AmNumberTabsChar">
    <w:name w:val="AmNumberTabs Char"/>
    <w:basedOn w:val="DefaultParagraphFont"/>
    <w:link w:val="AmNumberTabs"/>
    <w:rsid w:val="00A455BC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A455BC"/>
    <w:rPr>
      <w:b/>
      <w:sz w:val="24"/>
      <w:lang w:val="hr-HR"/>
    </w:rPr>
  </w:style>
  <w:style w:type="paragraph" w:customStyle="1" w:styleId="NormalBoldItalicCenter6a">
    <w:name w:val="NormalBoldItalicCenter6a"/>
    <w:basedOn w:val="Normal6a"/>
    <w:qFormat/>
    <w:rsid w:val="00A455BC"/>
    <w:pPr>
      <w:jc w:val="center"/>
    </w:pPr>
    <w:rPr>
      <w:b/>
      <w:i/>
    </w:rPr>
  </w:style>
  <w:style w:type="character" w:customStyle="1" w:styleId="Sup">
    <w:name w:val="Sup"/>
    <w:uiPriority w:val="1"/>
    <w:qFormat/>
    <w:rsid w:val="00A455BC"/>
    <w:rPr>
      <w:vertAlign w:val="superscript"/>
    </w:rPr>
  </w:style>
  <w:style w:type="character" w:customStyle="1" w:styleId="SupBoldItalic">
    <w:name w:val="SupBoldItalic"/>
    <w:uiPriority w:val="1"/>
    <w:qFormat/>
    <w:rsid w:val="00A455BC"/>
    <w:rPr>
      <w:b/>
      <w:i/>
      <w:vertAlign w:val="superscript"/>
    </w:rPr>
  </w:style>
  <w:style w:type="paragraph" w:customStyle="1" w:styleId="Normal12a">
    <w:name w:val="Normal12a"/>
    <w:basedOn w:val="Normal"/>
    <w:rsid w:val="00A455BC"/>
    <w:pPr>
      <w:spacing w:after="240"/>
    </w:pPr>
  </w:style>
  <w:style w:type="paragraph" w:customStyle="1" w:styleId="RollCallVotes">
    <w:name w:val="RollCallVotes"/>
    <w:basedOn w:val="Normal"/>
    <w:rsid w:val="00A455B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455B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455B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455BC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A455BC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A455B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455B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A455BC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A455BC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A455BC"/>
    <w:rPr>
      <w:sz w:val="24"/>
      <w:lang w:val="hr-HR"/>
    </w:rPr>
  </w:style>
  <w:style w:type="character" w:customStyle="1" w:styleId="num">
    <w:name w:val="num"/>
    <w:basedOn w:val="DefaultParagraphFont"/>
    <w:rsid w:val="00A455BC"/>
  </w:style>
  <w:style w:type="character" w:styleId="FollowedHyperlink">
    <w:name w:val="FollowedHyperlink"/>
    <w:basedOn w:val="DefaultParagraphFont"/>
    <w:uiPriority w:val="99"/>
    <w:unhideWhenUsed/>
    <w:rsid w:val="00A455BC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BF7E5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F7E53"/>
    <w:pPr>
      <w:spacing w:after="240"/>
      <w:jc w:val="center"/>
    </w:pPr>
  </w:style>
  <w:style w:type="paragraph" w:customStyle="1" w:styleId="AmDateTab">
    <w:name w:val="AmDateTab"/>
    <w:basedOn w:val="Normal"/>
    <w:rsid w:val="00BF7E5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F7E5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F7E53"/>
  </w:style>
  <w:style w:type="paragraph" w:customStyle="1" w:styleId="NormalCentered">
    <w:name w:val="Normal Centered"/>
    <w:basedOn w:val="Normal"/>
    <w:rsid w:val="00BF7E53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F7E53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BF7E5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F7E5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F7E5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BF7E5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F7E5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F7E53"/>
    <w:pPr>
      <w:widowControl/>
      <w:spacing w:after="240"/>
      <w:jc w:val="center"/>
    </w:pPr>
    <w:rPr>
      <w:szCs w:val="24"/>
      <w:lang w:eastAsia="en-US"/>
    </w:rPr>
  </w:style>
  <w:style w:type="paragraph" w:customStyle="1" w:styleId="FinalLine">
    <w:name w:val="Final Line"/>
    <w:basedOn w:val="Normal"/>
    <w:next w:val="Normal"/>
    <w:rsid w:val="00BF7E5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F7E5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BF7E53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F7E53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F7E53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F7E53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F7E53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F7E53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BF7E5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BF7E5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BF7E5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BF7E5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BF7E5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BF7E5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BF7E5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BF7E5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BF7E5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BF7E5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BF7E53"/>
    <w:pPr>
      <w:widowControl/>
      <w:numPr>
        <w:ilvl w:val="1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BF7E53"/>
    <w:pPr>
      <w:widowControl/>
      <w:numPr>
        <w:ilvl w:val="3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BF7E53"/>
    <w:pPr>
      <w:widowControl/>
      <w:numPr>
        <w:ilvl w:val="5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BF7E53"/>
    <w:pPr>
      <w:widowControl/>
      <w:numPr>
        <w:ilvl w:val="7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BF7E53"/>
    <w:pPr>
      <w:widowControl/>
      <w:numPr>
        <w:ilvl w:val="8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BF7E53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BF7E53"/>
    <w:pPr>
      <w:widowControl/>
      <w:numPr>
        <w:ilvl w:val="2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BF7E53"/>
    <w:pPr>
      <w:widowControl/>
      <w:numPr>
        <w:ilvl w:val="4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BF7E53"/>
    <w:pPr>
      <w:widowControl/>
      <w:numPr>
        <w:ilvl w:val="6"/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BF7E53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BF7E53"/>
    <w:pPr>
      <w:widowControl/>
      <w:numPr>
        <w:ilvl w:val="1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BF7E53"/>
    <w:pPr>
      <w:widowControl/>
      <w:numPr>
        <w:ilvl w:val="2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BF7E53"/>
    <w:pPr>
      <w:widowControl/>
      <w:numPr>
        <w:ilvl w:val="3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BF7E53"/>
    <w:pPr>
      <w:widowControl/>
      <w:numPr>
        <w:ilvl w:val="4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BF7E53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F7E53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F7E53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F7E53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F7E53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BF7E53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BF7E53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BF7E53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BF7E53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BF7E53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BF7E53"/>
    <w:pPr>
      <w:numPr>
        <w:numId w:val="8"/>
      </w:numPr>
    </w:pPr>
  </w:style>
  <w:style w:type="paragraph" w:customStyle="1" w:styleId="DashEqual1">
    <w:name w:val="Dash Equal 1"/>
    <w:basedOn w:val="Dash1"/>
    <w:rsid w:val="00BF7E53"/>
    <w:pPr>
      <w:numPr>
        <w:numId w:val="9"/>
      </w:numPr>
    </w:pPr>
  </w:style>
  <w:style w:type="paragraph" w:customStyle="1" w:styleId="DashEqual2">
    <w:name w:val="Dash Equal 2"/>
    <w:basedOn w:val="Dash2"/>
    <w:rsid w:val="00BF7E53"/>
    <w:pPr>
      <w:numPr>
        <w:numId w:val="10"/>
      </w:numPr>
    </w:pPr>
  </w:style>
  <w:style w:type="paragraph" w:customStyle="1" w:styleId="DashEqual3">
    <w:name w:val="Dash Equal 3"/>
    <w:basedOn w:val="Dash3"/>
    <w:rsid w:val="00BF7E53"/>
    <w:pPr>
      <w:numPr>
        <w:numId w:val="11"/>
      </w:numPr>
    </w:pPr>
  </w:style>
  <w:style w:type="paragraph" w:customStyle="1" w:styleId="DashEqual4">
    <w:name w:val="Dash Equal 4"/>
    <w:basedOn w:val="Dash4"/>
    <w:rsid w:val="00BF7E53"/>
    <w:pPr>
      <w:numPr>
        <w:numId w:val="12"/>
      </w:numPr>
    </w:pPr>
  </w:style>
  <w:style w:type="character" w:customStyle="1" w:styleId="Marker">
    <w:name w:val="Marker"/>
    <w:rsid w:val="00BF7E53"/>
    <w:rPr>
      <w:color w:val="0000FF"/>
      <w:shd w:val="clear" w:color="auto" w:fill="auto"/>
    </w:rPr>
  </w:style>
  <w:style w:type="character" w:customStyle="1" w:styleId="Marker1">
    <w:name w:val="Marker1"/>
    <w:rsid w:val="00BF7E53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BF7E5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F7E53"/>
    <w:pPr>
      <w:numPr>
        <w:numId w:val="22"/>
      </w:numPr>
    </w:pPr>
  </w:style>
  <w:style w:type="paragraph" w:customStyle="1" w:styleId="Heading123">
    <w:name w:val="Heading 123"/>
    <w:basedOn w:val="HeadingLeft"/>
    <w:next w:val="Normal"/>
    <w:rsid w:val="00BF7E53"/>
    <w:pPr>
      <w:numPr>
        <w:numId w:val="21"/>
      </w:numPr>
    </w:pPr>
  </w:style>
  <w:style w:type="paragraph" w:customStyle="1" w:styleId="HeadingABC">
    <w:name w:val="Heading ABC"/>
    <w:basedOn w:val="HeadingLeft"/>
    <w:next w:val="Normal"/>
    <w:rsid w:val="00BF7E53"/>
    <w:pPr>
      <w:numPr>
        <w:numId w:val="20"/>
      </w:numPr>
    </w:pPr>
  </w:style>
  <w:style w:type="paragraph" w:customStyle="1" w:styleId="HeadingCentered">
    <w:name w:val="Heading Centered"/>
    <w:basedOn w:val="HeadingLeft"/>
    <w:next w:val="Normal"/>
    <w:rsid w:val="00BF7E53"/>
    <w:pPr>
      <w:jc w:val="center"/>
    </w:pPr>
  </w:style>
  <w:style w:type="paragraph" w:customStyle="1" w:styleId="Jardin">
    <w:name w:val="Jardin"/>
    <w:basedOn w:val="Normal"/>
    <w:rsid w:val="00BF7E5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BF7E5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F7E5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BF7E5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F7E53"/>
    <w:rPr>
      <w:b/>
    </w:rPr>
  </w:style>
  <w:style w:type="paragraph" w:customStyle="1" w:styleId="Annex">
    <w:name w:val="Annex"/>
    <w:basedOn w:val="Normal"/>
    <w:next w:val="Normal"/>
    <w:rsid w:val="00BF7E5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F7E5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F7E5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rsid w:val="00BF7E5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F7E5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F7E5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7E53"/>
    <w:rPr>
      <w:rFonts w:eastAsia="Calibri"/>
      <w:lang w:val="hr-HR" w:eastAsia="en-US"/>
    </w:rPr>
  </w:style>
  <w:style w:type="character" w:styleId="EndnoteReference">
    <w:name w:val="endnote reference"/>
    <w:uiPriority w:val="99"/>
    <w:unhideWhenUsed/>
    <w:rsid w:val="00BF7E5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BF7E53"/>
    <w:pPr>
      <w:widowControl/>
      <w:spacing w:after="440" w:line="360" w:lineRule="auto"/>
      <w:ind w:left="-1134" w:right="-1134"/>
    </w:pPr>
    <w:rPr>
      <w:rFonts w:eastAsia="Calibri"/>
      <w:sz w:val="2"/>
      <w:lang w:eastAsia="fr-BE"/>
    </w:rPr>
  </w:style>
  <w:style w:type="character" w:customStyle="1" w:styleId="TechnicalBlockChar">
    <w:name w:val="Technical Block Char"/>
    <w:link w:val="TechnicalBlock"/>
    <w:rsid w:val="00BF7E53"/>
    <w:rPr>
      <w:sz w:val="24"/>
      <w:szCs w:val="24"/>
      <w:lang w:val="hr-HR" w:eastAsia="en-US"/>
    </w:rPr>
  </w:style>
  <w:style w:type="character" w:customStyle="1" w:styleId="HeaderCouncilLargeChar">
    <w:name w:val="Header Council Large Char"/>
    <w:link w:val="HeaderCouncilLarge"/>
    <w:rsid w:val="00BF7E53"/>
    <w:rPr>
      <w:rFonts w:eastAsia="Calibri"/>
      <w:sz w:val="2"/>
      <w:lang w:val="hr-HR" w:eastAsia="fr-BE"/>
    </w:rPr>
  </w:style>
  <w:style w:type="paragraph" w:customStyle="1" w:styleId="FooterText">
    <w:name w:val="Footer Text"/>
    <w:basedOn w:val="Normal"/>
    <w:rsid w:val="00BF7E53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BF7E53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F7E5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BF7E5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F7E5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F7E5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F7E5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BF7E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BF7E5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BF7E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F7E5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BF7E5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BF7E5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BF7E5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F7E5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F7E5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F7E5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F7E5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BF7E5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BF7E5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BF7E5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BF7E5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BF7E5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F7E5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BF7E5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BF7E5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BF7E5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BF7E5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BF7E5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F7E5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BF7E53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BF7E53"/>
    <w:pPr>
      <w:widowControl/>
      <w:numPr>
        <w:numId w:val="2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BF7E53"/>
    <w:pPr>
      <w:widowControl/>
      <w:numPr>
        <w:numId w:val="2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BF7E53"/>
    <w:pPr>
      <w:widowControl/>
      <w:numPr>
        <w:numId w:val="2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BF7E53"/>
    <w:pPr>
      <w:widowControl/>
      <w:numPr>
        <w:numId w:val="2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BF7E53"/>
    <w:pPr>
      <w:widowControl/>
      <w:numPr>
        <w:numId w:val="2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F7E53"/>
    <w:pPr>
      <w:widowControl/>
      <w:numPr>
        <w:numId w:val="2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F7E53"/>
    <w:pPr>
      <w:widowControl/>
      <w:numPr>
        <w:numId w:val="3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F7E53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BF7E53"/>
    <w:pPr>
      <w:widowControl/>
      <w:numPr>
        <w:numId w:val="3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BF7E53"/>
    <w:pPr>
      <w:widowControl/>
      <w:numPr>
        <w:ilvl w:val="1"/>
        <w:numId w:val="3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BF7E53"/>
    <w:pPr>
      <w:widowControl/>
      <w:numPr>
        <w:ilvl w:val="2"/>
        <w:numId w:val="3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BF7E53"/>
    <w:pPr>
      <w:widowControl/>
      <w:numPr>
        <w:ilvl w:val="3"/>
        <w:numId w:val="3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BF7E53"/>
    <w:pPr>
      <w:widowControl/>
      <w:numPr>
        <w:ilvl w:val="4"/>
        <w:numId w:val="3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BF7E53"/>
    <w:pPr>
      <w:widowControl/>
      <w:numPr>
        <w:ilvl w:val="5"/>
        <w:numId w:val="3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BF7E53"/>
    <w:pPr>
      <w:widowControl/>
      <w:numPr>
        <w:ilvl w:val="6"/>
        <w:numId w:val="3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F7E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F7E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F7E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BF7E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F7E5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BF7E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F7E5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F7E5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F7E5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F7E5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BF7E53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BF7E53"/>
    <w:pPr>
      <w:widowControl/>
      <w:numPr>
        <w:ilvl w:val="2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BF7E53"/>
    <w:pPr>
      <w:widowControl/>
      <w:numPr>
        <w:ilvl w:val="4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BF7E53"/>
    <w:pPr>
      <w:widowControl/>
      <w:numPr>
        <w:ilvl w:val="6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BF7E53"/>
    <w:pPr>
      <w:widowControl/>
      <w:numPr>
        <w:ilvl w:val="1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BF7E53"/>
    <w:pPr>
      <w:widowControl/>
      <w:numPr>
        <w:ilvl w:val="3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BF7E53"/>
    <w:pPr>
      <w:widowControl/>
      <w:numPr>
        <w:ilvl w:val="5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BF7E53"/>
    <w:pPr>
      <w:widowControl/>
      <w:numPr>
        <w:ilvl w:val="7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BF7E53"/>
    <w:pPr>
      <w:widowControl/>
      <w:numPr>
        <w:ilvl w:val="8"/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BF7E53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F7E53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F7E53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F7E53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F7E53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BF7E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BF7E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F7E53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BF7E53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F7E5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F7E5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F7E5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F7E5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F7E5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F7E5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BF7E5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BF7E5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F7E5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BF7E5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BF7E5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BF7E5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F7E5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BF7E5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BF7E5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F7E5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F7E5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F7E5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BF7E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F7E5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F7E5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F7E5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F7E5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F7E53"/>
    <w:pPr>
      <w:spacing w:before="240"/>
    </w:pPr>
  </w:style>
  <w:style w:type="paragraph" w:customStyle="1" w:styleId="Accordtitre">
    <w:name w:val="Accord titre"/>
    <w:basedOn w:val="Normal"/>
    <w:rsid w:val="00BF7E5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F7E5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F7E5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F7E5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F7E5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F7E53"/>
    <w:pPr>
      <w:spacing w:after="240"/>
    </w:pPr>
  </w:style>
  <w:style w:type="paragraph" w:customStyle="1" w:styleId="Annexetitre">
    <w:name w:val="Annexe titre"/>
    <w:basedOn w:val="Normal"/>
    <w:next w:val="Normal"/>
    <w:rsid w:val="00BF7E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BF7E5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BF7E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F7E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F7E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F7E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F7E5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F7E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F7E5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F7E5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F7E5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F7E5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F7E5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F7E5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F7E5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F7E5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F7E5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F7E5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F7E5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F7E5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F7E5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F7E5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F7E5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F7E5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F7E5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F7E5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F7E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F7E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BF7E5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r-HR" w:eastAsia="en-US"/>
    </w:rPr>
  </w:style>
  <w:style w:type="paragraph" w:customStyle="1" w:styleId="CommentFwdQuotedText">
    <w:name w:val="CommentFwdQuotedText"/>
    <w:basedOn w:val="Normal"/>
    <w:rsid w:val="00BF7E5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BF7E5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BF7E53"/>
    <w:rPr>
      <w:b/>
      <w:i/>
    </w:rPr>
  </w:style>
  <w:style w:type="character" w:customStyle="1" w:styleId="diff-tte-removed">
    <w:name w:val="diff-tte-removed"/>
    <w:rsid w:val="00BF7E53"/>
    <w:rPr>
      <w:strike/>
    </w:rPr>
  </w:style>
  <w:style w:type="paragraph" w:styleId="Revision">
    <w:name w:val="Revision"/>
    <w:hidden/>
    <w:uiPriority w:val="99"/>
    <w:semiHidden/>
    <w:rsid w:val="00BF7E53"/>
    <w:rPr>
      <w:rFonts w:eastAsia="Calibri"/>
      <w:sz w:val="24"/>
      <w:szCs w:val="22"/>
      <w:lang w:val="hr-HR" w:eastAsia="en-US"/>
    </w:rPr>
  </w:style>
  <w:style w:type="paragraph" w:customStyle="1" w:styleId="Norml">
    <w:name w:val="Norml"/>
    <w:basedOn w:val="ManualNumPar1"/>
    <w:rsid w:val="00BF7E53"/>
  </w:style>
  <w:style w:type="paragraph" w:customStyle="1" w:styleId="Txt2">
    <w:name w:val="Txt 2"/>
    <w:basedOn w:val="Text4"/>
    <w:rsid w:val="00BF7E53"/>
    <w:pPr>
      <w:ind w:left="1985"/>
    </w:pPr>
  </w:style>
  <w:style w:type="character" w:styleId="Emphasis">
    <w:name w:val="Emphasis"/>
    <w:uiPriority w:val="20"/>
    <w:qFormat/>
    <w:rsid w:val="00BF7E53"/>
    <w:rPr>
      <w:i/>
      <w:iCs/>
    </w:rPr>
  </w:style>
  <w:style w:type="paragraph" w:customStyle="1" w:styleId="title-doc-first">
    <w:name w:val="title-doc-first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oj-reference">
    <w:name w:val="title-doc-oj-reference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BF7E53"/>
  </w:style>
  <w:style w:type="paragraph" w:customStyle="1" w:styleId="title-article-norm">
    <w:name w:val="title-article-norm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BF7E53"/>
  </w:style>
  <w:style w:type="paragraph" w:customStyle="1" w:styleId="modref">
    <w:name w:val="modref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BF7E53"/>
  </w:style>
  <w:style w:type="character" w:customStyle="1" w:styleId="italics">
    <w:name w:val="italics"/>
    <w:basedOn w:val="DefaultParagraphFont"/>
    <w:rsid w:val="00BF7E53"/>
  </w:style>
  <w:style w:type="character" w:customStyle="1" w:styleId="expanded">
    <w:name w:val="expanded"/>
    <w:basedOn w:val="DefaultParagraphFont"/>
    <w:rsid w:val="00BF7E53"/>
  </w:style>
  <w:style w:type="paragraph" w:customStyle="1" w:styleId="Normal1">
    <w:name w:val="Normal1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BF7E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BF7E53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rsid w:val="00BF7E53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rsid w:val="00BF7E53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paragraph" w:styleId="ListParagraph">
    <w:name w:val="List Paragraph"/>
    <w:basedOn w:val="Normal"/>
    <w:uiPriority w:val="34"/>
    <w:qFormat/>
    <w:rsid w:val="00BF7E53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F7E53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6F2BE-2B6A-4658-AB2A-8B20E0AD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2024-04-30T13:14:00Z</dcterms:created>
  <dcterms:modified xsi:type="dcterms:W3CDTF">2024-04-30T13:14:00Z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