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A460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A4606" w:rsidRDefault="000842AD" w:rsidP="0010095E">
            <w:pPr>
              <w:pStyle w:val="EPName"/>
            </w:pPr>
            <w:r w:rsidRPr="009A4606">
              <w:t>Parlamento europeo</w:t>
            </w:r>
          </w:p>
          <w:p w:rsidR="00751A4A" w:rsidRPr="009A460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05133">
              <w:t>2019</w:t>
            </w:r>
            <w:r w:rsidRPr="009A4606">
              <w:t>-</w:t>
            </w:r>
            <w:r w:rsidRPr="0020513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A4606" w:rsidRDefault="00187494" w:rsidP="0010095E">
            <w:pPr>
              <w:pStyle w:val="EPLogo"/>
            </w:pPr>
            <w:r w:rsidRPr="009A460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A4606" w:rsidRDefault="00D058B8" w:rsidP="004C5D52">
      <w:pPr>
        <w:pStyle w:val="LineTop"/>
      </w:pPr>
    </w:p>
    <w:p w:rsidR="00680577" w:rsidRPr="009A4606" w:rsidRDefault="000842AD" w:rsidP="00680577">
      <w:pPr>
        <w:pStyle w:val="EPBodyTA1"/>
      </w:pPr>
      <w:r w:rsidRPr="009A4606">
        <w:t>TESTI APPROVATI</w:t>
      </w:r>
    </w:p>
    <w:p w:rsidR="00D058B8" w:rsidRPr="009A4606" w:rsidRDefault="00D058B8" w:rsidP="00D058B8">
      <w:pPr>
        <w:pStyle w:val="LineBottom"/>
      </w:pPr>
    </w:p>
    <w:p w:rsidR="000842AD" w:rsidRPr="009A4606" w:rsidRDefault="000842AD" w:rsidP="000842AD">
      <w:pPr>
        <w:pStyle w:val="ATHeading1"/>
      </w:pPr>
      <w:bookmarkStart w:id="0" w:name="TANumber"/>
      <w:r w:rsidRPr="009A4606">
        <w:t>P</w:t>
      </w:r>
      <w:r w:rsidRPr="00205133">
        <w:t>9</w:t>
      </w:r>
      <w:r w:rsidRPr="009A4606">
        <w:t>_TA(</w:t>
      </w:r>
      <w:r w:rsidRPr="00205133">
        <w:t>2024</w:t>
      </w:r>
      <w:r w:rsidRPr="009A4606">
        <w:t>)</w:t>
      </w:r>
      <w:r w:rsidRPr="00205133">
        <w:t>0</w:t>
      </w:r>
      <w:r w:rsidR="009A4606" w:rsidRPr="00205133">
        <w:t>101</w:t>
      </w:r>
      <w:bookmarkEnd w:id="0"/>
    </w:p>
    <w:p w:rsidR="000842AD" w:rsidRPr="009A4606" w:rsidRDefault="000842AD" w:rsidP="000842AD">
      <w:pPr>
        <w:pStyle w:val="ATHeading2"/>
      </w:pPr>
      <w:bookmarkStart w:id="1" w:name="title"/>
      <w:r w:rsidRPr="009A4606">
        <w:t>Indicazioni geografiche di vini, bevande spiritose e prodotti agricoli</w:t>
      </w:r>
      <w:bookmarkEnd w:id="1"/>
    </w:p>
    <w:p w:rsidR="000842AD" w:rsidRPr="009A4606" w:rsidRDefault="000842AD" w:rsidP="000842AD">
      <w:pPr>
        <w:rPr>
          <w:i/>
          <w:vanish/>
        </w:rPr>
      </w:pPr>
      <w:r w:rsidRPr="009A4606">
        <w:rPr>
          <w:i/>
        </w:rPr>
        <w:fldChar w:fldCharType="begin"/>
      </w:r>
      <w:r w:rsidRPr="009A4606">
        <w:rPr>
          <w:i/>
        </w:rPr>
        <w:instrText xml:space="preserve"> TC"(</w:instrText>
      </w:r>
      <w:bookmarkStart w:id="2" w:name="DocNumber"/>
      <w:r w:rsidRPr="009A4606">
        <w:rPr>
          <w:i/>
        </w:rPr>
        <w:instrText>A</w:instrText>
      </w:r>
      <w:r w:rsidRPr="00205133">
        <w:rPr>
          <w:i/>
        </w:rPr>
        <w:instrText>9</w:instrText>
      </w:r>
      <w:r w:rsidRPr="009A4606">
        <w:rPr>
          <w:i/>
        </w:rPr>
        <w:instrText>-</w:instrText>
      </w:r>
      <w:r w:rsidRPr="00205133">
        <w:rPr>
          <w:i/>
        </w:rPr>
        <w:instrText>0173</w:instrText>
      </w:r>
      <w:r w:rsidRPr="009A4606">
        <w:rPr>
          <w:i/>
        </w:rPr>
        <w:instrText>/</w:instrText>
      </w:r>
      <w:r w:rsidRPr="00205133">
        <w:rPr>
          <w:i/>
        </w:rPr>
        <w:instrText>2023</w:instrText>
      </w:r>
      <w:bookmarkEnd w:id="2"/>
      <w:r w:rsidRPr="009A4606">
        <w:rPr>
          <w:i/>
        </w:rPr>
        <w:instrText xml:space="preserve"> - Relatore: Paolo De Castro)"\l</w:instrText>
      </w:r>
      <w:r w:rsidRPr="00205133">
        <w:rPr>
          <w:i/>
        </w:rPr>
        <w:instrText>3</w:instrText>
      </w:r>
      <w:r w:rsidRPr="009A4606">
        <w:rPr>
          <w:i/>
        </w:rPr>
        <w:instrText xml:space="preserve"> \n&gt; \* MERGEFORMAT </w:instrText>
      </w:r>
      <w:r w:rsidRPr="009A4606">
        <w:rPr>
          <w:i/>
        </w:rPr>
        <w:fldChar w:fldCharType="end"/>
      </w:r>
    </w:p>
    <w:p w:rsidR="000842AD" w:rsidRPr="009A4606" w:rsidRDefault="000842AD" w:rsidP="000842AD">
      <w:pPr>
        <w:rPr>
          <w:vanish/>
        </w:rPr>
      </w:pPr>
      <w:bookmarkStart w:id="3" w:name="Commission"/>
      <w:r w:rsidRPr="009A4606">
        <w:rPr>
          <w:vanish/>
        </w:rPr>
        <w:t>Commissione per l'agricoltura e lo sviluppo rurale</w:t>
      </w:r>
      <w:bookmarkEnd w:id="3"/>
    </w:p>
    <w:p w:rsidR="000842AD" w:rsidRPr="009A4606" w:rsidRDefault="000842AD" w:rsidP="000842AD">
      <w:pPr>
        <w:rPr>
          <w:vanish/>
        </w:rPr>
      </w:pPr>
      <w:bookmarkStart w:id="4" w:name="PE"/>
      <w:r w:rsidRPr="009A4606">
        <w:rPr>
          <w:vanish/>
        </w:rPr>
        <w:t>PE</w:t>
      </w:r>
      <w:r w:rsidRPr="00205133">
        <w:rPr>
          <w:vanish/>
        </w:rPr>
        <w:t>736</w:t>
      </w:r>
      <w:r w:rsidRPr="009A4606">
        <w:rPr>
          <w:vanish/>
        </w:rPr>
        <w:t>.</w:t>
      </w:r>
      <w:r w:rsidRPr="00205133">
        <w:rPr>
          <w:vanish/>
        </w:rPr>
        <w:t>493</w:t>
      </w:r>
      <w:bookmarkEnd w:id="4"/>
    </w:p>
    <w:p w:rsidR="000842AD" w:rsidRPr="009A4606" w:rsidRDefault="000842AD" w:rsidP="000842AD">
      <w:pPr>
        <w:pStyle w:val="ATHeading3"/>
      </w:pPr>
      <w:bookmarkStart w:id="5" w:name="Sujet"/>
      <w:r w:rsidRPr="009A4606">
        <w:t xml:space="preserve">Risoluzione legislativa del Parlamento europeo del </w:t>
      </w:r>
      <w:r w:rsidR="00FD02C0" w:rsidRPr="00205133">
        <w:t>28</w:t>
      </w:r>
      <w:r w:rsidRPr="009A4606">
        <w:t xml:space="preserve"> febbraio </w:t>
      </w:r>
      <w:r w:rsidRPr="00205133">
        <w:t>2024</w:t>
      </w:r>
      <w:r w:rsidRPr="009A4606">
        <w:t xml:space="preserve"> sulla proposta di regolamento del Parlamento europeo e del Consiglio relativo alle indicazioni geografiche dell'Unione europea di vini, bevande spiritose e prodotti agricoli e ai regimi di qualità dei prodotti agricoli, che modifica i regolamenti (UE) n. </w:t>
      </w:r>
      <w:r w:rsidRPr="00205133">
        <w:t>1308</w:t>
      </w:r>
      <w:r w:rsidRPr="009A4606">
        <w:t>/</w:t>
      </w:r>
      <w:r w:rsidRPr="00205133">
        <w:t>2013</w:t>
      </w:r>
      <w:r w:rsidRPr="009A4606">
        <w:t xml:space="preserve">, (UE) </w:t>
      </w:r>
      <w:r w:rsidRPr="00205133">
        <w:t>2017</w:t>
      </w:r>
      <w:r w:rsidRPr="009A4606">
        <w:t>/</w:t>
      </w:r>
      <w:r w:rsidRPr="00205133">
        <w:t>1001</w:t>
      </w:r>
      <w:r w:rsidRPr="009A4606">
        <w:t xml:space="preserve"> e (UE) </w:t>
      </w:r>
      <w:r w:rsidRPr="00205133">
        <w:t>2019</w:t>
      </w:r>
      <w:r w:rsidRPr="009A4606">
        <w:t>/</w:t>
      </w:r>
      <w:r w:rsidRPr="00205133">
        <w:t>787</w:t>
      </w:r>
      <w:r w:rsidRPr="009A4606">
        <w:t xml:space="preserve"> e che abroga il regolamento (UE) n. </w:t>
      </w:r>
      <w:r w:rsidRPr="00205133">
        <w:t>1151</w:t>
      </w:r>
      <w:r w:rsidRPr="009A4606">
        <w:t>/</w:t>
      </w:r>
      <w:r w:rsidRPr="00205133">
        <w:t>2012</w:t>
      </w:r>
      <w:bookmarkEnd w:id="5"/>
      <w:r w:rsidRPr="009A4606">
        <w:t xml:space="preserve"> </w:t>
      </w:r>
      <w:bookmarkStart w:id="6" w:name="References"/>
      <w:r w:rsidRPr="009A4606">
        <w:t>(COM(</w:t>
      </w:r>
      <w:r w:rsidRPr="00205133">
        <w:t>2022</w:t>
      </w:r>
      <w:r w:rsidRPr="009A4606">
        <w:t>)</w:t>
      </w:r>
      <w:r w:rsidRPr="00205133">
        <w:t>0134</w:t>
      </w:r>
      <w:r w:rsidRPr="009A4606">
        <w:t xml:space="preserve"> – C</w:t>
      </w:r>
      <w:r w:rsidRPr="00205133">
        <w:t>9</w:t>
      </w:r>
      <w:r w:rsidRPr="009A4606">
        <w:t>-</w:t>
      </w:r>
      <w:r w:rsidRPr="00205133">
        <w:t>0130</w:t>
      </w:r>
      <w:r w:rsidRPr="009A4606">
        <w:t>/</w:t>
      </w:r>
      <w:r w:rsidRPr="00205133">
        <w:t>2022</w:t>
      </w:r>
      <w:r w:rsidRPr="009A4606">
        <w:t xml:space="preserve"> – </w:t>
      </w:r>
      <w:r w:rsidRPr="00205133">
        <w:t>2022</w:t>
      </w:r>
      <w:r w:rsidRPr="009A4606">
        <w:t>/</w:t>
      </w:r>
      <w:r w:rsidRPr="00205133">
        <w:t>0089</w:t>
      </w:r>
      <w:r w:rsidRPr="009A4606">
        <w:t>(COD))</w:t>
      </w:r>
      <w:bookmarkEnd w:id="6"/>
    </w:p>
    <w:p w:rsidR="00D232B9" w:rsidRPr="009A4606" w:rsidRDefault="00D232B9" w:rsidP="00D232B9">
      <w:pPr>
        <w:pStyle w:val="NormalBold"/>
      </w:pPr>
      <w:bookmarkStart w:id="7" w:name="TextBodyBegin"/>
      <w:bookmarkEnd w:id="7"/>
      <w:r w:rsidRPr="009A4606">
        <w:t>(Procedura legislativa ordinaria: prima lettura)</w:t>
      </w:r>
    </w:p>
    <w:p w:rsidR="00D232B9" w:rsidRPr="009A4606" w:rsidRDefault="00D232B9" w:rsidP="00D232B9">
      <w:pPr>
        <w:pStyle w:val="EPComma"/>
      </w:pPr>
      <w:r w:rsidRPr="009A4606">
        <w:rPr>
          <w:i/>
        </w:rPr>
        <w:t>Il Parlamento europeo</w:t>
      </w:r>
      <w:r w:rsidRPr="009A4606">
        <w:t>,</w:t>
      </w:r>
    </w:p>
    <w:p w:rsidR="00D232B9" w:rsidRPr="009A4606" w:rsidRDefault="00D232B9" w:rsidP="00D232B9">
      <w:pPr>
        <w:pStyle w:val="NormalHanging12a"/>
      </w:pPr>
      <w:r w:rsidRPr="009A4606">
        <w:t>–</w:t>
      </w:r>
      <w:r w:rsidRPr="009A4606">
        <w:tab/>
        <w:t>vista la proposta della Commissione al Parlamento europeo e al Consiglio (COM(</w:t>
      </w:r>
      <w:r w:rsidRPr="00205133">
        <w:t>2022</w:t>
      </w:r>
      <w:r w:rsidRPr="009A4606">
        <w:t>)</w:t>
      </w:r>
      <w:r w:rsidRPr="00205133">
        <w:t>0134</w:t>
      </w:r>
      <w:r w:rsidRPr="009A4606">
        <w:t>),</w:t>
      </w:r>
    </w:p>
    <w:p w:rsidR="00D232B9" w:rsidRPr="009A4606" w:rsidRDefault="00D232B9" w:rsidP="00D232B9">
      <w:pPr>
        <w:pStyle w:val="NormalHanging12a"/>
      </w:pPr>
      <w:r w:rsidRPr="009A4606">
        <w:t>–</w:t>
      </w:r>
      <w:r w:rsidRPr="009A4606">
        <w:tab/>
        <w:t xml:space="preserve">visti l'articolo </w:t>
      </w:r>
      <w:r w:rsidRPr="00205133">
        <w:t>294</w:t>
      </w:r>
      <w:r w:rsidRPr="009A4606">
        <w:t xml:space="preserve">, paragrafo </w:t>
      </w:r>
      <w:r w:rsidRPr="00205133">
        <w:t>2</w:t>
      </w:r>
      <w:r w:rsidRPr="009A4606">
        <w:t>, l'articolo </w:t>
      </w:r>
      <w:r w:rsidRPr="00205133">
        <w:t>43</w:t>
      </w:r>
      <w:r w:rsidRPr="009A4606">
        <w:t xml:space="preserve">, paragrafo </w:t>
      </w:r>
      <w:r w:rsidRPr="00205133">
        <w:t>2</w:t>
      </w:r>
      <w:r w:rsidRPr="009A4606">
        <w:t>, e l'articolo </w:t>
      </w:r>
      <w:r w:rsidRPr="00205133">
        <w:t>118</w:t>
      </w:r>
      <w:r w:rsidRPr="009A4606">
        <w:t>, paragrafo </w:t>
      </w:r>
      <w:r w:rsidRPr="00205133">
        <w:t>1</w:t>
      </w:r>
      <w:r w:rsidRPr="009A4606">
        <w:t>, del trattato sul funzionamento dell'Unione europea, a norma dei quali la proposta gli è stata presentata dalla Commissione (C</w:t>
      </w:r>
      <w:r w:rsidRPr="00205133">
        <w:t>9</w:t>
      </w:r>
      <w:r w:rsidRPr="009A4606">
        <w:noBreakHyphen/>
      </w:r>
      <w:r w:rsidRPr="00205133">
        <w:t>0130</w:t>
      </w:r>
      <w:r w:rsidRPr="009A4606">
        <w:t>/</w:t>
      </w:r>
      <w:r w:rsidRPr="00205133">
        <w:t>2022</w:t>
      </w:r>
      <w:r w:rsidRPr="009A4606">
        <w:t>),</w:t>
      </w:r>
    </w:p>
    <w:p w:rsidR="00D232B9" w:rsidRPr="009A4606" w:rsidRDefault="00D232B9" w:rsidP="00D232B9">
      <w:pPr>
        <w:pStyle w:val="NormalHanging12a"/>
      </w:pPr>
      <w:r w:rsidRPr="009A4606">
        <w:t>–</w:t>
      </w:r>
      <w:r w:rsidRPr="009A4606">
        <w:tab/>
        <w:t xml:space="preserve">visto l'articolo </w:t>
      </w:r>
      <w:r w:rsidRPr="00205133">
        <w:t>294</w:t>
      </w:r>
      <w:r w:rsidRPr="009A4606">
        <w:t xml:space="preserve">, paragrafo </w:t>
      </w:r>
      <w:r w:rsidRPr="00205133">
        <w:t>3</w:t>
      </w:r>
      <w:r w:rsidRPr="009A4606">
        <w:t>, del trattato sul funzionamento dell'Unione europea,</w:t>
      </w:r>
    </w:p>
    <w:p w:rsidR="00D232B9" w:rsidRPr="009A4606" w:rsidRDefault="00D232B9" w:rsidP="00D232B9">
      <w:pPr>
        <w:pStyle w:val="NormalHanging12a"/>
      </w:pPr>
      <w:r w:rsidRPr="009A4606">
        <w:t>–</w:t>
      </w:r>
      <w:r w:rsidRPr="009A4606">
        <w:tab/>
        <w:t xml:space="preserve">visto il parere del Comitato economico e sociale europeo del </w:t>
      </w:r>
      <w:r w:rsidRPr="00205133">
        <w:t>13</w:t>
      </w:r>
      <w:r w:rsidRPr="009A4606">
        <w:t xml:space="preserve"> luglio </w:t>
      </w:r>
      <w:r w:rsidRPr="00205133">
        <w:t>2022</w:t>
      </w:r>
      <w:r w:rsidRPr="009A4606">
        <w:rPr>
          <w:rStyle w:val="FootnoteReference"/>
        </w:rPr>
        <w:footnoteReference w:id="1"/>
      </w:r>
      <w:r w:rsidRPr="009A4606">
        <w:t>,</w:t>
      </w:r>
    </w:p>
    <w:p w:rsidR="00FD02C0" w:rsidRPr="009A4606" w:rsidRDefault="00FD02C0" w:rsidP="00D232B9">
      <w:pPr>
        <w:pStyle w:val="NormalHanging12a"/>
      </w:pPr>
      <w:r w:rsidRPr="009A4606">
        <w:t>–</w:t>
      </w:r>
      <w:r w:rsidRPr="009A4606">
        <w:tab/>
        <w:t xml:space="preserve">visto il parere del Comitato delle regioni del </w:t>
      </w:r>
      <w:r w:rsidRPr="00205133">
        <w:t>30</w:t>
      </w:r>
      <w:r w:rsidRPr="009A4606">
        <w:t xml:space="preserve"> novembre </w:t>
      </w:r>
      <w:r w:rsidRPr="00205133">
        <w:t>2022</w:t>
      </w:r>
      <w:r w:rsidRPr="009A4606">
        <w:rPr>
          <w:rStyle w:val="FootnoteReference"/>
        </w:rPr>
        <w:footnoteReference w:id="2"/>
      </w:r>
    </w:p>
    <w:p w:rsidR="00FD02C0" w:rsidRPr="009A4606" w:rsidRDefault="00FD02C0" w:rsidP="00FD02C0">
      <w:pPr>
        <w:pStyle w:val="Normal12Hanging"/>
        <w:ind w:left="567" w:hanging="567"/>
      </w:pPr>
      <w:r w:rsidRPr="009A4606">
        <w:t>–</w:t>
      </w:r>
      <w:r w:rsidRPr="009A4606">
        <w:tab/>
        <w:t xml:space="preserve">visti l'accordo provvisorio approvato dalla commissione competente a norma dell'articolo </w:t>
      </w:r>
      <w:r w:rsidRPr="00205133">
        <w:t>74</w:t>
      </w:r>
      <w:r w:rsidRPr="009A4606">
        <w:t xml:space="preserve">, paragrafo </w:t>
      </w:r>
      <w:r w:rsidRPr="00205133">
        <w:t>4</w:t>
      </w:r>
      <w:r w:rsidRPr="009A4606">
        <w:t xml:space="preserve">, del regolamento e l'impegno assunto dal rappresentante del Consiglio, con lettera del </w:t>
      </w:r>
      <w:r w:rsidRPr="00205133">
        <w:t>27</w:t>
      </w:r>
      <w:r w:rsidRPr="009A4606">
        <w:t xml:space="preserve"> novembre </w:t>
      </w:r>
      <w:r w:rsidRPr="00205133">
        <w:t>2023</w:t>
      </w:r>
      <w:r w:rsidRPr="009A4606">
        <w:t xml:space="preserve">, di approvare la posizione del Parlamento europeo, in conformità dell'articolo </w:t>
      </w:r>
      <w:r w:rsidRPr="00205133">
        <w:t>294</w:t>
      </w:r>
      <w:r w:rsidRPr="009A4606">
        <w:t xml:space="preserve">, paragrafo </w:t>
      </w:r>
      <w:r w:rsidRPr="00205133">
        <w:t>4</w:t>
      </w:r>
      <w:r w:rsidRPr="009A4606">
        <w:t>, del trattato sul funzionamento dell'Unione europea,</w:t>
      </w:r>
    </w:p>
    <w:p w:rsidR="00D232B9" w:rsidRPr="009A4606" w:rsidRDefault="00D232B9" w:rsidP="00D232B9">
      <w:pPr>
        <w:pStyle w:val="NormalHanging12a"/>
      </w:pPr>
      <w:r w:rsidRPr="009A4606">
        <w:t>–</w:t>
      </w:r>
      <w:r w:rsidRPr="009A4606">
        <w:tab/>
        <w:t xml:space="preserve">visto l'articolo </w:t>
      </w:r>
      <w:r w:rsidRPr="00205133">
        <w:t>59</w:t>
      </w:r>
      <w:r w:rsidRPr="009A4606">
        <w:t xml:space="preserve"> del suo regolamento,</w:t>
      </w:r>
    </w:p>
    <w:p w:rsidR="00D232B9" w:rsidRPr="009A4606" w:rsidRDefault="00D232B9" w:rsidP="00D232B9">
      <w:pPr>
        <w:pStyle w:val="NormalHanging12a"/>
        <w:rPr>
          <w:szCs w:val="24"/>
        </w:rPr>
      </w:pPr>
      <w:r w:rsidRPr="009A4606">
        <w:t>–</w:t>
      </w:r>
      <w:r w:rsidRPr="009A4606">
        <w:tab/>
        <w:t>visti i pareri della commissione giuridica e della commissione per il commercio internazionale,</w:t>
      </w:r>
    </w:p>
    <w:p w:rsidR="00D232B9" w:rsidRPr="009A4606" w:rsidRDefault="00D232B9" w:rsidP="00D232B9">
      <w:pPr>
        <w:pStyle w:val="NormalHanging12a"/>
        <w:rPr>
          <w:szCs w:val="24"/>
        </w:rPr>
      </w:pPr>
      <w:r w:rsidRPr="009A4606">
        <w:t>–</w:t>
      </w:r>
      <w:r w:rsidRPr="009A4606">
        <w:tab/>
        <w:t xml:space="preserve">vista la relazione della commissione per l'agricoltura e lo sviluppo rurale </w:t>
      </w:r>
      <w:r w:rsidRPr="009A4606">
        <w:lastRenderedPageBreak/>
        <w:t>(A</w:t>
      </w:r>
      <w:r w:rsidRPr="00205133">
        <w:t>9</w:t>
      </w:r>
      <w:r w:rsidRPr="009A4606">
        <w:t>‑</w:t>
      </w:r>
      <w:r w:rsidRPr="00205133">
        <w:t>0173</w:t>
      </w:r>
      <w:r w:rsidRPr="009A4606">
        <w:t>/</w:t>
      </w:r>
      <w:r w:rsidRPr="00205133">
        <w:t>2023</w:t>
      </w:r>
      <w:r w:rsidRPr="009A4606">
        <w:t>),</w:t>
      </w:r>
    </w:p>
    <w:p w:rsidR="00D232B9" w:rsidRPr="009A4606" w:rsidRDefault="00D232B9" w:rsidP="00D232B9">
      <w:pPr>
        <w:pStyle w:val="NormalHanging12a"/>
      </w:pPr>
      <w:r w:rsidRPr="00205133">
        <w:t>1</w:t>
      </w:r>
      <w:r w:rsidRPr="009A4606">
        <w:t>.</w:t>
      </w:r>
      <w:r w:rsidRPr="009A4606">
        <w:tab/>
        <w:t>adotta la posizione in prima lettura figurante in appresso</w:t>
      </w:r>
      <w:r w:rsidR="00E904F5" w:rsidRPr="009A4606">
        <w:rPr>
          <w:rStyle w:val="FootnoteReference"/>
        </w:rPr>
        <w:footnoteReference w:id="3"/>
      </w:r>
      <w:r w:rsidRPr="009A4606">
        <w:t>;</w:t>
      </w:r>
    </w:p>
    <w:p w:rsidR="00FD02C0" w:rsidRPr="009A4606" w:rsidRDefault="00FD02C0" w:rsidP="009A4606">
      <w:pPr>
        <w:pStyle w:val="Normal12Hanging"/>
        <w:widowControl/>
        <w:ind w:left="567" w:hanging="567"/>
      </w:pPr>
      <w:r w:rsidRPr="00205133">
        <w:t>2</w:t>
      </w:r>
      <w:r w:rsidRPr="009A4606">
        <w:t>.</w:t>
      </w:r>
      <w:r w:rsidRPr="009A4606">
        <w:tab/>
      </w:r>
      <w:r w:rsidR="009C651A" w:rsidRPr="009A4606">
        <w:rPr>
          <w:szCs w:val="24"/>
        </w:rPr>
        <w:t xml:space="preserve">approva la dichiarazione </w:t>
      </w:r>
      <w:r w:rsidR="001176E8" w:rsidRPr="009A4606">
        <w:rPr>
          <w:szCs w:val="24"/>
        </w:rPr>
        <w:t>comune</w:t>
      </w:r>
      <w:r w:rsidR="009C651A" w:rsidRPr="009A4606">
        <w:rPr>
          <w:szCs w:val="24"/>
        </w:rPr>
        <w:t xml:space="preserve"> del Parlamento europeo e del Consiglio allegata alla presente risoluzione;</w:t>
      </w:r>
    </w:p>
    <w:p w:rsidR="00D232B9" w:rsidRPr="009A4606" w:rsidRDefault="00FD02C0" w:rsidP="00D232B9">
      <w:pPr>
        <w:pStyle w:val="NormalHanging12a"/>
      </w:pPr>
      <w:r w:rsidRPr="00205133">
        <w:t>3</w:t>
      </w:r>
      <w:r w:rsidR="00D232B9" w:rsidRPr="009A4606">
        <w:t>.</w:t>
      </w:r>
      <w:r w:rsidR="00D232B9" w:rsidRPr="009A4606">
        <w:tab/>
        <w:t>chiede alla Commissione di presentargli nuovamente la proposta qualora la sostituisca, la modifichi sostanzialmente o intenda modificarla sostanzialmente;</w:t>
      </w:r>
    </w:p>
    <w:p w:rsidR="00FD02C0" w:rsidRPr="009A4606" w:rsidRDefault="00FD02C0" w:rsidP="00D232B9">
      <w:pPr>
        <w:pStyle w:val="NormalHanging12a"/>
        <w:sectPr w:rsidR="00FD02C0" w:rsidRPr="009A4606" w:rsidSect="00787EDA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205133">
        <w:t>4</w:t>
      </w:r>
      <w:r w:rsidR="00D232B9" w:rsidRPr="009A4606">
        <w:t>.</w:t>
      </w:r>
      <w:r w:rsidR="00D232B9" w:rsidRPr="009A4606">
        <w:tab/>
        <w:t>incarica la sua Presidente di trasmettere la posizione del Parlamento al Consiglio e alla Commissione nonché ai parlamenti nazionali.</w:t>
      </w:r>
    </w:p>
    <w:p w:rsidR="00FD02C0" w:rsidRPr="009A4606" w:rsidRDefault="00FD02C0" w:rsidP="00FD02C0">
      <w:pPr>
        <w:spacing w:after="240"/>
        <w:rPr>
          <w:b/>
        </w:rPr>
      </w:pPr>
      <w:r w:rsidRPr="009A4606">
        <w:rPr>
          <w:b/>
        </w:rPr>
        <w:lastRenderedPageBreak/>
        <w:t>P</w:t>
      </w:r>
      <w:r w:rsidRPr="00205133">
        <w:rPr>
          <w:b/>
        </w:rPr>
        <w:t>9</w:t>
      </w:r>
      <w:r w:rsidRPr="009A4606">
        <w:rPr>
          <w:b/>
        </w:rPr>
        <w:t>_TC</w:t>
      </w:r>
      <w:r w:rsidRPr="00205133">
        <w:rPr>
          <w:b/>
        </w:rPr>
        <w:t>1</w:t>
      </w:r>
      <w:r w:rsidRPr="009A4606">
        <w:rPr>
          <w:b/>
        </w:rPr>
        <w:t>-COD(</w:t>
      </w:r>
      <w:r w:rsidRPr="00205133">
        <w:rPr>
          <w:b/>
        </w:rPr>
        <w:t>2022</w:t>
      </w:r>
      <w:r w:rsidRPr="009A4606">
        <w:rPr>
          <w:b/>
        </w:rPr>
        <w:t>)</w:t>
      </w:r>
      <w:r w:rsidRPr="00205133">
        <w:rPr>
          <w:b/>
        </w:rPr>
        <w:t>0089</w:t>
      </w:r>
    </w:p>
    <w:p w:rsidR="00FD02C0" w:rsidRDefault="00FD02C0" w:rsidP="009C651A">
      <w:pPr>
        <w:spacing w:before="120" w:after="360"/>
        <w:rPr>
          <w:rFonts w:eastAsia="Calibri"/>
          <w:b/>
          <w:szCs w:val="24"/>
          <w:lang w:eastAsia="en-US"/>
        </w:rPr>
      </w:pPr>
      <w:r w:rsidRPr="009A4606">
        <w:rPr>
          <w:b/>
        </w:rPr>
        <w:t xml:space="preserve">Posizione del Parlamento europeo definita in prima lettura il </w:t>
      </w:r>
      <w:r w:rsidRPr="00205133">
        <w:rPr>
          <w:b/>
        </w:rPr>
        <w:t>28</w:t>
      </w:r>
      <w:r w:rsidRPr="009A4606">
        <w:rPr>
          <w:b/>
        </w:rPr>
        <w:t xml:space="preserve"> febbraio </w:t>
      </w:r>
      <w:r w:rsidRPr="00205133">
        <w:rPr>
          <w:b/>
        </w:rPr>
        <w:t>2024</w:t>
      </w:r>
      <w:r w:rsidRPr="009A4606">
        <w:rPr>
          <w:b/>
        </w:rPr>
        <w:t xml:space="preserve"> in vista dell'adozione del regolamento (UE) </w:t>
      </w:r>
      <w:r w:rsidRPr="00205133">
        <w:rPr>
          <w:b/>
        </w:rPr>
        <w:t>2024</w:t>
      </w:r>
      <w:r w:rsidRPr="009A4606">
        <w:rPr>
          <w:b/>
        </w:rPr>
        <w:t xml:space="preserve">/... del Parlamento europeo e del Consiglio </w:t>
      </w:r>
      <w:r w:rsidRPr="009A4606">
        <w:rPr>
          <w:rFonts w:eastAsia="Calibri"/>
          <w:b/>
          <w:szCs w:val="24"/>
          <w:lang w:eastAsia="en-US"/>
        </w:rPr>
        <w:t>relativo alle indicazioni geografiche dei vini, delle bevande spiritose e dei prodotti agricoli</w:t>
      </w:r>
      <w:r w:rsidRPr="009A4606">
        <w:rPr>
          <w:rFonts w:eastAsia="Calibri"/>
          <w:i/>
          <w:szCs w:val="24"/>
          <w:lang w:eastAsia="en-US"/>
        </w:rPr>
        <w:t xml:space="preserve">, </w:t>
      </w:r>
      <w:r w:rsidRPr="005E2B1B">
        <w:rPr>
          <w:rFonts w:eastAsia="Calibri"/>
          <w:b/>
          <w:szCs w:val="24"/>
          <w:lang w:eastAsia="en-US"/>
        </w:rPr>
        <w:t>nonché alle specialità tradizionali garantite e alle indicazioni facoltative di qualità per i prodotti agricoli, che modifica i regolamenti (UE) n. 1308/2013, (UE) 2019/787 e (UE) 2019/1753 e che abroga il regolamento (UE) n. 1151/2012</w:t>
      </w:r>
    </w:p>
    <w:p w:rsidR="005E2B1B" w:rsidRDefault="005E2B1B" w:rsidP="009C651A">
      <w:pPr>
        <w:spacing w:before="120" w:after="360"/>
        <w:rPr>
          <w:rFonts w:eastAsia="Calibri"/>
          <w:b/>
          <w:szCs w:val="24"/>
          <w:lang w:eastAsia="en-US"/>
        </w:rPr>
      </w:pPr>
    </w:p>
    <w:p w:rsidR="009C651A" w:rsidRPr="009A4606" w:rsidRDefault="005E2B1B" w:rsidP="005E2B1B">
      <w:pPr>
        <w:widowControl/>
        <w:jc w:val="both"/>
        <w:rPr>
          <w:rFonts w:eastAsia="Calibri"/>
          <w:szCs w:val="24"/>
          <w:lang w:eastAsia="en-US"/>
        </w:rPr>
        <w:sectPr w:rsidR="009C651A" w:rsidRPr="009A4606" w:rsidSect="00787ED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5E2B1B">
        <w:rPr>
          <w:i/>
          <w:szCs w:val="24"/>
        </w:rPr>
        <w:t>(Dato l'accordo tra il Parlamento e il Consiglio, la posizione del Parlamento corrisponde all'atto legislativo finale, il regolamento (UE) 2024/</w:t>
      </w:r>
      <w:r>
        <w:rPr>
          <w:i/>
          <w:szCs w:val="24"/>
        </w:rPr>
        <w:t>1143</w:t>
      </w:r>
      <w:r w:rsidRPr="005E2B1B">
        <w:rPr>
          <w:i/>
          <w:szCs w:val="24"/>
        </w:rPr>
        <w:t>)</w:t>
      </w:r>
      <w:r>
        <w:rPr>
          <w:i/>
          <w:szCs w:val="24"/>
        </w:rPr>
        <w:t>.</w:t>
      </w:r>
    </w:p>
    <w:p w:rsidR="009C651A" w:rsidRPr="009A4606" w:rsidRDefault="009C651A" w:rsidP="009C651A">
      <w:pPr>
        <w:spacing w:before="120" w:after="120" w:line="360" w:lineRule="auto"/>
        <w:jc w:val="right"/>
      </w:pPr>
      <w:r w:rsidRPr="009A4606">
        <w:lastRenderedPageBreak/>
        <w:t>ALLEGATO ALLA RISOLUZIONE LEGISLATIVA</w:t>
      </w:r>
    </w:p>
    <w:p w:rsidR="009C651A" w:rsidRPr="009A4606" w:rsidRDefault="009C651A" w:rsidP="009C651A">
      <w:pPr>
        <w:spacing w:before="120" w:after="120" w:line="360" w:lineRule="auto"/>
        <w:jc w:val="center"/>
        <w:rPr>
          <w:b/>
          <w:bCs/>
        </w:rPr>
      </w:pPr>
      <w:r w:rsidRPr="009A4606">
        <w:rPr>
          <w:b/>
        </w:rPr>
        <w:t xml:space="preserve">Dichiarazione comune del Parlamento europeo e del Consiglio in occasione dell’adozione del regolamento (UE) </w:t>
      </w:r>
      <w:r w:rsidRPr="00205133">
        <w:rPr>
          <w:b/>
        </w:rPr>
        <w:t>2024</w:t>
      </w:r>
      <w:r w:rsidR="005E2B1B">
        <w:rPr>
          <w:b/>
        </w:rPr>
        <w:t>/1143</w:t>
      </w:r>
      <w:r w:rsidR="005E2B1B">
        <w:rPr>
          <w:rStyle w:val="FootnoteReference"/>
          <w:b/>
        </w:rPr>
        <w:footnoteReference w:id="4"/>
      </w:r>
    </w:p>
    <w:p w:rsidR="009C651A" w:rsidRPr="009A4606" w:rsidRDefault="009C651A" w:rsidP="009C651A">
      <w:pPr>
        <w:spacing w:before="120" w:after="120" w:line="360" w:lineRule="auto"/>
      </w:pPr>
      <w:r w:rsidRPr="009A4606">
        <w:t>Il Parlamento europeo e il Consiglio sottolineano che tutte le procedure relative alle indicazioni geografiche disciplinate dal presente regolamento restano di esclusiva responsabilità della Commissione.</w:t>
      </w:r>
    </w:p>
    <w:p w:rsidR="009C651A" w:rsidRPr="009A4606" w:rsidRDefault="009C651A" w:rsidP="009C651A">
      <w:pPr>
        <w:spacing w:before="120" w:after="120" w:line="360" w:lineRule="auto"/>
      </w:pPr>
      <w:r w:rsidRPr="009A4606">
        <w:t>Il Parlamento europeo e il Consiglio rilevano che la Commissione può essere assistita, solo per quanto riguarda l'esecuzione di compiti amministrativi, se e nella misura in cui ciò sia possibile ai sensi del quadro giuridico vigente.</w:t>
      </w:r>
    </w:p>
    <w:p w:rsidR="009C651A" w:rsidRPr="009A4606" w:rsidRDefault="009C651A" w:rsidP="009C651A">
      <w:pPr>
        <w:spacing w:before="120" w:after="120" w:line="360" w:lineRule="auto"/>
      </w:pPr>
      <w:r w:rsidRPr="009A4606">
        <w:t>A fini di trasparenza, si esorta la Commissione a informare ogni anno il Parlamento europeo e il Consiglio in merito all'assistenza ricevuta nell'esecuzione di tali compiti.</w:t>
      </w:r>
    </w:p>
    <w:p w:rsidR="00FD02C0" w:rsidRPr="009A4606" w:rsidRDefault="00FD02C0" w:rsidP="00FD02C0">
      <w:pPr>
        <w:widowControl/>
        <w:spacing w:before="120" w:after="120" w:line="360" w:lineRule="auto"/>
        <w:rPr>
          <w:rFonts w:eastAsia="Calibri"/>
          <w:szCs w:val="24"/>
          <w:lang w:eastAsia="en-US"/>
        </w:rPr>
      </w:pPr>
    </w:p>
    <w:p w:rsidR="00E365E1" w:rsidRPr="009A4606" w:rsidRDefault="00E365E1" w:rsidP="00FD02C0">
      <w:pPr>
        <w:spacing w:before="240" w:after="240"/>
        <w:jc w:val="right"/>
        <w:rPr>
          <w:szCs w:val="24"/>
        </w:rPr>
      </w:pPr>
      <w:bookmarkStart w:id="8" w:name="_GoBack"/>
      <w:bookmarkEnd w:id="8"/>
    </w:p>
    <w:sectPr w:rsidR="00E365E1" w:rsidRPr="009A4606" w:rsidSect="00787ED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2AD" w:rsidRPr="00787EDA" w:rsidRDefault="000842AD">
      <w:r w:rsidRPr="00787EDA">
        <w:separator/>
      </w:r>
    </w:p>
  </w:endnote>
  <w:endnote w:type="continuationSeparator" w:id="0">
    <w:p w:rsidR="000842AD" w:rsidRPr="00787EDA" w:rsidRDefault="000842AD">
      <w:r w:rsidRPr="00787E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2B9" w:rsidRPr="00787EDA" w:rsidRDefault="00D232B9" w:rsidP="008F2FBA">
    <w:pPr>
      <w:pStyle w:val="EPFooter"/>
    </w:pPr>
    <w:r w:rsidRPr="00787EDA">
      <w:t>PE</w:t>
    </w:r>
    <w:r w:rsidRPr="00787EDA">
      <w:rPr>
        <w:rStyle w:val="HideTWBExt"/>
      </w:rPr>
      <w:t>&lt;NoPE&gt;</w:t>
    </w:r>
    <w:r w:rsidRPr="00787EDA">
      <w:t>736.493</w:t>
    </w:r>
    <w:r w:rsidRPr="00787EDA">
      <w:rPr>
        <w:rStyle w:val="HideTWBExt"/>
      </w:rPr>
      <w:t>&lt;/NoPE&gt;&lt;Version&gt;</w:t>
    </w:r>
    <w:r w:rsidRPr="00787EDA">
      <w:t>v02-00</w:t>
    </w:r>
    <w:r w:rsidRPr="00787EDA">
      <w:rPr>
        <w:rStyle w:val="HideTWBExt"/>
      </w:rPr>
      <w:t>&lt;/Version&gt;</w:t>
    </w:r>
    <w:r w:rsidRPr="00787EDA">
      <w:tab/>
    </w:r>
    <w:r w:rsidRPr="00787EDA">
      <w:fldChar w:fldCharType="begin"/>
    </w:r>
    <w:r w:rsidRPr="00787EDA">
      <w:instrText xml:space="preserve"> PAGE  \* MERGEFORMAT </w:instrText>
    </w:r>
    <w:r w:rsidRPr="00787EDA">
      <w:fldChar w:fldCharType="separate"/>
    </w:r>
    <w:r w:rsidR="00787EDA" w:rsidRPr="00787EDA">
      <w:rPr>
        <w:noProof/>
      </w:rPr>
      <w:t>2</w:t>
    </w:r>
    <w:r w:rsidRPr="00787EDA">
      <w:fldChar w:fldCharType="end"/>
    </w:r>
    <w:r w:rsidRPr="00787EDA">
      <w:t>/</w:t>
    </w:r>
    <w:r w:rsidR="00ED56EA">
      <w:fldChar w:fldCharType="begin"/>
    </w:r>
    <w:r w:rsidR="00ED56EA">
      <w:instrText xml:space="preserve"> NUMPAGES  \* MERGEFORMAT </w:instrText>
    </w:r>
    <w:r w:rsidR="00ED56EA">
      <w:fldChar w:fldCharType="separate"/>
    </w:r>
    <w:r w:rsidR="00787EDA" w:rsidRPr="00787EDA">
      <w:rPr>
        <w:noProof/>
      </w:rPr>
      <w:t>142</w:t>
    </w:r>
    <w:r w:rsidR="00ED56EA">
      <w:rPr>
        <w:noProof/>
      </w:rPr>
      <w:fldChar w:fldCharType="end"/>
    </w:r>
    <w:r w:rsidRPr="00787EDA">
      <w:tab/>
    </w:r>
    <w:r w:rsidRPr="00787EDA">
      <w:rPr>
        <w:rStyle w:val="HideTWBExt"/>
      </w:rPr>
      <w:t>&lt;PathFdR&gt;</w:t>
    </w:r>
    <w:r w:rsidRPr="00787EDA">
      <w:t>RR\1278103IT.docx</w:t>
    </w:r>
    <w:r w:rsidRPr="00787EDA">
      <w:rPr>
        <w:rStyle w:val="HideTWBExt"/>
      </w:rPr>
      <w:t>&lt;/PathFdR&gt;</w:t>
    </w:r>
  </w:p>
  <w:p w:rsidR="00D232B9" w:rsidRPr="00787EDA" w:rsidRDefault="00D232B9" w:rsidP="008F2FBA">
    <w:pPr>
      <w:pStyle w:val="EPFooter2"/>
    </w:pPr>
    <w:r w:rsidRPr="00787EDA">
      <w:t>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2B9" w:rsidRPr="00787EDA" w:rsidRDefault="00D232B9" w:rsidP="008F2FBA">
    <w:pPr>
      <w:pStyle w:val="EPFooter"/>
    </w:pPr>
    <w:r w:rsidRPr="00787EDA">
      <w:rPr>
        <w:rStyle w:val="HideTWBExt"/>
      </w:rPr>
      <w:t>&lt;PathFdR&gt;</w:t>
    </w:r>
    <w:r w:rsidRPr="00787EDA">
      <w:t>RR\1278103IT.docx</w:t>
    </w:r>
    <w:r w:rsidRPr="00787EDA">
      <w:rPr>
        <w:rStyle w:val="HideTWBExt"/>
      </w:rPr>
      <w:t>&lt;/PathFdR&gt;</w:t>
    </w:r>
    <w:r w:rsidRPr="00787EDA">
      <w:tab/>
    </w:r>
    <w:r w:rsidRPr="00787EDA">
      <w:tab/>
      <w:t>PE</w:t>
    </w:r>
    <w:r w:rsidRPr="00787EDA">
      <w:rPr>
        <w:rStyle w:val="HideTWBExt"/>
      </w:rPr>
      <w:t>&lt;NoPE&gt;</w:t>
    </w:r>
    <w:r w:rsidRPr="00787EDA">
      <w:t>736.493</w:t>
    </w:r>
    <w:r w:rsidRPr="00787EDA">
      <w:rPr>
        <w:rStyle w:val="HideTWBExt"/>
      </w:rPr>
      <w:t>&lt;/NoPE&gt;&lt;Version&gt;</w:t>
    </w:r>
    <w:r w:rsidRPr="00787EDA">
      <w:t>v02-00</w:t>
    </w:r>
    <w:r w:rsidRPr="00787EDA">
      <w:rPr>
        <w:rStyle w:val="HideTWBExt"/>
      </w:rPr>
      <w:t>&lt;/Version&gt;</w:t>
    </w:r>
  </w:p>
  <w:p w:rsidR="00D232B9" w:rsidRPr="00787EDA" w:rsidRDefault="00D232B9" w:rsidP="008F2FBA">
    <w:pPr>
      <w:pStyle w:val="EPFooter2"/>
    </w:pPr>
    <w:r w:rsidRPr="00787EDA">
      <w:t>IT</w:t>
    </w:r>
    <w:r w:rsidRPr="00787EDA">
      <w:tab/>
    </w:r>
    <w:r w:rsidRPr="00787EDA">
      <w:rPr>
        <w:b w:val="0"/>
        <w:i/>
        <w:color w:val="C0C0C0"/>
        <w:sz w:val="22"/>
      </w:rPr>
      <w:t>Unita nella diversità</w:t>
    </w:r>
    <w:r w:rsidRPr="00787EDA">
      <w:tab/>
      <w:t>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87EDA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87EDA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87ED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2AD" w:rsidRPr="00787EDA" w:rsidRDefault="000842AD">
      <w:r w:rsidRPr="00787EDA">
        <w:separator/>
      </w:r>
    </w:p>
  </w:footnote>
  <w:footnote w:type="continuationSeparator" w:id="0">
    <w:p w:rsidR="000842AD" w:rsidRPr="00787EDA" w:rsidRDefault="000842AD">
      <w:r w:rsidRPr="00787EDA">
        <w:continuationSeparator/>
      </w:r>
    </w:p>
  </w:footnote>
  <w:footnote w:id="1">
    <w:p w:rsidR="00D232B9" w:rsidRPr="00D2185C" w:rsidRDefault="00D232B9" w:rsidP="00787EDA">
      <w:pPr>
        <w:pStyle w:val="FootnoteText"/>
        <w:ind w:left="567" w:hanging="567"/>
        <w:rPr>
          <w:sz w:val="24"/>
          <w:lang w:val="it-IT"/>
        </w:rPr>
      </w:pPr>
      <w:r w:rsidRPr="00787EDA">
        <w:rPr>
          <w:rStyle w:val="FootnoteReference"/>
          <w:sz w:val="24"/>
          <w:lang w:val="it-IT"/>
        </w:rPr>
        <w:footnoteRef/>
      </w:r>
      <w:r w:rsidR="00787EDA" w:rsidRPr="00D2185C">
        <w:rPr>
          <w:sz w:val="24"/>
          <w:lang w:val="it-IT"/>
        </w:rPr>
        <w:t xml:space="preserve"> </w:t>
      </w:r>
      <w:r w:rsidR="00787EDA" w:rsidRPr="00D2185C">
        <w:rPr>
          <w:sz w:val="24"/>
          <w:lang w:val="it-IT"/>
        </w:rPr>
        <w:tab/>
      </w:r>
      <w:r w:rsidRPr="00D2185C">
        <w:rPr>
          <w:sz w:val="24"/>
          <w:lang w:val="it-IT"/>
        </w:rPr>
        <w:t xml:space="preserve">GU C </w:t>
      </w:r>
      <w:r w:rsidRPr="00205133">
        <w:rPr>
          <w:sz w:val="24"/>
          <w:lang w:val="it-IT"/>
        </w:rPr>
        <w:t>443</w:t>
      </w:r>
      <w:r w:rsidRPr="00D2185C">
        <w:rPr>
          <w:sz w:val="24"/>
          <w:lang w:val="it-IT"/>
        </w:rPr>
        <w:t xml:space="preserve"> del </w:t>
      </w:r>
      <w:r w:rsidRPr="00205133">
        <w:rPr>
          <w:sz w:val="24"/>
          <w:lang w:val="it-IT"/>
        </w:rPr>
        <w:t>22</w:t>
      </w:r>
      <w:r w:rsidRPr="00D2185C">
        <w:rPr>
          <w:sz w:val="24"/>
          <w:lang w:val="it-IT"/>
        </w:rPr>
        <w:t>.</w:t>
      </w:r>
      <w:r w:rsidRPr="00205133">
        <w:rPr>
          <w:sz w:val="24"/>
          <w:lang w:val="it-IT"/>
        </w:rPr>
        <w:t>11</w:t>
      </w:r>
      <w:r w:rsidRPr="00D2185C">
        <w:rPr>
          <w:sz w:val="24"/>
          <w:lang w:val="it-IT"/>
        </w:rPr>
        <w:t>.</w:t>
      </w:r>
      <w:r w:rsidRPr="00205133">
        <w:rPr>
          <w:sz w:val="24"/>
          <w:lang w:val="it-IT"/>
        </w:rPr>
        <w:t>2022</w:t>
      </w:r>
      <w:r w:rsidRPr="00D2185C">
        <w:rPr>
          <w:sz w:val="24"/>
          <w:lang w:val="it-IT"/>
        </w:rPr>
        <w:t xml:space="preserve">, pag. </w:t>
      </w:r>
      <w:r w:rsidRPr="00205133">
        <w:rPr>
          <w:sz w:val="24"/>
          <w:lang w:val="it-IT"/>
        </w:rPr>
        <w:t>116</w:t>
      </w:r>
      <w:r w:rsidRPr="00D2185C">
        <w:rPr>
          <w:sz w:val="24"/>
          <w:lang w:val="it-IT"/>
        </w:rPr>
        <w:t>.</w:t>
      </w:r>
    </w:p>
  </w:footnote>
  <w:footnote w:id="2">
    <w:p w:rsidR="00FD02C0" w:rsidRPr="009A4606" w:rsidRDefault="00FD02C0" w:rsidP="009A4606">
      <w:pPr>
        <w:pStyle w:val="FootnoteText"/>
        <w:ind w:left="567" w:hanging="567"/>
        <w:rPr>
          <w:lang w:val="it-IT"/>
        </w:rPr>
      </w:pPr>
      <w:r>
        <w:rPr>
          <w:rStyle w:val="FootnoteReference"/>
        </w:rPr>
        <w:footnoteRef/>
      </w:r>
      <w:r w:rsidRPr="009A4606">
        <w:rPr>
          <w:lang w:val="it-IT"/>
        </w:rPr>
        <w:t xml:space="preserve"> </w:t>
      </w:r>
      <w:r w:rsidRPr="00D2185C">
        <w:rPr>
          <w:lang w:val="it-IT"/>
        </w:rPr>
        <w:tab/>
      </w:r>
      <w:r w:rsidRPr="009A4606">
        <w:rPr>
          <w:sz w:val="24"/>
          <w:lang w:val="it-IT"/>
        </w:rPr>
        <w:t xml:space="preserve">GU C </w:t>
      </w:r>
      <w:r w:rsidRPr="00205133">
        <w:rPr>
          <w:sz w:val="24"/>
          <w:lang w:val="it-IT"/>
        </w:rPr>
        <w:t>79</w:t>
      </w:r>
      <w:r w:rsidRPr="009A4606">
        <w:rPr>
          <w:sz w:val="24"/>
          <w:lang w:val="it-IT"/>
        </w:rPr>
        <w:t xml:space="preserve"> del </w:t>
      </w:r>
      <w:r w:rsidRPr="00205133">
        <w:rPr>
          <w:sz w:val="24"/>
          <w:lang w:val="it-IT"/>
        </w:rPr>
        <w:t>2</w:t>
      </w:r>
      <w:r w:rsidRPr="009A4606">
        <w:rPr>
          <w:sz w:val="24"/>
          <w:lang w:val="it-IT"/>
        </w:rPr>
        <w:t>.</w:t>
      </w:r>
      <w:r w:rsidRPr="00205133">
        <w:rPr>
          <w:sz w:val="24"/>
          <w:lang w:val="it-IT"/>
        </w:rPr>
        <w:t>3</w:t>
      </w:r>
      <w:r w:rsidRPr="009A4606">
        <w:rPr>
          <w:sz w:val="24"/>
          <w:lang w:val="it-IT"/>
        </w:rPr>
        <w:t>.</w:t>
      </w:r>
      <w:r w:rsidRPr="00205133">
        <w:rPr>
          <w:sz w:val="24"/>
          <w:lang w:val="it-IT"/>
        </w:rPr>
        <w:t>2023</w:t>
      </w:r>
      <w:r w:rsidRPr="009A4606">
        <w:rPr>
          <w:sz w:val="24"/>
          <w:lang w:val="it-IT"/>
        </w:rPr>
        <w:t xml:space="preserve">, pag. </w:t>
      </w:r>
      <w:r w:rsidRPr="00205133">
        <w:rPr>
          <w:sz w:val="24"/>
          <w:lang w:val="it-IT"/>
        </w:rPr>
        <w:t>74</w:t>
      </w:r>
      <w:r w:rsidRPr="009A4606">
        <w:rPr>
          <w:sz w:val="24"/>
          <w:lang w:val="it-IT"/>
        </w:rPr>
        <w:t>.</w:t>
      </w:r>
    </w:p>
  </w:footnote>
  <w:footnote w:id="3">
    <w:p w:rsidR="00E904F5" w:rsidRPr="009A4606" w:rsidRDefault="00E904F5" w:rsidP="009A4606">
      <w:pPr>
        <w:pStyle w:val="FootnoteText"/>
        <w:ind w:left="567" w:hanging="567"/>
        <w:rPr>
          <w:lang w:val="it-IT"/>
        </w:rPr>
      </w:pPr>
      <w:r>
        <w:rPr>
          <w:rStyle w:val="FootnoteReference"/>
        </w:rPr>
        <w:footnoteRef/>
      </w:r>
      <w:r w:rsidRPr="009A4606">
        <w:rPr>
          <w:lang w:val="it-IT"/>
        </w:rPr>
        <w:t xml:space="preserve"> </w:t>
      </w:r>
      <w:r>
        <w:rPr>
          <w:lang w:val="it-IT"/>
        </w:rPr>
        <w:tab/>
      </w:r>
      <w:r w:rsidRPr="007E7EAD">
        <w:rPr>
          <w:sz w:val="24"/>
          <w:szCs w:val="24"/>
          <w:lang w:val="it-IT"/>
        </w:rPr>
        <w:t xml:space="preserve">La presente </w:t>
      </w:r>
      <w:r w:rsidRPr="00E904F5">
        <w:rPr>
          <w:sz w:val="24"/>
          <w:szCs w:val="24"/>
          <w:lang w:val="it-IT"/>
        </w:rPr>
        <w:t xml:space="preserve">posizione </w:t>
      </w:r>
      <w:r w:rsidRPr="009A4606">
        <w:rPr>
          <w:sz w:val="24"/>
          <w:szCs w:val="24"/>
          <w:lang w:val="it-IT"/>
        </w:rPr>
        <w:t>sostituisce</w:t>
      </w:r>
      <w:r w:rsidRPr="00E904F5">
        <w:rPr>
          <w:sz w:val="24"/>
          <w:szCs w:val="24"/>
          <w:lang w:val="it-IT"/>
        </w:rPr>
        <w:t xml:space="preserve"> gli emendamenti approvati il </w:t>
      </w:r>
      <w:r w:rsidRPr="00205133">
        <w:rPr>
          <w:sz w:val="24"/>
          <w:szCs w:val="24"/>
          <w:lang w:val="it-IT"/>
        </w:rPr>
        <w:t>1</w:t>
      </w:r>
      <w:r>
        <w:rPr>
          <w:sz w:val="24"/>
          <w:szCs w:val="24"/>
          <w:lang w:val="it-IT"/>
        </w:rPr>
        <w:t xml:space="preserve"> giugno </w:t>
      </w:r>
      <w:r w:rsidRPr="00205133">
        <w:rPr>
          <w:sz w:val="24"/>
          <w:szCs w:val="24"/>
          <w:lang w:val="it-IT"/>
        </w:rPr>
        <w:t>2023</w:t>
      </w:r>
      <w:r w:rsidRPr="00E904F5">
        <w:rPr>
          <w:sz w:val="28"/>
          <w:szCs w:val="24"/>
          <w:lang w:val="it-IT"/>
        </w:rPr>
        <w:t xml:space="preserve"> </w:t>
      </w:r>
      <w:r w:rsidRPr="00E904F5">
        <w:rPr>
          <w:sz w:val="24"/>
          <w:szCs w:val="24"/>
          <w:lang w:val="it-IT"/>
        </w:rPr>
        <w:t>(Testi approvati, P</w:t>
      </w:r>
      <w:r w:rsidRPr="00205133">
        <w:rPr>
          <w:sz w:val="24"/>
          <w:szCs w:val="24"/>
          <w:lang w:val="it-IT"/>
        </w:rPr>
        <w:t>9</w:t>
      </w:r>
      <w:r w:rsidRPr="00E904F5">
        <w:rPr>
          <w:sz w:val="24"/>
          <w:szCs w:val="24"/>
          <w:lang w:val="it-IT"/>
        </w:rPr>
        <w:t>_TA(</w:t>
      </w:r>
      <w:r w:rsidRPr="00205133">
        <w:rPr>
          <w:sz w:val="24"/>
          <w:szCs w:val="24"/>
          <w:lang w:val="it-IT"/>
        </w:rPr>
        <w:t>2023</w:t>
      </w:r>
      <w:r>
        <w:rPr>
          <w:sz w:val="24"/>
          <w:szCs w:val="24"/>
          <w:lang w:val="it-IT"/>
        </w:rPr>
        <w:t>)</w:t>
      </w:r>
      <w:r w:rsidRPr="00205133">
        <w:rPr>
          <w:sz w:val="24"/>
          <w:szCs w:val="24"/>
          <w:lang w:val="it-IT"/>
        </w:rPr>
        <w:t>0210</w:t>
      </w:r>
      <w:r>
        <w:rPr>
          <w:sz w:val="24"/>
          <w:szCs w:val="24"/>
          <w:lang w:val="it-IT"/>
        </w:rPr>
        <w:t>)</w:t>
      </w:r>
      <w:r w:rsidRPr="007E7EAD">
        <w:rPr>
          <w:sz w:val="24"/>
          <w:szCs w:val="24"/>
          <w:lang w:val="it-IT"/>
        </w:rPr>
        <w:t>.</w:t>
      </w:r>
    </w:p>
  </w:footnote>
  <w:footnote w:id="4">
    <w:p w:rsidR="005E2B1B" w:rsidRPr="005E2B1B" w:rsidRDefault="005E2B1B">
      <w:pPr>
        <w:pStyle w:val="FootnoteText"/>
        <w:rPr>
          <w:lang w:val="fi-FI"/>
        </w:rPr>
      </w:pPr>
      <w:r>
        <w:rPr>
          <w:rStyle w:val="FootnoteReference"/>
        </w:rPr>
        <w:footnoteRef/>
      </w:r>
      <w:r w:rsidRPr="005E2B1B">
        <w:rPr>
          <w:lang w:val="fi-FI"/>
        </w:rPr>
        <w:t xml:space="preserve"> </w:t>
      </w:r>
      <w:r w:rsidR="00ED56EA">
        <w:rPr>
          <w:lang w:val="fi-FI"/>
        </w:rPr>
        <w:tab/>
      </w:r>
      <w:r w:rsidR="00ED56EA" w:rsidRPr="00ED56EA">
        <w:rPr>
          <w:sz w:val="24"/>
          <w:szCs w:val="24"/>
          <w:lang w:val="fi-FI"/>
        </w:rPr>
        <w:t>GU</w:t>
      </w:r>
      <w:r w:rsidRPr="00ED56EA">
        <w:rPr>
          <w:sz w:val="24"/>
          <w:szCs w:val="24"/>
          <w:lang w:val="fi-FI"/>
        </w:rPr>
        <w:t xml:space="preserve"> L, 2024/1143, 23.4.2024, ELI: </w:t>
      </w:r>
      <w:hyperlink r:id="rId1" w:history="1">
        <w:r w:rsidRPr="00ED56EA">
          <w:rPr>
            <w:rStyle w:val="Hyperlink"/>
            <w:sz w:val="24"/>
            <w:szCs w:val="24"/>
            <w:lang w:val="fi-FI"/>
          </w:rPr>
          <w:t>http://data.euro</w:t>
        </w:r>
        <w:r w:rsidRPr="00ED56EA">
          <w:rPr>
            <w:rStyle w:val="Hyperlink"/>
            <w:sz w:val="24"/>
            <w:szCs w:val="24"/>
            <w:lang w:val="fi-FI"/>
          </w:rPr>
          <w:t>p</w:t>
        </w:r>
        <w:r w:rsidRPr="00ED56EA">
          <w:rPr>
            <w:rStyle w:val="Hyperlink"/>
            <w:sz w:val="24"/>
            <w:szCs w:val="24"/>
            <w:lang w:val="fi-FI"/>
          </w:rPr>
          <w:t>a.eu/eli/reg/2024/1143/oj</w:t>
        </w:r>
      </w:hyperlink>
      <w:r w:rsidRPr="005E2B1B">
        <w:rPr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87ED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87ED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87ED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5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6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3" w15:restartNumberingAfterBreak="0">
    <w:nsid w:val="34030330"/>
    <w:multiLevelType w:val="hybridMultilevel"/>
    <w:tmpl w:val="CAD2602E"/>
    <w:lvl w:ilvl="0" w:tplc="080C0017">
      <w:start w:val="1"/>
      <w:numFmt w:val="lowerLetter"/>
      <w:lvlText w:val="%1)"/>
      <w:lvlJc w:val="left"/>
      <w:pPr>
        <w:ind w:left="720" w:hanging="360"/>
      </w:pPr>
      <w:rPr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6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7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8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9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0" w15:restartNumberingAfterBreak="0">
    <w:nsid w:val="4B2048F3"/>
    <w:multiLevelType w:val="hybridMultilevel"/>
    <w:tmpl w:val="A3B25AA0"/>
    <w:lvl w:ilvl="0" w:tplc="B08EA5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2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23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4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</w:rPr>
    </w:lvl>
  </w:abstractNum>
  <w:abstractNum w:abstractNumId="27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9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0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2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3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4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6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7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8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9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40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2"/>
  </w:num>
  <w:num w:numId="2">
    <w:abstractNumId w:val="14"/>
  </w:num>
  <w:num w:numId="3">
    <w:abstractNumId w:val="7"/>
  </w:num>
  <w:num w:numId="4">
    <w:abstractNumId w:val="19"/>
  </w:num>
  <w:num w:numId="5">
    <w:abstractNumId w:val="23"/>
  </w:num>
  <w:num w:numId="6">
    <w:abstractNumId w:val="22"/>
  </w:num>
  <w:num w:numId="7">
    <w:abstractNumId w:val="39"/>
  </w:num>
  <w:num w:numId="8">
    <w:abstractNumId w:val="15"/>
  </w:num>
  <w:num w:numId="9">
    <w:abstractNumId w:val="9"/>
  </w:num>
  <w:num w:numId="10">
    <w:abstractNumId w:val="40"/>
  </w:num>
  <w:num w:numId="11">
    <w:abstractNumId w:val="12"/>
  </w:num>
  <w:num w:numId="12">
    <w:abstractNumId w:val="5"/>
  </w:num>
  <w:num w:numId="13">
    <w:abstractNumId w:val="4"/>
  </w:num>
  <w:num w:numId="14">
    <w:abstractNumId w:val="33"/>
  </w:num>
  <w:num w:numId="15">
    <w:abstractNumId w:val="31"/>
  </w:num>
  <w:num w:numId="16">
    <w:abstractNumId w:val="26"/>
  </w:num>
  <w:num w:numId="17">
    <w:abstractNumId w:val="6"/>
  </w:num>
  <w:num w:numId="18">
    <w:abstractNumId w:val="29"/>
  </w:num>
  <w:num w:numId="19">
    <w:abstractNumId w:val="1"/>
  </w:num>
  <w:num w:numId="20">
    <w:abstractNumId w:val="30"/>
  </w:num>
  <w:num w:numId="21">
    <w:abstractNumId w:val="27"/>
  </w:num>
  <w:num w:numId="22">
    <w:abstractNumId w:val="3"/>
  </w:num>
  <w:num w:numId="23">
    <w:abstractNumId w:val="34"/>
  </w:num>
  <w:num w:numId="24">
    <w:abstractNumId w:val="38"/>
  </w:num>
  <w:num w:numId="25">
    <w:abstractNumId w:val="24"/>
  </w:num>
  <w:num w:numId="26">
    <w:abstractNumId w:val="32"/>
  </w:num>
  <w:num w:numId="27">
    <w:abstractNumId w:val="28"/>
  </w:num>
  <w:num w:numId="28">
    <w:abstractNumId w:val="18"/>
  </w:num>
  <w:num w:numId="29">
    <w:abstractNumId w:val="0"/>
  </w:num>
  <w:num w:numId="30">
    <w:abstractNumId w:val="10"/>
  </w:num>
  <w:num w:numId="31">
    <w:abstractNumId w:val="8"/>
  </w:num>
  <w:num w:numId="32">
    <w:abstractNumId w:val="11"/>
  </w:num>
  <w:num w:numId="33">
    <w:abstractNumId w:val="25"/>
  </w:num>
  <w:num w:numId="34">
    <w:abstractNumId w:val="16"/>
  </w:num>
  <w:num w:numId="35">
    <w:abstractNumId w:val="17"/>
  </w:num>
  <w:num w:numId="36">
    <w:abstractNumId w:val="21"/>
  </w:num>
  <w:num w:numId="37">
    <w:abstractNumId w:val="36"/>
  </w:num>
  <w:num w:numId="38">
    <w:abstractNumId w:val="35"/>
  </w:num>
  <w:num w:numId="39">
    <w:abstractNumId w:val="37"/>
  </w:num>
  <w:num w:numId="40">
    <w:abstractNumId w:val="20"/>
  </w:num>
  <w:num w:numId="41">
    <w:abstractNumId w:val="1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3/2023"/>
    <w:docVar w:name="dvlangue" w:val="IT"/>
    <w:docVar w:name="dvnumam" w:val="468"/>
    <w:docVar w:name="dvpe" w:val="736.493"/>
    <w:docVar w:name="dvrapporteur" w:val="Relatore: "/>
    <w:docVar w:name="dvstar" w:val="***I"/>
    <w:docVar w:name="dvtitre" w:val="Risoluzione legislativa del Parlamento europeo del xx febbraio 2024 sulla proposta di regolamento del Parlamento europeo e del Consiglio relativo alle indicazioni geografiche dell'Unione europea di vini, bevande spiritose e prodotti agricoli e ai regimi di qualità dei prodotti agricoli, che modifica i regolamenti (UE) n. 1308/2013, (UE) 2017/1001 e (UE) 2019/787 e che abroga il regolamento (UE) n. 1151/2012(COM(2022)0134 – C9-0130/2022 – 2022/0089(COD))"/>
  </w:docVars>
  <w:rsids>
    <w:rsidRoot w:val="000842AD"/>
    <w:rsid w:val="00002272"/>
    <w:rsid w:val="00064002"/>
    <w:rsid w:val="000677B9"/>
    <w:rsid w:val="000831BA"/>
    <w:rsid w:val="000842AD"/>
    <w:rsid w:val="000A42CC"/>
    <w:rsid w:val="000E7DD9"/>
    <w:rsid w:val="0010095E"/>
    <w:rsid w:val="00102A97"/>
    <w:rsid w:val="001176E8"/>
    <w:rsid w:val="00125B37"/>
    <w:rsid w:val="00187494"/>
    <w:rsid w:val="001F32AE"/>
    <w:rsid w:val="00205133"/>
    <w:rsid w:val="00242C4A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C373F"/>
    <w:rsid w:val="005E2B1B"/>
    <w:rsid w:val="006037C0"/>
    <w:rsid w:val="006631B6"/>
    <w:rsid w:val="00680577"/>
    <w:rsid w:val="00681167"/>
    <w:rsid w:val="006F74FA"/>
    <w:rsid w:val="00731ADD"/>
    <w:rsid w:val="00734777"/>
    <w:rsid w:val="00747932"/>
    <w:rsid w:val="00751A4A"/>
    <w:rsid w:val="00756632"/>
    <w:rsid w:val="00762C74"/>
    <w:rsid w:val="00786EC0"/>
    <w:rsid w:val="00787EDA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4606"/>
    <w:rsid w:val="009C651A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44EE6"/>
    <w:rsid w:val="00B558F0"/>
    <w:rsid w:val="00BD48FE"/>
    <w:rsid w:val="00BD7BD8"/>
    <w:rsid w:val="00BE6ADC"/>
    <w:rsid w:val="00C05BFE"/>
    <w:rsid w:val="00C173B3"/>
    <w:rsid w:val="00C23CD4"/>
    <w:rsid w:val="00C61C0C"/>
    <w:rsid w:val="00C650F5"/>
    <w:rsid w:val="00C941CB"/>
    <w:rsid w:val="00CC2357"/>
    <w:rsid w:val="00CF071A"/>
    <w:rsid w:val="00D058B8"/>
    <w:rsid w:val="00D2185C"/>
    <w:rsid w:val="00D232B9"/>
    <w:rsid w:val="00D56C11"/>
    <w:rsid w:val="00D834A0"/>
    <w:rsid w:val="00D872DF"/>
    <w:rsid w:val="00D91E21"/>
    <w:rsid w:val="00DA7FCD"/>
    <w:rsid w:val="00E365E1"/>
    <w:rsid w:val="00E45DB0"/>
    <w:rsid w:val="00E77724"/>
    <w:rsid w:val="00E820A4"/>
    <w:rsid w:val="00E904F5"/>
    <w:rsid w:val="00EB006A"/>
    <w:rsid w:val="00EB4772"/>
    <w:rsid w:val="00ED169E"/>
    <w:rsid w:val="00ED4235"/>
    <w:rsid w:val="00ED56EA"/>
    <w:rsid w:val="00F04346"/>
    <w:rsid w:val="00F075DC"/>
    <w:rsid w:val="00F149E9"/>
    <w:rsid w:val="00F5134D"/>
    <w:rsid w:val="00F74202"/>
    <w:rsid w:val="00F87713"/>
    <w:rsid w:val="00FB4360"/>
    <w:rsid w:val="00FD02C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559FD"/>
  <w15:chartTrackingRefBased/>
  <w15:docId w15:val="{B0932F98-958A-4578-92E2-5ACED8A7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232B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2B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2B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2B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2B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2B9"/>
    <w:rPr>
      <w:i/>
      <w:sz w:val="22"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2B9"/>
    <w:rPr>
      <w:rFonts w:ascii="Arial" w:hAnsi="Arial"/>
      <w:sz w:val="24"/>
      <w:lang w:val="it-I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2B9"/>
    <w:rPr>
      <w:rFonts w:ascii="Arial" w:hAnsi="Arial"/>
      <w:i/>
      <w:sz w:val="24"/>
      <w:lang w:val="it-I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2B9"/>
    <w:rPr>
      <w:rFonts w:ascii="Arial" w:hAnsi="Arial"/>
      <w:b/>
      <w:i/>
      <w:sz w:val="18"/>
      <w:lang w:val="it-IT"/>
    </w:rPr>
  </w:style>
  <w:style w:type="paragraph" w:styleId="TOCHeading">
    <w:name w:val="TOC Heading"/>
    <w:basedOn w:val="Normal"/>
    <w:next w:val="Normal"/>
    <w:uiPriority w:val="39"/>
    <w:unhideWhenUsed/>
    <w:qFormat/>
    <w:rsid w:val="00D232B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232B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232B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232B9"/>
    <w:pPr>
      <w:spacing w:after="120"/>
    </w:pPr>
  </w:style>
  <w:style w:type="paragraph" w:customStyle="1" w:styleId="PageHeading">
    <w:name w:val="PageHeading"/>
    <w:basedOn w:val="Normal"/>
    <w:rsid w:val="00D232B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232B9"/>
    <w:rPr>
      <w:b/>
    </w:rPr>
  </w:style>
  <w:style w:type="paragraph" w:customStyle="1" w:styleId="NormalBold12a">
    <w:name w:val="NormalBold12a"/>
    <w:basedOn w:val="Normal"/>
    <w:rsid w:val="00D232B9"/>
    <w:pPr>
      <w:spacing w:after="240"/>
    </w:pPr>
    <w:rPr>
      <w:b/>
    </w:rPr>
  </w:style>
  <w:style w:type="paragraph" w:customStyle="1" w:styleId="AmJustText">
    <w:name w:val="AmJustText"/>
    <w:basedOn w:val="Normal"/>
    <w:rsid w:val="00D232B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232B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232B9"/>
    <w:pPr>
      <w:spacing w:after="480"/>
      <w:ind w:left="1417"/>
    </w:pPr>
  </w:style>
  <w:style w:type="paragraph" w:customStyle="1" w:styleId="CoverNormal">
    <w:name w:val="CoverNormal"/>
    <w:basedOn w:val="Normal"/>
    <w:rsid w:val="00D232B9"/>
    <w:pPr>
      <w:ind w:left="1418"/>
    </w:pPr>
  </w:style>
  <w:style w:type="paragraph" w:customStyle="1" w:styleId="AmCrossRef">
    <w:name w:val="AmCrossRef"/>
    <w:basedOn w:val="Normal"/>
    <w:rsid w:val="00D232B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232B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232B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232B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232B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232B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232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2B9"/>
    <w:rPr>
      <w:sz w:val="24"/>
      <w:lang w:val="it-IT"/>
    </w:rPr>
  </w:style>
  <w:style w:type="paragraph" w:customStyle="1" w:styleId="AmOrLang">
    <w:name w:val="AmOrLang"/>
    <w:basedOn w:val="Normal"/>
    <w:rsid w:val="00D232B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232B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D232B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D232B9"/>
    <w:pPr>
      <w:spacing w:before="240"/>
    </w:pPr>
    <w:rPr>
      <w:b/>
    </w:rPr>
  </w:style>
  <w:style w:type="paragraph" w:customStyle="1" w:styleId="EPBody">
    <w:name w:val="EPBody"/>
    <w:basedOn w:val="Normal"/>
    <w:rsid w:val="00D232B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232B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232B9"/>
    <w:pPr>
      <w:spacing w:before="480" w:after="240"/>
    </w:pPr>
  </w:style>
  <w:style w:type="paragraph" w:customStyle="1" w:styleId="Lgendesigne">
    <w:name w:val="Légende signe"/>
    <w:basedOn w:val="Normal"/>
    <w:rsid w:val="00D232B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232B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232B9"/>
    <w:rPr>
      <w:sz w:val="18"/>
    </w:rPr>
  </w:style>
  <w:style w:type="paragraph" w:customStyle="1" w:styleId="msonormal0">
    <w:name w:val="msonormal"/>
    <w:basedOn w:val="Normal"/>
    <w:rsid w:val="00D232B9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D232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2B9"/>
    <w:rPr>
      <w:sz w:val="24"/>
      <w:lang w:val="it-IT"/>
    </w:rPr>
  </w:style>
  <w:style w:type="character" w:customStyle="1" w:styleId="Normal12Char">
    <w:name w:val="Normal12 Char"/>
    <w:link w:val="Normal12"/>
    <w:locked/>
    <w:rsid w:val="00D232B9"/>
    <w:rPr>
      <w:noProof/>
      <w:sz w:val="24"/>
    </w:rPr>
  </w:style>
  <w:style w:type="paragraph" w:customStyle="1" w:styleId="Normal12">
    <w:name w:val="Normal12"/>
    <w:basedOn w:val="Normal"/>
    <w:link w:val="Normal12Char"/>
    <w:rsid w:val="00D232B9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D232B9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D232B9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D232B9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D232B9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D232B9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link w:val="Normal6"/>
    <w:locked/>
    <w:rsid w:val="00D232B9"/>
    <w:rPr>
      <w:sz w:val="24"/>
      <w:lang w:val="it-IT"/>
    </w:rPr>
  </w:style>
  <w:style w:type="paragraph" w:customStyle="1" w:styleId="Normal6">
    <w:name w:val="Normal6"/>
    <w:basedOn w:val="Normal"/>
    <w:link w:val="Normal6Char"/>
    <w:rsid w:val="00D232B9"/>
    <w:pPr>
      <w:spacing w:after="120"/>
    </w:pPr>
  </w:style>
  <w:style w:type="character" w:customStyle="1" w:styleId="NormalBoldChar">
    <w:name w:val="NormalBold Char"/>
    <w:link w:val="NormalBold"/>
    <w:locked/>
    <w:rsid w:val="00D232B9"/>
    <w:rPr>
      <w:b/>
      <w:sz w:val="24"/>
      <w:lang w:val="it-IT"/>
    </w:rPr>
  </w:style>
  <w:style w:type="paragraph" w:customStyle="1" w:styleId="Normal12Italic">
    <w:name w:val="Normal12Italic"/>
    <w:basedOn w:val="Normal12"/>
    <w:rsid w:val="00D232B9"/>
    <w:rPr>
      <w:i/>
    </w:rPr>
  </w:style>
  <w:style w:type="paragraph" w:customStyle="1" w:styleId="JustificationTitle">
    <w:name w:val="JustificationTitle"/>
    <w:basedOn w:val="Normal"/>
    <w:next w:val="Normal12"/>
    <w:rsid w:val="00D232B9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D232B9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D232B9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D232B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D232B9"/>
    <w:pPr>
      <w:spacing w:before="240"/>
      <w:jc w:val="center"/>
    </w:pPr>
    <w:rPr>
      <w:i/>
    </w:rPr>
  </w:style>
  <w:style w:type="character" w:customStyle="1" w:styleId="Footer2Middle">
    <w:name w:val="Footer2Middle"/>
    <w:rsid w:val="00D232B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D232B9"/>
    <w:pPr>
      <w:jc w:val="center"/>
    </w:pPr>
    <w:rPr>
      <w:noProof w:val="0"/>
      <w:sz w:val="56"/>
    </w:rPr>
  </w:style>
  <w:style w:type="character" w:styleId="CommentReference">
    <w:name w:val="annotation reference"/>
    <w:basedOn w:val="DefaultParagraphFont"/>
    <w:uiPriority w:val="99"/>
    <w:rsid w:val="00D23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232B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32B9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23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232B9"/>
    <w:rPr>
      <w:b/>
      <w:bCs/>
      <w:lang w:val="it-IT"/>
    </w:rPr>
  </w:style>
  <w:style w:type="paragraph" w:styleId="BalloonText">
    <w:name w:val="Balloon Text"/>
    <w:basedOn w:val="Normal"/>
    <w:link w:val="BalloonTextChar"/>
    <w:uiPriority w:val="99"/>
    <w:unhideWhenUsed/>
    <w:rsid w:val="00D23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232B9"/>
    <w:rPr>
      <w:rFonts w:ascii="Segoe UI" w:hAnsi="Segoe UI" w:cs="Segoe UI"/>
      <w:sz w:val="18"/>
      <w:szCs w:val="18"/>
      <w:lang w:val="it-IT"/>
    </w:rPr>
  </w:style>
  <w:style w:type="paragraph" w:styleId="TableofFigures">
    <w:name w:val="table of figures"/>
    <w:basedOn w:val="Normal"/>
    <w:next w:val="Normal"/>
    <w:rsid w:val="00D232B9"/>
    <w:pPr>
      <w:widowControl/>
      <w:ind w:left="480" w:hanging="480"/>
      <w:jc w:val="both"/>
    </w:pPr>
    <w:rPr>
      <w:lang w:val="fr-FR"/>
    </w:rPr>
  </w:style>
  <w:style w:type="character" w:customStyle="1" w:styleId="AmNumberTabsChar">
    <w:name w:val="AmNumberTabs Char"/>
    <w:basedOn w:val="DefaultParagraphFont"/>
    <w:link w:val="AmNumberTabs"/>
    <w:rsid w:val="00D232B9"/>
    <w:rPr>
      <w:b/>
      <w:sz w:val="24"/>
      <w:lang w:val="it-IT"/>
    </w:rPr>
  </w:style>
  <w:style w:type="character" w:customStyle="1" w:styleId="NormalBold12bChar">
    <w:name w:val="NormalBold12b Char"/>
    <w:basedOn w:val="AmNumberTabsChar"/>
    <w:link w:val="NormalBold12b"/>
    <w:rsid w:val="00D232B9"/>
    <w:rPr>
      <w:b/>
      <w:sz w:val="24"/>
      <w:lang w:val="it-IT"/>
    </w:rPr>
  </w:style>
  <w:style w:type="paragraph" w:customStyle="1" w:styleId="NormalBoldItalicCenter6a">
    <w:name w:val="NormalBoldItalicCenter6a"/>
    <w:basedOn w:val="Normal6a"/>
    <w:qFormat/>
    <w:rsid w:val="00D232B9"/>
    <w:pPr>
      <w:jc w:val="center"/>
    </w:pPr>
    <w:rPr>
      <w:b/>
      <w:i/>
      <w:lang w:val="en-GB"/>
    </w:rPr>
  </w:style>
  <w:style w:type="character" w:customStyle="1" w:styleId="Sup">
    <w:name w:val="Sup"/>
    <w:uiPriority w:val="1"/>
    <w:qFormat/>
    <w:rsid w:val="00D232B9"/>
    <w:rPr>
      <w:vertAlign w:val="superscript"/>
    </w:rPr>
  </w:style>
  <w:style w:type="character" w:customStyle="1" w:styleId="SupBoldItalic">
    <w:name w:val="SupBoldItalic"/>
    <w:uiPriority w:val="1"/>
    <w:qFormat/>
    <w:rsid w:val="00D232B9"/>
    <w:rPr>
      <w:b/>
      <w:i/>
      <w:vertAlign w:val="superscript"/>
    </w:rPr>
  </w:style>
  <w:style w:type="paragraph" w:customStyle="1" w:styleId="Normal12a">
    <w:name w:val="Normal12a"/>
    <w:basedOn w:val="Normal"/>
    <w:rsid w:val="00D232B9"/>
    <w:pPr>
      <w:spacing w:after="240"/>
    </w:pPr>
    <w:rPr>
      <w:lang w:val="en-GB"/>
    </w:rPr>
  </w:style>
  <w:style w:type="paragraph" w:customStyle="1" w:styleId="RollCallVotes">
    <w:name w:val="RollCallVotes"/>
    <w:basedOn w:val="Normal"/>
    <w:rsid w:val="00D232B9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D232B9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D232B9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D232B9"/>
    <w:pPr>
      <w:spacing w:before="120" w:after="120"/>
    </w:pPr>
    <w:rPr>
      <w:snapToGrid w:val="0"/>
      <w:sz w:val="16"/>
      <w:lang w:val="en-GB" w:eastAsia="en-US"/>
    </w:rPr>
  </w:style>
  <w:style w:type="character" w:styleId="Hyperlink">
    <w:name w:val="Hyperlink"/>
    <w:basedOn w:val="DefaultParagraphFont"/>
    <w:uiPriority w:val="99"/>
    <w:rsid w:val="00D232B9"/>
    <w:rPr>
      <w:color w:val="0563C1" w:themeColor="hyperlink"/>
      <w:u w:val="single"/>
    </w:rPr>
  </w:style>
  <w:style w:type="paragraph" w:customStyle="1" w:styleId="PageHeadingNotTOC">
    <w:name w:val="PageHeadingNotTOC"/>
    <w:basedOn w:val="Normal"/>
    <w:rsid w:val="00D232B9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D232B9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paragraph" w:customStyle="1" w:styleId="li">
    <w:name w:val="li"/>
    <w:basedOn w:val="Normal"/>
    <w:rsid w:val="00D232B9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Normal24a">
    <w:name w:val="Normal24a"/>
    <w:basedOn w:val="Normal"/>
    <w:link w:val="Normal24aChar"/>
    <w:rsid w:val="00D232B9"/>
    <w:pPr>
      <w:spacing w:after="48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D232B9"/>
    <w:rPr>
      <w:sz w:val="24"/>
    </w:rPr>
  </w:style>
  <w:style w:type="character" w:customStyle="1" w:styleId="num">
    <w:name w:val="num"/>
    <w:basedOn w:val="DefaultParagraphFont"/>
    <w:rsid w:val="00D232B9"/>
  </w:style>
  <w:style w:type="paragraph" w:styleId="Title">
    <w:name w:val="Title"/>
    <w:basedOn w:val="Normal"/>
    <w:next w:val="Normal"/>
    <w:link w:val="TitleChar"/>
    <w:uiPriority w:val="10"/>
    <w:qFormat/>
    <w:rsid w:val="00D232B9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232B9"/>
    <w:rPr>
      <w:rFonts w:ascii="Arial" w:eastAsiaTheme="majorEastAsia" w:hAnsi="Arial" w:cs="Arial"/>
      <w:b/>
      <w:bCs/>
      <w:kern w:val="28"/>
      <w:sz w:val="32"/>
      <w:szCs w:val="32"/>
      <w:lang w:val="it-I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2B9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232B9"/>
    <w:rPr>
      <w:rFonts w:ascii="Arial" w:eastAsiaTheme="majorEastAsia" w:hAnsi="Arial" w:cs="Arial"/>
      <w:sz w:val="24"/>
      <w:szCs w:val="24"/>
      <w:lang w:val="it-IT" w:eastAsia="en-US"/>
    </w:rPr>
  </w:style>
  <w:style w:type="character" w:styleId="Strong">
    <w:name w:val="Strong"/>
    <w:basedOn w:val="DefaultParagraphFont"/>
    <w:uiPriority w:val="22"/>
    <w:qFormat/>
    <w:rsid w:val="00D232B9"/>
    <w:rPr>
      <w:b/>
      <w:bCs/>
    </w:rPr>
  </w:style>
  <w:style w:type="character" w:styleId="Emphasis">
    <w:name w:val="Emphasis"/>
    <w:basedOn w:val="DefaultParagraphFont"/>
    <w:uiPriority w:val="20"/>
    <w:qFormat/>
    <w:rsid w:val="00D232B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232B9"/>
    <w:pPr>
      <w:widowControl/>
      <w:jc w:val="both"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D232B9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D232B9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232B9"/>
    <w:rPr>
      <w:rFonts w:eastAsiaTheme="minorHAnsi"/>
      <w:i/>
      <w:sz w:val="24"/>
      <w:szCs w:val="24"/>
      <w:lang w:val="it-I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2B9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2B9"/>
    <w:rPr>
      <w:rFonts w:eastAsiaTheme="minorHAnsi"/>
      <w:b/>
      <w:i/>
      <w:sz w:val="24"/>
      <w:szCs w:val="22"/>
      <w:lang w:val="it-IT" w:eastAsia="en-US"/>
    </w:rPr>
  </w:style>
  <w:style w:type="character" w:styleId="SubtleEmphasis">
    <w:name w:val="Subtle Emphasis"/>
    <w:uiPriority w:val="19"/>
    <w:qFormat/>
    <w:rsid w:val="00D232B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232B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232B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232B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232B9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Normal12Hanging">
    <w:name w:val="Normal12Hanging"/>
    <w:basedOn w:val="Normal"/>
    <w:link w:val="CharChar1"/>
    <w:rsid w:val="00FD02C0"/>
    <w:pPr>
      <w:spacing w:after="240"/>
      <w:ind w:left="357" w:hanging="357"/>
    </w:pPr>
    <w:rPr>
      <w:snapToGrid w:val="0"/>
    </w:rPr>
  </w:style>
  <w:style w:type="character" w:customStyle="1" w:styleId="CharChar1">
    <w:name w:val="Char Char1"/>
    <w:link w:val="Normal12Hanging"/>
    <w:locked/>
    <w:rsid w:val="00FD02C0"/>
    <w:rPr>
      <w:snapToGrid w:val="0"/>
      <w:sz w:val="24"/>
      <w:lang w:val="it-IT"/>
    </w:rPr>
  </w:style>
  <w:style w:type="paragraph" w:customStyle="1" w:styleId="AmDocTypeTab">
    <w:name w:val="AmDocTypeTab"/>
    <w:basedOn w:val="Normal"/>
    <w:rsid w:val="00FD02C0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FD02C0"/>
    <w:pPr>
      <w:spacing w:after="240"/>
      <w:jc w:val="center"/>
    </w:pPr>
  </w:style>
  <w:style w:type="paragraph" w:customStyle="1" w:styleId="AmDateTab">
    <w:name w:val="AmDateTab"/>
    <w:basedOn w:val="Normal"/>
    <w:rsid w:val="00FD02C0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FD02C0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FD02C0"/>
  </w:style>
  <w:style w:type="paragraph" w:customStyle="1" w:styleId="Langue">
    <w:name w:val="Langue"/>
    <w:basedOn w:val="Normal"/>
    <w:next w:val="Rfrenceinterne"/>
    <w:rsid w:val="00FD02C0"/>
    <w:pPr>
      <w:widowControl/>
      <w:spacing w:after="600"/>
      <w:jc w:val="center"/>
    </w:pPr>
    <w:rPr>
      <w:b/>
      <w:caps/>
      <w:szCs w:val="24"/>
      <w:lang w:eastAsia="de-DE"/>
    </w:rPr>
  </w:style>
  <w:style w:type="paragraph" w:customStyle="1" w:styleId="Rfrenceinterne">
    <w:name w:val="Référence interne"/>
    <w:basedOn w:val="Normal"/>
    <w:next w:val="Normal"/>
    <w:rsid w:val="00FD02C0"/>
    <w:pPr>
      <w:widowControl/>
      <w:spacing w:after="600"/>
      <w:jc w:val="center"/>
    </w:pPr>
    <w:rPr>
      <w:b/>
      <w:szCs w:val="24"/>
      <w:lang w:eastAsia="de-DE"/>
    </w:rPr>
  </w:style>
  <w:style w:type="paragraph" w:customStyle="1" w:styleId="HeaderCouncilLarge">
    <w:name w:val="Header Council Large"/>
    <w:basedOn w:val="Normal"/>
    <w:link w:val="HeaderCouncilLargeChar"/>
    <w:rsid w:val="00FD02C0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FD02C0"/>
    <w:rPr>
      <w:rFonts w:ascii="Times New Roman" w:hAnsi="Times New Roman" w:cs="Times New Roman"/>
      <w:sz w:val="24"/>
      <w:lang w:val="it-IT"/>
    </w:rPr>
  </w:style>
  <w:style w:type="character" w:customStyle="1" w:styleId="HeaderCouncilLargeChar">
    <w:name w:val="Header Council Large Char"/>
    <w:basedOn w:val="TechnicalBlockChar"/>
    <w:link w:val="HeaderCouncilLarge"/>
    <w:rsid w:val="00FD02C0"/>
    <w:rPr>
      <w:rFonts w:ascii="Times New Roman" w:eastAsia="Calibri" w:hAnsi="Times New Roman" w:cs="Times New Roman"/>
      <w:sz w:val="2"/>
      <w:szCs w:val="22"/>
      <w:lang w:val="it-IT" w:eastAsia="en-US"/>
    </w:rPr>
  </w:style>
  <w:style w:type="paragraph" w:customStyle="1" w:styleId="FooterText">
    <w:name w:val="Footer Text"/>
    <w:basedOn w:val="Normal"/>
    <w:rsid w:val="00FD02C0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FD02C0"/>
    <w:rPr>
      <w:color w:val="808080"/>
    </w:rPr>
  </w:style>
  <w:style w:type="paragraph" w:styleId="TOC4">
    <w:name w:val="toc 4"/>
    <w:basedOn w:val="Normal"/>
    <w:next w:val="Normal"/>
    <w:uiPriority w:val="39"/>
    <w:unhideWhenUsed/>
    <w:rsid w:val="00FD02C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FD02C0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FD02C0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FD02C0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FD02C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FD02C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FD02C0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FD02C0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FD02C0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FD02C0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FD02C0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FD02C0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FD02C0"/>
    <w:rPr>
      <w:color w:val="008000"/>
      <w:shd w:val="clear" w:color="auto" w:fill="auto"/>
    </w:rPr>
  </w:style>
  <w:style w:type="paragraph" w:customStyle="1" w:styleId="Text1">
    <w:name w:val="Text 1"/>
    <w:basedOn w:val="Normal"/>
    <w:rsid w:val="00FD02C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FD02C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FD02C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FD02C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FD02C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FD02C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FD02C0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FD02C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FD02C0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FD02C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FD02C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FD02C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FD02C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FD02C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FD02C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FD02C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FD02C0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FD02C0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FD02C0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FD02C0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FD02C0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FD02C0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FD02C0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FD02C0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FD02C0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FD02C0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FD02C0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FD02C0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FD02C0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FD02C0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FD02C0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FD02C0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FD02C0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FD02C0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FD02C0"/>
    <w:pPr>
      <w:widowControl/>
      <w:numPr>
        <w:numId w:val="9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FD02C0"/>
    <w:pPr>
      <w:widowControl/>
      <w:numPr>
        <w:ilvl w:val="1"/>
        <w:numId w:val="9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FD02C0"/>
    <w:pPr>
      <w:widowControl/>
      <w:numPr>
        <w:ilvl w:val="2"/>
        <w:numId w:val="9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FD02C0"/>
    <w:pPr>
      <w:widowControl/>
      <w:numPr>
        <w:ilvl w:val="3"/>
        <w:numId w:val="9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FD02C0"/>
    <w:pPr>
      <w:widowControl/>
      <w:numPr>
        <w:ilvl w:val="4"/>
        <w:numId w:val="9"/>
      </w:numPr>
      <w:tabs>
        <w:tab w:val="clear" w:pos="141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FD02C0"/>
    <w:pPr>
      <w:widowControl/>
      <w:numPr>
        <w:ilvl w:val="5"/>
        <w:numId w:val="9"/>
      </w:numPr>
      <w:tabs>
        <w:tab w:val="clear" w:pos="141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FD02C0"/>
    <w:pPr>
      <w:widowControl/>
      <w:numPr>
        <w:ilvl w:val="6"/>
        <w:numId w:val="9"/>
      </w:numPr>
      <w:tabs>
        <w:tab w:val="clear" w:pos="141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FD02C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D02C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D02C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D02C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D02C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D02C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D02C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FD02C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D02C0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D02C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D02C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D02C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FD02C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FD02C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FD02C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D02C0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D02C0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D02C0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D02C0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FD02C0"/>
    <w:pPr>
      <w:widowControl/>
      <w:numPr>
        <w:numId w:val="10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FD02C0"/>
    <w:pPr>
      <w:widowControl/>
      <w:numPr>
        <w:ilvl w:val="2"/>
        <w:numId w:val="10"/>
      </w:numPr>
      <w:tabs>
        <w:tab w:val="clear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FD02C0"/>
    <w:pPr>
      <w:widowControl/>
      <w:numPr>
        <w:ilvl w:val="4"/>
        <w:numId w:val="10"/>
      </w:numPr>
      <w:tabs>
        <w:tab w:val="clear" w:pos="1984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FD02C0"/>
    <w:pPr>
      <w:widowControl/>
      <w:numPr>
        <w:ilvl w:val="6"/>
        <w:numId w:val="10"/>
      </w:numPr>
      <w:tabs>
        <w:tab w:val="clear" w:pos="2551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FD02C0"/>
    <w:pPr>
      <w:widowControl/>
      <w:numPr>
        <w:ilvl w:val="1"/>
        <w:numId w:val="10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FD02C0"/>
    <w:pPr>
      <w:widowControl/>
      <w:numPr>
        <w:ilvl w:val="3"/>
        <w:numId w:val="10"/>
      </w:numPr>
      <w:tabs>
        <w:tab w:val="clear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FD02C0"/>
    <w:pPr>
      <w:widowControl/>
      <w:numPr>
        <w:ilvl w:val="5"/>
        <w:numId w:val="10"/>
      </w:numPr>
      <w:tabs>
        <w:tab w:val="clear" w:pos="1984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FD02C0"/>
    <w:pPr>
      <w:widowControl/>
      <w:numPr>
        <w:ilvl w:val="7"/>
        <w:numId w:val="10"/>
      </w:numPr>
      <w:tabs>
        <w:tab w:val="clear" w:pos="2551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FD02C0"/>
    <w:pPr>
      <w:widowControl/>
      <w:numPr>
        <w:ilvl w:val="8"/>
        <w:numId w:val="10"/>
      </w:numPr>
      <w:tabs>
        <w:tab w:val="clear" w:pos="3118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FD02C0"/>
    <w:pPr>
      <w:widowControl/>
      <w:numPr>
        <w:numId w:val="11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FD02C0"/>
    <w:pPr>
      <w:widowControl/>
      <w:numPr>
        <w:numId w:val="12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FD02C0"/>
    <w:pPr>
      <w:widowControl/>
      <w:numPr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FD02C0"/>
    <w:pPr>
      <w:widowControl/>
      <w:numPr>
        <w:numId w:val="14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FD02C0"/>
    <w:pPr>
      <w:widowControl/>
      <w:numPr>
        <w:numId w:val="15"/>
      </w:numPr>
      <w:tabs>
        <w:tab w:val="clear" w:pos="311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FD02C0"/>
    <w:pPr>
      <w:widowControl/>
      <w:numPr>
        <w:numId w:val="16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FD02C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FD02C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FD02C0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FD02C0"/>
    <w:pPr>
      <w:widowControl/>
      <w:numPr>
        <w:numId w:val="17"/>
      </w:numPr>
      <w:tabs>
        <w:tab w:val="clear" w:pos="850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D02C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D02C0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D02C0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D02C0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D02C0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FD02C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D02C0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FD02C0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FD02C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D02C0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FD02C0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FD02C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D02C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FD02C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FD02C0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FD02C0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FD02C0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FD02C0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FD02C0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FD02C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FD02C0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FD02C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FD02C0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FD02C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FD02C0"/>
    <w:pPr>
      <w:spacing w:before="240"/>
    </w:pPr>
  </w:style>
  <w:style w:type="paragraph" w:customStyle="1" w:styleId="Accordtitre">
    <w:name w:val="Accord titre"/>
    <w:basedOn w:val="Normal"/>
    <w:rsid w:val="00FD02C0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FD02C0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FD02C0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FD02C0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D02C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D02C0"/>
    <w:pPr>
      <w:spacing w:after="240"/>
    </w:pPr>
  </w:style>
  <w:style w:type="paragraph" w:customStyle="1" w:styleId="Annexetitre">
    <w:name w:val="Annexe titre"/>
    <w:basedOn w:val="Normal"/>
    <w:next w:val="Normal"/>
    <w:rsid w:val="00FD02C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FD02C0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FD02C0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D02C0"/>
    <w:rPr>
      <w:rFonts w:eastAsia="Calibri"/>
      <w:lang w:val="it-IT" w:eastAsia="en-US"/>
    </w:rPr>
  </w:style>
  <w:style w:type="character" w:styleId="EndnoteReference">
    <w:name w:val="endnote reference"/>
    <w:basedOn w:val="DefaultParagraphFont"/>
    <w:uiPriority w:val="99"/>
    <w:unhideWhenUsed/>
    <w:rsid w:val="00FD02C0"/>
    <w:rPr>
      <w:shd w:val="clear" w:color="auto" w:fill="auto"/>
      <w:vertAlign w:val="superscript"/>
    </w:rPr>
  </w:style>
  <w:style w:type="paragraph" w:styleId="ListBullet">
    <w:name w:val="List Bullet"/>
    <w:basedOn w:val="Normal"/>
    <w:uiPriority w:val="99"/>
    <w:unhideWhenUsed/>
    <w:rsid w:val="00FD02C0"/>
    <w:pPr>
      <w:widowControl/>
      <w:tabs>
        <w:tab w:val="num" w:pos="1440"/>
      </w:tabs>
      <w:spacing w:before="120" w:after="120" w:line="360" w:lineRule="auto"/>
      <w:ind w:left="1440" w:hanging="360"/>
      <w:contextualSpacing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FD02C0"/>
    <w:pPr>
      <w:widowControl/>
      <w:tabs>
        <w:tab w:val="num" w:pos="1440"/>
      </w:tabs>
      <w:spacing w:before="120" w:after="120" w:line="360" w:lineRule="auto"/>
      <w:ind w:left="1440" w:hanging="360"/>
      <w:contextualSpacing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FD02C0"/>
    <w:pPr>
      <w:widowControl/>
      <w:tabs>
        <w:tab w:val="num" w:pos="1800"/>
      </w:tabs>
      <w:spacing w:before="120" w:after="120" w:line="360" w:lineRule="auto"/>
      <w:ind w:left="1800" w:hanging="360"/>
      <w:contextualSpacing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FD02C0"/>
    <w:pPr>
      <w:widowControl/>
      <w:tabs>
        <w:tab w:val="num" w:pos="1800"/>
      </w:tabs>
      <w:spacing w:before="120" w:after="120" w:line="360" w:lineRule="auto"/>
      <w:ind w:left="1800" w:hanging="360"/>
      <w:contextualSpacing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FD02C0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FD02C0"/>
    <w:pPr>
      <w:widowControl/>
      <w:tabs>
        <w:tab w:val="num" w:pos="1417"/>
      </w:tabs>
      <w:spacing w:before="120" w:after="120" w:line="360" w:lineRule="auto"/>
      <w:ind w:left="1417" w:hanging="567"/>
      <w:contextualSpacing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FD02C0"/>
    <w:pPr>
      <w:widowControl/>
      <w:tabs>
        <w:tab w:val="num" w:pos="1984"/>
      </w:tabs>
      <w:spacing w:before="120" w:after="120" w:line="360" w:lineRule="auto"/>
      <w:ind w:left="1984" w:hanging="567"/>
      <w:contextualSpacing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FD02C0"/>
    <w:pPr>
      <w:widowControl/>
      <w:tabs>
        <w:tab w:val="num" w:pos="2551"/>
      </w:tabs>
      <w:spacing w:before="120" w:after="120" w:line="360" w:lineRule="auto"/>
      <w:ind w:left="2551" w:hanging="567"/>
      <w:contextualSpacing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FD02C0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FD02C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FD02C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FD02C0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FD02C0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FD02C0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FD02C0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FD02C0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FD02C0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FD02C0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FD02C0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FD02C0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FD02C0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FD02C0"/>
    <w:pPr>
      <w:widowControl/>
      <w:numPr>
        <w:ilvl w:val="1"/>
        <w:numId w:val="29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FD02C0"/>
    <w:pPr>
      <w:widowControl/>
      <w:numPr>
        <w:ilvl w:val="3"/>
        <w:numId w:val="29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FD02C0"/>
    <w:pPr>
      <w:widowControl/>
      <w:numPr>
        <w:ilvl w:val="5"/>
        <w:numId w:val="29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FD02C0"/>
    <w:pPr>
      <w:widowControl/>
      <w:numPr>
        <w:ilvl w:val="7"/>
        <w:numId w:val="29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FD02C0"/>
    <w:pPr>
      <w:widowControl/>
      <w:numPr>
        <w:ilvl w:val="8"/>
        <w:numId w:val="29"/>
      </w:numPr>
      <w:tabs>
        <w:tab w:val="clear" w:pos="283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FD02C0"/>
    <w:pPr>
      <w:widowControl/>
      <w:numPr>
        <w:numId w:val="29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FD02C0"/>
    <w:pPr>
      <w:widowControl/>
      <w:numPr>
        <w:ilvl w:val="2"/>
        <w:numId w:val="29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FD02C0"/>
    <w:pPr>
      <w:widowControl/>
      <w:numPr>
        <w:ilvl w:val="4"/>
        <w:numId w:val="29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FD02C0"/>
    <w:pPr>
      <w:widowControl/>
      <w:numPr>
        <w:ilvl w:val="6"/>
        <w:numId w:val="29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FD02C0"/>
    <w:pPr>
      <w:widowControl/>
      <w:numPr>
        <w:numId w:val="30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FD02C0"/>
    <w:pPr>
      <w:widowControl/>
      <w:numPr>
        <w:ilvl w:val="1"/>
        <w:numId w:val="30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FD02C0"/>
    <w:pPr>
      <w:widowControl/>
      <w:numPr>
        <w:ilvl w:val="2"/>
        <w:numId w:val="30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FD02C0"/>
    <w:pPr>
      <w:widowControl/>
      <w:numPr>
        <w:ilvl w:val="3"/>
        <w:numId w:val="30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FD02C0"/>
    <w:pPr>
      <w:widowControl/>
      <w:numPr>
        <w:ilvl w:val="4"/>
        <w:numId w:val="30"/>
      </w:numPr>
      <w:tabs>
        <w:tab w:val="clear" w:pos="283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FD02C0"/>
    <w:pPr>
      <w:widowControl/>
      <w:numPr>
        <w:numId w:val="28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FD02C0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FD02C0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FD02C0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FD02C0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FD02C0"/>
    <w:pPr>
      <w:widowControl/>
      <w:numPr>
        <w:numId w:val="2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FD02C0"/>
    <w:pPr>
      <w:numPr>
        <w:numId w:val="23"/>
      </w:numPr>
      <w:tabs>
        <w:tab w:val="clear" w:pos="567"/>
        <w:tab w:val="num" w:pos="360"/>
      </w:tabs>
      <w:ind w:left="3118"/>
    </w:pPr>
  </w:style>
  <w:style w:type="paragraph" w:customStyle="1" w:styleId="DashEqual1">
    <w:name w:val="Dash Equal 1"/>
    <w:basedOn w:val="Dash1"/>
    <w:rsid w:val="00FD02C0"/>
    <w:pPr>
      <w:numPr>
        <w:numId w:val="24"/>
      </w:numPr>
      <w:tabs>
        <w:tab w:val="clear" w:pos="1134"/>
        <w:tab w:val="num" w:pos="360"/>
      </w:tabs>
      <w:ind w:left="3685"/>
    </w:pPr>
  </w:style>
  <w:style w:type="paragraph" w:customStyle="1" w:styleId="DashEqual2">
    <w:name w:val="Dash Equal 2"/>
    <w:basedOn w:val="Dash2"/>
    <w:rsid w:val="00FD02C0"/>
    <w:pPr>
      <w:numPr>
        <w:numId w:val="25"/>
      </w:numPr>
      <w:tabs>
        <w:tab w:val="clear" w:pos="1701"/>
        <w:tab w:val="num" w:pos="360"/>
      </w:tabs>
      <w:ind w:left="850" w:hanging="850"/>
    </w:pPr>
  </w:style>
  <w:style w:type="paragraph" w:customStyle="1" w:styleId="DashEqual3">
    <w:name w:val="Dash Equal 3"/>
    <w:basedOn w:val="Dash3"/>
    <w:rsid w:val="00FD02C0"/>
    <w:pPr>
      <w:numPr>
        <w:numId w:val="26"/>
      </w:numPr>
      <w:tabs>
        <w:tab w:val="clear" w:pos="2268"/>
        <w:tab w:val="num" w:pos="360"/>
      </w:tabs>
      <w:ind w:left="850" w:hanging="850"/>
    </w:pPr>
  </w:style>
  <w:style w:type="paragraph" w:customStyle="1" w:styleId="DashEqual4">
    <w:name w:val="Dash Equal 4"/>
    <w:basedOn w:val="Dash4"/>
    <w:rsid w:val="00FD02C0"/>
    <w:pPr>
      <w:numPr>
        <w:numId w:val="27"/>
      </w:numPr>
      <w:tabs>
        <w:tab w:val="clear" w:pos="2835"/>
        <w:tab w:val="num" w:pos="360"/>
      </w:tabs>
    </w:pPr>
  </w:style>
  <w:style w:type="paragraph" w:customStyle="1" w:styleId="HeadingLeft">
    <w:name w:val="Heading Left"/>
    <w:basedOn w:val="Normal"/>
    <w:next w:val="Normal"/>
    <w:rsid w:val="00FD02C0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FD02C0"/>
    <w:pPr>
      <w:numPr>
        <w:numId w:val="33"/>
      </w:numPr>
      <w:tabs>
        <w:tab w:val="clear" w:pos="567"/>
        <w:tab w:val="num" w:pos="360"/>
      </w:tabs>
      <w:ind w:left="0" w:firstLine="0"/>
    </w:pPr>
  </w:style>
  <w:style w:type="paragraph" w:customStyle="1" w:styleId="Heading123">
    <w:name w:val="Heading 123"/>
    <w:basedOn w:val="HeadingLeft"/>
    <w:next w:val="Normal"/>
    <w:rsid w:val="00FD02C0"/>
    <w:pPr>
      <w:numPr>
        <w:numId w:val="32"/>
      </w:numPr>
      <w:tabs>
        <w:tab w:val="clear" w:pos="567"/>
        <w:tab w:val="num" w:pos="360"/>
      </w:tabs>
      <w:ind w:left="0" w:firstLine="0"/>
    </w:pPr>
  </w:style>
  <w:style w:type="paragraph" w:customStyle="1" w:styleId="HeadingABC">
    <w:name w:val="Heading ABC"/>
    <w:basedOn w:val="HeadingLeft"/>
    <w:next w:val="Normal"/>
    <w:rsid w:val="00FD02C0"/>
    <w:pPr>
      <w:numPr>
        <w:numId w:val="31"/>
      </w:numPr>
      <w:tabs>
        <w:tab w:val="clear" w:pos="567"/>
        <w:tab w:val="num" w:pos="360"/>
      </w:tabs>
      <w:ind w:left="0" w:firstLine="0"/>
    </w:pPr>
  </w:style>
  <w:style w:type="paragraph" w:customStyle="1" w:styleId="HeadingCentered">
    <w:name w:val="Heading Centered"/>
    <w:basedOn w:val="HeadingLeft"/>
    <w:next w:val="Normal"/>
    <w:rsid w:val="00FD02C0"/>
    <w:pPr>
      <w:jc w:val="center"/>
    </w:pPr>
  </w:style>
  <w:style w:type="paragraph" w:customStyle="1" w:styleId="Jardin">
    <w:name w:val="Jardin"/>
    <w:basedOn w:val="Normal"/>
    <w:rsid w:val="00FD02C0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FD02C0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FD02C0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FD02C0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FD02C0"/>
    <w:rPr>
      <w:b/>
    </w:rPr>
  </w:style>
  <w:style w:type="paragraph" w:customStyle="1" w:styleId="Annex">
    <w:name w:val="Annex"/>
    <w:basedOn w:val="Normal"/>
    <w:next w:val="Normal"/>
    <w:rsid w:val="00FD02C0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FD02C0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FD02C0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FD02C0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FD02C0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FD02C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FD02C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FD02C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FD02C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FD02C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FD02C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FD02C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FD02C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FD02C0"/>
    <w:pPr>
      <w:widowControl/>
      <w:numPr>
        <w:numId w:val="34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FD02C0"/>
    <w:pPr>
      <w:widowControl/>
      <w:numPr>
        <w:numId w:val="35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FD02C0"/>
    <w:pPr>
      <w:widowControl/>
      <w:numPr>
        <w:numId w:val="36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FD02C0"/>
    <w:pPr>
      <w:widowControl/>
      <w:numPr>
        <w:numId w:val="37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FD02C0"/>
    <w:pPr>
      <w:widowControl/>
      <w:numPr>
        <w:numId w:val="38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FD02C0"/>
    <w:pPr>
      <w:widowControl/>
      <w:numPr>
        <w:numId w:val="39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FD02C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FD02C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FD02C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FD02C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FD02C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FD02C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FD02C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FD02C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FD02C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FD02C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FD02C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FD02C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FD02C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FD02C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FD02C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FD02C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FD02C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FD02C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FD02C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FD02C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FD02C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FD02C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FD02C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FD02C0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FD02C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FD02C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FD02C0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it-IT" w:eastAsia="en-US"/>
    </w:rPr>
  </w:style>
  <w:style w:type="paragraph" w:customStyle="1" w:styleId="CommentFwdQuotedText">
    <w:name w:val="CommentFwdQuotedText"/>
    <w:basedOn w:val="Normal"/>
    <w:rsid w:val="00FD02C0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FD02C0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FD02C0"/>
    <w:rPr>
      <w:b/>
      <w:i/>
    </w:rPr>
  </w:style>
  <w:style w:type="character" w:customStyle="1" w:styleId="diff-tte-removed">
    <w:name w:val="diff-tte-removed"/>
    <w:basedOn w:val="DefaultParagraphFont"/>
    <w:rsid w:val="00FD02C0"/>
    <w:rPr>
      <w:strike/>
    </w:rPr>
  </w:style>
  <w:style w:type="paragraph" w:styleId="Revision">
    <w:name w:val="Revision"/>
    <w:hidden/>
    <w:uiPriority w:val="99"/>
    <w:semiHidden/>
    <w:rsid w:val="00FD02C0"/>
    <w:rPr>
      <w:rFonts w:eastAsia="Calibri"/>
      <w:sz w:val="24"/>
      <w:szCs w:val="22"/>
      <w:lang w:val="it-IT" w:eastAsia="en-US"/>
    </w:rPr>
  </w:style>
  <w:style w:type="paragraph" w:customStyle="1" w:styleId="Norml">
    <w:name w:val="Norml"/>
    <w:basedOn w:val="ManualNumPar1"/>
    <w:rsid w:val="00FD02C0"/>
  </w:style>
  <w:style w:type="paragraph" w:customStyle="1" w:styleId="Txt2">
    <w:name w:val="Txt 2"/>
    <w:basedOn w:val="Text4"/>
    <w:rsid w:val="00FD02C0"/>
    <w:pPr>
      <w:ind w:left="1985"/>
    </w:pPr>
  </w:style>
  <w:style w:type="paragraph" w:customStyle="1" w:styleId="title-doc-first">
    <w:name w:val="title-doc-first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oc-last">
    <w:name w:val="title-doc-last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styleId="FollowedHyperlink">
    <w:name w:val="FollowedHyperlink"/>
    <w:basedOn w:val="DefaultParagraphFont"/>
    <w:uiPriority w:val="99"/>
    <w:unhideWhenUsed/>
    <w:rsid w:val="00FD02C0"/>
    <w:rPr>
      <w:color w:val="800080"/>
      <w:u w:val="single"/>
    </w:rPr>
  </w:style>
  <w:style w:type="paragraph" w:customStyle="1" w:styleId="title-doc-oj-reference">
    <w:name w:val="title-doc-oj-reference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modifiers">
    <w:name w:val="hd-modifiers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">
    <w:name w:val="norm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1">
    <w:name w:val="hd-toc-1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2">
    <w:name w:val="hd-toc-2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3">
    <w:name w:val="hd-toc-3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arrow">
    <w:name w:val="arrow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fam-member-star">
    <w:name w:val="title-fam-member-star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oc-1">
    <w:name w:val="toc-1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oc-2">
    <w:name w:val="toc-2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styleId="NormalWeb">
    <w:name w:val="Normal (Web)"/>
    <w:basedOn w:val="Normal"/>
    <w:uiPriority w:val="99"/>
    <w:unhideWhenUsed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fam-member">
    <w:name w:val="title-fam-member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ivision-1">
    <w:name w:val="title-division-1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ivision-2">
    <w:name w:val="title-division-2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boldface">
    <w:name w:val="boldface"/>
    <w:basedOn w:val="DefaultParagraphFont"/>
    <w:rsid w:val="00FD02C0"/>
  </w:style>
  <w:style w:type="paragraph" w:customStyle="1" w:styleId="title-article-norm">
    <w:name w:val="title-article-norm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stitle-article-norm">
    <w:name w:val="stitle-article-norm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no-parag">
    <w:name w:val="no-parag"/>
    <w:basedOn w:val="DefaultParagraphFont"/>
    <w:rsid w:val="00FD02C0"/>
  </w:style>
  <w:style w:type="paragraph" w:customStyle="1" w:styleId="modref">
    <w:name w:val="modref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superscript">
    <w:name w:val="superscript"/>
    <w:basedOn w:val="DefaultParagraphFont"/>
    <w:rsid w:val="00FD02C0"/>
  </w:style>
  <w:style w:type="character" w:customStyle="1" w:styleId="italics">
    <w:name w:val="italics"/>
    <w:basedOn w:val="DefaultParagraphFont"/>
    <w:rsid w:val="00FD02C0"/>
  </w:style>
  <w:style w:type="character" w:customStyle="1" w:styleId="expanded">
    <w:name w:val="expanded"/>
    <w:basedOn w:val="DefaultParagraphFont"/>
    <w:rsid w:val="00FD02C0"/>
  </w:style>
  <w:style w:type="paragraph" w:customStyle="1" w:styleId="Normal1">
    <w:name w:val="Normal1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List1">
    <w:name w:val="List1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bl-norm">
    <w:name w:val="tbl-norm"/>
    <w:basedOn w:val="Normal"/>
    <w:rsid w:val="00FD02C0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basedOn w:val="DefaultParagraphFont"/>
    <w:rsid w:val="00FD02C0"/>
    <w:rPr>
      <w:rFonts w:ascii="Segoe UI" w:hAnsi="Segoe UI" w:cs="Segoe UI" w:hint="default"/>
      <w:b/>
      <w:bCs/>
      <w:i/>
      <w:iCs/>
      <w:color w:val="0000FF"/>
      <w:sz w:val="18"/>
      <w:szCs w:val="18"/>
      <w:shd w:val="clear" w:color="auto" w:fill="D3D3D3"/>
    </w:rPr>
  </w:style>
  <w:style w:type="character" w:customStyle="1" w:styleId="cf11">
    <w:name w:val="cf11"/>
    <w:basedOn w:val="DefaultParagraphFont"/>
    <w:rsid w:val="00FD02C0"/>
    <w:rPr>
      <w:rFonts w:ascii="Segoe UI" w:hAnsi="Segoe UI" w:cs="Segoe UI" w:hint="default"/>
      <w:b/>
      <w:bCs/>
      <w:i/>
      <w:iCs/>
      <w:sz w:val="18"/>
      <w:szCs w:val="18"/>
      <w:shd w:val="clear" w:color="auto" w:fill="D3D3D3"/>
    </w:rPr>
  </w:style>
  <w:style w:type="character" w:customStyle="1" w:styleId="cf21">
    <w:name w:val="cf21"/>
    <w:basedOn w:val="DefaultParagraphFont"/>
    <w:rsid w:val="00FD02C0"/>
    <w:rPr>
      <w:rFonts w:ascii="Segoe UI" w:hAnsi="Segoe UI" w:cs="Segoe UI" w:hint="default"/>
      <w:strike/>
      <w:color w:val="FF0000"/>
      <w:sz w:val="18"/>
      <w:szCs w:val="18"/>
      <w:shd w:val="clear" w:color="auto" w:fill="D3D3D3"/>
    </w:rPr>
  </w:style>
  <w:style w:type="table" w:customStyle="1" w:styleId="TableGrid1">
    <w:name w:val="Table Grid1"/>
    <w:basedOn w:val="TableNormal"/>
    <w:next w:val="TableGrid"/>
    <w:uiPriority w:val="39"/>
    <w:rsid w:val="00FD02C0"/>
    <w:rPr>
      <w:rFonts w:ascii="Calibri" w:eastAsia="Calibri" w:hAnsi="Calibri" w:cs="Arial"/>
      <w:sz w:val="22"/>
      <w:szCs w:val="22"/>
      <w:lang w:val="it-IT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reg/2024/114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C0627-24F6-41C7-813E-986B6E61D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AP</dc:creator>
  <cp:keywords/>
  <cp:lastModifiedBy>DAFFARA Paolo </cp:lastModifiedBy>
  <cp:revision>2</cp:revision>
  <cp:lastPrinted>2004-11-19T15:42:00Z</cp:lastPrinted>
  <dcterms:created xsi:type="dcterms:W3CDTF">2024-04-29T15:16:00Z</dcterms:created>
  <dcterms:modified xsi:type="dcterms:W3CDTF">2024-04-29T15:16:00Z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P9_TA(2024)0101_</vt:lpwstr>
  </property>
  <property fmtid="{D5CDD505-2E9C-101B-9397-08002B2CF9AE}" pid="4" name="&lt;Type&gt;">
    <vt:lpwstr>RR</vt:lpwstr>
  </property>
</Properties>
</file>