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D5B6E" w14:paraId="69FCEB6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B380EA7" w14:textId="77777777" w:rsidR="00751A4A" w:rsidRPr="00FD5B6E" w:rsidRDefault="000033F9" w:rsidP="0010095E">
            <w:pPr>
              <w:pStyle w:val="EPName"/>
            </w:pPr>
            <w:r w:rsidRPr="00FD5B6E">
              <w:t>Parlamento Europeu</w:t>
            </w:r>
          </w:p>
          <w:p w14:paraId="5096EDF7" w14:textId="77777777" w:rsidR="00751A4A" w:rsidRPr="00FD5B6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F65E8">
              <w:t>2019</w:t>
            </w:r>
            <w:r w:rsidRPr="00FD5B6E">
              <w:t>-</w:t>
            </w:r>
            <w:r w:rsidRPr="00BF65E8">
              <w:t>2024</w:t>
            </w:r>
          </w:p>
        </w:tc>
        <w:tc>
          <w:tcPr>
            <w:tcW w:w="2268" w:type="dxa"/>
            <w:shd w:val="clear" w:color="auto" w:fill="auto"/>
          </w:tcPr>
          <w:p w14:paraId="4933F9A4" w14:textId="77777777" w:rsidR="00751A4A" w:rsidRPr="00FD5B6E" w:rsidRDefault="00187494" w:rsidP="0010095E">
            <w:pPr>
              <w:pStyle w:val="EPLogo"/>
            </w:pPr>
            <w:r w:rsidRPr="00FD5B6E">
              <w:rPr>
                <w:noProof/>
                <w:lang w:val="en-GB"/>
              </w:rPr>
              <w:drawing>
                <wp:inline distT="0" distB="0" distL="0" distR="0" wp14:anchorId="23DA486C" wp14:editId="08191A8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DFE507" w14:textId="77777777" w:rsidR="00D058B8" w:rsidRPr="00FD5B6E" w:rsidRDefault="00D058B8" w:rsidP="004C5D52">
      <w:pPr>
        <w:pStyle w:val="LineTop"/>
      </w:pPr>
    </w:p>
    <w:p w14:paraId="7661F4C3" w14:textId="77777777" w:rsidR="00680577" w:rsidRPr="00FD5B6E" w:rsidRDefault="000033F9" w:rsidP="00680577">
      <w:pPr>
        <w:pStyle w:val="EPBodyTA1"/>
      </w:pPr>
      <w:r w:rsidRPr="00FD5B6E">
        <w:t>TEXTOS APROVADOS</w:t>
      </w:r>
    </w:p>
    <w:p w14:paraId="26F7D806" w14:textId="77777777" w:rsidR="00D058B8" w:rsidRPr="00FD5B6E" w:rsidRDefault="00D058B8" w:rsidP="00D058B8">
      <w:pPr>
        <w:pStyle w:val="LineBottom"/>
      </w:pPr>
    </w:p>
    <w:p w14:paraId="0D272956" w14:textId="226B02EB" w:rsidR="000033F9" w:rsidRPr="00FD5B6E" w:rsidRDefault="000033F9" w:rsidP="000033F9">
      <w:pPr>
        <w:pStyle w:val="ATHeading1"/>
      </w:pPr>
      <w:bookmarkStart w:id="0" w:name="TANumber"/>
      <w:r w:rsidRPr="00FD5B6E">
        <w:t>P</w:t>
      </w:r>
      <w:r w:rsidRPr="00BF65E8">
        <w:t>9</w:t>
      </w:r>
      <w:r w:rsidRPr="00FD5B6E">
        <w:t>_</w:t>
      </w:r>
      <w:proofErr w:type="gramStart"/>
      <w:r w:rsidRPr="00FD5B6E">
        <w:t>TA(</w:t>
      </w:r>
      <w:proofErr w:type="gramEnd"/>
      <w:r w:rsidRPr="00BF65E8">
        <w:t>2024</w:t>
      </w:r>
      <w:r w:rsidRPr="00FD5B6E">
        <w:t>)</w:t>
      </w:r>
      <w:r w:rsidRPr="00BF65E8">
        <w:t>0</w:t>
      </w:r>
      <w:bookmarkEnd w:id="0"/>
      <w:r w:rsidR="000F440B" w:rsidRPr="00BF65E8">
        <w:t>101</w:t>
      </w:r>
    </w:p>
    <w:p w14:paraId="326982D6" w14:textId="4896DBD8" w:rsidR="000033F9" w:rsidRPr="00FD5B6E" w:rsidRDefault="000033F9" w:rsidP="000033F9">
      <w:pPr>
        <w:pStyle w:val="ATHeading2"/>
      </w:pPr>
      <w:bookmarkStart w:id="1" w:name="title"/>
      <w:r w:rsidRPr="00FD5B6E">
        <w:t>Indicações geográficas para o vinho, as bebidas espirituosas e os produtos agrícolas</w:t>
      </w:r>
      <w:bookmarkEnd w:id="1"/>
    </w:p>
    <w:p w14:paraId="14CD273C" w14:textId="77777777" w:rsidR="000033F9" w:rsidRPr="00FD5B6E" w:rsidRDefault="000033F9" w:rsidP="000033F9">
      <w:pPr>
        <w:rPr>
          <w:i/>
          <w:vanish/>
        </w:rPr>
      </w:pPr>
      <w:r w:rsidRPr="00FD5B6E">
        <w:rPr>
          <w:i/>
        </w:rPr>
        <w:fldChar w:fldCharType="begin"/>
      </w:r>
      <w:r w:rsidRPr="00FD5B6E">
        <w:rPr>
          <w:i/>
        </w:rPr>
        <w:instrText xml:space="preserve"> TC"(</w:instrText>
      </w:r>
      <w:bookmarkStart w:id="2" w:name="DocNumber"/>
      <w:r w:rsidRPr="00FD5B6E">
        <w:rPr>
          <w:i/>
        </w:rPr>
        <w:instrText>A</w:instrText>
      </w:r>
      <w:r w:rsidRPr="00BF65E8">
        <w:rPr>
          <w:i/>
        </w:rPr>
        <w:instrText>9</w:instrText>
      </w:r>
      <w:r w:rsidRPr="00FD5B6E">
        <w:rPr>
          <w:i/>
        </w:rPr>
        <w:instrText>-</w:instrText>
      </w:r>
      <w:r w:rsidRPr="00BF65E8">
        <w:rPr>
          <w:i/>
        </w:rPr>
        <w:instrText>0173</w:instrText>
      </w:r>
      <w:r w:rsidRPr="00FD5B6E">
        <w:rPr>
          <w:i/>
        </w:rPr>
        <w:instrText>/</w:instrText>
      </w:r>
      <w:r w:rsidRPr="00BF65E8">
        <w:rPr>
          <w:i/>
        </w:rPr>
        <w:instrText>2023</w:instrText>
      </w:r>
      <w:bookmarkEnd w:id="2"/>
      <w:r w:rsidRPr="00FD5B6E">
        <w:rPr>
          <w:i/>
        </w:rPr>
        <w:instrText xml:space="preserve"> - Relator: Paolo De Castro)"\l</w:instrText>
      </w:r>
      <w:r w:rsidRPr="00BF65E8">
        <w:rPr>
          <w:i/>
        </w:rPr>
        <w:instrText>3</w:instrText>
      </w:r>
      <w:r w:rsidRPr="00FD5B6E">
        <w:rPr>
          <w:i/>
        </w:rPr>
        <w:instrText xml:space="preserve"> \n&gt; \* MERGEFORMAT </w:instrText>
      </w:r>
      <w:r w:rsidRPr="00FD5B6E">
        <w:rPr>
          <w:i/>
        </w:rPr>
        <w:fldChar w:fldCharType="end"/>
      </w:r>
    </w:p>
    <w:p w14:paraId="1D66D3F5" w14:textId="77777777" w:rsidR="000033F9" w:rsidRPr="00FD5B6E" w:rsidRDefault="000033F9" w:rsidP="000033F9">
      <w:pPr>
        <w:rPr>
          <w:vanish/>
        </w:rPr>
      </w:pPr>
      <w:bookmarkStart w:id="3" w:name="Commission"/>
      <w:r w:rsidRPr="00FD5B6E">
        <w:rPr>
          <w:vanish/>
        </w:rPr>
        <w:t>Comissão da Agricultura e do Desenvolvimento Rural</w:t>
      </w:r>
      <w:bookmarkEnd w:id="3"/>
    </w:p>
    <w:p w14:paraId="0CDE2976" w14:textId="77777777" w:rsidR="000033F9" w:rsidRPr="00FD5B6E" w:rsidRDefault="000033F9" w:rsidP="000033F9">
      <w:pPr>
        <w:rPr>
          <w:vanish/>
        </w:rPr>
      </w:pPr>
      <w:bookmarkStart w:id="4" w:name="PE"/>
      <w:r w:rsidRPr="00FD5B6E">
        <w:rPr>
          <w:vanish/>
        </w:rPr>
        <w:t>PE</w:t>
      </w:r>
      <w:r w:rsidRPr="00BF65E8">
        <w:rPr>
          <w:vanish/>
        </w:rPr>
        <w:t>736</w:t>
      </w:r>
      <w:r w:rsidRPr="00FD5B6E">
        <w:rPr>
          <w:vanish/>
        </w:rPr>
        <w:t>.</w:t>
      </w:r>
      <w:r w:rsidRPr="00BF65E8">
        <w:rPr>
          <w:vanish/>
        </w:rPr>
        <w:t>493</w:t>
      </w:r>
      <w:bookmarkEnd w:id="4"/>
    </w:p>
    <w:p w14:paraId="41E943F9" w14:textId="485F8A78" w:rsidR="000033F9" w:rsidRPr="00FD5B6E" w:rsidRDefault="000033F9" w:rsidP="000033F9">
      <w:pPr>
        <w:pStyle w:val="ATHeading3"/>
      </w:pPr>
      <w:bookmarkStart w:id="5" w:name="Sujet"/>
      <w:r w:rsidRPr="00FD5B6E">
        <w:t xml:space="preserve">Resolução legislativa do Parlamento Europeu, de </w:t>
      </w:r>
      <w:r w:rsidR="00337452" w:rsidRPr="00BF65E8">
        <w:t>28</w:t>
      </w:r>
      <w:r w:rsidRPr="00FD5B6E">
        <w:t xml:space="preserve"> de </w:t>
      </w:r>
      <w:r w:rsidR="00337452" w:rsidRPr="00FD5B6E">
        <w:t>fevereiro</w:t>
      </w:r>
      <w:r w:rsidRPr="00FD5B6E">
        <w:t xml:space="preserve"> de </w:t>
      </w:r>
      <w:r w:rsidRPr="00BF65E8">
        <w:t>2024</w:t>
      </w:r>
      <w:r w:rsidRPr="00FD5B6E">
        <w:t xml:space="preserve">, sobre a proposta de regulamento do Parlamento Europeu e do Conselho relativo às indicações geográficas da União Europeia para o vinho, as bebidas espirituosas e os produtos agrícolas, e aos regimes de qualidade dos produtos agrícolas, que altera os Regulamentos (UE) n.º </w:t>
      </w:r>
      <w:r w:rsidRPr="00BF65E8">
        <w:t>1308</w:t>
      </w:r>
      <w:r w:rsidRPr="00FD5B6E">
        <w:t>/</w:t>
      </w:r>
      <w:r w:rsidRPr="00BF65E8">
        <w:t>2013</w:t>
      </w:r>
      <w:r w:rsidRPr="00FD5B6E">
        <w:t xml:space="preserve">, (UE) </w:t>
      </w:r>
      <w:r w:rsidRPr="00BF65E8">
        <w:t>2017</w:t>
      </w:r>
      <w:r w:rsidRPr="00FD5B6E">
        <w:t>/</w:t>
      </w:r>
      <w:r w:rsidRPr="00BF65E8">
        <w:t>1001</w:t>
      </w:r>
      <w:r w:rsidRPr="00FD5B6E">
        <w:t xml:space="preserve"> e (UE) </w:t>
      </w:r>
      <w:r w:rsidRPr="00BF65E8">
        <w:t>2019</w:t>
      </w:r>
      <w:r w:rsidRPr="00FD5B6E">
        <w:t>/</w:t>
      </w:r>
      <w:r w:rsidRPr="00BF65E8">
        <w:t>787</w:t>
      </w:r>
      <w:r w:rsidRPr="00FD5B6E">
        <w:t xml:space="preserve"> e que revoga o Regulamento (UE) n.º </w:t>
      </w:r>
      <w:r w:rsidRPr="00BF65E8">
        <w:t>1151</w:t>
      </w:r>
      <w:r w:rsidRPr="00FD5B6E">
        <w:t>/</w:t>
      </w:r>
      <w:r w:rsidRPr="00BF65E8">
        <w:t>2012</w:t>
      </w:r>
      <w:bookmarkEnd w:id="5"/>
      <w:r w:rsidRPr="00FD5B6E">
        <w:t xml:space="preserve"> </w:t>
      </w:r>
      <w:bookmarkStart w:id="6" w:name="References"/>
      <w:r w:rsidRPr="00FD5B6E">
        <w:t>(</w:t>
      </w:r>
      <w:proofErr w:type="gramStart"/>
      <w:r w:rsidRPr="00FD5B6E">
        <w:t>COM(</w:t>
      </w:r>
      <w:proofErr w:type="gramEnd"/>
      <w:r w:rsidRPr="00BF65E8">
        <w:t>2022</w:t>
      </w:r>
      <w:r w:rsidRPr="00FD5B6E">
        <w:t>)</w:t>
      </w:r>
      <w:r w:rsidRPr="00BF65E8">
        <w:t>0134</w:t>
      </w:r>
      <w:r w:rsidRPr="00FD5B6E">
        <w:t xml:space="preserve"> – C</w:t>
      </w:r>
      <w:r w:rsidRPr="00BF65E8">
        <w:t>9</w:t>
      </w:r>
      <w:r w:rsidRPr="00FD5B6E">
        <w:t>-</w:t>
      </w:r>
      <w:r w:rsidRPr="00BF65E8">
        <w:t>0130</w:t>
      </w:r>
      <w:r w:rsidRPr="00FD5B6E">
        <w:t>/</w:t>
      </w:r>
      <w:r w:rsidRPr="00BF65E8">
        <w:t>2022</w:t>
      </w:r>
      <w:r w:rsidRPr="00FD5B6E">
        <w:t xml:space="preserve"> – </w:t>
      </w:r>
      <w:r w:rsidRPr="00BF65E8">
        <w:t>2022</w:t>
      </w:r>
      <w:r w:rsidRPr="00FD5B6E">
        <w:t>/</w:t>
      </w:r>
      <w:r w:rsidRPr="00BF65E8">
        <w:t>0089</w:t>
      </w:r>
      <w:r w:rsidRPr="00FD5B6E">
        <w:t>(COD))</w:t>
      </w:r>
      <w:bookmarkEnd w:id="6"/>
    </w:p>
    <w:p w14:paraId="5FF0EBE3" w14:textId="77777777" w:rsidR="004320B7" w:rsidRPr="00FD5B6E" w:rsidRDefault="004320B7" w:rsidP="004320B7">
      <w:pPr>
        <w:pStyle w:val="NormalBold"/>
      </w:pPr>
      <w:bookmarkStart w:id="7" w:name="TextBodyBegin"/>
      <w:bookmarkEnd w:id="7"/>
      <w:r w:rsidRPr="00FD5B6E">
        <w:t>(Processo legislativo ordinário: primeira leitura)</w:t>
      </w:r>
    </w:p>
    <w:p w14:paraId="38964732" w14:textId="77777777" w:rsidR="004320B7" w:rsidRPr="00FD5B6E" w:rsidRDefault="004320B7" w:rsidP="004320B7">
      <w:pPr>
        <w:pStyle w:val="EPComma"/>
      </w:pPr>
      <w:r w:rsidRPr="00FD5B6E">
        <w:rPr>
          <w:i/>
        </w:rPr>
        <w:t>O Parlamento Europeu</w:t>
      </w:r>
      <w:r w:rsidRPr="00FD5B6E">
        <w:t>,</w:t>
      </w:r>
    </w:p>
    <w:p w14:paraId="783619EF" w14:textId="446386E9" w:rsidR="004320B7" w:rsidRPr="00FD5B6E" w:rsidRDefault="004320B7" w:rsidP="004320B7">
      <w:pPr>
        <w:pStyle w:val="NormalHanging12a"/>
      </w:pPr>
      <w:r w:rsidRPr="00FD5B6E">
        <w:t>–</w:t>
      </w:r>
      <w:r w:rsidRPr="00FD5B6E">
        <w:tab/>
        <w:t>Tendo em conta a proposta da Comissão ao Parlamento e ao Conselho (</w:t>
      </w:r>
      <w:proofErr w:type="gramStart"/>
      <w:r w:rsidRPr="00FD5B6E">
        <w:t>COM(</w:t>
      </w:r>
      <w:proofErr w:type="gramEnd"/>
      <w:r w:rsidRPr="00BF65E8">
        <w:t>2022</w:t>
      </w:r>
      <w:r w:rsidRPr="00FD5B6E">
        <w:t>)</w:t>
      </w:r>
      <w:r w:rsidRPr="00BF65E8">
        <w:t>0134</w:t>
      </w:r>
      <w:r w:rsidRPr="00FD5B6E">
        <w:t>),</w:t>
      </w:r>
    </w:p>
    <w:p w14:paraId="4E8DDEAF" w14:textId="3323832D" w:rsidR="004320B7" w:rsidRPr="00FD5B6E" w:rsidRDefault="004320B7" w:rsidP="004320B7">
      <w:pPr>
        <w:pStyle w:val="NormalHanging12a"/>
      </w:pPr>
      <w:r w:rsidRPr="00FD5B6E">
        <w:t>–</w:t>
      </w:r>
      <w:r w:rsidRPr="00FD5B6E">
        <w:tab/>
        <w:t xml:space="preserve">Tendo em conta o artigo </w:t>
      </w:r>
      <w:r w:rsidRPr="00BF65E8">
        <w:t>294</w:t>
      </w:r>
      <w:r w:rsidRPr="00FD5B6E">
        <w:t xml:space="preserve">.º, n.º </w:t>
      </w:r>
      <w:r w:rsidRPr="00BF65E8">
        <w:t>2</w:t>
      </w:r>
      <w:r w:rsidRPr="00FD5B6E">
        <w:t xml:space="preserve">, o artigo </w:t>
      </w:r>
      <w:r w:rsidRPr="00BF65E8">
        <w:t>43</w:t>
      </w:r>
      <w:r w:rsidRPr="00FD5B6E">
        <w:t xml:space="preserve">.º, n.º </w:t>
      </w:r>
      <w:r w:rsidRPr="00BF65E8">
        <w:t>2</w:t>
      </w:r>
      <w:r w:rsidRPr="00FD5B6E">
        <w:t xml:space="preserve">, e o artigo </w:t>
      </w:r>
      <w:r w:rsidRPr="00BF65E8">
        <w:t>118</w:t>
      </w:r>
      <w:r w:rsidRPr="00FD5B6E">
        <w:t xml:space="preserve">.º, n.º </w:t>
      </w:r>
      <w:r w:rsidRPr="00BF65E8">
        <w:t>1</w:t>
      </w:r>
      <w:r w:rsidRPr="00FD5B6E">
        <w:t>, do Tratado sobre o Funcionamento da União Europeia, nos termos dos quais a proposta lhe foi apresentada pela Comissão (C</w:t>
      </w:r>
      <w:r w:rsidRPr="00BF65E8">
        <w:t>9</w:t>
      </w:r>
      <w:r w:rsidRPr="00FD5B6E">
        <w:noBreakHyphen/>
      </w:r>
      <w:r w:rsidRPr="00BF65E8">
        <w:t>0130</w:t>
      </w:r>
      <w:r w:rsidRPr="00FD5B6E">
        <w:t>/</w:t>
      </w:r>
      <w:r w:rsidRPr="00BF65E8">
        <w:t>2022</w:t>
      </w:r>
      <w:r w:rsidRPr="00FD5B6E">
        <w:t>),</w:t>
      </w:r>
    </w:p>
    <w:p w14:paraId="33A4B8F7" w14:textId="77777777" w:rsidR="004320B7" w:rsidRPr="00FD5B6E" w:rsidRDefault="004320B7" w:rsidP="004320B7">
      <w:pPr>
        <w:pStyle w:val="NormalHanging12a"/>
      </w:pPr>
      <w:r w:rsidRPr="00FD5B6E">
        <w:t>–</w:t>
      </w:r>
      <w:r w:rsidRPr="00FD5B6E">
        <w:tab/>
        <w:t xml:space="preserve">Tendo em conta o artigo </w:t>
      </w:r>
      <w:r w:rsidRPr="00BF65E8">
        <w:t>294</w:t>
      </w:r>
      <w:r w:rsidRPr="00FD5B6E">
        <w:t xml:space="preserve">.º, n.º </w:t>
      </w:r>
      <w:r w:rsidRPr="00BF65E8">
        <w:t>3</w:t>
      </w:r>
      <w:r w:rsidRPr="00FD5B6E">
        <w:t>, do Tratado sobre o Funcionamento da União Europeia,</w:t>
      </w:r>
    </w:p>
    <w:p w14:paraId="5158A9F4" w14:textId="61C6A7A0" w:rsidR="004320B7" w:rsidRPr="00FD5B6E" w:rsidRDefault="004320B7" w:rsidP="004320B7">
      <w:pPr>
        <w:pStyle w:val="NormalHanging12a"/>
      </w:pPr>
      <w:r w:rsidRPr="00FD5B6E">
        <w:t>–</w:t>
      </w:r>
      <w:r w:rsidRPr="00FD5B6E">
        <w:tab/>
        <w:t xml:space="preserve">Tendo em conta o parecer do Comité Económico e Social Europeu de </w:t>
      </w:r>
      <w:r w:rsidRPr="00BF65E8">
        <w:t>13</w:t>
      </w:r>
      <w:r w:rsidRPr="00FD5B6E">
        <w:t xml:space="preserve"> de julho de </w:t>
      </w:r>
      <w:r w:rsidRPr="00BF65E8">
        <w:t>2022</w:t>
      </w:r>
      <w:r w:rsidRPr="00FD5B6E">
        <w:rPr>
          <w:rStyle w:val="FootnoteReference"/>
        </w:rPr>
        <w:footnoteReference w:id="1"/>
      </w:r>
      <w:r w:rsidRPr="00FD5B6E">
        <w:t>,</w:t>
      </w:r>
    </w:p>
    <w:p w14:paraId="1D199D03" w14:textId="1F9C340B" w:rsidR="00BA7CCA" w:rsidRPr="00FD5B6E" w:rsidRDefault="00153A2C" w:rsidP="004320B7">
      <w:pPr>
        <w:pStyle w:val="NormalHanging12a"/>
      </w:pPr>
      <w:r>
        <w:t>–</w:t>
      </w:r>
      <w:bookmarkStart w:id="8" w:name="_GoBack"/>
      <w:bookmarkEnd w:id="8"/>
      <w:r w:rsidR="00BA7CCA" w:rsidRPr="00FD5B6E">
        <w:tab/>
        <w:t xml:space="preserve">Tendo em conta o parecer do Comité das Regiões de </w:t>
      </w:r>
      <w:r w:rsidR="00BA7CCA" w:rsidRPr="00BF65E8">
        <w:t>30</w:t>
      </w:r>
      <w:r w:rsidR="00BA7CCA" w:rsidRPr="00FD5B6E">
        <w:t xml:space="preserve"> de novembro de </w:t>
      </w:r>
      <w:r w:rsidR="00BA7CCA" w:rsidRPr="00BF65E8">
        <w:t>2022</w:t>
      </w:r>
      <w:r w:rsidR="00BA7CCA" w:rsidRPr="00FD5B6E">
        <w:rPr>
          <w:rStyle w:val="FootnoteReference"/>
        </w:rPr>
        <w:footnoteReference w:id="2"/>
      </w:r>
      <w:r w:rsidR="00BA7CCA" w:rsidRPr="00FD5B6E">
        <w:t>,</w:t>
      </w:r>
    </w:p>
    <w:p w14:paraId="5411B95A" w14:textId="5ED9B233" w:rsidR="001E5032" w:rsidRPr="00FD5B6E" w:rsidRDefault="001E5032" w:rsidP="004320B7">
      <w:pPr>
        <w:pStyle w:val="NormalHanging12a"/>
      </w:pPr>
      <w:r w:rsidRPr="00FD5B6E">
        <w:t>–</w:t>
      </w:r>
      <w:r w:rsidRPr="00FD5B6E">
        <w:tab/>
        <w:t xml:space="preserve">Tendo em conta o acordo provisório aprovado pela comissão competente, nos termos do artigo </w:t>
      </w:r>
      <w:r w:rsidRPr="00BF65E8">
        <w:t>74</w:t>
      </w:r>
      <w:r w:rsidRPr="00FD5B6E">
        <w:t xml:space="preserve">.º, n.º </w:t>
      </w:r>
      <w:r w:rsidRPr="00BF65E8">
        <w:t>4</w:t>
      </w:r>
      <w:r w:rsidRPr="00FD5B6E">
        <w:t xml:space="preserve">, do seu Regimento, e o compromisso assumido pelo representante do Conselho, em carta de </w:t>
      </w:r>
      <w:r w:rsidRPr="00BF65E8">
        <w:t>27</w:t>
      </w:r>
      <w:r w:rsidRPr="00FD5B6E">
        <w:t xml:space="preserve"> de novembro de </w:t>
      </w:r>
      <w:r w:rsidRPr="00BF65E8">
        <w:t>2023</w:t>
      </w:r>
      <w:r w:rsidRPr="00FD5B6E">
        <w:t xml:space="preserve">, de aprovar a posição do Parlamento, nos termos do artigo </w:t>
      </w:r>
      <w:r w:rsidRPr="00BF65E8">
        <w:t>294</w:t>
      </w:r>
      <w:r w:rsidRPr="00FD5B6E">
        <w:t xml:space="preserve">.º, n.º </w:t>
      </w:r>
      <w:r w:rsidRPr="00BF65E8">
        <w:t>4</w:t>
      </w:r>
      <w:r w:rsidRPr="00FD5B6E">
        <w:t>, do Tratado sobre o Funcionamento da União Europeia,</w:t>
      </w:r>
    </w:p>
    <w:p w14:paraId="517CE7C1" w14:textId="77777777" w:rsidR="004320B7" w:rsidRPr="00FD5B6E" w:rsidRDefault="004320B7" w:rsidP="004320B7">
      <w:pPr>
        <w:pStyle w:val="NormalHanging12a"/>
      </w:pPr>
      <w:r w:rsidRPr="00FD5B6E">
        <w:lastRenderedPageBreak/>
        <w:t>–</w:t>
      </w:r>
      <w:r w:rsidRPr="00FD5B6E">
        <w:tab/>
        <w:t xml:space="preserve">Tendo em conta o artigo </w:t>
      </w:r>
      <w:r w:rsidRPr="00BF65E8">
        <w:t>59</w:t>
      </w:r>
      <w:r w:rsidRPr="00FD5B6E">
        <w:t>.º do seu Regimento,</w:t>
      </w:r>
    </w:p>
    <w:p w14:paraId="3FD3C974" w14:textId="77777777" w:rsidR="004320B7" w:rsidRPr="00FD5B6E" w:rsidRDefault="004320B7" w:rsidP="004320B7">
      <w:pPr>
        <w:pStyle w:val="NormalHanging12a"/>
        <w:rPr>
          <w:szCs w:val="24"/>
        </w:rPr>
      </w:pPr>
      <w:r w:rsidRPr="00FD5B6E">
        <w:t>–</w:t>
      </w:r>
      <w:r w:rsidRPr="00FD5B6E">
        <w:tab/>
        <w:t>Tendo em conta os pareceres da Comissão dos Assuntos Jurídicos e da Comissão do Comércio Internacional,</w:t>
      </w:r>
    </w:p>
    <w:p w14:paraId="3AE44806" w14:textId="77777777" w:rsidR="004320B7" w:rsidRPr="00FD5B6E" w:rsidRDefault="004320B7" w:rsidP="004320B7">
      <w:pPr>
        <w:pStyle w:val="NormalHanging12a"/>
        <w:rPr>
          <w:szCs w:val="24"/>
        </w:rPr>
      </w:pPr>
      <w:r w:rsidRPr="00FD5B6E">
        <w:t>–</w:t>
      </w:r>
      <w:r w:rsidRPr="00FD5B6E">
        <w:tab/>
        <w:t>Tendo em conta o relatório da Comissão da Agricultura e do Desenvolvimento Rural (A</w:t>
      </w:r>
      <w:r w:rsidRPr="00BF65E8">
        <w:t>9</w:t>
      </w:r>
      <w:r w:rsidRPr="00FD5B6E">
        <w:noBreakHyphen/>
      </w:r>
      <w:r w:rsidRPr="00BF65E8">
        <w:t>0173</w:t>
      </w:r>
      <w:r w:rsidRPr="00FD5B6E">
        <w:t>/</w:t>
      </w:r>
      <w:r w:rsidRPr="00BF65E8">
        <w:t>2023</w:t>
      </w:r>
      <w:r w:rsidRPr="00FD5B6E">
        <w:t>),</w:t>
      </w:r>
    </w:p>
    <w:p w14:paraId="62ABE2B2" w14:textId="62D85BC7" w:rsidR="004320B7" w:rsidRPr="00FD5B6E" w:rsidRDefault="004320B7" w:rsidP="004320B7">
      <w:pPr>
        <w:pStyle w:val="NormalHanging12a"/>
      </w:pPr>
      <w:r w:rsidRPr="00BF65E8">
        <w:t>1</w:t>
      </w:r>
      <w:r w:rsidRPr="00FD5B6E">
        <w:t>.</w:t>
      </w:r>
      <w:r w:rsidRPr="00FD5B6E">
        <w:tab/>
        <w:t>Aprova a posição em primeira leitura que se segue</w:t>
      </w:r>
      <w:r w:rsidR="00A12432" w:rsidRPr="00FD5B6E">
        <w:rPr>
          <w:rStyle w:val="FootnoteReference"/>
        </w:rPr>
        <w:footnoteReference w:id="3"/>
      </w:r>
      <w:r w:rsidRPr="00FD5B6E">
        <w:t>;</w:t>
      </w:r>
    </w:p>
    <w:p w14:paraId="58EEFF62" w14:textId="3ADC1FAC" w:rsidR="001E5032" w:rsidRPr="00FD5B6E" w:rsidRDefault="004320B7" w:rsidP="004320B7">
      <w:pPr>
        <w:pStyle w:val="NormalHanging12a"/>
      </w:pPr>
      <w:proofErr w:type="gramStart"/>
      <w:r w:rsidRPr="00BF65E8">
        <w:t>2</w:t>
      </w:r>
      <w:r w:rsidRPr="00FD5B6E">
        <w:t>.</w:t>
      </w:r>
      <w:r w:rsidRPr="00FD5B6E">
        <w:tab/>
      </w:r>
      <w:r w:rsidR="001E5032" w:rsidRPr="00FD5B6E">
        <w:t>Aprova</w:t>
      </w:r>
      <w:proofErr w:type="gramEnd"/>
      <w:r w:rsidR="001E5032" w:rsidRPr="00FD5B6E">
        <w:t xml:space="preserve"> a declaração comum do Parlamento Europeu e do Conselho anexa à presente resolução,</w:t>
      </w:r>
    </w:p>
    <w:p w14:paraId="7724C2AB" w14:textId="35A2B54E" w:rsidR="004320B7" w:rsidRPr="00FD5B6E" w:rsidRDefault="001E5032" w:rsidP="004320B7">
      <w:pPr>
        <w:pStyle w:val="NormalHanging12a"/>
      </w:pPr>
      <w:r w:rsidRPr="00BF65E8">
        <w:t>3</w:t>
      </w:r>
      <w:r w:rsidRPr="00FD5B6E">
        <w:t>.</w:t>
      </w:r>
      <w:r w:rsidRPr="00FD5B6E">
        <w:tab/>
      </w:r>
      <w:r w:rsidR="004320B7" w:rsidRPr="00FD5B6E">
        <w:t>Requer à Comissão que lhe submeta de novo a sua proposta, se a substituir, se a alterar substancialmente ou se pretender alterá</w:t>
      </w:r>
      <w:r w:rsidR="004320B7" w:rsidRPr="00FD5B6E">
        <w:noBreakHyphen/>
        <w:t>la substancialmente;</w:t>
      </w:r>
    </w:p>
    <w:p w14:paraId="584D0B90" w14:textId="393B76D5" w:rsidR="004320B7" w:rsidRPr="00FD5B6E" w:rsidRDefault="001E5032" w:rsidP="00774060">
      <w:pPr>
        <w:pStyle w:val="NormalHanging12a"/>
      </w:pPr>
      <w:proofErr w:type="gramStart"/>
      <w:r w:rsidRPr="00BF65E8">
        <w:t>4</w:t>
      </w:r>
      <w:r w:rsidR="004320B7" w:rsidRPr="00FD5B6E">
        <w:t>.</w:t>
      </w:r>
      <w:r w:rsidR="004320B7" w:rsidRPr="00FD5B6E">
        <w:tab/>
        <w:t>Encarrega</w:t>
      </w:r>
      <w:proofErr w:type="gramEnd"/>
      <w:r w:rsidR="004320B7" w:rsidRPr="00FD5B6E">
        <w:t xml:space="preserve"> a sua Presidente de transmitir a posição do Parlamento ao Conselho, à Comissão e aos parlamentos nacionais.</w:t>
      </w:r>
    </w:p>
    <w:p w14:paraId="1EC16D74" w14:textId="77777777" w:rsidR="00774060" w:rsidRPr="00FD5B6E" w:rsidRDefault="00774060" w:rsidP="00774060">
      <w:pPr>
        <w:pStyle w:val="NormalHanging12a"/>
        <w:sectPr w:rsidR="00774060" w:rsidRPr="00FD5B6E" w:rsidSect="008D1CE7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D90C252" w14:textId="77777777" w:rsidR="00774060" w:rsidRPr="00FD5B6E" w:rsidRDefault="00774060" w:rsidP="0077406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D5B6E">
        <w:rPr>
          <w:rFonts w:eastAsia="Calibri"/>
          <w:b/>
          <w:bCs/>
          <w:color w:val="000000"/>
          <w:szCs w:val="24"/>
        </w:rPr>
        <w:lastRenderedPageBreak/>
        <w:t>P</w:t>
      </w:r>
      <w:r w:rsidRPr="00BF65E8">
        <w:rPr>
          <w:rFonts w:eastAsia="Calibri"/>
          <w:b/>
          <w:bCs/>
          <w:color w:val="000000"/>
          <w:szCs w:val="24"/>
        </w:rPr>
        <w:t>9</w:t>
      </w:r>
      <w:r w:rsidRPr="00FD5B6E">
        <w:rPr>
          <w:rFonts w:eastAsia="Calibri"/>
          <w:b/>
          <w:bCs/>
          <w:color w:val="000000"/>
          <w:szCs w:val="24"/>
        </w:rPr>
        <w:t>_TC</w:t>
      </w:r>
      <w:r w:rsidRPr="00BF65E8">
        <w:rPr>
          <w:rFonts w:eastAsia="Calibri"/>
          <w:b/>
          <w:bCs/>
          <w:color w:val="000000"/>
          <w:szCs w:val="24"/>
        </w:rPr>
        <w:t>1</w:t>
      </w:r>
      <w:r w:rsidRPr="00FD5B6E">
        <w:rPr>
          <w:rFonts w:eastAsia="Calibri"/>
          <w:b/>
          <w:bCs/>
          <w:color w:val="000000"/>
          <w:szCs w:val="24"/>
        </w:rPr>
        <w:t>-</w:t>
      </w:r>
      <w:proofErr w:type="gramStart"/>
      <w:r w:rsidRPr="00FD5B6E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BF65E8">
        <w:rPr>
          <w:rFonts w:eastAsia="Calibri"/>
          <w:b/>
          <w:bCs/>
          <w:color w:val="000000"/>
          <w:szCs w:val="24"/>
        </w:rPr>
        <w:t>2022</w:t>
      </w:r>
      <w:r w:rsidRPr="00FD5B6E">
        <w:rPr>
          <w:rFonts w:eastAsia="Calibri"/>
          <w:b/>
          <w:bCs/>
          <w:color w:val="000000"/>
          <w:szCs w:val="24"/>
        </w:rPr>
        <w:t>)</w:t>
      </w:r>
      <w:r w:rsidRPr="00BF65E8">
        <w:rPr>
          <w:rFonts w:eastAsia="Calibri"/>
          <w:b/>
          <w:bCs/>
          <w:color w:val="000000"/>
          <w:szCs w:val="24"/>
        </w:rPr>
        <w:t>0089</w:t>
      </w:r>
    </w:p>
    <w:p w14:paraId="357BB30F" w14:textId="67AC1A0D" w:rsidR="00774060" w:rsidRPr="00D0496D" w:rsidRDefault="00774060" w:rsidP="00774060">
      <w:pPr>
        <w:pStyle w:val="NormalHanging12a"/>
        <w:ind w:left="0" w:firstLine="0"/>
        <w:rPr>
          <w:rFonts w:eastAsia="Calibri"/>
          <w:b/>
          <w:color w:val="000000"/>
          <w:szCs w:val="22"/>
          <w:lang w:eastAsia="en-US"/>
        </w:rPr>
      </w:pPr>
      <w:r w:rsidRPr="00D0496D">
        <w:rPr>
          <w:rFonts w:eastAsia="Calibri"/>
          <w:b/>
          <w:szCs w:val="24"/>
          <w:lang w:eastAsia="en-US"/>
        </w:rPr>
        <w:t xml:space="preserve">Posição do Parlamento Europeu aprovada em primeira leitura em 28 de fevereiro de 2024 tendo em vista a adoção do Regulamento (UE) 2024/... do Parlamento Europeu e do Conselho </w:t>
      </w:r>
      <w:r w:rsidRPr="00D0496D">
        <w:rPr>
          <w:rFonts w:eastAsia="Calibri"/>
          <w:b/>
          <w:color w:val="000000"/>
          <w:szCs w:val="22"/>
          <w:lang w:eastAsia="en-US"/>
        </w:rPr>
        <w:t xml:space="preserve">relativo às indicações geográficas para o vinho, as bebidas espirituosas e os produtos agrícolas, bem como às especialidades tradicionais garantidas e às menções de qualidade facultativas para os produtos agrícolas, que </w:t>
      </w:r>
      <w:r w:rsidR="00D0496D">
        <w:rPr>
          <w:rFonts w:eastAsia="Calibri"/>
          <w:b/>
          <w:color w:val="000000"/>
          <w:szCs w:val="22"/>
          <w:lang w:eastAsia="en-US"/>
        </w:rPr>
        <w:t>altera os Regulamentos (UE) n.º </w:t>
      </w:r>
      <w:r w:rsidRPr="00D0496D">
        <w:rPr>
          <w:rFonts w:eastAsia="Calibri"/>
          <w:b/>
          <w:color w:val="000000"/>
          <w:szCs w:val="22"/>
          <w:lang w:eastAsia="en-US"/>
        </w:rPr>
        <w:t>1308/2013, (UE) 2019/787 e (UE) 2019/1753 e qu</w:t>
      </w:r>
      <w:r w:rsidR="00D0496D">
        <w:rPr>
          <w:rFonts w:eastAsia="Calibri"/>
          <w:b/>
          <w:color w:val="000000"/>
          <w:szCs w:val="22"/>
          <w:lang w:eastAsia="en-US"/>
        </w:rPr>
        <w:t>e revoga o Regulamento (UE) n.º </w:t>
      </w:r>
      <w:r w:rsidRPr="00D0496D">
        <w:rPr>
          <w:rFonts w:eastAsia="Calibri"/>
          <w:b/>
          <w:color w:val="000000"/>
          <w:szCs w:val="22"/>
          <w:lang w:eastAsia="en-US"/>
        </w:rPr>
        <w:t>1151/2012</w:t>
      </w:r>
    </w:p>
    <w:p w14:paraId="4E20CA63" w14:textId="77777777" w:rsidR="00D0496D" w:rsidRDefault="00D0496D" w:rsidP="00774060">
      <w:pPr>
        <w:pStyle w:val="NormalHanging12a"/>
        <w:ind w:left="0" w:firstLine="0"/>
        <w:rPr>
          <w:i/>
        </w:rPr>
      </w:pPr>
    </w:p>
    <w:p w14:paraId="71B6DA94" w14:textId="5F4AA820" w:rsidR="00D90A7B" w:rsidRPr="00D0496D" w:rsidRDefault="00D0496D" w:rsidP="00774060">
      <w:pPr>
        <w:pStyle w:val="NormalHanging12a"/>
        <w:ind w:left="0" w:firstLine="0"/>
        <w:rPr>
          <w:i/>
        </w:rPr>
      </w:pPr>
      <w:r w:rsidRPr="00D0496D">
        <w:rPr>
          <w:i/>
        </w:rPr>
        <w:t>(Uma vez que foi alcançado um acordo entre o Parlamento e o Conselho, a posição do Parlamento corresponde ao texto legislativo final, Regulamento</w:t>
      </w:r>
      <w:r>
        <w:rPr>
          <w:i/>
        </w:rPr>
        <w:t>(UE) 2024/1143</w:t>
      </w:r>
      <w:r w:rsidRPr="00D0496D">
        <w:rPr>
          <w:i/>
        </w:rPr>
        <w:t>.</w:t>
      </w:r>
      <w:r>
        <w:rPr>
          <w:i/>
        </w:rPr>
        <w:t>)</w:t>
      </w:r>
    </w:p>
    <w:p w14:paraId="578A6DAB" w14:textId="77777777" w:rsidR="00D0496D" w:rsidRDefault="00D0496D" w:rsidP="00774060">
      <w:pPr>
        <w:pStyle w:val="NormalHanging12a"/>
        <w:ind w:left="0" w:firstLine="0"/>
      </w:pPr>
    </w:p>
    <w:p w14:paraId="442450DF" w14:textId="77777777" w:rsidR="00D0496D" w:rsidRPr="00FD5B6E" w:rsidRDefault="00D0496D" w:rsidP="00774060">
      <w:pPr>
        <w:pStyle w:val="NormalHanging12a"/>
        <w:ind w:left="0" w:firstLine="0"/>
        <w:sectPr w:rsidR="00D0496D" w:rsidRPr="00FD5B6E" w:rsidSect="008D1CE7">
          <w:headerReference w:type="even" r:id="rId9"/>
          <w:headerReference w:type="default" r:id="rId10"/>
          <w:footerReference w:type="even" r:id="rId11"/>
          <w:headerReference w:type="first" r:id="rId12"/>
          <w:footerReference w:type="first" r:id="rId13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3C9F822" w14:textId="6D4BF678" w:rsidR="00774060" w:rsidRPr="00FD5B6E" w:rsidRDefault="00D90A7B" w:rsidP="00FD5B6E">
      <w:pPr>
        <w:pStyle w:val="NormalHanging12a"/>
        <w:ind w:left="0" w:firstLine="0"/>
        <w:jc w:val="right"/>
      </w:pPr>
      <w:r w:rsidRPr="00FD5B6E">
        <w:lastRenderedPageBreak/>
        <w:t>ANEXO DA RESOLUÇÃO LEGISLATIVA</w:t>
      </w:r>
    </w:p>
    <w:p w14:paraId="1C451291" w14:textId="433A9158" w:rsidR="00D90A7B" w:rsidRPr="00FD5B6E" w:rsidRDefault="00D90A7B" w:rsidP="00D90A7B">
      <w:pPr>
        <w:pStyle w:val="Normal12a"/>
        <w:spacing w:before="480" w:after="480"/>
        <w:jc w:val="center"/>
      </w:pPr>
      <w:r w:rsidRPr="00FD5B6E">
        <w:rPr>
          <w:b/>
        </w:rPr>
        <w:t>Declaração comum do Parlamento Europeu e do Co</w:t>
      </w:r>
      <w:r w:rsidR="00D0496D">
        <w:rPr>
          <w:b/>
        </w:rPr>
        <w:t>nselho por ocasião da adoção do Regulamento (UE) </w:t>
      </w:r>
      <w:r w:rsidRPr="00BF65E8">
        <w:rPr>
          <w:b/>
        </w:rPr>
        <w:t>2024</w:t>
      </w:r>
      <w:r w:rsidRPr="00FD5B6E">
        <w:rPr>
          <w:b/>
        </w:rPr>
        <w:t>/</w:t>
      </w:r>
      <w:r w:rsidR="00D0496D">
        <w:rPr>
          <w:b/>
        </w:rPr>
        <w:t>1143</w:t>
      </w:r>
      <w:r w:rsidR="00D0496D">
        <w:rPr>
          <w:rStyle w:val="FootnoteReference"/>
          <w:b/>
        </w:rPr>
        <w:footnoteReference w:id="4"/>
      </w:r>
    </w:p>
    <w:p w14:paraId="20E60A36" w14:textId="77777777" w:rsidR="00D90A7B" w:rsidRPr="00FD5B6E" w:rsidRDefault="00D90A7B" w:rsidP="00D90A7B">
      <w:pPr>
        <w:pStyle w:val="Normal12a"/>
        <w:spacing w:before="120" w:after="120" w:line="360" w:lineRule="auto"/>
      </w:pPr>
      <w:r w:rsidRPr="00FD5B6E">
        <w:t>O Parlamento Europeu e o Conselho sublinham que todos os procedimentos relativos às indicações geográficas regidos pelo presente regulamento continuam a ser da exclusiva responsabilidade da Comissão.</w:t>
      </w:r>
    </w:p>
    <w:p w14:paraId="342282AC" w14:textId="77777777" w:rsidR="00D90A7B" w:rsidRPr="00FD5B6E" w:rsidRDefault="00D90A7B" w:rsidP="00D90A7B">
      <w:pPr>
        <w:pStyle w:val="Normal12a"/>
        <w:spacing w:before="120" w:after="120" w:line="360" w:lineRule="auto"/>
      </w:pPr>
      <w:r w:rsidRPr="00FD5B6E">
        <w:t>O Parlamento Europeu e o Conselho observam que a Comissão só pode ser assistida para a execução de funções administrativas, se e na medida em que o quadro jurídico em vigor o permitir.</w:t>
      </w:r>
    </w:p>
    <w:p w14:paraId="163B5DB2" w14:textId="33956C85" w:rsidR="00D90A7B" w:rsidRPr="00FD5B6E" w:rsidRDefault="00D90A7B" w:rsidP="00FD5B6E">
      <w:pPr>
        <w:pStyle w:val="Normal12a"/>
        <w:spacing w:before="120" w:after="120" w:line="360" w:lineRule="auto"/>
      </w:pPr>
      <w:r w:rsidRPr="00FD5B6E">
        <w:t xml:space="preserve">A bem da transparência, insta-se a Comissão a informar anualmente o </w:t>
      </w:r>
      <w:r w:rsidR="00712D55" w:rsidRPr="00FD5B6E">
        <w:t xml:space="preserve">Parlamento Europeu e </w:t>
      </w:r>
      <w:r w:rsidR="00B50C71" w:rsidRPr="00FD5B6E">
        <w:t xml:space="preserve">o </w:t>
      </w:r>
      <w:r w:rsidRPr="00FD5B6E">
        <w:t>Conselho sobre a assistência recebida no exercício dessas funções.</w:t>
      </w:r>
    </w:p>
    <w:sectPr w:rsidR="00D90A7B" w:rsidRPr="00FD5B6E" w:rsidSect="008D1CE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7BF1D" w14:textId="77777777" w:rsidR="00337452" w:rsidRPr="008D1CE7" w:rsidRDefault="00337452">
      <w:r w:rsidRPr="008D1CE7">
        <w:separator/>
      </w:r>
    </w:p>
  </w:endnote>
  <w:endnote w:type="continuationSeparator" w:id="0">
    <w:p w14:paraId="133027DC" w14:textId="77777777" w:rsidR="00337452" w:rsidRPr="008D1CE7" w:rsidRDefault="00337452">
      <w:r w:rsidRPr="008D1C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CEC27" w14:textId="77777777" w:rsidR="00337452" w:rsidRPr="00345C52" w:rsidRDefault="00337452" w:rsidP="00337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1310C" w14:textId="77777777" w:rsidR="00337452" w:rsidRPr="00345C52" w:rsidRDefault="00337452" w:rsidP="00337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0BBF1" w14:textId="77777777" w:rsidR="00337452" w:rsidRPr="008D1CE7" w:rsidRDefault="00337452">
      <w:r w:rsidRPr="008D1CE7">
        <w:separator/>
      </w:r>
    </w:p>
  </w:footnote>
  <w:footnote w:type="continuationSeparator" w:id="0">
    <w:p w14:paraId="6A65ACC1" w14:textId="77777777" w:rsidR="00337452" w:rsidRPr="008D1CE7" w:rsidRDefault="00337452">
      <w:r w:rsidRPr="008D1CE7">
        <w:continuationSeparator/>
      </w:r>
    </w:p>
  </w:footnote>
  <w:footnote w:id="1">
    <w:p w14:paraId="2BF9B843" w14:textId="77777777" w:rsidR="00337452" w:rsidRPr="00FD5B6E" w:rsidRDefault="00337452" w:rsidP="008D1CE7">
      <w:pPr>
        <w:pStyle w:val="FootnoteText"/>
        <w:ind w:left="567" w:hanging="567"/>
        <w:rPr>
          <w:sz w:val="24"/>
          <w:lang w:val="da-DK"/>
        </w:rPr>
      </w:pPr>
      <w:r w:rsidRPr="008D1CE7">
        <w:rPr>
          <w:rStyle w:val="FootnoteReference"/>
          <w:sz w:val="24"/>
          <w:lang w:val="pt-PT"/>
        </w:rPr>
        <w:footnoteRef/>
      </w:r>
      <w:r w:rsidRPr="00FD5B6E">
        <w:rPr>
          <w:sz w:val="24"/>
          <w:lang w:val="da-DK"/>
        </w:rPr>
        <w:t xml:space="preserve"> </w:t>
      </w:r>
      <w:r w:rsidRPr="00FD5B6E">
        <w:rPr>
          <w:sz w:val="24"/>
          <w:lang w:val="da-DK"/>
        </w:rPr>
        <w:tab/>
        <w:t>JO C </w:t>
      </w:r>
      <w:r w:rsidRPr="00BF65E8">
        <w:rPr>
          <w:sz w:val="24"/>
          <w:lang w:val="da-DK"/>
        </w:rPr>
        <w:t>443</w:t>
      </w:r>
      <w:r w:rsidRPr="00FD5B6E">
        <w:rPr>
          <w:sz w:val="24"/>
          <w:lang w:val="da-DK"/>
        </w:rPr>
        <w:t xml:space="preserve"> de </w:t>
      </w:r>
      <w:r w:rsidRPr="00BF65E8">
        <w:rPr>
          <w:sz w:val="24"/>
          <w:lang w:val="da-DK"/>
        </w:rPr>
        <w:t>22</w:t>
      </w:r>
      <w:r w:rsidRPr="00FD5B6E">
        <w:rPr>
          <w:sz w:val="24"/>
          <w:lang w:val="da-DK"/>
        </w:rPr>
        <w:t>.</w:t>
      </w:r>
      <w:r w:rsidRPr="00BF65E8">
        <w:rPr>
          <w:sz w:val="24"/>
          <w:lang w:val="da-DK"/>
        </w:rPr>
        <w:t>11</w:t>
      </w:r>
      <w:r w:rsidRPr="00FD5B6E">
        <w:rPr>
          <w:sz w:val="24"/>
          <w:lang w:val="da-DK"/>
        </w:rPr>
        <w:t>.</w:t>
      </w:r>
      <w:r w:rsidRPr="00BF65E8">
        <w:rPr>
          <w:sz w:val="24"/>
          <w:lang w:val="da-DK"/>
        </w:rPr>
        <w:t>2022</w:t>
      </w:r>
      <w:r w:rsidRPr="00FD5B6E">
        <w:rPr>
          <w:sz w:val="24"/>
          <w:lang w:val="da-DK"/>
        </w:rPr>
        <w:t>, p. </w:t>
      </w:r>
      <w:r w:rsidRPr="00BF65E8">
        <w:rPr>
          <w:sz w:val="24"/>
          <w:lang w:val="da-DK"/>
        </w:rPr>
        <w:t>116</w:t>
      </w:r>
      <w:r w:rsidRPr="00FD5B6E">
        <w:rPr>
          <w:sz w:val="24"/>
          <w:lang w:val="da-DK"/>
        </w:rPr>
        <w:t>.</w:t>
      </w:r>
    </w:p>
  </w:footnote>
  <w:footnote w:id="2">
    <w:p w14:paraId="4B2A75F7" w14:textId="601EB5D9" w:rsidR="00BA7CCA" w:rsidRPr="00FD5B6E" w:rsidRDefault="00BA7CCA" w:rsidP="00BA7CCA">
      <w:pPr>
        <w:pStyle w:val="FootnoteText"/>
        <w:ind w:left="567" w:hanging="567"/>
        <w:rPr>
          <w:sz w:val="24"/>
          <w:lang w:val="da-DK"/>
        </w:rPr>
      </w:pPr>
      <w:r w:rsidRPr="008D1CE7">
        <w:rPr>
          <w:rStyle w:val="FootnoteReference"/>
          <w:sz w:val="24"/>
          <w:lang w:val="pt-PT"/>
        </w:rPr>
        <w:footnoteRef/>
      </w:r>
      <w:r w:rsidRPr="00FD5B6E">
        <w:rPr>
          <w:sz w:val="24"/>
          <w:lang w:val="da-DK"/>
        </w:rPr>
        <w:t xml:space="preserve"> </w:t>
      </w:r>
      <w:r w:rsidRPr="00FD5B6E">
        <w:rPr>
          <w:sz w:val="24"/>
          <w:lang w:val="da-DK"/>
        </w:rPr>
        <w:tab/>
        <w:t>JO C </w:t>
      </w:r>
      <w:r w:rsidRPr="00BF65E8">
        <w:rPr>
          <w:sz w:val="24"/>
          <w:lang w:val="da-DK"/>
        </w:rPr>
        <w:t>79</w:t>
      </w:r>
      <w:r w:rsidRPr="00FD5B6E">
        <w:rPr>
          <w:sz w:val="24"/>
          <w:lang w:val="da-DK"/>
        </w:rPr>
        <w:t xml:space="preserve"> de </w:t>
      </w:r>
      <w:r w:rsidRPr="00BF65E8">
        <w:rPr>
          <w:sz w:val="24"/>
          <w:lang w:val="da-DK"/>
        </w:rPr>
        <w:t>2</w:t>
      </w:r>
      <w:r w:rsidRPr="00FD5B6E">
        <w:rPr>
          <w:sz w:val="24"/>
          <w:lang w:val="da-DK"/>
        </w:rPr>
        <w:t>.</w:t>
      </w:r>
      <w:r w:rsidRPr="00BF65E8">
        <w:rPr>
          <w:sz w:val="24"/>
          <w:lang w:val="da-DK"/>
        </w:rPr>
        <w:t>3</w:t>
      </w:r>
      <w:r w:rsidRPr="00FD5B6E">
        <w:rPr>
          <w:sz w:val="24"/>
          <w:lang w:val="da-DK"/>
        </w:rPr>
        <w:t>.</w:t>
      </w:r>
      <w:r w:rsidRPr="00BF65E8">
        <w:rPr>
          <w:sz w:val="24"/>
          <w:lang w:val="da-DK"/>
        </w:rPr>
        <w:t>2023</w:t>
      </w:r>
      <w:r w:rsidRPr="00FD5B6E">
        <w:rPr>
          <w:sz w:val="24"/>
          <w:lang w:val="da-DK"/>
        </w:rPr>
        <w:t>, p. </w:t>
      </w:r>
      <w:r w:rsidRPr="00BF65E8">
        <w:rPr>
          <w:sz w:val="24"/>
          <w:lang w:val="da-DK"/>
        </w:rPr>
        <w:t>74</w:t>
      </w:r>
      <w:r w:rsidRPr="00FD5B6E">
        <w:rPr>
          <w:sz w:val="24"/>
          <w:lang w:val="da-DK"/>
        </w:rPr>
        <w:t>.</w:t>
      </w:r>
    </w:p>
  </w:footnote>
  <w:footnote w:id="3">
    <w:p w14:paraId="2145DAE7" w14:textId="25900130" w:rsidR="00A12432" w:rsidRPr="00FD5B6E" w:rsidRDefault="00A12432" w:rsidP="00FD5B6E">
      <w:pPr>
        <w:pStyle w:val="FootnoteText"/>
        <w:ind w:left="709" w:hanging="709"/>
        <w:rPr>
          <w:sz w:val="24"/>
          <w:szCs w:val="24"/>
          <w:lang w:val="pt-PT"/>
        </w:rPr>
      </w:pPr>
      <w:r w:rsidRPr="00FD5B6E">
        <w:rPr>
          <w:rStyle w:val="FootnoteReference"/>
          <w:sz w:val="24"/>
          <w:szCs w:val="24"/>
        </w:rPr>
        <w:footnoteRef/>
      </w:r>
      <w:r w:rsidRPr="00FD5B6E">
        <w:rPr>
          <w:sz w:val="24"/>
          <w:szCs w:val="24"/>
          <w:lang w:val="pt-PT"/>
        </w:rPr>
        <w:t xml:space="preserve"> </w:t>
      </w:r>
      <w:r w:rsidRPr="00FD5B6E">
        <w:rPr>
          <w:sz w:val="24"/>
          <w:szCs w:val="24"/>
          <w:lang w:val="pt-PT"/>
        </w:rPr>
        <w:tab/>
        <w:t xml:space="preserve">A presente posição substitui as alterações aprovadas em </w:t>
      </w:r>
      <w:r w:rsidRPr="00BF65E8">
        <w:rPr>
          <w:sz w:val="24"/>
          <w:szCs w:val="24"/>
          <w:lang w:val="pt-PT"/>
        </w:rPr>
        <w:t>1</w:t>
      </w:r>
      <w:r w:rsidRPr="00FD5B6E">
        <w:rPr>
          <w:sz w:val="24"/>
          <w:szCs w:val="24"/>
          <w:lang w:val="pt-PT"/>
        </w:rPr>
        <w:t xml:space="preserve"> de </w:t>
      </w:r>
      <w:r>
        <w:rPr>
          <w:sz w:val="24"/>
          <w:szCs w:val="24"/>
          <w:lang w:val="pt-PT"/>
        </w:rPr>
        <w:t xml:space="preserve">junho </w:t>
      </w:r>
      <w:r w:rsidRPr="00FD5B6E">
        <w:rPr>
          <w:sz w:val="24"/>
          <w:szCs w:val="24"/>
          <w:lang w:val="pt-PT"/>
        </w:rPr>
        <w:t xml:space="preserve">de </w:t>
      </w:r>
      <w:r w:rsidRPr="00BF65E8">
        <w:rPr>
          <w:sz w:val="24"/>
          <w:szCs w:val="24"/>
          <w:lang w:val="pt-PT"/>
        </w:rPr>
        <w:t>2023</w:t>
      </w:r>
      <w:r w:rsidRPr="00FD5B6E">
        <w:rPr>
          <w:sz w:val="24"/>
          <w:szCs w:val="24"/>
          <w:lang w:val="pt-PT"/>
        </w:rPr>
        <w:t xml:space="preserve"> (Textos Aprovados, P</w:t>
      </w:r>
      <w:r w:rsidRPr="00BF65E8">
        <w:rPr>
          <w:sz w:val="24"/>
          <w:szCs w:val="24"/>
          <w:lang w:val="pt-PT"/>
        </w:rPr>
        <w:t>9</w:t>
      </w:r>
      <w:r w:rsidRPr="00FD5B6E">
        <w:rPr>
          <w:sz w:val="24"/>
          <w:szCs w:val="24"/>
          <w:lang w:val="pt-PT"/>
        </w:rPr>
        <w:t>_</w:t>
      </w:r>
      <w:proofErr w:type="gramStart"/>
      <w:r w:rsidRPr="00FD5B6E">
        <w:rPr>
          <w:sz w:val="24"/>
          <w:szCs w:val="24"/>
          <w:lang w:val="pt-PT"/>
        </w:rPr>
        <w:t>TA(</w:t>
      </w:r>
      <w:proofErr w:type="gramEnd"/>
      <w:r w:rsidRPr="00BF65E8">
        <w:rPr>
          <w:sz w:val="24"/>
          <w:szCs w:val="24"/>
          <w:lang w:val="pt-PT"/>
        </w:rPr>
        <w:t>2023</w:t>
      </w:r>
      <w:r w:rsidRPr="00FD5B6E">
        <w:rPr>
          <w:sz w:val="24"/>
          <w:szCs w:val="24"/>
          <w:lang w:val="pt-PT"/>
        </w:rPr>
        <w:t>)</w:t>
      </w:r>
      <w:r w:rsidRPr="00BF65E8">
        <w:rPr>
          <w:sz w:val="24"/>
          <w:szCs w:val="24"/>
          <w:lang w:val="pt-PT"/>
        </w:rPr>
        <w:t>0210</w:t>
      </w:r>
      <w:r w:rsidRPr="00FD5B6E">
        <w:rPr>
          <w:sz w:val="24"/>
          <w:szCs w:val="24"/>
          <w:lang w:val="pt-PT"/>
        </w:rPr>
        <w:t>).</w:t>
      </w:r>
    </w:p>
  </w:footnote>
  <w:footnote w:id="4">
    <w:p w14:paraId="1668A219" w14:textId="50C92DF7" w:rsidR="00D0496D" w:rsidRPr="00D0496D" w:rsidRDefault="00D0496D" w:rsidP="00D0496D">
      <w:pPr>
        <w:pStyle w:val="FootnoteText"/>
        <w:ind w:left="567" w:hanging="567"/>
        <w:rPr>
          <w:sz w:val="24"/>
          <w:szCs w:val="24"/>
          <w:lang w:val="fi-FI"/>
        </w:rPr>
      </w:pPr>
      <w:r w:rsidRPr="00D0496D">
        <w:rPr>
          <w:rStyle w:val="FootnoteReference"/>
          <w:sz w:val="24"/>
          <w:szCs w:val="24"/>
        </w:rPr>
        <w:footnoteRef/>
      </w:r>
      <w:r w:rsidRPr="00D0496D">
        <w:rPr>
          <w:sz w:val="24"/>
          <w:szCs w:val="24"/>
          <w:lang w:val="fi-FI"/>
        </w:rPr>
        <w:t xml:space="preserve"> </w:t>
      </w:r>
      <w:r w:rsidRPr="00D0496D">
        <w:rPr>
          <w:sz w:val="24"/>
          <w:szCs w:val="24"/>
          <w:lang w:val="fi-FI"/>
        </w:rPr>
        <w:tab/>
        <w:t>J</w:t>
      </w:r>
      <w:r>
        <w:rPr>
          <w:sz w:val="24"/>
          <w:szCs w:val="24"/>
          <w:lang w:val="fi-FI"/>
        </w:rPr>
        <w:t>O</w:t>
      </w:r>
      <w:r w:rsidRPr="00D0496D">
        <w:rPr>
          <w:sz w:val="24"/>
          <w:szCs w:val="24"/>
          <w:lang w:val="fi-FI"/>
        </w:rPr>
        <w:t xml:space="preserve"> L, 2024/1143, 23.4.2024, ELI: </w:t>
      </w:r>
      <w:r w:rsidR="00153A2C">
        <w:fldChar w:fldCharType="begin"/>
      </w:r>
      <w:r w:rsidR="00153A2C" w:rsidRPr="00153A2C">
        <w:rPr>
          <w:lang w:val="fi-FI"/>
        </w:rPr>
        <w:instrText xml:space="preserve"> HYPERLINK "http://data.europa.eu/eli/reg/2024/1143/oj" </w:instrText>
      </w:r>
      <w:r w:rsidR="00153A2C">
        <w:fldChar w:fldCharType="separate"/>
      </w:r>
      <w:r w:rsidRPr="00D0496D">
        <w:rPr>
          <w:rStyle w:val="Hyperlink"/>
          <w:sz w:val="24"/>
          <w:szCs w:val="24"/>
          <w:lang w:val="fi-FI"/>
        </w:rPr>
        <w:t>http://data.europa.eu/eli/reg/2024/1143/oj</w:t>
      </w:r>
      <w:r w:rsidR="00153A2C">
        <w:rPr>
          <w:rStyle w:val="Hyperlink"/>
          <w:sz w:val="24"/>
          <w:szCs w:val="24"/>
          <w:lang w:val="fi-FI"/>
        </w:rPr>
        <w:fldChar w:fldCharType="end"/>
      </w:r>
      <w:r w:rsidRPr="00D0496D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3A779" w14:textId="77777777" w:rsidR="00337452" w:rsidRPr="00345C52" w:rsidRDefault="00337452" w:rsidP="003374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07CE8" w14:textId="77777777" w:rsidR="00337452" w:rsidRPr="001E06C9" w:rsidRDefault="00337452" w:rsidP="003374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DB5E9" w14:textId="77777777" w:rsidR="00337452" w:rsidRPr="00345C52" w:rsidRDefault="00337452" w:rsidP="003374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8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9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8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9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0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1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2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7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8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0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1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2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3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4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5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7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8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3"/>
  </w:num>
  <w:num w:numId="3">
    <w:abstractNumId w:val="28"/>
  </w:num>
  <w:num w:numId="4">
    <w:abstractNumId w:val="1"/>
  </w:num>
  <w:num w:numId="5">
    <w:abstractNumId w:val="29"/>
  </w:num>
  <w:num w:numId="6">
    <w:abstractNumId w:val="25"/>
  </w:num>
  <w:num w:numId="7">
    <w:abstractNumId w:val="3"/>
  </w:num>
  <w:num w:numId="8">
    <w:abstractNumId w:val="31"/>
  </w:num>
  <w:num w:numId="9">
    <w:abstractNumId w:val="36"/>
  </w:num>
  <w:num w:numId="10">
    <w:abstractNumId w:val="22"/>
  </w:num>
  <w:num w:numId="11">
    <w:abstractNumId w:val="30"/>
  </w:num>
  <w:num w:numId="12">
    <w:abstractNumId w:val="26"/>
  </w:num>
  <w:num w:numId="13">
    <w:abstractNumId w:val="17"/>
  </w:num>
  <w:num w:numId="14">
    <w:abstractNumId w:val="9"/>
  </w:num>
  <w:num w:numId="15">
    <w:abstractNumId w:val="7"/>
  </w:num>
  <w:num w:numId="16">
    <w:abstractNumId w:val="27"/>
  </w:num>
  <w:num w:numId="17">
    <w:abstractNumId w:val="32"/>
  </w:num>
  <w:num w:numId="18">
    <w:abstractNumId w:val="0"/>
  </w:num>
  <w:num w:numId="19">
    <w:abstractNumId w:val="10"/>
  </w:num>
  <w:num w:numId="20">
    <w:abstractNumId w:val="6"/>
  </w:num>
  <w:num w:numId="21">
    <w:abstractNumId w:val="11"/>
  </w:num>
  <w:num w:numId="22">
    <w:abstractNumId w:val="23"/>
  </w:num>
  <w:num w:numId="23">
    <w:abstractNumId w:val="5"/>
  </w:num>
  <w:num w:numId="24">
    <w:abstractNumId w:val="18"/>
  </w:num>
  <w:num w:numId="25">
    <w:abstractNumId w:val="21"/>
  </w:num>
  <w:num w:numId="26">
    <w:abstractNumId w:val="20"/>
  </w:num>
  <w:num w:numId="27">
    <w:abstractNumId w:val="37"/>
  </w:num>
  <w:num w:numId="28">
    <w:abstractNumId w:val="14"/>
  </w:num>
  <w:num w:numId="29">
    <w:abstractNumId w:val="15"/>
  </w:num>
  <w:num w:numId="30">
    <w:abstractNumId w:val="16"/>
  </w:num>
  <w:num w:numId="31">
    <w:abstractNumId w:val="19"/>
  </w:num>
  <w:num w:numId="32">
    <w:abstractNumId w:val="8"/>
  </w:num>
  <w:num w:numId="33">
    <w:abstractNumId w:val="38"/>
  </w:num>
  <w:num w:numId="34">
    <w:abstractNumId w:val="12"/>
  </w:num>
  <w:num w:numId="35">
    <w:abstractNumId w:val="24"/>
  </w:num>
  <w:num w:numId="36">
    <w:abstractNumId w:val="34"/>
  </w:num>
  <w:num w:numId="37">
    <w:abstractNumId w:val="33"/>
  </w:num>
  <w:num w:numId="38">
    <w:abstractNumId w:val="35"/>
  </w:num>
  <w:num w:numId="39">
    <w:abstractNumId w:val="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3/2023"/>
    <w:docVar w:name="dvlangue" w:val="PT"/>
    <w:docVar w:name="dvnumam" w:val="468"/>
    <w:docVar w:name="dvpe" w:val="736.493"/>
    <w:docVar w:name="dvrapporteur" w:val="Relator: "/>
    <w:docVar w:name="dvstar" w:val="***I"/>
    <w:docVar w:name="dvtitre" w:val="Resolução legislativa do Parlamento Europeu, de ... de ... de 2024,_x000d__x000a_ sobre a proposta de regulamento do Parlamento Europeu e do Conselho relativo às indicações geográficas da União Europeia para o vinho, as bebidas espirituosas e os produtos agrícolas, e aos regimes de qualidade dos produtos agrícolas, que altera os Regulamentos (UE) n.º 1308/2013, (UE) 2017/1001 e (UE) 2019/787 e que revoga o Regulamento (UE) n.º 1151/2012(COM(2022)0134 – C9-0130/2022 – 2022/0089(COD))"/>
  </w:docVars>
  <w:rsids>
    <w:rsidRoot w:val="000033F9"/>
    <w:rsid w:val="00002272"/>
    <w:rsid w:val="000033F9"/>
    <w:rsid w:val="00035D41"/>
    <w:rsid w:val="00064002"/>
    <w:rsid w:val="000677B9"/>
    <w:rsid w:val="000831BA"/>
    <w:rsid w:val="000A42CC"/>
    <w:rsid w:val="000E7DD9"/>
    <w:rsid w:val="000F440B"/>
    <w:rsid w:val="0010095E"/>
    <w:rsid w:val="00125B37"/>
    <w:rsid w:val="00153A2C"/>
    <w:rsid w:val="00187494"/>
    <w:rsid w:val="001E5032"/>
    <w:rsid w:val="001F32AE"/>
    <w:rsid w:val="00205189"/>
    <w:rsid w:val="002767FF"/>
    <w:rsid w:val="002B18FE"/>
    <w:rsid w:val="002B5493"/>
    <w:rsid w:val="00334F92"/>
    <w:rsid w:val="00337452"/>
    <w:rsid w:val="00343214"/>
    <w:rsid w:val="00361C00"/>
    <w:rsid w:val="0038768D"/>
    <w:rsid w:val="00395FA1"/>
    <w:rsid w:val="003B379B"/>
    <w:rsid w:val="003E15D4"/>
    <w:rsid w:val="00411CCE"/>
    <w:rsid w:val="0041666E"/>
    <w:rsid w:val="00421060"/>
    <w:rsid w:val="004320B7"/>
    <w:rsid w:val="00471C19"/>
    <w:rsid w:val="004867E3"/>
    <w:rsid w:val="00494A28"/>
    <w:rsid w:val="004C0004"/>
    <w:rsid w:val="004C4469"/>
    <w:rsid w:val="004C5D52"/>
    <w:rsid w:val="0050519A"/>
    <w:rsid w:val="005072A1"/>
    <w:rsid w:val="00514517"/>
    <w:rsid w:val="00545827"/>
    <w:rsid w:val="00560270"/>
    <w:rsid w:val="005C2568"/>
    <w:rsid w:val="005D19FE"/>
    <w:rsid w:val="006037C0"/>
    <w:rsid w:val="00606826"/>
    <w:rsid w:val="00653EB8"/>
    <w:rsid w:val="006631B6"/>
    <w:rsid w:val="00680577"/>
    <w:rsid w:val="006D73E4"/>
    <w:rsid w:val="006F74FA"/>
    <w:rsid w:val="006F7DC4"/>
    <w:rsid w:val="00712D55"/>
    <w:rsid w:val="00731ADD"/>
    <w:rsid w:val="00734777"/>
    <w:rsid w:val="00736B81"/>
    <w:rsid w:val="00747932"/>
    <w:rsid w:val="00751A4A"/>
    <w:rsid w:val="00756632"/>
    <w:rsid w:val="00762C74"/>
    <w:rsid w:val="00774060"/>
    <w:rsid w:val="00786EC0"/>
    <w:rsid w:val="007A2712"/>
    <w:rsid w:val="007D1690"/>
    <w:rsid w:val="007E22AD"/>
    <w:rsid w:val="007F4526"/>
    <w:rsid w:val="00817416"/>
    <w:rsid w:val="008354CC"/>
    <w:rsid w:val="00842779"/>
    <w:rsid w:val="00857B3C"/>
    <w:rsid w:val="00865F67"/>
    <w:rsid w:val="00881A7B"/>
    <w:rsid w:val="008840E5"/>
    <w:rsid w:val="00887B3E"/>
    <w:rsid w:val="008C2AC6"/>
    <w:rsid w:val="008D1CE7"/>
    <w:rsid w:val="00913438"/>
    <w:rsid w:val="00930C23"/>
    <w:rsid w:val="0093193B"/>
    <w:rsid w:val="009509D8"/>
    <w:rsid w:val="00950B64"/>
    <w:rsid w:val="00951CC9"/>
    <w:rsid w:val="00981893"/>
    <w:rsid w:val="00A12432"/>
    <w:rsid w:val="00A1687D"/>
    <w:rsid w:val="00A43E52"/>
    <w:rsid w:val="00A4678D"/>
    <w:rsid w:val="00A52A5F"/>
    <w:rsid w:val="00A778C7"/>
    <w:rsid w:val="00AB441E"/>
    <w:rsid w:val="00AB6293"/>
    <w:rsid w:val="00AE0928"/>
    <w:rsid w:val="00AF3B82"/>
    <w:rsid w:val="00B12E95"/>
    <w:rsid w:val="00B22876"/>
    <w:rsid w:val="00B50C71"/>
    <w:rsid w:val="00B558F0"/>
    <w:rsid w:val="00BA23BB"/>
    <w:rsid w:val="00BA7CCA"/>
    <w:rsid w:val="00BD48FE"/>
    <w:rsid w:val="00BD7BD8"/>
    <w:rsid w:val="00BE6ADC"/>
    <w:rsid w:val="00BF65E8"/>
    <w:rsid w:val="00C05BFE"/>
    <w:rsid w:val="00C23CD4"/>
    <w:rsid w:val="00C37C3E"/>
    <w:rsid w:val="00C61C0C"/>
    <w:rsid w:val="00C625E0"/>
    <w:rsid w:val="00C941CB"/>
    <w:rsid w:val="00CC2357"/>
    <w:rsid w:val="00CF071A"/>
    <w:rsid w:val="00D0496D"/>
    <w:rsid w:val="00D058B8"/>
    <w:rsid w:val="00D56C11"/>
    <w:rsid w:val="00D834A0"/>
    <w:rsid w:val="00D872DF"/>
    <w:rsid w:val="00D90A7B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5B6E"/>
    <w:rsid w:val="00FE3DA0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57F59D"/>
  <w15:chartTrackingRefBased/>
  <w15:docId w15:val="{A35C6A3B-9BBD-481F-9929-9E972B77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4320B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0B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0B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0B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0B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0B7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0B7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4320B7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4320B7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4320B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320B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320B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320B7"/>
    <w:pPr>
      <w:spacing w:after="120"/>
    </w:pPr>
  </w:style>
  <w:style w:type="paragraph" w:customStyle="1" w:styleId="PageHeading">
    <w:name w:val="PageHeading"/>
    <w:basedOn w:val="Normal"/>
    <w:rsid w:val="004320B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320B7"/>
    <w:rPr>
      <w:b/>
    </w:rPr>
  </w:style>
  <w:style w:type="character" w:customStyle="1" w:styleId="NormalBoldChar">
    <w:name w:val="NormalBold Char"/>
    <w:link w:val="NormalBold"/>
    <w:locked/>
    <w:rsid w:val="004320B7"/>
    <w:rPr>
      <w:b/>
      <w:sz w:val="24"/>
      <w:lang w:val="pt-PT"/>
    </w:rPr>
  </w:style>
  <w:style w:type="paragraph" w:customStyle="1" w:styleId="NormalBold12a">
    <w:name w:val="NormalBold12a"/>
    <w:basedOn w:val="Normal"/>
    <w:rsid w:val="004320B7"/>
    <w:pPr>
      <w:spacing w:after="240"/>
    </w:pPr>
    <w:rPr>
      <w:b/>
    </w:rPr>
  </w:style>
  <w:style w:type="paragraph" w:customStyle="1" w:styleId="AmJustText">
    <w:name w:val="AmJustText"/>
    <w:basedOn w:val="Normal"/>
    <w:rsid w:val="004320B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320B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320B7"/>
    <w:pPr>
      <w:spacing w:after="480"/>
      <w:ind w:left="1417"/>
    </w:pPr>
  </w:style>
  <w:style w:type="paragraph" w:customStyle="1" w:styleId="CoverNormal">
    <w:name w:val="CoverNormal"/>
    <w:basedOn w:val="Normal"/>
    <w:rsid w:val="004320B7"/>
    <w:pPr>
      <w:ind w:left="1418"/>
    </w:pPr>
  </w:style>
  <w:style w:type="paragraph" w:customStyle="1" w:styleId="AmCrossRef">
    <w:name w:val="AmCrossRef"/>
    <w:basedOn w:val="Normal"/>
    <w:rsid w:val="004320B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320B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320B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320B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320B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320B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320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0B7"/>
    <w:rPr>
      <w:sz w:val="24"/>
      <w:lang w:val="pt-PT"/>
    </w:rPr>
  </w:style>
  <w:style w:type="paragraph" w:customStyle="1" w:styleId="AmOrLang">
    <w:name w:val="AmOrLang"/>
    <w:basedOn w:val="Normal"/>
    <w:rsid w:val="004320B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320B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320B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4320B7"/>
    <w:rPr>
      <w:b/>
      <w:sz w:val="24"/>
      <w:lang w:val="pt-PT"/>
    </w:rPr>
  </w:style>
  <w:style w:type="paragraph" w:customStyle="1" w:styleId="NormalBold12b">
    <w:name w:val="NormalBold12b"/>
    <w:basedOn w:val="Normal"/>
    <w:link w:val="NormalBold12bChar"/>
    <w:rsid w:val="004320B7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4320B7"/>
    <w:rPr>
      <w:b/>
      <w:sz w:val="24"/>
      <w:lang w:val="pt-PT"/>
    </w:rPr>
  </w:style>
  <w:style w:type="paragraph" w:customStyle="1" w:styleId="EPBody">
    <w:name w:val="EPBody"/>
    <w:basedOn w:val="Normal"/>
    <w:rsid w:val="004320B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320B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320B7"/>
    <w:pPr>
      <w:spacing w:before="480" w:after="240"/>
    </w:pPr>
  </w:style>
  <w:style w:type="paragraph" w:customStyle="1" w:styleId="Lgendesigne">
    <w:name w:val="Légende signe"/>
    <w:basedOn w:val="Normal"/>
    <w:rsid w:val="004320B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320B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320B7"/>
    <w:rPr>
      <w:sz w:val="18"/>
    </w:rPr>
  </w:style>
  <w:style w:type="paragraph" w:customStyle="1" w:styleId="msonormal0">
    <w:name w:val="msonormal"/>
    <w:basedOn w:val="Normal"/>
    <w:rsid w:val="004320B7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4320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0B7"/>
    <w:rPr>
      <w:sz w:val="24"/>
      <w:lang w:val="pt-PT"/>
    </w:rPr>
  </w:style>
  <w:style w:type="character" w:customStyle="1" w:styleId="Normal12Char">
    <w:name w:val="Normal12 Char"/>
    <w:link w:val="Normal12"/>
    <w:locked/>
    <w:rsid w:val="004320B7"/>
    <w:rPr>
      <w:noProof/>
      <w:sz w:val="24"/>
    </w:rPr>
  </w:style>
  <w:style w:type="paragraph" w:customStyle="1" w:styleId="Normal12">
    <w:name w:val="Normal12"/>
    <w:basedOn w:val="Normal"/>
    <w:link w:val="Normal12Char"/>
    <w:rsid w:val="004320B7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4320B7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320B7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320B7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320B7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320B7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link w:val="Normal6"/>
    <w:locked/>
    <w:rsid w:val="004320B7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4320B7"/>
    <w:pPr>
      <w:spacing w:after="120"/>
    </w:pPr>
  </w:style>
  <w:style w:type="paragraph" w:customStyle="1" w:styleId="Normal12Italic">
    <w:name w:val="Normal12Italic"/>
    <w:basedOn w:val="Normal12"/>
    <w:rsid w:val="004320B7"/>
    <w:rPr>
      <w:i/>
    </w:rPr>
  </w:style>
  <w:style w:type="paragraph" w:customStyle="1" w:styleId="JustificationTitle">
    <w:name w:val="JustificationTitle"/>
    <w:basedOn w:val="Normal"/>
    <w:next w:val="Normal12"/>
    <w:rsid w:val="004320B7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4320B7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4320B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4320B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4320B7"/>
    <w:pPr>
      <w:spacing w:before="240"/>
      <w:jc w:val="center"/>
    </w:pPr>
    <w:rPr>
      <w:i/>
    </w:rPr>
  </w:style>
  <w:style w:type="paragraph" w:customStyle="1" w:styleId="NormalBoldItalicCenter6a">
    <w:name w:val="NormalBoldItalicCenter6a"/>
    <w:basedOn w:val="Normal6a"/>
    <w:qFormat/>
    <w:rsid w:val="004320B7"/>
    <w:pPr>
      <w:jc w:val="center"/>
    </w:pPr>
    <w:rPr>
      <w:b/>
      <w:i/>
    </w:rPr>
  </w:style>
  <w:style w:type="character" w:customStyle="1" w:styleId="Footer2Middle">
    <w:name w:val="Footer2Middle"/>
    <w:rsid w:val="004320B7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4320B7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uiPriority w:val="99"/>
    <w:rsid w:val="00432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320B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0B7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32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320B7"/>
    <w:rPr>
      <w:b/>
      <w:bCs/>
      <w:lang w:val="pt-PT"/>
    </w:rPr>
  </w:style>
  <w:style w:type="paragraph" w:styleId="BalloonText">
    <w:name w:val="Balloon Text"/>
    <w:basedOn w:val="Normal"/>
    <w:link w:val="BalloonTextChar"/>
    <w:uiPriority w:val="99"/>
    <w:unhideWhenUsed/>
    <w:rsid w:val="004320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320B7"/>
    <w:rPr>
      <w:rFonts w:ascii="Segoe UI" w:hAnsi="Segoe UI" w:cs="Segoe UI"/>
      <w:sz w:val="18"/>
      <w:szCs w:val="18"/>
      <w:lang w:val="pt-PT"/>
    </w:rPr>
  </w:style>
  <w:style w:type="character" w:customStyle="1" w:styleId="Sup">
    <w:name w:val="Sup"/>
    <w:uiPriority w:val="1"/>
    <w:qFormat/>
    <w:rsid w:val="004320B7"/>
    <w:rPr>
      <w:vertAlign w:val="superscript"/>
    </w:rPr>
  </w:style>
  <w:style w:type="character" w:customStyle="1" w:styleId="SupBoldItalic">
    <w:name w:val="SupBoldItalic"/>
    <w:uiPriority w:val="1"/>
    <w:qFormat/>
    <w:rsid w:val="004320B7"/>
    <w:rPr>
      <w:b/>
      <w:i/>
      <w:vertAlign w:val="superscript"/>
    </w:rPr>
  </w:style>
  <w:style w:type="paragraph" w:customStyle="1" w:styleId="Normal12a">
    <w:name w:val="Normal12a"/>
    <w:basedOn w:val="Normal"/>
    <w:rsid w:val="004320B7"/>
    <w:pPr>
      <w:spacing w:after="240"/>
    </w:pPr>
  </w:style>
  <w:style w:type="paragraph" w:customStyle="1" w:styleId="RollCallVotes">
    <w:name w:val="RollCallVotes"/>
    <w:basedOn w:val="Normal"/>
    <w:rsid w:val="004320B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320B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320B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320B7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4320B7"/>
    <w:rPr>
      <w:color w:val="0563C1" w:themeColor="hyperlink"/>
      <w:u w:val="single"/>
    </w:rPr>
  </w:style>
  <w:style w:type="paragraph" w:customStyle="1" w:styleId="PageHeadingNotTOC">
    <w:name w:val="PageHeadingNotTOC"/>
    <w:basedOn w:val="Normal"/>
    <w:rsid w:val="004320B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320B7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li">
    <w:name w:val="li"/>
    <w:basedOn w:val="Normal"/>
    <w:rsid w:val="004320B7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4320B7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4320B7"/>
    <w:rPr>
      <w:sz w:val="24"/>
      <w:lang w:val="pt-PT"/>
    </w:rPr>
  </w:style>
  <w:style w:type="character" w:customStyle="1" w:styleId="num">
    <w:name w:val="num"/>
    <w:basedOn w:val="DefaultParagraphFont"/>
    <w:rsid w:val="004320B7"/>
  </w:style>
  <w:style w:type="paragraph" w:customStyle="1" w:styleId="AmDocTypeTab">
    <w:name w:val="AmDocTypeTab"/>
    <w:basedOn w:val="Normal"/>
    <w:rsid w:val="0077406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74060"/>
    <w:pPr>
      <w:spacing w:after="240"/>
      <w:jc w:val="center"/>
    </w:pPr>
  </w:style>
  <w:style w:type="paragraph" w:customStyle="1" w:styleId="AmDateTab">
    <w:name w:val="AmDateTab"/>
    <w:basedOn w:val="Normal"/>
    <w:rsid w:val="0077406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74060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774060"/>
  </w:style>
  <w:style w:type="paragraph" w:customStyle="1" w:styleId="NormalCentered">
    <w:name w:val="Normal Centered"/>
    <w:basedOn w:val="Normal"/>
    <w:rsid w:val="00774060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774060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774060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774060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774060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774060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774060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774060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77406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77406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774060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774060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774060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774060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774060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774060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774060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774060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774060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774060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774060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774060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774060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774060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774060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774060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774060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774060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774060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774060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774060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774060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774060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774060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774060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774060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774060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774060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774060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774060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774060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774060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774060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774060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774060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774060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774060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774060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774060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774060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774060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774060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774060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774060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774060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774060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774060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774060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774060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774060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774060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774060"/>
    <w:pPr>
      <w:jc w:val="center"/>
    </w:pPr>
  </w:style>
  <w:style w:type="paragraph" w:customStyle="1" w:styleId="Jardin">
    <w:name w:val="Jardin"/>
    <w:basedOn w:val="Normal"/>
    <w:rsid w:val="00774060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774060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774060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774060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774060"/>
    <w:rPr>
      <w:b/>
    </w:rPr>
  </w:style>
  <w:style w:type="paragraph" w:customStyle="1" w:styleId="Annex">
    <w:name w:val="Annex"/>
    <w:basedOn w:val="Normal"/>
    <w:next w:val="Normal"/>
    <w:rsid w:val="00774060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774060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774060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774060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774060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774060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74060"/>
    <w:rPr>
      <w:rFonts w:eastAsia="Calibri"/>
      <w:lang w:val="pt-PT" w:eastAsia="en-US"/>
    </w:rPr>
  </w:style>
  <w:style w:type="character" w:styleId="EndnoteReference">
    <w:name w:val="endnote reference"/>
    <w:basedOn w:val="DefaultParagraphFont"/>
    <w:uiPriority w:val="99"/>
    <w:unhideWhenUsed/>
    <w:rsid w:val="00774060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774060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774060"/>
    <w:rPr>
      <w:rFonts w:eastAsia="Calibri"/>
      <w:sz w:val="24"/>
      <w:szCs w:val="22"/>
      <w:lang w:val="pt-P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774060"/>
    <w:rPr>
      <w:rFonts w:eastAsia="Calibri"/>
      <w:sz w:val="2"/>
      <w:szCs w:val="22"/>
      <w:lang w:val="pt-PT" w:eastAsia="en-US"/>
    </w:rPr>
  </w:style>
  <w:style w:type="paragraph" w:customStyle="1" w:styleId="FooterText">
    <w:name w:val="Footer Text"/>
    <w:basedOn w:val="Normal"/>
    <w:rsid w:val="00774060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74060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77406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774060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774060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774060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77406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77406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77406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77406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77406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77406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77406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77406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77406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77406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77406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77406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77406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77406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77406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77406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77406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77406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774060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774060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774060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774060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774060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77406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774060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774060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774060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774060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774060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77406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774060"/>
    <w:pPr>
      <w:widowControl/>
      <w:numPr>
        <w:numId w:val="2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774060"/>
    <w:pPr>
      <w:widowControl/>
      <w:numPr>
        <w:numId w:val="24"/>
      </w:numPr>
      <w:tabs>
        <w:tab w:val="clear" w:pos="141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774060"/>
    <w:pPr>
      <w:widowControl/>
      <w:numPr>
        <w:numId w:val="25"/>
      </w:numPr>
      <w:tabs>
        <w:tab w:val="clear" w:pos="198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774060"/>
    <w:pPr>
      <w:widowControl/>
      <w:numPr>
        <w:numId w:val="26"/>
      </w:numPr>
      <w:tabs>
        <w:tab w:val="clear" w:pos="2551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774060"/>
    <w:pPr>
      <w:widowControl/>
      <w:numPr>
        <w:numId w:val="27"/>
      </w:numPr>
      <w:tabs>
        <w:tab w:val="clear" w:pos="311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774060"/>
    <w:pPr>
      <w:widowControl/>
      <w:numPr>
        <w:numId w:val="28"/>
      </w:numPr>
      <w:tabs>
        <w:tab w:val="clear" w:pos="3685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774060"/>
    <w:pPr>
      <w:widowControl/>
      <w:numPr>
        <w:numId w:val="29"/>
      </w:numPr>
      <w:tabs>
        <w:tab w:val="clear" w:pos="4252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774060"/>
    <w:pPr>
      <w:widowControl/>
      <w:numPr>
        <w:numId w:val="30"/>
      </w:numPr>
      <w:tabs>
        <w:tab w:val="clear" w:pos="4819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774060"/>
    <w:pPr>
      <w:widowControl/>
      <w:numPr>
        <w:numId w:val="31"/>
      </w:numPr>
      <w:tabs>
        <w:tab w:val="clear" w:pos="5386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774060"/>
    <w:pPr>
      <w:widowControl/>
      <w:numPr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774060"/>
    <w:pPr>
      <w:widowControl/>
      <w:numPr>
        <w:ilvl w:val="1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774060"/>
    <w:pPr>
      <w:widowControl/>
      <w:numPr>
        <w:ilvl w:val="2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774060"/>
    <w:pPr>
      <w:widowControl/>
      <w:numPr>
        <w:ilvl w:val="3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774060"/>
    <w:pPr>
      <w:widowControl/>
      <w:numPr>
        <w:ilvl w:val="4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774060"/>
    <w:pPr>
      <w:widowControl/>
      <w:numPr>
        <w:ilvl w:val="5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774060"/>
    <w:pPr>
      <w:widowControl/>
      <w:numPr>
        <w:ilvl w:val="6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77406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77406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77406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77406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77406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77406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77406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77406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774060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77406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77406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77406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77406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77406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77406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774060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774060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774060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774060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774060"/>
    <w:pPr>
      <w:widowControl/>
      <w:numPr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774060"/>
    <w:pPr>
      <w:widowControl/>
      <w:numPr>
        <w:ilvl w:val="2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774060"/>
    <w:pPr>
      <w:widowControl/>
      <w:numPr>
        <w:ilvl w:val="4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774060"/>
    <w:pPr>
      <w:widowControl/>
      <w:numPr>
        <w:ilvl w:val="6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774060"/>
    <w:pPr>
      <w:widowControl/>
      <w:numPr>
        <w:ilvl w:val="1"/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774060"/>
    <w:pPr>
      <w:widowControl/>
      <w:numPr>
        <w:ilvl w:val="3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774060"/>
    <w:pPr>
      <w:widowControl/>
      <w:numPr>
        <w:ilvl w:val="5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774060"/>
    <w:pPr>
      <w:widowControl/>
      <w:numPr>
        <w:ilvl w:val="7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774060"/>
    <w:pPr>
      <w:widowControl/>
      <w:numPr>
        <w:ilvl w:val="8"/>
        <w:numId w:val="33"/>
      </w:numPr>
      <w:tabs>
        <w:tab w:val="clear" w:pos="3118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774060"/>
    <w:pPr>
      <w:widowControl/>
      <w:numPr>
        <w:numId w:val="34"/>
      </w:numPr>
      <w:tabs>
        <w:tab w:val="clear" w:pos="850"/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774060"/>
    <w:pPr>
      <w:widowControl/>
      <w:numPr>
        <w:numId w:val="35"/>
      </w:numPr>
      <w:tabs>
        <w:tab w:val="clear" w:pos="3685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774060"/>
    <w:pPr>
      <w:widowControl/>
      <w:numPr>
        <w:numId w:val="36"/>
      </w:numPr>
      <w:tabs>
        <w:tab w:val="clear" w:pos="4252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774060"/>
    <w:pPr>
      <w:widowControl/>
      <w:numPr>
        <w:numId w:val="37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774060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77406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77406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774060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774060"/>
    <w:pPr>
      <w:widowControl/>
      <w:numPr>
        <w:numId w:val="39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7406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774060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74060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74060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74060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77406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74060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774060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77406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74060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774060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77406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77406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77406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77406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774060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774060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774060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774060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77406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774060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77406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774060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77406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774060"/>
    <w:pPr>
      <w:spacing w:before="240"/>
    </w:pPr>
  </w:style>
  <w:style w:type="paragraph" w:customStyle="1" w:styleId="Accordtitre">
    <w:name w:val="Accord titre"/>
    <w:basedOn w:val="Normal"/>
    <w:rsid w:val="0077406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77406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77406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774060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77406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774060"/>
    <w:pPr>
      <w:spacing w:after="240"/>
    </w:pPr>
  </w:style>
  <w:style w:type="paragraph" w:customStyle="1" w:styleId="Annexetitre">
    <w:name w:val="Annexe titre"/>
    <w:basedOn w:val="Normal"/>
    <w:next w:val="Normal"/>
    <w:rsid w:val="0077406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774060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77406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77406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77406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77406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77406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77406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77406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77406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77406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77406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77406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77406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77406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77406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77406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77406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77406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77406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77406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77406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77406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77406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77406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774060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77406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77406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774060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t-PT" w:eastAsia="en-US"/>
    </w:rPr>
  </w:style>
  <w:style w:type="paragraph" w:customStyle="1" w:styleId="CommentFwdQuotedText">
    <w:name w:val="CommentFwdQuotedText"/>
    <w:basedOn w:val="Normal"/>
    <w:rsid w:val="00774060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774060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774060"/>
    <w:rPr>
      <w:b/>
      <w:i/>
    </w:rPr>
  </w:style>
  <w:style w:type="character" w:customStyle="1" w:styleId="diff-tte-removed">
    <w:name w:val="diff-tte-removed"/>
    <w:basedOn w:val="DefaultParagraphFont"/>
    <w:rsid w:val="00774060"/>
    <w:rPr>
      <w:strike/>
    </w:rPr>
  </w:style>
  <w:style w:type="paragraph" w:styleId="Revision">
    <w:name w:val="Revision"/>
    <w:hidden/>
    <w:uiPriority w:val="99"/>
    <w:semiHidden/>
    <w:rsid w:val="00774060"/>
    <w:rPr>
      <w:rFonts w:eastAsia="Calibri"/>
      <w:sz w:val="24"/>
      <w:szCs w:val="22"/>
      <w:lang w:val="pt-PT" w:eastAsia="en-US"/>
    </w:rPr>
  </w:style>
  <w:style w:type="paragraph" w:customStyle="1" w:styleId="Norml">
    <w:name w:val="Norml"/>
    <w:basedOn w:val="ManualNumPar1"/>
    <w:rsid w:val="00774060"/>
  </w:style>
  <w:style w:type="paragraph" w:customStyle="1" w:styleId="Txt2">
    <w:name w:val="Txt 2"/>
    <w:basedOn w:val="Text4"/>
    <w:rsid w:val="00774060"/>
    <w:pPr>
      <w:ind w:left="1985"/>
    </w:pPr>
  </w:style>
  <w:style w:type="character" w:styleId="Emphasis">
    <w:name w:val="Emphasis"/>
    <w:basedOn w:val="DefaultParagraphFont"/>
    <w:uiPriority w:val="20"/>
    <w:qFormat/>
    <w:rsid w:val="00774060"/>
    <w:rPr>
      <w:i/>
      <w:iCs/>
    </w:rPr>
  </w:style>
  <w:style w:type="paragraph" w:customStyle="1" w:styleId="title-doc-first">
    <w:name w:val="title-doc-first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oc-last">
    <w:name w:val="title-doc-last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styleId="FollowedHyperlink">
    <w:name w:val="FollowedHyperlink"/>
    <w:basedOn w:val="DefaultParagraphFont"/>
    <w:uiPriority w:val="99"/>
    <w:unhideWhenUsed/>
    <w:rsid w:val="00774060"/>
    <w:rPr>
      <w:color w:val="800080"/>
      <w:u w:val="single"/>
    </w:rPr>
  </w:style>
  <w:style w:type="paragraph" w:customStyle="1" w:styleId="title-doc-oj-reference">
    <w:name w:val="title-doc-oj-reference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modifiers">
    <w:name w:val="hd-modifiers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">
    <w:name w:val="norm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1">
    <w:name w:val="hd-toc-1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2">
    <w:name w:val="hd-toc-2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3">
    <w:name w:val="hd-toc-3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arrow">
    <w:name w:val="arrow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-star">
    <w:name w:val="title-fam-member-star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1">
    <w:name w:val="toc-1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2">
    <w:name w:val="toc-2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styleId="NormalWeb">
    <w:name w:val="Normal (Web)"/>
    <w:basedOn w:val="Normal"/>
    <w:uiPriority w:val="99"/>
    <w:unhideWhenUsed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">
    <w:name w:val="title-fam-member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1">
    <w:name w:val="title-division-1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2">
    <w:name w:val="title-division-2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boldface">
    <w:name w:val="boldface"/>
    <w:basedOn w:val="DefaultParagraphFont"/>
    <w:rsid w:val="00774060"/>
  </w:style>
  <w:style w:type="paragraph" w:customStyle="1" w:styleId="title-article-norm">
    <w:name w:val="title-article-norm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stitle-article-norm">
    <w:name w:val="stitle-article-norm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no-parag">
    <w:name w:val="no-parag"/>
    <w:basedOn w:val="DefaultParagraphFont"/>
    <w:rsid w:val="00774060"/>
  </w:style>
  <w:style w:type="paragraph" w:customStyle="1" w:styleId="modref">
    <w:name w:val="modref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basedOn w:val="DefaultParagraphFont"/>
    <w:rsid w:val="00774060"/>
  </w:style>
  <w:style w:type="character" w:customStyle="1" w:styleId="italics">
    <w:name w:val="italics"/>
    <w:basedOn w:val="DefaultParagraphFont"/>
    <w:rsid w:val="00774060"/>
  </w:style>
  <w:style w:type="character" w:customStyle="1" w:styleId="expanded">
    <w:name w:val="expanded"/>
    <w:basedOn w:val="DefaultParagraphFont"/>
    <w:rsid w:val="00774060"/>
  </w:style>
  <w:style w:type="paragraph" w:customStyle="1" w:styleId="Normal1">
    <w:name w:val="Normal1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List1">
    <w:name w:val="List1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bl-norm">
    <w:name w:val="tbl-norm"/>
    <w:basedOn w:val="Normal"/>
    <w:rsid w:val="00774060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basedOn w:val="DefaultParagraphFont"/>
    <w:rsid w:val="00774060"/>
    <w:rPr>
      <w:rFonts w:ascii="Segoe UI" w:hAnsi="Segoe UI" w:cs="Segoe UI" w:hint="default"/>
      <w:b/>
      <w:bCs/>
      <w:i/>
      <w:iCs/>
      <w:color w:val="0000FF"/>
      <w:sz w:val="18"/>
      <w:szCs w:val="18"/>
      <w:shd w:val="clear" w:color="auto" w:fill="D3D3D3"/>
    </w:rPr>
  </w:style>
  <w:style w:type="character" w:customStyle="1" w:styleId="cf11">
    <w:name w:val="cf11"/>
    <w:basedOn w:val="DefaultParagraphFont"/>
    <w:rsid w:val="00774060"/>
    <w:rPr>
      <w:rFonts w:ascii="Segoe UI" w:hAnsi="Segoe UI" w:cs="Segoe UI" w:hint="default"/>
      <w:b/>
      <w:bCs/>
      <w:i/>
      <w:iCs/>
      <w:sz w:val="18"/>
      <w:szCs w:val="18"/>
      <w:shd w:val="clear" w:color="auto" w:fill="D3D3D3"/>
    </w:rPr>
  </w:style>
  <w:style w:type="character" w:customStyle="1" w:styleId="cf21">
    <w:name w:val="cf21"/>
    <w:basedOn w:val="DefaultParagraphFont"/>
    <w:rsid w:val="00774060"/>
    <w:rPr>
      <w:rFonts w:ascii="Segoe UI" w:hAnsi="Segoe UI" w:cs="Segoe UI" w:hint="default"/>
      <w:strike/>
      <w:color w:val="FF0000"/>
      <w:sz w:val="18"/>
      <w:szCs w:val="18"/>
      <w:shd w:val="clear" w:color="auto" w:fill="D3D3D3"/>
    </w:rPr>
  </w:style>
  <w:style w:type="paragraph" w:styleId="ListParagraph">
    <w:name w:val="List Paragraph"/>
    <w:basedOn w:val="Normal"/>
    <w:uiPriority w:val="34"/>
    <w:qFormat/>
    <w:rsid w:val="00774060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774060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23454-10E3-4A5F-B966-8F16E6D2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590</Words>
  <Characters>3209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SOLTYSOVA Zuzana</cp:lastModifiedBy>
  <cp:revision>2</cp:revision>
  <cp:lastPrinted>2004-11-19T15:42:00Z</cp:lastPrinted>
  <dcterms:created xsi:type="dcterms:W3CDTF">2024-07-02T15:06:00Z</dcterms:created>
  <dcterms:modified xsi:type="dcterms:W3CDTF">2024-07-02T15:06:00Z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P9_TA(2024)0101_</vt:lpwstr>
  </property>
  <property fmtid="{D5CDD505-2E9C-101B-9397-08002B2CF9AE}" pid="4" name="&lt;Type&gt;">
    <vt:lpwstr>RR</vt:lpwstr>
  </property>
</Properties>
</file>