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7F4" w:rsidTr="0010095E">
        <w:trPr>
          <w:trHeight w:hRule="exact" w:val="1418"/>
        </w:trPr>
        <w:tc>
          <w:tcPr>
            <w:tcW w:w="6804" w:type="dxa"/>
            <w:shd w:val="clear" w:color="auto" w:fill="auto"/>
            <w:vAlign w:val="center"/>
          </w:tcPr>
          <w:p w:rsidR="00751A4A" w:rsidRPr="008017F4" w:rsidRDefault="00586C13" w:rsidP="0010095E">
            <w:pPr>
              <w:pStyle w:val="EPName"/>
            </w:pPr>
            <w:r w:rsidRPr="008017F4">
              <w:t>Европейски</w:t>
            </w:r>
            <w:r w:rsidR="004F3DE5" w:rsidRPr="008017F4">
              <w:t xml:space="preserve"> парламент</w:t>
            </w:r>
          </w:p>
          <w:p w:rsidR="00751A4A" w:rsidRPr="008017F4" w:rsidRDefault="00586C13" w:rsidP="00756632">
            <w:pPr>
              <w:pStyle w:val="EPTerm"/>
              <w:rPr>
                <w:rStyle w:val="HideTWBExt"/>
                <w:noProof w:val="0"/>
                <w:vanish w:val="0"/>
                <w:color w:val="auto"/>
              </w:rPr>
            </w:pPr>
            <w:r>
              <w:t>2019 – </w:t>
            </w:r>
            <w:r w:rsidR="00817416" w:rsidRPr="008017F4">
              <w:t>2024</w:t>
            </w:r>
          </w:p>
        </w:tc>
        <w:tc>
          <w:tcPr>
            <w:tcW w:w="2268" w:type="dxa"/>
            <w:shd w:val="clear" w:color="auto" w:fill="auto"/>
          </w:tcPr>
          <w:p w:rsidR="00751A4A" w:rsidRPr="008017F4" w:rsidRDefault="00187494" w:rsidP="0010095E">
            <w:pPr>
              <w:pStyle w:val="EPLogo"/>
            </w:pPr>
            <w:r w:rsidRPr="008017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17F4" w:rsidRDefault="00D058B8" w:rsidP="004C5D52">
      <w:pPr>
        <w:pStyle w:val="LineTop"/>
      </w:pPr>
    </w:p>
    <w:p w:rsidR="00680577" w:rsidRPr="008017F4" w:rsidRDefault="004F3DE5" w:rsidP="00680577">
      <w:pPr>
        <w:pStyle w:val="EPBodyTA1"/>
      </w:pPr>
      <w:r w:rsidRPr="008017F4">
        <w:t>ПРИЕТИ ТЕКСТОВЕ</w:t>
      </w:r>
    </w:p>
    <w:p w:rsidR="00D058B8" w:rsidRPr="008017F4" w:rsidRDefault="00D058B8" w:rsidP="00D058B8">
      <w:pPr>
        <w:pStyle w:val="LineBottom"/>
      </w:pPr>
    </w:p>
    <w:p w:rsidR="004F3DE5" w:rsidRPr="008017F4" w:rsidRDefault="004F3DE5" w:rsidP="004F3DE5">
      <w:pPr>
        <w:pStyle w:val="ATHeading1"/>
      </w:pPr>
      <w:bookmarkStart w:id="0" w:name="TANumber"/>
      <w:r w:rsidRPr="008017F4">
        <w:t>P9_TA(2024)0</w:t>
      </w:r>
      <w:r w:rsidR="00345C02">
        <w:rPr>
          <w:lang w:val="en-GB"/>
        </w:rPr>
        <w:t>1</w:t>
      </w:r>
      <w:r w:rsidRPr="008017F4">
        <w:t>0</w:t>
      </w:r>
      <w:r w:rsidR="00345C02">
        <w:rPr>
          <w:lang w:val="en-GB"/>
        </w:rPr>
        <w:t>2</w:t>
      </w:r>
      <w:bookmarkEnd w:id="0"/>
    </w:p>
    <w:p w:rsidR="004F3DE5" w:rsidRPr="008017F4" w:rsidRDefault="004F3DE5" w:rsidP="004F3DE5">
      <w:pPr>
        <w:pStyle w:val="ATHeading2"/>
      </w:pPr>
      <w:bookmarkStart w:id="1" w:name="title"/>
      <w:r w:rsidRPr="008017F4">
        <w:t>По-бързи и по-сигурни данъчни облекчения за надвзети данъци при източника</w:t>
      </w:r>
      <w:bookmarkEnd w:id="1"/>
    </w:p>
    <w:p w:rsidR="004F3DE5" w:rsidRPr="008017F4" w:rsidRDefault="004F3DE5" w:rsidP="004F3DE5">
      <w:pPr>
        <w:rPr>
          <w:i/>
          <w:vanish/>
        </w:rPr>
      </w:pPr>
      <w:r w:rsidRPr="008017F4">
        <w:rPr>
          <w:i/>
        </w:rPr>
        <w:fldChar w:fldCharType="begin"/>
      </w:r>
      <w:r w:rsidRPr="008017F4">
        <w:rPr>
          <w:i/>
        </w:rPr>
        <w:instrText xml:space="preserve"> TC"(</w:instrText>
      </w:r>
      <w:bookmarkStart w:id="2" w:name="DocNumber"/>
      <w:r w:rsidRPr="008017F4">
        <w:rPr>
          <w:i/>
        </w:rPr>
        <w:instrText>A9-0007/2024</w:instrText>
      </w:r>
      <w:bookmarkEnd w:id="2"/>
      <w:r w:rsidRPr="008017F4">
        <w:rPr>
          <w:i/>
        </w:rPr>
        <w:instrText xml:space="preserve"> - Докладчик: Херберт Дорфман)"\l3 \n&gt; \* MERGEFORMAT </w:instrText>
      </w:r>
      <w:r w:rsidRPr="008017F4">
        <w:rPr>
          <w:i/>
        </w:rPr>
        <w:fldChar w:fldCharType="end"/>
      </w:r>
    </w:p>
    <w:p w:rsidR="004F3DE5" w:rsidRPr="008017F4" w:rsidRDefault="004F3DE5" w:rsidP="004F3DE5">
      <w:pPr>
        <w:rPr>
          <w:vanish/>
        </w:rPr>
      </w:pPr>
      <w:bookmarkStart w:id="3" w:name="Commission"/>
      <w:r w:rsidRPr="008017F4">
        <w:rPr>
          <w:vanish/>
        </w:rPr>
        <w:t>Комисия по икономически и парични въпроси</w:t>
      </w:r>
      <w:bookmarkEnd w:id="3"/>
    </w:p>
    <w:p w:rsidR="004F3DE5" w:rsidRPr="008017F4" w:rsidRDefault="004F3DE5" w:rsidP="004F3DE5">
      <w:pPr>
        <w:rPr>
          <w:vanish/>
        </w:rPr>
      </w:pPr>
      <w:bookmarkStart w:id="4" w:name="PE"/>
      <w:r w:rsidRPr="008017F4">
        <w:rPr>
          <w:vanish/>
        </w:rPr>
        <w:t>PE752.746</w:t>
      </w:r>
      <w:bookmarkEnd w:id="4"/>
    </w:p>
    <w:p w:rsidR="004F3DE5" w:rsidRPr="00345C02" w:rsidRDefault="004F3DE5" w:rsidP="004F3DE5">
      <w:pPr>
        <w:pStyle w:val="ATHeading3"/>
        <w:rPr>
          <w:lang w:val="en-GB"/>
        </w:rPr>
      </w:pPr>
      <w:bookmarkStart w:id="5" w:name="Sujet"/>
      <w:r w:rsidRPr="008017F4">
        <w:t xml:space="preserve">Законодателна резолюция на Европейския парламент от </w:t>
      </w:r>
      <w:r w:rsidR="00345C02">
        <w:rPr>
          <w:lang w:val="en-GB"/>
        </w:rPr>
        <w:t>28</w:t>
      </w:r>
      <w:r w:rsidR="00597AB3">
        <w:t xml:space="preserve"> февруари</w:t>
      </w:r>
      <w:r w:rsidR="00597AB3" w:rsidRPr="008017F4">
        <w:t xml:space="preserve"> </w:t>
      </w:r>
      <w:r w:rsidRPr="008017F4">
        <w:t>2024 г. относно предложението за директива на Съвета за по-бързи и по-сигурни данъчни облекчения за надвзети данъци при източника</w:t>
      </w:r>
      <w:bookmarkEnd w:id="5"/>
      <w:r w:rsidRPr="008017F4">
        <w:t xml:space="preserve"> </w:t>
      </w:r>
      <w:bookmarkStart w:id="6" w:name="References"/>
      <w:r w:rsidRPr="008017F4">
        <w:t>(COM(2023)0324 – C9-0204/2023 – 2023/0187(CNS))</w:t>
      </w:r>
      <w:bookmarkEnd w:id="6"/>
    </w:p>
    <w:p w:rsidR="00EA5032" w:rsidRPr="008017F4" w:rsidRDefault="00EA5032" w:rsidP="00EA5032">
      <w:pPr>
        <w:pStyle w:val="NormalBold"/>
      </w:pPr>
      <w:bookmarkStart w:id="7" w:name="TextBodyBegin"/>
      <w:bookmarkEnd w:id="7"/>
      <w:r w:rsidRPr="008017F4">
        <w:t>(Специална законодателна процедура – консултация)</w:t>
      </w:r>
    </w:p>
    <w:p w:rsidR="00EA5032" w:rsidRPr="008017F4" w:rsidRDefault="00EA5032" w:rsidP="00EA5032">
      <w:pPr>
        <w:pStyle w:val="EPComma"/>
      </w:pPr>
      <w:r w:rsidRPr="008017F4">
        <w:rPr>
          <w:i/>
          <w:iCs/>
        </w:rPr>
        <w:t>Европейският парламент</w:t>
      </w:r>
      <w:r w:rsidRPr="008017F4">
        <w:t>,</w:t>
      </w:r>
    </w:p>
    <w:p w:rsidR="00EA5032" w:rsidRPr="008017F4" w:rsidRDefault="00586C13" w:rsidP="00EA5032">
      <w:pPr>
        <w:pStyle w:val="NormalHanging12a"/>
      </w:pPr>
      <w:r>
        <w:t>–</w:t>
      </w:r>
      <w:r w:rsidR="00EA5032" w:rsidRPr="008017F4">
        <w:tab/>
        <w:t>като взе предвид предложението на Комисията до Съвета (COM(2023)0324),</w:t>
      </w:r>
    </w:p>
    <w:p w:rsidR="00EA5032" w:rsidRPr="008017F4" w:rsidRDefault="00EA5032" w:rsidP="00EA5032">
      <w:pPr>
        <w:pStyle w:val="NormalHanging12a"/>
        <w:rPr>
          <w:rStyle w:val="HideTWBExt"/>
          <w:rFonts w:ascii="Times New Roman" w:hAnsi="Times New Roman"/>
          <w:noProof w:val="0"/>
          <w:vanish w:val="0"/>
          <w:color w:val="auto"/>
          <w:sz w:val="24"/>
        </w:rPr>
      </w:pPr>
      <w:r w:rsidRPr="008017F4">
        <w:t>–</w:t>
      </w:r>
      <w:r w:rsidRPr="008017F4">
        <w:tab/>
        <w:t>като взе предвид член 115 от Договора за функционирането на Европейския съюз, съгласно който Съветът се е консултирал с Парламента (C9</w:t>
      </w:r>
      <w:r w:rsidRPr="008017F4">
        <w:noBreakHyphen/>
        <w:t>0204/2023),</w:t>
      </w:r>
    </w:p>
    <w:p w:rsidR="00EA5032" w:rsidRPr="008017F4" w:rsidRDefault="00EA5032" w:rsidP="00EA5032">
      <w:pPr>
        <w:pStyle w:val="NormalHanging12a"/>
      </w:pPr>
      <w:r w:rsidRPr="008017F4">
        <w:t>–</w:t>
      </w:r>
      <w:r w:rsidRPr="008017F4">
        <w:tab/>
        <w:t>като взе предвид член 82 от своя Правилник за дейността,</w:t>
      </w:r>
    </w:p>
    <w:p w:rsidR="00EA5032" w:rsidRPr="008017F4" w:rsidRDefault="00EA5032" w:rsidP="00EA5032">
      <w:pPr>
        <w:pStyle w:val="NormalHanging12a"/>
      </w:pPr>
      <w:r w:rsidRPr="008017F4">
        <w:t>–</w:t>
      </w:r>
      <w:r w:rsidRPr="008017F4">
        <w:tab/>
        <w:t>като взе предвид доклада на комисията по икономически и парични въпроси (A9-0007/2024),</w:t>
      </w:r>
    </w:p>
    <w:p w:rsidR="00EA5032" w:rsidRPr="008017F4" w:rsidRDefault="00EA5032" w:rsidP="00EA5032">
      <w:pPr>
        <w:pStyle w:val="NormalHanging12a"/>
      </w:pPr>
      <w:r w:rsidRPr="008017F4">
        <w:t>1.</w:t>
      </w:r>
      <w:r w:rsidRPr="008017F4">
        <w:tab/>
        <w:t>одобрява предложението на Комисията във вида, в който е изменено;</w:t>
      </w:r>
    </w:p>
    <w:p w:rsidR="00EA5032" w:rsidRPr="008017F4" w:rsidRDefault="00EA5032" w:rsidP="00EA5032">
      <w:pPr>
        <w:pStyle w:val="NormalHanging12a"/>
      </w:pPr>
      <w:r w:rsidRPr="008017F4">
        <w:t>2.</w:t>
      </w:r>
      <w:r w:rsidRPr="008017F4">
        <w:tab/>
        <w:t>приканва Комисията да промени съответно своето предложение съгласно член 293, параграф 2 от Договора за функционирането на ЕС;</w:t>
      </w:r>
    </w:p>
    <w:p w:rsidR="00EA5032" w:rsidRPr="008017F4" w:rsidRDefault="00EA5032" w:rsidP="00EA5032">
      <w:pPr>
        <w:pStyle w:val="NormalHanging12a"/>
      </w:pPr>
      <w:r w:rsidRPr="008017F4">
        <w:t>3.</w:t>
      </w:r>
      <w:r w:rsidRPr="008017F4">
        <w:tab/>
        <w:t>приканва Съвета, в случай че възнамерява да се отклони от текста, одобрен от Парламента, да информира последния за това;</w:t>
      </w:r>
    </w:p>
    <w:p w:rsidR="00EA5032" w:rsidRPr="008017F4" w:rsidRDefault="00EA5032" w:rsidP="00EA5032">
      <w:pPr>
        <w:pStyle w:val="NormalHanging12a"/>
      </w:pPr>
      <w:r w:rsidRPr="008017F4">
        <w:t>4.</w:t>
      </w:r>
      <w:r w:rsidRPr="008017F4">
        <w:tab/>
        <w:t>призовава Съвета да се консултира отново с него, в случай че възнамерява да внесе съществени изменения в предложението на Комисията;</w:t>
      </w:r>
    </w:p>
    <w:p w:rsidR="00EA5032" w:rsidRPr="008017F4" w:rsidRDefault="00EA5032" w:rsidP="00EA5032">
      <w:pPr>
        <w:pStyle w:val="NormalHanging12a"/>
      </w:pPr>
      <w:r w:rsidRPr="008017F4">
        <w:t>5.</w:t>
      </w:r>
      <w:r w:rsidRPr="008017F4">
        <w:tab/>
        <w:t>възлага на своя председател да предаде позицията на Парламента съответно на Съвета и на Комисията, както и на националните парламенти.</w:t>
      </w:r>
    </w:p>
    <w:p w:rsidR="00EA5032" w:rsidRPr="008017F4" w:rsidRDefault="00EA5032" w:rsidP="00EA5032">
      <w:pPr>
        <w:widowControl/>
      </w:pPr>
      <w:r w:rsidRPr="008017F4">
        <w:br w:type="page"/>
      </w:r>
    </w:p>
    <w:p w:rsidR="00EA5032" w:rsidRPr="008017F4" w:rsidRDefault="00EA5032" w:rsidP="00EA5032">
      <w:pPr>
        <w:pStyle w:val="AmNumberTabs"/>
      </w:pPr>
      <w:r w:rsidRPr="008017F4">
        <w:lastRenderedPageBreak/>
        <w:t>Изменение</w:t>
      </w:r>
      <w:r w:rsidRPr="008017F4">
        <w:tab/>
      </w:r>
      <w:r w:rsidRPr="008017F4">
        <w:tab/>
        <w:t>1</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Съображение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(1)</w:t>
            </w:r>
            <w:r w:rsidRPr="008017F4">
              <w:tab/>
              <w:t>Осигуряването на справедливо данъчно облагане на вътрешния пазар и доброто функциониране на съюза на капиталовите пазари (СКП) са политически приоритети на Европейския съюз (ЕС). В този контекст премахването на пречките пред трансграничните инвестиции, както и борбата с данъчните измами и злоупотреби, са от решаващо значение. Такива пречки се явяват например неефективни и непропорционално утежнени процедури за данъчни облекчения за надвзети данъци при източника върху доходи от дивиденти или лихви, изплатени по публично търгувани акции или облигации, на чуждестранни инвеститори. Освен това статуквото се оказа неподходящо за предотвратяване на повтарящите се рискове от данъчни измами, отклонение от данъчно облагане и избягване на данъци, както показаха неотдавнашните скандали Cum-Ex и Cum-Cum. Настоящото предложение има за цел да повиши ефективността на процедурите на ЕС във връзка с данъка, удържан при източника, като същевременно ги укрепи срещу риска от данъчни измами и злоупотреби. То се основава на съответните предишни действия на равнището на ЕС и на международно равнище, като например препоръката на Комисията от 2009 г. относно опростяването на процедурите за данъчни облекчения във връзка с данъка, удържан при източника, и инициативата на ОИСР за облекчения съгласно спогодби и подобряване на спазването на данъчното законодателство (TRACE)</w:t>
            </w:r>
            <w:r w:rsidRPr="008017F4">
              <w:rPr>
                <w:vertAlign w:val="superscript"/>
              </w:rPr>
              <w:t>28</w:t>
            </w:r>
            <w:r w:rsidRPr="008017F4">
              <w:t>.</w:t>
            </w:r>
          </w:p>
        </w:tc>
        <w:tc>
          <w:tcPr>
            <w:tcW w:w="4876" w:type="dxa"/>
          </w:tcPr>
          <w:p w:rsidR="00EA5032" w:rsidRPr="008017F4" w:rsidRDefault="00EA5032" w:rsidP="00597AB3">
            <w:pPr>
              <w:pStyle w:val="Normal6a"/>
            </w:pPr>
            <w:r w:rsidRPr="008017F4">
              <w:t>(1)</w:t>
            </w:r>
            <w:r w:rsidRPr="008017F4">
              <w:tab/>
              <w:t>Осигуряването на справедливо данъчно облагане на вътрешния пазар и доброто функциониране на съюза на капиталовите пазари (СКП) са политически приоритети на Европейския съюз (ЕС). В този контекст премахването на пречките пред трансграничните инвестиции, както и борбата с данъчните измами и злоупотреби, са от решаващо значение. Такива пречки се явяват например неефективни и непропорционално утежнени процедури за данъчни облекчения за надвзети данъци при източника върху доходи от дивиденти или лихви, изплатени по публично търгувани акции или облигации, на чуждестранни инвеститори.</w:t>
            </w:r>
            <w:r w:rsidRPr="008017F4">
              <w:rPr>
                <w:b/>
                <w:i/>
              </w:rPr>
              <w:t xml:space="preserve"> Тези пречки представляват особено предизвикателство за непрофесионалните инвеститори.</w:t>
            </w:r>
            <w:r w:rsidRPr="008017F4">
              <w:t xml:space="preserve"> Освен това статуквото се оказа неподходящо за предотвратяване на повтарящите се рискове от данъчни измами, отклонение от данъчно облагане и избягване на данъци, както показаха неотдавнашните скандали Cum-Ex и Cum-Cum. Настоящото предложение има за цел да повиши ефективността на процедурите на ЕС във връзка с данъка, удържан при източника, като същевременно ги укрепи срещу риска от данъчни измами и злоупотреби. То се основава на съответните предишни действия на равнището на ЕС и на международно равнище, като например препоръката на Комисията от 2009 г. относно опростяването на процедурите за данъчни облекчения във връзка с данъка, удържан при източника, и инициативата на ОИСР за облекчения съгласно спогодби и подобряване на спазването на данъчното </w:t>
            </w:r>
            <w:r w:rsidRPr="008017F4">
              <w:lastRenderedPageBreak/>
              <w:t>законодателство (TRACE)</w:t>
            </w:r>
            <w:r w:rsidRPr="008017F4">
              <w:rPr>
                <w:vertAlign w:val="superscript"/>
              </w:rPr>
              <w:t>28</w:t>
            </w:r>
            <w:r w:rsidRPr="008017F4">
              <w:t>.</w:t>
            </w:r>
          </w:p>
        </w:tc>
      </w:tr>
      <w:tr w:rsidR="00EA5032" w:rsidRPr="008017F4" w:rsidTr="00597AB3">
        <w:trPr>
          <w:jc w:val="center"/>
        </w:trPr>
        <w:tc>
          <w:tcPr>
            <w:tcW w:w="4876" w:type="dxa"/>
          </w:tcPr>
          <w:p w:rsidR="00EA5032" w:rsidRPr="008017F4" w:rsidRDefault="00EA5032" w:rsidP="00597AB3">
            <w:pPr>
              <w:pStyle w:val="Normal6a"/>
            </w:pPr>
            <w:r w:rsidRPr="008017F4">
              <w:rPr>
                <w:b/>
                <w:i/>
              </w:rPr>
              <w:lastRenderedPageBreak/>
              <w:t>_________________</w:t>
            </w:r>
          </w:p>
        </w:tc>
        <w:tc>
          <w:tcPr>
            <w:tcW w:w="4876" w:type="dxa"/>
          </w:tcPr>
          <w:p w:rsidR="00EA5032" w:rsidRPr="008017F4" w:rsidRDefault="00EA5032" w:rsidP="00597AB3">
            <w:pPr>
              <w:pStyle w:val="Normal6a"/>
            </w:pPr>
            <w:r w:rsidRPr="008017F4">
              <w:rPr>
                <w:b/>
                <w:i/>
              </w:rPr>
              <w:t>_________________</w:t>
            </w:r>
          </w:p>
        </w:tc>
      </w:tr>
      <w:tr w:rsidR="00EA5032" w:rsidRPr="008017F4" w:rsidTr="00597AB3">
        <w:trPr>
          <w:jc w:val="center"/>
        </w:trPr>
        <w:tc>
          <w:tcPr>
            <w:tcW w:w="4876" w:type="dxa"/>
          </w:tcPr>
          <w:p w:rsidR="00EA5032" w:rsidRPr="008017F4" w:rsidRDefault="00EA5032" w:rsidP="00597AB3">
            <w:pPr>
              <w:pStyle w:val="Normal6a"/>
            </w:pPr>
            <w:r w:rsidRPr="008017F4">
              <w:rPr>
                <w:vertAlign w:val="superscript"/>
              </w:rPr>
              <w:t>28</w:t>
            </w:r>
            <w:r w:rsidRPr="008017F4">
              <w:t xml:space="preserve"> Препоръка на Комисията от 19 октомври 2009 г. относно процедурите за данъчни облекчения във връзка с данъка, удържан при източника (текст от значение за ЕИП) (ОВ L 279, 24.10.2009 г., стр. 8</w:t>
            </w:r>
            <w:r w:rsidRPr="00F54218">
              <w:rPr>
                <w:b/>
                <w:i/>
              </w:rPr>
              <w:t>–11</w:t>
            </w:r>
            <w:r w:rsidRPr="008017F4">
              <w:t>).</w:t>
            </w:r>
          </w:p>
        </w:tc>
        <w:tc>
          <w:tcPr>
            <w:tcW w:w="4876" w:type="dxa"/>
          </w:tcPr>
          <w:p w:rsidR="00EA5032" w:rsidRPr="008017F4" w:rsidRDefault="00EA5032" w:rsidP="00F54218">
            <w:pPr>
              <w:pStyle w:val="Normal6a"/>
            </w:pPr>
            <w:r w:rsidRPr="008017F4">
              <w:rPr>
                <w:vertAlign w:val="superscript"/>
              </w:rPr>
              <w:t>28</w:t>
            </w:r>
            <w:r w:rsidRPr="008017F4">
              <w:t xml:space="preserve"> Препоръка на Комисията от 19 октомври 2009 г. относно процедурите за данъчни облекчения във връзка с данъка, удържан при източника (текст от значение за ЕИП) (ОВ L 279, 24.10.2009 г., стр. 8).</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2</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Съображение 1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b/>
                <w:i/>
                <w:szCs w:val="24"/>
              </w:rPr>
            </w:pPr>
            <w:r w:rsidRPr="008017F4">
              <w:rPr>
                <w:b/>
                <w:i/>
              </w:rPr>
              <w:t>(1a)</w:t>
            </w:r>
            <w:r w:rsidRPr="008017F4">
              <w:rPr>
                <w:b/>
                <w:i/>
              </w:rPr>
              <w:tab/>
              <w:t>Схемите Cum-Ex и Cum-Cum се състоят във възстановяване на данък върху дивидентите, удържан при източника, на който бенефициерите не са имали право, и по приблизителни оценки тези схеми са породили общи разходи за данъкоплатците в размер на около 55 милиарда евро</w:t>
            </w:r>
            <w:r w:rsidRPr="008017F4">
              <w:rPr>
                <w:b/>
                <w:i/>
                <w:vertAlign w:val="superscript"/>
              </w:rPr>
              <w:t>1а</w:t>
            </w:r>
            <w:r w:rsidRPr="008017F4">
              <w:rPr>
                <w:b/>
                <w:i/>
              </w:rPr>
              <w:t xml:space="preserve"> в периода между 2001 г. и 2012 г. в засегнатите 11 държави членки; по приблизителни оценки в разкрития от 2021 г. относно тези практики те са стрували на десет правителства от ЕС, в това число правителствата на някои държави членки, общо 141 милиарда евро</w:t>
            </w:r>
            <w:r w:rsidRPr="008017F4">
              <w:rPr>
                <w:b/>
                <w:i/>
                <w:vertAlign w:val="superscript"/>
              </w:rPr>
              <w:t>1б</w:t>
            </w:r>
            <w:r w:rsidRPr="008017F4">
              <w:rPr>
                <w:b/>
                <w:i/>
              </w:rPr>
              <w:t>; схемите Cum-Ex и Cum-Cum са обявени за незаконни и следва да подлежат на наказателно преследване съгласно националното право.</w:t>
            </w:r>
          </w:p>
        </w:tc>
      </w:tr>
      <w:tr w:rsidR="00EA5032" w:rsidRPr="008017F4" w:rsidTr="00597AB3">
        <w:trPr>
          <w:jc w:val="center"/>
        </w:trPr>
        <w:tc>
          <w:tcPr>
            <w:tcW w:w="4876" w:type="dxa"/>
          </w:tcPr>
          <w:p w:rsidR="00EA5032" w:rsidRPr="008017F4" w:rsidRDefault="00EA5032" w:rsidP="00597AB3">
            <w:pPr>
              <w:pStyle w:val="Normal6"/>
              <w:rPr>
                <w:b/>
                <w:i/>
              </w:rPr>
            </w:pPr>
          </w:p>
        </w:tc>
        <w:tc>
          <w:tcPr>
            <w:tcW w:w="4876" w:type="dxa"/>
          </w:tcPr>
          <w:p w:rsidR="00EA5032" w:rsidRPr="008017F4" w:rsidRDefault="00EA5032" w:rsidP="00597AB3">
            <w:pPr>
              <w:pStyle w:val="Normal6"/>
              <w:rPr>
                <w:b/>
                <w:i/>
                <w:szCs w:val="24"/>
              </w:rPr>
            </w:pPr>
            <w:r w:rsidRPr="008017F4">
              <w:rPr>
                <w:b/>
                <w:i/>
              </w:rPr>
              <w:t>_________________</w:t>
            </w:r>
          </w:p>
        </w:tc>
      </w:tr>
      <w:tr w:rsidR="00EA5032" w:rsidRPr="008017F4" w:rsidTr="00597AB3">
        <w:trPr>
          <w:jc w:val="center"/>
        </w:trPr>
        <w:tc>
          <w:tcPr>
            <w:tcW w:w="4876" w:type="dxa"/>
          </w:tcPr>
          <w:p w:rsidR="00EA5032" w:rsidRPr="008017F4" w:rsidRDefault="00EA5032" w:rsidP="00597AB3">
            <w:pPr>
              <w:pStyle w:val="Normal6"/>
              <w:rPr>
                <w:b/>
                <w:i/>
              </w:rPr>
            </w:pPr>
          </w:p>
        </w:tc>
        <w:tc>
          <w:tcPr>
            <w:tcW w:w="4876" w:type="dxa"/>
          </w:tcPr>
          <w:p w:rsidR="00EA5032" w:rsidRPr="008017F4" w:rsidRDefault="00EA5032" w:rsidP="00597AB3">
            <w:pPr>
              <w:pStyle w:val="Normal6"/>
              <w:rPr>
                <w:b/>
                <w:i/>
                <w:szCs w:val="24"/>
              </w:rPr>
            </w:pPr>
            <w:r w:rsidRPr="008017F4">
              <w:rPr>
                <w:b/>
                <w:i/>
                <w:vertAlign w:val="superscript"/>
              </w:rPr>
              <w:t>1a</w:t>
            </w:r>
            <w:r w:rsidRPr="008017F4">
              <w:rPr>
                <w:b/>
                <w:i/>
              </w:rPr>
              <w:t xml:space="preserve"> </w:t>
            </w:r>
            <w:hyperlink r:id="rId9" w:history="1">
              <w:r w:rsidRPr="008017F4">
                <w:rPr>
                  <w:rStyle w:val="Hyperlink"/>
                  <w:b/>
                  <w:i/>
                  <w:color w:val="auto"/>
                </w:rPr>
                <w:t>https://www.dw.com/en/cum-ex-tax-scandal-cost-european-treasuries-55-billion/a-45935370</w:t>
              </w:r>
            </w:hyperlink>
          </w:p>
        </w:tc>
      </w:tr>
      <w:tr w:rsidR="00EA5032" w:rsidRPr="008017F4" w:rsidTr="00597AB3">
        <w:trPr>
          <w:jc w:val="center"/>
        </w:trPr>
        <w:tc>
          <w:tcPr>
            <w:tcW w:w="4876" w:type="dxa"/>
          </w:tcPr>
          <w:p w:rsidR="00EA5032" w:rsidRPr="008017F4" w:rsidRDefault="00EA5032" w:rsidP="00597AB3">
            <w:pPr>
              <w:pStyle w:val="Normal6"/>
              <w:rPr>
                <w:b/>
                <w:i/>
              </w:rPr>
            </w:pPr>
          </w:p>
        </w:tc>
        <w:tc>
          <w:tcPr>
            <w:tcW w:w="4876" w:type="dxa"/>
          </w:tcPr>
          <w:p w:rsidR="00EA5032" w:rsidRPr="008017F4" w:rsidRDefault="00EA5032" w:rsidP="00597AB3">
            <w:pPr>
              <w:pStyle w:val="Normal6"/>
              <w:rPr>
                <w:b/>
                <w:i/>
                <w:szCs w:val="24"/>
              </w:rPr>
            </w:pPr>
            <w:r w:rsidRPr="008017F4">
              <w:rPr>
                <w:b/>
                <w:i/>
                <w:vertAlign w:val="superscript"/>
              </w:rPr>
              <w:t>1b</w:t>
            </w:r>
            <w:r w:rsidRPr="008017F4">
              <w:rPr>
                <w:b/>
                <w:i/>
              </w:rPr>
              <w:t xml:space="preserve"> </w:t>
            </w:r>
            <w:hyperlink r:id="rId10" w:history="1">
              <w:r w:rsidRPr="008017F4">
                <w:rPr>
                  <w:rStyle w:val="Hyperlink"/>
                  <w:b/>
                  <w:i/>
                  <w:color w:val="auto"/>
                </w:rPr>
                <w:t>https://taxation-customs.ec.europa.eu/system/files/2023-06/SWD_2023_216_1_EN_impact_assessment_part1_v2.pdf</w:t>
              </w:r>
            </w:hyperlink>
          </w:p>
        </w:tc>
      </w:tr>
    </w:tbl>
    <w:p w:rsidR="00EA5032" w:rsidRPr="008017F4" w:rsidRDefault="00EA5032" w:rsidP="00EA5032"/>
    <w:p w:rsidR="00EA5032" w:rsidRPr="008017F4" w:rsidRDefault="00EA5032" w:rsidP="00EA5032">
      <w:pPr>
        <w:pStyle w:val="AMNumberTabs0"/>
        <w:keepNext/>
      </w:pPr>
      <w:r w:rsidRPr="008017F4">
        <w:lastRenderedPageBreak/>
        <w:t>Изменение</w:t>
      </w:r>
      <w:r w:rsidRPr="008017F4">
        <w:tab/>
      </w:r>
      <w:r w:rsidRPr="008017F4">
        <w:tab/>
        <w:t>3</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Съображение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(2)</w:t>
            </w:r>
            <w:r w:rsidRPr="008017F4">
              <w:tab/>
              <w:t>За да се укрепи капацитетът на държавите членки да предотвратяват и да се борят срещу потенциални измами или злоупотреби, което понастоящем се възпрепятства от разпокъсаност и обща липса на надеждна и навременна информация за инвеститорите, е необходимо да се въведе обща рамка за данъчни облекчения за надвзети данъци при източника върху трансгранични инвестиции в ценни книжа, която да бъде устойчива на риск от данъчни измами или злоупотреби. Тази рамка следва да доведе до сближаване на различните процедури за данъчни облекчения, прилагани в ЕС, като същевременно гарантира прозрачност и сигурност относно идентификацията на инвеститорите за емитентите на ценни книжа, данъчните агенти по данъка, удържан при източника, финансовите посредници и държавите членки, в зависимост от случая. За тази цел рамката следва да се основава на автоматизирани процедури, като например цифровизацията на удостоверението за местно лице за данъчни цели (по отношение на процедурата и формуляра), което е предпоставка за достъп на инвеститорите до всякакви процедури за данъчни облекчения или възстановяване. Тази рамка следва също така да бъде достатъчно гъвкава, за да бъдат надлежно взети предвид различните системи, приложими в различните държави членки, като същевременно осигурява по-голямо сближаване и предоставя подходящи инструменти за борба със злоупотребите с цел намаляване на рисковете от данъчни измами, отклонение от данъчно облагане и избягване на данъци.</w:t>
            </w:r>
          </w:p>
        </w:tc>
        <w:tc>
          <w:tcPr>
            <w:tcW w:w="4876" w:type="dxa"/>
          </w:tcPr>
          <w:p w:rsidR="00EA5032" w:rsidRPr="008017F4" w:rsidRDefault="00EA5032" w:rsidP="00597AB3">
            <w:pPr>
              <w:pStyle w:val="Normal6"/>
              <w:rPr>
                <w:szCs w:val="24"/>
              </w:rPr>
            </w:pPr>
            <w:r w:rsidRPr="008017F4">
              <w:t>(2)</w:t>
            </w:r>
            <w:r w:rsidRPr="008017F4">
              <w:tab/>
              <w:t xml:space="preserve">За да се укрепи капацитетът на държавите членки да предотвратяват и да се борят срещу потенциални измами или злоупотреби, което понастоящем се възпрепятства от разпокъсаност и обща липса на надеждна и навременна информация за инвеститорите, е необходимо да се въведе обща рамка за данъчни облекчения за надвзети данъци при източника върху трансгранични инвестиции в ценни книжа, която да бъде устойчива на риск от данъчни измами или злоупотреби. Тази рамка следва да доведе до сближаване на различните процедури за данъчни облекчения, прилагани в ЕС, като същевременно гарантира прозрачност и сигурност относно идентификацията на инвеститорите за емитентите на ценни книжа, данъчните агенти по данъка, удържан при източника, финансовите посредници и държавите членки, в зависимост от случая. За тази цел рамката следва да се основава на автоматизирани процедури, като например цифровизацията на удостоверението за местно лице за данъчни цели (по отношение на процедурата и формуляра), което е предпоставка за достъп на инвеститорите до всякакви процедури за данъчни облекчения или възстановяване. Тази рамка следва също така да бъде достатъчно гъвкава, за да бъдат надлежно взети предвид различните системи, приложими в различните държави членки, като същевременно осигурява по-голямо сближаване и предоставя подходящи инструменти за борба със злоупотребите с цел намаляване на рисковете от данъчни измами, отклонение от данъчно облагане и избягване на данъци. </w:t>
            </w:r>
            <w:r w:rsidRPr="008017F4">
              <w:rPr>
                <w:b/>
                <w:i/>
              </w:rPr>
              <w:t xml:space="preserve">За успеха на настоящата директива е </w:t>
            </w:r>
            <w:r w:rsidRPr="008017F4">
              <w:rPr>
                <w:b/>
                <w:i/>
              </w:rPr>
              <w:lastRenderedPageBreak/>
              <w:t xml:space="preserve">необходимо държавите членки да предоставят на данъчните администрации инструменти за сигурно и своевременно третиране на процедурите за възстановяване/облекчения при източника и да полагат повече усилия за осигуряване на цифровизирани, автоматизирани и по-добре координирани основни елементи. За целта е необходимо също така да бъде обучен съответният персонал, упражняващ контрол върху цифровите инструменти. </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4</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Съображение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(4)</w:t>
            </w:r>
            <w:r w:rsidRPr="008017F4">
              <w:tab/>
              <w:t>За да се гарантира, че всички данъкоплатци в ЕС имат достъп до общо, подходящо и ефективно доказателство за юрисдикцията, на която са местни лица за данъчни цели, държавите членки следва да използват автоматизирани процедури за издаване на удостоверения за местно лице за данъчни цели в една и съща разпознаваема и приемлива цифрова форма и с едно и също съдържание. За да се постигне по-голяма ефективност, удостоверението следва да бъде валидно поне за цялата година, през която е издадено, и да бъде признато от другите държави членки за този период. Държавите членки могат да анулират издадено eTRC, когато данъчният орган разполага с доказателство за обратното по отношение на статута на местно лице за данъчни цели за въпросната година. За да се даде възможност за ефективно идентифициране на дружествата от ЕС, удостоверението следва да включва информация за единния европейски идентификационен код (ЕЕИК).</w:t>
            </w:r>
          </w:p>
        </w:tc>
        <w:tc>
          <w:tcPr>
            <w:tcW w:w="4876" w:type="dxa"/>
          </w:tcPr>
          <w:p w:rsidR="00EA5032" w:rsidRPr="008017F4" w:rsidRDefault="00EA5032" w:rsidP="00597AB3">
            <w:pPr>
              <w:pStyle w:val="Normal6a"/>
            </w:pPr>
            <w:r w:rsidRPr="008017F4">
              <w:t>(4)</w:t>
            </w:r>
            <w:r w:rsidRPr="008017F4">
              <w:tab/>
              <w:t xml:space="preserve">За да се гарантира, че всички данъкоплатци в ЕС имат достъп до общо, подходящо и ефективно доказателство за юрисдикцията, на която са местни лица за данъчни цели, държавите членки следва да използват автоматизирани процедури за издаване на удостоверения за местно лице за данъчни цели в една и съща разпознаваема и приемлива цифрова форма и с едно и също съдържание. За да се постигне по-голяма ефективност, удостоверението следва да бъде валидно поне за цялата година, през която е издадено, и да бъде признато от другите държави членки за този период. </w:t>
            </w:r>
            <w:r w:rsidRPr="008017F4">
              <w:rPr>
                <w:b/>
                <w:i/>
              </w:rPr>
              <w:t>Цифровото удостоверение за местно лице за данъчни цели (eTRC) следва също така да съдържа позоваване на приложимите спогодби за избягване на двойното данъчно облагане.</w:t>
            </w:r>
            <w:r w:rsidRPr="008017F4">
              <w:t xml:space="preserve"> Държавите членки могат да анулират издадено eTRC, когато данъчният орган разполага с доказателство за обратното по отношение на статута на местно лице за данъчни цели за въпросната година. За да се даде възможност за ефективно </w:t>
            </w:r>
            <w:r w:rsidRPr="008017F4">
              <w:lastRenderedPageBreak/>
              <w:t>идентифициране на дружествата от ЕС, удостоверението следва да включва информация за единния европейски идентификационен код (ЕЕИК).</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5</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Съображение 4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(4а)</w:t>
            </w:r>
            <w:r w:rsidRPr="008017F4">
              <w:rPr>
                <w:b/>
                <w:i/>
              </w:rPr>
              <w:tab/>
              <w:t>За да се гарантира ефективността на данъчните последици от определянето на субекти като фиктивни образувания, както е предвидено в предложението на Комисията за директива на Съвета за определяне на правила за предотвратяване на злоупотребата с фиктивни образувания за данъчни цели и за изменение на Директива 2011/16/EU</w:t>
            </w:r>
            <w:r w:rsidRPr="008017F4">
              <w:rPr>
                <w:b/>
                <w:i/>
                <w:vertAlign w:val="superscript"/>
              </w:rPr>
              <w:t>1a</w:t>
            </w:r>
            <w:r w:rsidRPr="008017F4">
              <w:rPr>
                <w:b/>
                <w:i/>
              </w:rPr>
              <w:t xml:space="preserve"> (Директива UNSHELL), е необходимо процедурите за налагане на данъчни последици в Директивата UNSHELL и процедурите за издаване на електронно удостоверение за местно лице за данъчни цели в настоящата директива да бъдат приведени в съответствие. Поради това Съветът следва да изясни взаимодействието между данъчните последици, определени в Директивата UNSHELL, и издаването на електронно удостоверение за местно лице за данъчни цели, определено в настоящата директива.</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b/>
                <w:i/>
              </w:rPr>
            </w:pPr>
            <w:r w:rsidRPr="008017F4">
              <w:rPr>
                <w:b/>
                <w:i/>
              </w:rPr>
              <w:t>_______________</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b/>
                <w:i/>
              </w:rPr>
            </w:pPr>
            <w:r w:rsidRPr="008017F4">
              <w:rPr>
                <w:b/>
                <w:i/>
                <w:vertAlign w:val="superscript"/>
              </w:rPr>
              <w:t>1a</w:t>
            </w:r>
            <w:r w:rsidRPr="008017F4">
              <w:rPr>
                <w:b/>
                <w:i/>
              </w:rPr>
              <w:t xml:space="preserve"> COM(2021)0565.</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6</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Съображение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(6)</w:t>
            </w:r>
            <w:r w:rsidRPr="008017F4">
              <w:tab/>
              <w:t>Тъй като финансовите посредници, които най-често участват във веригите на плащане на ценни книжа, са големи институции съгласно определението в Регламента за капиталовите изисквания (РКИ)</w:t>
            </w:r>
            <w:r w:rsidRPr="008017F4">
              <w:rPr>
                <w:vertAlign w:val="superscript"/>
              </w:rPr>
              <w:t>29</w:t>
            </w:r>
            <w:r w:rsidRPr="008017F4">
              <w:t xml:space="preserve"> , както и централни депозитари на ценни книжа, предоставящи услуги на данъчен агент по данъка, удържан при източника, тези субекти следва да бъдат задължени да поискат регистрация в националните регистри на държавите членки, създадени в съответствие с посоченото по-горе. На другите финансови посредници следва да бъде разрешено да поискат регистрация по своя преценка. Регистрацията следва да бъде поискана от самия финансов посредник чрез подаване на заявление до компетентния орган, определен от държавата членка, включващо доказателства, че финансовият посредник отговаря на определени изисквания. Целта на изискванията е да се провери дали подалият заявление посредник отговаря на изискванията на съответния регламент на ЕС и подлежи на надзор за спазването им. Когато финансовият посредник е установен извън ЕС, от него се изисква да спазва законодателство в третата държава, на която е местно лице, което е сравнимо за целите на настоящата директива, и третата държава, на която е местно лице, не е включена нито в приложение I към списъка на ЕС на юрисдикциите, неоказващи съдействие за данъчни цели, нито в списъка на ЕС на високорисковите трети държави (списък за борба срещу изпирането на пари). Спазването от страна на финансов посредник от трета държава на съответните изисквания на ЕС се отнася единствено за целите, посочени в настоящата директива, и не оказва влияние върху упражняването или прилагането на каквито и да е други </w:t>
            </w:r>
            <w:r w:rsidRPr="008017F4">
              <w:lastRenderedPageBreak/>
              <w:t xml:space="preserve">права и задължения съгласно друго законодателство на ЕС. След като бъдат регистрирани, финансовите посредници следва да се считат за „сертифицирани финансови посредници“ в съответната държава членка и да подлежат на съответните задължения за предоставяне на информация и уведомяване съгласно настоящата директива, като същевременно им се предоставя правото да поискат прилагане на процедурите за данъчни облекчения, предвидени в настоящата директива. Държавите членки, които поддържат национален регистър, следва също така да предприемат действия за заличаване от него на всеки сертифициран финансов посредник, който поиска това или вече не отговаря на съответните изисквания. Освен това тези държави членки могат да решат да предвидят заличаване от националния си регистър на сертифицирани финансови посредници, за </w:t>
            </w:r>
            <w:r w:rsidRPr="008017F4">
              <w:rPr>
                <w:b/>
                <w:i/>
              </w:rPr>
              <w:t>които</w:t>
            </w:r>
            <w:r w:rsidRPr="008017F4">
              <w:t xml:space="preserve"> е установено, че са нарушили задълженията неколкократно. Когато дадена държава членка предприеме такова действие по заличаване, тя следва съответно да информира другите държави членки, които поддържат национален регистър, за да могат те да преценят дали да заличат същия сертифициран финансов посредник от техния собствен национален регистър. Националното законодателство на съответните държави членки се прилага по отношение на правата и задълженията на заинтересованите страни, включително за обжалване, по отношение на всяко решение, взето от държава членка във връзка с регистрацията и заличаването от националния им регистър.</w:t>
            </w:r>
          </w:p>
        </w:tc>
        <w:tc>
          <w:tcPr>
            <w:tcW w:w="4876" w:type="dxa"/>
          </w:tcPr>
          <w:p w:rsidR="00EA5032" w:rsidRPr="008017F4" w:rsidRDefault="00EA5032" w:rsidP="00597AB3">
            <w:pPr>
              <w:pStyle w:val="Normal6"/>
              <w:rPr>
                <w:szCs w:val="24"/>
              </w:rPr>
            </w:pPr>
            <w:r w:rsidRPr="008017F4">
              <w:lastRenderedPageBreak/>
              <w:t>(6)</w:t>
            </w:r>
            <w:r w:rsidRPr="008017F4">
              <w:tab/>
            </w:r>
            <w:r w:rsidRPr="008017F4">
              <w:rPr>
                <w:b/>
                <w:i/>
              </w:rPr>
              <w:t>Схемите за търговия чрез арбитраж на дивиденти Cum-Ex и Cum-Cum се отнасят до практиката на търгуване с акции по такъв начин, че да се прикрие самоличността на действителния собственик и да се даде възможност на двете или на множество участващи страни да поискат възстановяване на данъка, удържан при източника, по отношение на данък върху капиталовия доход, който е бил платен само веднъж, и при която тези престъпни практики са свързани с финансови посредници.</w:t>
            </w:r>
            <w:r w:rsidRPr="008017F4">
              <w:t xml:space="preserve"> Тъй като финансовите посредници, които най-често участват във веригите на плащане на ценни книжа, са големи институции съгласно определението в Регламента за капиталовите изисквания (РКИ)</w:t>
            </w:r>
            <w:r w:rsidRPr="008017F4">
              <w:rPr>
                <w:vertAlign w:val="superscript"/>
              </w:rPr>
              <w:t>29</w:t>
            </w:r>
            <w:r w:rsidRPr="008017F4">
              <w:t xml:space="preserve"> , както и централни депозитари на ценни книжа, предоставящи услуги на данъчен агент по данъка, удържан при източника, тези субекти следва да бъдат задължени да поискат регистрация в националните регистри на държавите членки, създадени в съответствие с посоченото по-горе. На другите финансови посредници следва да бъде разрешено да поискат регистрация по своя преценка. Регистрацията следва да бъде поискана от самия финансов посредник чрез подаване на заявление до компетентния орган, определен от държавата членка, включващо доказателства, че финансовият посредник отговаря на определени изисквания. Целта на изискванията е да се провери дали подалият заявление посредник отговаря на изискванията на съответния регламент на ЕС и подлежи на надзор за спазването им. Когато финансовият посредник е установен извън ЕС, от него се изисква да спазва законодателство в третата държава, на която е местно лице, което е сравнимо за целите на настоящата директива, и </w:t>
            </w:r>
            <w:r w:rsidRPr="008017F4">
              <w:lastRenderedPageBreak/>
              <w:t>третата държава, на която е местно лице, не е включена нито в приложение I към списъка на ЕС на юрисдикциите, неоказващи съдействие за данъчни цели, нито в списъка на ЕС на високорисковите трети държави (списък за борба срещу изпирането на пари).</w:t>
            </w:r>
            <w:r w:rsidRPr="008017F4">
              <w:rPr>
                <w:b/>
                <w:i/>
              </w:rPr>
              <w:t xml:space="preserve"> Регистрацията на финансов посредник от трета държава следва да се извършва с минимални административни усилия. Комисията следва да подпомага държавите членки, за да се гарантира, че е налице координирано разбиране по отношение на сравнимото законодателство в трети държави.</w:t>
            </w:r>
            <w:r w:rsidRPr="008017F4">
              <w:t xml:space="preserve"> Спазването от страна на финансов посредник от трета държава на съответните изисквания на ЕС се отнася единствено за целите, посочени в настоящата директива, и не оказва влияние върху упражняването или прилагането на каквито и да е други права и задължения съгласно друго законодателство на ЕС. След като бъдат регистрирани, финансовите посредници следва да се считат за „сертифицирани финансови посредници“ в съответната държава членка и да подлежат на съответните задължения за предоставяне на информация и уведомяване съгласно настоящата директива, като същевременно им се предоставя правото да поискат прилагане на процедурите за данъчни облекчения, предвидени в настоящата директива. Държавите членки, които поддържат национален регистър, следва също така да предприемат действия за заличаване от него на всеки сертифициран финансов посредник, който поиска това или вече не отговаря на съответните изисквания. Освен това тези държави членки могат да решат да предвидят заличаване от националния си регистър на сертифицирани финансови посредници </w:t>
            </w:r>
            <w:r w:rsidRPr="008017F4">
              <w:rPr>
                <w:b/>
                <w:i/>
              </w:rPr>
              <w:t>или да им откажат достъп до системата за данъчни облекчения, ако</w:t>
            </w:r>
            <w:r w:rsidRPr="008017F4">
              <w:t xml:space="preserve"> за</w:t>
            </w:r>
            <w:r w:rsidRPr="008017F4">
              <w:rPr>
                <w:b/>
                <w:i/>
              </w:rPr>
              <w:t xml:space="preserve"> тях</w:t>
            </w:r>
            <w:r w:rsidRPr="008017F4">
              <w:t xml:space="preserve"> е установено, че са нарушили </w:t>
            </w:r>
            <w:r w:rsidRPr="008017F4">
              <w:lastRenderedPageBreak/>
              <w:t>задълженията неколкократно. Когато дадена държава членка предприеме такова действие по заличаване</w:t>
            </w:r>
            <w:r w:rsidRPr="008017F4">
              <w:rPr>
                <w:b/>
                <w:i/>
              </w:rPr>
              <w:t xml:space="preserve"> или отказ</w:t>
            </w:r>
            <w:r w:rsidRPr="008017F4">
              <w:t>, тя следва съответно да информира другите държави членки, които поддържат национален регистър, за да могат те да преценят дали да заличат същия сертифициран финансов посредник от техния собствен национален регистър. Националното законодателство на съответните държави членки се прилага по отношение на правата и задълженията на заинтересованите страни, включително за обжалване, по отношение на всяко решение, взето от държава членка във връзка с регистрацията и заличаването от националния им регистър.</w:t>
            </w:r>
          </w:p>
        </w:tc>
      </w:tr>
      <w:tr w:rsidR="00EA5032" w:rsidRPr="008017F4" w:rsidTr="00597AB3">
        <w:trPr>
          <w:jc w:val="center"/>
        </w:trPr>
        <w:tc>
          <w:tcPr>
            <w:tcW w:w="4876" w:type="dxa"/>
          </w:tcPr>
          <w:p w:rsidR="00EA5032" w:rsidRPr="008017F4" w:rsidRDefault="00EA5032" w:rsidP="00597AB3">
            <w:pPr>
              <w:pStyle w:val="Normal6"/>
            </w:pPr>
            <w:r w:rsidRPr="008017F4">
              <w:lastRenderedPageBreak/>
              <w:t>__________________</w:t>
            </w:r>
          </w:p>
        </w:tc>
        <w:tc>
          <w:tcPr>
            <w:tcW w:w="4876" w:type="dxa"/>
          </w:tcPr>
          <w:p w:rsidR="00EA5032" w:rsidRPr="008017F4" w:rsidRDefault="00EA5032" w:rsidP="00597AB3">
            <w:pPr>
              <w:pStyle w:val="Normal6"/>
              <w:rPr>
                <w:szCs w:val="24"/>
              </w:rPr>
            </w:pPr>
            <w:r w:rsidRPr="008017F4">
              <w:t>__________________</w:t>
            </w:r>
          </w:p>
        </w:tc>
      </w:tr>
      <w:tr w:rsidR="00EA5032" w:rsidRPr="008017F4" w:rsidTr="00597AB3">
        <w:trPr>
          <w:jc w:val="center"/>
        </w:trPr>
        <w:tc>
          <w:tcPr>
            <w:tcW w:w="4876" w:type="dxa"/>
          </w:tcPr>
          <w:p w:rsidR="00EA5032" w:rsidRPr="008017F4" w:rsidRDefault="00EA5032" w:rsidP="00597AB3">
            <w:pPr>
              <w:pStyle w:val="Normal6"/>
            </w:pPr>
            <w:r w:rsidRPr="008017F4">
              <w:rPr>
                <w:vertAlign w:val="superscript"/>
              </w:rPr>
              <w:t>29</w:t>
            </w:r>
            <w:r w:rsidRPr="008017F4">
              <w:t xml:space="preserve"> Регламент (ЕС) № 575/2013 на Европейския парламент и на Съвета от 26 юни 2013 г. относно пруденциалните изисквания за кредитните институции и инвестиционните посредници и за изменение на Регламент (ЕС) № 648/2012 (текст от значение за ЕИП) (ОВ L 176, 27.6.2013 г., стр. 1</w:t>
            </w:r>
            <w:r w:rsidR="00F54218" w:rsidRPr="00F54218">
              <w:rPr>
                <w:rFonts w:eastAsia="Calibri"/>
                <w:b/>
                <w:i/>
                <w:szCs w:val="24"/>
                <w:lang w:val="en-GB" w:eastAsia="en-US"/>
              </w:rPr>
              <w:t>–337</w:t>
            </w:r>
            <w:r w:rsidRPr="008017F4">
              <w:t>).</w:t>
            </w:r>
          </w:p>
        </w:tc>
        <w:tc>
          <w:tcPr>
            <w:tcW w:w="4876" w:type="dxa"/>
          </w:tcPr>
          <w:p w:rsidR="00EA5032" w:rsidRPr="008017F4" w:rsidRDefault="00EA5032" w:rsidP="00597AB3">
            <w:pPr>
              <w:pStyle w:val="Normal6"/>
              <w:rPr>
                <w:szCs w:val="24"/>
              </w:rPr>
            </w:pPr>
            <w:r w:rsidRPr="008017F4">
              <w:rPr>
                <w:vertAlign w:val="superscript"/>
              </w:rPr>
              <w:t>29</w:t>
            </w:r>
            <w:r w:rsidRPr="008017F4">
              <w:t xml:space="preserve"> Регламент (ЕС) № 575/2013 на Европейския парламент и на Съвета от 26 юни 2013 г. относно пруденциалните изисквания за кредитните институции и инвестиционните посредници и за изменение на Регламент (ЕС) № 648/2012 (текст от значение за ЕИП) (ОВ L 176, 27.6.2013 г., стр. 1).</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7</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(8)</w:t>
            </w:r>
            <w:r w:rsidRPr="008017F4">
              <w:tab/>
              <w:t xml:space="preserve">За да стане съюзът на капиталовите пазари по-ефективен и по-конкурентоспособен, следва да се улеснят и ускорят процедурите за данъчни облекчения за надвзети данъци при източника върху доходите от ценни книжа, когато съответните сертифицирани финансови посредници са предоставили информация от значение, включително идентификацията на инвеститора. Съответните сертифицирани финансови </w:t>
            </w:r>
            <w:r w:rsidRPr="008017F4">
              <w:lastRenderedPageBreak/>
              <w:t xml:space="preserve">посредници включват всички сертифицирани финансови посредници по веригата на плащане между инвеститора и емитента на ценни книжа, от които може да се изисква да предоставят информация и за плащания, извършени от несертифицирани финансови посредници по веригата, в зависимост от избора на всяка държава членка в областта на политиката. Като се вземат предвид различните подходи в държавите членки, се предвиждат два вида процедури: и) данъчни облекчения при източника чрез директно прилагане на съответната данъчна ставка в момента на удържане и ii) бързо възстановяване в рамките на максимум 50 дни от датата на изплащане на дивидента или, в зависимост от случая, от датата, на която емитентът на облигации трябва да изплати лихва на притежателя на облигации (датата на купона). Държавите членки следва да имат свободата да въведат някоя от двете процедури или комбинация от тях, както считат за подходящо, като гарантират, че когато са изпълнени изискванията на настоящата директива, всички инвеститори имат достъп до поне една от тях. За да се гарантира правилното и навременно прилагане на тези процедури от съответните държави членки, е целесъобразно да се прилага лихва за забавено възстановяване на надвзети данъци при източника, които са обхванати от настоящата директива и отговарят на условията за ползване на тези процедури. Когато съответните изисквания не са изпълнени или съответният инвеститор желае това, държавите членки следва да прилагат своите съществуващи стандартни процедури за възстановяване, за да предоставят данъчни облекчения за надвзетите данъци при източника. Във всеки случай регистрираните собственици, по-специално инвеститорите на дребно, и техните упълномощени представители следва да запазят правото си да изискат </w:t>
            </w:r>
            <w:r w:rsidRPr="008017F4">
              <w:lastRenderedPageBreak/>
              <w:t>възстановяване на надвзет данък при източника, платен в държава членка, когато представят доказателства, че отговарят на определените в националното законодателство условия.</w:t>
            </w:r>
          </w:p>
        </w:tc>
        <w:tc>
          <w:tcPr>
            <w:tcW w:w="4876" w:type="dxa"/>
          </w:tcPr>
          <w:p w:rsidR="00EA5032" w:rsidRPr="008017F4" w:rsidRDefault="00EA5032" w:rsidP="00597AB3">
            <w:pPr>
              <w:pStyle w:val="Normal6a"/>
            </w:pPr>
            <w:r w:rsidRPr="008017F4">
              <w:lastRenderedPageBreak/>
              <w:t>(8)</w:t>
            </w:r>
            <w:r w:rsidRPr="008017F4">
              <w:tab/>
              <w:t xml:space="preserve">За да стане съюзът на капиталовите пазари по-ефективен и по-конкурентоспособен, следва да се улеснят и ускорят процедурите за данъчни облекчения за надвзети данъци при източника върху доходите от ценни книжа, когато съответните сертифицирани финансови посредници са предоставили информация от значение, включително идентификацията на инвеститора. Съответните сертифицирани финансови </w:t>
            </w:r>
            <w:r w:rsidRPr="008017F4">
              <w:lastRenderedPageBreak/>
              <w:t xml:space="preserve">посредници включват всички сертифицирани финансови посредници по веригата на плащане между инвеститора и емитента на ценни книжа, от които може да се изисква да предоставят информация и за плащания, извършени от несертифицирани финансови посредници по веригата, в зависимост от избора на всяка държава членка в областта на политиката. Като се вземат предвид различните подходи в държавите членки, се предвиждат два вида процедури: и) данъчни облекчения при източника чрез директно прилагане на съответната данъчна ставка в момента на удържане и ii) бързо възстановяване в рамките на максимум 50 дни от датата на изплащане на дивидента или, в зависимост от случая, от датата, на която емитентът на облигации трябва да изплати лихва на притежателя на облигации (датата на купона). Държавите членки следва да имат свободата да въведат някоя от двете процедури или комбинация от тях, както считат за подходящо, като гарантират, че когато са изпълнени изискванията на настоящата директива, всички инвеститори имат достъп до поне една от тях. За да се гарантира правилното и навременно прилагане на тези процедури от съответните държави членки, е целесъобразно да се прилага лихва за забавено възстановяване на надвзети данъци при източника, които са обхванати от настоящата директива и отговарят на условията за ползване на тези процедури. Когато съответните изисквания не са изпълнени или съответният инвеститор желае това, държавите членки следва да прилагат своите съществуващи стандартни процедури за възстановяване, за да предоставят данъчни облекчения за надвзетите данъци при източника. Във всеки случай регистрираните собственици, по-специално инвеститорите на дребно, и техните упълномощени представители следва да запазят правото си да изискат </w:t>
            </w:r>
            <w:r w:rsidRPr="008017F4">
              <w:lastRenderedPageBreak/>
              <w:t xml:space="preserve">възстановяване на надвзет данък при източника, платен в държава членка, когато представят доказателства, че отговарят на определените в националното законодателство условия. </w:t>
            </w:r>
            <w:r w:rsidRPr="008017F4">
              <w:rPr>
                <w:b/>
                <w:i/>
              </w:rPr>
              <w:t>Държавите членки могат да отхвърлят искане за възстановяване, ако е започната процедура за проверка или данъчна ревизия въз основа на критерии за оценка на риска и в съответствие с националното законодателство.</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8</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Съображение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(9)</w:t>
            </w:r>
            <w:r w:rsidRPr="008017F4">
              <w:tab/>
              <w:t xml:space="preserve">С оглед защитата на системите за данъчни облекчения за надвзети данъци при източника, държавите членки, които поддържат национален регистър, следва също така да изискват от сертифицираните финансови посредници да проверяват дали инвеститорите, които желаят да се възползват от данъчни облекчения, отговарят на условията. По-специално сертифицираните финансови посредници следва да получат удостоверението за местно лице за данъчни цели на съответния инвеститор, както и декларация, че този инвеститор е действителният собственик на плащането съгласно законодателството на държавата членка на източника. Те следва също така да проверят приложимата ставка на данъка при източника въз основа на конкретното положение на инвеститора и да посочат дали им е известна някаква финансова договореност, включваща базовите ценни книжа, която не е уредена, по която срокът на действие не е изтекъл или която не е прекратена по друг начин към датата на търгуване без дивидент. Сертифицираните финансови </w:t>
            </w:r>
            <w:r w:rsidRPr="008017F4">
              <w:lastRenderedPageBreak/>
              <w:t xml:space="preserve">посредници следва да носят отговорност за загубите на данъчни приходи, възникнали поради неадекватно изпълнение на тези задължения, доколкото това е предвидено в националното законодателство на държавата членка, в която е възникнала загубата. За да се осигури пропорционалност на тежестта и отговорността, наложени на сертифицираните финансови посредници, следва да се прилагат по-леки задължения за проверка при всички процедури за данъчни облекчения, при които рискът от злоупотреби е нисък, и по-специално когато общият размер на дивидента, изплатен на инвеститора за дялово участие в дадено дружество, е по-малък от </w:t>
            </w:r>
            <w:r w:rsidRPr="008017F4">
              <w:rPr>
                <w:b/>
                <w:i/>
              </w:rPr>
              <w:t>1000</w:t>
            </w:r>
            <w:r w:rsidRPr="008017F4">
              <w:t> EUR. Ако подобна злоупотреба бъде доказана по друг начин, държавите членки могат да приложат последиците съгласно националното законодателство, включително да откажат системите за данъчни облекчения, предвидени в настоящата директива, но не могат да държат сертифицираните финансови посредници отговорни за липсата на проверка.</w:t>
            </w:r>
          </w:p>
        </w:tc>
        <w:tc>
          <w:tcPr>
            <w:tcW w:w="4876" w:type="dxa"/>
          </w:tcPr>
          <w:p w:rsidR="00EA5032" w:rsidRPr="008017F4" w:rsidRDefault="00EA5032" w:rsidP="00597AB3">
            <w:pPr>
              <w:pStyle w:val="Normal6"/>
            </w:pPr>
            <w:r w:rsidRPr="008017F4">
              <w:lastRenderedPageBreak/>
              <w:t>(9)</w:t>
            </w:r>
            <w:r w:rsidRPr="008017F4">
              <w:tab/>
              <w:t>С оглед защитата на системите за данъчни облекчения за надвзети данъци при източника, държавите членки, които поддържат национален регистър, следва също така да изискват от сертифицираните финансови посредници да проверяват дали инвеститорите, които желаят да се възползват от данъчни облекчения, отговарят на условията. По-специално сертифицираните финансови посредници следва да получат удостоверението за местно лице за данъчни цели на съответния инвеститор, както и декларация, че този инвеститор е действителният собственик на плащането съгласно законодателството на държавата членка на източника. Те следва също така да проверят приложимата ставка на данъка при източника въз основа на конкретното положение на инвеститора и да посочат дали им е известна някаква финансова договореност, включваща базовите ценни книжа, която не е уредена, по която срокът на действие не е изтекъл или която не е прекратена по друг начин към датата на търгуване без дивидент.</w:t>
            </w:r>
            <w:r w:rsidRPr="008017F4">
              <w:rPr>
                <w:b/>
                <w:i/>
              </w:rPr>
              <w:t xml:space="preserve"> Изискванията за надлежна проверка </w:t>
            </w:r>
            <w:r w:rsidRPr="008017F4">
              <w:rPr>
                <w:b/>
                <w:i/>
              </w:rPr>
              <w:lastRenderedPageBreak/>
              <w:t>могат да се прилагат на годишна основа.</w:t>
            </w:r>
            <w:r w:rsidRPr="008017F4">
              <w:t xml:space="preserve"> Сертифицираните финансови посредници следва да носят отговорност за загубите на данъчни приходи, възникнали поради неадекватно изпълнение на тези задължения, доколкото това е предвидено в националното законодателство на държавата членка, в която е възникнала загубата. За да се осигури пропорционалност на тежестта и отговорността, наложени на сертифицираните финансови посредници, следва да се прилагат по-леки задължения за проверка при всички процедури за данъчни облекчения, при които рискът от злоупотреби е нисък, и по-специално когато общият размер на дивидента, изплатен на инвеститора за дялово участие в дадено дружество, е по-малък от </w:t>
            </w:r>
            <w:r w:rsidRPr="008017F4">
              <w:rPr>
                <w:b/>
                <w:i/>
              </w:rPr>
              <w:t>1500</w:t>
            </w:r>
            <w:r w:rsidRPr="008017F4">
              <w:t> EUR. Ако подобна злоупотреба бъде доказана по друг начин, държавите членки могат да приложат последиците съгласно националното законодателство, включително да откажат системите за данъчни облекчения, предвидени в настоящата директива, но не могат да държат сертифицираните финансови посредници отговорни за липсата на проверка.</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9</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Съображение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(12)</w:t>
            </w:r>
            <w:r w:rsidRPr="008017F4">
              <w:tab/>
              <w:t xml:space="preserve">Правилното прилагане и принудителното изпълнение на предложените правила във всяка съответна държава членка е от решаващо значение за насърчаването на СКП като цяло, както и за защитата на данъчната основа на държавите членки, и поради това следва да бъде наблюдавано от Комисията. Затова </w:t>
            </w:r>
            <w:r w:rsidRPr="008017F4">
              <w:lastRenderedPageBreak/>
              <w:t>държавите членки следва редовно да съобщават на Комисията информация, както е посочено в акт за изпълнение, относно прилагането и принудителното изпълнение на тяхната територия на националните мерки, приети съгласно настоящата директива. Комисията следва да изготви оценка въз основа на информацията, предоставена от държавите членки, и други налични данни, за да оцени ефективността на предложените нови правила. В този контекст Комисията следва да разгледа необходимостта от актуализиране на правилата, въведени по силата на настоящата директива.</w:t>
            </w:r>
          </w:p>
        </w:tc>
        <w:tc>
          <w:tcPr>
            <w:tcW w:w="4876" w:type="dxa"/>
          </w:tcPr>
          <w:p w:rsidR="00EA5032" w:rsidRPr="008017F4" w:rsidRDefault="00EA5032" w:rsidP="00597AB3">
            <w:pPr>
              <w:pStyle w:val="Normal6a"/>
            </w:pPr>
            <w:r w:rsidRPr="008017F4">
              <w:lastRenderedPageBreak/>
              <w:t>(12)</w:t>
            </w:r>
            <w:r w:rsidRPr="008017F4">
              <w:tab/>
              <w:t xml:space="preserve">Правилното прилагане и принудителното изпълнение на предложените правила във всяка съответна държава членка е от решаващо значение за насърчаването на СКП като цяло, както и за защитата на данъчната основа на държавите членки, и поради това следва да бъде наблюдавано от Комисията. Затова </w:t>
            </w:r>
            <w:r w:rsidRPr="008017F4">
              <w:lastRenderedPageBreak/>
              <w:t xml:space="preserve">държавите членки следва редовно да съобщават на Комисията </w:t>
            </w:r>
            <w:r w:rsidRPr="008017F4">
              <w:rPr>
                <w:b/>
                <w:i/>
              </w:rPr>
              <w:t>статистическа</w:t>
            </w:r>
            <w:r w:rsidRPr="008017F4">
              <w:t xml:space="preserve"> информация, както е посочено в акт за изпълнение, относно прилагането и принудителното изпълнение на тяхната територия на националните мерки, приети съгласно настоящата директива. Комисията следва да изготви оценка въз основа на информацията, предоставена от държавите членки, и други налични данни, за да оцени ефективността на предложените нови правила. В този контекст Комисията следва да разгледа необходимостта от актуализиране на правилата, въведени по силата на настоящата директива.</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10</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Съображение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(14)</w:t>
            </w:r>
            <w:r w:rsidRPr="008017F4">
              <w:tab/>
              <w:t>При всяко обработване на лични данни, извършвано в рамките на настоящата директива, следва да се спазва Регламент (ЕС) 2016/679 на Европейския парламент и на Съвета</w:t>
            </w:r>
            <w:r w:rsidRPr="008017F4">
              <w:rPr>
                <w:b/>
                <w:i/>
                <w:vertAlign w:val="superscript"/>
              </w:rPr>
              <w:t>31</w:t>
            </w:r>
            <w:r w:rsidRPr="008017F4">
              <w:t xml:space="preserve"> . Финансовите посредници и държавите членки могат да обработват лични данни по силата на настоящата директива единствено с цел обслужване на широкия обществен интерес, по-специално за целите на борбата с данъчните измами, отклонението от данъчно облагане и избягването на данъци, за гарантиране на данъчните приходи и за насърчаване на справедливото данъчно облагане, които укрепват възможностите за социално, политическо и икономическо приобщаване в държавите членки. За да се позволи ефективното постигане на тази цел, е необходимо да се ограничат някои права на физическите лица, предвидени в горепосочения регламент, по-специално правото да бъдат </w:t>
            </w:r>
            <w:r w:rsidRPr="008017F4">
              <w:lastRenderedPageBreak/>
              <w:t>уведомявани за обработването на техните данни и неговия обхват, както и правото на съгласие за някои видове обработване на данни.</w:t>
            </w:r>
          </w:p>
        </w:tc>
        <w:tc>
          <w:tcPr>
            <w:tcW w:w="4876" w:type="dxa"/>
          </w:tcPr>
          <w:p w:rsidR="00EA5032" w:rsidRPr="008017F4" w:rsidRDefault="00EA5032" w:rsidP="00597AB3">
            <w:pPr>
              <w:pStyle w:val="Normal6"/>
            </w:pPr>
            <w:r w:rsidRPr="008017F4">
              <w:lastRenderedPageBreak/>
              <w:t>(14)</w:t>
            </w:r>
            <w:r w:rsidRPr="008017F4">
              <w:tab/>
              <w:t xml:space="preserve">При всяко обработване на лични данни, извършвано в рамките на настоящата директива, следва да се спазва Регламент (ЕС) 2016/679 на Европейския парламент и на Съвета. Финансовите посредници и държавите членки могат да обработват лични данни по силата на настоящата директива единствено с цел обслужване на широкия обществен интерес, по-специално за целите на борбата с данъчните измами, отклонението от данъчно облагане и избягването на данъци, за гарантиране на данъчните приходи и за насърчаване на справедливото данъчно облагане, които укрепват възможностите за социално, политическо и икономическо приобщаване в държавите членки. </w:t>
            </w:r>
            <w:r w:rsidRPr="008017F4">
              <w:rPr>
                <w:b/>
                <w:i/>
              </w:rPr>
              <w:t xml:space="preserve">Само субекти, които участват в процедурите за данъчни облекчения във връзка с данъка, удържан при източника (ДПИ), съгласно настоящата директива, имат </w:t>
            </w:r>
            <w:r w:rsidRPr="008017F4">
              <w:rPr>
                <w:b/>
                <w:i/>
              </w:rPr>
              <w:lastRenderedPageBreak/>
              <w:t>достъп до посочените данни. Обемът на изпращаната лична информация е ограничен до минимума, необходим за установяването на недостатъчно предоставяне на информация, недеклариране, данъчна измама или злоупотреба. И накрая, личната информация се съхранява само толкова дълго, колкото е необходимо за тази цел.</w:t>
            </w:r>
            <w:r w:rsidRPr="008017F4">
              <w:t xml:space="preserve"> За да се позволи ефективното постигане на тази цел, е необходимо да се ограничат някои права на физическите лица, предвидени в горепосочения регламент, </w:t>
            </w:r>
            <w:r w:rsidRPr="008017F4">
              <w:rPr>
                <w:b/>
                <w:i/>
              </w:rPr>
              <w:t>доколкото упражняването на тези права може да застраши разследвания,</w:t>
            </w:r>
            <w:r w:rsidRPr="008017F4">
              <w:t xml:space="preserve"> по-специално правото да бъдат уведомявани за обработването на техните данни и неговия обхват, както и правото на съгласие за някои видове обработване на данни. </w:t>
            </w:r>
            <w:r w:rsidRPr="008017F4">
              <w:rPr>
                <w:b/>
                <w:i/>
              </w:rPr>
              <w:t>Веднага щом обстоятелствата, послужили като основание за ограничението, вече не са приложими, правата на субектите на данни следва да бъдат възстановени.</w:t>
            </w:r>
          </w:p>
        </w:tc>
      </w:tr>
      <w:tr w:rsidR="00EA5032" w:rsidRPr="008017F4" w:rsidTr="00597AB3">
        <w:trPr>
          <w:jc w:val="center"/>
        </w:trPr>
        <w:tc>
          <w:tcPr>
            <w:tcW w:w="4876" w:type="dxa"/>
          </w:tcPr>
          <w:p w:rsidR="00EA5032" w:rsidRPr="008017F4" w:rsidRDefault="00EA5032" w:rsidP="00597AB3">
            <w:pPr>
              <w:pStyle w:val="Normal6"/>
            </w:pPr>
            <w:r w:rsidRPr="008017F4">
              <w:lastRenderedPageBreak/>
              <w:t>_________________</w:t>
            </w:r>
          </w:p>
        </w:tc>
        <w:tc>
          <w:tcPr>
            <w:tcW w:w="4876" w:type="dxa"/>
          </w:tcPr>
          <w:p w:rsidR="00EA5032" w:rsidRPr="008017F4" w:rsidRDefault="00EA5032" w:rsidP="00597AB3">
            <w:pPr>
              <w:pStyle w:val="Normal6"/>
            </w:pPr>
            <w:r w:rsidRPr="008017F4">
              <w:t>_________________</w:t>
            </w:r>
          </w:p>
        </w:tc>
      </w:tr>
      <w:tr w:rsidR="00EA5032" w:rsidRPr="008017F4" w:rsidTr="00597AB3">
        <w:trPr>
          <w:jc w:val="center"/>
        </w:trPr>
        <w:tc>
          <w:tcPr>
            <w:tcW w:w="4876" w:type="dxa"/>
          </w:tcPr>
          <w:p w:rsidR="00EA5032" w:rsidRPr="008017F4" w:rsidRDefault="00EA5032" w:rsidP="00597AB3">
            <w:pPr>
              <w:pStyle w:val="Normal6"/>
            </w:pPr>
            <w:r w:rsidRPr="008017F4">
              <w:rPr>
                <w:vertAlign w:val="superscript"/>
              </w:rPr>
              <w:t>31</w:t>
            </w:r>
            <w:r w:rsidRPr="008017F4">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w:t>
            </w:r>
            <w:r w:rsidR="00F54218">
              <w:t>.</w:t>
            </w:r>
            <w:r w:rsidRPr="008017F4">
              <w:t>, стр. 1).</w:t>
            </w:r>
          </w:p>
        </w:tc>
        <w:tc>
          <w:tcPr>
            <w:tcW w:w="4876" w:type="dxa"/>
          </w:tcPr>
          <w:p w:rsidR="00EA5032" w:rsidRPr="008017F4" w:rsidRDefault="00EA5032" w:rsidP="00597AB3">
            <w:pPr>
              <w:pStyle w:val="Normal6"/>
            </w:pPr>
            <w:r w:rsidRPr="008017F4">
              <w:rPr>
                <w:vertAlign w:val="superscript"/>
              </w:rPr>
              <w:t>31</w:t>
            </w:r>
            <w:r w:rsidRPr="008017F4">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w:t>
            </w:r>
            <w:r w:rsidR="00F54218">
              <w:t>.</w:t>
            </w:r>
            <w:bookmarkStart w:id="8" w:name="_GoBack"/>
            <w:bookmarkEnd w:id="8"/>
            <w:r w:rsidRPr="008017F4">
              <w:t>, стр. 1).</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11</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Съображение 16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(16a)</w:t>
            </w:r>
            <w:r w:rsidRPr="008017F4">
              <w:tab/>
            </w:r>
            <w:r w:rsidRPr="008017F4">
              <w:rPr>
                <w:b/>
                <w:i/>
              </w:rPr>
              <w:t xml:space="preserve">Настоящата директива следва да се преразглежда редовно с цел допълнително улесняване на данъчните облекчения за данъци, </w:t>
            </w:r>
            <w:r w:rsidRPr="008017F4">
              <w:rPr>
                <w:b/>
                <w:i/>
              </w:rPr>
              <w:lastRenderedPageBreak/>
              <w:t>удържани при източника, за непрофесионални инвеститори.</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12</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4 a – параграф 4 – точка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(19)</w:t>
            </w:r>
            <w:r w:rsidRPr="008017F4">
              <w:tab/>
              <w:t xml:space="preserve">„спогодба за избягване на двойното данъчно облагане“ означава споразумение или конвенция, в което се предвижда премахване на двойното данъчно облагане на доходите и, когато е приложимо, на капитала, и което е в сила между две (или повече) </w:t>
            </w:r>
            <w:r w:rsidRPr="008017F4">
              <w:rPr>
                <w:b/>
                <w:i/>
              </w:rPr>
              <w:t>държави</w:t>
            </w:r>
            <w:r w:rsidRPr="008017F4">
              <w:t>;</w:t>
            </w:r>
          </w:p>
        </w:tc>
        <w:tc>
          <w:tcPr>
            <w:tcW w:w="4876" w:type="dxa"/>
          </w:tcPr>
          <w:p w:rsidR="00EA5032" w:rsidRPr="008017F4" w:rsidRDefault="00EA5032" w:rsidP="00597AB3">
            <w:pPr>
              <w:pStyle w:val="Normal6a"/>
            </w:pPr>
            <w:r w:rsidRPr="008017F4">
              <w:t>(19)</w:t>
            </w:r>
            <w:r w:rsidRPr="008017F4">
              <w:tab/>
              <w:t xml:space="preserve">„спогодба за избягване на двойното данъчно облагане“ означава споразумение или конвенция, в което се предвижда премахване на двойното данъчно облагане на доходите и, когато е приложимо, на капитала, и което е в сила между две (или повече) </w:t>
            </w:r>
            <w:r w:rsidRPr="008017F4">
              <w:rPr>
                <w:b/>
                <w:i/>
              </w:rPr>
              <w:t>юрисдикции</w:t>
            </w:r>
            <w:r w:rsidRPr="008017F4">
              <w:t>;</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13</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4 – параграф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2.</w:t>
            </w:r>
            <w:r w:rsidRPr="008017F4">
              <w:tab/>
              <w:t xml:space="preserve">Държавите членки издават eTRC в рамките на </w:t>
            </w:r>
            <w:r w:rsidRPr="008017F4">
              <w:rPr>
                <w:b/>
                <w:i/>
              </w:rPr>
              <w:t>един работен ден</w:t>
            </w:r>
            <w:r w:rsidRPr="008017F4">
              <w:t xml:space="preserve"> от подаването на искането при спазване на параграф 4. eTRC трябва да отговаря на техническите изисквания на приложение I и да включва следната информация:</w:t>
            </w:r>
          </w:p>
        </w:tc>
        <w:tc>
          <w:tcPr>
            <w:tcW w:w="4876" w:type="dxa"/>
          </w:tcPr>
          <w:p w:rsidR="00EA5032" w:rsidRPr="008017F4" w:rsidRDefault="00EA5032" w:rsidP="00597AB3">
            <w:pPr>
              <w:pStyle w:val="Normal6"/>
              <w:rPr>
                <w:szCs w:val="24"/>
              </w:rPr>
            </w:pPr>
            <w:r w:rsidRPr="008017F4">
              <w:t>2.</w:t>
            </w:r>
            <w:r w:rsidRPr="008017F4">
              <w:tab/>
              <w:t xml:space="preserve">Държавите членки издават eTRC </w:t>
            </w:r>
            <w:r w:rsidRPr="008017F4">
              <w:rPr>
                <w:b/>
                <w:i/>
              </w:rPr>
              <w:t>въз основа на наличната информация</w:t>
            </w:r>
            <w:r w:rsidRPr="008017F4">
              <w:t xml:space="preserve"> в рамките на </w:t>
            </w:r>
            <w:r w:rsidRPr="008017F4">
              <w:rPr>
                <w:b/>
                <w:i/>
              </w:rPr>
              <w:t>три работни дни</w:t>
            </w:r>
            <w:r w:rsidRPr="008017F4">
              <w:t xml:space="preserve"> от подаването на искането при спазване на параграф 4. eTRC трябва да отговаря на техническите изисквания на приложение I и да включва следната информация:</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14</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4 – параграф 2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a)</w:t>
            </w:r>
            <w:r w:rsidRPr="008017F4">
              <w:tab/>
              <w:t xml:space="preserve">името и фамилията на данъкоплатеца и датата и мястото на раждане, ако данъкоплатецът е физическо лице, или неговото наименование и европейския му единен </w:t>
            </w:r>
            <w:r w:rsidRPr="008017F4">
              <w:lastRenderedPageBreak/>
              <w:t>идентификационен номер (ЕЕИК), ако данъкоплатецът е юридическо лице;</w:t>
            </w:r>
          </w:p>
        </w:tc>
        <w:tc>
          <w:tcPr>
            <w:tcW w:w="4876" w:type="dxa"/>
          </w:tcPr>
          <w:p w:rsidR="00EA5032" w:rsidRPr="008017F4" w:rsidRDefault="00EA5032" w:rsidP="00597AB3">
            <w:pPr>
              <w:pStyle w:val="Normal6a"/>
            </w:pPr>
            <w:r w:rsidRPr="008017F4">
              <w:lastRenderedPageBreak/>
              <w:t>a)</w:t>
            </w:r>
            <w:r w:rsidRPr="008017F4">
              <w:tab/>
              <w:t xml:space="preserve">името и фамилията на данъкоплатеца и датата и мястото на раждане, ако данъкоплатецът е физическо лице, или неговото наименование и европейския му единен </w:t>
            </w:r>
            <w:r w:rsidRPr="008017F4">
              <w:lastRenderedPageBreak/>
              <w:t>идентификационен номер (ЕЕИК), ако данъкоплатецът е юридическо лице</w:t>
            </w:r>
            <w:r w:rsidRPr="008017F4">
              <w:rPr>
                <w:b/>
                <w:i/>
              </w:rPr>
              <w:t>, когато разполага с такъв</w:t>
            </w:r>
            <w:r w:rsidRPr="008017F4">
              <w:t>;</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15</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4 – параграф 2 – буква е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еа)</w:t>
            </w:r>
            <w:r w:rsidRPr="008017F4">
              <w:tab/>
            </w:r>
            <w:r w:rsidRPr="008017F4">
              <w:rPr>
                <w:b/>
                <w:i/>
              </w:rPr>
              <w:t>спогодбата за избягване на двойното данъчно облагане;</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16</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4 – параграф 2 – буква ж</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rPr>
                <w:b/>
                <w:i/>
              </w:rPr>
              <w:t>ж)</w:t>
            </w:r>
            <w:r w:rsidRPr="008017F4">
              <w:rPr>
                <w:b/>
                <w:i/>
              </w:rPr>
              <w:tab/>
              <w:t>всякаква допълнителна информация, която може да е от значение, когато удостоверението се издава за цели, различни от данъчни облекчения за данъка, удържан при източника, съгласно настоящата директива, или информация, която се изисква да бъде включена в удостоверение за местно лице за данъчни цели съгласно правото на ЕС.</w:t>
            </w:r>
          </w:p>
        </w:tc>
        <w:tc>
          <w:tcPr>
            <w:tcW w:w="4876" w:type="dxa"/>
          </w:tcPr>
          <w:p w:rsidR="00EA5032" w:rsidRPr="008017F4" w:rsidRDefault="00EA5032" w:rsidP="00597AB3">
            <w:pPr>
              <w:pStyle w:val="Normal6"/>
              <w:rPr>
                <w:szCs w:val="24"/>
              </w:rPr>
            </w:pPr>
            <w:r w:rsidRPr="008017F4">
              <w:rPr>
                <w:b/>
                <w:i/>
              </w:rPr>
              <w:t>заличава се</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17</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4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4.</w:t>
            </w:r>
            <w:r w:rsidRPr="008017F4">
              <w:tab/>
              <w:t xml:space="preserve">Ако за проверката на статута на конкретен данъкоплатец като местно лице за данъчни цели </w:t>
            </w:r>
            <w:r w:rsidRPr="008017F4">
              <w:rPr>
                <w:b/>
                <w:i/>
              </w:rPr>
              <w:t>е необходим</w:t>
            </w:r>
            <w:r w:rsidRPr="008017F4">
              <w:t xml:space="preserve"> повече от </w:t>
            </w:r>
            <w:r w:rsidRPr="008017F4">
              <w:rPr>
                <w:b/>
                <w:i/>
              </w:rPr>
              <w:t>един работен ден</w:t>
            </w:r>
            <w:r w:rsidRPr="008017F4">
              <w:t>, държавата членка информира лицето, което иска удостоверението, за необходимото допълнително време и за причините за забавянето.</w:t>
            </w:r>
          </w:p>
        </w:tc>
        <w:tc>
          <w:tcPr>
            <w:tcW w:w="4876" w:type="dxa"/>
          </w:tcPr>
          <w:p w:rsidR="00EA5032" w:rsidRPr="008017F4" w:rsidRDefault="00EA5032" w:rsidP="00597AB3">
            <w:pPr>
              <w:pStyle w:val="Normal6"/>
              <w:rPr>
                <w:szCs w:val="24"/>
              </w:rPr>
            </w:pPr>
            <w:r w:rsidRPr="008017F4">
              <w:t>4.</w:t>
            </w:r>
            <w:r w:rsidRPr="008017F4">
              <w:tab/>
              <w:t xml:space="preserve">Ако за проверката на статута на конкретен данъкоплатец като местно лице за данъчни цели </w:t>
            </w:r>
            <w:r w:rsidRPr="008017F4">
              <w:rPr>
                <w:b/>
                <w:i/>
              </w:rPr>
              <w:t>са необходими</w:t>
            </w:r>
            <w:r w:rsidRPr="008017F4">
              <w:t xml:space="preserve"> повече от </w:t>
            </w:r>
            <w:r w:rsidRPr="008017F4">
              <w:rPr>
                <w:b/>
                <w:i/>
              </w:rPr>
              <w:t>пет работни дни</w:t>
            </w:r>
            <w:r w:rsidRPr="008017F4">
              <w:t>, държавата членка информира лицето, което иска удостоверението, за необходимото допълнително време и за причините за забавянето</w:t>
            </w:r>
            <w:r w:rsidRPr="008017F4">
              <w:rPr>
                <w:b/>
                <w:i/>
              </w:rPr>
              <w:t xml:space="preserve">, което при всички </w:t>
            </w:r>
            <w:r w:rsidRPr="008017F4">
              <w:rPr>
                <w:b/>
                <w:i/>
              </w:rPr>
              <w:lastRenderedPageBreak/>
              <w:t>положения следва да не е по-дълго от пет работни дни</w:t>
            </w:r>
            <w:r w:rsidRPr="008017F4">
              <w:t>.</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18</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4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5.</w:t>
            </w:r>
            <w:r w:rsidRPr="008017F4">
              <w:tab/>
              <w:t>Държавите членки признават eTRC, издадено от друга държава членка, като подходящо доказателство за статута на местно лице на данъкоплатеца в тази друга държава членка в съответствие с параграф 3.</w:t>
            </w:r>
          </w:p>
        </w:tc>
        <w:tc>
          <w:tcPr>
            <w:tcW w:w="4876" w:type="dxa"/>
          </w:tcPr>
          <w:p w:rsidR="00EA5032" w:rsidRPr="008017F4" w:rsidRDefault="00EA5032" w:rsidP="00597AB3">
            <w:pPr>
              <w:pStyle w:val="Normal6a"/>
            </w:pPr>
            <w:r w:rsidRPr="008017F4">
              <w:t>5.</w:t>
            </w:r>
            <w:r w:rsidRPr="008017F4">
              <w:tab/>
              <w:t xml:space="preserve">Държавите членки признават eTRC, издадено от друга държава членка, като подходящо доказателство за статута на местно лице на данъкоплатеца в тази друга държава членка в съответствие с параграф 3. </w:t>
            </w:r>
            <w:r w:rsidRPr="008017F4">
              <w:rPr>
                <w:b/>
                <w:i/>
              </w:rPr>
              <w:t>Във всеки случай държавите членки могат да докажат статута на местно лице за данъчни цели в своите юрисдикции. </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19</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4 –  параграф 5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5а.</w:t>
            </w:r>
            <w:r w:rsidRPr="008017F4">
              <w:tab/>
            </w:r>
            <w:r w:rsidRPr="008017F4">
              <w:rPr>
                <w:b/>
                <w:i/>
              </w:rPr>
              <w:t>Държавите членки предприемат подходящи мерки, за да изискат от физическо или юридическо лице, за което се счита, че е местно лице в тяхната юрисдикция за данъчни цели, да информира данъчните органи, издаващи еTRC, за всяка промяна, която може да засегне валидността или съдържанието на съответното еTRC.</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20</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4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6.</w:t>
            </w:r>
            <w:r w:rsidRPr="008017F4">
              <w:tab/>
              <w:t xml:space="preserve">Комисията приема актове за </w:t>
            </w:r>
            <w:r w:rsidRPr="008017F4">
              <w:lastRenderedPageBreak/>
              <w:t>изпълнение за определяне на стандартни компютъризирани формуляри, включително езиковия режим, и технически протоколи, включително стандарти за сигурност, за издаване на eTRC. Тези актове за изпълнение се приемат в съответствие с процедурата по разглеждане, посочена в член 18.</w:t>
            </w:r>
          </w:p>
        </w:tc>
        <w:tc>
          <w:tcPr>
            <w:tcW w:w="4876" w:type="dxa"/>
          </w:tcPr>
          <w:p w:rsidR="00EA5032" w:rsidRPr="008017F4" w:rsidRDefault="00EA5032" w:rsidP="00597AB3">
            <w:pPr>
              <w:pStyle w:val="Normal6a"/>
            </w:pPr>
            <w:r w:rsidRPr="008017F4">
              <w:lastRenderedPageBreak/>
              <w:t>6.</w:t>
            </w:r>
            <w:r w:rsidRPr="008017F4">
              <w:tab/>
              <w:t xml:space="preserve">Комисията приема актове за </w:t>
            </w:r>
            <w:r w:rsidRPr="008017F4">
              <w:lastRenderedPageBreak/>
              <w:t xml:space="preserve">изпълнение за определяне на стандартни компютъризирани формуляри </w:t>
            </w:r>
            <w:r w:rsidRPr="008017F4">
              <w:rPr>
                <w:b/>
                <w:i/>
              </w:rPr>
              <w:t>в машинночетим формат</w:t>
            </w:r>
            <w:r w:rsidRPr="008017F4">
              <w:t>, включително езиковия режим, и технически протоколи, включително стандарти за сигурност, за издаване на eTRC. Тези актове за изпълнение се приемат в съответствие с процедурата по разглеждане, посочена в член 18.</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21</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5 – параграф 4 – буква г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га)</w:t>
            </w:r>
            <w:r w:rsidRPr="008017F4">
              <w:tab/>
            </w:r>
            <w:r w:rsidRPr="008017F4">
              <w:rPr>
                <w:b/>
                <w:i/>
              </w:rPr>
              <w:t>информация за таксите, начислявани за предоставянето на услуги съгласно настоящата директива.</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22</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7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1.</w:t>
            </w:r>
            <w:r w:rsidRPr="008017F4">
              <w:tab/>
              <w:t>Държавите членки гарантират, че даден финансов посредник е регистриран в техния национален регистър на сертифицираните финансови посредници в рамките на</w:t>
            </w:r>
            <w:r w:rsidRPr="008017F4">
              <w:rPr>
                <w:b/>
                <w:i/>
              </w:rPr>
              <w:t xml:space="preserve"> три</w:t>
            </w:r>
            <w:r w:rsidRPr="008017F4">
              <w:t xml:space="preserve"> месеца от подаването на искане от страна на финансовия посредник, в което се представят доказателства, че отговаря на всички изброени по-долу изисквания:</w:t>
            </w:r>
          </w:p>
        </w:tc>
        <w:tc>
          <w:tcPr>
            <w:tcW w:w="4876" w:type="dxa"/>
          </w:tcPr>
          <w:p w:rsidR="00EA5032" w:rsidRPr="008017F4" w:rsidRDefault="00EA5032" w:rsidP="00597AB3">
            <w:pPr>
              <w:pStyle w:val="Normal6a"/>
            </w:pPr>
            <w:r w:rsidRPr="008017F4">
              <w:t>1.</w:t>
            </w:r>
            <w:r w:rsidRPr="008017F4">
              <w:tab/>
              <w:t xml:space="preserve">Държавите членки гарантират, че даден финансов посредник е регистриран в техния национален регистър на сертифицираните финансови посредници в рамките на </w:t>
            </w:r>
            <w:r w:rsidRPr="008017F4">
              <w:rPr>
                <w:b/>
                <w:i/>
              </w:rPr>
              <w:t>два</w:t>
            </w:r>
            <w:r w:rsidRPr="008017F4">
              <w:t xml:space="preserve"> месеца от подаването на искане от страна на финансовия посредник, в което се представят доказателства, че отговаря на всички изброени по-долу изисквания:</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23</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7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б)</w:t>
            </w:r>
            <w:r w:rsidRPr="008017F4">
              <w:tab/>
              <w:t>ако подаващият искането финансов посредник е кредитна институция — разрешение за извършване на попечителски дейности в юрисдикцията, на която е местно лице за данъчни цели, съгласно точки 12 или 14 от приложение I към Директива 2013/36/ЕС или сравнимо законодателство на трета държава; ако подаващият искането финансов посредник е инвестиционен посредник — разрешение в юрисдикцията по данъчна регистрация за извършване на попечителски дейности съгласно раздел Б, точка 1 от приложение I към Директива 2014/65/ЕС или сравнимо законодателство на трета държава; или ако подаващият искането финансов посредник е централен депозитар на ценни книжа — разрешение в юрисдикцията, на която е местно лице за данъчни цели, съгласно Регламент (ЕС) </w:t>
            </w:r>
            <w:r w:rsidR="00F54218">
              <w:t>№ </w:t>
            </w:r>
            <w:r w:rsidRPr="008017F4">
              <w:t>909/2014 или сравнимо законодателство на трета държава, на която е местно лице;</w:t>
            </w:r>
          </w:p>
        </w:tc>
        <w:tc>
          <w:tcPr>
            <w:tcW w:w="4876" w:type="dxa"/>
          </w:tcPr>
          <w:p w:rsidR="00EA5032" w:rsidRPr="008017F4" w:rsidRDefault="00EA5032" w:rsidP="00597AB3">
            <w:pPr>
              <w:pStyle w:val="Normal6"/>
              <w:rPr>
                <w:szCs w:val="24"/>
              </w:rPr>
            </w:pPr>
            <w:r w:rsidRPr="008017F4">
              <w:t>б)</w:t>
            </w:r>
            <w:r w:rsidRPr="008017F4">
              <w:tab/>
              <w:t>ако подаващият искането финансов посредник е кредитна институция — разрешение за извършване на попечителски дейности в юрисдикцията, на която е местно лице за данъчни цели, съгласно точки 12 или 14 от приложение I към Директива 2013/36/ЕС или сравнимо законодателство на трета държава; ако подаващият искането финансов посредник е инвестиционен посредник — разрешение в юрисдикцията по данъчна регистрация за извършване на попечителски дейности съгласно раздел Б, точка 1 от приложение I към Директива 2014/65/ЕС или сравнимо законодателство на трета държава; или ако подаващият искането финансов посредник е централен депозитар на ценни книжа — разрешение в юрисдикцията, на която е местно лице за данъчни цели, съгласно Регламент (ЕС) </w:t>
            </w:r>
            <w:r w:rsidR="00F54218">
              <w:t>№ </w:t>
            </w:r>
            <w:r w:rsidRPr="008017F4">
              <w:t>909/2014 или сравнимо законодателство на трета държава, на която е местно лице;</w:t>
            </w:r>
            <w:r w:rsidRPr="008017F4">
              <w:rPr>
                <w:b/>
                <w:i/>
              </w:rPr>
              <w:t xml:space="preserve"> Комисията издава насоки относно минималните стандарти за сравнимо законодателство;</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24</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7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2.</w:t>
            </w:r>
            <w:r w:rsidRPr="008017F4">
              <w:tab/>
              <w:t xml:space="preserve">Финансовите посредници уведомяват </w:t>
            </w:r>
            <w:r w:rsidRPr="008017F4">
              <w:rPr>
                <w:b/>
                <w:i/>
              </w:rPr>
              <w:t>незабавно</w:t>
            </w:r>
            <w:r w:rsidRPr="008017F4">
              <w:t xml:space="preserve"> компетентния орган на държавата членка за всяка промяна в информацията, предоставена съгласно букви а)—в).</w:t>
            </w:r>
          </w:p>
        </w:tc>
        <w:tc>
          <w:tcPr>
            <w:tcW w:w="4876" w:type="dxa"/>
          </w:tcPr>
          <w:p w:rsidR="00EA5032" w:rsidRPr="008017F4" w:rsidRDefault="00EA5032" w:rsidP="00597AB3">
            <w:pPr>
              <w:pStyle w:val="Normal6a"/>
            </w:pPr>
            <w:r w:rsidRPr="008017F4">
              <w:t>2.</w:t>
            </w:r>
            <w:r w:rsidRPr="008017F4">
              <w:tab/>
              <w:t xml:space="preserve">Финансовите посредници уведомяват </w:t>
            </w:r>
            <w:r w:rsidRPr="008017F4">
              <w:rPr>
                <w:b/>
                <w:i/>
              </w:rPr>
              <w:t>без неоснователно забавяне</w:t>
            </w:r>
            <w:r w:rsidRPr="008017F4">
              <w:t xml:space="preserve"> компетентния орган на държавата членка за всяка съответна промяна в информацията, предоставена съгласно букви а)—в)</w:t>
            </w:r>
            <w:r w:rsidRPr="008017F4">
              <w:rPr>
                <w:b/>
                <w:i/>
              </w:rPr>
              <w:t>, като предоставят съответните документи, когато е необходимо</w:t>
            </w:r>
            <w:r w:rsidRPr="008017F4">
              <w:t>.</w:t>
            </w:r>
          </w:p>
        </w:tc>
      </w:tr>
    </w:tbl>
    <w:p w:rsidR="00EA5032" w:rsidRPr="008017F4" w:rsidRDefault="00EA5032" w:rsidP="00EA5032"/>
    <w:p w:rsidR="00EA5032" w:rsidRPr="008017F4" w:rsidRDefault="00EA5032" w:rsidP="00EA5032">
      <w:pPr>
        <w:pStyle w:val="AmNumberTabs"/>
      </w:pPr>
      <w:r w:rsidRPr="008017F4">
        <w:lastRenderedPageBreak/>
        <w:t>Изменение</w:t>
      </w:r>
      <w:r w:rsidRPr="008017F4">
        <w:tab/>
      </w:r>
      <w:r w:rsidRPr="008017F4">
        <w:tab/>
        <w:t>25</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7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612CB3">
            <w:pPr>
              <w:pStyle w:val="Normal6a"/>
            </w:pPr>
            <w:r w:rsidRPr="008017F4">
              <w:rPr>
                <w:b/>
                <w:i/>
              </w:rPr>
              <w:t>2а.</w:t>
            </w:r>
            <w:r w:rsidRPr="008017F4">
              <w:tab/>
            </w:r>
            <w:r w:rsidRPr="008017F4">
              <w:rPr>
                <w:b/>
                <w:i/>
              </w:rPr>
              <w:t>Държавите членки информират всички останали държави членки за отказите на регистрация във възможно най-кратък срок в съответствие с член 9 от Директива 2011/16/ЕС на Съвета</w:t>
            </w:r>
            <w:r w:rsidRPr="008017F4">
              <w:rPr>
                <w:b/>
                <w:i/>
                <w:vertAlign w:val="superscript"/>
              </w:rPr>
              <w:t>1а</w:t>
            </w:r>
            <w:r w:rsidRPr="008017F4">
              <w:rPr>
                <w:b/>
                <w:i/>
              </w:rPr>
              <w:t>.</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rPr>
                <w:b/>
                <w:i/>
              </w:rPr>
            </w:pPr>
            <w:r w:rsidRPr="008017F4">
              <w:rPr>
                <w:b/>
                <w:i/>
              </w:rPr>
              <w:t>____________________</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rPr>
                <w:b/>
                <w:i/>
              </w:rPr>
            </w:pPr>
            <w:r w:rsidRPr="008017F4">
              <w:rPr>
                <w:b/>
                <w:i/>
                <w:vertAlign w:val="superscript"/>
              </w:rPr>
              <w:t>1а</w:t>
            </w:r>
            <w:r w:rsidRPr="008017F4">
              <w:rPr>
                <w:b/>
                <w:i/>
              </w:rPr>
              <w:t xml:space="preserve"> Директива 2011/16/ЕС на Съвета от 15 февруари 2011 г. относно административното сътрудничество в областта на данъчното облагане и за отмяна на Директива 77/799/ЕИО (ОВ L 64, 11.3.2011 г., стр. 1, ELI: https://eur-lex.europa.eu/legal-content/BG/TXT/?uri=CELEX:32011L0016).</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26</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8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3.</w:t>
            </w:r>
            <w:r w:rsidRPr="008017F4">
              <w:tab/>
              <w:t xml:space="preserve">Държавата членка, която заличава сертифициран финансов посредник от своя национален регистър, информира </w:t>
            </w:r>
            <w:r w:rsidRPr="008017F4">
              <w:rPr>
                <w:b/>
                <w:i/>
              </w:rPr>
              <w:t>незабавно</w:t>
            </w:r>
            <w:r w:rsidRPr="008017F4">
              <w:t xml:space="preserve"> всички останали държави членки, които поддържат национален регистър в съответствие с член 5.</w:t>
            </w:r>
          </w:p>
        </w:tc>
        <w:tc>
          <w:tcPr>
            <w:tcW w:w="4876" w:type="dxa"/>
          </w:tcPr>
          <w:p w:rsidR="00EA5032" w:rsidRPr="008017F4" w:rsidRDefault="00EA5032" w:rsidP="00597AB3">
            <w:pPr>
              <w:pStyle w:val="Normal6a"/>
            </w:pPr>
            <w:r w:rsidRPr="008017F4">
              <w:t>3.</w:t>
            </w:r>
            <w:r w:rsidRPr="008017F4">
              <w:tab/>
              <w:t>Държавата членка, която заличава сертифициран финансов посредник от своя национален регистър</w:t>
            </w:r>
            <w:r w:rsidRPr="00F54218">
              <w:rPr>
                <w:b/>
                <w:i/>
              </w:rPr>
              <w:t xml:space="preserve">, </w:t>
            </w:r>
            <w:r w:rsidR="00F54218" w:rsidRPr="00F54218">
              <w:rPr>
                <w:b/>
                <w:i/>
              </w:rPr>
              <w:t>съгласно Директива 2011/16/ЕС</w:t>
            </w:r>
            <w:r w:rsidR="00F54218">
              <w:t xml:space="preserve"> </w:t>
            </w:r>
            <w:r w:rsidRPr="008017F4">
              <w:t xml:space="preserve">информира </w:t>
            </w:r>
            <w:r w:rsidRPr="008017F4">
              <w:rPr>
                <w:b/>
                <w:i/>
              </w:rPr>
              <w:t>без неоснователно забавяне</w:t>
            </w:r>
            <w:r w:rsidRPr="008017F4">
              <w:t xml:space="preserve"> всички останали държави членки, които поддържат национален регистър в съответствие с член 5</w:t>
            </w:r>
            <w:r w:rsidRPr="008017F4">
              <w:rPr>
                <w:b/>
                <w:i/>
              </w:rPr>
              <w:t>, като посочва основанията за заличаването в съответствие с параграфи 1 и 2</w:t>
            </w:r>
            <w:r w:rsidRPr="008017F4">
              <w:t>.</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27</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8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lastRenderedPageBreak/>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3а.</w:t>
            </w:r>
            <w:r w:rsidRPr="008017F4">
              <w:tab/>
            </w:r>
            <w:r w:rsidRPr="008017F4">
              <w:rPr>
                <w:b/>
                <w:i/>
              </w:rPr>
              <w:t>Държавите членки актуализират своите национални регистри, за да отразяват статута на финансовите посредници, които вече не притежават сертификат. В случаите, когато заличаването като сертифициран финансов посредник произтича от решение на държава членка, конкретните причини за това действие се посочват ясно в регистъра.</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28</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9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1.</w:t>
            </w:r>
            <w:r w:rsidRPr="008017F4">
              <w:tab/>
              <w:t xml:space="preserve">Държавите членки предприемат необходимите мерки, за да изискат от сертифицираните финансови посредници в техния национален регистър да предоставят на компетентния орган информацията, посочена в приложение II, възможно най-скоро след датата на вписване, освен ако към датата на вписване не е налице нареждане за уреждане по отношение на която и да е част от сделката, като в такъв случай предоставянето на информация по тази сделка се извършва възможно най-скоро след уреждането. Ако </w:t>
            </w:r>
            <w:r w:rsidRPr="008017F4">
              <w:rPr>
                <w:b/>
                <w:i/>
              </w:rPr>
              <w:t>20</w:t>
            </w:r>
            <w:r w:rsidRPr="008017F4">
              <w:t> дни след датата на вписване някоя част от сделката все още не е уредена, сертифицираните финансови посредници предоставят информация в рамките на следващите 5 календарни дни, като посочват частта, по която е налице уреждане.</w:t>
            </w:r>
          </w:p>
        </w:tc>
        <w:tc>
          <w:tcPr>
            <w:tcW w:w="4876" w:type="dxa"/>
          </w:tcPr>
          <w:p w:rsidR="00EA5032" w:rsidRPr="008017F4" w:rsidRDefault="00EA5032" w:rsidP="00597AB3">
            <w:pPr>
              <w:pStyle w:val="Normal6"/>
            </w:pPr>
            <w:r w:rsidRPr="008017F4">
              <w:t>1.</w:t>
            </w:r>
            <w:r w:rsidRPr="008017F4">
              <w:tab/>
              <w:t xml:space="preserve">Държавите членки предприемат необходимите мерки, за да изискат от сертифицираните финансови посредници в техния национален регистър да предоставят на компетентния орган информацията, посочена в приложение II, </w:t>
            </w:r>
            <w:r w:rsidRPr="008017F4">
              <w:rPr>
                <w:b/>
                <w:i/>
              </w:rPr>
              <w:t>в срок, не по-дълъг от 20 календарни дни</w:t>
            </w:r>
            <w:r w:rsidRPr="008017F4">
              <w:t xml:space="preserve"> след датата на вписване, освен ако към датата на вписване не е налице нареждане за уреждане по отношение на която и да е част от сделката, като в такъв случай предоставянето на информация по тази сделка се извършва възможно най-скоро след уреждането. Ако </w:t>
            </w:r>
            <w:r w:rsidRPr="008017F4">
              <w:rPr>
                <w:b/>
                <w:i/>
              </w:rPr>
              <w:t>15</w:t>
            </w:r>
            <w:r w:rsidRPr="008017F4">
              <w:t> дни след датата на вписване някоя част от сделката все още не е уредена, сертифицираните финансови посредници предоставят информация в рамките на следващите 5 календарни дни, като посочват частта, по която е налице уреждане.</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29</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9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2.</w:t>
            </w:r>
            <w:r w:rsidRPr="008017F4">
              <w:tab/>
              <w:t xml:space="preserve">Държавите членки предвиждат, че сертифицираните финансови посредници не трябва да предоставят информацията, посочена в приложение II, раздел Д, ако общият размер на дивидентите, изплатени на регистрирания собственик за дяловото участие на собственика в дадено дружество, не надвишава </w:t>
            </w:r>
            <w:r w:rsidRPr="008017F4">
              <w:rPr>
                <w:b/>
                <w:i/>
              </w:rPr>
              <w:t>1000</w:t>
            </w:r>
            <w:r w:rsidRPr="008017F4">
              <w:t> EUR.</w:t>
            </w:r>
          </w:p>
        </w:tc>
        <w:tc>
          <w:tcPr>
            <w:tcW w:w="4876" w:type="dxa"/>
          </w:tcPr>
          <w:p w:rsidR="00EA5032" w:rsidRPr="008017F4" w:rsidRDefault="00EA5032" w:rsidP="00597AB3">
            <w:pPr>
              <w:pStyle w:val="Normal6"/>
            </w:pPr>
            <w:r w:rsidRPr="008017F4">
              <w:t>2.</w:t>
            </w:r>
            <w:r w:rsidRPr="008017F4">
              <w:tab/>
              <w:t xml:space="preserve">Държавите членки предвиждат, че сертифицираните финансови посредници не трябва да предоставят информацията, посочена в приложение II, раздел Д, ако общият размер на дивидентите, изплатени на регистрирания собственик за дяловото участие на собственика в дадено дружество, не надвишава </w:t>
            </w:r>
            <w:r w:rsidRPr="008017F4">
              <w:rPr>
                <w:b/>
                <w:i/>
              </w:rPr>
              <w:t>1500</w:t>
            </w:r>
            <w:r w:rsidRPr="008017F4">
              <w:t> EUR.</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30</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9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5.</w:t>
            </w:r>
            <w:r w:rsidRPr="008017F4">
              <w:tab/>
              <w:t xml:space="preserve">Държавите членки изискват от сертифицираните финансови посредници в техния национален регистър да съхраняват документацията, подкрепяща предоставената информация, в продължение на </w:t>
            </w:r>
            <w:r w:rsidRPr="008017F4">
              <w:rPr>
                <w:b/>
                <w:i/>
              </w:rPr>
              <w:t>пет</w:t>
            </w:r>
            <w:r w:rsidRPr="008017F4">
              <w:t xml:space="preserve"> години и да предоставят достъп до всяка друга информация, както и достъп до помещенията си за целите на одита, и изискват от сертифицираните финансови посредници да заличат или анонимизират всички лични данни, включени в тази документация, веднага след приключване на одита и най-късно </w:t>
            </w:r>
            <w:r w:rsidRPr="008017F4">
              <w:rPr>
                <w:b/>
                <w:i/>
              </w:rPr>
              <w:t>пет</w:t>
            </w:r>
            <w:r w:rsidRPr="008017F4">
              <w:t xml:space="preserve"> години след тяхното предоставяне.</w:t>
            </w:r>
          </w:p>
        </w:tc>
        <w:tc>
          <w:tcPr>
            <w:tcW w:w="4876" w:type="dxa"/>
          </w:tcPr>
          <w:p w:rsidR="00EA5032" w:rsidRPr="008017F4" w:rsidRDefault="00EA5032" w:rsidP="00597AB3">
            <w:pPr>
              <w:pStyle w:val="Normal6"/>
            </w:pPr>
            <w:r w:rsidRPr="008017F4">
              <w:t>5.</w:t>
            </w:r>
            <w:r w:rsidRPr="008017F4">
              <w:tab/>
              <w:t xml:space="preserve">Държавите членки изискват от сертифицираните финансови посредници в техния национален регистър да съхраняват документацията, подкрепяща предоставената информация, в продължение на </w:t>
            </w:r>
            <w:r w:rsidRPr="008017F4">
              <w:rPr>
                <w:b/>
                <w:i/>
              </w:rPr>
              <w:t>шест</w:t>
            </w:r>
            <w:r w:rsidRPr="008017F4">
              <w:t xml:space="preserve"> години и да предоставят достъп до всяка друга информация, както и достъп до помещенията си за целите на одита, и изискват от сертифицираните финансови посредници да заличат или анонимизират всички лични данни, включени в тази документация, веднага след приключване на одита и най-късно </w:t>
            </w:r>
            <w:r w:rsidRPr="008017F4">
              <w:rPr>
                <w:b/>
                <w:i/>
              </w:rPr>
              <w:t>шест</w:t>
            </w:r>
            <w:r w:rsidRPr="008017F4">
              <w:t xml:space="preserve"> години след тяхното предоставяне.</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31</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 xml:space="preserve">Член 10 – параграф 2 – буква а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a)</w:t>
            </w:r>
            <w:r w:rsidRPr="008017F4">
              <w:tab/>
              <w:t xml:space="preserve">дивидентът е изплатен за публично търгувана акция, която регистрираният собственик е придобил в рамките на </w:t>
            </w:r>
            <w:r w:rsidRPr="008017F4">
              <w:rPr>
                <w:b/>
                <w:i/>
              </w:rPr>
              <w:t>два</w:t>
            </w:r>
            <w:r w:rsidRPr="008017F4">
              <w:t xml:space="preserve"> дни преди датата на </w:t>
            </w:r>
            <w:r w:rsidRPr="008017F4">
              <w:lastRenderedPageBreak/>
              <w:t>търгуване без дивидент;</w:t>
            </w:r>
          </w:p>
        </w:tc>
        <w:tc>
          <w:tcPr>
            <w:tcW w:w="4876" w:type="dxa"/>
          </w:tcPr>
          <w:p w:rsidR="00EA5032" w:rsidRPr="008017F4" w:rsidRDefault="00EA5032" w:rsidP="00597AB3">
            <w:pPr>
              <w:pStyle w:val="Normal6a"/>
            </w:pPr>
            <w:r w:rsidRPr="008017F4">
              <w:lastRenderedPageBreak/>
              <w:t>a)</w:t>
            </w:r>
            <w:r w:rsidRPr="008017F4">
              <w:tab/>
              <w:t xml:space="preserve">дивидентът е изплатен за публично търгувана акция, която регистрираният собственик е придобил в рамките на </w:t>
            </w:r>
            <w:r w:rsidRPr="008017F4">
              <w:rPr>
                <w:b/>
                <w:i/>
              </w:rPr>
              <w:t>пет</w:t>
            </w:r>
            <w:r w:rsidRPr="008017F4">
              <w:t xml:space="preserve"> дни преди датата на </w:t>
            </w:r>
            <w:r w:rsidRPr="008017F4">
              <w:lastRenderedPageBreak/>
              <w:t>търгуване без дивидент;</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32</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10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3а.</w:t>
            </w:r>
            <w:r w:rsidRPr="008017F4">
              <w:tab/>
            </w:r>
            <w:r w:rsidRPr="008017F4">
              <w:rPr>
                <w:b/>
                <w:i/>
              </w:rPr>
              <w:t>Контролните правомощия на държавите членки, съгласно националното им законодателство, по отношение на облагаемия доход, за който е приложено облекчението, не се ограничават.</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33</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11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1.</w:t>
            </w:r>
            <w:r w:rsidRPr="008017F4">
              <w:tab/>
              <w:t>Държавите членки гарантират, че сертифицираният финансов посредник, който иска данъчно облекчение по член 12 и/или член 13 от името на регистриран собственик, получава от този регистриран собственик декларация, че регистрираният собственик:</w:t>
            </w:r>
          </w:p>
        </w:tc>
        <w:tc>
          <w:tcPr>
            <w:tcW w:w="4876" w:type="dxa"/>
          </w:tcPr>
          <w:p w:rsidR="00EA5032" w:rsidRPr="008017F4" w:rsidRDefault="00EA5032" w:rsidP="00597AB3">
            <w:pPr>
              <w:pStyle w:val="Normal6a"/>
            </w:pPr>
            <w:r w:rsidRPr="008017F4">
              <w:t>1.</w:t>
            </w:r>
            <w:r w:rsidRPr="008017F4">
              <w:tab/>
              <w:t xml:space="preserve">Държавите членки </w:t>
            </w:r>
            <w:r w:rsidRPr="008017F4">
              <w:rPr>
                <w:b/>
                <w:i/>
              </w:rPr>
              <w:t>предприемат всички необходими мерки, за да</w:t>
            </w:r>
            <w:r w:rsidRPr="008017F4">
              <w:t xml:space="preserve"> гарантират, че сертифицираният финансов посредник, който иска данъчно облекчение по член 12 и/или член 13 от името на регистриран собственик, получава от този регистриран собственик декларация, че регистрираният собственик:</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34</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11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a)</w:t>
            </w:r>
            <w:r w:rsidRPr="008017F4">
              <w:tab/>
              <w:t>е действителният собственик на дивидента или лихвата, както е определено в националното законодателство на държавата членка на източника; и</w:t>
            </w:r>
          </w:p>
        </w:tc>
        <w:tc>
          <w:tcPr>
            <w:tcW w:w="4876" w:type="dxa"/>
          </w:tcPr>
          <w:p w:rsidR="00EA5032" w:rsidRPr="008017F4" w:rsidRDefault="00EA5032" w:rsidP="00597AB3">
            <w:pPr>
              <w:pStyle w:val="Normal6a"/>
            </w:pPr>
            <w:r w:rsidRPr="008017F4">
              <w:t>a)</w:t>
            </w:r>
            <w:r w:rsidRPr="008017F4">
              <w:tab/>
              <w:t xml:space="preserve">е действителният собственик на дивидента или лихвата, както е определено в националното законодателство на държавата членка на източника </w:t>
            </w:r>
            <w:r w:rsidRPr="008017F4">
              <w:rPr>
                <w:b/>
                <w:i/>
              </w:rPr>
              <w:t>или спогодба за избягване на двойното данъчно облагане</w:t>
            </w:r>
            <w:r w:rsidRPr="008017F4">
              <w:t>; и</w:t>
            </w:r>
          </w:p>
        </w:tc>
      </w:tr>
    </w:tbl>
    <w:p w:rsidR="00EA5032" w:rsidRPr="008017F4" w:rsidRDefault="00EA5032" w:rsidP="00EA5032"/>
    <w:p w:rsidR="00EA5032" w:rsidRPr="008017F4" w:rsidRDefault="00EA5032" w:rsidP="00EA5032">
      <w:pPr>
        <w:pStyle w:val="AmNumberTabs"/>
      </w:pPr>
      <w:r w:rsidRPr="008017F4">
        <w:lastRenderedPageBreak/>
        <w:t>Изменение</w:t>
      </w:r>
      <w:r w:rsidRPr="008017F4">
        <w:tab/>
      </w:r>
      <w:r w:rsidRPr="008017F4">
        <w:tab/>
        <w:t>35</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11 – параграф 2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2.</w:t>
            </w:r>
            <w:r w:rsidRPr="008017F4">
              <w:tab/>
              <w:t>Държавите членки гарантират, че сертифицираните финансови посредници, които искат данъчно облекчение по член 12 и/или член 13 от името на регистриран собственик, проверяват:</w:t>
            </w:r>
          </w:p>
        </w:tc>
        <w:tc>
          <w:tcPr>
            <w:tcW w:w="4876" w:type="dxa"/>
          </w:tcPr>
          <w:p w:rsidR="00EA5032" w:rsidRPr="008017F4" w:rsidRDefault="00EA5032" w:rsidP="00597AB3">
            <w:pPr>
              <w:pStyle w:val="Normal6a"/>
            </w:pPr>
            <w:r w:rsidRPr="008017F4">
              <w:t>2.</w:t>
            </w:r>
            <w:r w:rsidRPr="008017F4">
              <w:tab/>
              <w:t xml:space="preserve">Държавите членки </w:t>
            </w:r>
            <w:r w:rsidRPr="008017F4">
              <w:rPr>
                <w:b/>
                <w:i/>
              </w:rPr>
              <w:t>предприемат необходимите мерки, за да</w:t>
            </w:r>
            <w:r w:rsidRPr="008017F4">
              <w:t xml:space="preserve"> гарантират, че сертифицираните финансови посредници, които искат данъчно облекчение по член 12 и/или член 13 от името на регистриран собственик, проверяват:</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36</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11 – параграф 2 – буква а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aа)</w:t>
            </w:r>
            <w:r w:rsidRPr="008017F4">
              <w:tab/>
            </w:r>
            <w:r w:rsidRPr="008017F4">
              <w:rPr>
                <w:b/>
                <w:i/>
              </w:rPr>
              <w:t>рисковете от схеми за пребиваване и предоставяне на гражданство срещу инвестиции, които представляват потенциално висок риск, съгласно определеното от Организацията за икономическо сътрудничество и развитие (ОИСР), свързани с възможната злоупотреба от страна на регистрираните собственици на eTRC, издадено от държави членки или трети държави, които предлагат такива схеми;</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37</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11 – параграф 2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г)</w:t>
            </w:r>
            <w:r w:rsidRPr="008017F4">
              <w:tab/>
              <w:t xml:space="preserve">в случай на изплащане на дивидент и въз основа на информацията, с която разполага сертифицираният финансов посредник — евентуалното съществуване на финансова договореност, която не е уредена, по която срокът на действие не е изтекъл </w:t>
            </w:r>
            <w:r w:rsidRPr="008017F4">
              <w:lastRenderedPageBreak/>
              <w:t xml:space="preserve">или която не е прекратена по друг начин към датата на търгуване без дивидент, освен ако дивидентът, изплатен на регистрирания собственик за всяка група притежавани идентични акции, не надвишава </w:t>
            </w:r>
            <w:r w:rsidRPr="008017F4">
              <w:rPr>
                <w:b/>
                <w:i/>
              </w:rPr>
              <w:t>1000</w:t>
            </w:r>
            <w:r w:rsidRPr="008017F4">
              <w:t> EUR.</w:t>
            </w:r>
          </w:p>
        </w:tc>
        <w:tc>
          <w:tcPr>
            <w:tcW w:w="4876" w:type="dxa"/>
          </w:tcPr>
          <w:p w:rsidR="00EA5032" w:rsidRPr="008017F4" w:rsidRDefault="00EA5032" w:rsidP="00597AB3">
            <w:pPr>
              <w:pStyle w:val="Normal6a"/>
            </w:pPr>
            <w:r w:rsidRPr="008017F4">
              <w:lastRenderedPageBreak/>
              <w:t>г)</w:t>
            </w:r>
            <w:r w:rsidRPr="008017F4">
              <w:tab/>
              <w:t xml:space="preserve">в случай на изплащане на дивидент и въз основа на информацията, с която разполага сертифицираният финансов посредник — евентуалното съществуване на финансова договореност, която не е уредена, по която срокът на действие не е изтекъл </w:t>
            </w:r>
            <w:r w:rsidRPr="008017F4">
              <w:lastRenderedPageBreak/>
              <w:t xml:space="preserve">или която не е прекратена по друг начин към датата на търгуване без дивидент, освен ако дивидентът, изплатен на регистрирания собственик за всяка група притежавани идентични акции, не надвишава </w:t>
            </w:r>
            <w:r w:rsidRPr="008017F4">
              <w:rPr>
                <w:b/>
                <w:i/>
              </w:rPr>
              <w:t>1500</w:t>
            </w:r>
            <w:r w:rsidRPr="008017F4">
              <w:t> EUR.</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38</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11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2а.</w:t>
            </w:r>
            <w:r w:rsidRPr="008017F4">
              <w:tab/>
            </w:r>
            <w:r w:rsidRPr="008017F4">
              <w:rPr>
                <w:b/>
                <w:i/>
              </w:rPr>
              <w:t>Държавите членки могат да разрешат получаването на декларацията в съответствие с параграф 1 и извършването на проверките съгласно параграф 2 на годишна основа и на ad hoc принцип, когато са налице основания да се предположи наличие на промяна в обстоятелствата или некоректна или ненадеждна информация.</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39</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11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3а.</w:t>
            </w:r>
            <w:r w:rsidRPr="008017F4">
              <w:tab/>
            </w:r>
            <w:r w:rsidRPr="008017F4">
              <w:rPr>
                <w:b/>
                <w:i/>
              </w:rPr>
              <w:t>На Комисията се предоставя правомощието да приема насоки за изпълнението на изискванията, посочени в параграф 2.</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40</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13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1.</w:t>
            </w:r>
            <w:r w:rsidRPr="008017F4">
              <w:tab/>
              <w:t xml:space="preserve">Държавите членки могат да разрешат на сертифицираните финансови посредници, които поддържат инвестиционна сметка на </w:t>
            </w:r>
            <w:r w:rsidRPr="008017F4">
              <w:lastRenderedPageBreak/>
              <w:t xml:space="preserve">регистриран собственик, да поискат от името на този регистриран собственик бързо възстановяване на надвзетия данък при източника в съответствие с член 10, ако информацията, посочена в параграф 3 от настоящия член, е предоставена </w:t>
            </w:r>
            <w:r w:rsidRPr="008017F4">
              <w:rPr>
                <w:b/>
                <w:i/>
              </w:rPr>
              <w:t>във възможно най-кратък срок след датата на плащането и най-късно</w:t>
            </w:r>
            <w:r w:rsidRPr="008017F4">
              <w:t xml:space="preserve"> в рамките на 25 календарни дни от датата на изплащане на дивидента или лихвата.</w:t>
            </w:r>
          </w:p>
        </w:tc>
        <w:tc>
          <w:tcPr>
            <w:tcW w:w="4876" w:type="dxa"/>
          </w:tcPr>
          <w:p w:rsidR="00EA5032" w:rsidRPr="008017F4" w:rsidRDefault="00EA5032" w:rsidP="00597AB3">
            <w:pPr>
              <w:pStyle w:val="Normal6a"/>
            </w:pPr>
            <w:r w:rsidRPr="008017F4">
              <w:lastRenderedPageBreak/>
              <w:t>1.</w:t>
            </w:r>
            <w:r w:rsidRPr="008017F4">
              <w:tab/>
              <w:t xml:space="preserve">Държавите членки могат да разрешат на сертифицираните финансови посредници, които поддържат инвестиционна сметка на </w:t>
            </w:r>
            <w:r w:rsidRPr="008017F4">
              <w:lastRenderedPageBreak/>
              <w:t>регистриран собственик, да поискат от името на този регистриран собственик бързо възстановяване на надвзетия данък при източника в съответствие с член 10, ако информацията, посочена в параграф 3 от настоящия член, е предоставена в рамките на 25 календарни дни от датата на изплащане на дивидента или лихвата.</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41</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13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2.</w:t>
            </w:r>
            <w:r w:rsidRPr="008017F4">
              <w:tab/>
              <w:t>Държавите членки обработват искане за възстановяване, представено в съответствие с параграф 1, в срок от 25 календарни дни от датата на искането или от датата, на която всички съответни сертифицирани финансови посредници са изпълнили задълженията си за предоставяне на информация съгласно настоящата директива, в зависимост от това коя от двете дати е по-късна. Държавите членки прилагат лихва в съответствие с член 14 върху сумата на това възстановяване за всеки ден на забава след 25-ия ден.</w:t>
            </w:r>
          </w:p>
        </w:tc>
        <w:tc>
          <w:tcPr>
            <w:tcW w:w="4876" w:type="dxa"/>
          </w:tcPr>
          <w:p w:rsidR="00EA5032" w:rsidRPr="008017F4" w:rsidRDefault="00EA5032" w:rsidP="00597AB3">
            <w:pPr>
              <w:pStyle w:val="Normal6a"/>
            </w:pPr>
            <w:r w:rsidRPr="008017F4">
              <w:t>2.</w:t>
            </w:r>
            <w:r w:rsidRPr="008017F4">
              <w:tab/>
              <w:t>Държавите членки обработват искане за възстановяване, представено в съответствие с параграф 1, в срок от 25 календарни дни от датата на искането или от датата, на която всички съответни сертифицирани финансови посредници са изпълнили задълженията си за предоставяне на информация съгласно настоящата директива, в зависимост от това коя от двете дати е по-късна. Държавите членки прилагат лихва в съответствие с член 14 върху сумата на това възстановяване за всеки ден на забава след 25-ия ден</w:t>
            </w:r>
            <w:r w:rsidRPr="008017F4">
              <w:rPr>
                <w:b/>
                <w:i/>
              </w:rPr>
              <w:t>, освен ако държавата членка има основателни съмнения относно законосъобразността на искането за възстановяване</w:t>
            </w:r>
            <w:r w:rsidRPr="008017F4">
              <w:t>.</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42</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13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3а.</w:t>
            </w:r>
            <w:r w:rsidRPr="008017F4">
              <w:tab/>
            </w:r>
            <w:r w:rsidRPr="008017F4">
              <w:rPr>
                <w:b/>
                <w:i/>
              </w:rPr>
              <w:t xml:space="preserve">Държавите членки могат да отхвърлят искане за възстановяване, ако е започната процедура за проверка </w:t>
            </w:r>
            <w:r w:rsidRPr="008017F4">
              <w:rPr>
                <w:b/>
                <w:i/>
              </w:rPr>
              <w:lastRenderedPageBreak/>
              <w:t>или данъчна ревизия въз основа на критерии за оценка на риска и в съответствие с националното законодателство.</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43</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 xml:space="preserve">Член 15 – </w:t>
      </w:r>
      <w:r w:rsidR="00485287">
        <w:t>алинея</w:t>
      </w:r>
      <w:r w:rsidR="00485287" w:rsidRPr="008017F4">
        <w:t xml:space="preserve"> </w:t>
      </w:r>
      <w:r w:rsidRPr="008017F4">
        <w:t>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 xml:space="preserve">Държавите членки приемат подходящи мерки, за да гарантират, че в случаите, когато член 12 и член 13 не се прилагат за дивиденти, тъй като не са изпълнени условията на настоящата директива, регистрираният собственик или неговият упълномощен представител, който иска възстановяване на надвзетия данък при източника върху такива дивиденти, предоставя най-малко информацията, изисквана съгласно приложение II, раздел Д, освен ако общият размер на дивидентите, изплатени на регистрирания собственик от дяловото му участие в дадено дружество, не надвишава </w:t>
            </w:r>
            <w:r w:rsidRPr="008017F4">
              <w:rPr>
                <w:b/>
                <w:i/>
              </w:rPr>
              <w:t>1000</w:t>
            </w:r>
            <w:r w:rsidRPr="008017F4">
              <w:t> EUR и освен ако тази информация не е вече предоставена в съответствие със задълженията по член 9.</w:t>
            </w:r>
          </w:p>
        </w:tc>
        <w:tc>
          <w:tcPr>
            <w:tcW w:w="4876" w:type="dxa"/>
          </w:tcPr>
          <w:p w:rsidR="00EA5032" w:rsidRPr="008017F4" w:rsidRDefault="00EA5032" w:rsidP="00597AB3">
            <w:pPr>
              <w:pStyle w:val="Normal6a"/>
            </w:pPr>
            <w:r w:rsidRPr="008017F4">
              <w:t xml:space="preserve">Държавите членки приемат подходящи мерки, за да гарантират, че в случаите, когато член 12 и член 13 не се прилагат за дивиденти, тъй като не са изпълнени условията на настоящата директива, регистрираният собственик или неговият упълномощен представител, който иска възстановяване на надвзетия данък при източника върху такива дивиденти, предоставя най-малко информацията, изисквана съгласно приложение II, раздел Д, освен ако общият размер на дивидентите, изплатени на регистрирания собственик от дяловото му участие в дадено дружество, не надвишава </w:t>
            </w:r>
            <w:r w:rsidRPr="008017F4">
              <w:rPr>
                <w:b/>
                <w:i/>
              </w:rPr>
              <w:t>1500</w:t>
            </w:r>
            <w:r w:rsidRPr="008017F4">
              <w:t> EUR и освен ако тази информация не е вече предоставена в съответствие със задълженията по член 9.</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44</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18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jc w:val="center"/>
            </w:pPr>
            <w:r w:rsidRPr="008017F4">
              <w:rPr>
                <w:b/>
                <w:i/>
              </w:rPr>
              <w:t>Член 18а</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jc w:val="center"/>
            </w:pPr>
            <w:r w:rsidRPr="008017F4">
              <w:rPr>
                <w:b/>
                <w:i/>
              </w:rPr>
              <w:t>Мониторинг и обмен на информация</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1.</w:t>
            </w:r>
            <w:r w:rsidRPr="008017F4">
              <w:rPr>
                <w:b/>
                <w:i/>
              </w:rPr>
              <w:tab/>
              <w:t>За да се гарантира целостта на вътрешния пазар, Европейският орган за ценни книжа и пазари (ЕОЦКП) и Европейският банков орган (ЕБО) извършват редовен мониторинг на риска от схеми Cum-</w:t>
            </w:r>
            <w:r w:rsidRPr="008017F4">
              <w:rPr>
                <w:b/>
                <w:i/>
              </w:rPr>
              <w:lastRenderedPageBreak/>
              <w:t>Cum и Cum-Ex в Съюза.</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2.</w:t>
            </w:r>
            <w:r w:rsidRPr="008017F4">
              <w:rPr>
                <w:b/>
                <w:i/>
              </w:rPr>
              <w:tab/>
              <w:t>Държавите членки въвеждат координирано сътрудничество и взаимопомощ между националните компетентни органи, данъчните органи и други правоприлагащи органи, например Европейската прокуратура, за откриване и наказателно преследване на схеми за неправомерно възстановяване на данък, удържан при източника.</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45</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Оценка</w:t>
            </w:r>
          </w:p>
        </w:tc>
        <w:tc>
          <w:tcPr>
            <w:tcW w:w="4876" w:type="dxa"/>
          </w:tcPr>
          <w:p w:rsidR="00EA5032" w:rsidRPr="008017F4" w:rsidRDefault="00EA5032" w:rsidP="00597AB3">
            <w:pPr>
              <w:pStyle w:val="Normal6"/>
              <w:rPr>
                <w:szCs w:val="24"/>
              </w:rPr>
            </w:pPr>
            <w:r w:rsidRPr="008017F4">
              <w:rPr>
                <w:b/>
                <w:i/>
              </w:rPr>
              <w:t>Обща</w:t>
            </w:r>
            <w:r w:rsidRPr="008017F4">
              <w:t xml:space="preserve"> оценка</w:t>
            </w:r>
            <w:r w:rsidRPr="008017F4">
              <w:rPr>
                <w:b/>
                <w:i/>
              </w:rPr>
              <w:t>, преглед и преразглеждане</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46</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1.</w:t>
            </w:r>
            <w:r w:rsidRPr="008017F4">
              <w:tab/>
              <w:t xml:space="preserve">След влизането в сила на националните правила, с които се транспонира директивата, Комисията разглежда и оценява функционирането на настоящата директива на всеки </w:t>
            </w:r>
            <w:r w:rsidRPr="008017F4">
              <w:rPr>
                <w:b/>
                <w:i/>
              </w:rPr>
              <w:t>5</w:t>
            </w:r>
            <w:r w:rsidRPr="008017F4">
              <w:t xml:space="preserve"> години. До декември 2031 г., а след това на всеки 5 години, на Европейския парламент и на Съвета се представя доклад за оценка на директивата, включително за евентуалната необходимост от изменение на конкретни</w:t>
            </w:r>
            <w:r w:rsidRPr="008017F4">
              <w:rPr>
                <w:b/>
                <w:i/>
              </w:rPr>
              <w:t xml:space="preserve"> нейни</w:t>
            </w:r>
            <w:r w:rsidRPr="008017F4">
              <w:t xml:space="preserve"> разпоредби.</w:t>
            </w:r>
          </w:p>
        </w:tc>
        <w:tc>
          <w:tcPr>
            <w:tcW w:w="4876" w:type="dxa"/>
          </w:tcPr>
          <w:p w:rsidR="00EA5032" w:rsidRPr="008017F4" w:rsidRDefault="00EA5032" w:rsidP="00597AB3">
            <w:pPr>
              <w:pStyle w:val="Normal6"/>
              <w:rPr>
                <w:szCs w:val="24"/>
              </w:rPr>
            </w:pPr>
            <w:r w:rsidRPr="008017F4">
              <w:t>1.</w:t>
            </w:r>
            <w:r w:rsidRPr="008017F4">
              <w:tab/>
              <w:t xml:space="preserve">След влизането в сила на националните правила, с които се транспонира директивата, Комисията разглежда и оценява функционирането на настоящата директива на всеки </w:t>
            </w:r>
            <w:r w:rsidRPr="008017F4">
              <w:rPr>
                <w:b/>
                <w:i/>
              </w:rPr>
              <w:t>пет</w:t>
            </w:r>
            <w:r w:rsidRPr="008017F4">
              <w:t xml:space="preserve"> години. До декември 2031 г., а след това на всеки 5 години, на Европейския парламент и на Съвета се представя доклад за оценка на директивата </w:t>
            </w:r>
            <w:r w:rsidRPr="008017F4">
              <w:rPr>
                <w:b/>
                <w:i/>
              </w:rPr>
              <w:t>и на приложимите правила за данъците, удържани при източника, в държавите членки</w:t>
            </w:r>
            <w:r w:rsidRPr="008017F4">
              <w:t xml:space="preserve">, включително за евентуалната необходимост от изменение на конкретни разпоредби </w:t>
            </w:r>
            <w:r w:rsidRPr="008017F4">
              <w:rPr>
                <w:b/>
                <w:i/>
              </w:rPr>
              <w:t>на настоящата директива</w:t>
            </w:r>
            <w:r w:rsidRPr="008017F4">
              <w:t xml:space="preserve">. </w:t>
            </w:r>
            <w:r w:rsidRPr="008017F4">
              <w:rPr>
                <w:b/>
                <w:i/>
              </w:rPr>
              <w:t>В доклада за оценка Комисията:</w:t>
            </w:r>
          </w:p>
        </w:tc>
      </w:tr>
    </w:tbl>
    <w:p w:rsidR="00EA5032" w:rsidRPr="008017F4" w:rsidRDefault="00EA5032" w:rsidP="00EA5032"/>
    <w:p w:rsidR="00EA5032" w:rsidRPr="008017F4" w:rsidRDefault="00EA5032" w:rsidP="00EA5032">
      <w:pPr>
        <w:pStyle w:val="AMNumberTabs0"/>
        <w:keepNext/>
      </w:pPr>
      <w:r w:rsidRPr="008017F4">
        <w:lastRenderedPageBreak/>
        <w:t>Изменение</w:t>
      </w:r>
      <w:r w:rsidRPr="008017F4">
        <w:tab/>
      </w:r>
      <w:r w:rsidRPr="008017F4">
        <w:tab/>
        <w:t>47</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 – буква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a)</w:t>
            </w:r>
            <w:r w:rsidRPr="008017F4">
              <w:rPr>
                <w:b/>
                <w:i/>
              </w:rPr>
              <w:tab/>
              <w:t>проучва допълнителни възможни мерки за улесняване на самостоятелно обработваното възстановяване на данък, удържан при източника, за малки инвеститори, които взаимодействат пряко с данъчните органи без посредничеството на сертифицирани финансови посредници;</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48</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 – буква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б)</w:t>
            </w:r>
            <w:r w:rsidRPr="008017F4">
              <w:rPr>
                <w:b/>
                <w:i/>
              </w:rPr>
              <w:tab/>
              <w:t>извършва оценка на начина, по който процедурите за облекчения за данъка, удържан при източника, могат да бъдат допълнително опростени за непрофесионалните инвеститори;</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49</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 – буква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в)</w:t>
            </w:r>
            <w:r w:rsidRPr="008017F4">
              <w:rPr>
                <w:b/>
                <w:i/>
              </w:rPr>
              <w:tab/>
              <w:t>извършва цялостен анализ на развитието на таксите за услуги, които финансовите посредници начисляват на регистрираните собственици за прилагането на процедурата за бързо възстановяване и процедурата за данъчни облекчения при източника;</w:t>
            </w:r>
          </w:p>
        </w:tc>
      </w:tr>
    </w:tbl>
    <w:p w:rsidR="00EA5032" w:rsidRPr="008017F4" w:rsidRDefault="00EA5032" w:rsidP="00EA5032"/>
    <w:p w:rsidR="00EA5032" w:rsidRPr="008017F4" w:rsidRDefault="00EA5032" w:rsidP="00EA5032">
      <w:pPr>
        <w:pStyle w:val="AMNumberTabs0"/>
        <w:keepNext/>
      </w:pPr>
      <w:r w:rsidRPr="008017F4">
        <w:lastRenderedPageBreak/>
        <w:t>Изменение</w:t>
      </w:r>
      <w:r w:rsidRPr="008017F4">
        <w:tab/>
      </w:r>
      <w:r w:rsidRPr="008017F4">
        <w:tab/>
        <w:t>50</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 – буква г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г)</w:t>
            </w:r>
            <w:r w:rsidRPr="008017F4">
              <w:rPr>
                <w:b/>
                <w:i/>
              </w:rPr>
              <w:tab/>
              <w:t xml:space="preserve">проучва дали може да се предвиди система за данъчни облекчения при източника като процедура за всички държави членки, и въвежда допълнителни мерки за улесняване на такава система за малките и средните предприятия; </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51</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 – буква д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д)</w:t>
            </w:r>
            <w:r w:rsidRPr="008017F4">
              <w:rPr>
                <w:b/>
                <w:i/>
              </w:rPr>
              <w:tab/>
              <w:t xml:space="preserve">проучва дали държавите членки все още са засегнати от или са податливи по отношение на схеми за арбитраж на дивиденти и спекулативни сделки с дивиденти, например схемите Cum-Ex и Cum-Cum, и дали съществуващите мерки в областта на данъците, удържани при източника, са достатъчни за борба с данъчните измами, отклонението от данъчно облагане и избягването на данъци, или ще са необходими допълнителни мерки, например облагане на капиталовите печалби при разпореждане с акции или дялове и такси за заемане на ценни книжа с данъци, които са равностойни на дивидентите, като начин за възпиране и смекчаване на арбитража на дивиденти; във връзка с това Комисията събира данни от държавите членки с подкрепата на ЕБО, ЕОЦКП, Европейската прокуратура и съответните национални компетентни органи; </w:t>
            </w:r>
          </w:p>
        </w:tc>
      </w:tr>
    </w:tbl>
    <w:p w:rsidR="00EA5032" w:rsidRPr="008017F4" w:rsidRDefault="00EA5032" w:rsidP="00EA5032"/>
    <w:p w:rsidR="00EA5032" w:rsidRPr="008017F4" w:rsidRDefault="00EA5032" w:rsidP="00EA5032">
      <w:pPr>
        <w:pStyle w:val="AMNumberTabs0"/>
        <w:keepNext/>
      </w:pPr>
      <w:r w:rsidRPr="008017F4">
        <w:lastRenderedPageBreak/>
        <w:t>Изменение</w:t>
      </w:r>
      <w:r w:rsidRPr="008017F4">
        <w:tab/>
      </w:r>
      <w:r w:rsidRPr="008017F4">
        <w:tab/>
        <w:t>52</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 – буква е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е)</w:t>
            </w:r>
            <w:r w:rsidRPr="008017F4">
              <w:rPr>
                <w:b/>
                <w:i/>
              </w:rPr>
              <w:tab/>
              <w:t xml:space="preserve">разглежда допълнителни мерки, ако е необходимо, за да гарантира, че всички генерирани в Съюза дивиденти, лихви, капиталови печалби, плащания на авторски и лицензионни възнаграждения, плащания за професионални услуги и съответните плащания по договори се облагат поне веднъж с ефективна ставка;  </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53</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 – буква ж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ж)</w:t>
            </w:r>
            <w:r w:rsidRPr="008017F4">
              <w:rPr>
                <w:b/>
                <w:i/>
              </w:rPr>
              <w:tab/>
              <w:t>проучва потенциала на системи на разпределения регистър или други технологични инструменти, за да стане системата по-ефикасна и защитена от измами чрез по-добро идентифициране на действителния собственик;</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54</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19 – буква з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з)</w:t>
            </w:r>
            <w:r w:rsidRPr="008017F4">
              <w:rPr>
                <w:b/>
                <w:i/>
              </w:rPr>
              <w:tab/>
              <w:t>проучва евентуални мерки за цифровизиране на процедурите за облекчения и възстановяване, както и на исканията;</w:t>
            </w:r>
          </w:p>
        </w:tc>
      </w:tr>
    </w:tbl>
    <w:p w:rsidR="00EA5032" w:rsidRPr="008017F4" w:rsidRDefault="00EA5032" w:rsidP="00EA5032"/>
    <w:p w:rsidR="00EA5032" w:rsidRPr="008017F4" w:rsidRDefault="00EA5032" w:rsidP="00EA5032">
      <w:pPr>
        <w:pStyle w:val="AMNumberTabs0"/>
        <w:keepNext/>
      </w:pPr>
      <w:r w:rsidRPr="008017F4">
        <w:lastRenderedPageBreak/>
        <w:t>Изменение</w:t>
      </w:r>
      <w:r w:rsidRPr="008017F4">
        <w:tab/>
      </w:r>
      <w:r w:rsidRPr="008017F4">
        <w:tab/>
        <w:t>55</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 – буква и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и)</w:t>
            </w:r>
            <w:r w:rsidRPr="008017F4">
              <w:rPr>
                <w:b/>
                <w:i/>
              </w:rPr>
              <w:tab/>
              <w:t>оценява приемането на електронни или цифрови подписи и използването на електронна идентификация за улесняване на процеса на проверка за отделните инвеститори.</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56</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1 – алинея 1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p>
        </w:tc>
        <w:tc>
          <w:tcPr>
            <w:tcW w:w="4876" w:type="dxa"/>
          </w:tcPr>
          <w:p w:rsidR="00EA5032" w:rsidRPr="008017F4" w:rsidRDefault="00EA5032" w:rsidP="00597AB3">
            <w:pPr>
              <w:pStyle w:val="Normal6"/>
              <w:rPr>
                <w:szCs w:val="24"/>
              </w:rPr>
            </w:pPr>
            <w:r w:rsidRPr="008017F4">
              <w:rPr>
                <w:b/>
                <w:i/>
              </w:rPr>
              <w:t>Когато е целесъобразно, докладът за оценка се придружава от законодателно предложение.</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57</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19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2.</w:t>
            </w:r>
            <w:r w:rsidRPr="008017F4">
              <w:tab/>
              <w:t xml:space="preserve">Държавите членки съобщават на Комисията </w:t>
            </w:r>
            <w:r w:rsidRPr="008017F4">
              <w:rPr>
                <w:b/>
                <w:i/>
              </w:rPr>
              <w:t>информацията от значение</w:t>
            </w:r>
            <w:r w:rsidRPr="008017F4">
              <w:t xml:space="preserve"> за оценката </w:t>
            </w:r>
            <w:r w:rsidRPr="008017F4">
              <w:rPr>
                <w:b/>
                <w:i/>
              </w:rPr>
              <w:t>на директивата с оглед подобряването на процедурите за данъчни облекчения за данъка, удържан при източника, с цел намаляване на двойното данъчно облагане и борбата с данъчните злоупотреби</w:t>
            </w:r>
            <w:r w:rsidRPr="008017F4">
              <w:t>, в съответствие с параграф 3.</w:t>
            </w:r>
          </w:p>
        </w:tc>
        <w:tc>
          <w:tcPr>
            <w:tcW w:w="4876" w:type="dxa"/>
          </w:tcPr>
          <w:p w:rsidR="00EA5032" w:rsidRPr="008017F4" w:rsidRDefault="00EA5032" w:rsidP="00597AB3">
            <w:pPr>
              <w:pStyle w:val="Normal6"/>
              <w:rPr>
                <w:szCs w:val="24"/>
              </w:rPr>
            </w:pPr>
            <w:r w:rsidRPr="008017F4">
              <w:t>2.</w:t>
            </w:r>
            <w:r w:rsidRPr="008017F4">
              <w:tab/>
              <w:t xml:space="preserve">Държавите членки съобщават </w:t>
            </w:r>
            <w:r w:rsidRPr="008017F4">
              <w:rPr>
                <w:b/>
                <w:i/>
              </w:rPr>
              <w:t>на Европейския парламент и</w:t>
            </w:r>
            <w:r w:rsidRPr="008017F4">
              <w:t xml:space="preserve"> на Комисията </w:t>
            </w:r>
            <w:r w:rsidRPr="008017F4">
              <w:rPr>
                <w:b/>
                <w:i/>
              </w:rPr>
              <w:t>значимата статистическа информация</w:t>
            </w:r>
            <w:r w:rsidRPr="008017F4">
              <w:t xml:space="preserve"> за оценката, </w:t>
            </w:r>
            <w:r w:rsidRPr="008017F4">
              <w:rPr>
                <w:b/>
                <w:i/>
              </w:rPr>
              <w:t>посочена в параграф 1,</w:t>
            </w:r>
            <w:r w:rsidRPr="008017F4">
              <w:t xml:space="preserve"> в съответствие с параграф 3.</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58</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19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p>
        </w:tc>
        <w:tc>
          <w:tcPr>
            <w:tcW w:w="4876" w:type="dxa"/>
          </w:tcPr>
          <w:p w:rsidR="00EA5032" w:rsidRPr="008017F4" w:rsidRDefault="00EA5032" w:rsidP="00597AB3">
            <w:pPr>
              <w:pStyle w:val="Normal6a"/>
            </w:pPr>
            <w:r w:rsidRPr="008017F4">
              <w:rPr>
                <w:b/>
                <w:i/>
              </w:rPr>
              <w:t>2а.</w:t>
            </w:r>
            <w:r w:rsidRPr="008017F4">
              <w:tab/>
            </w:r>
            <w:r w:rsidRPr="008017F4">
              <w:rPr>
                <w:b/>
                <w:i/>
              </w:rPr>
              <w:t>Европейската комисия, в сътрудничество с държавите членки, извършва активна оценка по въпроса дали директивата оказва въздействие върху рисковете от данъчни измами и злоупотреби, както и относно въздействието върху данъчните приходи.</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59</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19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3.</w:t>
            </w:r>
            <w:r w:rsidRPr="008017F4">
              <w:tab/>
              <w:t xml:space="preserve">Чрез актове за изпълнение Комисията определя </w:t>
            </w:r>
            <w:r w:rsidRPr="008017F4">
              <w:rPr>
                <w:b/>
                <w:i/>
              </w:rPr>
              <w:t>информацията</w:t>
            </w:r>
            <w:r w:rsidRPr="008017F4">
              <w:t>, която трябва да бъде предоставена от държавите членки за целите на оценката, както и форма̀та и условията за предаване на тази информация.</w:t>
            </w:r>
          </w:p>
        </w:tc>
        <w:tc>
          <w:tcPr>
            <w:tcW w:w="4876" w:type="dxa"/>
          </w:tcPr>
          <w:p w:rsidR="00EA5032" w:rsidRPr="008017F4" w:rsidRDefault="00EA5032" w:rsidP="00597AB3">
            <w:pPr>
              <w:pStyle w:val="Normal6a"/>
            </w:pPr>
            <w:r w:rsidRPr="008017F4">
              <w:t>3.</w:t>
            </w:r>
            <w:r w:rsidRPr="008017F4">
              <w:tab/>
              <w:t xml:space="preserve">Чрез актове за изпълнение Комисията определя </w:t>
            </w:r>
            <w:r w:rsidRPr="008017F4">
              <w:rPr>
                <w:b/>
                <w:i/>
              </w:rPr>
              <w:t>статистическата информация</w:t>
            </w:r>
            <w:r w:rsidRPr="008017F4">
              <w:t>, която трябва да бъде предоставена от държавите членки за целите на оценката, както и форма̀та и условията за предаване на тази информация.</w:t>
            </w:r>
          </w:p>
        </w:tc>
      </w:tr>
    </w:tbl>
    <w:p w:rsidR="00EA5032" w:rsidRPr="008017F4" w:rsidRDefault="00EA5032" w:rsidP="00EA5032"/>
    <w:p w:rsidR="00EA5032" w:rsidRPr="008017F4" w:rsidRDefault="00EA5032" w:rsidP="00EA5032">
      <w:pPr>
        <w:pStyle w:val="AmNumberTabs"/>
      </w:pPr>
      <w:r w:rsidRPr="008017F4">
        <w:t>Изменение</w:t>
      </w:r>
      <w:r w:rsidRPr="008017F4">
        <w:tab/>
      </w:r>
      <w:r w:rsidRPr="008017F4">
        <w:tab/>
        <w:t>60</w:t>
      </w:r>
    </w:p>
    <w:p w:rsidR="00EA5032" w:rsidRPr="008017F4" w:rsidRDefault="00EA5032" w:rsidP="00EA5032">
      <w:pPr>
        <w:pStyle w:val="NormalBold12b"/>
      </w:pPr>
      <w:r w:rsidRPr="008017F4">
        <w:t>Предложение за директива</w:t>
      </w:r>
    </w:p>
    <w:p w:rsidR="00EA5032" w:rsidRPr="008017F4" w:rsidRDefault="00EA5032" w:rsidP="00EA5032">
      <w:pPr>
        <w:pStyle w:val="NormalBold"/>
      </w:pPr>
      <w:r w:rsidRPr="008017F4">
        <w:t>Член 19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032" w:rsidRPr="008017F4" w:rsidTr="00597AB3">
        <w:trPr>
          <w:trHeight w:hRule="exact" w:val="240"/>
          <w:jc w:val="center"/>
        </w:trPr>
        <w:tc>
          <w:tcPr>
            <w:tcW w:w="9752" w:type="dxa"/>
            <w:gridSpan w:val="2"/>
          </w:tcPr>
          <w:p w:rsidR="00EA5032" w:rsidRPr="008017F4" w:rsidRDefault="00EA5032" w:rsidP="00597AB3"/>
        </w:tc>
      </w:tr>
      <w:tr w:rsidR="00EA5032" w:rsidRPr="008017F4" w:rsidTr="00597AB3">
        <w:trPr>
          <w:trHeight w:val="240"/>
          <w:jc w:val="center"/>
        </w:trPr>
        <w:tc>
          <w:tcPr>
            <w:tcW w:w="4876" w:type="dxa"/>
          </w:tcPr>
          <w:p w:rsidR="00EA5032" w:rsidRPr="008017F4" w:rsidRDefault="00EA5032" w:rsidP="00597AB3">
            <w:pPr>
              <w:pStyle w:val="AmColumnHeading"/>
            </w:pPr>
            <w:r w:rsidRPr="008017F4">
              <w:t>Текст, предложен от Комисията</w:t>
            </w:r>
          </w:p>
        </w:tc>
        <w:tc>
          <w:tcPr>
            <w:tcW w:w="4876" w:type="dxa"/>
          </w:tcPr>
          <w:p w:rsidR="00EA5032" w:rsidRPr="008017F4" w:rsidRDefault="00EA5032" w:rsidP="00597AB3">
            <w:pPr>
              <w:pStyle w:val="AmColumnHeading"/>
            </w:pPr>
            <w:r w:rsidRPr="008017F4">
              <w:t>Изменение</w:t>
            </w:r>
          </w:p>
        </w:tc>
      </w:tr>
      <w:tr w:rsidR="00EA5032" w:rsidRPr="008017F4" w:rsidTr="00597AB3">
        <w:trPr>
          <w:jc w:val="center"/>
        </w:trPr>
        <w:tc>
          <w:tcPr>
            <w:tcW w:w="4876" w:type="dxa"/>
          </w:tcPr>
          <w:p w:rsidR="00EA5032" w:rsidRPr="008017F4" w:rsidRDefault="00EA5032" w:rsidP="00597AB3">
            <w:pPr>
              <w:pStyle w:val="Normal6a"/>
            </w:pPr>
            <w:r w:rsidRPr="008017F4">
              <w:t>5.</w:t>
            </w:r>
            <w:r w:rsidRPr="008017F4">
              <w:tab/>
              <w:t>Информацията, съобщена на Комисията от държава членка съгласно параграф 2, както и всички доклади или документи, изготвени от Комисията въз основа на тази информация, могат да бъдат предавани на останалите държави членки. Предаваната информация представлява служебна тайна и е защитена по същия начин, както подобна информация съгласно националното право на държавата членка, която я е получила.</w:t>
            </w:r>
          </w:p>
        </w:tc>
        <w:tc>
          <w:tcPr>
            <w:tcW w:w="4876" w:type="dxa"/>
          </w:tcPr>
          <w:p w:rsidR="00EA5032" w:rsidRPr="008017F4" w:rsidRDefault="00EA5032" w:rsidP="00597AB3">
            <w:pPr>
              <w:pStyle w:val="Normal6a"/>
            </w:pPr>
            <w:r w:rsidRPr="008017F4">
              <w:t>5.</w:t>
            </w:r>
            <w:r w:rsidRPr="008017F4">
              <w:tab/>
              <w:t xml:space="preserve">Информацията, съобщена на Комисията от държава членка съгласно параграф 2, както и всички доклади или документи, изготвени от Комисията въз основа на тази информация, могат да бъдат предавани на </w:t>
            </w:r>
            <w:r w:rsidRPr="008017F4">
              <w:rPr>
                <w:b/>
                <w:i/>
              </w:rPr>
              <w:t>Европейския парламент и на</w:t>
            </w:r>
            <w:r w:rsidRPr="008017F4">
              <w:t xml:space="preserve"> останалите държави членки. Предаваната информация представлява служебна тайна и е защитена по същия начин, както подобна информация съгласно националното право на държавата членка, която я е получила.</w:t>
            </w:r>
          </w:p>
        </w:tc>
      </w:tr>
    </w:tbl>
    <w:p w:rsidR="00EA5032" w:rsidRPr="008017F4" w:rsidRDefault="00EA5032" w:rsidP="00EA5032"/>
    <w:p w:rsidR="00EA5032" w:rsidRPr="008017F4" w:rsidRDefault="00EA5032" w:rsidP="00EA5032">
      <w:pPr>
        <w:pStyle w:val="AMNumberTabs0"/>
        <w:keepNext/>
      </w:pPr>
      <w:r w:rsidRPr="008017F4">
        <w:lastRenderedPageBreak/>
        <w:t>Изменение</w:t>
      </w:r>
      <w:r w:rsidRPr="008017F4">
        <w:tab/>
      </w:r>
      <w:r w:rsidRPr="008017F4">
        <w:tab/>
        <w:t>61</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20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1.</w:t>
            </w:r>
            <w:r w:rsidRPr="008017F4">
              <w:tab/>
              <w:t>Държавите членки ограничават правата на субектите на данни съгласно членове 15—19 от Регламент (ЕС) 2016/679 на Европейския парламент и на Съвета</w:t>
            </w:r>
            <w:r w:rsidRPr="008017F4">
              <w:rPr>
                <w:vertAlign w:val="superscript"/>
              </w:rPr>
              <w:t>45</w:t>
            </w:r>
            <w:r w:rsidRPr="008017F4">
              <w:t xml:space="preserve"> само до степента и само докато това е строго необходимо за техните компетентни органи за намаляване на риска от данъчни измами, отклонение от данъчно облагане или избягване на данъци в държавите членки, по-специално като проверяват дали се прилага правилната ставка на данъка, удържан при източника, за регистрирания собственик или като проверяват дали регистрираният собственик получава своевременно данъчното облекчение, ако има такова право.</w:t>
            </w:r>
          </w:p>
        </w:tc>
        <w:tc>
          <w:tcPr>
            <w:tcW w:w="4876" w:type="dxa"/>
          </w:tcPr>
          <w:p w:rsidR="00EA5032" w:rsidRPr="008017F4" w:rsidRDefault="00EA5032" w:rsidP="00597AB3">
            <w:pPr>
              <w:pStyle w:val="Normal6"/>
              <w:rPr>
                <w:szCs w:val="24"/>
              </w:rPr>
            </w:pPr>
            <w:r w:rsidRPr="008017F4">
              <w:t>1.</w:t>
            </w:r>
            <w:r w:rsidRPr="008017F4">
              <w:tab/>
              <w:t>Държавите членки ограничават правата на субектите на данни съгласно членове 15—19 от Регламент (ЕС) 2016/679 на Европейския парламент и на Съвета</w:t>
            </w:r>
            <w:r w:rsidRPr="008017F4">
              <w:rPr>
                <w:vertAlign w:val="superscript"/>
              </w:rPr>
              <w:t>45</w:t>
            </w:r>
            <w:r w:rsidRPr="008017F4">
              <w:rPr>
                <w:b/>
                <w:i/>
              </w:rPr>
              <w:t>, доколкото упражняването на тези права може да застраши разследванията и</w:t>
            </w:r>
            <w:r w:rsidRPr="008017F4">
              <w:t xml:space="preserve"> само до степента и само докато това е строго необходимо за техните компетентни органи за намаляване на риска от данъчни измами, отклонение от данъчно облагане или избягване на данъци в държавите членки, по-специално като проверяват дали се прилага правилната ставка на данъка, удържан при източника, за регистрирания собственик или като проверяват дали регистрираният собственик получава своевременно данъчното облекчение, ако има такова право. </w:t>
            </w:r>
            <w:r w:rsidRPr="008017F4">
              <w:rPr>
                <w:b/>
                <w:i/>
              </w:rPr>
              <w:t>Правата на субектите на данни се възстановяват веднага след като условията, които са били в основата на ограничението, престанат да съществуват.</w:t>
            </w:r>
          </w:p>
        </w:tc>
      </w:tr>
      <w:tr w:rsidR="00EA5032" w:rsidRPr="008017F4" w:rsidTr="00597AB3">
        <w:trPr>
          <w:jc w:val="center"/>
        </w:trPr>
        <w:tc>
          <w:tcPr>
            <w:tcW w:w="4876" w:type="dxa"/>
          </w:tcPr>
          <w:p w:rsidR="00EA5032" w:rsidRPr="008017F4" w:rsidRDefault="00EA5032" w:rsidP="00597AB3">
            <w:pPr>
              <w:pStyle w:val="Normal6"/>
            </w:pPr>
            <w:r w:rsidRPr="008017F4">
              <w:t>__________________</w:t>
            </w:r>
          </w:p>
        </w:tc>
        <w:tc>
          <w:tcPr>
            <w:tcW w:w="4876" w:type="dxa"/>
          </w:tcPr>
          <w:p w:rsidR="00EA5032" w:rsidRPr="008017F4" w:rsidRDefault="00EA5032" w:rsidP="00597AB3">
            <w:pPr>
              <w:pStyle w:val="Normal6"/>
              <w:rPr>
                <w:szCs w:val="24"/>
              </w:rPr>
            </w:pPr>
            <w:r w:rsidRPr="008017F4">
              <w:t>__________________</w:t>
            </w:r>
          </w:p>
        </w:tc>
      </w:tr>
      <w:tr w:rsidR="00EA5032" w:rsidRPr="008017F4" w:rsidTr="00597AB3">
        <w:trPr>
          <w:jc w:val="center"/>
        </w:trPr>
        <w:tc>
          <w:tcPr>
            <w:tcW w:w="4876" w:type="dxa"/>
          </w:tcPr>
          <w:p w:rsidR="00EA5032" w:rsidRPr="008017F4" w:rsidRDefault="00EA5032" w:rsidP="00597AB3">
            <w:pPr>
              <w:pStyle w:val="Normal6"/>
            </w:pPr>
            <w:r w:rsidRPr="008017F4">
              <w:rPr>
                <w:vertAlign w:val="superscript"/>
              </w:rPr>
              <w:t>45</w:t>
            </w:r>
            <w:r w:rsidRPr="008017F4">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(ОВ L 119, 4.5.2016 г., стр. 1).</w:t>
            </w:r>
          </w:p>
        </w:tc>
        <w:tc>
          <w:tcPr>
            <w:tcW w:w="4876" w:type="dxa"/>
          </w:tcPr>
          <w:p w:rsidR="00EA5032" w:rsidRPr="008017F4" w:rsidRDefault="00EA5032" w:rsidP="00597AB3">
            <w:pPr>
              <w:pStyle w:val="Normal6"/>
              <w:rPr>
                <w:szCs w:val="24"/>
              </w:rPr>
            </w:pPr>
            <w:r w:rsidRPr="008017F4">
              <w:rPr>
                <w:vertAlign w:val="superscript"/>
              </w:rPr>
              <w:t>45</w:t>
            </w:r>
            <w:r w:rsidRPr="008017F4">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(ОВ L 119, 4.5.2016 г., стр. 1).</w:t>
            </w:r>
          </w:p>
        </w:tc>
      </w:tr>
    </w:tbl>
    <w:p w:rsidR="00EA5032" w:rsidRPr="008017F4" w:rsidRDefault="00EA5032" w:rsidP="00EA5032"/>
    <w:p w:rsidR="00EA5032" w:rsidRPr="008017F4" w:rsidRDefault="00EA5032" w:rsidP="00EA5032">
      <w:pPr>
        <w:pStyle w:val="AMNumberTabs0"/>
        <w:keepNext/>
      </w:pPr>
      <w:r w:rsidRPr="008017F4">
        <w:t>Изменение</w:t>
      </w:r>
      <w:r w:rsidRPr="008017F4">
        <w:tab/>
      </w:r>
      <w:r w:rsidRPr="008017F4">
        <w:tab/>
        <w:t>62</w:t>
      </w:r>
    </w:p>
    <w:p w:rsidR="00EA5032" w:rsidRPr="008017F4" w:rsidRDefault="00EA5032" w:rsidP="00EA5032">
      <w:pPr>
        <w:pStyle w:val="NormalBold12b"/>
        <w:keepNext/>
      </w:pPr>
      <w:r w:rsidRPr="008017F4">
        <w:t>Предложение за директива</w:t>
      </w:r>
    </w:p>
    <w:p w:rsidR="00EA5032" w:rsidRPr="008017F4" w:rsidRDefault="00EA5032" w:rsidP="00EA5032">
      <w:pPr>
        <w:pStyle w:val="NormalBold"/>
      </w:pPr>
      <w:r w:rsidRPr="008017F4">
        <w:t>Член 20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5032" w:rsidRPr="008017F4" w:rsidTr="00597AB3">
        <w:trPr>
          <w:jc w:val="center"/>
        </w:trPr>
        <w:tc>
          <w:tcPr>
            <w:tcW w:w="9752" w:type="dxa"/>
            <w:gridSpan w:val="2"/>
          </w:tcPr>
          <w:p w:rsidR="00EA5032" w:rsidRPr="008017F4" w:rsidRDefault="00EA5032" w:rsidP="00597AB3">
            <w:pPr>
              <w:keepNext/>
            </w:pPr>
          </w:p>
        </w:tc>
      </w:tr>
      <w:tr w:rsidR="00EA5032" w:rsidRPr="008017F4" w:rsidTr="00597AB3">
        <w:trPr>
          <w:jc w:val="center"/>
        </w:trPr>
        <w:tc>
          <w:tcPr>
            <w:tcW w:w="4876" w:type="dxa"/>
          </w:tcPr>
          <w:p w:rsidR="00EA5032" w:rsidRPr="008017F4" w:rsidRDefault="00EA5032" w:rsidP="00597AB3">
            <w:pPr>
              <w:pStyle w:val="ColumnHeading"/>
              <w:keepNext/>
            </w:pPr>
            <w:r w:rsidRPr="008017F4">
              <w:t>Текст, предложен от Комисията</w:t>
            </w:r>
          </w:p>
        </w:tc>
        <w:tc>
          <w:tcPr>
            <w:tcW w:w="4876" w:type="dxa"/>
          </w:tcPr>
          <w:p w:rsidR="00EA5032" w:rsidRPr="008017F4" w:rsidRDefault="00EA5032" w:rsidP="00597AB3">
            <w:pPr>
              <w:pStyle w:val="ColumnHeading"/>
              <w:keepNext/>
            </w:pPr>
            <w:r w:rsidRPr="008017F4">
              <w:t>Изменение</w:t>
            </w:r>
          </w:p>
        </w:tc>
      </w:tr>
      <w:tr w:rsidR="00EA5032" w:rsidRPr="008017F4" w:rsidTr="00597AB3">
        <w:trPr>
          <w:jc w:val="center"/>
        </w:trPr>
        <w:tc>
          <w:tcPr>
            <w:tcW w:w="4876" w:type="dxa"/>
          </w:tcPr>
          <w:p w:rsidR="00EA5032" w:rsidRPr="008017F4" w:rsidRDefault="00EA5032" w:rsidP="00597AB3">
            <w:pPr>
              <w:pStyle w:val="Normal6"/>
            </w:pPr>
            <w:r w:rsidRPr="008017F4">
              <w:t>3.</w:t>
            </w:r>
            <w:r w:rsidRPr="008017F4">
              <w:tab/>
              <w:t xml:space="preserve">Информацията, включително личните данни, които се обработват в съответствие с настоящата директива, се съхранява само толкова дълго, колкото е необходимо за постигане на целите на настоящата директива, в съответствие с националните правила на всеки администратор на лични данни относно давностните срокове, но във всички случаи не повече от </w:t>
            </w:r>
            <w:r w:rsidRPr="008017F4">
              <w:rPr>
                <w:b/>
                <w:i/>
              </w:rPr>
              <w:t>10</w:t>
            </w:r>
            <w:r w:rsidRPr="008017F4">
              <w:t> години.</w:t>
            </w:r>
          </w:p>
        </w:tc>
        <w:tc>
          <w:tcPr>
            <w:tcW w:w="4876" w:type="dxa"/>
          </w:tcPr>
          <w:p w:rsidR="00EA5032" w:rsidRPr="008017F4" w:rsidRDefault="00EA5032" w:rsidP="00597AB3">
            <w:pPr>
              <w:pStyle w:val="Normal6"/>
              <w:rPr>
                <w:szCs w:val="24"/>
              </w:rPr>
            </w:pPr>
            <w:r w:rsidRPr="008017F4">
              <w:t>3.</w:t>
            </w:r>
            <w:r w:rsidRPr="008017F4">
              <w:tab/>
              <w:t xml:space="preserve">Информацията, включително личните данни, които се обработват в съответствие с настоящата директива, се съхранява само толкова дълго, колкото е необходимо за постигане на целите на настоящата директива, в съответствие с националните правила на всеки администратор на лични данни относно давностните срокове, но във всички случаи не повече от </w:t>
            </w:r>
            <w:r w:rsidRPr="008017F4">
              <w:rPr>
                <w:b/>
                <w:i/>
              </w:rPr>
              <w:t>5</w:t>
            </w:r>
            <w:r w:rsidRPr="008017F4">
              <w:t> години.</w:t>
            </w:r>
          </w:p>
        </w:tc>
      </w:tr>
    </w:tbl>
    <w:p w:rsidR="00EA5032" w:rsidRPr="008017F4" w:rsidRDefault="00EA5032" w:rsidP="00EA5032"/>
    <w:sectPr w:rsidR="00EA5032" w:rsidRPr="008017F4" w:rsidSect="008017F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AB3" w:rsidRPr="008017F4" w:rsidRDefault="00597AB3">
      <w:r w:rsidRPr="008017F4">
        <w:separator/>
      </w:r>
    </w:p>
  </w:endnote>
  <w:endnote w:type="continuationSeparator" w:id="0">
    <w:p w:rsidR="00597AB3" w:rsidRPr="008017F4" w:rsidRDefault="00597AB3">
      <w:r w:rsidRPr="008017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AB3" w:rsidRPr="008017F4" w:rsidRDefault="00597AB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AB3" w:rsidRPr="008017F4" w:rsidRDefault="00597AB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AB3" w:rsidRPr="008017F4" w:rsidRDefault="00597AB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AB3" w:rsidRPr="008017F4" w:rsidRDefault="00597AB3">
      <w:r w:rsidRPr="008017F4">
        <w:separator/>
      </w:r>
    </w:p>
  </w:footnote>
  <w:footnote w:type="continuationSeparator" w:id="0">
    <w:p w:rsidR="00597AB3" w:rsidRPr="008017F4" w:rsidRDefault="00597AB3">
      <w:r w:rsidRPr="008017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AB3" w:rsidRPr="008017F4" w:rsidRDefault="00597AB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AB3" w:rsidRPr="008017F4" w:rsidRDefault="00597AB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AB3" w:rsidRPr="008017F4" w:rsidRDefault="00597A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0D7C9452">
      <w:start w:val="1"/>
      <w:numFmt w:val="bullet"/>
      <w:lvlText w:val=""/>
      <w:lvlJc w:val="left"/>
      <w:pPr>
        <w:ind w:left="720" w:hanging="360"/>
      </w:pPr>
      <w:rPr>
        <w:rFonts w:ascii="Symbol" w:hAnsi="Symbol" w:hint="default"/>
      </w:rPr>
    </w:lvl>
    <w:lvl w:ilvl="1" w:tplc="8940E80E">
      <w:start w:val="1"/>
      <w:numFmt w:val="bullet"/>
      <w:lvlText w:val="o"/>
      <w:lvlJc w:val="left"/>
      <w:pPr>
        <w:ind w:left="1440" w:hanging="360"/>
      </w:pPr>
      <w:rPr>
        <w:rFonts w:ascii="Courier New" w:hAnsi="Courier New" w:cs="Courier New" w:hint="default"/>
      </w:rPr>
    </w:lvl>
    <w:lvl w:ilvl="2" w:tplc="FACAD9C2">
      <w:start w:val="1"/>
      <w:numFmt w:val="bullet"/>
      <w:lvlText w:val=""/>
      <w:lvlJc w:val="left"/>
      <w:pPr>
        <w:ind w:left="2160" w:hanging="360"/>
      </w:pPr>
      <w:rPr>
        <w:rFonts w:ascii="Wingdings" w:hAnsi="Wingdings" w:hint="default"/>
      </w:rPr>
    </w:lvl>
    <w:lvl w:ilvl="3" w:tplc="9022EE40">
      <w:start w:val="1"/>
      <w:numFmt w:val="bullet"/>
      <w:lvlText w:val=""/>
      <w:lvlJc w:val="left"/>
      <w:pPr>
        <w:ind w:left="2880" w:hanging="360"/>
      </w:pPr>
      <w:rPr>
        <w:rFonts w:ascii="Symbol" w:hAnsi="Symbol" w:hint="default"/>
      </w:rPr>
    </w:lvl>
    <w:lvl w:ilvl="4" w:tplc="A6FA5F12">
      <w:start w:val="1"/>
      <w:numFmt w:val="bullet"/>
      <w:lvlText w:val="o"/>
      <w:lvlJc w:val="left"/>
      <w:pPr>
        <w:ind w:left="3600" w:hanging="360"/>
      </w:pPr>
      <w:rPr>
        <w:rFonts w:ascii="Courier New" w:hAnsi="Courier New" w:cs="Courier New" w:hint="default"/>
      </w:rPr>
    </w:lvl>
    <w:lvl w:ilvl="5" w:tplc="D2A24E20">
      <w:start w:val="1"/>
      <w:numFmt w:val="bullet"/>
      <w:lvlText w:val=""/>
      <w:lvlJc w:val="left"/>
      <w:pPr>
        <w:ind w:left="4320" w:hanging="360"/>
      </w:pPr>
      <w:rPr>
        <w:rFonts w:ascii="Wingdings" w:hAnsi="Wingdings" w:hint="default"/>
      </w:rPr>
    </w:lvl>
    <w:lvl w:ilvl="6" w:tplc="767A82CA">
      <w:start w:val="1"/>
      <w:numFmt w:val="bullet"/>
      <w:lvlText w:val=""/>
      <w:lvlJc w:val="left"/>
      <w:pPr>
        <w:ind w:left="5040" w:hanging="360"/>
      </w:pPr>
      <w:rPr>
        <w:rFonts w:ascii="Symbol" w:hAnsi="Symbol" w:hint="default"/>
      </w:rPr>
    </w:lvl>
    <w:lvl w:ilvl="7" w:tplc="E40EA5C4">
      <w:start w:val="1"/>
      <w:numFmt w:val="bullet"/>
      <w:lvlText w:val="o"/>
      <w:lvlJc w:val="left"/>
      <w:pPr>
        <w:ind w:left="5760" w:hanging="360"/>
      </w:pPr>
      <w:rPr>
        <w:rFonts w:ascii="Courier New" w:hAnsi="Courier New" w:cs="Courier New" w:hint="default"/>
      </w:rPr>
    </w:lvl>
    <w:lvl w:ilvl="8" w:tplc="DDEEA4C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BG"/>
    <w:docVar w:name="dvnumam" w:val="62"/>
    <w:docVar w:name="dvpe" w:val="752.746"/>
    <w:docVar w:name="dvrapporteur" w:val="Докладчик: "/>
    <w:docVar w:name="dvstar" w:val="*"/>
    <w:docVar w:name="dvtitre" w:val="Законодателна резолюция на Европейския парламент от ... 2024 г. относно предложението за директива на Съвета за по-бързи и по-сигурни данъчни облекчения за надвзети данъци при източника(COM(2023)0324 – C9-0204/2023 – 2023/0187(CNS))"/>
  </w:docVars>
  <w:rsids>
    <w:rsidRoot w:val="004F3DE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5C02"/>
    <w:rsid w:val="00361C00"/>
    <w:rsid w:val="00395FA1"/>
    <w:rsid w:val="003E15D4"/>
    <w:rsid w:val="00411CCE"/>
    <w:rsid w:val="0041666E"/>
    <w:rsid w:val="00421060"/>
    <w:rsid w:val="00471C19"/>
    <w:rsid w:val="00485287"/>
    <w:rsid w:val="004867E3"/>
    <w:rsid w:val="00494A28"/>
    <w:rsid w:val="004C0004"/>
    <w:rsid w:val="004C5D52"/>
    <w:rsid w:val="004F3DE5"/>
    <w:rsid w:val="0050519A"/>
    <w:rsid w:val="005072A1"/>
    <w:rsid w:val="00514517"/>
    <w:rsid w:val="00545827"/>
    <w:rsid w:val="00560270"/>
    <w:rsid w:val="00586C13"/>
    <w:rsid w:val="00597AB3"/>
    <w:rsid w:val="005C2568"/>
    <w:rsid w:val="006037C0"/>
    <w:rsid w:val="00612CB3"/>
    <w:rsid w:val="006631B6"/>
    <w:rsid w:val="00680577"/>
    <w:rsid w:val="006F74FA"/>
    <w:rsid w:val="00731ADD"/>
    <w:rsid w:val="00734777"/>
    <w:rsid w:val="00747932"/>
    <w:rsid w:val="00751A4A"/>
    <w:rsid w:val="00756632"/>
    <w:rsid w:val="00762C74"/>
    <w:rsid w:val="00786EC0"/>
    <w:rsid w:val="007D1690"/>
    <w:rsid w:val="007E22AD"/>
    <w:rsid w:val="008017F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5032"/>
    <w:rsid w:val="00EB006A"/>
    <w:rsid w:val="00EB4772"/>
    <w:rsid w:val="00ED169E"/>
    <w:rsid w:val="00ED4235"/>
    <w:rsid w:val="00F04346"/>
    <w:rsid w:val="00F075DC"/>
    <w:rsid w:val="00F149E9"/>
    <w:rsid w:val="00F5134D"/>
    <w:rsid w:val="00F5421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1F504"/>
  <w15:chartTrackingRefBased/>
  <w15:docId w15:val="{350345EE-9B9F-4FB5-ADEB-58977509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A5032"/>
    <w:rPr>
      <w:b/>
      <w:kern w:val="28"/>
      <w:sz w:val="28"/>
      <w:lang w:val="fr-FR" w:eastAsia="fr-FR"/>
    </w:rPr>
  </w:style>
  <w:style w:type="character" w:customStyle="1" w:styleId="Heading2Char">
    <w:name w:val="Heading 2 Char"/>
    <w:basedOn w:val="DefaultParagraphFont"/>
    <w:link w:val="Heading2"/>
    <w:semiHidden/>
    <w:rsid w:val="00EA5032"/>
    <w:rPr>
      <w:sz w:val="24"/>
      <w:lang w:val="fr-FR" w:eastAsia="fr-FR"/>
    </w:rPr>
  </w:style>
  <w:style w:type="character" w:customStyle="1" w:styleId="Heading3Char">
    <w:name w:val="Heading 3 Char"/>
    <w:basedOn w:val="DefaultParagraphFont"/>
    <w:link w:val="Heading3"/>
    <w:semiHidden/>
    <w:rsid w:val="00EA5032"/>
    <w:rPr>
      <w:rFonts w:ascii="Arial" w:hAnsi="Arial"/>
      <w:sz w:val="24"/>
      <w:lang w:val="fr-FR" w:eastAsia="fr-FR"/>
    </w:rPr>
  </w:style>
  <w:style w:type="character" w:customStyle="1" w:styleId="Heading4Char">
    <w:name w:val="Heading 4 Char"/>
    <w:basedOn w:val="DefaultParagraphFont"/>
    <w:link w:val="Heading4"/>
    <w:semiHidden/>
    <w:rsid w:val="00EA5032"/>
    <w:rPr>
      <w:sz w:val="24"/>
      <w:lang w:val="en-US" w:eastAsia="fr-FR"/>
    </w:rPr>
  </w:style>
  <w:style w:type="character" w:customStyle="1" w:styleId="Heading5Char">
    <w:name w:val="Heading 5 Char"/>
    <w:basedOn w:val="DefaultParagraphFont"/>
    <w:link w:val="Heading5"/>
    <w:semiHidden/>
    <w:rsid w:val="00EA5032"/>
    <w:rPr>
      <w:sz w:val="24"/>
      <w:lang w:val="en-US" w:eastAsia="fr-FR"/>
    </w:rPr>
  </w:style>
  <w:style w:type="character" w:customStyle="1" w:styleId="Heading6Char">
    <w:name w:val="Heading 6 Char"/>
    <w:basedOn w:val="DefaultParagraphFont"/>
    <w:link w:val="Heading6"/>
    <w:semiHidden/>
    <w:rsid w:val="00EA5032"/>
    <w:rPr>
      <w:i/>
      <w:sz w:val="22"/>
      <w:lang w:val="bg-BG"/>
    </w:rPr>
  </w:style>
  <w:style w:type="character" w:customStyle="1" w:styleId="Heading7Char">
    <w:name w:val="Heading 7 Char"/>
    <w:basedOn w:val="DefaultParagraphFont"/>
    <w:link w:val="Heading7"/>
    <w:semiHidden/>
    <w:rsid w:val="00EA5032"/>
    <w:rPr>
      <w:rFonts w:ascii="Arial" w:hAnsi="Arial"/>
      <w:sz w:val="24"/>
      <w:lang w:val="bg-BG"/>
    </w:rPr>
  </w:style>
  <w:style w:type="character" w:customStyle="1" w:styleId="Heading8Char">
    <w:name w:val="Heading 8 Char"/>
    <w:basedOn w:val="DefaultParagraphFont"/>
    <w:link w:val="Heading8"/>
    <w:semiHidden/>
    <w:rsid w:val="00EA5032"/>
    <w:rPr>
      <w:rFonts w:ascii="Arial" w:hAnsi="Arial"/>
      <w:i/>
      <w:sz w:val="24"/>
      <w:lang w:val="bg-BG"/>
    </w:rPr>
  </w:style>
  <w:style w:type="character" w:customStyle="1" w:styleId="Heading9Char">
    <w:name w:val="Heading 9 Char"/>
    <w:basedOn w:val="DefaultParagraphFont"/>
    <w:link w:val="Heading9"/>
    <w:semiHidden/>
    <w:rsid w:val="00EA5032"/>
    <w:rPr>
      <w:rFonts w:ascii="Arial" w:hAnsi="Arial"/>
      <w:b/>
      <w:i/>
      <w:sz w:val="18"/>
      <w:lang w:val="bg-BG"/>
    </w:rPr>
  </w:style>
  <w:style w:type="paragraph" w:styleId="TOCHeading">
    <w:name w:val="TOC Heading"/>
    <w:basedOn w:val="Normal"/>
    <w:next w:val="Normal"/>
    <w:unhideWhenUsed/>
    <w:qFormat/>
    <w:rsid w:val="00EA5032"/>
    <w:pPr>
      <w:widowControl/>
      <w:spacing w:after="240"/>
    </w:pPr>
    <w:rPr>
      <w:lang w:val="en-GB"/>
    </w:rPr>
  </w:style>
  <w:style w:type="paragraph" w:customStyle="1" w:styleId="EPFooter2">
    <w:name w:val="EPFooter2"/>
    <w:basedOn w:val="Normal"/>
    <w:next w:val="Normal"/>
    <w:rsid w:val="00EA503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5032"/>
    <w:pPr>
      <w:spacing w:before="480" w:after="240"/>
    </w:pPr>
  </w:style>
  <w:style w:type="paragraph" w:customStyle="1" w:styleId="TOCPage">
    <w:name w:val="TOC Page"/>
    <w:basedOn w:val="Normal"/>
    <w:next w:val="TOC1"/>
    <w:rsid w:val="00EA5032"/>
    <w:pPr>
      <w:keepNext/>
      <w:spacing w:after="240"/>
      <w:jc w:val="right"/>
    </w:pPr>
    <w:rPr>
      <w:rFonts w:ascii="Arial" w:hAnsi="Arial"/>
      <w:b/>
    </w:rPr>
  </w:style>
  <w:style w:type="paragraph" w:customStyle="1" w:styleId="Normal6a">
    <w:name w:val="Normal6a"/>
    <w:basedOn w:val="Normal"/>
    <w:rsid w:val="00EA5032"/>
    <w:pPr>
      <w:spacing w:after="120"/>
    </w:pPr>
  </w:style>
  <w:style w:type="paragraph" w:customStyle="1" w:styleId="PageHeading">
    <w:name w:val="PageHeading"/>
    <w:basedOn w:val="Normal"/>
    <w:rsid w:val="00EA5032"/>
    <w:pPr>
      <w:keepNext/>
      <w:spacing w:after="480"/>
      <w:jc w:val="center"/>
    </w:pPr>
    <w:rPr>
      <w:rFonts w:ascii="Arial" w:hAnsi="Arial" w:cs="Arial"/>
      <w:b/>
    </w:rPr>
  </w:style>
  <w:style w:type="paragraph" w:customStyle="1" w:styleId="NormalBold">
    <w:name w:val="NormalBold"/>
    <w:basedOn w:val="Normal"/>
    <w:link w:val="NormalBoldChar"/>
    <w:rsid w:val="00EA5032"/>
    <w:rPr>
      <w:b/>
    </w:rPr>
  </w:style>
  <w:style w:type="paragraph" w:customStyle="1" w:styleId="NormalBold12a">
    <w:name w:val="NormalBold12a"/>
    <w:basedOn w:val="Normal"/>
    <w:rsid w:val="00EA5032"/>
    <w:pPr>
      <w:spacing w:after="240"/>
    </w:pPr>
    <w:rPr>
      <w:b/>
    </w:rPr>
  </w:style>
  <w:style w:type="paragraph" w:customStyle="1" w:styleId="AmJustText">
    <w:name w:val="AmJustText"/>
    <w:basedOn w:val="Normal"/>
    <w:rsid w:val="00EA5032"/>
    <w:pPr>
      <w:spacing w:after="240"/>
    </w:pPr>
    <w:rPr>
      <w:i/>
    </w:rPr>
  </w:style>
  <w:style w:type="paragraph" w:customStyle="1" w:styleId="NormalHanging12a">
    <w:name w:val="NormalHanging12a"/>
    <w:basedOn w:val="Normal"/>
    <w:rsid w:val="00EA5032"/>
    <w:pPr>
      <w:spacing w:after="240"/>
      <w:ind w:left="567" w:hanging="567"/>
    </w:pPr>
  </w:style>
  <w:style w:type="paragraph" w:customStyle="1" w:styleId="CoverNormal24a">
    <w:name w:val="CoverNormal24a"/>
    <w:basedOn w:val="Normal"/>
    <w:rsid w:val="00EA5032"/>
    <w:pPr>
      <w:spacing w:after="480"/>
      <w:ind w:left="1417"/>
    </w:pPr>
  </w:style>
  <w:style w:type="paragraph" w:customStyle="1" w:styleId="CoverNormal">
    <w:name w:val="CoverNormal"/>
    <w:basedOn w:val="Normal"/>
    <w:rsid w:val="00EA5032"/>
    <w:pPr>
      <w:ind w:left="1418"/>
    </w:pPr>
  </w:style>
  <w:style w:type="paragraph" w:customStyle="1" w:styleId="AmCrossRef">
    <w:name w:val="AmCrossRef"/>
    <w:basedOn w:val="Normal"/>
    <w:rsid w:val="00EA5032"/>
    <w:pPr>
      <w:spacing w:before="240" w:after="240"/>
      <w:jc w:val="center"/>
    </w:pPr>
    <w:rPr>
      <w:i/>
    </w:rPr>
  </w:style>
  <w:style w:type="paragraph" w:customStyle="1" w:styleId="AmJustTitle">
    <w:name w:val="AmJustTitle"/>
    <w:basedOn w:val="Normal"/>
    <w:next w:val="AmJustText"/>
    <w:rsid w:val="00EA5032"/>
    <w:pPr>
      <w:keepNext/>
      <w:spacing w:before="240" w:after="240"/>
      <w:jc w:val="center"/>
    </w:pPr>
    <w:rPr>
      <w:i/>
    </w:rPr>
  </w:style>
  <w:style w:type="paragraph" w:customStyle="1" w:styleId="CoverReference">
    <w:name w:val="CoverReference"/>
    <w:basedOn w:val="Normal"/>
    <w:rsid w:val="00EA5032"/>
    <w:pPr>
      <w:spacing w:before="1080"/>
      <w:jc w:val="right"/>
    </w:pPr>
    <w:rPr>
      <w:rFonts w:ascii="Arial" w:hAnsi="Arial" w:cs="Arial"/>
      <w:b/>
    </w:rPr>
  </w:style>
  <w:style w:type="paragraph" w:customStyle="1" w:styleId="CoverDocType">
    <w:name w:val="CoverDocType"/>
    <w:basedOn w:val="Normal"/>
    <w:rsid w:val="00EA5032"/>
    <w:pPr>
      <w:ind w:left="1418"/>
    </w:pPr>
    <w:rPr>
      <w:rFonts w:ascii="Arial" w:hAnsi="Arial"/>
      <w:b/>
      <w:sz w:val="48"/>
    </w:rPr>
  </w:style>
  <w:style w:type="paragraph" w:customStyle="1" w:styleId="CoverDocType24a">
    <w:name w:val="CoverDocType24a"/>
    <w:basedOn w:val="Normal"/>
    <w:rsid w:val="00EA5032"/>
    <w:pPr>
      <w:spacing w:after="480"/>
      <w:ind w:left="1418"/>
    </w:pPr>
    <w:rPr>
      <w:rFonts w:ascii="Arial" w:hAnsi="Arial"/>
      <w:b/>
      <w:sz w:val="48"/>
    </w:rPr>
  </w:style>
  <w:style w:type="paragraph" w:customStyle="1" w:styleId="CoverDate">
    <w:name w:val="CoverDate"/>
    <w:basedOn w:val="Normal"/>
    <w:rsid w:val="00EA5032"/>
    <w:pPr>
      <w:spacing w:before="240" w:after="1200"/>
    </w:pPr>
  </w:style>
  <w:style w:type="paragraph" w:styleId="Header">
    <w:name w:val="header"/>
    <w:basedOn w:val="Normal"/>
    <w:link w:val="HeaderChar"/>
    <w:rsid w:val="00EA5032"/>
    <w:pPr>
      <w:tabs>
        <w:tab w:val="center" w:pos="4513"/>
        <w:tab w:val="right" w:pos="9026"/>
      </w:tabs>
    </w:pPr>
  </w:style>
  <w:style w:type="character" w:customStyle="1" w:styleId="HeaderChar">
    <w:name w:val="Header Char"/>
    <w:basedOn w:val="DefaultParagraphFont"/>
    <w:link w:val="Header"/>
    <w:rsid w:val="00EA5032"/>
    <w:rPr>
      <w:sz w:val="24"/>
      <w:lang w:val="bg-BG"/>
    </w:rPr>
  </w:style>
  <w:style w:type="paragraph" w:customStyle="1" w:styleId="AmOrLang">
    <w:name w:val="AmOrLang"/>
    <w:basedOn w:val="Normal"/>
    <w:rsid w:val="00EA5032"/>
    <w:pPr>
      <w:spacing w:before="240" w:after="240"/>
      <w:jc w:val="right"/>
    </w:pPr>
  </w:style>
  <w:style w:type="paragraph" w:customStyle="1" w:styleId="AmColumnHeading">
    <w:name w:val="AmColumnHeading"/>
    <w:basedOn w:val="Normal"/>
    <w:rsid w:val="00EA5032"/>
    <w:pPr>
      <w:spacing w:after="240"/>
      <w:jc w:val="center"/>
    </w:pPr>
    <w:rPr>
      <w:i/>
    </w:rPr>
  </w:style>
  <w:style w:type="paragraph" w:customStyle="1" w:styleId="AmNumberTabs">
    <w:name w:val="AmNumberTabs"/>
    <w:basedOn w:val="Normal"/>
    <w:link w:val="AmNumberTabsChar"/>
    <w:rsid w:val="00EA50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A5032"/>
    <w:pPr>
      <w:spacing w:before="240"/>
    </w:pPr>
    <w:rPr>
      <w:b/>
    </w:rPr>
  </w:style>
  <w:style w:type="paragraph" w:customStyle="1" w:styleId="EPBody">
    <w:name w:val="EPBody"/>
    <w:basedOn w:val="Normal"/>
    <w:rsid w:val="00EA5032"/>
    <w:pPr>
      <w:jc w:val="center"/>
    </w:pPr>
    <w:rPr>
      <w:rFonts w:ascii="Arial" w:hAnsi="Arial" w:cs="Arial"/>
      <w:i/>
      <w:sz w:val="22"/>
      <w:szCs w:val="22"/>
    </w:rPr>
  </w:style>
  <w:style w:type="paragraph" w:customStyle="1" w:styleId="EPFooter">
    <w:name w:val="EPFooter"/>
    <w:basedOn w:val="Normal"/>
    <w:rsid w:val="00EA5032"/>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EA5032"/>
  </w:style>
  <w:style w:type="paragraph" w:styleId="Footer">
    <w:name w:val="footer"/>
    <w:basedOn w:val="Normal"/>
    <w:link w:val="FooterChar"/>
    <w:rsid w:val="00EA5032"/>
    <w:pPr>
      <w:tabs>
        <w:tab w:val="center" w:pos="4513"/>
        <w:tab w:val="right" w:pos="9026"/>
      </w:tabs>
    </w:pPr>
  </w:style>
  <w:style w:type="character" w:customStyle="1" w:styleId="FooterChar">
    <w:name w:val="Footer Char"/>
    <w:basedOn w:val="DefaultParagraphFont"/>
    <w:link w:val="Footer"/>
    <w:rsid w:val="00EA5032"/>
    <w:rPr>
      <w:sz w:val="24"/>
      <w:lang w:val="bg-BG"/>
    </w:rPr>
  </w:style>
  <w:style w:type="paragraph" w:customStyle="1" w:styleId="Lgendesigne">
    <w:name w:val="Légende signe"/>
    <w:basedOn w:val="Normal"/>
    <w:rsid w:val="00EA5032"/>
    <w:pPr>
      <w:tabs>
        <w:tab w:val="right" w:pos="454"/>
        <w:tab w:val="left" w:pos="737"/>
      </w:tabs>
      <w:ind w:left="737" w:hanging="737"/>
    </w:pPr>
    <w:rPr>
      <w:snapToGrid w:val="0"/>
      <w:sz w:val="18"/>
      <w:lang w:eastAsia="en-US"/>
    </w:rPr>
  </w:style>
  <w:style w:type="paragraph" w:customStyle="1" w:styleId="Lgendetitre">
    <w:name w:val="Légende titre"/>
    <w:basedOn w:val="Normal"/>
    <w:rsid w:val="00EA5032"/>
    <w:pPr>
      <w:spacing w:before="240" w:after="240"/>
    </w:pPr>
    <w:rPr>
      <w:b/>
      <w:i/>
      <w:snapToGrid w:val="0"/>
      <w:lang w:eastAsia="en-US"/>
    </w:rPr>
  </w:style>
  <w:style w:type="paragraph" w:customStyle="1" w:styleId="Lgendestandard">
    <w:name w:val="Légende standard"/>
    <w:basedOn w:val="Normal"/>
    <w:rsid w:val="00EA5032"/>
    <w:rPr>
      <w:sz w:val="18"/>
    </w:rPr>
  </w:style>
  <w:style w:type="paragraph" w:customStyle="1" w:styleId="Normal6">
    <w:name w:val="Normal6"/>
    <w:basedOn w:val="Normal"/>
    <w:link w:val="Normal6Char"/>
    <w:rsid w:val="00EA5032"/>
    <w:pPr>
      <w:spacing w:after="120"/>
    </w:pPr>
  </w:style>
  <w:style w:type="character" w:customStyle="1" w:styleId="NormalBoldChar">
    <w:name w:val="NormalBold Char"/>
    <w:link w:val="NormalBold"/>
    <w:rsid w:val="00EA5032"/>
    <w:rPr>
      <w:b/>
      <w:sz w:val="24"/>
      <w:lang w:val="bg-BG"/>
    </w:rPr>
  </w:style>
  <w:style w:type="character" w:customStyle="1" w:styleId="Normal6Char">
    <w:name w:val="Normal6 Char"/>
    <w:link w:val="Normal6"/>
    <w:rsid w:val="00EA5032"/>
    <w:rPr>
      <w:sz w:val="24"/>
      <w:lang w:val="bg-BG"/>
    </w:rPr>
  </w:style>
  <w:style w:type="paragraph" w:customStyle="1" w:styleId="ColumnHeading">
    <w:name w:val="ColumnHeading"/>
    <w:basedOn w:val="Normal"/>
    <w:rsid w:val="00EA5032"/>
    <w:pPr>
      <w:spacing w:after="240"/>
      <w:jc w:val="center"/>
    </w:pPr>
    <w:rPr>
      <w:i/>
    </w:rPr>
  </w:style>
  <w:style w:type="paragraph" w:customStyle="1" w:styleId="AMNumberTabs0">
    <w:name w:val="AMNumberTabs"/>
    <w:basedOn w:val="Normal"/>
    <w:rsid w:val="00EA50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A5032"/>
    <w:pPr>
      <w:jc w:val="right"/>
    </w:pPr>
    <w:rPr>
      <w:lang w:val="bg-BG"/>
    </w:rPr>
  </w:style>
  <w:style w:type="paragraph" w:styleId="BalloonText">
    <w:name w:val="Balloon Text"/>
    <w:basedOn w:val="Normal"/>
    <w:link w:val="BalloonTextChar"/>
    <w:unhideWhenUsed/>
    <w:rsid w:val="00EA5032"/>
    <w:rPr>
      <w:rFonts w:ascii="Segoe UI" w:hAnsi="Segoe UI" w:cs="Segoe UI"/>
      <w:sz w:val="18"/>
      <w:szCs w:val="18"/>
    </w:rPr>
  </w:style>
  <w:style w:type="character" w:customStyle="1" w:styleId="BalloonTextChar">
    <w:name w:val="Balloon Text Char"/>
    <w:basedOn w:val="DefaultParagraphFont"/>
    <w:link w:val="BalloonText"/>
    <w:rsid w:val="00EA5032"/>
    <w:rPr>
      <w:rFonts w:ascii="Segoe UI" w:hAnsi="Segoe UI" w:cs="Segoe UI"/>
      <w:sz w:val="18"/>
      <w:szCs w:val="18"/>
      <w:lang w:val="bg-BG"/>
    </w:rPr>
  </w:style>
  <w:style w:type="character" w:styleId="CommentReference">
    <w:name w:val="annotation reference"/>
    <w:basedOn w:val="DefaultParagraphFont"/>
    <w:rsid w:val="00EA5032"/>
    <w:rPr>
      <w:sz w:val="16"/>
      <w:szCs w:val="16"/>
    </w:rPr>
  </w:style>
  <w:style w:type="paragraph" w:styleId="CommentText">
    <w:name w:val="annotation text"/>
    <w:basedOn w:val="Normal"/>
    <w:link w:val="CommentTextChar"/>
    <w:rsid w:val="00EA5032"/>
    <w:rPr>
      <w:sz w:val="20"/>
    </w:rPr>
  </w:style>
  <w:style w:type="character" w:customStyle="1" w:styleId="CommentTextChar">
    <w:name w:val="Comment Text Char"/>
    <w:basedOn w:val="DefaultParagraphFont"/>
    <w:link w:val="CommentText"/>
    <w:rsid w:val="00EA5032"/>
    <w:rPr>
      <w:lang w:val="bg-BG"/>
    </w:rPr>
  </w:style>
  <w:style w:type="paragraph" w:styleId="CommentSubject">
    <w:name w:val="annotation subject"/>
    <w:basedOn w:val="CommentText"/>
    <w:next w:val="CommentText"/>
    <w:link w:val="CommentSubjectChar"/>
    <w:unhideWhenUsed/>
    <w:rsid w:val="00EA5032"/>
    <w:rPr>
      <w:b/>
      <w:bCs/>
    </w:rPr>
  </w:style>
  <w:style w:type="character" w:customStyle="1" w:styleId="CommentSubjectChar">
    <w:name w:val="Comment Subject Char"/>
    <w:basedOn w:val="CommentTextChar"/>
    <w:link w:val="CommentSubject"/>
    <w:rsid w:val="00EA5032"/>
    <w:rPr>
      <w:b/>
      <w:bCs/>
      <w:lang w:val="bg-BG"/>
    </w:rPr>
  </w:style>
  <w:style w:type="paragraph" w:customStyle="1" w:styleId="Normal24a">
    <w:name w:val="Normal24a"/>
    <w:basedOn w:val="Normal"/>
    <w:rsid w:val="00EA5032"/>
    <w:pPr>
      <w:spacing w:after="480"/>
    </w:pPr>
  </w:style>
  <w:style w:type="paragraph" w:customStyle="1" w:styleId="NormalBoldCenter">
    <w:name w:val="NormalBoldCenter"/>
    <w:basedOn w:val="Normal"/>
    <w:rsid w:val="00EA5032"/>
    <w:pPr>
      <w:jc w:val="center"/>
    </w:pPr>
    <w:rPr>
      <w:b/>
    </w:rPr>
  </w:style>
  <w:style w:type="paragraph" w:styleId="ListParagraph">
    <w:name w:val="List Paragraph"/>
    <w:basedOn w:val="Normal"/>
    <w:uiPriority w:val="34"/>
    <w:qFormat/>
    <w:rsid w:val="00EA5032"/>
    <w:pPr>
      <w:snapToGrid w:val="0"/>
      <w:ind w:left="720"/>
      <w:contextualSpacing/>
    </w:pPr>
    <w:rPr>
      <w:lang w:bidi="en-GB"/>
    </w:rPr>
  </w:style>
  <w:style w:type="character" w:customStyle="1" w:styleId="AmNumberTabsChar">
    <w:name w:val="AmNumberTabs Char"/>
    <w:basedOn w:val="DefaultParagraphFont"/>
    <w:link w:val="AmNumberTabs"/>
    <w:rsid w:val="00EA5032"/>
    <w:rPr>
      <w:b/>
      <w:sz w:val="24"/>
      <w:lang w:val="bg-BG"/>
    </w:rPr>
  </w:style>
  <w:style w:type="character" w:customStyle="1" w:styleId="NormalBold12bChar">
    <w:name w:val="NormalBold12b Char"/>
    <w:basedOn w:val="AmNumberTabsChar"/>
    <w:link w:val="NormalBold12b"/>
    <w:rsid w:val="00EA5032"/>
    <w:rPr>
      <w:b/>
      <w:sz w:val="24"/>
      <w:lang w:val="bg-BG"/>
    </w:rPr>
  </w:style>
  <w:style w:type="character" w:styleId="Hyperlink">
    <w:name w:val="Hyperlink"/>
    <w:basedOn w:val="DefaultParagraphFont"/>
    <w:rsid w:val="00EA5032"/>
    <w:rPr>
      <w:color w:val="0563C1" w:themeColor="hyperlink"/>
      <w:u w:val="single"/>
    </w:rPr>
  </w:style>
  <w:style w:type="paragraph" w:customStyle="1" w:styleId="Normal12a">
    <w:name w:val="Normal12a"/>
    <w:basedOn w:val="Normal"/>
    <w:rsid w:val="00EA5032"/>
    <w:pPr>
      <w:spacing w:after="240"/>
    </w:pPr>
  </w:style>
  <w:style w:type="paragraph" w:customStyle="1" w:styleId="RollCallVotes">
    <w:name w:val="RollCallVotes"/>
    <w:basedOn w:val="Normal"/>
    <w:rsid w:val="00EA5032"/>
    <w:pPr>
      <w:spacing w:before="120" w:after="120"/>
      <w:jc w:val="center"/>
    </w:pPr>
    <w:rPr>
      <w:b/>
      <w:bCs/>
      <w:snapToGrid w:val="0"/>
      <w:sz w:val="16"/>
      <w:lang w:eastAsia="en-US"/>
    </w:rPr>
  </w:style>
  <w:style w:type="paragraph" w:customStyle="1" w:styleId="RollCallTabs">
    <w:name w:val="RollCallTabs"/>
    <w:basedOn w:val="Normal"/>
    <w:qFormat/>
    <w:rsid w:val="00EA5032"/>
    <w:pPr>
      <w:tabs>
        <w:tab w:val="center" w:pos="284"/>
        <w:tab w:val="left" w:pos="426"/>
      </w:tabs>
    </w:pPr>
    <w:rPr>
      <w:snapToGrid w:val="0"/>
      <w:lang w:eastAsia="en-US"/>
    </w:rPr>
  </w:style>
  <w:style w:type="paragraph" w:customStyle="1" w:styleId="RollCallSymbols14pt">
    <w:name w:val="RollCallSymbols14pt"/>
    <w:basedOn w:val="Normal"/>
    <w:rsid w:val="00EA5032"/>
    <w:pPr>
      <w:spacing w:before="120" w:after="120"/>
      <w:jc w:val="center"/>
    </w:pPr>
    <w:rPr>
      <w:rFonts w:ascii="Arial" w:hAnsi="Arial"/>
      <w:b/>
      <w:bCs/>
      <w:snapToGrid w:val="0"/>
      <w:sz w:val="28"/>
      <w:lang w:eastAsia="en-US"/>
    </w:rPr>
  </w:style>
  <w:style w:type="paragraph" w:customStyle="1" w:styleId="RollCallTable">
    <w:name w:val="RollCallTable"/>
    <w:basedOn w:val="Normal"/>
    <w:rsid w:val="00EA503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A064C-93DA-4352-9D5A-E67CD7FE9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10067</Words>
  <Characters>57384</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2024-04-30T10:41:00Z</dcterms:created>
  <dcterms:modified xsi:type="dcterms:W3CDTF">2024-04-30T10:41:00Z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P9_TA(2024)0102_</vt:lpwstr>
  </property>
  <property fmtid="{D5CDD505-2E9C-101B-9397-08002B2CF9AE}" pid="4" name="&lt;Type&gt;">
    <vt:lpwstr>RR</vt:lpwstr>
  </property>
</Properties>
</file>