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3843" w:rsidTr="0010095E">
        <w:trPr>
          <w:trHeight w:hRule="exact" w:val="1418"/>
        </w:trPr>
        <w:tc>
          <w:tcPr>
            <w:tcW w:w="6804" w:type="dxa"/>
            <w:shd w:val="clear" w:color="auto" w:fill="auto"/>
            <w:vAlign w:val="center"/>
          </w:tcPr>
          <w:p w:rsidR="00751A4A" w:rsidRPr="00F63843" w:rsidRDefault="00275BA0" w:rsidP="0010095E">
            <w:pPr>
              <w:pStyle w:val="EPName"/>
            </w:pPr>
            <w:r w:rsidRPr="00F63843">
              <w:t>Europaparlamentet</w:t>
            </w:r>
          </w:p>
          <w:p w:rsidR="00751A4A" w:rsidRPr="00F63843" w:rsidRDefault="00817416" w:rsidP="00756632">
            <w:pPr>
              <w:pStyle w:val="EPTerm"/>
              <w:rPr>
                <w:rStyle w:val="HideTWBExt"/>
                <w:noProof w:val="0"/>
                <w:vanish w:val="0"/>
                <w:color w:val="auto"/>
              </w:rPr>
            </w:pPr>
            <w:r w:rsidRPr="00F63843">
              <w:t>2019-2024</w:t>
            </w:r>
          </w:p>
        </w:tc>
        <w:tc>
          <w:tcPr>
            <w:tcW w:w="2268" w:type="dxa"/>
            <w:shd w:val="clear" w:color="auto" w:fill="auto"/>
          </w:tcPr>
          <w:p w:rsidR="00751A4A" w:rsidRPr="00F63843" w:rsidRDefault="00187494" w:rsidP="0010095E">
            <w:pPr>
              <w:pStyle w:val="EPLogo"/>
            </w:pPr>
            <w:r w:rsidRPr="00F6384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63843" w:rsidRDefault="00D058B8" w:rsidP="004C5D52">
      <w:pPr>
        <w:pStyle w:val="LineTop"/>
      </w:pPr>
    </w:p>
    <w:p w:rsidR="00680577" w:rsidRPr="00F63843" w:rsidRDefault="00275BA0" w:rsidP="00680577">
      <w:pPr>
        <w:pStyle w:val="EPBodyTA1"/>
      </w:pPr>
      <w:r w:rsidRPr="00F63843">
        <w:t>ANTAGNA TEXTER</w:t>
      </w:r>
    </w:p>
    <w:p w:rsidR="00D058B8" w:rsidRPr="00F63843" w:rsidRDefault="00D058B8" w:rsidP="00D058B8">
      <w:pPr>
        <w:pStyle w:val="LineBottom"/>
      </w:pPr>
    </w:p>
    <w:p w:rsidR="00275BA0" w:rsidRPr="00F63843" w:rsidRDefault="00275BA0" w:rsidP="00275BA0">
      <w:pPr>
        <w:pStyle w:val="ATHeading1"/>
      </w:pPr>
      <w:bookmarkStart w:id="0" w:name="TANumber"/>
      <w:r w:rsidRPr="00F63843">
        <w:t>P9_TA(2024)0</w:t>
      </w:r>
      <w:r w:rsidR="00C7149A" w:rsidRPr="00F63843">
        <w:t>102</w:t>
      </w:r>
      <w:bookmarkEnd w:id="0"/>
    </w:p>
    <w:p w:rsidR="00275BA0" w:rsidRPr="00F63843" w:rsidRDefault="00275BA0" w:rsidP="00275BA0">
      <w:pPr>
        <w:pStyle w:val="ATHeading2"/>
      </w:pPr>
      <w:bookmarkStart w:id="1" w:name="title"/>
      <w:r w:rsidRPr="00F63843">
        <w:t>Snabbare och säkrare skattelättnad för överskjutande källskatt</w:t>
      </w:r>
      <w:bookmarkEnd w:id="1"/>
    </w:p>
    <w:p w:rsidR="00275BA0" w:rsidRPr="00F63843" w:rsidRDefault="00275BA0" w:rsidP="00275BA0">
      <w:pPr>
        <w:rPr>
          <w:i/>
          <w:vanish/>
        </w:rPr>
      </w:pPr>
      <w:r w:rsidRPr="00F63843">
        <w:rPr>
          <w:i/>
        </w:rPr>
        <w:fldChar w:fldCharType="begin"/>
      </w:r>
      <w:r w:rsidRPr="00F63843">
        <w:rPr>
          <w:i/>
        </w:rPr>
        <w:instrText xml:space="preserve"> TC"(</w:instrText>
      </w:r>
      <w:bookmarkStart w:id="2" w:name="DocNumber"/>
      <w:r w:rsidRPr="00F63843">
        <w:rPr>
          <w:i/>
        </w:rPr>
        <w:instrText>A9-0007/2024</w:instrText>
      </w:r>
      <w:bookmarkEnd w:id="2"/>
      <w:r w:rsidRPr="00F63843">
        <w:rPr>
          <w:i/>
        </w:rPr>
        <w:instrText xml:space="preserve"> - Föredragande: Herbert Dorfmann)"\l3 \n&gt; \* MERGEFORMAT </w:instrText>
      </w:r>
      <w:r w:rsidRPr="00F63843">
        <w:rPr>
          <w:i/>
        </w:rPr>
        <w:fldChar w:fldCharType="end"/>
      </w:r>
    </w:p>
    <w:p w:rsidR="00275BA0" w:rsidRPr="00F63843" w:rsidRDefault="00275BA0" w:rsidP="00275BA0">
      <w:pPr>
        <w:rPr>
          <w:vanish/>
        </w:rPr>
      </w:pPr>
      <w:bookmarkStart w:id="3" w:name="Commission"/>
      <w:r w:rsidRPr="00F63843">
        <w:rPr>
          <w:vanish/>
        </w:rPr>
        <w:t>Utskottet för ekonomi och valutafrågor</w:t>
      </w:r>
      <w:bookmarkEnd w:id="3"/>
    </w:p>
    <w:p w:rsidR="00275BA0" w:rsidRPr="00F63843" w:rsidRDefault="00275BA0" w:rsidP="00275BA0">
      <w:pPr>
        <w:rPr>
          <w:vanish/>
        </w:rPr>
      </w:pPr>
      <w:bookmarkStart w:id="4" w:name="PE"/>
      <w:r w:rsidRPr="00F63843">
        <w:rPr>
          <w:vanish/>
        </w:rPr>
        <w:t>PE752.746</w:t>
      </w:r>
      <w:bookmarkEnd w:id="4"/>
    </w:p>
    <w:p w:rsidR="00275BA0" w:rsidRPr="00F63843" w:rsidRDefault="00275BA0" w:rsidP="00275BA0">
      <w:pPr>
        <w:pStyle w:val="ATHeading3"/>
      </w:pPr>
      <w:bookmarkStart w:id="5" w:name="Sujet"/>
      <w:r w:rsidRPr="00F63843">
        <w:t xml:space="preserve">Europaparlamentets lagstiftningsresolution av den </w:t>
      </w:r>
      <w:r w:rsidR="00C7149A" w:rsidRPr="00F63843">
        <w:t>28</w:t>
      </w:r>
      <w:r w:rsidRPr="00F63843">
        <w:t xml:space="preserve"> </w:t>
      </w:r>
      <w:r w:rsidR="002F28AA" w:rsidRPr="00F63843">
        <w:t>februari</w:t>
      </w:r>
      <w:r w:rsidRPr="00F63843">
        <w:t xml:space="preserve"> 2024 om förslaget till rådets direktiv om snabbare och säkrare skattelättnad för överskjutande källskatt</w:t>
      </w:r>
      <w:bookmarkEnd w:id="5"/>
      <w:r w:rsidRPr="00F63843">
        <w:t xml:space="preserve"> </w:t>
      </w:r>
      <w:bookmarkStart w:id="6" w:name="References"/>
      <w:r w:rsidRPr="00F63843">
        <w:t>(COM(2023)0324 – C9-0204/2023 – 2023/0187(CNS))</w:t>
      </w:r>
      <w:bookmarkEnd w:id="6"/>
    </w:p>
    <w:p w:rsidR="002F28AA" w:rsidRPr="00F63843" w:rsidRDefault="002F28AA" w:rsidP="00C57617">
      <w:pPr>
        <w:pStyle w:val="NormalBold"/>
        <w:widowControl/>
      </w:pPr>
    </w:p>
    <w:p w:rsidR="00C57617" w:rsidRPr="00F63843" w:rsidRDefault="00C57617" w:rsidP="00C57617">
      <w:pPr>
        <w:pStyle w:val="NormalBold"/>
        <w:widowControl/>
      </w:pPr>
      <w:r w:rsidRPr="00F63843">
        <w:t>(Särskilt lagstiftningsförfarande – samråd)</w:t>
      </w:r>
    </w:p>
    <w:p w:rsidR="00C57617" w:rsidRPr="00F63843" w:rsidRDefault="00C57617" w:rsidP="00C57617">
      <w:pPr>
        <w:pStyle w:val="EPComma"/>
        <w:widowControl/>
      </w:pPr>
      <w:r w:rsidRPr="00F63843">
        <w:rPr>
          <w:i/>
        </w:rPr>
        <w:t>Europaparlamentet utfärdar denna resolution</w:t>
      </w:r>
    </w:p>
    <w:p w:rsidR="00C57617" w:rsidRPr="00F63843" w:rsidRDefault="00C57617" w:rsidP="00C57617">
      <w:pPr>
        <w:pStyle w:val="NormalHanging12a"/>
        <w:widowControl/>
      </w:pPr>
      <w:r w:rsidRPr="00F63843">
        <w:t>–</w:t>
      </w:r>
      <w:r w:rsidRPr="00F63843">
        <w:tab/>
        <w:t>med beaktande av kommissionens förslag till rådet (COM(2023)0324),</w:t>
      </w:r>
    </w:p>
    <w:p w:rsidR="00C57617" w:rsidRPr="00F63843" w:rsidRDefault="00C57617" w:rsidP="00C57617">
      <w:pPr>
        <w:pStyle w:val="NormalHanging12a"/>
        <w:widowControl/>
        <w:rPr>
          <w:rStyle w:val="HideTWBExt"/>
          <w:rFonts w:ascii="Times New Roman" w:hAnsi="Times New Roman"/>
          <w:noProof w:val="0"/>
          <w:vanish w:val="0"/>
          <w:color w:val="auto"/>
          <w:sz w:val="24"/>
        </w:rPr>
      </w:pPr>
      <w:r w:rsidRPr="00F63843">
        <w:t>–</w:t>
      </w:r>
      <w:r w:rsidRPr="00F63843">
        <w:tab/>
        <w:t>med beaktande av artikel 115 i fördraget om Europeiska unionens funktionssätt, i enlighet med vilket Europaparlamentet har hörts av rådet (C9</w:t>
      </w:r>
      <w:r w:rsidRPr="00F63843">
        <w:noBreakHyphen/>
        <w:t>0204/2023),</w:t>
      </w:r>
    </w:p>
    <w:p w:rsidR="00C57617" w:rsidRPr="00F63843" w:rsidRDefault="00C57617" w:rsidP="00C57617">
      <w:pPr>
        <w:pStyle w:val="NormalHanging12a"/>
        <w:widowControl/>
      </w:pPr>
      <w:r w:rsidRPr="00F63843">
        <w:t>–</w:t>
      </w:r>
      <w:r w:rsidRPr="00F63843">
        <w:tab/>
        <w:t>med beaktande av artikel 82 i arbetsordningen,</w:t>
      </w:r>
    </w:p>
    <w:p w:rsidR="00C57617" w:rsidRPr="00F63843" w:rsidRDefault="00C57617" w:rsidP="00C57617">
      <w:pPr>
        <w:pStyle w:val="NormalHanging12a"/>
        <w:widowControl/>
      </w:pPr>
      <w:r w:rsidRPr="00F63843">
        <w:t>–</w:t>
      </w:r>
      <w:r w:rsidRPr="00F63843">
        <w:tab/>
        <w:t>med beaktande av betänkandet från utskottet för ekonomi och valutafrågor (A9</w:t>
      </w:r>
      <w:r w:rsidRPr="00F63843">
        <w:noBreakHyphen/>
        <w:t>0007/2024).</w:t>
      </w:r>
    </w:p>
    <w:p w:rsidR="00C57617" w:rsidRPr="00F63843" w:rsidRDefault="00C57617" w:rsidP="00C57617">
      <w:pPr>
        <w:pStyle w:val="NormalHanging12a"/>
        <w:widowControl/>
      </w:pPr>
      <w:r w:rsidRPr="00F63843">
        <w:t>1.</w:t>
      </w:r>
      <w:r w:rsidRPr="00F63843">
        <w:tab/>
        <w:t>Europaparlamentet godkänner kommissionens förslag såsom ändrat av parlamentet.</w:t>
      </w:r>
    </w:p>
    <w:p w:rsidR="00C57617" w:rsidRPr="00F63843" w:rsidRDefault="00C57617" w:rsidP="00C57617">
      <w:pPr>
        <w:pStyle w:val="NormalHanging12a"/>
        <w:widowControl/>
      </w:pPr>
      <w:r w:rsidRPr="00F63843">
        <w:t>2.</w:t>
      </w:r>
      <w:r w:rsidRPr="00F63843">
        <w:tab/>
        <w:t>Europaparlamentet uppmanar kommissionen att ändra sitt förslag i överensstämmelse härmed, i enlighet med artikel 293.2 i fördraget om Europeiska unionens funktionssätt.</w:t>
      </w:r>
    </w:p>
    <w:p w:rsidR="00C57617" w:rsidRPr="00F63843" w:rsidRDefault="00C57617" w:rsidP="00C57617">
      <w:pPr>
        <w:pStyle w:val="NormalHanging12a"/>
        <w:widowControl/>
      </w:pPr>
      <w:r w:rsidRPr="00F63843">
        <w:t>3.</w:t>
      </w:r>
      <w:r w:rsidRPr="00F63843">
        <w:tab/>
        <w:t>Rådet uppmanas att underrätta Europaparlamentet om rådet har för avsikt att avvika från den text som parlamentet har godkänt.</w:t>
      </w:r>
    </w:p>
    <w:p w:rsidR="00C57617" w:rsidRPr="00F63843" w:rsidRDefault="00C57617" w:rsidP="00C57617">
      <w:pPr>
        <w:pStyle w:val="NormalHanging12a"/>
        <w:widowControl/>
      </w:pPr>
      <w:r w:rsidRPr="00F63843">
        <w:t>4.</w:t>
      </w:r>
      <w:r w:rsidRPr="00F63843">
        <w:tab/>
        <w:t>Rådet uppmanas att på nytt höra Europaparlamentet om rådet har för avsikt att väsentligt ändra kommissionens förslag.</w:t>
      </w:r>
    </w:p>
    <w:p w:rsidR="00C57617" w:rsidRPr="00F63843" w:rsidRDefault="00C57617" w:rsidP="00C57617">
      <w:pPr>
        <w:pStyle w:val="NormalHanging12a"/>
        <w:widowControl/>
      </w:pPr>
      <w:r w:rsidRPr="00F63843">
        <w:t>5.</w:t>
      </w:r>
      <w:r w:rsidRPr="00F63843">
        <w:tab/>
        <w:t>Europaparlamentet uppdrar åt talmannen att översända parlamentets ståndpunkt till rådet, kommissionen och de nationella parlamenten.</w:t>
      </w:r>
    </w:p>
    <w:p w:rsidR="00C57617" w:rsidRPr="00F63843" w:rsidRDefault="00C57617" w:rsidP="00C57617">
      <w:pPr>
        <w:widowControl/>
      </w:pPr>
      <w:r w:rsidRPr="00F63843">
        <w:br w:type="page"/>
      </w:r>
    </w:p>
    <w:p w:rsidR="00C57617" w:rsidRPr="00F63843" w:rsidRDefault="00D0782F" w:rsidP="00C57617">
      <w:pPr>
        <w:pStyle w:val="AmNumberTabs"/>
        <w:widowControl/>
      </w:pPr>
      <w:r>
        <w:lastRenderedPageBreak/>
        <w:t>Ändring</w:t>
      </w:r>
      <w:r w:rsidR="00C57617" w:rsidRPr="00F63843">
        <w:tab/>
      </w:r>
      <w:r w:rsidR="00C57617" w:rsidRPr="00F63843">
        <w:tab/>
        <w:t>1</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Skäl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t>(1)</w:t>
            </w:r>
            <w:r w:rsidRPr="00F63843">
              <w:tab/>
              <w:t>Att säkerställa rättvis beskattning på den inre marknaden och en väl fungerande kapitalmarknadsunion är politiska prioriteringar för Europeiska unionen (EU). I detta sammanhang är det mycket viktigt att undanröja hinder för gränsöverskridande investeringar, samtidigt som skattebedrägeri och skattefusk bekämpas. Sådana hinder finns till exempel genom ineffektiva och oproportionerligt betungande förfaranden för att bevilja skattelättnad för överskjutande skatt som innehålls vid källan på utdelnings- eller ränteinkomster som betalas på aktier eller obligationer som handlas offentligt till investerare utan hemvist i landet. Dessutom har status quo visat sig vara otillräckligt för att förhindra återkommande risker för skattebedrägeri, skatteundandragande och skatteflykt, vilket framgår av den senaste tidens cum-ex- och cum-cum-skandaler. Syftet med detta förslag är att effektivisera EU:s källskatteförfaranden och samtidigt stärka dem mot risken för skattebedrägeri och skattefusk. Den bygger på relevanta tidigare åtgärder på EU-nivå och internationell nivå, såsom kommissionens rekommendation från 2009 om förenkling av källskatteförfaranden och OECD:s initiativ för avtalsenliga skattelättnader och ökad efterlevnad (Treaty Relief and Compliance Enhancement, Trace)</w:t>
            </w:r>
            <w:r w:rsidRPr="00F63843">
              <w:rPr>
                <w:vertAlign w:val="superscript"/>
              </w:rPr>
              <w:t>28</w:t>
            </w:r>
            <w:r w:rsidRPr="00F63843">
              <w:t>.</w:t>
            </w:r>
          </w:p>
        </w:tc>
        <w:tc>
          <w:tcPr>
            <w:tcW w:w="4876" w:type="dxa"/>
          </w:tcPr>
          <w:p w:rsidR="00C57617" w:rsidRPr="00F63843" w:rsidRDefault="00C57617" w:rsidP="000A5CE6">
            <w:pPr>
              <w:pStyle w:val="Normal6a"/>
              <w:widowControl/>
            </w:pPr>
            <w:r w:rsidRPr="00F63843">
              <w:t>(1)</w:t>
            </w:r>
            <w:r w:rsidRPr="00F63843">
              <w:tab/>
              <w:t>Att säkerställa rättvis beskattning på den inre marknaden och en väl fungerande kapitalmarknadsunion är politiska prioriteringar för Europeiska unionen (EU). I detta sammanhang är det mycket viktigt att undanröja hinder för gränsöverskridande investeringar, samtidigt som skattebedrägeri och skattefusk bekämpas. Sådana hinder finns till exempel genom ineffektiva och oproportionerligt betungande förfaranden för att bevilja skattelättnad för överskjutande skatt som innehålls vid källan på utdelnings- eller ränteinkomster som betalas på aktier eller obligationer som handlas offentligt till investerare utan hemvist i landet.</w:t>
            </w:r>
            <w:r w:rsidRPr="00F63843">
              <w:rPr>
                <w:b/>
                <w:i/>
              </w:rPr>
              <w:t xml:space="preserve"> </w:t>
            </w:r>
            <w:r w:rsidRPr="00F63843">
              <w:rPr>
                <w:b/>
                <w:bCs/>
                <w:i/>
                <w:iCs/>
              </w:rPr>
              <w:t>Sådana hinder utgör en särskild utmaning för icke-professionella investerare.</w:t>
            </w:r>
            <w:r w:rsidRPr="00F63843">
              <w:t xml:space="preserve"> Dessutom har status quo visat sig vara otillräckligt för att förhindra återkommande risker för skattebedrägeri, skatteundandragande och skatteflykt, vilket framgår av den senaste tidens cum-ex- och cum-cum-skandaler. Syftet med detta förslag är att effektivisera EU:s källskatteförfaranden och samtidigt stärka dem mot risken för skattebedrägeri och skattefusk. Den bygger på relevanta tidigare åtgärder på EU-nivå och internationell nivå, såsom kommissionens rekommendation från 2009 om förenkling av källskatteförfaranden och OECD:s initiativ för avtalsenliga skattelättnader och ökad efterlevnad (Treaty Relief and Compliance Enhancement, Trace)</w:t>
            </w:r>
            <w:r w:rsidRPr="00F63843">
              <w:rPr>
                <w:vertAlign w:val="superscript"/>
              </w:rPr>
              <w:t>28</w:t>
            </w:r>
            <w:r w:rsidRPr="00F63843">
              <w:t>.</w:t>
            </w:r>
          </w:p>
        </w:tc>
      </w:tr>
      <w:tr w:rsidR="00C57617" w:rsidRPr="00F63843" w:rsidTr="000A5CE6">
        <w:trPr>
          <w:jc w:val="center"/>
        </w:trPr>
        <w:tc>
          <w:tcPr>
            <w:tcW w:w="4876" w:type="dxa"/>
          </w:tcPr>
          <w:p w:rsidR="00C57617" w:rsidRPr="00F63843" w:rsidRDefault="00C57617" w:rsidP="000A5CE6">
            <w:pPr>
              <w:pStyle w:val="Normal6a"/>
              <w:widowControl/>
            </w:pPr>
            <w:r w:rsidRPr="00F63843">
              <w:rPr>
                <w:b/>
                <w:i/>
              </w:rPr>
              <w:t>_________________</w:t>
            </w:r>
          </w:p>
        </w:tc>
        <w:tc>
          <w:tcPr>
            <w:tcW w:w="4876" w:type="dxa"/>
          </w:tcPr>
          <w:p w:rsidR="00C57617" w:rsidRPr="00F63843" w:rsidRDefault="00C57617" w:rsidP="000A5CE6">
            <w:pPr>
              <w:pStyle w:val="Normal6a"/>
              <w:widowControl/>
            </w:pPr>
            <w:r w:rsidRPr="00F63843">
              <w:rPr>
                <w:b/>
                <w:i/>
              </w:rPr>
              <w:t>_________________</w:t>
            </w:r>
          </w:p>
        </w:tc>
      </w:tr>
      <w:tr w:rsidR="00C57617" w:rsidRPr="00F63843" w:rsidTr="000A5CE6">
        <w:trPr>
          <w:jc w:val="center"/>
        </w:trPr>
        <w:tc>
          <w:tcPr>
            <w:tcW w:w="4876" w:type="dxa"/>
          </w:tcPr>
          <w:p w:rsidR="00C57617" w:rsidRPr="00F63843" w:rsidRDefault="00C57617" w:rsidP="000A5CE6">
            <w:pPr>
              <w:pStyle w:val="Normal6a"/>
              <w:widowControl/>
            </w:pPr>
            <w:r w:rsidRPr="00F63843">
              <w:rPr>
                <w:vertAlign w:val="superscript"/>
              </w:rPr>
              <w:t>28</w:t>
            </w:r>
            <w:r w:rsidRPr="00F63843">
              <w:t xml:space="preserve"> Kommissionens rekommendation av den 19 oktober 2009 om förfaranden för källskattelättnad (Text av betydelse för EES) (EUT L 279, 24.10.2009, s. 8).</w:t>
            </w:r>
          </w:p>
        </w:tc>
        <w:tc>
          <w:tcPr>
            <w:tcW w:w="4876" w:type="dxa"/>
          </w:tcPr>
          <w:p w:rsidR="00C57617" w:rsidRPr="00F63843" w:rsidRDefault="00C57617" w:rsidP="000A5CE6">
            <w:pPr>
              <w:pStyle w:val="Normal6a"/>
              <w:widowControl/>
            </w:pPr>
            <w:r w:rsidRPr="00F63843">
              <w:rPr>
                <w:vertAlign w:val="superscript"/>
              </w:rPr>
              <w:t>28</w:t>
            </w:r>
            <w:r w:rsidRPr="00F63843">
              <w:t xml:space="preserve"> Kommissionens rekommendation av den 19 oktober 2009 om förfaranden för källskattelättnad (Text av betydelse för EES) (EUT L 279, 24.10.2009, s. 8).</w:t>
            </w:r>
          </w:p>
        </w:tc>
      </w:tr>
    </w:tbl>
    <w:p w:rsidR="00C57617" w:rsidRPr="00F63843" w:rsidRDefault="00C57617" w:rsidP="00C57617">
      <w:pPr>
        <w:widowControl/>
      </w:pPr>
    </w:p>
    <w:p w:rsidR="00C57617" w:rsidRPr="00F63843" w:rsidRDefault="00D0782F" w:rsidP="00C57617">
      <w:pPr>
        <w:pStyle w:val="AMNumberTabs0"/>
        <w:keepNext/>
        <w:widowControl/>
      </w:pPr>
      <w:r>
        <w:lastRenderedPageBreak/>
        <w:t>Ändring</w:t>
      </w:r>
      <w:r w:rsidR="00C57617" w:rsidRPr="00F63843">
        <w:tab/>
      </w:r>
      <w:r w:rsidR="00C57617" w:rsidRPr="00F63843">
        <w:tab/>
        <w:t>2</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Skäl 1a (nytt)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p>
        </w:tc>
        <w:tc>
          <w:tcPr>
            <w:tcW w:w="4876" w:type="dxa"/>
          </w:tcPr>
          <w:p w:rsidR="00C57617" w:rsidRPr="00F63843" w:rsidRDefault="00C57617" w:rsidP="000A5CE6">
            <w:pPr>
              <w:pStyle w:val="Normal6"/>
              <w:widowControl/>
              <w:rPr>
                <w:b/>
                <w:i/>
                <w:szCs w:val="24"/>
              </w:rPr>
            </w:pPr>
            <w:r w:rsidRPr="00F63843">
              <w:rPr>
                <w:b/>
                <w:i/>
              </w:rPr>
              <w:t>(1a)</w:t>
            </w:r>
            <w:r w:rsidRPr="00F63843">
              <w:rPr>
                <w:b/>
                <w:i/>
              </w:rPr>
              <w:tab/>
              <w:t>Cum-ex- och cum-cum-systemen innebär båda återkrav av källskatt på utdelning som mottagarna inte hade rätt till och beräknas ha kostat skattebetalarna sammanlagt omkring 55 miljarder euro mellan 2001 och 2012 i de 11 berörda medlemsstaterna. Enligt avslöjanden under 2021 om dessa system beräknas de ha kostat tio regeringar, däribland regeringar i ett antal medlemsstater, totalt 141 miljarder euro</w:t>
            </w:r>
            <w:r w:rsidRPr="00F63843">
              <w:rPr>
                <w:b/>
                <w:i/>
                <w:vertAlign w:val="superscript"/>
              </w:rPr>
              <w:t>1b</w:t>
            </w:r>
            <w:r w:rsidRPr="00F63843">
              <w:rPr>
                <w:b/>
                <w:i/>
              </w:rPr>
              <w:t>. Cum-ex- och cum-cum-systemen har förklarats olagliga och bör lagföras enligt nationell rätt.</w:t>
            </w:r>
          </w:p>
        </w:tc>
      </w:tr>
      <w:tr w:rsidR="00C57617" w:rsidRPr="00F63843" w:rsidTr="000A5CE6">
        <w:trPr>
          <w:jc w:val="center"/>
        </w:trPr>
        <w:tc>
          <w:tcPr>
            <w:tcW w:w="4876" w:type="dxa"/>
          </w:tcPr>
          <w:p w:rsidR="00C57617" w:rsidRPr="00F63843" w:rsidRDefault="00C57617" w:rsidP="000A5CE6">
            <w:pPr>
              <w:pStyle w:val="Normal6"/>
              <w:widowControl/>
              <w:rPr>
                <w:b/>
                <w:i/>
              </w:rPr>
            </w:pPr>
          </w:p>
        </w:tc>
        <w:tc>
          <w:tcPr>
            <w:tcW w:w="4876" w:type="dxa"/>
          </w:tcPr>
          <w:p w:rsidR="00C57617" w:rsidRPr="00F63843" w:rsidRDefault="00C57617" w:rsidP="000A5CE6">
            <w:pPr>
              <w:pStyle w:val="Normal6"/>
              <w:widowControl/>
              <w:rPr>
                <w:b/>
                <w:i/>
                <w:szCs w:val="24"/>
              </w:rPr>
            </w:pPr>
            <w:r w:rsidRPr="00F63843">
              <w:rPr>
                <w:b/>
                <w:i/>
              </w:rPr>
              <w:t>_________________</w:t>
            </w:r>
          </w:p>
        </w:tc>
      </w:tr>
      <w:tr w:rsidR="00C57617" w:rsidRPr="00AE5152" w:rsidTr="000A5CE6">
        <w:trPr>
          <w:jc w:val="center"/>
        </w:trPr>
        <w:tc>
          <w:tcPr>
            <w:tcW w:w="4876" w:type="dxa"/>
          </w:tcPr>
          <w:p w:rsidR="00C57617" w:rsidRPr="00F63843" w:rsidRDefault="00C57617" w:rsidP="000A5CE6">
            <w:pPr>
              <w:pStyle w:val="Normal6"/>
              <w:widowControl/>
              <w:rPr>
                <w:b/>
                <w:i/>
              </w:rPr>
            </w:pPr>
          </w:p>
        </w:tc>
        <w:tc>
          <w:tcPr>
            <w:tcW w:w="4876" w:type="dxa"/>
          </w:tcPr>
          <w:p w:rsidR="00C57617" w:rsidRPr="00F63843" w:rsidRDefault="00C57617" w:rsidP="000A5CE6">
            <w:pPr>
              <w:pStyle w:val="Normal6"/>
              <w:widowControl/>
              <w:rPr>
                <w:b/>
                <w:i/>
                <w:szCs w:val="24"/>
                <w:lang w:val="pt-PT"/>
              </w:rPr>
            </w:pPr>
            <w:r w:rsidRPr="00F63843">
              <w:rPr>
                <w:b/>
                <w:i/>
                <w:vertAlign w:val="superscript"/>
                <w:lang w:val="pt-PT"/>
              </w:rPr>
              <w:t>1a</w:t>
            </w:r>
            <w:r w:rsidRPr="00F63843">
              <w:rPr>
                <w:b/>
                <w:i/>
                <w:lang w:val="pt-PT"/>
              </w:rPr>
              <w:t xml:space="preserve"> </w:t>
            </w:r>
            <w:hyperlink r:id="rId9" w:history="1">
              <w:r w:rsidRPr="00F63843">
                <w:rPr>
                  <w:rStyle w:val="Hyperlink"/>
                  <w:b/>
                  <w:i/>
                  <w:color w:val="auto"/>
                  <w:lang w:val="pt-PT"/>
                </w:rPr>
                <w:t>https://www.dw.com/en/cum-ex-tax-scandal-cost-european-treasuries-55-billion/a-45935370</w:t>
              </w:r>
            </w:hyperlink>
          </w:p>
        </w:tc>
      </w:tr>
      <w:tr w:rsidR="00C57617" w:rsidRPr="00F63843" w:rsidTr="000A5CE6">
        <w:trPr>
          <w:jc w:val="center"/>
        </w:trPr>
        <w:tc>
          <w:tcPr>
            <w:tcW w:w="4876" w:type="dxa"/>
          </w:tcPr>
          <w:p w:rsidR="00C57617" w:rsidRPr="00F63843" w:rsidRDefault="00C57617" w:rsidP="000A5CE6">
            <w:pPr>
              <w:pStyle w:val="Normal6"/>
              <w:widowControl/>
              <w:rPr>
                <w:b/>
                <w:i/>
                <w:lang w:val="pt-PT"/>
              </w:rPr>
            </w:pPr>
          </w:p>
        </w:tc>
        <w:tc>
          <w:tcPr>
            <w:tcW w:w="4876" w:type="dxa"/>
          </w:tcPr>
          <w:p w:rsidR="00C57617" w:rsidRPr="00F63843" w:rsidRDefault="00C57617" w:rsidP="000A5CE6">
            <w:pPr>
              <w:pStyle w:val="Normal6"/>
              <w:widowControl/>
              <w:rPr>
                <w:b/>
                <w:i/>
                <w:szCs w:val="24"/>
              </w:rPr>
            </w:pPr>
            <w:r w:rsidRPr="00F63843">
              <w:rPr>
                <w:b/>
                <w:i/>
                <w:vertAlign w:val="superscript"/>
              </w:rPr>
              <w:t>1b</w:t>
            </w:r>
            <w:r w:rsidRPr="00F63843">
              <w:rPr>
                <w:b/>
                <w:i/>
              </w:rPr>
              <w:t xml:space="preserve"> </w:t>
            </w:r>
            <w:hyperlink r:id="rId10" w:history="1">
              <w:r w:rsidRPr="00F63843">
                <w:rPr>
                  <w:rStyle w:val="Hyperlink"/>
                  <w:b/>
                  <w:i/>
                  <w:color w:val="auto"/>
                </w:rPr>
                <w:t>https://taxation-customs.ec.europa.eu/system/files/2023-06/SWD_2023_216_1_EN_impact_assessment_part1_v2.pdf</w:t>
              </w:r>
            </w:hyperlink>
          </w:p>
        </w:tc>
      </w:tr>
    </w:tbl>
    <w:p w:rsidR="00C57617" w:rsidRPr="00F63843" w:rsidRDefault="00C57617" w:rsidP="00C57617">
      <w:pPr>
        <w:widowControl/>
      </w:pPr>
    </w:p>
    <w:p w:rsidR="00C57617" w:rsidRPr="00F63843" w:rsidRDefault="00D0782F" w:rsidP="00C57617">
      <w:pPr>
        <w:pStyle w:val="AMNumberTabs0"/>
        <w:keepNext/>
        <w:widowControl/>
      </w:pPr>
      <w:r>
        <w:t>Ändring</w:t>
      </w:r>
      <w:r w:rsidR="00C57617" w:rsidRPr="00F63843">
        <w:tab/>
      </w:r>
      <w:r w:rsidR="00C57617" w:rsidRPr="00F63843">
        <w:tab/>
        <w:t>3</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Skäl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r w:rsidRPr="00F63843">
              <w:t>(2)</w:t>
            </w:r>
            <w:r w:rsidRPr="00F63843">
              <w:tab/>
              <w:t xml:space="preserve">För att stärka medlemsstaternas förmåga att förebygga och bekämpa potentiella bedrägerier eller fusk, vilken för närvarande hämmas av fragmentering och en allmän brist på tillförlitlig och aktuell information om investerare, är det därför nödvändigt att inrätta en gemensam ram för skattelättnad för överskjutande källskatt på gränsöverskridande investeringar i värdepapper som är resilient mot risker när det gäller skattebedrägeri eller skattefusk. Denna ram bör leda till konvergens mellan </w:t>
            </w:r>
            <w:r w:rsidRPr="00F63843">
              <w:lastRenderedPageBreak/>
              <w:t>de olika skattelättnadsförfaranden som tillämpas i EU och samtidigt säkerställa transparens och säkerhet när det gäller investerarnas identitet för emittenter av värdepapper, källskatteombud, finansförmedlare och medlemsstater, beroende på vad som är tillämpligt. I detta syfte bör ramen bygga på automatiserade förfaranden, såsom digitaliseringen av intyget om skatterättslig hemvist (i fråga om förfarande och form), vilket är en förutsättning för att investerare ska ha tillgång till alla förfaranden för skattelättnad eller återbetalning. En sådan ram bör också vara tillräckligt flexibel för att ta vederbörlig hänsyn till de olika system som tillämpas i olika medlemsstater och samtidigt säkerställa större konvergens och tillhandahålla lämpliga verktyg för att motverka fusk för att minska riskerna för skattebedrägeri, skatteundandragande och skatteflykt.</w:t>
            </w:r>
          </w:p>
        </w:tc>
        <w:tc>
          <w:tcPr>
            <w:tcW w:w="4876" w:type="dxa"/>
          </w:tcPr>
          <w:p w:rsidR="00C57617" w:rsidRPr="00F63843" w:rsidRDefault="00C57617" w:rsidP="000A5CE6">
            <w:pPr>
              <w:pStyle w:val="Normal6"/>
              <w:widowControl/>
              <w:rPr>
                <w:szCs w:val="24"/>
              </w:rPr>
            </w:pPr>
            <w:r w:rsidRPr="00F63843">
              <w:lastRenderedPageBreak/>
              <w:t>(2)</w:t>
            </w:r>
            <w:r w:rsidRPr="00F63843">
              <w:tab/>
              <w:t xml:space="preserve">För att stärka medlemsstaternas förmåga att förebygga och bekämpa potentiella bedrägerier eller fusk, vilken för närvarande hämmas av fragmentering och en allmän brist på tillförlitlig och aktuell information om investerare, är det därför nödvändigt att inrätta en gemensam ram för skattelättnad för överskjutande källskatt på gränsöverskridande investeringar i värdepapper som är resilient mot risker när det gäller skattebedrägeri eller skattefusk. Denna ram bör leda till konvergens mellan </w:t>
            </w:r>
            <w:r w:rsidRPr="00F63843">
              <w:lastRenderedPageBreak/>
              <w:t xml:space="preserve">de olika skattelättnadsförfaranden som tillämpas i EU och samtidigt säkerställa transparens och säkerhet när det gäller investerarnas identitet för emittenter av värdepapper, källskatteombud, finansförmedlare och medlemsstater, beroende på vad som är tillämpligt. I detta syfte bör ramen bygga på automatiserade förfaranden, såsom digitaliseringen av intyget om skatterättslig hemvist (i fråga om förfarande och form), vilket är en förutsättning för att investerare ska ha tillgång till alla förfaranden för skattelättnad eller återbetalning. En sådan ram bör också vara tillräckligt flexibel för att ta vederbörlig hänsyn till de olika system som tillämpas i olika medlemsstater och samtidigt säkerställa större konvergens och tillhandahålla lämpliga verktyg för att motverka fusk för att minska riskerna för skattebedrägeri, skatteundandragande och skatteflykt. </w:t>
            </w:r>
            <w:r w:rsidRPr="00F63843">
              <w:rPr>
                <w:b/>
                <w:i/>
              </w:rPr>
              <w:t xml:space="preserve">Om detta direktiv ska bli framgångsrikt måste medlemsstaterna förse skatteförvaltningarna med verktyg så att de kan hantera förfaranden för återbetalning eller källskattelättnad på ett säkert sätt och i rätt tid, och öka sina insatser för att tillhandahålla digitaliserade, automatiserade och bättre samordnade nyckelfunktioner. För detta ändamål är det också nödvändigt att utbilda den personal som övervakar de digitala verktygen. </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4</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Skäl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t>(4)</w:t>
            </w:r>
            <w:r w:rsidRPr="00F63843">
              <w:tab/>
              <w:t xml:space="preserve">För att säkerställa att alla skattebetalare i EU har tillgång till ett gemensamt, lämpligt och effektivt bevis på sin skatterättsliga hemvist bör medlemsstaterna använda automatiserade förfaranden för utfärdande av intyg om skatterättslig hemvist i samma igenkännliga och godtagbara digitala form </w:t>
            </w:r>
            <w:r w:rsidRPr="00F63843">
              <w:lastRenderedPageBreak/>
              <w:t>och med samma innehåll. För att öka effektiviteten bör intyget vara giltigt åtminstone för hela det år under vilket det har utfärdats och erkänts av andra medlemsstater för den perioden. Medlemsstaterna kan återkalla ett elektroniskt intyg om skatterättslig hemvist som utfärdats om skatteförvaltningen har bevis på motsatsen när det gäller den skatterättsliga hemvisten för det året. För att möjliggöra en effektiv identifiering av EU-företag bör intyget innehålla information om dess europeiska unika identifieringskod (EUID).</w:t>
            </w:r>
          </w:p>
        </w:tc>
        <w:tc>
          <w:tcPr>
            <w:tcW w:w="4876" w:type="dxa"/>
          </w:tcPr>
          <w:p w:rsidR="00C57617" w:rsidRPr="00F63843" w:rsidRDefault="00C57617" w:rsidP="000A5CE6">
            <w:pPr>
              <w:pStyle w:val="Normal6a"/>
              <w:widowControl/>
            </w:pPr>
            <w:r w:rsidRPr="00F63843">
              <w:lastRenderedPageBreak/>
              <w:t>(4)</w:t>
            </w:r>
            <w:r w:rsidRPr="00F63843">
              <w:tab/>
              <w:t xml:space="preserve">För att säkerställa att alla skattebetalare i EU har tillgång till ett gemensamt, lämpligt och effektivt bevis på sin skatterättsliga hemvist bör medlemsstaterna använda automatiserade förfaranden för utfärdande av intyg om skatterättslig hemvist i samma igenkännliga och godtagbara digitala form </w:t>
            </w:r>
            <w:r w:rsidRPr="00F63843">
              <w:lastRenderedPageBreak/>
              <w:t xml:space="preserve">och med samma innehåll. För att öka effektiviteten bör intyget vara giltigt åtminstone för hela det år under vilket det har utfärdats och erkänts av andra medlemsstater för den perioden. </w:t>
            </w:r>
            <w:r w:rsidRPr="00F63843">
              <w:rPr>
                <w:b/>
                <w:i/>
              </w:rPr>
              <w:t>Det elektroniska intyget om skatterättslig hemvist bör också innehålla en hänvisning till tillämpliga dubbelbeskattningsavtal.</w:t>
            </w:r>
            <w:r w:rsidRPr="00F63843">
              <w:t xml:space="preserve"> Medlemsstaterna kan återkalla ett elektroniskt intyg om skatterättslig hemvist som utfärdats om skatteförvaltningen har bevis på motsatsen när det gäller den skatterättsliga hemvisten för det året. För att möjliggöra en effektiv identifiering av EU-företag bör intyget innehålla information om dess europeiska unika identifieringskod (EUID).</w:t>
            </w:r>
          </w:p>
        </w:tc>
      </w:tr>
    </w:tbl>
    <w:p w:rsidR="00C57617" w:rsidRPr="00F63843" w:rsidRDefault="00C57617" w:rsidP="00C57617">
      <w:pPr>
        <w:widowControl/>
      </w:pPr>
    </w:p>
    <w:p w:rsidR="00C57617" w:rsidRPr="00F63843" w:rsidRDefault="00D0782F" w:rsidP="00C57617">
      <w:pPr>
        <w:pStyle w:val="AMNumberTabs0"/>
        <w:keepNext/>
        <w:widowControl/>
      </w:pPr>
      <w:r>
        <w:t>Ändring</w:t>
      </w:r>
      <w:r w:rsidR="00C57617" w:rsidRPr="00F63843">
        <w:tab/>
      </w:r>
      <w:r w:rsidR="00C57617" w:rsidRPr="00F63843">
        <w:tab/>
        <w:t>5</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Skäl 4a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p>
        </w:tc>
        <w:tc>
          <w:tcPr>
            <w:tcW w:w="4876" w:type="dxa"/>
          </w:tcPr>
          <w:p w:rsidR="00C57617" w:rsidRPr="00F63843" w:rsidRDefault="00C57617" w:rsidP="000A5CE6">
            <w:pPr>
              <w:pStyle w:val="Normal6"/>
              <w:widowControl/>
              <w:rPr>
                <w:szCs w:val="24"/>
              </w:rPr>
            </w:pPr>
            <w:r w:rsidRPr="00F63843">
              <w:rPr>
                <w:b/>
                <w:i/>
              </w:rPr>
              <w:t>(4a)</w:t>
            </w:r>
            <w:r w:rsidRPr="00F63843">
              <w:rPr>
                <w:b/>
                <w:i/>
              </w:rPr>
              <w:tab/>
              <w:t>För att säkerställa effektiva skattekonsekvenser för enheter som fastställs vara företag utan substans, i enlighet med kommissionens förslag till rådets direktiv om fastställande av regler för att förhindra missbruk av företag utan substans för skatteändamål och om ändring av direktiv 2011/16/EU</w:t>
            </w:r>
            <w:r w:rsidRPr="00F63843">
              <w:rPr>
                <w:b/>
                <w:i/>
                <w:vertAlign w:val="superscript"/>
              </w:rPr>
              <w:t>1a</w:t>
            </w:r>
            <w:r w:rsidRPr="00F63843">
              <w:rPr>
                <w:b/>
                <w:i/>
              </w:rPr>
              <w:t xml:space="preserve"> (Unshell-direktivet), är det nödvändigt att anpassa förfarandena för att påföra skattekonsekvenser i Unshell-direktivet med förfarandena för utfärdande av ett elektroniskt intyg om skatterättslig hemvist i detta direktiv. Rådet bör därför klargöra samspelet mellan de skattekonsekvenser som definieras i Unshell-direktivet och utfärdandet av ett elektroniskt intyg om skatterättslig hemvist enligt definitionen i detta direktiv.</w:t>
            </w:r>
          </w:p>
        </w:tc>
      </w:tr>
      <w:tr w:rsidR="00C57617" w:rsidRPr="00F63843" w:rsidTr="000A5CE6">
        <w:trPr>
          <w:jc w:val="center"/>
        </w:trPr>
        <w:tc>
          <w:tcPr>
            <w:tcW w:w="4876" w:type="dxa"/>
          </w:tcPr>
          <w:p w:rsidR="00C57617" w:rsidRPr="00F63843" w:rsidRDefault="00C57617" w:rsidP="000A5CE6">
            <w:pPr>
              <w:pStyle w:val="Normal6"/>
              <w:widowControl/>
            </w:pPr>
          </w:p>
        </w:tc>
        <w:tc>
          <w:tcPr>
            <w:tcW w:w="4876" w:type="dxa"/>
          </w:tcPr>
          <w:p w:rsidR="00C57617" w:rsidRPr="00F63843" w:rsidRDefault="00C57617" w:rsidP="000A5CE6">
            <w:pPr>
              <w:pStyle w:val="Normal6"/>
              <w:widowControl/>
              <w:rPr>
                <w:b/>
                <w:i/>
              </w:rPr>
            </w:pPr>
            <w:r w:rsidRPr="00F63843">
              <w:rPr>
                <w:b/>
                <w:i/>
              </w:rPr>
              <w:t>_______________</w:t>
            </w:r>
          </w:p>
        </w:tc>
      </w:tr>
      <w:tr w:rsidR="00C57617" w:rsidRPr="00F63843" w:rsidTr="000A5CE6">
        <w:trPr>
          <w:jc w:val="center"/>
        </w:trPr>
        <w:tc>
          <w:tcPr>
            <w:tcW w:w="4876" w:type="dxa"/>
          </w:tcPr>
          <w:p w:rsidR="00C57617" w:rsidRPr="00F63843" w:rsidRDefault="00C57617" w:rsidP="000A5CE6">
            <w:pPr>
              <w:pStyle w:val="Normal6"/>
              <w:widowControl/>
            </w:pPr>
          </w:p>
        </w:tc>
        <w:tc>
          <w:tcPr>
            <w:tcW w:w="4876" w:type="dxa"/>
          </w:tcPr>
          <w:p w:rsidR="00C57617" w:rsidRPr="00F63843" w:rsidRDefault="00C57617" w:rsidP="000A5CE6">
            <w:pPr>
              <w:pStyle w:val="Normal6"/>
              <w:widowControl/>
              <w:rPr>
                <w:b/>
                <w:i/>
              </w:rPr>
            </w:pPr>
            <w:r w:rsidRPr="00F63843">
              <w:rPr>
                <w:b/>
                <w:i/>
                <w:vertAlign w:val="superscript"/>
              </w:rPr>
              <w:t>1a</w:t>
            </w:r>
            <w:r w:rsidRPr="00F63843">
              <w:rPr>
                <w:b/>
                <w:i/>
              </w:rPr>
              <w:t xml:space="preserve"> COM(2021)0565.</w:t>
            </w:r>
          </w:p>
        </w:tc>
      </w:tr>
    </w:tbl>
    <w:p w:rsidR="00C57617" w:rsidRPr="00F63843" w:rsidRDefault="00C57617" w:rsidP="00C57617">
      <w:pPr>
        <w:widowControl/>
      </w:pPr>
    </w:p>
    <w:p w:rsidR="00C57617" w:rsidRPr="00F63843" w:rsidRDefault="00D0782F" w:rsidP="00C57617">
      <w:pPr>
        <w:pStyle w:val="AMNumberTabs0"/>
        <w:keepNext/>
        <w:widowControl/>
      </w:pPr>
      <w:r>
        <w:lastRenderedPageBreak/>
        <w:t>Ändring</w:t>
      </w:r>
      <w:r w:rsidR="00C57617" w:rsidRPr="00F63843">
        <w:tab/>
      </w:r>
      <w:r w:rsidR="00C57617" w:rsidRPr="00F63843">
        <w:tab/>
        <w:t>6</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Skäl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r w:rsidRPr="00F63843">
              <w:t>(6)</w:t>
            </w:r>
            <w:r w:rsidRPr="00F63843">
              <w:tab/>
              <w:t>Eftersom de finansförmedlare som oftast deltar i betalningskedjorna för värdepapper är stora institut enligt definitionen i kapitalkravsförordningen (CRR)</w:t>
            </w:r>
            <w:r w:rsidRPr="00F63843">
              <w:rPr>
                <w:vertAlign w:val="superscript"/>
              </w:rPr>
              <w:t>29</w:t>
            </w:r>
            <w:r w:rsidRPr="00F63843">
              <w:t xml:space="preserve"> samt värdepapperscentraler som tillhandahåller källskattetjänster, bör dessa enheter vara skyldiga att begära registrering i de nationella register i medlemsstaterna som inrättats enligt ovan. Andra finansförmedlare bör ha rätt att begära registrering efter eget gottfinnande. Registrering bör begäras av finansförmedlaren själv genom att lämna in en ansökan till den behöriga myndighet som utsetts av medlemsstaten, inklusive bevis på att finansförmedlaren uppfyller vissa krav. Syftet med kraven är att kontrollera att den begärande förmedlaren uppfyller kraven i den relevanta EU-förordningen och övervakas med avseende på efterlevnaden av denna. Om finansförmedlaren är etablerad utanför EU måste den omfattas av lagstiftning i det tredjeland där den är bosatt som är jämförbar vid tillämpningen av detta direktiv och det tredjeland där finansförmedlaren är bosatt varken finns med i bilaga I till EU:s förteckning över icke samarbetsvilliga jurisdiktioner eller i EU:s förteckning över högrisktredjeländer (förteckning mot penningtvätt). En finansförmedlare i tredjeland uppfyller de relevanta EU-kraven endast för de ändamål som anges i detta direktiv och påverkar inte utövandet eller tillämpningen av andra rättigheter och skyldigheter enligt annan EU-lagstiftning. När de har registrerats bör finansförmedlare betraktas som ”certifierade finansförmedlare” i respektive medlemsstat och omfattas av de relevanta rapporterings- och anmälningsskyldigheterna enligt detta direktiv, samtidigt som de ges rätt att begära tillämpning av de </w:t>
            </w:r>
            <w:r w:rsidRPr="00F63843">
              <w:lastRenderedPageBreak/>
              <w:t xml:space="preserve">skattelättnadsförfaranden som fastställs i detta direktiv. De medlemsstater som för ett nationellt register bör också vidta åtgärder för att avlägsna certifierade finansförmedlare som begär detta eller inte längre uppfyller respektive krav. Dessutom kan dessa medlemsstater besluta att avregistrera certifierade finansförmedlare </w:t>
            </w:r>
            <w:r w:rsidRPr="00F63843">
              <w:rPr>
                <w:b/>
                <w:i/>
              </w:rPr>
              <w:t>som</w:t>
            </w:r>
            <w:r w:rsidRPr="00F63843">
              <w:t xml:space="preserve"> konstaterats </w:t>
            </w:r>
            <w:r w:rsidRPr="00F63843">
              <w:rPr>
                <w:b/>
                <w:i/>
              </w:rPr>
              <w:t>ha</w:t>
            </w:r>
            <w:r w:rsidRPr="00F63843">
              <w:t xml:space="preserve"> brutit mot sina skyldigheter från sina nationella register flera gånger. Om en medlemsstat vidtar en sådan avregistrering bör den informera andra medlemsstater som för ett nationellt register i enlighet med detta, så att de kan bedöma om samma certifierade finansförmedlare har avregistrerats från sitt eget nationella register. Den nationella lagstiftningen i de berörda medlemsstaterna är tillämplig på de berörda parternas rättigheter och skyldigheter, inbegripet vid överklagande, i samband med beslut som fattas av en medlemsstat i samband med registrering och avregistrering från deras nationella register.</w:t>
            </w:r>
          </w:p>
        </w:tc>
        <w:tc>
          <w:tcPr>
            <w:tcW w:w="4876" w:type="dxa"/>
          </w:tcPr>
          <w:p w:rsidR="00C57617" w:rsidRPr="00F63843" w:rsidRDefault="00C57617" w:rsidP="000A5CE6">
            <w:pPr>
              <w:pStyle w:val="Normal6"/>
              <w:widowControl/>
              <w:rPr>
                <w:szCs w:val="24"/>
              </w:rPr>
            </w:pPr>
            <w:r w:rsidRPr="00F63843">
              <w:lastRenderedPageBreak/>
              <w:t>(6)</w:t>
            </w:r>
            <w:r w:rsidRPr="00F63843">
              <w:tab/>
            </w:r>
            <w:r w:rsidRPr="00F63843">
              <w:rPr>
                <w:b/>
                <w:i/>
              </w:rPr>
              <w:t>Utdelningsarbitrageuppläggen ”cum-ex” och ”cum-cum” avser handel med aktier på ett sådant sätt att den faktiska ägarens identitet döljs och båda eller flera inblandade parter kan begära återbetalning av källskatt på kapitalvinstskatt som endast betalats en gång. Finansförmedlare är inblandade i denna brottsliga praxis.</w:t>
            </w:r>
            <w:r w:rsidRPr="00F63843">
              <w:t xml:space="preserve"> Eftersom de finansförmedlare som oftast deltar i betalningskedjorna för värdepapper är stora institut enligt definitionen i kapitalkravsförordningen (CRR)</w:t>
            </w:r>
            <w:r w:rsidRPr="00F63843">
              <w:rPr>
                <w:vertAlign w:val="superscript"/>
              </w:rPr>
              <w:t>29</w:t>
            </w:r>
            <w:r w:rsidRPr="00F63843">
              <w:t xml:space="preserve"> samt värdepapperscentraler som tillhandahåller källskattetjänster, bör dessa enheter vara skyldiga att begära registrering i de nationella register i medlemsstaterna som inrättats enligt ovan. Andra finansförmedlare bör ha rätt att begära registrering efter eget gottfinnande. Registrering bör begäras av finansförmedlaren själv genom att lämna in en ansökan till den behöriga myndighet som utsetts av medlemsstaten, inklusive bevis på att finansförmedlaren uppfyller vissa krav. Syftet med kraven är att kontrollera att den begärande förmedlaren uppfyller kraven i den relevanta EU-förordningen och övervakas med avseende på efterlevnaden av denna. Om finansförmedlaren är etablerad utanför EU måste den omfattas av lagstiftning i det tredjeland där den är bosatt som är jämförbar vid tillämpningen av detta direktiv och det tredjeland där finansförmedlaren är bosatt varken finns med i bilaga I till EU:s förteckning över icke samarbetsvilliga jurisdiktioner eller i EU:s förteckning över högrisktredjeländer (förteckning mot penningtvätt).</w:t>
            </w:r>
            <w:r w:rsidRPr="00F63843">
              <w:rPr>
                <w:b/>
                <w:i/>
              </w:rPr>
              <w:t xml:space="preserve"> Registrering av en finansförmedlare från ett tredjeland bör genomföras med ett minimum av administrativa insatser. Kommissionen bör bistå medlemsstaterna </w:t>
            </w:r>
            <w:r w:rsidRPr="00F63843">
              <w:rPr>
                <w:b/>
                <w:i/>
              </w:rPr>
              <w:lastRenderedPageBreak/>
              <w:t>för att säkerställa en samordnad förståelse av jämförbar lagstiftning i tredjeländer.</w:t>
            </w:r>
            <w:r w:rsidRPr="00F63843">
              <w:t xml:space="preserve"> En finansförmedlare i tredjeland uppfyller de relevanta EU-kraven endast för de ändamål som anges i detta direktiv och påverkar inte utövandet eller tillämpningen av andra rättigheter och skyldigheter enligt annan EU-lagstiftning. När de har registrerats bör finansförmedlare betraktas som ”certifierade finansförmedlare” i respektive medlemsstat och omfattas av de relevanta rapporterings- och anmälningsskyldigheterna enligt detta direktiv, samtidigt som de ges rätt att begära tillämpning av de skattelättnadsförfaranden som fastställs i detta direktiv. De medlemsstater som för ett nationellt register bör också vidta åtgärder för att avlägsna certifierade finansförmedlare som begär detta eller inte längre uppfyller respektive krav. Dessutom kan dessa medlemsstater besluta att avregistrera certifierade finansförmedlare </w:t>
            </w:r>
            <w:r w:rsidRPr="00F63843">
              <w:rPr>
                <w:b/>
                <w:i/>
              </w:rPr>
              <w:t>eller neka dem tillgång till system för källskattelättnad om det</w:t>
            </w:r>
            <w:r w:rsidRPr="00F63843">
              <w:t xml:space="preserve"> konstaterats </w:t>
            </w:r>
            <w:r w:rsidRPr="00F63843">
              <w:rPr>
                <w:b/>
                <w:i/>
              </w:rPr>
              <w:t>att de har</w:t>
            </w:r>
            <w:r w:rsidRPr="00F63843">
              <w:t xml:space="preserve"> brutit mot sina skyldigheter från sina nationella register flera gånger. Om en medlemsstat vidtar en sådan avregistrering</w:t>
            </w:r>
            <w:r w:rsidRPr="00F63843">
              <w:rPr>
                <w:b/>
                <w:i/>
              </w:rPr>
              <w:t xml:space="preserve"> eller nekad tillgång</w:t>
            </w:r>
            <w:r w:rsidRPr="00F63843">
              <w:t xml:space="preserve"> bör den informera andra medlemsstater som för ett nationellt register i enlighet med detta, så att de kan bedöma om samma certifierade finansförmedlare har avregistrerats från sitt eget nationella register. Den nationella lagstiftningen i de berörda medlemsstaterna är tillämplig på de berörda parternas rättigheter och skyldigheter, inbegripet vid överklagande, i samband med beslut som fattas av en medlemsstat i samband med registrering och avregistrering från deras nationella register.</w:t>
            </w:r>
          </w:p>
        </w:tc>
      </w:tr>
      <w:tr w:rsidR="00C57617" w:rsidRPr="00F63843" w:rsidTr="000A5CE6">
        <w:trPr>
          <w:jc w:val="center"/>
        </w:trPr>
        <w:tc>
          <w:tcPr>
            <w:tcW w:w="4876" w:type="dxa"/>
          </w:tcPr>
          <w:p w:rsidR="00C57617" w:rsidRPr="00F63843" w:rsidRDefault="00C57617" w:rsidP="000A5CE6">
            <w:pPr>
              <w:pStyle w:val="Normal6"/>
              <w:widowControl/>
            </w:pPr>
            <w:r w:rsidRPr="00F63843">
              <w:lastRenderedPageBreak/>
              <w:t>__________________</w:t>
            </w:r>
          </w:p>
        </w:tc>
        <w:tc>
          <w:tcPr>
            <w:tcW w:w="4876" w:type="dxa"/>
          </w:tcPr>
          <w:p w:rsidR="00C57617" w:rsidRPr="00F63843" w:rsidRDefault="00C57617" w:rsidP="000A5CE6">
            <w:pPr>
              <w:pStyle w:val="Normal6"/>
              <w:widowControl/>
              <w:rPr>
                <w:szCs w:val="24"/>
              </w:rPr>
            </w:pPr>
            <w:r w:rsidRPr="00F63843">
              <w:t>__________________</w:t>
            </w:r>
          </w:p>
        </w:tc>
      </w:tr>
      <w:tr w:rsidR="00C57617" w:rsidRPr="00F63843" w:rsidTr="000A5CE6">
        <w:trPr>
          <w:jc w:val="center"/>
        </w:trPr>
        <w:tc>
          <w:tcPr>
            <w:tcW w:w="4876" w:type="dxa"/>
          </w:tcPr>
          <w:p w:rsidR="00C57617" w:rsidRPr="00F63843" w:rsidRDefault="00C57617" w:rsidP="000A5CE6">
            <w:pPr>
              <w:pStyle w:val="Normal6"/>
              <w:widowControl/>
            </w:pPr>
            <w:r w:rsidRPr="00F63843">
              <w:rPr>
                <w:vertAlign w:val="superscript"/>
              </w:rPr>
              <w:t>29</w:t>
            </w:r>
            <w:r w:rsidRPr="00F63843">
              <w:t xml:space="preserve"> Europaparlamentets och rådets förordning (EU) nr 575/2013 av den 26 juni 2013 </w:t>
            </w:r>
            <w:r w:rsidRPr="00AE20A8">
              <w:rPr>
                <w:b/>
                <w:i/>
              </w:rPr>
              <w:t xml:space="preserve">om elektronisk identifiering och betrodda tjänster för elektroniska transaktioner på den inre marknaden och </w:t>
            </w:r>
            <w:r w:rsidRPr="00AE20A8">
              <w:rPr>
                <w:b/>
                <w:i/>
              </w:rPr>
              <w:lastRenderedPageBreak/>
              <w:t>om upphävande av direktiv 1999/93/EG</w:t>
            </w:r>
            <w:r w:rsidRPr="00F63843">
              <w:t xml:space="preserve"> (EUT L 176, 27.6.2013, s. </w:t>
            </w:r>
            <w:r w:rsidRPr="000A5CE6">
              <w:rPr>
                <w:b/>
                <w:i/>
              </w:rPr>
              <w:t>337</w:t>
            </w:r>
            <w:r w:rsidRPr="00F63843">
              <w:t>).</w:t>
            </w:r>
          </w:p>
        </w:tc>
        <w:tc>
          <w:tcPr>
            <w:tcW w:w="4876" w:type="dxa"/>
          </w:tcPr>
          <w:p w:rsidR="00C57617" w:rsidRPr="00F63843" w:rsidRDefault="00C57617" w:rsidP="00AE5152">
            <w:pPr>
              <w:pStyle w:val="Normal6"/>
              <w:widowControl/>
              <w:rPr>
                <w:szCs w:val="24"/>
              </w:rPr>
            </w:pPr>
            <w:r w:rsidRPr="00F63843">
              <w:rPr>
                <w:vertAlign w:val="superscript"/>
              </w:rPr>
              <w:lastRenderedPageBreak/>
              <w:t>29</w:t>
            </w:r>
            <w:r w:rsidRPr="00F63843">
              <w:t xml:space="preserve"> Europaparlamentets och rådets förordning (EU) nr 575/2013 av den 26 juni 2013 </w:t>
            </w:r>
            <w:r w:rsidR="00464AD6" w:rsidRPr="00AE20A8">
              <w:rPr>
                <w:b/>
                <w:i/>
              </w:rPr>
              <w:t>om tillsynskrav för kreditinstitut och om ändring av förordning (EU) nr 648/2012</w:t>
            </w:r>
            <w:r w:rsidR="00AA116B">
              <w:rPr>
                <w:b/>
                <w:i/>
              </w:rPr>
              <w:t xml:space="preserve"> </w:t>
            </w:r>
            <w:r w:rsidRPr="00F63843">
              <w:t>(E</w:t>
            </w:r>
            <w:r w:rsidR="00AE5152">
              <w:t>U</w:t>
            </w:r>
            <w:bookmarkStart w:id="7" w:name="_GoBack"/>
            <w:bookmarkEnd w:id="7"/>
            <w:r w:rsidRPr="00F63843">
              <w:t>T L 176, 27.6.2013, s. </w:t>
            </w:r>
            <w:r w:rsidR="000A5CE6" w:rsidRPr="000A5CE6">
              <w:rPr>
                <w:b/>
                <w:i/>
              </w:rPr>
              <w:t>1</w:t>
            </w:r>
            <w:r w:rsidRPr="00F63843">
              <w:t>).</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7</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Skäl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t>(8)</w:t>
            </w:r>
            <w:r w:rsidRPr="00F63843">
              <w:tab/>
              <w:t xml:space="preserve">För att kapitalmarknadsunionen ska bli mer effektiv och konkurrenskraftig bör förfarandena för skattelättnad för överskjutande källskatt på intäkter från värdepapper underlättas och påskyndas, om relevanta certifierade finansförmedlare har tillhandahållit tillräcklig information, inbegripet om investerarens identitet. De relevanta certifierade finansförmedlarna består av alla certifierade finansförmedlare i betalningskedjan mellan investeraren och emittenten av värdepappren, som också kan vara skyldiga att lämna information om betalningar som gjorts av icke-certifierade finansförmedlare i kedjan, i enlighet med varje medlemsstats val av policy. Med hänsyn till de olika tillvägagångssätten i medlemsstaterna planeras två typer av förfaranden: (i) källskattelättnad genom direkt tillämpning av den tillämpliga skattesatsen vid tidpunkten för innehållandet och ii) snabb återbetalning inom högst 50 dagar från den dag då utdelningen betalades eller, i förekommande fall, från den dag då emittenten av obligationen ska betala ränta till obligationsinnehavaren (kupongdatum). Medlemsstaterna bör ha frihet att införa något av de två eller en kombination av båda förfarandena, på det sätt de anser lämpligt, samtidigt som de ser till att minst ett är tillgängligt för alla investerare, om kraven i detta direktiv har uppfyllts. För att säkerställa att de berörda medlemsstaterna genomför dessa förfaranden korrekt och i tid är det lämpligt att tillämpa ränta på försenade återbetalningar av överskjutande källskatt som omfattas av detta direktiv och som uppfyller villkoren för att omfattas av </w:t>
            </w:r>
            <w:r w:rsidRPr="00F63843">
              <w:lastRenderedPageBreak/>
              <w:t>dessa förfaranden. Om relevanta krav inte uppfylls, eller om den berörda investeraren så önskar, bör medlemsstaterna tillämpa sina befintliga standardåterbetalningsförfaranden för skattelättnad för överskjutande källskatt. Registrerade ägare, särskilt icke-professionella investerare, och deras auktoriserade representanter bör under alla omständigheter behålla rätten att ansöka om återbetalning av överskjutande källskatt som betalats i en medlemsstat där de kan styrka att de uppfyller villkoren i nationell lagstiftning.</w:t>
            </w:r>
          </w:p>
        </w:tc>
        <w:tc>
          <w:tcPr>
            <w:tcW w:w="4876" w:type="dxa"/>
          </w:tcPr>
          <w:p w:rsidR="00C57617" w:rsidRPr="00F63843" w:rsidRDefault="00C57617" w:rsidP="000A5CE6">
            <w:pPr>
              <w:pStyle w:val="Normal6a"/>
              <w:widowControl/>
            </w:pPr>
            <w:r w:rsidRPr="00F63843">
              <w:lastRenderedPageBreak/>
              <w:t>(8)</w:t>
            </w:r>
            <w:r w:rsidRPr="00F63843">
              <w:tab/>
              <w:t xml:space="preserve">För att kapitalmarknadsunionen ska bli mer effektiv och konkurrenskraftig bör förfarandena för skattelättnad för överskjutande källskatt på intäkter från värdepapper underlättas och påskyndas, om relevanta certifierade finansförmedlare har tillhandahållit tillräcklig information, inbegripet om investerarens identitet. De relevanta certifierade finansförmedlarna består av alla certifierade finansförmedlare i betalningskedjan mellan investeraren och emittenten av värdepappren, som också kan vara skyldiga att lämna information om betalningar som gjorts av icke-certifierade finansförmedlare i kedjan, i enlighet med varje medlemsstats val av policy. Med hänsyn till de olika tillvägagångssätten i medlemsstaterna planeras två typer av förfaranden: (i) källskattelättnad genom direkt tillämpning av den tillämpliga skattesatsen vid tidpunkten för innehållandet och ii) snabb återbetalning inom högst 50 dagar från den dag då utdelningen betalades eller, i förekommande fall, från den dag då emittenten av obligationen ska betala ränta till obligationsinnehavaren (kupongdatum). Medlemsstaterna bör ha frihet att införa något av de två eller en kombination av båda förfarandena, på det sätt de anser lämpligt, samtidigt som de ser till att minst ett är tillgängligt för alla investerare, om kraven i detta direktiv har uppfyllts. För att säkerställa att de berörda medlemsstaterna genomför dessa förfaranden korrekt och i tid är det lämpligt att tillämpa ränta på försenade återbetalningar av överskjutande källskatt som omfattas av detta direktiv och som uppfyller villkoren för att omfattas av </w:t>
            </w:r>
            <w:r w:rsidRPr="00F63843">
              <w:lastRenderedPageBreak/>
              <w:t xml:space="preserve">dessa förfaranden. Om relevanta krav inte uppfylls, eller om den berörda investeraren så önskar, bör medlemsstaterna tillämpa sina befintliga standardåterbetalningsförfaranden för skattelättnad för överskjutande källskatt. Registrerade ägare, särskilt icke-professionella investerare, och deras auktoriserade representanter bör under alla omständigheter behålla rätten att ansöka om återbetalning av överskjutande källskatt som betalats i en medlemsstat där de kan styrka att de uppfyller villkoren i nationell lagstiftning. </w:t>
            </w:r>
            <w:r w:rsidRPr="00F63843">
              <w:rPr>
                <w:b/>
                <w:i/>
              </w:rPr>
              <w:t>Medlemsstaterna får avslå en begäran om återbetalning om kontrollförfaranden eller skatterevisioner, baserade på riskbedömningskriterier och i enlighet med nationell rätt, har inletts. </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8</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Skäl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r w:rsidRPr="00F63843">
              <w:t>(9)</w:t>
            </w:r>
            <w:r w:rsidRPr="00F63843">
              <w:tab/>
              <w:t xml:space="preserve">För att skydda systemen för skattelättnad för överskjutande källskatt bör de medlemsstater som för ett nationellt register också kräva att certifierade finansförmedlare kontrollerar att investerare som vill ansöka om skattelättnad är berättigade. I synnerhet bör certifierade finansförmedlare samla in den berörda investerarens intyg om skatterättslig hemvist och en försäkran om att investeraren är den faktiska betalningsmottagaren i enlighet med lagstiftningen i ursprungsmedlemsstaten. De bör också kontrollera den tillämpliga källskattesatsen på grundval av investerarens särskilda omständigheter och ange om de känner till eventuella finansiella arrangemang som omfattar de underliggande värdepappren och som inte har avvecklats, löpt ut eller på annat sätt avslutats vid ex-dagen. Certifierade finansförmedlare bör hållas ansvariga för skatteintäktsförluster som har uppstått på </w:t>
            </w:r>
            <w:r w:rsidRPr="00F63843">
              <w:lastRenderedPageBreak/>
              <w:t xml:space="preserve">grund av att dessa skyldigheter inte uppfyllts i tillräcklig utsträckning, i den mån detta föreskrivs i den nationella lagstiftningen i den medlemsstat där förlusten uppkommit. För att säkerställa proportionalitet i den börda och det ansvar som åläggs certifierade finansförmedlare bör minskade kontrollskyldigheter gälla för alla skattelättnadsförfaranden, om risken för fusk är låg och i synnerhet om det totala utdelningsbelopp som betalas till investeraren för ett aktieinnehav i ett företag är lägre än </w:t>
            </w:r>
            <w:r w:rsidRPr="00F63843">
              <w:rPr>
                <w:b/>
                <w:bCs/>
                <w:i/>
                <w:iCs/>
              </w:rPr>
              <w:t>1</w:t>
            </w:r>
            <w:r w:rsidRPr="00F63843">
              <w:t> </w:t>
            </w:r>
            <w:r w:rsidRPr="00F63843">
              <w:rPr>
                <w:b/>
                <w:i/>
              </w:rPr>
              <w:t>000</w:t>
            </w:r>
            <w:r w:rsidRPr="00F63843">
              <w:t> euro. Om sådant fusk bevisas på annat sätt kan medlemsstaterna emellertid tillämpa påföljder enligt nationell lagstiftning, inbegripet förnekande av de system för skattelättnad som föreskrivs i detta direktiv, men de kan inte hålla certifierade finansförmedlare ansvariga för avsaknad av kontroll.</w:t>
            </w:r>
          </w:p>
        </w:tc>
        <w:tc>
          <w:tcPr>
            <w:tcW w:w="4876" w:type="dxa"/>
          </w:tcPr>
          <w:p w:rsidR="00C57617" w:rsidRPr="00F63843" w:rsidRDefault="00C57617" w:rsidP="000A5CE6">
            <w:pPr>
              <w:pStyle w:val="Normal6"/>
              <w:widowControl/>
            </w:pPr>
            <w:r w:rsidRPr="00F63843">
              <w:lastRenderedPageBreak/>
              <w:t>(9)</w:t>
            </w:r>
            <w:r w:rsidRPr="00F63843">
              <w:tab/>
              <w:t>För att skydda systemen för skattelättnad för överskjutande källskatt bör de medlemsstater som för ett nationellt register också kräva att certifierade finansförmedlare kontrollerar att investerare som vill ansöka om skattelättnad är berättigade. I synnerhet bör certifierade finansförmedlare samla in den berörda investerarens intyg om skatterättslig hemvist och en försäkran om att investeraren är den faktiska betalningsmottagaren i enlighet med lagstiftningen i ursprungsmedlemsstaten. De bör också kontrollera den tillämpliga källskattesatsen på grundval av investerarens särskilda omständigheter och ange om de känner till eventuella finansiella arrangemang som omfattar de underliggande värdepappren och som inte har avvecklats, löpt ut eller på annat sätt avslutats vid ex-dagen.</w:t>
            </w:r>
            <w:r w:rsidRPr="00F63843">
              <w:rPr>
                <w:b/>
                <w:i/>
              </w:rPr>
              <w:t xml:space="preserve"> Kraven på tillbörlig aktsamhet skulle kunna tillämpas på årsbasis.</w:t>
            </w:r>
            <w:r w:rsidRPr="00F63843">
              <w:t xml:space="preserve"> Certifierade </w:t>
            </w:r>
            <w:r w:rsidRPr="00F63843">
              <w:lastRenderedPageBreak/>
              <w:t xml:space="preserve">finansförmedlare bör hållas ansvariga för skatteintäktsförluster som har uppstått på grund av att dessa skyldigheter inte uppfyllts i tillräcklig utsträckning, i den mån detta föreskrivs i den nationella lagstiftningen i den medlemsstat där förlusten uppkommit. För att säkerställa proportionalitet i den börda och det ansvar som åläggs certifierade finansförmedlare bör minskade kontrollskyldigheter gälla för alla skattelättnadsförfaranden, om risken för fusk är låg och i synnerhet om det totala utdelningsbelopp som betalas till investeraren för ett aktieinnehav i ett företag är lägre än </w:t>
            </w:r>
            <w:r w:rsidRPr="00F63843">
              <w:rPr>
                <w:b/>
                <w:bCs/>
                <w:i/>
                <w:iCs/>
              </w:rPr>
              <w:t>1</w:t>
            </w:r>
            <w:r w:rsidRPr="00F63843">
              <w:t> </w:t>
            </w:r>
            <w:r w:rsidRPr="00F63843">
              <w:rPr>
                <w:b/>
                <w:i/>
              </w:rPr>
              <w:t>500</w:t>
            </w:r>
            <w:r w:rsidRPr="00F63843">
              <w:t> euro. Om sådant fusk bevisas på annat sätt kan medlemsstaterna emellertid tillämpa påföljder enligt nationell lagstiftning, inbegripet förnekande av de system för skattelättnad som föreskrivs i detta direktiv, men de kan inte hålla certifierade finansförmedlare ansvariga för avsaknad av kontroll.</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9</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Skäl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t>(12)</w:t>
            </w:r>
            <w:r w:rsidRPr="00F63843">
              <w:tab/>
              <w:t xml:space="preserve">Ett korrekt genomförande och verkställande av de föreslagna reglerna i varje berörd medlemsstat är avgörande för främjandet av kapitalmarknadsunionen som helhet samt för skyddet av medlemsstaternas skattebas och bör därför övervakas av kommissionen. Medlemsstaterna bör därför regelbundet förse kommissionen med </w:t>
            </w:r>
            <w:r w:rsidRPr="00F63843">
              <w:rPr>
                <w:b/>
                <w:i/>
              </w:rPr>
              <w:t>specifik</w:t>
            </w:r>
            <w:r w:rsidRPr="00F63843">
              <w:t xml:space="preserve"> information</w:t>
            </w:r>
            <w:r w:rsidRPr="00F63843">
              <w:rPr>
                <w:b/>
                <w:i/>
              </w:rPr>
              <w:t>, inklusive statistik</w:t>
            </w:r>
            <w:r w:rsidRPr="00F63843">
              <w:t xml:space="preserve">, om genomförandet och kontrollen av efterlevnaden inom sina territorier av nationella åtgärder som antagits i enlighet med detta direktiv. Kommissionen bör göra en utvärdering på grundval av information från medlemsstaterna och andra tillgängliga uppgifter för att utvärdera hur effektiva de föreslagna nya reglerna är. I </w:t>
            </w:r>
            <w:r w:rsidRPr="00F63843">
              <w:lastRenderedPageBreak/>
              <w:t>detta sammanhang bör kommissionen överväga behovet av att uppdatera de regler som införs genom detta direktiv.</w:t>
            </w:r>
          </w:p>
        </w:tc>
        <w:tc>
          <w:tcPr>
            <w:tcW w:w="4876" w:type="dxa"/>
          </w:tcPr>
          <w:p w:rsidR="00C57617" w:rsidRPr="00F63843" w:rsidRDefault="00C57617" w:rsidP="000A5CE6">
            <w:pPr>
              <w:pStyle w:val="Normal6a"/>
              <w:widowControl/>
            </w:pPr>
            <w:r w:rsidRPr="00F63843">
              <w:lastRenderedPageBreak/>
              <w:t>(12)</w:t>
            </w:r>
            <w:r w:rsidRPr="00F63843">
              <w:tab/>
              <w:t xml:space="preserve">Ett korrekt genomförande och verkställande av de föreslagna reglerna i varje berörd medlemsstat är avgörande för främjandet av kapitalmarknadsunionen som helhet samt för skyddet av medlemsstaternas skattebas och bör därför övervakas av kommissionen. Medlemsstaterna bör därför regelbundet </w:t>
            </w:r>
            <w:r w:rsidRPr="00F63843">
              <w:rPr>
                <w:b/>
                <w:i/>
              </w:rPr>
              <w:t xml:space="preserve">genom genomförandeakter </w:t>
            </w:r>
            <w:r w:rsidRPr="00F63843">
              <w:t xml:space="preserve">förse kommissionen med </w:t>
            </w:r>
            <w:r w:rsidRPr="00F63843">
              <w:rPr>
                <w:b/>
                <w:i/>
              </w:rPr>
              <w:t>statistisk</w:t>
            </w:r>
            <w:r w:rsidRPr="00F63843">
              <w:t xml:space="preserve"> information, om genomförandet och kontrollen av efterlevnaden inom sina territorier av nationella åtgärder som antagits i enlighet med detta direktiv. Kommissionen bör göra en utvärdering på grundval av information från medlemsstaterna och andra tillgängliga uppgifter för att utvärdera hur effektiva de föreslagna nya reglerna är. I </w:t>
            </w:r>
            <w:r w:rsidRPr="00F63843">
              <w:lastRenderedPageBreak/>
              <w:t>detta sammanhang bör kommissionen överväga behovet av att uppdatera de regler som införs genom detta direktiv.</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10</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Skäl 14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r w:rsidRPr="00F63843">
              <w:t>(14)</w:t>
            </w:r>
            <w:r w:rsidRPr="00F63843">
              <w:tab/>
              <w:t>Kommissionens behandling av personuppgifter inom ramen för detta direktiv bör vara förenlig med Europaparlamentets och rådets förordning (EU) 2016/</w:t>
            </w:r>
            <w:r w:rsidRPr="00F63843">
              <w:rPr>
                <w:b/>
                <w:i/>
              </w:rPr>
              <w:t>67931</w:t>
            </w:r>
            <w:r w:rsidRPr="00F63843">
              <w:t>. Finansförmedlare och medlemsstater får behandla personuppgifter enligt detta direktiv endast i syfte att tjäna allmänintresset, närmare bestämt för att bekämpa skattebedrägeri, skatteundandragande och skatteflykt, trygga skatteintäkterna och främja rättvis beskattning, vilket ökar möjligheterna till social, politisk och ekonomisk delaktighet i medlemsstaterna. För att detta mål ska kunna uppnås på ett effektivt sätt är det nödvändigt att begränsa vissa rättigheter för enskilda personer som föreskrivs i ovannämnda förordning, särskilt rätten att bli underrättad om behandlingen av deras uppgifter och dess räckvidd samt rätten till samtycke till vissa typer av uppgiftsbehandling.</w:t>
            </w:r>
          </w:p>
        </w:tc>
        <w:tc>
          <w:tcPr>
            <w:tcW w:w="4876" w:type="dxa"/>
          </w:tcPr>
          <w:p w:rsidR="00C57617" w:rsidRPr="00F63843" w:rsidRDefault="00C57617" w:rsidP="000A5CE6">
            <w:pPr>
              <w:pStyle w:val="Normal6"/>
              <w:widowControl/>
            </w:pPr>
            <w:r w:rsidRPr="00F63843">
              <w:t>(14)</w:t>
            </w:r>
            <w:r w:rsidRPr="00F63843">
              <w:tab/>
              <w:t>Kommissionens behandling av personuppgifter inom ramen för detta direktiv bör vara förenlig med Europaparlamentets och rådets förordning (EU) 2016/</w:t>
            </w:r>
            <w:r w:rsidRPr="00F63843">
              <w:rPr>
                <w:b/>
                <w:i/>
              </w:rPr>
              <w:t>679</w:t>
            </w:r>
            <w:r w:rsidRPr="00F63843">
              <w:t xml:space="preserve">. Finansförmedlare och medlemsstater får behandla personuppgifter enligt detta direktiv endast i syfte att tjäna allmänintresset, närmare bestämt för att bekämpa skattebedrägeri, skatteundandragande och skatteflykt, trygga skatteintäkterna och främja rättvis beskattning, vilket ökar möjligheterna till social, politisk och ekonomisk delaktighet i medlemsstaterna. </w:t>
            </w:r>
            <w:r w:rsidRPr="00F63843">
              <w:rPr>
                <w:b/>
                <w:i/>
              </w:rPr>
              <w:t>Endast enheter som deltar i förfarandena för källskattelättnad enligt detta direktiv bör ha tillgång till dessa uppgifter. Endast den minimimängd personuppgifter som krävs för att identifiera underrapportering, utebliven rapportering, skattebedrägeri eller missbruk bör lämnas in. Slutligen bör personuppgifter endast lagras så länge som krävs för detta ändamål.</w:t>
            </w:r>
            <w:r w:rsidRPr="00F63843">
              <w:t xml:space="preserve"> För att detta mål ska kunna uppnås på ett effektivt sätt är det nödvändigt att begränsa vissa rättigheter för enskilda personer som föreskrivs i ovannämnda förordning, </w:t>
            </w:r>
            <w:r w:rsidRPr="00F63843">
              <w:rPr>
                <w:b/>
                <w:i/>
              </w:rPr>
              <w:t xml:space="preserve">i den utsträckning som sådana rättigheter skulle kunna äventyra utredningar, </w:t>
            </w:r>
            <w:r w:rsidRPr="00F63843">
              <w:t xml:space="preserve">särskilt rätten att bli underrättad om behandlingen av deras uppgifter och dess räckvidd samt rätten till samtycke till vissa typer av uppgiftsbehandling. </w:t>
            </w:r>
            <w:r w:rsidRPr="00F63843">
              <w:rPr>
                <w:b/>
                <w:i/>
              </w:rPr>
              <w:t>Så snart de omständigheter som motiverade begränsningen inte längre är tillämpliga bör de registrerades rättigheter återupprättas.</w:t>
            </w:r>
          </w:p>
        </w:tc>
      </w:tr>
      <w:tr w:rsidR="00C57617" w:rsidRPr="00F63843" w:rsidTr="000A5CE6">
        <w:trPr>
          <w:jc w:val="center"/>
        </w:trPr>
        <w:tc>
          <w:tcPr>
            <w:tcW w:w="4876" w:type="dxa"/>
          </w:tcPr>
          <w:p w:rsidR="00C57617" w:rsidRPr="00F63843" w:rsidRDefault="00C57617" w:rsidP="000A5CE6">
            <w:pPr>
              <w:pStyle w:val="Normal6"/>
              <w:widowControl/>
            </w:pPr>
            <w:r w:rsidRPr="00F63843">
              <w:lastRenderedPageBreak/>
              <w:t>_________________</w:t>
            </w:r>
          </w:p>
        </w:tc>
        <w:tc>
          <w:tcPr>
            <w:tcW w:w="4876" w:type="dxa"/>
          </w:tcPr>
          <w:p w:rsidR="00C57617" w:rsidRPr="00F63843" w:rsidRDefault="00C57617" w:rsidP="000A5CE6">
            <w:pPr>
              <w:pStyle w:val="Normal6"/>
              <w:widowControl/>
            </w:pPr>
            <w:r w:rsidRPr="00F63843">
              <w:t>_________________</w:t>
            </w:r>
          </w:p>
        </w:tc>
      </w:tr>
      <w:tr w:rsidR="00C57617" w:rsidRPr="00F63843" w:rsidTr="000A5CE6">
        <w:trPr>
          <w:jc w:val="center"/>
        </w:trPr>
        <w:tc>
          <w:tcPr>
            <w:tcW w:w="4876" w:type="dxa"/>
          </w:tcPr>
          <w:p w:rsidR="00C57617" w:rsidRPr="00F63843" w:rsidRDefault="00C57617" w:rsidP="000A5CE6">
            <w:pPr>
              <w:pStyle w:val="Normal6"/>
              <w:widowControl/>
            </w:pPr>
            <w:r w:rsidRPr="00F63843">
              <w:rPr>
                <w:vertAlign w:val="superscript"/>
              </w:rPr>
              <w:t xml:space="preserve">31 </w:t>
            </w:r>
            <w:r w:rsidRPr="00F63843">
              <w:t>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w:t>
            </w:r>
          </w:p>
        </w:tc>
        <w:tc>
          <w:tcPr>
            <w:tcW w:w="4876" w:type="dxa"/>
          </w:tcPr>
          <w:p w:rsidR="00C57617" w:rsidRPr="00F63843" w:rsidRDefault="00C57617" w:rsidP="000A5CE6">
            <w:pPr>
              <w:pStyle w:val="Normal6"/>
              <w:widowControl/>
            </w:pPr>
            <w:r w:rsidRPr="00F63843">
              <w:rPr>
                <w:vertAlign w:val="superscript"/>
              </w:rPr>
              <w:t xml:space="preserve">31 </w:t>
            </w:r>
            <w:r w:rsidRPr="00F63843">
              <w:t>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11</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Skäl 16a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p>
        </w:tc>
        <w:tc>
          <w:tcPr>
            <w:tcW w:w="4876" w:type="dxa"/>
          </w:tcPr>
          <w:p w:rsidR="00C57617" w:rsidRPr="00F63843" w:rsidRDefault="00C57617" w:rsidP="000A5CE6">
            <w:pPr>
              <w:pStyle w:val="Normal6a"/>
              <w:widowControl/>
            </w:pPr>
            <w:r w:rsidRPr="00F63843">
              <w:rPr>
                <w:b/>
                <w:i/>
              </w:rPr>
              <w:t>(16a)</w:t>
            </w:r>
            <w:r w:rsidRPr="00F63843">
              <w:tab/>
            </w:r>
            <w:r w:rsidRPr="00F63843">
              <w:rPr>
                <w:b/>
                <w:i/>
              </w:rPr>
              <w:t>Detta direktiv bör ses över regelbundet i syfte att ytterligare underlätta källskattelättnad för icke-professionella investerare.</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12</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3 – led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t>(19)</w:t>
            </w:r>
            <w:r w:rsidRPr="00F63843">
              <w:tab/>
              <w:t xml:space="preserve">dubbelbeskattningsavtal: ett avtal eller avtal som föreskriver undanröjande av dubbelbeskattning av inkomst och, i tillämpliga fall, kapital, som gäller mellan två (eller flera) </w:t>
            </w:r>
            <w:r w:rsidRPr="00F63843">
              <w:rPr>
                <w:b/>
                <w:i/>
              </w:rPr>
              <w:t>länder</w:t>
            </w:r>
            <w:r w:rsidRPr="00F63843">
              <w:t>.</w:t>
            </w:r>
          </w:p>
        </w:tc>
        <w:tc>
          <w:tcPr>
            <w:tcW w:w="4876" w:type="dxa"/>
          </w:tcPr>
          <w:p w:rsidR="00C57617" w:rsidRPr="00F63843" w:rsidRDefault="00C57617" w:rsidP="000A5CE6">
            <w:pPr>
              <w:pStyle w:val="Normal6a"/>
              <w:widowControl/>
            </w:pPr>
            <w:r w:rsidRPr="00F63843">
              <w:t>(19)</w:t>
            </w:r>
            <w:r w:rsidRPr="00F63843">
              <w:tab/>
              <w:t xml:space="preserve">dubbelbeskattningsavtal: ett avtal eller avtal som föreskriver undanröjande av dubbelbeskattning av inkomst och, i tillämpliga fall, kapital, som gäller mellan två (eller flera) </w:t>
            </w:r>
            <w:r w:rsidRPr="00F63843">
              <w:rPr>
                <w:b/>
                <w:i/>
              </w:rPr>
              <w:t>jurisdiktioner</w:t>
            </w:r>
            <w:r w:rsidRPr="00F63843">
              <w:t>.</w:t>
            </w:r>
          </w:p>
        </w:tc>
      </w:tr>
    </w:tbl>
    <w:p w:rsidR="00C57617" w:rsidRPr="00F63843" w:rsidRDefault="00C57617" w:rsidP="00C57617">
      <w:pPr>
        <w:widowControl/>
      </w:pPr>
    </w:p>
    <w:p w:rsidR="00C57617" w:rsidRPr="00F63843" w:rsidRDefault="00D0782F" w:rsidP="00C57617">
      <w:pPr>
        <w:pStyle w:val="AMNumberTabs0"/>
        <w:keepNext/>
        <w:widowControl/>
      </w:pPr>
      <w:r>
        <w:t>Ändring</w:t>
      </w:r>
      <w:r w:rsidR="00C57617" w:rsidRPr="00F63843">
        <w:tab/>
      </w:r>
      <w:r w:rsidR="00C57617" w:rsidRPr="00F63843">
        <w:tab/>
        <w:t>13</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Artikel 4 – punkt 2 – inledningen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r w:rsidRPr="00F63843">
              <w:t>2.</w:t>
            </w:r>
            <w:r w:rsidRPr="00F63843">
              <w:tab/>
              <w:t xml:space="preserve">Medlemsstaterna ska utfärda de elektroniska intygen inom </w:t>
            </w:r>
            <w:r w:rsidRPr="00F63843">
              <w:rPr>
                <w:b/>
                <w:i/>
              </w:rPr>
              <w:t>en arbetsdag</w:t>
            </w:r>
            <w:r w:rsidRPr="00F63843">
              <w:t xml:space="preserve"> från inlämnandet av en begäran, om inte annat följer av punkt 4. Intyget ska </w:t>
            </w:r>
            <w:r w:rsidRPr="00F63843">
              <w:lastRenderedPageBreak/>
              <w:t>uppfylla de tekniska kraven i bilaga I och ska innehålla följande information:</w:t>
            </w:r>
          </w:p>
        </w:tc>
        <w:tc>
          <w:tcPr>
            <w:tcW w:w="4876" w:type="dxa"/>
          </w:tcPr>
          <w:p w:rsidR="00C57617" w:rsidRPr="00F63843" w:rsidRDefault="00C57617" w:rsidP="000A5CE6">
            <w:pPr>
              <w:pStyle w:val="Normal6"/>
              <w:widowControl/>
              <w:rPr>
                <w:szCs w:val="24"/>
              </w:rPr>
            </w:pPr>
            <w:r w:rsidRPr="00F63843">
              <w:lastRenderedPageBreak/>
              <w:t>2.</w:t>
            </w:r>
            <w:r w:rsidRPr="00F63843">
              <w:tab/>
              <w:t xml:space="preserve">Medlemsstaterna ska </w:t>
            </w:r>
            <w:r w:rsidRPr="00F63843">
              <w:rPr>
                <w:b/>
                <w:i/>
              </w:rPr>
              <w:t xml:space="preserve">på basis av tillgängliga uppgifter </w:t>
            </w:r>
            <w:r w:rsidRPr="00F63843">
              <w:t xml:space="preserve">utfärda de elektroniska intygen inom </w:t>
            </w:r>
            <w:r w:rsidRPr="00F63843">
              <w:rPr>
                <w:b/>
                <w:i/>
              </w:rPr>
              <w:t>tre arbetsdagar</w:t>
            </w:r>
            <w:r w:rsidRPr="00F63843">
              <w:t xml:space="preserve"> från inlämnandet av en begäran, om inte annat följer av punkt 4. Intyget ska </w:t>
            </w:r>
            <w:r w:rsidRPr="00F63843">
              <w:lastRenderedPageBreak/>
              <w:t>uppfylla de tekniska kraven i bilaga I och ska innehålla följande information:</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14</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4 – punkt 2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t>(a)</w:t>
            </w:r>
            <w:r w:rsidRPr="00F63843">
              <w:tab/>
              <w:t>Skattebetalarens för- och efternamn samt födelsedatum och födelseort, om skattebetalaren är en enskild person, eller dess namn och dess europeiska unika identifieringskod (EUID), om skattebetalaren är en enhet.</w:t>
            </w:r>
          </w:p>
        </w:tc>
        <w:tc>
          <w:tcPr>
            <w:tcW w:w="4876" w:type="dxa"/>
          </w:tcPr>
          <w:p w:rsidR="00C57617" w:rsidRPr="00F63843" w:rsidRDefault="00C57617" w:rsidP="000A5CE6">
            <w:pPr>
              <w:pStyle w:val="Normal6a"/>
              <w:widowControl/>
            </w:pPr>
            <w:r w:rsidRPr="00F63843">
              <w:t>(a)</w:t>
            </w:r>
            <w:r w:rsidRPr="00F63843">
              <w:tab/>
              <w:t>Skattebetalarens för- och efternamn samt födelsedatum och födelseort, om skattebetalaren är en enskild person, eller dess namn och</w:t>
            </w:r>
            <w:r w:rsidRPr="00F63843">
              <w:rPr>
                <w:b/>
                <w:i/>
              </w:rPr>
              <w:t>, i förekommande fall,</w:t>
            </w:r>
            <w:r w:rsidRPr="00F63843">
              <w:t xml:space="preserve"> dess europeiska unika identifieringskod (EUID), om skattebetalaren är en enhet.</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15</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4 – punkt 2 – led fa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p>
        </w:tc>
        <w:tc>
          <w:tcPr>
            <w:tcW w:w="4876" w:type="dxa"/>
          </w:tcPr>
          <w:p w:rsidR="00C57617" w:rsidRPr="00F63843" w:rsidRDefault="00C57617" w:rsidP="000A5CE6">
            <w:pPr>
              <w:pStyle w:val="Normal6a"/>
              <w:widowControl/>
            </w:pPr>
            <w:r w:rsidRPr="00F63843">
              <w:rPr>
                <w:b/>
                <w:i/>
              </w:rPr>
              <w:t>(fa)</w:t>
            </w:r>
            <w:r w:rsidRPr="00F63843">
              <w:tab/>
            </w:r>
            <w:r w:rsidRPr="00F63843">
              <w:rPr>
                <w:b/>
                <w:i/>
              </w:rPr>
              <w:t>Dubbelbeskattningsavtalet.</w:t>
            </w:r>
          </w:p>
        </w:tc>
      </w:tr>
    </w:tbl>
    <w:p w:rsidR="00C57617" w:rsidRPr="00F63843" w:rsidRDefault="00C57617" w:rsidP="00C57617">
      <w:pPr>
        <w:widowControl/>
      </w:pPr>
    </w:p>
    <w:p w:rsidR="00C57617" w:rsidRPr="00F63843" w:rsidRDefault="00D0782F" w:rsidP="00C57617">
      <w:pPr>
        <w:pStyle w:val="AMNumberTabs0"/>
        <w:keepNext/>
        <w:widowControl/>
      </w:pPr>
      <w:r>
        <w:t>Ändring</w:t>
      </w:r>
      <w:r w:rsidR="00C57617" w:rsidRPr="00F63843">
        <w:tab/>
      </w:r>
      <w:r w:rsidR="00C57617" w:rsidRPr="00F63843">
        <w:tab/>
        <w:t>16</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Artikel 4 – punkt 2 – led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r w:rsidRPr="00F63843">
              <w:rPr>
                <w:b/>
                <w:i/>
              </w:rPr>
              <w:t>(g)</w:t>
            </w:r>
            <w:r w:rsidRPr="00F63843">
              <w:rPr>
                <w:b/>
                <w:i/>
              </w:rPr>
              <w:tab/>
              <w:t>Eventuell ytterligare information som kan vara relevant om intyget utfärdas för andra ändamål än källskattelättnad enligt detta direktiv eller information som måste ingå i ett intyg om skatterättslig hemvist enligt EU-lagstiftningen.</w:t>
            </w:r>
          </w:p>
        </w:tc>
        <w:tc>
          <w:tcPr>
            <w:tcW w:w="4876" w:type="dxa"/>
          </w:tcPr>
          <w:p w:rsidR="00C57617" w:rsidRPr="00F63843" w:rsidRDefault="00C57617" w:rsidP="000A5CE6">
            <w:pPr>
              <w:pStyle w:val="Normal6"/>
              <w:widowControl/>
              <w:rPr>
                <w:szCs w:val="24"/>
              </w:rPr>
            </w:pPr>
            <w:r w:rsidRPr="00F63843">
              <w:rPr>
                <w:b/>
                <w:i/>
              </w:rPr>
              <w:t>utgår</w:t>
            </w:r>
          </w:p>
        </w:tc>
      </w:tr>
    </w:tbl>
    <w:p w:rsidR="00C57617" w:rsidRPr="00F63843" w:rsidRDefault="00C57617" w:rsidP="00C57617">
      <w:pPr>
        <w:widowControl/>
      </w:pPr>
    </w:p>
    <w:p w:rsidR="00C57617" w:rsidRPr="00F63843" w:rsidRDefault="00D0782F" w:rsidP="00C57617">
      <w:pPr>
        <w:pStyle w:val="AMNumberTabs0"/>
        <w:keepNext/>
        <w:widowControl/>
      </w:pPr>
      <w:r>
        <w:t>Ändring</w:t>
      </w:r>
      <w:r w:rsidR="00C57617" w:rsidRPr="00F63843">
        <w:tab/>
      </w:r>
      <w:r w:rsidR="00C57617" w:rsidRPr="00F63843">
        <w:tab/>
        <w:t>17</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Artikel 4 – punkt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r w:rsidRPr="00F63843">
              <w:t>4.</w:t>
            </w:r>
            <w:r w:rsidRPr="00F63843">
              <w:tab/>
              <w:t xml:space="preserve">Om det krävs mer än </w:t>
            </w:r>
            <w:r w:rsidRPr="00F63843">
              <w:rPr>
                <w:b/>
                <w:i/>
              </w:rPr>
              <w:t>en arbetsdag</w:t>
            </w:r>
            <w:r w:rsidRPr="00F63843">
              <w:t xml:space="preserve"> för att kontrollera en viss skattebetalares skatterättsliga hemvist ska medlemsstaten informera den person som begär intyget om den ytterligare tid som behövs och orsakerna till förseningen.</w:t>
            </w:r>
          </w:p>
        </w:tc>
        <w:tc>
          <w:tcPr>
            <w:tcW w:w="4876" w:type="dxa"/>
          </w:tcPr>
          <w:p w:rsidR="00C57617" w:rsidRPr="00F63843" w:rsidRDefault="00C57617" w:rsidP="000A5CE6">
            <w:pPr>
              <w:pStyle w:val="Normal6"/>
              <w:widowControl/>
              <w:rPr>
                <w:szCs w:val="24"/>
              </w:rPr>
            </w:pPr>
            <w:r w:rsidRPr="00F63843">
              <w:t>4.</w:t>
            </w:r>
            <w:r w:rsidRPr="00F63843">
              <w:tab/>
              <w:t xml:space="preserve">Om det krävs mer än </w:t>
            </w:r>
            <w:r w:rsidRPr="00F63843">
              <w:rPr>
                <w:b/>
                <w:i/>
              </w:rPr>
              <w:t>fem arbetsdagar</w:t>
            </w:r>
            <w:r w:rsidRPr="00F63843">
              <w:t xml:space="preserve"> för att kontrollera en viss skattebetalares skatterättsliga hemvist ska medlemsstaten informera den person som begär intyget om den ytterligare tid som behövs och orsakerna till förseningen</w:t>
            </w:r>
            <w:r w:rsidRPr="00F63843">
              <w:rPr>
                <w:b/>
                <w:i/>
              </w:rPr>
              <w:t>, som under inga omständigheter får överstiga fem arbetsdagar</w:t>
            </w:r>
            <w:r w:rsidRPr="00F63843">
              <w:t>.</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18</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4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t>5.</w:t>
            </w:r>
            <w:r w:rsidRPr="00F63843">
              <w:tab/>
              <w:t>Medlemsstaterna ska erkänna ett elektroniskt intyg om skatterättslig hemvist som utfärdats av en annan medlemsstat som tillräckligt bevis på att en skattebetalare har hemvist i den andra medlemsstaten i enlighet med punkt 3.</w:t>
            </w:r>
          </w:p>
        </w:tc>
        <w:tc>
          <w:tcPr>
            <w:tcW w:w="4876" w:type="dxa"/>
          </w:tcPr>
          <w:p w:rsidR="00C57617" w:rsidRPr="00F63843" w:rsidRDefault="00C57617" w:rsidP="000A5CE6">
            <w:pPr>
              <w:pStyle w:val="Normal6a"/>
              <w:widowControl/>
            </w:pPr>
            <w:r w:rsidRPr="00F63843">
              <w:t>5.</w:t>
            </w:r>
            <w:r w:rsidRPr="00F63843">
              <w:tab/>
              <w:t xml:space="preserve">Medlemsstaterna ska erkänna ett elektroniskt intyg om skatterättslig hemvist som utfärdats av en annan medlemsstat som tillräckligt bevis på att en skattebetalare har hemvist i den andra medlemsstaten i enlighet med punkt 3. </w:t>
            </w:r>
            <w:r w:rsidRPr="00F63843">
              <w:rPr>
                <w:b/>
                <w:i/>
              </w:rPr>
              <w:t>Medlemsstaterna får under alla omständigheter pröva den skatterättsliga hemvisten i sina jurisdiktioner. </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19</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4 – punkt 5a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p>
        </w:tc>
        <w:tc>
          <w:tcPr>
            <w:tcW w:w="4876" w:type="dxa"/>
          </w:tcPr>
          <w:p w:rsidR="00C57617" w:rsidRPr="00F63843" w:rsidRDefault="00C57617" w:rsidP="000A5CE6">
            <w:pPr>
              <w:pStyle w:val="Normal6a"/>
              <w:widowControl/>
            </w:pPr>
            <w:r w:rsidRPr="00F63843">
              <w:rPr>
                <w:b/>
                <w:i/>
              </w:rPr>
              <w:t>5a.</w:t>
            </w:r>
            <w:r w:rsidRPr="00F63843">
              <w:tab/>
            </w:r>
            <w:r w:rsidRPr="00F63843">
              <w:rPr>
                <w:b/>
                <w:i/>
              </w:rPr>
              <w:t>Medlemsstaterna ska vidta lämpliga åtgärder för att kräva att en fysisk person eller enhet som anses ha sin skatterättsliga hemvist i deras jurisdiktion informerar de skattemyndigheter som utfärdar det elektroniska intyget om skatterättslig hemvist om alla ändringar som skulle kunna påverka giltigheten eller innehållet i det elektroniska intyget om skatterättslig hemvist.</w:t>
            </w:r>
          </w:p>
        </w:tc>
      </w:tr>
    </w:tbl>
    <w:p w:rsidR="00C57617" w:rsidRPr="00F63843" w:rsidRDefault="00C57617" w:rsidP="00C57617">
      <w:pPr>
        <w:widowControl/>
      </w:pPr>
    </w:p>
    <w:p w:rsidR="00C57617" w:rsidRPr="00F63843" w:rsidRDefault="00D0782F" w:rsidP="00C57617">
      <w:pPr>
        <w:pStyle w:val="AmNumberTabs"/>
        <w:widowControl/>
      </w:pPr>
      <w:r>
        <w:lastRenderedPageBreak/>
        <w:t>Ändring</w:t>
      </w:r>
      <w:r w:rsidR="00C57617" w:rsidRPr="00F63843">
        <w:tab/>
      </w:r>
      <w:r w:rsidR="00C57617" w:rsidRPr="00F63843">
        <w:tab/>
        <w:t>20</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4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t>6.</w:t>
            </w:r>
            <w:r w:rsidRPr="00F63843">
              <w:tab/>
              <w:t>Kommissionen ska anta genomförandeakter för att fastställa standardiserade datoriserade formulär, inbegripet språkordningen, samt tekniska protokoll, inbegripet säkerhetsstandarder, för utfärdande av ett elektroniskt intyg om skatterättslig hemvist. Dessa genomförandeakter ska antas i enlighet med det granskningsförfarande som avses i artikel 18.</w:t>
            </w:r>
          </w:p>
        </w:tc>
        <w:tc>
          <w:tcPr>
            <w:tcW w:w="4876" w:type="dxa"/>
          </w:tcPr>
          <w:p w:rsidR="00C57617" w:rsidRPr="00F63843" w:rsidRDefault="00C57617" w:rsidP="000A5CE6">
            <w:pPr>
              <w:pStyle w:val="Normal6a"/>
              <w:widowControl/>
            </w:pPr>
            <w:r w:rsidRPr="00F63843">
              <w:t>6.</w:t>
            </w:r>
            <w:r w:rsidRPr="00F63843">
              <w:tab/>
              <w:t>Kommissionen ska anta genomförandeakter för att fastställa standardiserade datoriserade formulär</w:t>
            </w:r>
            <w:r w:rsidRPr="00F63843">
              <w:rPr>
                <w:b/>
                <w:i/>
              </w:rPr>
              <w:t xml:space="preserve"> i maskinläsbart format</w:t>
            </w:r>
            <w:r w:rsidRPr="00F63843">
              <w:t>, inbegripet språkordningen, samt tekniska protokoll, inbegripet säkerhetsstandarder, för utfärdande av ett elektroniskt intyg om skatterättslig hemvist. Dessa genomförandeakter ska antas i enlighet med det granskningsförfarande som avses i artikel 18.</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21</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5 – punkt 4 – led da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p>
        </w:tc>
        <w:tc>
          <w:tcPr>
            <w:tcW w:w="4876" w:type="dxa"/>
          </w:tcPr>
          <w:p w:rsidR="00C57617" w:rsidRPr="00F63843" w:rsidRDefault="00C57617" w:rsidP="000A5CE6">
            <w:pPr>
              <w:pStyle w:val="Normal6a"/>
              <w:widowControl/>
            </w:pPr>
            <w:r w:rsidRPr="00F63843">
              <w:rPr>
                <w:b/>
                <w:i/>
              </w:rPr>
              <w:t>(da)</w:t>
            </w:r>
            <w:r w:rsidRPr="00F63843">
              <w:tab/>
            </w:r>
            <w:r w:rsidRPr="00F63843">
              <w:rPr>
                <w:b/>
                <w:i/>
              </w:rPr>
              <w:t>Information om de avgifter som tas ut för tillhandahållande av tjänster enligt detta direktiv.</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22</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7 – punkt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t>1.</w:t>
            </w:r>
            <w:r w:rsidRPr="00F63843">
              <w:tab/>
              <w:t xml:space="preserve">Medlemsstaterna ska säkerställa att en finansförmedlare är registrerad i sitt nationella register över certifierade finansförmedlare inom </w:t>
            </w:r>
            <w:r w:rsidRPr="00F63843">
              <w:rPr>
                <w:b/>
                <w:i/>
              </w:rPr>
              <w:t>tre</w:t>
            </w:r>
            <w:r w:rsidRPr="00F63843">
              <w:t xml:space="preserve"> månader från inlämnandet av en begäran från finansförmedlaren som styrker samtliga följande krav:</w:t>
            </w:r>
          </w:p>
        </w:tc>
        <w:tc>
          <w:tcPr>
            <w:tcW w:w="4876" w:type="dxa"/>
          </w:tcPr>
          <w:p w:rsidR="00C57617" w:rsidRPr="00F63843" w:rsidRDefault="00C57617" w:rsidP="000A5CE6">
            <w:pPr>
              <w:pStyle w:val="Normal6a"/>
              <w:widowControl/>
            </w:pPr>
            <w:r w:rsidRPr="00F63843">
              <w:t>1.</w:t>
            </w:r>
            <w:r w:rsidRPr="00F63843">
              <w:tab/>
              <w:t xml:space="preserve">Medlemsstaterna ska säkerställa att en finansförmedlare är registrerad i sitt nationella register över certifierade finansförmedlare inom </w:t>
            </w:r>
            <w:r w:rsidRPr="00F63843">
              <w:rPr>
                <w:b/>
                <w:i/>
              </w:rPr>
              <w:t>två</w:t>
            </w:r>
            <w:r w:rsidRPr="00F63843">
              <w:t xml:space="preserve"> månader från inlämnandet av en begäran från finansförmedlaren som styrker samtliga följande krav:</w:t>
            </w:r>
          </w:p>
        </w:tc>
      </w:tr>
    </w:tbl>
    <w:p w:rsidR="00C57617" w:rsidRPr="00F63843" w:rsidRDefault="00C57617" w:rsidP="00C57617">
      <w:pPr>
        <w:widowControl/>
      </w:pPr>
    </w:p>
    <w:p w:rsidR="00C57617" w:rsidRPr="00F63843" w:rsidRDefault="00D0782F" w:rsidP="00C57617">
      <w:pPr>
        <w:pStyle w:val="AMNumberTabs0"/>
        <w:keepNext/>
        <w:widowControl/>
      </w:pPr>
      <w:r>
        <w:lastRenderedPageBreak/>
        <w:t>Ändring</w:t>
      </w:r>
      <w:r w:rsidR="00C57617" w:rsidRPr="00F63843">
        <w:tab/>
      </w:r>
      <w:r w:rsidR="00C57617" w:rsidRPr="00F63843">
        <w:tab/>
        <w:t>23</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Artikel 7 – punkt 1 – led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r w:rsidRPr="00F63843">
              <w:t>(b)</w:t>
            </w:r>
            <w:r w:rsidRPr="00F63843">
              <w:tab/>
              <w:t>Om den begärande finansförmedlaren är ett kreditinstitut, ett tillstånd i hemvistjurisdiktionen att bedriva förvaringsverksamhet enligt punkterna (12) eller (14) i bilaga I till direktiv 2013/36/EU eller jämförbar lagstiftning i ett tredjeland. Om den begärande finansförmedlaren är ett värdepappersföretag, ett tillstånd i hemvistjurisdiktionen att bedriva förvaringsverksamhet enligt avsnitt B (1) i bilaga I till direktiv 2014/65/EU eller jämförbar lagstiftning i ett tredjeland, eller om den begärande finansförmedlaren är en värdepapperscentral, ett tillstånd i hemvistju</w:t>
            </w:r>
            <w:r w:rsidR="000A5CE6">
              <w:t>risdiktionen enligt förordning (</w:t>
            </w:r>
            <w:r w:rsidRPr="00F63843">
              <w:t>EU) 909/2014 eller jämförbar lagstiftning i ett tredjeland där den har sin hemvist.</w:t>
            </w:r>
          </w:p>
        </w:tc>
        <w:tc>
          <w:tcPr>
            <w:tcW w:w="4876" w:type="dxa"/>
          </w:tcPr>
          <w:p w:rsidR="00C57617" w:rsidRPr="00F63843" w:rsidRDefault="00C57617" w:rsidP="000A5CE6">
            <w:pPr>
              <w:pStyle w:val="Normal6"/>
              <w:widowControl/>
              <w:rPr>
                <w:szCs w:val="24"/>
              </w:rPr>
            </w:pPr>
            <w:r w:rsidRPr="00F63843">
              <w:t>(b)</w:t>
            </w:r>
            <w:r w:rsidRPr="00F63843">
              <w:tab/>
              <w:t>Om den begärande finansförmedlaren är ett kreditinstitut, ett tillstånd i hemvistjurisdiktionen att bedriva förvaringsverksamhet enligt punkterna (12) eller (14) i bilaga I till direktiv 2013/36/EU eller jämförbar lagstiftning i ett tredjeland. Om den begärande finansförmedlaren är ett värdepappersföretag, ett tillstånd i hemvistjurisdiktionen att bedriva förvaringsverksamhet enligt avsnitt B (1) i bilaga I till direktiv 2014/65/EU eller jämförbar lagstiftning i ett tredjeland, eller om den begärande finansförmedlaren är en värdepapperscentral, ett tillstånd i hemvistju</w:t>
            </w:r>
            <w:r w:rsidR="000A5CE6">
              <w:t xml:space="preserve">risdiktionen enligt förordning </w:t>
            </w:r>
            <w:r w:rsidR="00464AD6">
              <w:t>(</w:t>
            </w:r>
            <w:r w:rsidRPr="00F63843">
              <w:t>EU</w:t>
            </w:r>
            <w:r w:rsidR="00464AD6">
              <w:t>)</w:t>
            </w:r>
            <w:r w:rsidRPr="00F63843">
              <w:t xml:space="preserve"> </w:t>
            </w:r>
            <w:r w:rsidR="000A5CE6" w:rsidRPr="000A5CE6">
              <w:rPr>
                <w:b/>
                <w:i/>
              </w:rPr>
              <w:t>nr</w:t>
            </w:r>
            <w:r w:rsidR="000A5CE6">
              <w:t xml:space="preserve"> </w:t>
            </w:r>
            <w:r w:rsidRPr="00F63843">
              <w:t>909/2014 eller jämförbar lagstiftning i ett tredjeland där den har sin hemvist.</w:t>
            </w:r>
            <w:r w:rsidRPr="00F63843">
              <w:rPr>
                <w:b/>
                <w:i/>
              </w:rPr>
              <w:t xml:space="preserve"> Kommissionen ska utfärda riktlinjer om miniminormer för jämförbar lagstiftning.</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24</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7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t>2.</w:t>
            </w:r>
            <w:r w:rsidRPr="00F63843">
              <w:tab/>
              <w:t>Finansförmedlare ska utan dröjsmål underrätta den behöriga myndigheten i medlemsstaten om alla ändringar av den information som lämnas enligt leden a–c.</w:t>
            </w:r>
          </w:p>
        </w:tc>
        <w:tc>
          <w:tcPr>
            <w:tcW w:w="4876" w:type="dxa"/>
          </w:tcPr>
          <w:p w:rsidR="00C57617" w:rsidRPr="00F63843" w:rsidRDefault="00C57617" w:rsidP="000A5CE6">
            <w:pPr>
              <w:pStyle w:val="Normal6a"/>
              <w:widowControl/>
            </w:pPr>
            <w:r w:rsidRPr="00F63843">
              <w:t>2.</w:t>
            </w:r>
            <w:r w:rsidRPr="00F63843">
              <w:tab/>
              <w:t xml:space="preserve">Finansförmedlare ska utan </w:t>
            </w:r>
            <w:r w:rsidRPr="00F63843">
              <w:rPr>
                <w:b/>
                <w:i/>
              </w:rPr>
              <w:t xml:space="preserve">onödigt </w:t>
            </w:r>
            <w:r w:rsidRPr="00F63843">
              <w:t>dröjsmål underrätta den behöriga myndigheten i medlemsstaten om alla ändringar av den information som lämnas enligt leden a–c</w:t>
            </w:r>
            <w:r w:rsidRPr="00F63843">
              <w:rPr>
                <w:b/>
                <w:i/>
              </w:rPr>
              <w:t>, och vid behov tillhandahålla relevanta handlingar</w:t>
            </w:r>
            <w:r w:rsidRPr="00F63843">
              <w:t>.</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25</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7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p>
        </w:tc>
        <w:tc>
          <w:tcPr>
            <w:tcW w:w="4876" w:type="dxa"/>
          </w:tcPr>
          <w:p w:rsidR="00C57617" w:rsidRPr="00F63843" w:rsidRDefault="00C57617" w:rsidP="00F63843">
            <w:pPr>
              <w:widowControl/>
              <w:spacing w:after="120"/>
            </w:pPr>
            <w:r w:rsidRPr="00F63843">
              <w:rPr>
                <w:b/>
                <w:i/>
              </w:rPr>
              <w:t>2a.</w:t>
            </w:r>
            <w:r w:rsidRPr="00F63843">
              <w:tab/>
            </w:r>
            <w:r w:rsidRPr="00F63843">
              <w:rPr>
                <w:b/>
                <w:i/>
              </w:rPr>
              <w:t>Medlemsstaterna ska snarast möjligt informera alla övriga medlemsstater om avslag på registreringsansökningar, i enlighet med artikel 9 i rådets direktiv 2011/16/EU</w:t>
            </w:r>
            <w:r w:rsidRPr="00F63843">
              <w:rPr>
                <w:b/>
                <w:i/>
                <w:vertAlign w:val="superscript"/>
              </w:rPr>
              <w:t>1a</w:t>
            </w:r>
            <w:r w:rsidRPr="00F63843">
              <w:rPr>
                <w:b/>
                <w:i/>
              </w:rPr>
              <w:t>.</w:t>
            </w:r>
          </w:p>
        </w:tc>
      </w:tr>
      <w:tr w:rsidR="00C57617" w:rsidRPr="00F63843" w:rsidTr="000A5CE6">
        <w:trPr>
          <w:jc w:val="center"/>
        </w:trPr>
        <w:tc>
          <w:tcPr>
            <w:tcW w:w="4876" w:type="dxa"/>
          </w:tcPr>
          <w:p w:rsidR="00C57617" w:rsidRPr="00F63843" w:rsidRDefault="00C57617" w:rsidP="000A5CE6">
            <w:pPr>
              <w:pStyle w:val="Normal6a"/>
              <w:widowControl/>
            </w:pPr>
          </w:p>
        </w:tc>
        <w:tc>
          <w:tcPr>
            <w:tcW w:w="4876" w:type="dxa"/>
          </w:tcPr>
          <w:p w:rsidR="00C57617" w:rsidRPr="00F63843" w:rsidRDefault="00C57617" w:rsidP="000A5CE6">
            <w:pPr>
              <w:pStyle w:val="Normal6a"/>
              <w:widowControl/>
              <w:rPr>
                <w:b/>
                <w:i/>
              </w:rPr>
            </w:pPr>
            <w:r w:rsidRPr="00F63843">
              <w:rPr>
                <w:b/>
                <w:i/>
              </w:rPr>
              <w:t>____________________</w:t>
            </w:r>
          </w:p>
        </w:tc>
      </w:tr>
      <w:tr w:rsidR="00C57617" w:rsidRPr="00F63843" w:rsidTr="000A5CE6">
        <w:trPr>
          <w:jc w:val="center"/>
        </w:trPr>
        <w:tc>
          <w:tcPr>
            <w:tcW w:w="4876" w:type="dxa"/>
          </w:tcPr>
          <w:p w:rsidR="00C57617" w:rsidRPr="00F63843" w:rsidRDefault="00C57617" w:rsidP="000A5CE6">
            <w:pPr>
              <w:pStyle w:val="Normal6a"/>
              <w:widowControl/>
            </w:pPr>
          </w:p>
        </w:tc>
        <w:tc>
          <w:tcPr>
            <w:tcW w:w="4876" w:type="dxa"/>
          </w:tcPr>
          <w:p w:rsidR="00C57617" w:rsidRPr="00F63843" w:rsidRDefault="00C57617" w:rsidP="000A5CE6">
            <w:pPr>
              <w:pStyle w:val="Normal6a"/>
              <w:widowControl/>
              <w:rPr>
                <w:b/>
                <w:i/>
              </w:rPr>
            </w:pPr>
            <w:r w:rsidRPr="00F63843">
              <w:rPr>
                <w:b/>
                <w:i/>
                <w:vertAlign w:val="superscript"/>
              </w:rPr>
              <w:t xml:space="preserve">1a </w:t>
            </w:r>
            <w:r w:rsidRPr="00F63843">
              <w:rPr>
                <w:b/>
                <w:i/>
              </w:rPr>
              <w:t>Rådets direktiv 2011/16/EU av den 15 februari 2011 om administrativt samarbete i fråga om beskattning och om upphävande av direktiv 77/799/EEG (EUT L 64, 11.3.2011, s. 1, ELI: http://data.europa.eu/eli/dir/2011/16/oj).</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26</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8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t>3.</w:t>
            </w:r>
            <w:r w:rsidRPr="00F63843">
              <w:tab/>
              <w:t>Den medlemsstat som avlägsnar en certifierad finansförmedlare från sitt nationella register ska utan dröjsmål informera alla andra medlemsstater som för ett nationellt register i enlighet med artikel 5.</w:t>
            </w:r>
          </w:p>
        </w:tc>
        <w:tc>
          <w:tcPr>
            <w:tcW w:w="4876" w:type="dxa"/>
          </w:tcPr>
          <w:p w:rsidR="00C57617" w:rsidRPr="00F63843" w:rsidRDefault="00C57617" w:rsidP="000A5CE6">
            <w:pPr>
              <w:pStyle w:val="Normal6a"/>
              <w:widowControl/>
            </w:pPr>
            <w:r w:rsidRPr="00F63843">
              <w:t>3.</w:t>
            </w:r>
            <w:r w:rsidRPr="00F63843">
              <w:tab/>
              <w:t>Den medlemsstat som avlägsnar en certifierad finansförmedlare från sitt nationella register ska</w:t>
            </w:r>
            <w:r w:rsidRPr="00F63843">
              <w:rPr>
                <w:b/>
                <w:i/>
              </w:rPr>
              <w:t>, i enlighet med direktiv 2011/16/EU,</w:t>
            </w:r>
            <w:r w:rsidRPr="00F63843">
              <w:t xml:space="preserve"> utan</w:t>
            </w:r>
            <w:r w:rsidRPr="00F63843">
              <w:rPr>
                <w:b/>
                <w:i/>
              </w:rPr>
              <w:t xml:space="preserve"> onödigt</w:t>
            </w:r>
            <w:r w:rsidRPr="00F63843">
              <w:t xml:space="preserve"> dröjsmål informera alla andra medlemsstater som för ett nationellt register i enlighet med artikel 5</w:t>
            </w:r>
            <w:r w:rsidRPr="00F63843">
              <w:rPr>
                <w:b/>
                <w:i/>
              </w:rPr>
              <w:t>, och ange skälen för avlägsnandet i enlighet med punkterna 1 och 2</w:t>
            </w:r>
            <w:r w:rsidRPr="00F63843">
              <w:t>.</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27</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8 – punkt 3a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p>
        </w:tc>
        <w:tc>
          <w:tcPr>
            <w:tcW w:w="4876" w:type="dxa"/>
          </w:tcPr>
          <w:p w:rsidR="00C57617" w:rsidRPr="00F63843" w:rsidRDefault="00C57617" w:rsidP="000A5CE6">
            <w:pPr>
              <w:pStyle w:val="Normal6a"/>
              <w:widowControl/>
            </w:pPr>
            <w:r w:rsidRPr="00F63843">
              <w:rPr>
                <w:b/>
                <w:i/>
              </w:rPr>
              <w:t>3a.</w:t>
            </w:r>
            <w:r w:rsidRPr="00F63843">
              <w:tab/>
            </w:r>
            <w:r w:rsidRPr="00F63843">
              <w:rPr>
                <w:b/>
                <w:i/>
              </w:rPr>
              <w:t>Medlemsstaterna ska uppdatera sina nationella register för att återspegla statusen för finansförmedlare som inte längre innehar certifiering. Om avregistreringen som certifierad finansförmedlare grundar sig på ett beslut av en medlemsstat ska de särskilda skälen för en sådan åtgärd tydligt anges i registret.</w:t>
            </w:r>
          </w:p>
        </w:tc>
      </w:tr>
    </w:tbl>
    <w:p w:rsidR="00C57617" w:rsidRPr="00F63843" w:rsidRDefault="00C57617" w:rsidP="00C57617">
      <w:pPr>
        <w:widowControl/>
      </w:pPr>
    </w:p>
    <w:p w:rsidR="00C57617" w:rsidRPr="00F63843" w:rsidRDefault="00D0782F" w:rsidP="00C57617">
      <w:pPr>
        <w:pStyle w:val="AmNumberTabs"/>
        <w:widowControl/>
      </w:pPr>
      <w:r>
        <w:lastRenderedPageBreak/>
        <w:t>Ändring</w:t>
      </w:r>
      <w:r w:rsidR="00C57617" w:rsidRPr="00F63843">
        <w:tab/>
      </w:r>
      <w:r w:rsidR="00C57617" w:rsidRPr="00F63843">
        <w:tab/>
        <w:t>28</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9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r w:rsidRPr="00F63843">
              <w:t>1.</w:t>
            </w:r>
            <w:r w:rsidRPr="00F63843">
              <w:tab/>
              <w:t xml:space="preserve">Medlemsstaterna ska vidta nödvändiga åtgärder för att kräva att certifierade finansförmedlare i sina nationella register rapporterar den information som avses i bilaga II till den behöriga myndigheten så snart som möjligt efter registreringsdagen, såvida inte en avvecklingsinstruktion avseende någon del av en transaktion är under behandling på registreringsdagen, i vilket fall rapporteringen av transaktionen ska ske så snart som möjligt efter avvecklingen. </w:t>
            </w:r>
            <w:r w:rsidRPr="00F63843">
              <w:rPr>
                <w:b/>
                <w:i/>
              </w:rPr>
              <w:t>Om avvecklingen av någon del av transaktionen fortfarande pågår 20 dagar efter registreringsdagen, ska certifierade finansförmedlare inom de närmaste fem kalenderdagarna rapportera om den del för vilken avveckling pågår.</w:t>
            </w:r>
          </w:p>
        </w:tc>
        <w:tc>
          <w:tcPr>
            <w:tcW w:w="4876" w:type="dxa"/>
          </w:tcPr>
          <w:p w:rsidR="00C57617" w:rsidRPr="00F63843" w:rsidRDefault="00C57617" w:rsidP="000A5CE6">
            <w:pPr>
              <w:pStyle w:val="Normal6"/>
              <w:widowControl/>
            </w:pPr>
            <w:r w:rsidRPr="00F63843">
              <w:t>1.</w:t>
            </w:r>
            <w:r w:rsidRPr="00F63843">
              <w:tab/>
              <w:t>Medlemsstaterna ska vidta nödvändiga åtgärder för att kräva att certifierade finansförmedlare i sina nationella register rapporterar den information som avses i bilaga II till den behöriga myndigheten så snart som möjligt</w:t>
            </w:r>
            <w:r w:rsidRPr="00F63843">
              <w:rPr>
                <w:b/>
                <w:i/>
              </w:rPr>
              <w:t>, inom högst 20 kalenderdagar</w:t>
            </w:r>
            <w:r w:rsidRPr="00F63843">
              <w:t xml:space="preserve"> efter registreringsdagen, såvida inte en avvecklingsinstruktion avseende någon del av en transaktion är under behandling på registreringsdagen, i vilket fall rapporteringen av transaktionen ska ske så snart som möjligt efter avvecklingen. Om avvecklingen av någon del av transaktionen fortfarande pågår </w:t>
            </w:r>
            <w:r w:rsidRPr="00F63843">
              <w:rPr>
                <w:b/>
                <w:bCs/>
                <w:i/>
                <w:iCs/>
              </w:rPr>
              <w:t>15</w:t>
            </w:r>
            <w:r w:rsidRPr="00F63843">
              <w:t xml:space="preserve"> dagar efter registreringsdagen, ska certifierade finansförmedlare inom de närmaste fem kalenderdagarna rapportera om den del för vilken avveckling pågår.</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29</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9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r w:rsidRPr="00F63843">
              <w:t>2.</w:t>
            </w:r>
            <w:r w:rsidRPr="00F63843">
              <w:tab/>
              <w:t xml:space="preserve">Medlemsstaterna ska föreskriva att certifierade finansförmedlare inte behöver rapportera den information som avses i bilaga II, rubrik E, om den totala utdelning som betalas till den registrerade ägaren på ägarens aktieinnehav i ett bolag inte överstiger </w:t>
            </w:r>
            <w:r w:rsidRPr="00F63843">
              <w:rPr>
                <w:b/>
                <w:bCs/>
                <w:i/>
                <w:iCs/>
              </w:rPr>
              <w:t>1</w:t>
            </w:r>
            <w:r w:rsidRPr="00F63843">
              <w:t> </w:t>
            </w:r>
            <w:r w:rsidRPr="00F63843">
              <w:rPr>
                <w:b/>
                <w:i/>
              </w:rPr>
              <w:t>000</w:t>
            </w:r>
            <w:r w:rsidRPr="00F63843">
              <w:t> euro.</w:t>
            </w:r>
          </w:p>
        </w:tc>
        <w:tc>
          <w:tcPr>
            <w:tcW w:w="4876" w:type="dxa"/>
          </w:tcPr>
          <w:p w:rsidR="00C57617" w:rsidRPr="00F63843" w:rsidRDefault="00C57617" w:rsidP="000A5CE6">
            <w:pPr>
              <w:pStyle w:val="Normal6"/>
              <w:widowControl/>
            </w:pPr>
            <w:r w:rsidRPr="00F63843">
              <w:t>2.</w:t>
            </w:r>
            <w:r w:rsidRPr="00F63843">
              <w:tab/>
              <w:t xml:space="preserve">Medlemsstaterna ska föreskriva att certifierade finansförmedlare inte behöver rapportera den information som avses i bilaga II, rubrik E, om den totala utdelning som betalas till den registrerade ägaren på ägarens aktieinnehav i ett bolag inte överstiger </w:t>
            </w:r>
            <w:r w:rsidRPr="00F63843">
              <w:rPr>
                <w:b/>
                <w:bCs/>
                <w:i/>
                <w:iCs/>
              </w:rPr>
              <w:t>1</w:t>
            </w:r>
            <w:r w:rsidRPr="00F63843">
              <w:t> </w:t>
            </w:r>
            <w:r w:rsidRPr="00F63843">
              <w:rPr>
                <w:b/>
                <w:i/>
              </w:rPr>
              <w:t>500</w:t>
            </w:r>
            <w:r w:rsidRPr="00F63843">
              <w:t> euro.</w:t>
            </w:r>
          </w:p>
        </w:tc>
      </w:tr>
    </w:tbl>
    <w:p w:rsidR="00C57617" w:rsidRPr="00F63843" w:rsidRDefault="00C57617" w:rsidP="00C57617">
      <w:pPr>
        <w:widowControl/>
      </w:pPr>
    </w:p>
    <w:p w:rsidR="00C57617" w:rsidRPr="00F63843" w:rsidRDefault="00D0782F" w:rsidP="00C57617">
      <w:pPr>
        <w:pStyle w:val="AmNumberTabs"/>
        <w:keepNext/>
        <w:keepLines/>
        <w:widowControl/>
      </w:pPr>
      <w:r>
        <w:t>Ändring</w:t>
      </w:r>
      <w:r w:rsidR="00C57617" w:rsidRPr="00F63843">
        <w:tab/>
      </w:r>
      <w:r w:rsidR="00C57617" w:rsidRPr="00F63843">
        <w:tab/>
        <w:t>30</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9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r w:rsidRPr="00F63843">
              <w:lastRenderedPageBreak/>
              <w:t>5.</w:t>
            </w:r>
            <w:r w:rsidRPr="00F63843">
              <w:tab/>
              <w:t xml:space="preserve">Medlemsstaterna ska kräva att certifierade finansförmedlare i sina nationella register sparar den dokumentation som stöder den information som rapporterats i </w:t>
            </w:r>
            <w:r w:rsidRPr="00F63843">
              <w:rPr>
                <w:b/>
                <w:i/>
              </w:rPr>
              <w:t>fem</w:t>
            </w:r>
            <w:r w:rsidRPr="00F63843">
              <w:t xml:space="preserve"> år och ger tillgång till all annan information samt tillträde till sina lokaler för revisionsändamål och ska kräva att certifierade finansförmedlare raderar eller anonymiserar alla personuppgifter som ingår i sådan dokumentation så snart revisionen har slutförts och senast </w:t>
            </w:r>
            <w:r w:rsidRPr="00F63843">
              <w:rPr>
                <w:b/>
                <w:i/>
              </w:rPr>
              <w:t>fem</w:t>
            </w:r>
            <w:r w:rsidRPr="00F63843">
              <w:t xml:space="preserve"> år efter rapporteringen.</w:t>
            </w:r>
          </w:p>
        </w:tc>
        <w:tc>
          <w:tcPr>
            <w:tcW w:w="4876" w:type="dxa"/>
          </w:tcPr>
          <w:p w:rsidR="00C57617" w:rsidRPr="00F63843" w:rsidRDefault="00C57617" w:rsidP="000A5CE6">
            <w:pPr>
              <w:pStyle w:val="Normal6"/>
              <w:widowControl/>
            </w:pPr>
            <w:r w:rsidRPr="00F63843">
              <w:t>5.</w:t>
            </w:r>
            <w:r w:rsidRPr="00F63843">
              <w:tab/>
              <w:t xml:space="preserve">Medlemsstaterna ska kräva att certifierade finansförmedlare i sina nationella register sparar den dokumentation som stöder den information som rapporterats i </w:t>
            </w:r>
            <w:r w:rsidRPr="00F63843">
              <w:rPr>
                <w:b/>
                <w:i/>
              </w:rPr>
              <w:t>sex</w:t>
            </w:r>
            <w:r w:rsidRPr="00F63843">
              <w:t xml:space="preserve"> år och ger tillgång till all annan information samt tillträde till sina lokaler för revisionsändamål och ska kräva att certifierade finansförmedlare raderar eller anonymiserar alla personuppgifter som ingår i sådan dokumentation så snart revisionen har slutförts och senast </w:t>
            </w:r>
            <w:r w:rsidRPr="00F63843">
              <w:rPr>
                <w:b/>
                <w:i/>
              </w:rPr>
              <w:t>sex</w:t>
            </w:r>
            <w:r w:rsidRPr="00F63843">
              <w:t xml:space="preserve"> år efter rapporteringen.</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31</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10 – punkt 2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t>(a)</w:t>
            </w:r>
            <w:r w:rsidRPr="00F63843">
              <w:tab/>
              <w:t xml:space="preserve">utdelningen har betalats ut på en börsnoterad aktie som den registrerade ägaren förvärvat inom </w:t>
            </w:r>
            <w:r w:rsidRPr="00F63843">
              <w:rPr>
                <w:b/>
                <w:i/>
              </w:rPr>
              <w:t>två</w:t>
            </w:r>
            <w:r w:rsidRPr="00F63843">
              <w:t xml:space="preserve"> dagar före ex-dagen,</w:t>
            </w:r>
          </w:p>
        </w:tc>
        <w:tc>
          <w:tcPr>
            <w:tcW w:w="4876" w:type="dxa"/>
          </w:tcPr>
          <w:p w:rsidR="00C57617" w:rsidRPr="00F63843" w:rsidRDefault="00C57617" w:rsidP="000A5CE6">
            <w:pPr>
              <w:pStyle w:val="Normal6a"/>
              <w:widowControl/>
            </w:pPr>
            <w:r w:rsidRPr="00F63843">
              <w:t>(a)</w:t>
            </w:r>
            <w:r w:rsidRPr="00F63843">
              <w:tab/>
              <w:t xml:space="preserve">utdelningen har betalats ut på en börsnoterad aktie som den registrerade ägaren förvärvat inom </w:t>
            </w:r>
            <w:r w:rsidRPr="00F63843">
              <w:rPr>
                <w:b/>
                <w:i/>
              </w:rPr>
              <w:t>fem</w:t>
            </w:r>
            <w:r w:rsidRPr="00F63843">
              <w:t xml:space="preserve"> dagar före ex-dagen,</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32</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10 – punkt 3a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p>
        </w:tc>
        <w:tc>
          <w:tcPr>
            <w:tcW w:w="4876" w:type="dxa"/>
          </w:tcPr>
          <w:p w:rsidR="00C57617" w:rsidRPr="00F63843" w:rsidRDefault="00C57617" w:rsidP="000A5CE6">
            <w:pPr>
              <w:pStyle w:val="Normal6a"/>
              <w:widowControl/>
            </w:pPr>
            <w:r w:rsidRPr="00F63843">
              <w:rPr>
                <w:b/>
                <w:i/>
              </w:rPr>
              <w:t>3a.</w:t>
            </w:r>
            <w:r w:rsidRPr="00F63843">
              <w:tab/>
            </w:r>
            <w:r w:rsidRPr="00F63843">
              <w:rPr>
                <w:b/>
                <w:i/>
              </w:rPr>
              <w:t>Medlemsstaternas kontrollbefogenheter i enlighet med nationell lagstiftning avseende den beskattningsbara inkomst på vilken skattelättnaden tillämpats ska inte begränsas.</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33</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11 – punkt 1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lastRenderedPageBreak/>
              <w:t>1.</w:t>
            </w:r>
            <w:r w:rsidRPr="00F63843">
              <w:tab/>
              <w:t>Medlemsstaterna ska säkerställa att den certifierade finansförmedlare som ansöker om skattelättnad enligt artikel 12 och/eller 13 för en registrerad ägares räkning erhåller en förklaring från en sådan registrerad ägare om att den registrerade ägaren</w:t>
            </w:r>
          </w:p>
        </w:tc>
        <w:tc>
          <w:tcPr>
            <w:tcW w:w="4876" w:type="dxa"/>
          </w:tcPr>
          <w:p w:rsidR="00C57617" w:rsidRPr="00F63843" w:rsidRDefault="00C57617" w:rsidP="000A5CE6">
            <w:pPr>
              <w:pStyle w:val="Normal6a"/>
              <w:widowControl/>
            </w:pPr>
            <w:r w:rsidRPr="00F63843">
              <w:t>1.</w:t>
            </w:r>
            <w:r w:rsidRPr="00F63843">
              <w:tab/>
              <w:t xml:space="preserve">Medlemsstaterna ska </w:t>
            </w:r>
            <w:r w:rsidRPr="00F63843">
              <w:rPr>
                <w:b/>
                <w:i/>
              </w:rPr>
              <w:t xml:space="preserve">vidta nödvändiga åtgärder för att </w:t>
            </w:r>
            <w:r w:rsidRPr="00F63843">
              <w:t>säkerställa att den certifierade finansförmedlare som ansöker om skattelättnad enligt artikel 12 och/eller 13 för en registrerad ägares räkning erhåller en förklaring från en sådan registrerad ägare om att den registrerade ägaren</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34</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11 – punkt 1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t>(a)</w:t>
            </w:r>
            <w:r w:rsidRPr="00F63843">
              <w:tab/>
              <w:t>är den som har rätt till utdelningen eller räntan enligt definitionen i ursprungsmedlemsstatens nationella lagstiftning, och</w:t>
            </w:r>
          </w:p>
        </w:tc>
        <w:tc>
          <w:tcPr>
            <w:tcW w:w="4876" w:type="dxa"/>
          </w:tcPr>
          <w:p w:rsidR="00C57617" w:rsidRPr="00F63843" w:rsidRDefault="00C57617" w:rsidP="000A5CE6">
            <w:pPr>
              <w:pStyle w:val="Normal6a"/>
              <w:widowControl/>
            </w:pPr>
            <w:r w:rsidRPr="00F63843">
              <w:t>(a)</w:t>
            </w:r>
            <w:r w:rsidRPr="00F63843">
              <w:tab/>
              <w:t>är den som har rätt till utdelningen eller räntan enligt definitionen i ursprungsmedlemsstatens nationella lagstiftning</w:t>
            </w:r>
            <w:r w:rsidRPr="00F63843">
              <w:rPr>
                <w:b/>
                <w:i/>
              </w:rPr>
              <w:t xml:space="preserve"> eller ett dubbelbeskattningsavtal</w:t>
            </w:r>
            <w:r w:rsidRPr="00F63843">
              <w:t>, och</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35</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11 – punkt 2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t>2.</w:t>
            </w:r>
            <w:r w:rsidRPr="00F63843">
              <w:tab/>
              <w:t>Medlemsstaterna ska säkerställa att certifierade finansförmedlare som ansöker om skattelättnad enligt artikel 12 och/eller 13 för en registrerad ägares räkning kontrollerar följande:</w:t>
            </w:r>
          </w:p>
        </w:tc>
        <w:tc>
          <w:tcPr>
            <w:tcW w:w="4876" w:type="dxa"/>
          </w:tcPr>
          <w:p w:rsidR="00C57617" w:rsidRPr="00F63843" w:rsidRDefault="00C57617" w:rsidP="000A5CE6">
            <w:pPr>
              <w:pStyle w:val="Normal6a"/>
              <w:widowControl/>
            </w:pPr>
            <w:r w:rsidRPr="00F63843">
              <w:t>2.</w:t>
            </w:r>
            <w:r w:rsidRPr="00F63843">
              <w:tab/>
              <w:t xml:space="preserve">Medlemsstaterna ska </w:t>
            </w:r>
            <w:r w:rsidRPr="00F63843">
              <w:rPr>
                <w:b/>
                <w:i/>
              </w:rPr>
              <w:t xml:space="preserve">vidta nödvändiga åtgärder för att </w:t>
            </w:r>
            <w:r w:rsidRPr="00F63843">
              <w:t>säkerställa att certifierade finansförmedlare som ansöker om skattelättnad enligt artikel 12 och/eller 13 för en registrerad ägares räkning kontrollerar följande:</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36</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11 – punkt 2 – led aa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p>
        </w:tc>
        <w:tc>
          <w:tcPr>
            <w:tcW w:w="4876" w:type="dxa"/>
          </w:tcPr>
          <w:p w:rsidR="00C57617" w:rsidRPr="00F63843" w:rsidRDefault="00C57617" w:rsidP="000A5CE6">
            <w:pPr>
              <w:pStyle w:val="Normal6a"/>
              <w:widowControl/>
            </w:pPr>
            <w:r w:rsidRPr="00F63843">
              <w:rPr>
                <w:b/>
                <w:i/>
              </w:rPr>
              <w:t>(aa)</w:t>
            </w:r>
            <w:r w:rsidRPr="00F63843">
              <w:tab/>
            </w:r>
            <w:r w:rsidRPr="00F63843">
              <w:rPr>
                <w:b/>
                <w:bCs/>
                <w:i/>
                <w:iCs/>
              </w:rPr>
              <w:t xml:space="preserve">Risker när det gäller de system med uppehållstillstånd och medborgarskap i utbyte mot investeringar som kan utgöra en hög risk, enligt vad som fastställts av Organisationen för </w:t>
            </w:r>
            <w:r w:rsidRPr="00F63843">
              <w:rPr>
                <w:b/>
                <w:bCs/>
                <w:i/>
                <w:iCs/>
              </w:rPr>
              <w:lastRenderedPageBreak/>
              <w:t>ekonomiskt samarbete och utveckling (OECD), i samband med ett eventuellt missbruk av ett elektroniskt intyg om skatterättslig hemvist som utfärdats av medlemsstater eller tredjeländer som erbjuder sådana system.</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37</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11 – punkt 2 – led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t>(d)</w:t>
            </w:r>
            <w:r w:rsidRPr="00F63843">
              <w:tab/>
              <w:t xml:space="preserve">Vid betalning av utdelning och på grundval av den information som den certifierade finansförmedlaren har tillgång till, den eventuella förekomsten av finansiella arrangemang som inte har avvecklats, löpt ut eller på annat sätt avslutats vid ex-dagen, såvida inte den utdelning som betalas till den registrerade ägaren för varje grupp av identiska aktier som innehas inte överstiger </w:t>
            </w:r>
            <w:r w:rsidRPr="00F63843">
              <w:rPr>
                <w:b/>
                <w:bCs/>
                <w:i/>
                <w:iCs/>
              </w:rPr>
              <w:t>1 000</w:t>
            </w:r>
            <w:r w:rsidRPr="00F63843">
              <w:t> euro.</w:t>
            </w:r>
          </w:p>
        </w:tc>
        <w:tc>
          <w:tcPr>
            <w:tcW w:w="4876" w:type="dxa"/>
          </w:tcPr>
          <w:p w:rsidR="00C57617" w:rsidRPr="00F63843" w:rsidRDefault="00C57617" w:rsidP="000A5CE6">
            <w:pPr>
              <w:pStyle w:val="Normal6a"/>
              <w:widowControl/>
            </w:pPr>
            <w:r w:rsidRPr="00F63843">
              <w:t>(d)</w:t>
            </w:r>
            <w:r w:rsidRPr="00F63843">
              <w:tab/>
              <w:t xml:space="preserve">Vid betalning av utdelning och på grundval av den information som den certifierade finansförmedlaren har tillgång till, den eventuella förekomsten av finansiella arrangemang som inte har avvecklats, löpt ut eller på annat sätt avslutats vid ex-dagen, såvida inte den utdelning som betalas till den registrerade ägaren för varje grupp av identiska aktier som innehas inte överstiger </w:t>
            </w:r>
            <w:r w:rsidRPr="00F63843">
              <w:rPr>
                <w:b/>
                <w:bCs/>
                <w:i/>
                <w:iCs/>
              </w:rPr>
              <w:t>1 500</w:t>
            </w:r>
            <w:r w:rsidRPr="00F63843">
              <w:t> euro.</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38</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11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p>
        </w:tc>
        <w:tc>
          <w:tcPr>
            <w:tcW w:w="4876" w:type="dxa"/>
          </w:tcPr>
          <w:p w:rsidR="00C57617" w:rsidRPr="00F63843" w:rsidRDefault="00C57617" w:rsidP="000A5CE6">
            <w:pPr>
              <w:pStyle w:val="Normal6a"/>
              <w:widowControl/>
            </w:pPr>
            <w:r w:rsidRPr="00F63843">
              <w:rPr>
                <w:b/>
                <w:i/>
              </w:rPr>
              <w:t>2a.</w:t>
            </w:r>
            <w:r w:rsidRPr="00F63843">
              <w:tab/>
            </w:r>
            <w:r w:rsidRPr="00F63843">
              <w:rPr>
                <w:b/>
                <w:i/>
              </w:rPr>
              <w:t>Medlemsstaterna får tillåta att den förklaring som avses i punkt 1 inhämtas och att de kontroller som avses i punkt 2 utförs på årsbasis och, på ad hoc-basis, när det finns skäl att anta att omständigheterna förändrats eller att felaktig eller otillförlitlig information lämnats.</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39</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11 – punkt 3a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p>
        </w:tc>
        <w:tc>
          <w:tcPr>
            <w:tcW w:w="4876" w:type="dxa"/>
          </w:tcPr>
          <w:p w:rsidR="00C57617" w:rsidRPr="00F63843" w:rsidRDefault="00C57617" w:rsidP="000A5CE6">
            <w:pPr>
              <w:pStyle w:val="Normal6a"/>
              <w:widowControl/>
            </w:pPr>
            <w:r w:rsidRPr="00F63843">
              <w:rPr>
                <w:b/>
                <w:i/>
              </w:rPr>
              <w:t>3a.</w:t>
            </w:r>
            <w:r w:rsidRPr="00F63843">
              <w:tab/>
            </w:r>
            <w:r w:rsidRPr="00F63843">
              <w:rPr>
                <w:b/>
                <w:i/>
              </w:rPr>
              <w:t>Kommissionen ges befogenhet att anta riktlinjer för uppfyllandet av de krav som fastställs i punkt 2.</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40</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13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t>1.</w:t>
            </w:r>
            <w:r w:rsidRPr="00F63843">
              <w:tab/>
              <w:t xml:space="preserve">Medlemsstaterna får tillåta certifierade finansförmedlare som driver en registrerad ägares investeringskonto att begära snabb återbetalning av den överskjutande källskatten, för en sådan registrerad ägares räkning i enlighet med artikel 10, om den information som avses i punkt 3 i denna artikel lämnas </w:t>
            </w:r>
            <w:r w:rsidRPr="00F63843">
              <w:rPr>
                <w:b/>
                <w:i/>
              </w:rPr>
              <w:t xml:space="preserve">så snart som möjligt efter betalningsdagen och senast </w:t>
            </w:r>
            <w:r w:rsidRPr="00F63843">
              <w:t>inom 25 kalenderdagar från den dag då utdelningen eller räntan betalades.</w:t>
            </w:r>
          </w:p>
        </w:tc>
        <w:tc>
          <w:tcPr>
            <w:tcW w:w="4876" w:type="dxa"/>
          </w:tcPr>
          <w:p w:rsidR="00C57617" w:rsidRPr="00F63843" w:rsidRDefault="00C57617" w:rsidP="000A5CE6">
            <w:pPr>
              <w:pStyle w:val="Normal6a"/>
              <w:widowControl/>
            </w:pPr>
            <w:r w:rsidRPr="00F63843">
              <w:t>1.</w:t>
            </w:r>
            <w:r w:rsidRPr="00F63843">
              <w:tab/>
              <w:t>Medlemsstaterna får tillåta certifierade finansförmedlare som driver en registrerad ägares investeringskonto att begära snabb återbetalning av den överskjutande källskatten, för en sådan registrerad ägares räkning i enlighet med artikel 10, om den information som avses i punkt 3 i denna artikel lämnas inom 25 kalenderdagar från den dag då utdelningen eller räntan betalades.</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41</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13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t>2.</w:t>
            </w:r>
            <w:r w:rsidRPr="00F63843">
              <w:tab/>
              <w:t>Medlemsstaterna ska behandla en begäran om återbetalning som gjorts i enlighet med punkt 1 inom 25 kalenderdagar från dagen för en sådan begäran eller från den dag då alla relevanta certifierade finansförmedlare har uppfyllt rapporteringsskyldigheterna enligt detta direktiv, beroende på vilket som inträffar sist. Medlemsstaterna ska tillämpa ränta i enlighet med artikel</w:t>
            </w:r>
            <w:r w:rsidRPr="00F63843">
              <w:rPr>
                <w:b/>
                <w:i/>
              </w:rPr>
              <w:t xml:space="preserve"> </w:t>
            </w:r>
            <w:r w:rsidRPr="00F63843">
              <w:t>14 på återbetalningsbeloppet för varje dag som förseningen infaller efter den 25:e dagen.</w:t>
            </w:r>
          </w:p>
        </w:tc>
        <w:tc>
          <w:tcPr>
            <w:tcW w:w="4876" w:type="dxa"/>
          </w:tcPr>
          <w:p w:rsidR="00C57617" w:rsidRPr="00F63843" w:rsidRDefault="00C57617" w:rsidP="000A5CE6">
            <w:pPr>
              <w:pStyle w:val="Normal6a"/>
              <w:widowControl/>
            </w:pPr>
            <w:r w:rsidRPr="00F63843">
              <w:t>2.</w:t>
            </w:r>
            <w:r w:rsidRPr="00F63843">
              <w:tab/>
              <w:t>Medlemsstaterna ska behandla en begäran om återbetalning som gjorts i enlighet med punkt 1 inom 25 kalenderdagar från dagen för en sådan begäran eller från den dag då alla relevanta certifierade finansförmedlare har uppfyllt rapporteringsskyldigheterna enligt detta direktiv, beroende på vilket som inträffar sist. Medlemsstaterna ska tillämpa ränta i enlighet med artikel</w:t>
            </w:r>
            <w:r w:rsidRPr="00F63843">
              <w:rPr>
                <w:b/>
                <w:i/>
              </w:rPr>
              <w:t> </w:t>
            </w:r>
            <w:r w:rsidRPr="00F63843">
              <w:t>14 på återbetalningsbeloppet för varje dag som förseningen infaller efter den 25:e dagen</w:t>
            </w:r>
            <w:r w:rsidRPr="00F63843">
              <w:rPr>
                <w:b/>
                <w:i/>
              </w:rPr>
              <w:t>, såvida inte medlemsstaten har rimliga skäl att betvivla att begäran om återbetalning är berättigad</w:t>
            </w:r>
            <w:r w:rsidRPr="00F63843">
              <w:t>.</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42</w:t>
      </w:r>
    </w:p>
    <w:p w:rsidR="00C57617" w:rsidRPr="00F63843" w:rsidRDefault="00C57617" w:rsidP="00C57617">
      <w:pPr>
        <w:pStyle w:val="NormalBold12b"/>
        <w:widowControl/>
      </w:pPr>
      <w:r w:rsidRPr="00F63843">
        <w:lastRenderedPageBreak/>
        <w:t>Förslag till direktiv</w:t>
      </w:r>
    </w:p>
    <w:p w:rsidR="00C57617" w:rsidRPr="00F63843" w:rsidRDefault="00C57617" w:rsidP="00C57617">
      <w:pPr>
        <w:pStyle w:val="NormalBold"/>
        <w:widowControl/>
      </w:pPr>
      <w:r w:rsidRPr="00F63843">
        <w:t>Artikel 13 – punkt 3a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p>
        </w:tc>
        <w:tc>
          <w:tcPr>
            <w:tcW w:w="4876" w:type="dxa"/>
          </w:tcPr>
          <w:p w:rsidR="00C57617" w:rsidRPr="00F63843" w:rsidRDefault="00C57617" w:rsidP="000A5CE6">
            <w:pPr>
              <w:pStyle w:val="Normal6a"/>
              <w:widowControl/>
            </w:pPr>
            <w:r w:rsidRPr="00F63843">
              <w:rPr>
                <w:b/>
                <w:i/>
              </w:rPr>
              <w:t>3a.</w:t>
            </w:r>
            <w:r w:rsidRPr="00F63843">
              <w:tab/>
            </w:r>
            <w:r w:rsidRPr="00F63843">
              <w:rPr>
                <w:b/>
                <w:i/>
              </w:rPr>
              <w:t>Medlemsstaterna får avslå en begäran om återbetalning om eventuella kontrollförfaranden eller skatterevisioner, baserade på riskbedömningskriterier och i enlighet med nationell lagstiftning, har inletts.</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43</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t xml:space="preserve">Om artikel 12 och artikel 13 inte är tillämpliga på utdelning på grund av att villkoren i detta direktiv inte är uppfyllda, ska medlemsstaterna vidta lämpliga åtgärder för att säkerställa att en registrerad ägare eller dennes befullmäktigade ombud som begär återbetalning av den överskjutande källskatten på sådan utdelning lämnar åtminstone den information som krävs enligt rubrik E i bilaga II, såvida inte den totala utdelning som betalas till den registrerade ägaren på ägarens aktieinnehav i ett bolag inte överstiger </w:t>
            </w:r>
            <w:r w:rsidRPr="00F63843">
              <w:rPr>
                <w:b/>
                <w:bCs/>
                <w:i/>
                <w:iCs/>
              </w:rPr>
              <w:t>1 000</w:t>
            </w:r>
            <w:r w:rsidRPr="00F63843">
              <w:t> euro och denna information redan har lämnats i enlighet med skyldigheterna i artikel 9.</w:t>
            </w:r>
          </w:p>
        </w:tc>
        <w:tc>
          <w:tcPr>
            <w:tcW w:w="4876" w:type="dxa"/>
          </w:tcPr>
          <w:p w:rsidR="00C57617" w:rsidRPr="00F63843" w:rsidRDefault="00C57617" w:rsidP="000A5CE6">
            <w:pPr>
              <w:pStyle w:val="Normal6a"/>
              <w:widowControl/>
            </w:pPr>
            <w:r w:rsidRPr="00F63843">
              <w:t xml:space="preserve">Om artikel 12 och artikel 13 inte är tillämpliga på utdelning på grund av att villkoren i detta direktiv inte är uppfyllda, ska medlemsstaterna vidta lämpliga åtgärder för att säkerställa att en registrerad ägare eller dennes befullmäktigade ombud som begär återbetalning av den överskjutande källskatten på sådan utdelning lämnar åtminstone den information som krävs enligt rubrik E i bilaga II, såvida inte den totala utdelning som betalas till den registrerade ägaren på ägarens aktieinnehav i ett bolag inte överstiger </w:t>
            </w:r>
            <w:r w:rsidRPr="00F63843">
              <w:rPr>
                <w:b/>
                <w:bCs/>
                <w:i/>
                <w:iCs/>
              </w:rPr>
              <w:t>1 500</w:t>
            </w:r>
            <w:r w:rsidRPr="00F63843">
              <w:t> euro och denna information redan har lämnats i enlighet med skyldigheterna i artikel 9.</w:t>
            </w:r>
          </w:p>
        </w:tc>
      </w:tr>
    </w:tbl>
    <w:p w:rsidR="00C57617" w:rsidRPr="00F63843" w:rsidRDefault="00C57617" w:rsidP="00C57617">
      <w:pPr>
        <w:widowControl/>
      </w:pPr>
    </w:p>
    <w:p w:rsidR="00C57617" w:rsidRPr="00F63843" w:rsidRDefault="00D0782F" w:rsidP="00C57617">
      <w:pPr>
        <w:pStyle w:val="AmNumberTabs"/>
        <w:keepNext/>
        <w:keepLines/>
        <w:widowControl/>
      </w:pPr>
      <w:r>
        <w:t>Ändring</w:t>
      </w:r>
      <w:r w:rsidR="00C57617" w:rsidRPr="00F63843">
        <w:tab/>
      </w:r>
      <w:r w:rsidR="00C57617" w:rsidRPr="00F63843">
        <w:tab/>
        <w:t>44</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18a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p>
        </w:tc>
        <w:tc>
          <w:tcPr>
            <w:tcW w:w="4876" w:type="dxa"/>
          </w:tcPr>
          <w:p w:rsidR="00C57617" w:rsidRPr="00F63843" w:rsidRDefault="00C57617" w:rsidP="000A5CE6">
            <w:pPr>
              <w:pStyle w:val="Normal6a"/>
              <w:widowControl/>
              <w:jc w:val="center"/>
            </w:pPr>
            <w:r w:rsidRPr="00F63843">
              <w:rPr>
                <w:b/>
                <w:i/>
              </w:rPr>
              <w:t>Artikel 18a</w:t>
            </w:r>
          </w:p>
        </w:tc>
      </w:tr>
      <w:tr w:rsidR="00C57617" w:rsidRPr="00F63843" w:rsidTr="000A5CE6">
        <w:trPr>
          <w:jc w:val="center"/>
        </w:trPr>
        <w:tc>
          <w:tcPr>
            <w:tcW w:w="4876" w:type="dxa"/>
          </w:tcPr>
          <w:p w:rsidR="00C57617" w:rsidRPr="00F63843" w:rsidRDefault="00C57617" w:rsidP="000A5CE6">
            <w:pPr>
              <w:pStyle w:val="Normal6a"/>
              <w:widowControl/>
            </w:pPr>
          </w:p>
        </w:tc>
        <w:tc>
          <w:tcPr>
            <w:tcW w:w="4876" w:type="dxa"/>
          </w:tcPr>
          <w:p w:rsidR="00C57617" w:rsidRPr="00F63843" w:rsidRDefault="00C57617" w:rsidP="000A5CE6">
            <w:pPr>
              <w:pStyle w:val="Normal6a"/>
              <w:widowControl/>
              <w:jc w:val="center"/>
            </w:pPr>
            <w:r w:rsidRPr="00F63843">
              <w:rPr>
                <w:b/>
                <w:i/>
              </w:rPr>
              <w:t>Övervakning och utbyte av information</w:t>
            </w:r>
          </w:p>
        </w:tc>
      </w:tr>
      <w:tr w:rsidR="00C57617" w:rsidRPr="00F63843" w:rsidTr="000A5CE6">
        <w:trPr>
          <w:jc w:val="center"/>
        </w:trPr>
        <w:tc>
          <w:tcPr>
            <w:tcW w:w="4876" w:type="dxa"/>
          </w:tcPr>
          <w:p w:rsidR="00C57617" w:rsidRPr="00F63843" w:rsidRDefault="00C57617" w:rsidP="000A5CE6">
            <w:pPr>
              <w:pStyle w:val="Normal6a"/>
              <w:widowControl/>
            </w:pPr>
          </w:p>
        </w:tc>
        <w:tc>
          <w:tcPr>
            <w:tcW w:w="4876" w:type="dxa"/>
          </w:tcPr>
          <w:p w:rsidR="00C57617" w:rsidRPr="00F63843" w:rsidRDefault="00C57617" w:rsidP="000A5CE6">
            <w:pPr>
              <w:pStyle w:val="Normal6a"/>
              <w:widowControl/>
            </w:pPr>
            <w:r w:rsidRPr="00F63843">
              <w:rPr>
                <w:b/>
                <w:i/>
              </w:rPr>
              <w:t>1.</w:t>
            </w:r>
            <w:r w:rsidRPr="00F63843">
              <w:rPr>
                <w:b/>
                <w:i/>
              </w:rPr>
              <w:tab/>
              <w:t xml:space="preserve">För att säkerställa den inre marknadens integritet ska Europeiska värdepappers- och marknadsmyndigheten </w:t>
            </w:r>
            <w:r w:rsidRPr="00F63843">
              <w:rPr>
                <w:b/>
                <w:i/>
              </w:rPr>
              <w:lastRenderedPageBreak/>
              <w:t>(Esma) och Europeiska bankmyndigheten (EBA) regelbundet övervaka risken för cum-cum- och cum-ex-system i unionen.</w:t>
            </w:r>
          </w:p>
        </w:tc>
      </w:tr>
      <w:tr w:rsidR="00C57617" w:rsidRPr="00F63843" w:rsidTr="000A5CE6">
        <w:trPr>
          <w:jc w:val="center"/>
        </w:trPr>
        <w:tc>
          <w:tcPr>
            <w:tcW w:w="4876" w:type="dxa"/>
          </w:tcPr>
          <w:p w:rsidR="00C57617" w:rsidRPr="00F63843" w:rsidRDefault="00C57617" w:rsidP="000A5CE6">
            <w:pPr>
              <w:pStyle w:val="Normal6a"/>
              <w:widowControl/>
            </w:pPr>
          </w:p>
        </w:tc>
        <w:tc>
          <w:tcPr>
            <w:tcW w:w="4876" w:type="dxa"/>
          </w:tcPr>
          <w:p w:rsidR="00C57617" w:rsidRPr="00F63843" w:rsidRDefault="00C57617" w:rsidP="000A5CE6">
            <w:pPr>
              <w:pStyle w:val="Normal6a"/>
              <w:widowControl/>
            </w:pPr>
            <w:r w:rsidRPr="00F63843">
              <w:rPr>
                <w:b/>
                <w:i/>
              </w:rPr>
              <w:t>2.</w:t>
            </w:r>
            <w:r w:rsidRPr="00F63843">
              <w:rPr>
                <w:b/>
                <w:i/>
              </w:rPr>
              <w:tab/>
              <w:t>Medlemsstaterna ska införa samordnat samarbete och ömsesidigt bistånd mellan nationella behöriga myndigheter, skattemyndigheter och andra brottsbekämpande organ, såsom Europeiska åklagarmyndigheten (Eppo), för att upptäcka och lagföra olagliga system för system för begäran om återbetalning av källskatt.</w:t>
            </w:r>
          </w:p>
        </w:tc>
      </w:tr>
    </w:tbl>
    <w:p w:rsidR="00C57617" w:rsidRPr="00F63843" w:rsidRDefault="00C57617" w:rsidP="00C57617">
      <w:pPr>
        <w:widowControl/>
      </w:pPr>
    </w:p>
    <w:p w:rsidR="00C57617" w:rsidRPr="00F63843" w:rsidRDefault="00D0782F" w:rsidP="00C57617">
      <w:pPr>
        <w:pStyle w:val="AMNumberTabs0"/>
        <w:keepNext/>
        <w:widowControl/>
      </w:pPr>
      <w:r>
        <w:t>Ändring</w:t>
      </w:r>
      <w:r w:rsidR="00C57617" w:rsidRPr="00F63843">
        <w:tab/>
      </w:r>
      <w:r w:rsidR="00C57617" w:rsidRPr="00F63843">
        <w:tab/>
        <w:t>45</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Artikel 19 – rubriken</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r w:rsidRPr="00F63843">
              <w:t>Utvärdering</w:t>
            </w:r>
          </w:p>
        </w:tc>
        <w:tc>
          <w:tcPr>
            <w:tcW w:w="4876" w:type="dxa"/>
          </w:tcPr>
          <w:p w:rsidR="00C57617" w:rsidRPr="00F63843" w:rsidRDefault="00C57617" w:rsidP="000A5CE6">
            <w:pPr>
              <w:pStyle w:val="Normal6"/>
              <w:widowControl/>
              <w:rPr>
                <w:szCs w:val="24"/>
              </w:rPr>
            </w:pPr>
            <w:r w:rsidRPr="00F63843">
              <w:rPr>
                <w:b/>
                <w:i/>
              </w:rPr>
              <w:t xml:space="preserve">Allmän </w:t>
            </w:r>
            <w:r w:rsidRPr="00F63843">
              <w:t>utvärdering</w:t>
            </w:r>
            <w:r w:rsidRPr="00F63843">
              <w:rPr>
                <w:b/>
                <w:i/>
              </w:rPr>
              <w:t>, översyn och revidering</w:t>
            </w:r>
          </w:p>
        </w:tc>
      </w:tr>
    </w:tbl>
    <w:p w:rsidR="00C57617" w:rsidRPr="00F63843" w:rsidRDefault="00C57617" w:rsidP="00C57617">
      <w:pPr>
        <w:widowControl/>
      </w:pPr>
    </w:p>
    <w:p w:rsidR="00C57617" w:rsidRPr="00F63843" w:rsidRDefault="00D0782F" w:rsidP="00C57617">
      <w:pPr>
        <w:pStyle w:val="AMNumberTabs0"/>
        <w:keepNext/>
        <w:widowControl/>
      </w:pPr>
      <w:r>
        <w:t>Ändring</w:t>
      </w:r>
      <w:r w:rsidR="00C57617" w:rsidRPr="00F63843">
        <w:tab/>
      </w:r>
      <w:r w:rsidR="00C57617" w:rsidRPr="00F63843">
        <w:tab/>
        <w:t>46</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Artikel 19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r w:rsidRPr="00F63843">
              <w:t>1.</w:t>
            </w:r>
            <w:r w:rsidRPr="00F63843">
              <w:tab/>
              <w:t xml:space="preserve">Kommissionen ska vart femte år undersöka och utvärdera hur detta direktiv fungerar, efter det att de nationella bestämmelser som införlivar direktivet börjar gälla. En rapport om utvärderingen av direktivet, inbegripet ett eventuellt behov av att ändra särskilda bestämmelser i </w:t>
            </w:r>
            <w:r w:rsidRPr="00F63843">
              <w:rPr>
                <w:b/>
                <w:i/>
              </w:rPr>
              <w:t>direktivet</w:t>
            </w:r>
            <w:r w:rsidRPr="00F63843">
              <w:t>, kommer att läggas fram för Europaparlamentet och rådet senast i december 2031 och vart femte år.</w:t>
            </w:r>
          </w:p>
        </w:tc>
        <w:tc>
          <w:tcPr>
            <w:tcW w:w="4876" w:type="dxa"/>
          </w:tcPr>
          <w:p w:rsidR="00C57617" w:rsidRPr="00F63843" w:rsidRDefault="00C57617" w:rsidP="000A5CE6">
            <w:pPr>
              <w:pStyle w:val="Normal6"/>
              <w:widowControl/>
              <w:rPr>
                <w:szCs w:val="24"/>
              </w:rPr>
            </w:pPr>
            <w:r w:rsidRPr="00F63843">
              <w:t>1.</w:t>
            </w:r>
            <w:r w:rsidRPr="00F63843">
              <w:tab/>
              <w:t>Kommissionen ska vart femte år undersöka och utvärdera hur detta direktiv fungerar, efter det att de nationella bestämmelser som införlivar direktivet börjar gälla. En rapport om utvärderingen av direktivet</w:t>
            </w:r>
            <w:r w:rsidRPr="00F63843">
              <w:rPr>
                <w:b/>
                <w:i/>
              </w:rPr>
              <w:t xml:space="preserve"> och om de tillämpliga reglerna för källskatt i medlemsstaterna</w:t>
            </w:r>
            <w:r w:rsidRPr="00F63843">
              <w:t xml:space="preserve">, inbegripet ett eventuellt behov av att ändra särskilda bestämmelser i </w:t>
            </w:r>
            <w:r w:rsidRPr="00F63843">
              <w:rPr>
                <w:b/>
                <w:i/>
              </w:rPr>
              <w:t>detta direktiv</w:t>
            </w:r>
            <w:r w:rsidRPr="00F63843">
              <w:t xml:space="preserve">, kommer att läggas fram för Europaparlamentet och rådet senast i december 2031 och vart femte år. </w:t>
            </w:r>
            <w:r w:rsidRPr="00F63843">
              <w:rPr>
                <w:b/>
                <w:i/>
              </w:rPr>
              <w:t>I denna utvärderingsrapport ska kommissionen</w:t>
            </w:r>
          </w:p>
        </w:tc>
      </w:tr>
    </w:tbl>
    <w:p w:rsidR="00C57617" w:rsidRPr="00F63843" w:rsidRDefault="00C57617" w:rsidP="00C57617">
      <w:pPr>
        <w:widowControl/>
      </w:pPr>
    </w:p>
    <w:p w:rsidR="00C57617" w:rsidRPr="00F63843" w:rsidRDefault="00D0782F" w:rsidP="00C57617">
      <w:pPr>
        <w:pStyle w:val="AMNumberTabs0"/>
        <w:keepNext/>
        <w:widowControl/>
      </w:pPr>
      <w:r>
        <w:lastRenderedPageBreak/>
        <w:t>Ändring</w:t>
      </w:r>
      <w:r w:rsidR="00C57617" w:rsidRPr="00F63843">
        <w:tab/>
      </w:r>
      <w:r w:rsidR="00C57617" w:rsidRPr="00F63843">
        <w:tab/>
        <w:t>47</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Artikel 19 – punkt 1 – led 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p>
        </w:tc>
        <w:tc>
          <w:tcPr>
            <w:tcW w:w="4876" w:type="dxa"/>
          </w:tcPr>
          <w:p w:rsidR="00C57617" w:rsidRPr="00F63843" w:rsidRDefault="00C57617" w:rsidP="000A5CE6">
            <w:pPr>
              <w:pStyle w:val="Normal6"/>
              <w:widowControl/>
              <w:rPr>
                <w:szCs w:val="24"/>
              </w:rPr>
            </w:pPr>
            <w:r w:rsidRPr="00F63843">
              <w:rPr>
                <w:b/>
                <w:i/>
              </w:rPr>
              <w:t>(a)</w:t>
            </w:r>
            <w:r w:rsidRPr="00F63843">
              <w:rPr>
                <w:b/>
                <w:i/>
              </w:rPr>
              <w:tab/>
              <w:t>undersöka ytterligare möjliga åtgärder för att göra det lättare för små investerare som har direkt kontakt med skattemyndigheterna att själva göra ansökningar om återbetalning av källskatt utan förmedling av certifierade finansförmedlare,</w:t>
            </w:r>
          </w:p>
        </w:tc>
      </w:tr>
    </w:tbl>
    <w:p w:rsidR="00C57617" w:rsidRPr="00F63843" w:rsidRDefault="00C57617" w:rsidP="00C57617">
      <w:pPr>
        <w:widowControl/>
      </w:pPr>
    </w:p>
    <w:p w:rsidR="00C57617" w:rsidRPr="00F63843" w:rsidRDefault="00D0782F" w:rsidP="00C57617">
      <w:pPr>
        <w:pStyle w:val="AMNumberTabs0"/>
        <w:keepNext/>
        <w:widowControl/>
      </w:pPr>
      <w:r>
        <w:t>Ändring</w:t>
      </w:r>
      <w:r w:rsidR="00C57617" w:rsidRPr="00F63843">
        <w:tab/>
      </w:r>
      <w:r w:rsidR="00C57617" w:rsidRPr="00F63843">
        <w:tab/>
        <w:t>48</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Artikel 19 – punkt 1 – led b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p>
        </w:tc>
        <w:tc>
          <w:tcPr>
            <w:tcW w:w="4876" w:type="dxa"/>
          </w:tcPr>
          <w:p w:rsidR="00C57617" w:rsidRPr="00F63843" w:rsidRDefault="00C57617" w:rsidP="000A5CE6">
            <w:pPr>
              <w:pStyle w:val="Normal6"/>
              <w:widowControl/>
              <w:rPr>
                <w:szCs w:val="24"/>
              </w:rPr>
            </w:pPr>
            <w:r w:rsidRPr="00F63843">
              <w:rPr>
                <w:b/>
                <w:i/>
              </w:rPr>
              <w:t>(b)</w:t>
            </w:r>
            <w:r w:rsidRPr="00F63843">
              <w:rPr>
                <w:b/>
                <w:i/>
              </w:rPr>
              <w:tab/>
              <w:t>bedöma hur förfarandena för källskattelättnader kan förenklas ytterligare för icke-professionella investerare,</w:t>
            </w:r>
          </w:p>
        </w:tc>
      </w:tr>
    </w:tbl>
    <w:p w:rsidR="00C57617" w:rsidRPr="00F63843" w:rsidRDefault="00C57617" w:rsidP="00C57617">
      <w:pPr>
        <w:widowControl/>
      </w:pPr>
    </w:p>
    <w:p w:rsidR="00C57617" w:rsidRPr="00F63843" w:rsidRDefault="00D0782F" w:rsidP="00C57617">
      <w:pPr>
        <w:pStyle w:val="AMNumberTabs0"/>
        <w:keepNext/>
        <w:widowControl/>
      </w:pPr>
      <w:r>
        <w:t>Ändring</w:t>
      </w:r>
      <w:r w:rsidR="00C57617" w:rsidRPr="00F63843">
        <w:tab/>
      </w:r>
      <w:r w:rsidR="00C57617" w:rsidRPr="00F63843">
        <w:tab/>
        <w:t>49</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Artikel 19 – punkt 1 – led c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p>
        </w:tc>
        <w:tc>
          <w:tcPr>
            <w:tcW w:w="4876" w:type="dxa"/>
          </w:tcPr>
          <w:p w:rsidR="00C57617" w:rsidRPr="00F63843" w:rsidRDefault="00C57617" w:rsidP="000A5CE6">
            <w:pPr>
              <w:pStyle w:val="Normal6"/>
              <w:widowControl/>
              <w:rPr>
                <w:szCs w:val="24"/>
              </w:rPr>
            </w:pPr>
            <w:r w:rsidRPr="00F63843">
              <w:rPr>
                <w:b/>
                <w:i/>
              </w:rPr>
              <w:t>(c)</w:t>
            </w:r>
            <w:r w:rsidRPr="00F63843">
              <w:rPr>
                <w:b/>
                <w:i/>
              </w:rPr>
              <w:tab/>
              <w:t>genomföra en omfattande analys av utvecklingen av de serviceavgifter som finansförmedlare tar ut av registrerade ägare för genomförandet av förfarandet för snabb återbetalning och förfarandet för källskattelättnad,</w:t>
            </w:r>
          </w:p>
        </w:tc>
      </w:tr>
    </w:tbl>
    <w:p w:rsidR="00C57617" w:rsidRPr="00F63843" w:rsidRDefault="00C57617" w:rsidP="00C57617">
      <w:pPr>
        <w:widowControl/>
      </w:pPr>
    </w:p>
    <w:p w:rsidR="00C57617" w:rsidRPr="00F63843" w:rsidRDefault="00D0782F" w:rsidP="00C57617">
      <w:pPr>
        <w:pStyle w:val="AMNumberTabs0"/>
        <w:keepNext/>
        <w:widowControl/>
      </w:pPr>
      <w:r>
        <w:t>Ändring</w:t>
      </w:r>
      <w:r w:rsidR="00C57617" w:rsidRPr="00F63843">
        <w:tab/>
      </w:r>
      <w:r w:rsidR="00C57617" w:rsidRPr="00F63843">
        <w:tab/>
        <w:t>50</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Artikel 19 – punkt 1 – led d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p>
        </w:tc>
        <w:tc>
          <w:tcPr>
            <w:tcW w:w="4876" w:type="dxa"/>
          </w:tcPr>
          <w:p w:rsidR="00C57617" w:rsidRPr="00F63843" w:rsidRDefault="00C57617" w:rsidP="000A5CE6">
            <w:pPr>
              <w:pStyle w:val="Normal6"/>
              <w:widowControl/>
              <w:rPr>
                <w:szCs w:val="24"/>
              </w:rPr>
            </w:pPr>
            <w:r w:rsidRPr="00F63843">
              <w:rPr>
                <w:b/>
                <w:i/>
              </w:rPr>
              <w:t>(d)</w:t>
            </w:r>
            <w:r w:rsidRPr="00F63843">
              <w:rPr>
                <w:b/>
                <w:i/>
              </w:rPr>
              <w:tab/>
              <w:t xml:space="preserve">undersöka om ett system med källskattelättnad skulle kunna övervägas som ett förfarande för alla medlemsstater, och införa ytterligare åtgärder för att underlätta ett sådant system för små och medelstora företag, </w:t>
            </w:r>
          </w:p>
        </w:tc>
      </w:tr>
    </w:tbl>
    <w:p w:rsidR="00C57617" w:rsidRPr="00F63843" w:rsidRDefault="00C57617" w:rsidP="00C57617">
      <w:pPr>
        <w:widowControl/>
      </w:pPr>
    </w:p>
    <w:p w:rsidR="00C57617" w:rsidRPr="00F63843" w:rsidRDefault="00D0782F" w:rsidP="00C57617">
      <w:pPr>
        <w:pStyle w:val="AMNumberTabs0"/>
        <w:keepNext/>
        <w:widowControl/>
      </w:pPr>
      <w:r>
        <w:t>Ändring</w:t>
      </w:r>
      <w:r w:rsidR="00C57617" w:rsidRPr="00F63843">
        <w:tab/>
      </w:r>
      <w:r w:rsidR="00C57617" w:rsidRPr="00F63843">
        <w:tab/>
        <w:t>51</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Artikel 19 – punkt 1 – led e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p>
        </w:tc>
        <w:tc>
          <w:tcPr>
            <w:tcW w:w="4876" w:type="dxa"/>
          </w:tcPr>
          <w:p w:rsidR="00C57617" w:rsidRPr="00F63843" w:rsidRDefault="00C57617" w:rsidP="000A5CE6">
            <w:pPr>
              <w:pStyle w:val="Normal6"/>
              <w:widowControl/>
              <w:rPr>
                <w:szCs w:val="24"/>
              </w:rPr>
            </w:pPr>
            <w:r w:rsidRPr="00F63843">
              <w:rPr>
                <w:b/>
                <w:i/>
              </w:rPr>
              <w:t>(e)</w:t>
            </w:r>
            <w:r w:rsidRPr="00F63843">
              <w:rPr>
                <w:b/>
                <w:i/>
              </w:rPr>
              <w:tab/>
              <w:t xml:space="preserve">undersöka huruvida medlemsstaterna fortfarande påverkas av eller är benägna att utsättas för utdelningsarbitrage och avknoppningssystem, såsom cum-ex- och cum-cum-system, och huruvida befintliga åtgärder på området för källskatt är tillräckliga för att bekämpa skattebedrägeri, skatteundandragande och skatteflykt, eller om ytterligare åtgärder skulle behövas, såsom att beskatta kapitalvinster vid avyttring av aktier och avgifter för värdepapperslån som är likvärdiga med utdelningar, som ett sätt att avskräcka och minska utdelningsarbitrage; kommissionen ska i detta avseende samla in bevis från medlemsstater som får stöd från EBA, Esma, Eppo och relevanta nationella behöriga myndigheter, </w:t>
            </w:r>
          </w:p>
        </w:tc>
      </w:tr>
    </w:tbl>
    <w:p w:rsidR="00C57617" w:rsidRPr="00F63843" w:rsidRDefault="00C57617" w:rsidP="00C57617">
      <w:pPr>
        <w:widowControl/>
      </w:pPr>
    </w:p>
    <w:p w:rsidR="00C57617" w:rsidRPr="00F63843" w:rsidRDefault="00D0782F" w:rsidP="00C57617">
      <w:pPr>
        <w:pStyle w:val="AMNumberTabs0"/>
        <w:keepNext/>
        <w:widowControl/>
      </w:pPr>
      <w:r>
        <w:t>Ändring</w:t>
      </w:r>
      <w:r w:rsidR="00C57617" w:rsidRPr="00F63843">
        <w:tab/>
      </w:r>
      <w:r w:rsidR="00C57617" w:rsidRPr="00F63843">
        <w:tab/>
        <w:t>52</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Artikel 19 – punkt 1 – led f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p>
        </w:tc>
        <w:tc>
          <w:tcPr>
            <w:tcW w:w="4876" w:type="dxa"/>
          </w:tcPr>
          <w:p w:rsidR="00C57617" w:rsidRPr="00F63843" w:rsidRDefault="00C57617" w:rsidP="000A5CE6">
            <w:pPr>
              <w:pStyle w:val="Normal6"/>
              <w:widowControl/>
              <w:rPr>
                <w:szCs w:val="24"/>
              </w:rPr>
            </w:pPr>
            <w:r w:rsidRPr="00F63843">
              <w:rPr>
                <w:b/>
                <w:i/>
              </w:rPr>
              <w:t>(f)</w:t>
            </w:r>
            <w:r w:rsidRPr="00F63843">
              <w:rPr>
                <w:b/>
                <w:i/>
              </w:rPr>
              <w:tab/>
              <w:t xml:space="preserve">vid behov överväga ytterligare åtgärder för att säkerställa att alla utdelningar, räntor, kapitalvinster, </w:t>
            </w:r>
            <w:r w:rsidRPr="00F63843">
              <w:rPr>
                <w:b/>
                <w:i/>
              </w:rPr>
              <w:lastRenderedPageBreak/>
              <w:t xml:space="preserve">royaltybetalningar, betalningar av yrkesmässiga tjänster och relevanta kontraktsbetalningar som genereras i unionen beskattas åtminstone en gång med en effektiv skattesats, </w:t>
            </w:r>
          </w:p>
        </w:tc>
      </w:tr>
    </w:tbl>
    <w:p w:rsidR="00C57617" w:rsidRPr="00F63843" w:rsidRDefault="00C57617" w:rsidP="00C57617">
      <w:pPr>
        <w:widowControl/>
      </w:pPr>
    </w:p>
    <w:p w:rsidR="00C57617" w:rsidRPr="00F63843" w:rsidRDefault="00D0782F" w:rsidP="00C57617">
      <w:pPr>
        <w:pStyle w:val="AMNumberTabs0"/>
        <w:keepNext/>
        <w:widowControl/>
      </w:pPr>
      <w:r>
        <w:t>Ändring</w:t>
      </w:r>
      <w:r w:rsidR="00C57617" w:rsidRPr="00F63843">
        <w:tab/>
      </w:r>
      <w:r w:rsidR="00C57617" w:rsidRPr="00F63843">
        <w:tab/>
        <w:t>53</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Artikel 19 – punkt 1 – led g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p>
        </w:tc>
        <w:tc>
          <w:tcPr>
            <w:tcW w:w="4876" w:type="dxa"/>
          </w:tcPr>
          <w:p w:rsidR="00C57617" w:rsidRPr="00F63843" w:rsidRDefault="00C57617" w:rsidP="000A5CE6">
            <w:pPr>
              <w:pStyle w:val="Normal6"/>
              <w:widowControl/>
              <w:rPr>
                <w:szCs w:val="24"/>
              </w:rPr>
            </w:pPr>
            <w:r w:rsidRPr="00F63843">
              <w:rPr>
                <w:b/>
                <w:i/>
              </w:rPr>
              <w:t>(g)</w:t>
            </w:r>
            <w:r w:rsidRPr="00F63843">
              <w:rPr>
                <w:b/>
                <w:i/>
              </w:rPr>
              <w:tab/>
              <w:t>undersöka huruvida system för distribuerade liggare eller andra tekniska verktyg har potential att göra systemet mer effektivt och bedrägerisäkert genom bättre identifiering av den verkliga huvudmannen,</w:t>
            </w:r>
          </w:p>
        </w:tc>
      </w:tr>
    </w:tbl>
    <w:p w:rsidR="00C57617" w:rsidRPr="00F63843" w:rsidRDefault="00C57617" w:rsidP="00C57617">
      <w:pPr>
        <w:widowControl/>
      </w:pPr>
    </w:p>
    <w:p w:rsidR="00C57617" w:rsidRPr="00F63843" w:rsidRDefault="00D0782F" w:rsidP="00C57617">
      <w:pPr>
        <w:pStyle w:val="AMNumberTabs0"/>
        <w:keepNext/>
        <w:widowControl/>
      </w:pPr>
      <w:r>
        <w:t>Ändring</w:t>
      </w:r>
      <w:r w:rsidR="00C57617" w:rsidRPr="00F63843">
        <w:tab/>
      </w:r>
      <w:r w:rsidR="00C57617" w:rsidRPr="00F63843">
        <w:tab/>
        <w:t>54</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Artikel 19 – punkt 1 – led h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p>
        </w:tc>
        <w:tc>
          <w:tcPr>
            <w:tcW w:w="4876" w:type="dxa"/>
          </w:tcPr>
          <w:p w:rsidR="00C57617" w:rsidRPr="00F63843" w:rsidRDefault="00C57617" w:rsidP="000A5CE6">
            <w:pPr>
              <w:pStyle w:val="Normal6"/>
              <w:widowControl/>
              <w:rPr>
                <w:szCs w:val="24"/>
              </w:rPr>
            </w:pPr>
            <w:r w:rsidRPr="00F63843">
              <w:rPr>
                <w:b/>
                <w:i/>
              </w:rPr>
              <w:t>(h)</w:t>
            </w:r>
            <w:r w:rsidRPr="00F63843">
              <w:rPr>
                <w:b/>
                <w:i/>
              </w:rPr>
              <w:tab/>
              <w:t>undersöka möjliga åtgärder för att digitalisera förfarandena för skattelättnad och återbetalning samt ansökningarna om återbetalning,</w:t>
            </w:r>
          </w:p>
        </w:tc>
      </w:tr>
    </w:tbl>
    <w:p w:rsidR="00C57617" w:rsidRPr="00F63843" w:rsidRDefault="00C57617" w:rsidP="00C57617">
      <w:pPr>
        <w:widowControl/>
      </w:pPr>
    </w:p>
    <w:p w:rsidR="00C57617" w:rsidRPr="00F63843" w:rsidRDefault="00D0782F" w:rsidP="00C57617">
      <w:pPr>
        <w:pStyle w:val="AMNumberTabs0"/>
        <w:keepNext/>
        <w:widowControl/>
      </w:pPr>
      <w:r>
        <w:t>Ändring</w:t>
      </w:r>
      <w:r w:rsidR="00C57617" w:rsidRPr="00F63843">
        <w:tab/>
      </w:r>
      <w:r w:rsidR="00C57617" w:rsidRPr="00F63843">
        <w:tab/>
        <w:t>55</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Artikel 19 – punkt 1 – led i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p>
        </w:tc>
        <w:tc>
          <w:tcPr>
            <w:tcW w:w="4876" w:type="dxa"/>
          </w:tcPr>
          <w:p w:rsidR="00C57617" w:rsidRPr="00F63843" w:rsidRDefault="00C57617" w:rsidP="000A5CE6">
            <w:pPr>
              <w:pStyle w:val="Normal6"/>
              <w:widowControl/>
              <w:rPr>
                <w:szCs w:val="24"/>
              </w:rPr>
            </w:pPr>
            <w:r w:rsidRPr="00F63843">
              <w:rPr>
                <w:b/>
                <w:i/>
              </w:rPr>
              <w:t>(i)</w:t>
            </w:r>
            <w:r w:rsidRPr="00F63843">
              <w:rPr>
                <w:b/>
                <w:i/>
              </w:rPr>
              <w:tab/>
              <w:t>bedöma huruvida elektroniska eller digitala signaturer och användning av e-legitimation godtas för att underlätta verifieringsprocessen för enskilda investerare.</w:t>
            </w:r>
          </w:p>
        </w:tc>
      </w:tr>
    </w:tbl>
    <w:p w:rsidR="00C57617" w:rsidRPr="00F63843" w:rsidRDefault="00C57617" w:rsidP="00C57617">
      <w:pPr>
        <w:widowControl/>
      </w:pPr>
    </w:p>
    <w:p w:rsidR="00C57617" w:rsidRPr="00F63843" w:rsidRDefault="00D0782F" w:rsidP="00C57617">
      <w:pPr>
        <w:pStyle w:val="AMNumberTabs0"/>
        <w:keepNext/>
        <w:widowControl/>
      </w:pPr>
      <w:r>
        <w:lastRenderedPageBreak/>
        <w:t>Ändring</w:t>
      </w:r>
      <w:r w:rsidR="00C57617" w:rsidRPr="00F63843">
        <w:tab/>
      </w:r>
      <w:r w:rsidR="00C57617" w:rsidRPr="00F63843">
        <w:tab/>
        <w:t>56</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Artikel 19 – punkt 1 – stycke 1a (nytt)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p>
        </w:tc>
        <w:tc>
          <w:tcPr>
            <w:tcW w:w="4876" w:type="dxa"/>
          </w:tcPr>
          <w:p w:rsidR="00C57617" w:rsidRPr="00F63843" w:rsidRDefault="00C57617" w:rsidP="000A5CE6">
            <w:pPr>
              <w:pStyle w:val="Normal6"/>
              <w:widowControl/>
              <w:rPr>
                <w:szCs w:val="24"/>
              </w:rPr>
            </w:pPr>
            <w:r w:rsidRPr="00F63843">
              <w:rPr>
                <w:b/>
                <w:i/>
              </w:rPr>
              <w:t>När så är lämpligt ska utvärderingsrapporten åtföljas av ett lagstiftningsförslag.</w:t>
            </w:r>
          </w:p>
        </w:tc>
      </w:tr>
    </w:tbl>
    <w:p w:rsidR="00C57617" w:rsidRPr="00F63843" w:rsidRDefault="00C57617" w:rsidP="00C57617">
      <w:pPr>
        <w:widowControl/>
      </w:pPr>
    </w:p>
    <w:p w:rsidR="00C57617" w:rsidRPr="00F63843" w:rsidRDefault="00D0782F" w:rsidP="00C57617">
      <w:pPr>
        <w:pStyle w:val="AMNumberTabs0"/>
        <w:keepNext/>
        <w:widowControl/>
      </w:pPr>
      <w:r>
        <w:t>Ändring</w:t>
      </w:r>
      <w:r w:rsidR="00C57617" w:rsidRPr="00F63843">
        <w:tab/>
      </w:r>
      <w:r w:rsidR="00C57617" w:rsidRPr="00F63843">
        <w:tab/>
        <w:t>57</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Artikel 19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r w:rsidRPr="00F63843">
              <w:t>2.</w:t>
            </w:r>
            <w:r w:rsidRPr="00F63843">
              <w:tab/>
              <w:t xml:space="preserve">Medlemsstaterna ska till kommissionen överlämna relevant </w:t>
            </w:r>
            <w:r w:rsidRPr="00F63843">
              <w:rPr>
                <w:b/>
                <w:i/>
              </w:rPr>
              <w:t>information för utvärderingen av direktivet när det gäller att förbättra förfarandena</w:t>
            </w:r>
            <w:r w:rsidRPr="00F63843">
              <w:t xml:space="preserve"> för </w:t>
            </w:r>
            <w:r w:rsidRPr="00F63843">
              <w:rPr>
                <w:b/>
                <w:i/>
              </w:rPr>
              <w:t>källskattelättnad för att minska dubbelbeskattning och bekämpa skattefusk</w:t>
            </w:r>
            <w:r w:rsidRPr="00F63843">
              <w:t>, i enlighet med punkt 3.</w:t>
            </w:r>
          </w:p>
        </w:tc>
        <w:tc>
          <w:tcPr>
            <w:tcW w:w="4876" w:type="dxa"/>
          </w:tcPr>
          <w:p w:rsidR="00C57617" w:rsidRPr="00F63843" w:rsidRDefault="00C57617" w:rsidP="000A5CE6">
            <w:pPr>
              <w:pStyle w:val="Normal6"/>
              <w:widowControl/>
              <w:rPr>
                <w:szCs w:val="24"/>
              </w:rPr>
            </w:pPr>
            <w:r w:rsidRPr="00F63843">
              <w:t>2.</w:t>
            </w:r>
            <w:r w:rsidRPr="00F63843">
              <w:tab/>
              <w:t xml:space="preserve">Medlemsstaterna ska till </w:t>
            </w:r>
            <w:r w:rsidRPr="00F63843">
              <w:rPr>
                <w:b/>
                <w:i/>
              </w:rPr>
              <w:t xml:space="preserve">Europaparlamentet och </w:t>
            </w:r>
            <w:r w:rsidRPr="00F63843">
              <w:t xml:space="preserve">kommissionen överlämna relevant </w:t>
            </w:r>
            <w:r w:rsidRPr="00F63843">
              <w:rPr>
                <w:b/>
                <w:i/>
              </w:rPr>
              <w:t>statistisk information</w:t>
            </w:r>
            <w:r w:rsidRPr="00F63843">
              <w:t xml:space="preserve"> för </w:t>
            </w:r>
            <w:r w:rsidRPr="00F63843">
              <w:rPr>
                <w:b/>
                <w:i/>
              </w:rPr>
              <w:t>den utvärdering som avses i punkt 1</w:t>
            </w:r>
            <w:r w:rsidRPr="00F63843">
              <w:t>, i enlighet med punkt 3.</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58</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19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p>
        </w:tc>
        <w:tc>
          <w:tcPr>
            <w:tcW w:w="4876" w:type="dxa"/>
          </w:tcPr>
          <w:p w:rsidR="00C57617" w:rsidRPr="00F63843" w:rsidRDefault="00C57617" w:rsidP="000A5CE6">
            <w:pPr>
              <w:pStyle w:val="Normal6a"/>
              <w:widowControl/>
            </w:pPr>
            <w:r w:rsidRPr="00F63843">
              <w:rPr>
                <w:b/>
                <w:i/>
              </w:rPr>
              <w:t>2a.</w:t>
            </w:r>
            <w:r w:rsidRPr="00F63843">
              <w:tab/>
            </w:r>
            <w:r w:rsidRPr="00F63843">
              <w:rPr>
                <w:b/>
                <w:i/>
              </w:rPr>
              <w:t>Europeiska kommissionen ska i samarbete med medlemsstaterna aktivt bedöma om detta direktiv påverkar riskerna för skattebedrägeri och skattemissbruk samt dess inverkan på skatteintäkter.</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59</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19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lastRenderedPageBreak/>
              <w:t>3.</w:t>
            </w:r>
            <w:r w:rsidRPr="00F63843">
              <w:tab/>
              <w:t>Kommissionen ska genom genomförandeakter specificera vilka uppgifter som medlemsstaterna ska lämna för utvärderingen samt i vilket format och på vilka villkor denna information ska lämnas.</w:t>
            </w:r>
          </w:p>
        </w:tc>
        <w:tc>
          <w:tcPr>
            <w:tcW w:w="4876" w:type="dxa"/>
          </w:tcPr>
          <w:p w:rsidR="00C57617" w:rsidRPr="00F63843" w:rsidRDefault="00C57617" w:rsidP="000A5CE6">
            <w:pPr>
              <w:pStyle w:val="Normal6a"/>
              <w:widowControl/>
            </w:pPr>
            <w:r w:rsidRPr="00F63843">
              <w:t>3.</w:t>
            </w:r>
            <w:r w:rsidRPr="00F63843">
              <w:tab/>
              <w:t xml:space="preserve">Kommissionen ska genom genomförandeakter specificera vilka </w:t>
            </w:r>
            <w:r w:rsidRPr="00F63843">
              <w:rPr>
                <w:b/>
                <w:i/>
              </w:rPr>
              <w:t xml:space="preserve">statistiska </w:t>
            </w:r>
            <w:r w:rsidRPr="00F63843">
              <w:t>uppgifter som medlemsstaterna ska lämna för utvärderingen samt i vilket format och på vilka villkor denna information ska lämnas.</w:t>
            </w:r>
          </w:p>
        </w:tc>
      </w:tr>
    </w:tbl>
    <w:p w:rsidR="00C57617" w:rsidRPr="00F63843" w:rsidRDefault="00C57617" w:rsidP="00C57617">
      <w:pPr>
        <w:widowControl/>
      </w:pPr>
    </w:p>
    <w:p w:rsidR="00C57617" w:rsidRPr="00F63843" w:rsidRDefault="00D0782F" w:rsidP="00C57617">
      <w:pPr>
        <w:pStyle w:val="AmNumberTabs"/>
        <w:widowControl/>
      </w:pPr>
      <w:r>
        <w:t>Ändring</w:t>
      </w:r>
      <w:r w:rsidR="00C57617" w:rsidRPr="00F63843">
        <w:tab/>
      </w:r>
      <w:r w:rsidR="00C57617" w:rsidRPr="00F63843">
        <w:tab/>
        <w:t>60</w:t>
      </w:r>
    </w:p>
    <w:p w:rsidR="00C57617" w:rsidRPr="00F63843" w:rsidRDefault="00C57617" w:rsidP="00C57617">
      <w:pPr>
        <w:pStyle w:val="NormalBold12b"/>
        <w:widowControl/>
      </w:pPr>
      <w:r w:rsidRPr="00F63843">
        <w:t>Förslag till direktiv</w:t>
      </w:r>
    </w:p>
    <w:p w:rsidR="00C57617" w:rsidRPr="00F63843" w:rsidRDefault="00C57617" w:rsidP="00C57617">
      <w:pPr>
        <w:pStyle w:val="NormalBold"/>
        <w:widowControl/>
      </w:pPr>
      <w:r w:rsidRPr="00F63843">
        <w:t>Artikel 19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7617" w:rsidRPr="00F63843" w:rsidTr="000A5CE6">
        <w:trPr>
          <w:trHeight w:hRule="exact" w:val="240"/>
          <w:jc w:val="center"/>
        </w:trPr>
        <w:tc>
          <w:tcPr>
            <w:tcW w:w="9752" w:type="dxa"/>
            <w:gridSpan w:val="2"/>
          </w:tcPr>
          <w:p w:rsidR="00C57617" w:rsidRPr="00F63843" w:rsidRDefault="00C57617" w:rsidP="000A5CE6">
            <w:pPr>
              <w:widowControl/>
            </w:pPr>
          </w:p>
        </w:tc>
      </w:tr>
      <w:tr w:rsidR="00C57617" w:rsidRPr="00F63843" w:rsidTr="000A5CE6">
        <w:trPr>
          <w:trHeight w:val="240"/>
          <w:jc w:val="center"/>
        </w:trPr>
        <w:tc>
          <w:tcPr>
            <w:tcW w:w="4876" w:type="dxa"/>
          </w:tcPr>
          <w:p w:rsidR="00C57617" w:rsidRPr="00F63843" w:rsidRDefault="00C57617" w:rsidP="000A5CE6">
            <w:pPr>
              <w:pStyle w:val="AmColumnHeading"/>
              <w:widowControl/>
            </w:pPr>
            <w:r w:rsidRPr="00F63843">
              <w:t>Kommissionens förslag</w:t>
            </w:r>
          </w:p>
        </w:tc>
        <w:tc>
          <w:tcPr>
            <w:tcW w:w="4876" w:type="dxa"/>
          </w:tcPr>
          <w:p w:rsidR="00C57617" w:rsidRPr="00F63843" w:rsidRDefault="00D0782F" w:rsidP="000A5CE6">
            <w:pPr>
              <w:pStyle w:val="AmColumnHeading"/>
              <w:widowControl/>
            </w:pPr>
            <w:r>
              <w:t>Ändring</w:t>
            </w:r>
          </w:p>
        </w:tc>
      </w:tr>
      <w:tr w:rsidR="00C57617" w:rsidRPr="00F63843" w:rsidTr="000A5CE6">
        <w:trPr>
          <w:jc w:val="center"/>
        </w:trPr>
        <w:tc>
          <w:tcPr>
            <w:tcW w:w="4876" w:type="dxa"/>
          </w:tcPr>
          <w:p w:rsidR="00C57617" w:rsidRPr="00F63843" w:rsidRDefault="00C57617" w:rsidP="000A5CE6">
            <w:pPr>
              <w:pStyle w:val="Normal6a"/>
              <w:widowControl/>
            </w:pPr>
            <w:r w:rsidRPr="00F63843">
              <w:t>5.</w:t>
            </w:r>
            <w:r w:rsidRPr="00F63843">
              <w:tab/>
              <w:t>Upplysningar som har lämnats till kommissionen av en medlemsstat enligt artikel 2, samt alla rapporter eller dokument som har utarbetats av kommissionen med användning av sådana upplysningar, får lämnas till övriga medlemsstater. Sådana lämnade upplysningar ska omfattas av den sekretess och åtnjuta samma skydd som liknande upplysningar ges enligt nationell rätt i den mottagande medlemsstaten.</w:t>
            </w:r>
          </w:p>
        </w:tc>
        <w:tc>
          <w:tcPr>
            <w:tcW w:w="4876" w:type="dxa"/>
          </w:tcPr>
          <w:p w:rsidR="00C57617" w:rsidRPr="00F63843" w:rsidRDefault="00C57617" w:rsidP="000A5CE6">
            <w:pPr>
              <w:pStyle w:val="Normal6a"/>
              <w:widowControl/>
            </w:pPr>
            <w:r w:rsidRPr="00F63843">
              <w:t>5.</w:t>
            </w:r>
            <w:r w:rsidRPr="00F63843">
              <w:tab/>
              <w:t xml:space="preserve">Upplysningar som har lämnats till kommissionen av en medlemsstat enligt artikel 2, samt alla rapporter eller dokument som har utarbetats av kommissionen med användning av sådana upplysningar, får lämnas till </w:t>
            </w:r>
            <w:r w:rsidRPr="00F63843">
              <w:rPr>
                <w:b/>
                <w:i/>
              </w:rPr>
              <w:t xml:space="preserve">Europaparlamentet och </w:t>
            </w:r>
            <w:r w:rsidRPr="00F63843">
              <w:t>övriga medlemsstater. Sådana lämnade upplysningar ska omfattas av den sekretess och åtnjuta samma skydd som liknande upplysningar ges enligt nationell rätt i den mottagande medlemsstaten.</w:t>
            </w:r>
          </w:p>
        </w:tc>
      </w:tr>
    </w:tbl>
    <w:p w:rsidR="00C57617" w:rsidRPr="00F63843" w:rsidRDefault="00C57617" w:rsidP="00C57617">
      <w:pPr>
        <w:widowControl/>
      </w:pPr>
    </w:p>
    <w:p w:rsidR="00C57617" w:rsidRPr="00F63843" w:rsidRDefault="00D0782F" w:rsidP="00C57617">
      <w:pPr>
        <w:pStyle w:val="AMNumberTabs0"/>
        <w:keepNext/>
        <w:widowControl/>
      </w:pPr>
      <w:r>
        <w:t>Ändring</w:t>
      </w:r>
      <w:r w:rsidR="00C57617" w:rsidRPr="00F63843">
        <w:tab/>
      </w:r>
      <w:r w:rsidR="00C57617" w:rsidRPr="00F63843">
        <w:tab/>
        <w:t>61</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Artikel 20 – punkt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F63843" w:rsidTr="000A5CE6">
        <w:trPr>
          <w:jc w:val="center"/>
        </w:trPr>
        <w:tc>
          <w:tcPr>
            <w:tcW w:w="4876" w:type="dxa"/>
          </w:tcPr>
          <w:p w:rsidR="00C57617" w:rsidRPr="00F63843" w:rsidRDefault="00C57617" w:rsidP="000A5CE6">
            <w:pPr>
              <w:pStyle w:val="Normal6"/>
              <w:widowControl/>
            </w:pPr>
            <w:r w:rsidRPr="00F63843">
              <w:t>1.</w:t>
            </w:r>
            <w:r w:rsidRPr="00F63843">
              <w:tab/>
              <w:t>Medlemsstaterna ska begränsa registrerades rättigheter enligt artiklarna 15–19 i Europaparlamentets och rådets förordning (EU) 2016/679</w:t>
            </w:r>
            <w:r w:rsidRPr="00F63843">
              <w:rPr>
                <w:vertAlign w:val="superscript"/>
              </w:rPr>
              <w:t>45</w:t>
            </w:r>
            <w:r w:rsidRPr="00F63843">
              <w:t xml:space="preserve"> endast i den utsträckning och endast så länge det är strikt nödvändigt för deras behöriga myndigheter att minska risken för skattebedrägeri, skatteundandragande eller skatteflykt i medlemsstaterna, särskilt genom att kontrollera att den korrekta källskattesatsen tillämpas på den registrerade ägaren, eller genom att kontrollera att den registrerade ägaren </w:t>
            </w:r>
            <w:r w:rsidRPr="00F63843">
              <w:lastRenderedPageBreak/>
              <w:t>erhåller skattelättnaden, om ägaren har rätt till denna, i rätt tid.</w:t>
            </w:r>
          </w:p>
        </w:tc>
        <w:tc>
          <w:tcPr>
            <w:tcW w:w="4876" w:type="dxa"/>
          </w:tcPr>
          <w:p w:rsidR="00C57617" w:rsidRPr="00F63843" w:rsidRDefault="00C57617" w:rsidP="000A5CE6">
            <w:pPr>
              <w:pStyle w:val="Normal6"/>
              <w:widowControl/>
              <w:rPr>
                <w:szCs w:val="24"/>
              </w:rPr>
            </w:pPr>
            <w:r w:rsidRPr="00F63843">
              <w:lastRenderedPageBreak/>
              <w:t>1.</w:t>
            </w:r>
            <w:r w:rsidRPr="00F63843">
              <w:tab/>
              <w:t>Medlemsstaterna ska begränsa registrerades rättigheter enligt artiklarna 15–19 i Europaparlamentets och rådets förordning (EU) 2016/679</w:t>
            </w:r>
            <w:r w:rsidRPr="00F63843">
              <w:rPr>
                <w:vertAlign w:val="superscript"/>
              </w:rPr>
              <w:t>45</w:t>
            </w:r>
            <w:r w:rsidRPr="00F63843">
              <w:rPr>
                <w:b/>
                <w:i/>
              </w:rPr>
              <w:t>, i den utsträckning som utövandet av sådana rättigheter skulle kunna äventyra utredningar, och</w:t>
            </w:r>
            <w:r w:rsidRPr="00F63843">
              <w:t xml:space="preserve"> endast i den utsträckning och endast så länge det är strikt nödvändigt för deras behöriga myndigheter att minska risken för skattebedrägeri, skatteundandragande eller skatteflykt i medlemsstaterna, särskilt genom att kontrollera att den korrekta källskattesatsen tillämpas på den registrerade ägaren, eller </w:t>
            </w:r>
            <w:r w:rsidRPr="00F63843">
              <w:lastRenderedPageBreak/>
              <w:t xml:space="preserve">genom att kontrollera att den registrerade ägaren erhåller skattelättnaden, om ägaren har rätt till denna, i rätt tid. </w:t>
            </w:r>
            <w:r w:rsidRPr="00F63843">
              <w:rPr>
                <w:b/>
                <w:i/>
              </w:rPr>
              <w:t>De registrerades rättigheter ska återställas så snart de villkor som låg till grund för begränsningen inte längre föreligger.</w:t>
            </w:r>
          </w:p>
        </w:tc>
      </w:tr>
      <w:tr w:rsidR="00C57617" w:rsidRPr="00F63843" w:rsidTr="000A5CE6">
        <w:trPr>
          <w:jc w:val="center"/>
        </w:trPr>
        <w:tc>
          <w:tcPr>
            <w:tcW w:w="4876" w:type="dxa"/>
          </w:tcPr>
          <w:p w:rsidR="00C57617" w:rsidRPr="00F63843" w:rsidRDefault="00C57617" w:rsidP="000A5CE6">
            <w:pPr>
              <w:pStyle w:val="Normal6"/>
              <w:widowControl/>
            </w:pPr>
            <w:r w:rsidRPr="00F63843">
              <w:lastRenderedPageBreak/>
              <w:t>__________________</w:t>
            </w:r>
          </w:p>
        </w:tc>
        <w:tc>
          <w:tcPr>
            <w:tcW w:w="4876" w:type="dxa"/>
          </w:tcPr>
          <w:p w:rsidR="00C57617" w:rsidRPr="00F63843" w:rsidRDefault="00C57617" w:rsidP="000A5CE6">
            <w:pPr>
              <w:pStyle w:val="Normal6"/>
              <w:widowControl/>
              <w:rPr>
                <w:szCs w:val="24"/>
              </w:rPr>
            </w:pPr>
            <w:r w:rsidRPr="00F63843">
              <w:t>__________________</w:t>
            </w:r>
          </w:p>
        </w:tc>
      </w:tr>
      <w:tr w:rsidR="00C57617" w:rsidRPr="00F63843" w:rsidTr="000A5CE6">
        <w:trPr>
          <w:jc w:val="center"/>
        </w:trPr>
        <w:tc>
          <w:tcPr>
            <w:tcW w:w="4876" w:type="dxa"/>
          </w:tcPr>
          <w:p w:rsidR="00C57617" w:rsidRPr="00F63843" w:rsidRDefault="00C57617" w:rsidP="000A5CE6">
            <w:pPr>
              <w:pStyle w:val="Normal6"/>
              <w:widowControl/>
            </w:pPr>
            <w:r w:rsidRPr="00F63843">
              <w:rPr>
                <w:vertAlign w:val="superscript"/>
              </w:rPr>
              <w:t>45</w:t>
            </w:r>
            <w:r w:rsidRPr="00F63843">
              <w:t xml:space="preserve"> Europaparlamentets och rådets förordning (EU) 2016/679 av den 27 april 2016 om skydd för fysiska personer med avseende på behandling av personuppgifter och om det fria flödet av sådana uppgifter och om upphävande av direktiv 95/46/EG (EUT L 119, 4.5.2016, s. 1)</w:t>
            </w:r>
          </w:p>
        </w:tc>
        <w:tc>
          <w:tcPr>
            <w:tcW w:w="4876" w:type="dxa"/>
          </w:tcPr>
          <w:p w:rsidR="00C57617" w:rsidRPr="00F63843" w:rsidRDefault="00C57617" w:rsidP="000A5CE6">
            <w:pPr>
              <w:pStyle w:val="Normal6"/>
              <w:widowControl/>
              <w:rPr>
                <w:szCs w:val="24"/>
              </w:rPr>
            </w:pPr>
            <w:r w:rsidRPr="00F63843">
              <w:rPr>
                <w:vertAlign w:val="superscript"/>
              </w:rPr>
              <w:t>45</w:t>
            </w:r>
            <w:r w:rsidRPr="00F63843">
              <w:t xml:space="preserve"> Europaparlamentets och rådets förordning (EU) 2016/679 av den 27 april 2016 om skydd för fysiska personer med avseende på behandling av personuppgifter och om det fria flödet av sådana uppgifter och om upphävande av direktiv 95/46/EG (EUT L 119, 4.5.2016, s. 1)</w:t>
            </w:r>
          </w:p>
        </w:tc>
      </w:tr>
    </w:tbl>
    <w:p w:rsidR="00C57617" w:rsidRPr="00F63843" w:rsidRDefault="00C57617" w:rsidP="00C57617">
      <w:pPr>
        <w:widowControl/>
      </w:pPr>
    </w:p>
    <w:p w:rsidR="00C57617" w:rsidRPr="00F63843" w:rsidRDefault="00D0782F" w:rsidP="00C57617">
      <w:pPr>
        <w:pStyle w:val="AMNumberTabs0"/>
        <w:keepNext/>
        <w:widowControl/>
      </w:pPr>
      <w:r>
        <w:t>Ändring</w:t>
      </w:r>
      <w:r w:rsidR="00C57617" w:rsidRPr="00F63843">
        <w:tab/>
      </w:r>
      <w:r w:rsidR="00C57617" w:rsidRPr="00F63843">
        <w:tab/>
        <w:t>62</w:t>
      </w:r>
    </w:p>
    <w:p w:rsidR="00C57617" w:rsidRPr="00F63843" w:rsidRDefault="00C57617" w:rsidP="00C57617">
      <w:pPr>
        <w:pStyle w:val="NormalBold12b"/>
        <w:keepNext/>
        <w:widowControl/>
      </w:pPr>
      <w:r w:rsidRPr="00F63843">
        <w:t>Förslag till direktiv</w:t>
      </w:r>
    </w:p>
    <w:p w:rsidR="00C57617" w:rsidRPr="00F63843" w:rsidRDefault="00C57617" w:rsidP="00C57617">
      <w:pPr>
        <w:pStyle w:val="NormalBold"/>
        <w:widowControl/>
      </w:pPr>
      <w:r w:rsidRPr="00F63843">
        <w:t>Artikel 20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7617" w:rsidRPr="00F63843" w:rsidTr="000A5CE6">
        <w:trPr>
          <w:jc w:val="center"/>
        </w:trPr>
        <w:tc>
          <w:tcPr>
            <w:tcW w:w="9752" w:type="dxa"/>
            <w:gridSpan w:val="2"/>
          </w:tcPr>
          <w:p w:rsidR="00C57617" w:rsidRPr="00F63843" w:rsidRDefault="00C57617" w:rsidP="000A5CE6">
            <w:pPr>
              <w:keepNext/>
              <w:widowControl/>
            </w:pPr>
          </w:p>
        </w:tc>
      </w:tr>
      <w:tr w:rsidR="00C57617" w:rsidRPr="00F63843" w:rsidTr="000A5CE6">
        <w:trPr>
          <w:jc w:val="center"/>
        </w:trPr>
        <w:tc>
          <w:tcPr>
            <w:tcW w:w="4876" w:type="dxa"/>
          </w:tcPr>
          <w:p w:rsidR="00C57617" w:rsidRPr="00F63843" w:rsidRDefault="00C57617" w:rsidP="000A5CE6">
            <w:pPr>
              <w:pStyle w:val="ColumnHeading"/>
              <w:keepNext/>
              <w:widowControl/>
            </w:pPr>
            <w:r w:rsidRPr="00F63843">
              <w:t>Kommissionens förslag</w:t>
            </w:r>
          </w:p>
        </w:tc>
        <w:tc>
          <w:tcPr>
            <w:tcW w:w="4876" w:type="dxa"/>
          </w:tcPr>
          <w:p w:rsidR="00C57617" w:rsidRPr="00F63843" w:rsidRDefault="00D0782F" w:rsidP="000A5CE6">
            <w:pPr>
              <w:pStyle w:val="ColumnHeading"/>
              <w:keepNext/>
              <w:widowControl/>
            </w:pPr>
            <w:r>
              <w:t>Ändring</w:t>
            </w:r>
          </w:p>
        </w:tc>
      </w:tr>
      <w:tr w:rsidR="00C57617" w:rsidRPr="00047583" w:rsidTr="000A5CE6">
        <w:trPr>
          <w:jc w:val="center"/>
        </w:trPr>
        <w:tc>
          <w:tcPr>
            <w:tcW w:w="4876" w:type="dxa"/>
          </w:tcPr>
          <w:p w:rsidR="00C57617" w:rsidRPr="00F63843" w:rsidRDefault="00C57617" w:rsidP="000A5CE6">
            <w:pPr>
              <w:pStyle w:val="Normal6"/>
              <w:widowControl/>
            </w:pPr>
            <w:r w:rsidRPr="00F63843">
              <w:t>3.</w:t>
            </w:r>
            <w:r w:rsidRPr="00F63843">
              <w:tab/>
              <w:t xml:space="preserve">Information, inbegripet personuppgifter, som behandlas i enlighet med detta direktiv ska lagras endast så länge som det är nödvändigt för att uppnå syftet med detta direktiv, i enlighet med varje registeransvarigs nationella regler om preskription, men under inga omständigheter längre än </w:t>
            </w:r>
            <w:r w:rsidRPr="00F63843">
              <w:rPr>
                <w:b/>
                <w:i/>
              </w:rPr>
              <w:t>10</w:t>
            </w:r>
            <w:r w:rsidRPr="00F63843">
              <w:t xml:space="preserve"> år.</w:t>
            </w:r>
          </w:p>
        </w:tc>
        <w:tc>
          <w:tcPr>
            <w:tcW w:w="4876" w:type="dxa"/>
          </w:tcPr>
          <w:p w:rsidR="00C57617" w:rsidRPr="00047583" w:rsidRDefault="00C57617" w:rsidP="000A5CE6">
            <w:pPr>
              <w:pStyle w:val="Normal6"/>
              <w:widowControl/>
              <w:rPr>
                <w:szCs w:val="24"/>
              </w:rPr>
            </w:pPr>
            <w:r w:rsidRPr="00F63843">
              <w:t>3.</w:t>
            </w:r>
            <w:r w:rsidRPr="00F63843">
              <w:tab/>
              <w:t xml:space="preserve">Information, inbegripet personuppgifter, som behandlas i enlighet med detta direktiv ska lagras endast så länge som det är nödvändigt för att uppnå syftet med detta direktiv, i enlighet med varje registeransvarigs nationella regler om preskription, men under inga omständigheter längre än </w:t>
            </w:r>
            <w:r w:rsidRPr="00F63843">
              <w:rPr>
                <w:b/>
                <w:i/>
              </w:rPr>
              <w:t>5</w:t>
            </w:r>
            <w:r w:rsidRPr="00F63843">
              <w:t xml:space="preserve"> år.</w:t>
            </w:r>
          </w:p>
        </w:tc>
      </w:tr>
    </w:tbl>
    <w:p w:rsidR="00E365E1" w:rsidRPr="00047583" w:rsidRDefault="00E365E1" w:rsidP="00275BA0">
      <w:bookmarkStart w:id="8" w:name="TextBodyEnd"/>
      <w:bookmarkEnd w:id="8"/>
    </w:p>
    <w:sectPr w:rsidR="00E365E1" w:rsidRPr="00047583" w:rsidSect="0004758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CE6" w:rsidRPr="00047583" w:rsidRDefault="000A5CE6">
      <w:r w:rsidRPr="00047583">
        <w:separator/>
      </w:r>
    </w:p>
  </w:endnote>
  <w:endnote w:type="continuationSeparator" w:id="0">
    <w:p w:rsidR="000A5CE6" w:rsidRPr="00047583" w:rsidRDefault="000A5CE6">
      <w:r w:rsidRPr="000475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CE6" w:rsidRPr="00047583" w:rsidRDefault="000A5CE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CE6" w:rsidRPr="00047583" w:rsidRDefault="000A5CE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CE6" w:rsidRPr="00047583" w:rsidRDefault="000A5CE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CE6" w:rsidRPr="00047583" w:rsidRDefault="000A5CE6">
      <w:r w:rsidRPr="00047583">
        <w:separator/>
      </w:r>
    </w:p>
  </w:footnote>
  <w:footnote w:type="continuationSeparator" w:id="0">
    <w:p w:rsidR="000A5CE6" w:rsidRPr="00047583" w:rsidRDefault="000A5CE6">
      <w:r w:rsidRPr="0004758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CE6" w:rsidRPr="00047583" w:rsidRDefault="000A5CE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CE6" w:rsidRPr="00047583" w:rsidRDefault="000A5CE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CE6" w:rsidRPr="00047583" w:rsidRDefault="000A5CE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3CEC8E98">
      <w:start w:val="1"/>
      <w:numFmt w:val="bullet"/>
      <w:lvlText w:val=""/>
      <w:lvlJc w:val="left"/>
      <w:pPr>
        <w:ind w:left="720" w:hanging="360"/>
      </w:pPr>
      <w:rPr>
        <w:rFonts w:ascii="Symbol" w:hAnsi="Symbol" w:hint="default"/>
      </w:rPr>
    </w:lvl>
    <w:lvl w:ilvl="1" w:tplc="EC9CD122">
      <w:start w:val="1"/>
      <w:numFmt w:val="bullet"/>
      <w:lvlText w:val="o"/>
      <w:lvlJc w:val="left"/>
      <w:pPr>
        <w:ind w:left="1440" w:hanging="360"/>
      </w:pPr>
      <w:rPr>
        <w:rFonts w:ascii="Courier New" w:hAnsi="Courier New" w:cs="Courier New" w:hint="default"/>
      </w:rPr>
    </w:lvl>
    <w:lvl w:ilvl="2" w:tplc="B7B66604">
      <w:start w:val="1"/>
      <w:numFmt w:val="bullet"/>
      <w:lvlText w:val=""/>
      <w:lvlJc w:val="left"/>
      <w:pPr>
        <w:ind w:left="2160" w:hanging="360"/>
      </w:pPr>
      <w:rPr>
        <w:rFonts w:ascii="Wingdings" w:hAnsi="Wingdings" w:hint="default"/>
      </w:rPr>
    </w:lvl>
    <w:lvl w:ilvl="3" w:tplc="36EA3E42">
      <w:start w:val="1"/>
      <w:numFmt w:val="bullet"/>
      <w:lvlText w:val=""/>
      <w:lvlJc w:val="left"/>
      <w:pPr>
        <w:ind w:left="2880" w:hanging="360"/>
      </w:pPr>
      <w:rPr>
        <w:rFonts w:ascii="Symbol" w:hAnsi="Symbol" w:hint="default"/>
      </w:rPr>
    </w:lvl>
    <w:lvl w:ilvl="4" w:tplc="C08651C6">
      <w:start w:val="1"/>
      <w:numFmt w:val="bullet"/>
      <w:lvlText w:val="o"/>
      <w:lvlJc w:val="left"/>
      <w:pPr>
        <w:ind w:left="3600" w:hanging="360"/>
      </w:pPr>
      <w:rPr>
        <w:rFonts w:ascii="Courier New" w:hAnsi="Courier New" w:cs="Courier New" w:hint="default"/>
      </w:rPr>
    </w:lvl>
    <w:lvl w:ilvl="5" w:tplc="721C11E4">
      <w:start w:val="1"/>
      <w:numFmt w:val="bullet"/>
      <w:lvlText w:val=""/>
      <w:lvlJc w:val="left"/>
      <w:pPr>
        <w:ind w:left="4320" w:hanging="360"/>
      </w:pPr>
      <w:rPr>
        <w:rFonts w:ascii="Wingdings" w:hAnsi="Wingdings" w:hint="default"/>
      </w:rPr>
    </w:lvl>
    <w:lvl w:ilvl="6" w:tplc="C49AEF6E">
      <w:start w:val="1"/>
      <w:numFmt w:val="bullet"/>
      <w:lvlText w:val=""/>
      <w:lvlJc w:val="left"/>
      <w:pPr>
        <w:ind w:left="5040" w:hanging="360"/>
      </w:pPr>
      <w:rPr>
        <w:rFonts w:ascii="Symbol" w:hAnsi="Symbol" w:hint="default"/>
      </w:rPr>
    </w:lvl>
    <w:lvl w:ilvl="7" w:tplc="FBBCED50">
      <w:start w:val="1"/>
      <w:numFmt w:val="bullet"/>
      <w:lvlText w:val="o"/>
      <w:lvlJc w:val="left"/>
      <w:pPr>
        <w:ind w:left="5760" w:hanging="360"/>
      </w:pPr>
      <w:rPr>
        <w:rFonts w:ascii="Courier New" w:hAnsi="Courier New" w:cs="Courier New" w:hint="default"/>
      </w:rPr>
    </w:lvl>
    <w:lvl w:ilvl="8" w:tplc="B99AD0D8">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SV"/>
    <w:docVar w:name="dvnumam" w:val="62"/>
    <w:docVar w:name="dvpe" w:val="752.746"/>
    <w:docVar w:name="dvrapporteur" w:val="Föredragande: "/>
    <w:docVar w:name="dvstar" w:val="*"/>
    <w:docVar w:name="dvtitre" w:val="Europaparlamentets lagstiftningsresolution av den xx xx 2024 om förslaget till rådets direktiv om snabbare och säkrare skattelättnad för överskjutande källskatt(COM(2023)0324 – C9-0204/2023 – 2023/0187(CNS))"/>
  </w:docVars>
  <w:rsids>
    <w:rsidRoot w:val="00275BA0"/>
    <w:rsid w:val="00002272"/>
    <w:rsid w:val="00047583"/>
    <w:rsid w:val="00064002"/>
    <w:rsid w:val="000677B9"/>
    <w:rsid w:val="000831BA"/>
    <w:rsid w:val="000A42CC"/>
    <w:rsid w:val="000A5CE6"/>
    <w:rsid w:val="000E7DD9"/>
    <w:rsid w:val="0010095E"/>
    <w:rsid w:val="00125B37"/>
    <w:rsid w:val="00187494"/>
    <w:rsid w:val="001F32AE"/>
    <w:rsid w:val="00275BA0"/>
    <w:rsid w:val="002767FF"/>
    <w:rsid w:val="002B18FE"/>
    <w:rsid w:val="002B5493"/>
    <w:rsid w:val="002F28AA"/>
    <w:rsid w:val="00343214"/>
    <w:rsid w:val="00361C00"/>
    <w:rsid w:val="00395FA1"/>
    <w:rsid w:val="003E15D4"/>
    <w:rsid w:val="00411CCE"/>
    <w:rsid w:val="0041666E"/>
    <w:rsid w:val="00421060"/>
    <w:rsid w:val="00464AD6"/>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116B"/>
    <w:rsid w:val="00AB441E"/>
    <w:rsid w:val="00AB6293"/>
    <w:rsid w:val="00AE0928"/>
    <w:rsid w:val="00AE20A8"/>
    <w:rsid w:val="00AE5152"/>
    <w:rsid w:val="00AF3B82"/>
    <w:rsid w:val="00B12E95"/>
    <w:rsid w:val="00B22876"/>
    <w:rsid w:val="00B558F0"/>
    <w:rsid w:val="00BD48FE"/>
    <w:rsid w:val="00BD7BD8"/>
    <w:rsid w:val="00BE6ADC"/>
    <w:rsid w:val="00C05BFE"/>
    <w:rsid w:val="00C23CD4"/>
    <w:rsid w:val="00C302DE"/>
    <w:rsid w:val="00C57617"/>
    <w:rsid w:val="00C61C0C"/>
    <w:rsid w:val="00C7149A"/>
    <w:rsid w:val="00C941CB"/>
    <w:rsid w:val="00CC2357"/>
    <w:rsid w:val="00CF071A"/>
    <w:rsid w:val="00D058B8"/>
    <w:rsid w:val="00D0782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384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DEE31F"/>
  <w15:chartTrackingRefBased/>
  <w15:docId w15:val="{C826DCCF-D3F9-4B0B-8C86-0C4A2405A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57617"/>
    <w:rPr>
      <w:b/>
      <w:kern w:val="28"/>
      <w:sz w:val="28"/>
      <w:lang w:val="fr-FR" w:eastAsia="fr-FR"/>
    </w:rPr>
  </w:style>
  <w:style w:type="character" w:customStyle="1" w:styleId="Heading2Char">
    <w:name w:val="Heading 2 Char"/>
    <w:basedOn w:val="DefaultParagraphFont"/>
    <w:link w:val="Heading2"/>
    <w:semiHidden/>
    <w:rsid w:val="00C57617"/>
    <w:rPr>
      <w:sz w:val="24"/>
      <w:lang w:val="fr-FR" w:eastAsia="fr-FR"/>
    </w:rPr>
  </w:style>
  <w:style w:type="character" w:customStyle="1" w:styleId="Heading3Char">
    <w:name w:val="Heading 3 Char"/>
    <w:basedOn w:val="DefaultParagraphFont"/>
    <w:link w:val="Heading3"/>
    <w:semiHidden/>
    <w:rsid w:val="00C57617"/>
    <w:rPr>
      <w:rFonts w:ascii="Arial" w:hAnsi="Arial"/>
      <w:sz w:val="24"/>
      <w:lang w:val="fr-FR" w:eastAsia="fr-FR"/>
    </w:rPr>
  </w:style>
  <w:style w:type="character" w:customStyle="1" w:styleId="Heading4Char">
    <w:name w:val="Heading 4 Char"/>
    <w:basedOn w:val="DefaultParagraphFont"/>
    <w:link w:val="Heading4"/>
    <w:semiHidden/>
    <w:rsid w:val="00C57617"/>
    <w:rPr>
      <w:sz w:val="24"/>
      <w:lang w:val="en-US" w:eastAsia="fr-FR"/>
    </w:rPr>
  </w:style>
  <w:style w:type="character" w:customStyle="1" w:styleId="Heading5Char">
    <w:name w:val="Heading 5 Char"/>
    <w:basedOn w:val="DefaultParagraphFont"/>
    <w:link w:val="Heading5"/>
    <w:semiHidden/>
    <w:rsid w:val="00C57617"/>
    <w:rPr>
      <w:sz w:val="24"/>
      <w:lang w:val="en-US" w:eastAsia="fr-FR"/>
    </w:rPr>
  </w:style>
  <w:style w:type="character" w:customStyle="1" w:styleId="Heading6Char">
    <w:name w:val="Heading 6 Char"/>
    <w:basedOn w:val="DefaultParagraphFont"/>
    <w:link w:val="Heading6"/>
    <w:semiHidden/>
    <w:rsid w:val="00C57617"/>
    <w:rPr>
      <w:i/>
      <w:sz w:val="22"/>
      <w:lang w:val="sv-SE"/>
    </w:rPr>
  </w:style>
  <w:style w:type="character" w:customStyle="1" w:styleId="Heading7Char">
    <w:name w:val="Heading 7 Char"/>
    <w:basedOn w:val="DefaultParagraphFont"/>
    <w:link w:val="Heading7"/>
    <w:semiHidden/>
    <w:rsid w:val="00C57617"/>
    <w:rPr>
      <w:rFonts w:ascii="Arial" w:hAnsi="Arial"/>
      <w:sz w:val="24"/>
      <w:lang w:val="sv-SE"/>
    </w:rPr>
  </w:style>
  <w:style w:type="character" w:customStyle="1" w:styleId="Heading8Char">
    <w:name w:val="Heading 8 Char"/>
    <w:basedOn w:val="DefaultParagraphFont"/>
    <w:link w:val="Heading8"/>
    <w:semiHidden/>
    <w:rsid w:val="00C57617"/>
    <w:rPr>
      <w:rFonts w:ascii="Arial" w:hAnsi="Arial"/>
      <w:i/>
      <w:sz w:val="24"/>
      <w:lang w:val="sv-SE"/>
    </w:rPr>
  </w:style>
  <w:style w:type="character" w:customStyle="1" w:styleId="Heading9Char">
    <w:name w:val="Heading 9 Char"/>
    <w:basedOn w:val="DefaultParagraphFont"/>
    <w:link w:val="Heading9"/>
    <w:semiHidden/>
    <w:rsid w:val="00C57617"/>
    <w:rPr>
      <w:rFonts w:ascii="Arial" w:hAnsi="Arial"/>
      <w:b/>
      <w:i/>
      <w:sz w:val="18"/>
      <w:lang w:val="sv-SE"/>
    </w:rPr>
  </w:style>
  <w:style w:type="paragraph" w:styleId="TOCHeading">
    <w:name w:val="TOC Heading"/>
    <w:basedOn w:val="Normal"/>
    <w:next w:val="Normal"/>
    <w:unhideWhenUsed/>
    <w:qFormat/>
    <w:rsid w:val="00C57617"/>
    <w:pPr>
      <w:widowControl/>
      <w:spacing w:after="240"/>
    </w:pPr>
    <w:rPr>
      <w:lang w:val="en-GB"/>
    </w:rPr>
  </w:style>
  <w:style w:type="paragraph" w:customStyle="1" w:styleId="EPFooter2">
    <w:name w:val="EPFooter2"/>
    <w:basedOn w:val="Normal"/>
    <w:next w:val="Normal"/>
    <w:rsid w:val="00C5761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57617"/>
    <w:pPr>
      <w:spacing w:before="480" w:after="240"/>
    </w:pPr>
  </w:style>
  <w:style w:type="paragraph" w:customStyle="1" w:styleId="TOCPage">
    <w:name w:val="TOC Page"/>
    <w:basedOn w:val="Normal"/>
    <w:next w:val="TOC1"/>
    <w:rsid w:val="00C57617"/>
    <w:pPr>
      <w:keepNext/>
      <w:spacing w:after="240"/>
      <w:jc w:val="right"/>
    </w:pPr>
    <w:rPr>
      <w:rFonts w:ascii="Arial" w:hAnsi="Arial"/>
      <w:b/>
    </w:rPr>
  </w:style>
  <w:style w:type="paragraph" w:customStyle="1" w:styleId="Normal6a">
    <w:name w:val="Normal6a"/>
    <w:basedOn w:val="Normal"/>
    <w:rsid w:val="00C57617"/>
    <w:pPr>
      <w:spacing w:after="120"/>
    </w:pPr>
  </w:style>
  <w:style w:type="paragraph" w:customStyle="1" w:styleId="PageHeading">
    <w:name w:val="PageHeading"/>
    <w:basedOn w:val="Normal"/>
    <w:rsid w:val="00C57617"/>
    <w:pPr>
      <w:keepNext/>
      <w:spacing w:after="480"/>
      <w:jc w:val="center"/>
    </w:pPr>
    <w:rPr>
      <w:rFonts w:ascii="Arial" w:hAnsi="Arial" w:cs="Arial"/>
      <w:b/>
    </w:rPr>
  </w:style>
  <w:style w:type="paragraph" w:customStyle="1" w:styleId="NormalBold">
    <w:name w:val="NormalBold"/>
    <w:basedOn w:val="Normal"/>
    <w:link w:val="NormalBoldChar"/>
    <w:rsid w:val="00C57617"/>
    <w:rPr>
      <w:b/>
    </w:rPr>
  </w:style>
  <w:style w:type="paragraph" w:customStyle="1" w:styleId="NormalBold12a">
    <w:name w:val="NormalBold12a"/>
    <w:basedOn w:val="Normal"/>
    <w:rsid w:val="00C57617"/>
    <w:pPr>
      <w:spacing w:after="240"/>
    </w:pPr>
    <w:rPr>
      <w:b/>
    </w:rPr>
  </w:style>
  <w:style w:type="paragraph" w:customStyle="1" w:styleId="AmJustText">
    <w:name w:val="AmJustText"/>
    <w:basedOn w:val="Normal"/>
    <w:rsid w:val="00C57617"/>
    <w:pPr>
      <w:spacing w:after="240"/>
    </w:pPr>
    <w:rPr>
      <w:i/>
    </w:rPr>
  </w:style>
  <w:style w:type="paragraph" w:customStyle="1" w:styleId="NormalHanging12a">
    <w:name w:val="NormalHanging12a"/>
    <w:basedOn w:val="Normal"/>
    <w:rsid w:val="00C57617"/>
    <w:pPr>
      <w:spacing w:after="240"/>
      <w:ind w:left="567" w:hanging="567"/>
    </w:pPr>
  </w:style>
  <w:style w:type="paragraph" w:customStyle="1" w:styleId="CoverNormal24a">
    <w:name w:val="CoverNormal24a"/>
    <w:basedOn w:val="Normal"/>
    <w:rsid w:val="00C57617"/>
    <w:pPr>
      <w:spacing w:after="480"/>
      <w:ind w:left="1417"/>
    </w:pPr>
  </w:style>
  <w:style w:type="paragraph" w:customStyle="1" w:styleId="CoverNormal">
    <w:name w:val="CoverNormal"/>
    <w:basedOn w:val="Normal"/>
    <w:rsid w:val="00C57617"/>
    <w:pPr>
      <w:ind w:left="1418"/>
    </w:pPr>
  </w:style>
  <w:style w:type="paragraph" w:customStyle="1" w:styleId="AmCrossRef">
    <w:name w:val="AmCrossRef"/>
    <w:basedOn w:val="Normal"/>
    <w:rsid w:val="00C57617"/>
    <w:pPr>
      <w:spacing w:before="240" w:after="240"/>
      <w:jc w:val="center"/>
    </w:pPr>
    <w:rPr>
      <w:i/>
    </w:rPr>
  </w:style>
  <w:style w:type="paragraph" w:customStyle="1" w:styleId="AmJustTitle">
    <w:name w:val="AmJustTitle"/>
    <w:basedOn w:val="Normal"/>
    <w:next w:val="AmJustText"/>
    <w:rsid w:val="00C57617"/>
    <w:pPr>
      <w:keepNext/>
      <w:spacing w:before="240" w:after="240"/>
      <w:jc w:val="center"/>
    </w:pPr>
    <w:rPr>
      <w:i/>
    </w:rPr>
  </w:style>
  <w:style w:type="paragraph" w:customStyle="1" w:styleId="CoverReference">
    <w:name w:val="CoverReference"/>
    <w:basedOn w:val="Normal"/>
    <w:rsid w:val="00C57617"/>
    <w:pPr>
      <w:spacing w:before="1080"/>
      <w:jc w:val="right"/>
    </w:pPr>
    <w:rPr>
      <w:rFonts w:ascii="Arial" w:hAnsi="Arial" w:cs="Arial"/>
      <w:b/>
    </w:rPr>
  </w:style>
  <w:style w:type="paragraph" w:customStyle="1" w:styleId="CoverDocType">
    <w:name w:val="CoverDocType"/>
    <w:basedOn w:val="Normal"/>
    <w:rsid w:val="00C57617"/>
    <w:pPr>
      <w:ind w:left="1418"/>
    </w:pPr>
    <w:rPr>
      <w:rFonts w:ascii="Arial" w:hAnsi="Arial"/>
      <w:b/>
      <w:sz w:val="48"/>
    </w:rPr>
  </w:style>
  <w:style w:type="paragraph" w:customStyle="1" w:styleId="CoverDocType24a">
    <w:name w:val="CoverDocType24a"/>
    <w:basedOn w:val="Normal"/>
    <w:rsid w:val="00C57617"/>
    <w:pPr>
      <w:spacing w:after="480"/>
      <w:ind w:left="1418"/>
    </w:pPr>
    <w:rPr>
      <w:rFonts w:ascii="Arial" w:hAnsi="Arial"/>
      <w:b/>
      <w:sz w:val="48"/>
    </w:rPr>
  </w:style>
  <w:style w:type="paragraph" w:customStyle="1" w:styleId="CoverDate">
    <w:name w:val="CoverDate"/>
    <w:basedOn w:val="Normal"/>
    <w:rsid w:val="00C57617"/>
    <w:pPr>
      <w:spacing w:before="240" w:after="1200"/>
    </w:pPr>
  </w:style>
  <w:style w:type="paragraph" w:styleId="Header">
    <w:name w:val="header"/>
    <w:basedOn w:val="Normal"/>
    <w:link w:val="HeaderChar"/>
    <w:rsid w:val="00C57617"/>
    <w:pPr>
      <w:tabs>
        <w:tab w:val="center" w:pos="4513"/>
        <w:tab w:val="right" w:pos="9026"/>
      </w:tabs>
    </w:pPr>
  </w:style>
  <w:style w:type="character" w:customStyle="1" w:styleId="HeaderChar">
    <w:name w:val="Header Char"/>
    <w:basedOn w:val="DefaultParagraphFont"/>
    <w:link w:val="Header"/>
    <w:rsid w:val="00C57617"/>
    <w:rPr>
      <w:sz w:val="24"/>
      <w:lang w:val="sv-SE"/>
    </w:rPr>
  </w:style>
  <w:style w:type="paragraph" w:customStyle="1" w:styleId="AmOrLang">
    <w:name w:val="AmOrLang"/>
    <w:basedOn w:val="Normal"/>
    <w:rsid w:val="00C57617"/>
    <w:pPr>
      <w:spacing w:before="240" w:after="240"/>
      <w:jc w:val="right"/>
    </w:pPr>
  </w:style>
  <w:style w:type="paragraph" w:customStyle="1" w:styleId="AmColumnHeading">
    <w:name w:val="AmColumnHeading"/>
    <w:basedOn w:val="Normal"/>
    <w:rsid w:val="00C57617"/>
    <w:pPr>
      <w:spacing w:after="240"/>
      <w:jc w:val="center"/>
    </w:pPr>
    <w:rPr>
      <w:i/>
    </w:rPr>
  </w:style>
  <w:style w:type="paragraph" w:customStyle="1" w:styleId="AmNumberTabs">
    <w:name w:val="AmNumberTabs"/>
    <w:basedOn w:val="Normal"/>
    <w:link w:val="AmNumberTabsChar"/>
    <w:rsid w:val="00C576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57617"/>
    <w:pPr>
      <w:spacing w:before="240"/>
    </w:pPr>
    <w:rPr>
      <w:b/>
    </w:rPr>
  </w:style>
  <w:style w:type="paragraph" w:customStyle="1" w:styleId="EPBody">
    <w:name w:val="EPBody"/>
    <w:basedOn w:val="Normal"/>
    <w:rsid w:val="00C57617"/>
    <w:pPr>
      <w:jc w:val="center"/>
    </w:pPr>
    <w:rPr>
      <w:rFonts w:ascii="Arial" w:hAnsi="Arial" w:cs="Arial"/>
      <w:i/>
      <w:sz w:val="22"/>
      <w:szCs w:val="22"/>
    </w:rPr>
  </w:style>
  <w:style w:type="paragraph" w:customStyle="1" w:styleId="EPFooter">
    <w:name w:val="EPFooter"/>
    <w:basedOn w:val="Normal"/>
    <w:rsid w:val="00C57617"/>
    <w:pPr>
      <w:tabs>
        <w:tab w:val="center" w:pos="4535"/>
        <w:tab w:val="right" w:pos="9071"/>
      </w:tabs>
      <w:spacing w:before="240" w:after="240"/>
    </w:pPr>
    <w:rPr>
      <w:color w:val="010000"/>
      <w:sz w:val="22"/>
    </w:rPr>
  </w:style>
  <w:style w:type="character" w:customStyle="1" w:styleId="iter-reference-label">
    <w:name w:val="iter-reference-label"/>
    <w:basedOn w:val="DefaultParagraphFont"/>
    <w:rsid w:val="00C57617"/>
  </w:style>
  <w:style w:type="paragraph" w:styleId="Footer">
    <w:name w:val="footer"/>
    <w:basedOn w:val="Normal"/>
    <w:link w:val="FooterChar"/>
    <w:rsid w:val="00C57617"/>
    <w:pPr>
      <w:tabs>
        <w:tab w:val="center" w:pos="4513"/>
        <w:tab w:val="right" w:pos="9026"/>
      </w:tabs>
    </w:pPr>
  </w:style>
  <w:style w:type="character" w:customStyle="1" w:styleId="FooterChar">
    <w:name w:val="Footer Char"/>
    <w:basedOn w:val="DefaultParagraphFont"/>
    <w:link w:val="Footer"/>
    <w:rsid w:val="00C57617"/>
    <w:rPr>
      <w:sz w:val="24"/>
      <w:lang w:val="sv-SE"/>
    </w:rPr>
  </w:style>
  <w:style w:type="paragraph" w:customStyle="1" w:styleId="Lgendesigne">
    <w:name w:val="Légende signe"/>
    <w:basedOn w:val="Normal"/>
    <w:rsid w:val="00C57617"/>
    <w:pPr>
      <w:tabs>
        <w:tab w:val="right" w:pos="454"/>
        <w:tab w:val="left" w:pos="737"/>
      </w:tabs>
      <w:ind w:left="737" w:hanging="737"/>
    </w:pPr>
    <w:rPr>
      <w:snapToGrid w:val="0"/>
      <w:sz w:val="18"/>
      <w:lang w:eastAsia="en-US"/>
    </w:rPr>
  </w:style>
  <w:style w:type="paragraph" w:customStyle="1" w:styleId="Lgendetitre">
    <w:name w:val="Légende titre"/>
    <w:basedOn w:val="Normal"/>
    <w:rsid w:val="00C57617"/>
    <w:pPr>
      <w:spacing w:before="240" w:after="240"/>
    </w:pPr>
    <w:rPr>
      <w:b/>
      <w:i/>
      <w:snapToGrid w:val="0"/>
      <w:lang w:eastAsia="en-US"/>
    </w:rPr>
  </w:style>
  <w:style w:type="paragraph" w:customStyle="1" w:styleId="Lgendestandard">
    <w:name w:val="Légende standard"/>
    <w:basedOn w:val="Normal"/>
    <w:rsid w:val="00C57617"/>
    <w:rPr>
      <w:sz w:val="18"/>
    </w:rPr>
  </w:style>
  <w:style w:type="paragraph" w:customStyle="1" w:styleId="Normal6">
    <w:name w:val="Normal6"/>
    <w:basedOn w:val="Normal"/>
    <w:link w:val="Normal6Char"/>
    <w:rsid w:val="00C57617"/>
    <w:pPr>
      <w:spacing w:after="120"/>
    </w:pPr>
  </w:style>
  <w:style w:type="character" w:customStyle="1" w:styleId="NormalBoldChar">
    <w:name w:val="NormalBold Char"/>
    <w:link w:val="NormalBold"/>
    <w:rsid w:val="00C57617"/>
    <w:rPr>
      <w:b/>
      <w:sz w:val="24"/>
      <w:lang w:val="sv-SE"/>
    </w:rPr>
  </w:style>
  <w:style w:type="character" w:customStyle="1" w:styleId="Normal6Char">
    <w:name w:val="Normal6 Char"/>
    <w:link w:val="Normal6"/>
    <w:rsid w:val="00C57617"/>
    <w:rPr>
      <w:sz w:val="24"/>
      <w:lang w:val="sv-SE"/>
    </w:rPr>
  </w:style>
  <w:style w:type="paragraph" w:customStyle="1" w:styleId="ColumnHeading">
    <w:name w:val="ColumnHeading"/>
    <w:basedOn w:val="Normal"/>
    <w:rsid w:val="00C57617"/>
    <w:pPr>
      <w:spacing w:after="240"/>
      <w:jc w:val="center"/>
    </w:pPr>
    <w:rPr>
      <w:i/>
    </w:rPr>
  </w:style>
  <w:style w:type="paragraph" w:customStyle="1" w:styleId="AMNumberTabs0">
    <w:name w:val="AMNumberTabs"/>
    <w:basedOn w:val="Normal"/>
    <w:rsid w:val="00C576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57617"/>
    <w:pPr>
      <w:jc w:val="right"/>
    </w:pPr>
    <w:rPr>
      <w:lang w:val="sv-SE"/>
    </w:rPr>
  </w:style>
  <w:style w:type="paragraph" w:styleId="BalloonText">
    <w:name w:val="Balloon Text"/>
    <w:basedOn w:val="Normal"/>
    <w:link w:val="BalloonTextChar"/>
    <w:unhideWhenUsed/>
    <w:rsid w:val="00C57617"/>
    <w:rPr>
      <w:rFonts w:ascii="Segoe UI" w:hAnsi="Segoe UI" w:cs="Segoe UI"/>
      <w:sz w:val="18"/>
      <w:szCs w:val="18"/>
    </w:rPr>
  </w:style>
  <w:style w:type="character" w:customStyle="1" w:styleId="BalloonTextChar">
    <w:name w:val="Balloon Text Char"/>
    <w:basedOn w:val="DefaultParagraphFont"/>
    <w:link w:val="BalloonText"/>
    <w:rsid w:val="00C57617"/>
    <w:rPr>
      <w:rFonts w:ascii="Segoe UI" w:hAnsi="Segoe UI" w:cs="Segoe UI"/>
      <w:sz w:val="18"/>
      <w:szCs w:val="18"/>
      <w:lang w:val="sv-SE"/>
    </w:rPr>
  </w:style>
  <w:style w:type="character" w:styleId="CommentReference">
    <w:name w:val="annotation reference"/>
    <w:basedOn w:val="DefaultParagraphFont"/>
    <w:rsid w:val="00C57617"/>
    <w:rPr>
      <w:sz w:val="16"/>
      <w:szCs w:val="16"/>
    </w:rPr>
  </w:style>
  <w:style w:type="paragraph" w:styleId="CommentText">
    <w:name w:val="annotation text"/>
    <w:basedOn w:val="Normal"/>
    <w:link w:val="CommentTextChar"/>
    <w:rsid w:val="00C57617"/>
    <w:rPr>
      <w:sz w:val="20"/>
    </w:rPr>
  </w:style>
  <w:style w:type="character" w:customStyle="1" w:styleId="CommentTextChar">
    <w:name w:val="Comment Text Char"/>
    <w:basedOn w:val="DefaultParagraphFont"/>
    <w:link w:val="CommentText"/>
    <w:rsid w:val="00C57617"/>
    <w:rPr>
      <w:lang w:val="sv-SE"/>
    </w:rPr>
  </w:style>
  <w:style w:type="paragraph" w:styleId="CommentSubject">
    <w:name w:val="annotation subject"/>
    <w:basedOn w:val="CommentText"/>
    <w:next w:val="CommentText"/>
    <w:link w:val="CommentSubjectChar"/>
    <w:unhideWhenUsed/>
    <w:rsid w:val="00C57617"/>
    <w:rPr>
      <w:b/>
      <w:bCs/>
    </w:rPr>
  </w:style>
  <w:style w:type="character" w:customStyle="1" w:styleId="CommentSubjectChar">
    <w:name w:val="Comment Subject Char"/>
    <w:basedOn w:val="CommentTextChar"/>
    <w:link w:val="CommentSubject"/>
    <w:rsid w:val="00C57617"/>
    <w:rPr>
      <w:b/>
      <w:bCs/>
      <w:lang w:val="sv-SE"/>
    </w:rPr>
  </w:style>
  <w:style w:type="paragraph" w:customStyle="1" w:styleId="Normal24a">
    <w:name w:val="Normal24a"/>
    <w:basedOn w:val="Normal"/>
    <w:rsid w:val="00C57617"/>
    <w:pPr>
      <w:spacing w:after="480"/>
    </w:pPr>
  </w:style>
  <w:style w:type="paragraph" w:customStyle="1" w:styleId="NormalBoldCenter">
    <w:name w:val="NormalBoldCenter"/>
    <w:basedOn w:val="Normal"/>
    <w:rsid w:val="00C57617"/>
    <w:pPr>
      <w:jc w:val="center"/>
    </w:pPr>
    <w:rPr>
      <w:b/>
    </w:rPr>
  </w:style>
  <w:style w:type="paragraph" w:styleId="ListParagraph">
    <w:name w:val="List Paragraph"/>
    <w:basedOn w:val="Normal"/>
    <w:uiPriority w:val="34"/>
    <w:qFormat/>
    <w:rsid w:val="00C57617"/>
    <w:pPr>
      <w:snapToGrid w:val="0"/>
      <w:ind w:left="720"/>
      <w:contextualSpacing/>
    </w:pPr>
    <w:rPr>
      <w:lang w:bidi="en-GB"/>
    </w:rPr>
  </w:style>
  <w:style w:type="character" w:customStyle="1" w:styleId="AmNumberTabsChar">
    <w:name w:val="AmNumberTabs Char"/>
    <w:basedOn w:val="DefaultParagraphFont"/>
    <w:link w:val="AmNumberTabs"/>
    <w:rsid w:val="00C57617"/>
    <w:rPr>
      <w:b/>
      <w:sz w:val="24"/>
      <w:lang w:val="sv-SE"/>
    </w:rPr>
  </w:style>
  <w:style w:type="character" w:customStyle="1" w:styleId="NormalBold12bChar">
    <w:name w:val="NormalBold12b Char"/>
    <w:basedOn w:val="AmNumberTabsChar"/>
    <w:link w:val="NormalBold12b"/>
    <w:rsid w:val="00C57617"/>
    <w:rPr>
      <w:b/>
      <w:sz w:val="24"/>
      <w:lang w:val="sv-SE"/>
    </w:rPr>
  </w:style>
  <w:style w:type="character" w:styleId="Hyperlink">
    <w:name w:val="Hyperlink"/>
    <w:basedOn w:val="DefaultParagraphFont"/>
    <w:rsid w:val="00C57617"/>
    <w:rPr>
      <w:color w:val="0563C1" w:themeColor="hyperlink"/>
      <w:u w:val="single"/>
    </w:rPr>
  </w:style>
  <w:style w:type="paragraph" w:customStyle="1" w:styleId="Normal12a">
    <w:name w:val="Normal12a"/>
    <w:basedOn w:val="Normal"/>
    <w:rsid w:val="00C57617"/>
    <w:pPr>
      <w:spacing w:after="240"/>
    </w:pPr>
  </w:style>
  <w:style w:type="paragraph" w:customStyle="1" w:styleId="RollCallVotes">
    <w:name w:val="RollCallVotes"/>
    <w:basedOn w:val="Normal"/>
    <w:rsid w:val="00C57617"/>
    <w:pPr>
      <w:spacing w:before="120" w:after="120"/>
      <w:jc w:val="center"/>
    </w:pPr>
    <w:rPr>
      <w:b/>
      <w:bCs/>
      <w:snapToGrid w:val="0"/>
      <w:sz w:val="16"/>
      <w:lang w:eastAsia="en-US"/>
    </w:rPr>
  </w:style>
  <w:style w:type="paragraph" w:customStyle="1" w:styleId="RollCallTabs">
    <w:name w:val="RollCallTabs"/>
    <w:basedOn w:val="Normal"/>
    <w:qFormat/>
    <w:rsid w:val="00C57617"/>
    <w:pPr>
      <w:tabs>
        <w:tab w:val="center" w:pos="284"/>
        <w:tab w:val="left" w:pos="426"/>
      </w:tabs>
    </w:pPr>
    <w:rPr>
      <w:snapToGrid w:val="0"/>
      <w:lang w:eastAsia="en-US"/>
    </w:rPr>
  </w:style>
  <w:style w:type="paragraph" w:customStyle="1" w:styleId="RollCallSymbols14pt">
    <w:name w:val="RollCallSymbols14pt"/>
    <w:basedOn w:val="Normal"/>
    <w:rsid w:val="00C57617"/>
    <w:pPr>
      <w:spacing w:before="120" w:after="120"/>
      <w:jc w:val="center"/>
    </w:pPr>
    <w:rPr>
      <w:rFonts w:ascii="Arial" w:hAnsi="Arial"/>
      <w:b/>
      <w:bCs/>
      <w:snapToGrid w:val="0"/>
      <w:sz w:val="28"/>
      <w:lang w:eastAsia="en-US"/>
    </w:rPr>
  </w:style>
  <w:style w:type="paragraph" w:customStyle="1" w:styleId="RollCallTable">
    <w:name w:val="RollCallTable"/>
    <w:basedOn w:val="Normal"/>
    <w:rsid w:val="00C57617"/>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EBB51-4E97-4255-BA43-2B5CD1430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8165</Words>
  <Characters>52983</Characters>
  <Application>Microsoft Office Word</Application>
  <DocSecurity>4</DocSecurity>
  <Lines>441</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SOLTYSOVA Zuzana</cp:lastModifiedBy>
  <cp:revision>2</cp:revision>
  <cp:lastPrinted>2004-11-19T15:42:00Z</cp:lastPrinted>
  <dcterms:created xsi:type="dcterms:W3CDTF">2024-07-02T15:13:00Z</dcterms:created>
  <dcterms:modified xsi:type="dcterms:W3CDTF">2024-07-02T15:13:00Z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P9_TA(2024)0102_</vt:lpwstr>
  </property>
  <property fmtid="{D5CDD505-2E9C-101B-9397-08002B2CF9AE}" pid="4" name="&lt;Type&gt;">
    <vt:lpwstr>RR</vt:lpwstr>
  </property>
</Properties>
</file>