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1A6E" w14:paraId="4F83D80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88340A" w14:textId="77777777" w:rsidR="00751A4A" w:rsidRPr="00C81A6E" w:rsidRDefault="00212C26" w:rsidP="0010095E">
            <w:pPr>
              <w:pStyle w:val="EPName"/>
            </w:pPr>
            <w:r w:rsidRPr="00C81A6E">
              <w:t>Evropski parlament</w:t>
            </w:r>
          </w:p>
          <w:p w14:paraId="034119BC" w14:textId="77777777" w:rsidR="00751A4A" w:rsidRPr="00C81A6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1A6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384FA51" w14:textId="77777777" w:rsidR="00751A4A" w:rsidRPr="00C81A6E" w:rsidRDefault="00187494" w:rsidP="0010095E">
            <w:pPr>
              <w:pStyle w:val="EPLogo"/>
            </w:pPr>
            <w:r w:rsidRPr="00C81A6E">
              <w:rPr>
                <w:noProof/>
                <w:lang w:val="en-GB"/>
              </w:rPr>
              <w:drawing>
                <wp:inline distT="0" distB="0" distL="0" distR="0" wp14:anchorId="39ED6926" wp14:editId="63E79EE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039D53" w14:textId="77777777" w:rsidR="00D058B8" w:rsidRPr="00C81A6E" w:rsidRDefault="00D058B8" w:rsidP="004C5D52">
      <w:pPr>
        <w:pStyle w:val="LineTop"/>
      </w:pPr>
    </w:p>
    <w:p w14:paraId="75B73AA3" w14:textId="77777777" w:rsidR="00680577" w:rsidRPr="00C81A6E" w:rsidRDefault="00212C26" w:rsidP="00680577">
      <w:pPr>
        <w:pStyle w:val="EPBodyTA1"/>
      </w:pPr>
      <w:r w:rsidRPr="00C81A6E">
        <w:t>SPREJETA BESEDILA</w:t>
      </w:r>
    </w:p>
    <w:p w14:paraId="115175FB" w14:textId="77777777" w:rsidR="00D058B8" w:rsidRPr="00C81A6E" w:rsidRDefault="00D058B8" w:rsidP="00D058B8">
      <w:pPr>
        <w:pStyle w:val="LineBottom"/>
      </w:pPr>
    </w:p>
    <w:p w14:paraId="7D27CDE9" w14:textId="18BDE638" w:rsidR="00212C26" w:rsidRPr="00C81A6E" w:rsidRDefault="00212C26" w:rsidP="00C81A6E">
      <w:pPr>
        <w:pStyle w:val="ATHeading1"/>
      </w:pPr>
      <w:bookmarkStart w:id="0" w:name="TANumber"/>
      <w:r w:rsidRPr="00C81A6E">
        <w:t>P9_TA(2024)0</w:t>
      </w:r>
      <w:r w:rsidR="00C81A6E">
        <w:t>103</w:t>
      </w:r>
      <w:bookmarkEnd w:id="0"/>
    </w:p>
    <w:p w14:paraId="7B135888" w14:textId="65729B8F" w:rsidR="00212C26" w:rsidRPr="00C81A6E" w:rsidRDefault="00EF6623" w:rsidP="00EF6623">
      <w:pPr>
        <w:pStyle w:val="ATHeading2"/>
      </w:pPr>
      <w:r w:rsidRPr="00C81A6E">
        <w:t>Z</w:t>
      </w:r>
      <w:r w:rsidR="00A13410" w:rsidRPr="00C81A6E">
        <w:t>ahtev</w:t>
      </w:r>
      <w:r w:rsidRPr="00C81A6E">
        <w:t>e</w:t>
      </w:r>
      <w:r w:rsidR="00A13410" w:rsidRPr="00C81A6E">
        <w:t xml:space="preserve"> glede poročanja</w:t>
      </w:r>
    </w:p>
    <w:p w14:paraId="30384109" w14:textId="77777777" w:rsidR="00212C26" w:rsidRPr="00C81A6E" w:rsidRDefault="00212C26" w:rsidP="00212C26">
      <w:pPr>
        <w:rPr>
          <w:i/>
          <w:vanish/>
        </w:rPr>
      </w:pPr>
      <w:r w:rsidRPr="00C81A6E">
        <w:rPr>
          <w:i/>
        </w:rPr>
        <w:fldChar w:fldCharType="begin"/>
      </w:r>
      <w:r w:rsidRPr="00C81A6E">
        <w:rPr>
          <w:i/>
        </w:rPr>
        <w:instrText xml:space="preserve"> TC"(</w:instrText>
      </w:r>
      <w:bookmarkStart w:id="1" w:name="DocNumber"/>
      <w:r w:rsidRPr="00C81A6E">
        <w:rPr>
          <w:i/>
        </w:rPr>
        <w:instrText>A9-0009/2024</w:instrText>
      </w:r>
      <w:bookmarkEnd w:id="1"/>
      <w:r w:rsidRPr="00C81A6E">
        <w:rPr>
          <w:i/>
        </w:rPr>
        <w:instrText xml:space="preserve"> - Poročevalka: Anna Cavazzini)"\l3 \n&gt; \* MERGEFORMAT </w:instrText>
      </w:r>
      <w:r w:rsidRPr="00C81A6E">
        <w:rPr>
          <w:i/>
        </w:rPr>
        <w:fldChar w:fldCharType="end"/>
      </w:r>
    </w:p>
    <w:p w14:paraId="7923B1D6" w14:textId="77777777" w:rsidR="00212C26" w:rsidRPr="00C81A6E" w:rsidRDefault="00212C26" w:rsidP="00212C26">
      <w:pPr>
        <w:rPr>
          <w:vanish/>
        </w:rPr>
      </w:pPr>
      <w:bookmarkStart w:id="2" w:name="Commission"/>
      <w:r w:rsidRPr="00C81A6E">
        <w:rPr>
          <w:vanish/>
        </w:rPr>
        <w:t>Odbor za notranji trg in varstvo potrošnikov</w:t>
      </w:r>
      <w:bookmarkEnd w:id="2"/>
    </w:p>
    <w:p w14:paraId="696A4817" w14:textId="77777777" w:rsidR="00212C26" w:rsidRPr="00C81A6E" w:rsidRDefault="00212C26" w:rsidP="00212C26">
      <w:pPr>
        <w:rPr>
          <w:vanish/>
        </w:rPr>
      </w:pPr>
      <w:bookmarkStart w:id="3" w:name="PE"/>
      <w:r w:rsidRPr="00C81A6E">
        <w:rPr>
          <w:vanish/>
        </w:rPr>
        <w:t>PE758.217</w:t>
      </w:r>
      <w:bookmarkEnd w:id="3"/>
    </w:p>
    <w:p w14:paraId="2D5C832E" w14:textId="78C6A0FA" w:rsidR="00212C26" w:rsidRPr="00C81A6E" w:rsidRDefault="00212C26" w:rsidP="00E115B7">
      <w:pPr>
        <w:pStyle w:val="ATHeading3"/>
      </w:pPr>
      <w:bookmarkStart w:id="4" w:name="Sujet"/>
      <w:r w:rsidRPr="00C81A6E">
        <w:t xml:space="preserve">Zakonodajna resolucija Evropskega parlamenta z dne </w:t>
      </w:r>
      <w:r w:rsidR="00E115B7" w:rsidRPr="00C81A6E">
        <w:t>28</w:t>
      </w:r>
      <w:r w:rsidRPr="00C81A6E">
        <w:t>. februarja 2024 o predlogu uredbe</w:t>
      </w:r>
      <w:r w:rsidR="00A13410" w:rsidRPr="00C81A6E">
        <w:t xml:space="preserve"> Evropskega parlamenta in Sveta </w:t>
      </w:r>
      <w:r w:rsidRPr="00C81A6E">
        <w:t>o spremembi Uredbe (EU) št. 1379/2013, Uredbe (EU) št. 167/2013 in Uredbe (EU) št. 168/2013 Evropskega parlamenta in Sveta v zvezi z nekaterimi zahtevami glede poročanja</w:t>
      </w:r>
      <w:bookmarkEnd w:id="4"/>
      <w:r w:rsidRPr="00C81A6E">
        <w:t xml:space="preserve"> </w:t>
      </w:r>
      <w:bookmarkStart w:id="5" w:name="References"/>
      <w:r w:rsidRPr="00C81A6E">
        <w:t>(COM(2023)0643 – C9-0388/2023 – 2023/0370(COD))</w:t>
      </w:r>
      <w:bookmarkEnd w:id="5"/>
    </w:p>
    <w:p w14:paraId="512159F8" w14:textId="77777777" w:rsidR="00212C26" w:rsidRPr="00C81A6E" w:rsidRDefault="00212C26" w:rsidP="00212C26"/>
    <w:p w14:paraId="07856C45" w14:textId="77777777" w:rsidR="00A760C0" w:rsidRPr="00C81A6E" w:rsidRDefault="00A760C0" w:rsidP="00A760C0">
      <w:pPr>
        <w:pStyle w:val="NormalBold"/>
      </w:pPr>
      <w:bookmarkStart w:id="6" w:name="TextBodyBegin"/>
      <w:bookmarkEnd w:id="6"/>
      <w:r w:rsidRPr="00C81A6E">
        <w:t>(Redni zakonodajni postopek: prva obravnava)</w:t>
      </w:r>
    </w:p>
    <w:p w14:paraId="24973922" w14:textId="77777777" w:rsidR="00A760C0" w:rsidRPr="00C81A6E" w:rsidRDefault="00A760C0" w:rsidP="00A760C0">
      <w:pPr>
        <w:pStyle w:val="EPComma"/>
      </w:pPr>
      <w:r w:rsidRPr="00C81A6E">
        <w:rPr>
          <w:i/>
        </w:rPr>
        <w:t>Evropski parlament</w:t>
      </w:r>
      <w:r w:rsidRPr="00C81A6E">
        <w:t>,</w:t>
      </w:r>
    </w:p>
    <w:p w14:paraId="58778B51" w14:textId="77777777" w:rsidR="00A760C0" w:rsidRPr="00C81A6E" w:rsidRDefault="00A760C0" w:rsidP="00A760C0">
      <w:pPr>
        <w:pStyle w:val="NormalHanging12a"/>
      </w:pPr>
      <w:r w:rsidRPr="00C81A6E">
        <w:t>–</w:t>
      </w:r>
      <w:r w:rsidRPr="00C81A6E">
        <w:tab/>
        <w:t>ob upoštevanju predloga Komisije Evropskemu parlamentu in Svetu (COM(2023)0643),</w:t>
      </w:r>
    </w:p>
    <w:p w14:paraId="7D288494" w14:textId="41841CB3" w:rsidR="00A760C0" w:rsidRPr="00C81A6E" w:rsidRDefault="00A760C0" w:rsidP="00E115B7">
      <w:pPr>
        <w:pStyle w:val="NormalHanging12a"/>
      </w:pPr>
      <w:r w:rsidRPr="00C81A6E">
        <w:t>–</w:t>
      </w:r>
      <w:r w:rsidRPr="00C81A6E">
        <w:tab/>
        <w:t xml:space="preserve">ob upoštevanju člena 294(2) ter členov 43(2) in 114 Pogodbe o delovanju Evropske unije, na podlagi katerih je Komisija </w:t>
      </w:r>
      <w:r w:rsidR="00E115B7" w:rsidRPr="00C81A6E">
        <w:t xml:space="preserve">podala </w:t>
      </w:r>
      <w:r w:rsidRPr="00C81A6E">
        <w:t xml:space="preserve">predlog </w:t>
      </w:r>
      <w:r w:rsidR="00E115B7" w:rsidRPr="00C81A6E">
        <w:t xml:space="preserve">Parlamentu </w:t>
      </w:r>
      <w:r w:rsidRPr="00C81A6E">
        <w:t>(C9</w:t>
      </w:r>
      <w:r w:rsidRPr="00C81A6E">
        <w:noBreakHyphen/>
        <w:t>0388/2023),</w:t>
      </w:r>
    </w:p>
    <w:p w14:paraId="16732006" w14:textId="77777777" w:rsidR="00A760C0" w:rsidRPr="00C81A6E" w:rsidRDefault="00A760C0" w:rsidP="00A760C0">
      <w:pPr>
        <w:pStyle w:val="NormalHanging12a"/>
      </w:pPr>
      <w:r w:rsidRPr="00C81A6E">
        <w:t>–</w:t>
      </w:r>
      <w:r w:rsidRPr="00C81A6E">
        <w:tab/>
        <w:t>ob upoštevanju člena 294(3) Pogodbe o delovanju Evropske unije,</w:t>
      </w:r>
    </w:p>
    <w:p w14:paraId="59A03C34" w14:textId="77777777" w:rsidR="00A760C0" w:rsidRPr="00C81A6E" w:rsidRDefault="00A760C0" w:rsidP="00A760C0">
      <w:pPr>
        <w:pStyle w:val="NormalHanging12a"/>
      </w:pPr>
      <w:r w:rsidRPr="00C81A6E">
        <w:t>–</w:t>
      </w:r>
      <w:r w:rsidRPr="00C81A6E">
        <w:tab/>
        <w:t>ob upoštevanju mnenja Evropskega ekonomsko-socialnega odbora z dne 13. decembra 2023</w:t>
      </w:r>
      <w:r w:rsidRPr="00C81A6E">
        <w:rPr>
          <w:rStyle w:val="FootnoteReference"/>
          <w:szCs w:val="24"/>
        </w:rPr>
        <w:footnoteReference w:id="1"/>
      </w:r>
      <w:r w:rsidRPr="00C81A6E">
        <w:t>,</w:t>
      </w:r>
    </w:p>
    <w:p w14:paraId="73326F4E" w14:textId="77777777" w:rsidR="00A760C0" w:rsidRPr="00C81A6E" w:rsidRDefault="00A760C0" w:rsidP="00A760C0">
      <w:pPr>
        <w:pStyle w:val="NormalHanging12a"/>
      </w:pPr>
      <w:r w:rsidRPr="00C81A6E">
        <w:t>–</w:t>
      </w:r>
      <w:r w:rsidRPr="00C81A6E">
        <w:tab/>
        <w:t>ob upoštevanju člena 59 Poslovnika,</w:t>
      </w:r>
    </w:p>
    <w:p w14:paraId="70E4EA0F" w14:textId="77777777" w:rsidR="00A760C0" w:rsidRPr="00C81A6E" w:rsidRDefault="00A760C0" w:rsidP="00A760C0">
      <w:pPr>
        <w:pStyle w:val="NormalHanging12a"/>
      </w:pPr>
      <w:r w:rsidRPr="00C81A6E">
        <w:t>–</w:t>
      </w:r>
      <w:r w:rsidRPr="00C81A6E">
        <w:tab/>
        <w:t>ob upoštevanju poročila Odbor za notranji trg in varstvo potrošnikov (A9-0009/2024),</w:t>
      </w:r>
    </w:p>
    <w:p w14:paraId="18F442DA" w14:textId="77777777" w:rsidR="00A760C0" w:rsidRPr="00C81A6E" w:rsidRDefault="00A760C0" w:rsidP="00E115B7">
      <w:pPr>
        <w:pStyle w:val="NormalHanging12a"/>
      </w:pPr>
      <w:r w:rsidRPr="00C81A6E">
        <w:t>1.</w:t>
      </w:r>
      <w:r w:rsidRPr="00C81A6E">
        <w:tab/>
        <w:t>sprejme predlog Komisije kot svoje stališče v prvi obravnavi;</w:t>
      </w:r>
    </w:p>
    <w:p w14:paraId="6DB57358" w14:textId="77777777" w:rsidR="00A760C0" w:rsidRPr="00C81A6E" w:rsidRDefault="00A760C0" w:rsidP="00A760C0">
      <w:pPr>
        <w:pStyle w:val="NormalHanging12a"/>
      </w:pPr>
      <w:r w:rsidRPr="00C81A6E">
        <w:t>2.</w:t>
      </w:r>
      <w:r w:rsidRPr="00C81A6E">
        <w:tab/>
        <w:t>poziva Komisijo, naj mu zadevo ponovno predloži, če svoj predlog nadomesti, ga bistveno spremeni ali ga namerava bistveno spremeniti;</w:t>
      </w:r>
    </w:p>
    <w:p w14:paraId="691AC408" w14:textId="77777777" w:rsidR="00E733D8" w:rsidRDefault="00A760C0" w:rsidP="00E115B7">
      <w:pPr>
        <w:ind w:left="567" w:hanging="567"/>
        <w:sectPr w:rsidR="00E733D8" w:rsidSect="00AA7C2C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81A6E">
        <w:t>3.</w:t>
      </w:r>
      <w:r w:rsidRPr="00C81A6E">
        <w:tab/>
        <w:t>naroči svoji predsednici, naj stališče Parlamenta posreduje Svetu</w:t>
      </w:r>
      <w:r w:rsidR="00E115B7" w:rsidRPr="00C81A6E">
        <w:t>,</w:t>
      </w:r>
      <w:r w:rsidRPr="00C81A6E">
        <w:t xml:space="preserve"> Komisiji </w:t>
      </w:r>
      <w:r w:rsidR="00E115B7" w:rsidRPr="00C81A6E">
        <w:t>in</w:t>
      </w:r>
      <w:r w:rsidRPr="00C81A6E">
        <w:t xml:space="preserve"> nacionalnim parlamentom.</w:t>
      </w:r>
      <w:bookmarkStart w:id="7" w:name="TextBodyEnd"/>
      <w:bookmarkEnd w:id="7"/>
    </w:p>
    <w:p w14:paraId="1761F6EB" w14:textId="07E6DDA8" w:rsidR="00E733D8" w:rsidRPr="005C4154" w:rsidRDefault="00E733D8" w:rsidP="00E733D8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5C4154">
        <w:rPr>
          <w:rFonts w:eastAsia="Calibri"/>
          <w:b/>
          <w:szCs w:val="24"/>
          <w:lang w:eastAsia="en-US"/>
        </w:rPr>
        <w:lastRenderedPageBreak/>
        <w:t>P</w:t>
      </w:r>
      <w:r w:rsidRPr="006B036B">
        <w:rPr>
          <w:rFonts w:eastAsia="Calibri"/>
          <w:b/>
          <w:szCs w:val="24"/>
          <w:lang w:eastAsia="en-US"/>
        </w:rPr>
        <w:t>9</w:t>
      </w:r>
      <w:r w:rsidRPr="005C4154">
        <w:rPr>
          <w:rFonts w:eastAsia="Calibri"/>
          <w:b/>
          <w:szCs w:val="24"/>
          <w:lang w:eastAsia="en-US"/>
        </w:rPr>
        <w:t>_TC</w:t>
      </w:r>
      <w:r w:rsidRPr="006B036B">
        <w:rPr>
          <w:rFonts w:eastAsia="Calibri"/>
          <w:b/>
          <w:szCs w:val="24"/>
          <w:lang w:eastAsia="en-US"/>
        </w:rPr>
        <w:t>1</w:t>
      </w:r>
      <w:r w:rsidRPr="005C4154">
        <w:rPr>
          <w:rFonts w:eastAsia="Calibri"/>
          <w:b/>
          <w:szCs w:val="24"/>
          <w:lang w:eastAsia="en-US"/>
        </w:rPr>
        <w:t>-COD(</w:t>
      </w:r>
      <w:r w:rsidRPr="006B036B">
        <w:rPr>
          <w:rFonts w:eastAsia="Calibri"/>
          <w:b/>
          <w:szCs w:val="24"/>
          <w:lang w:eastAsia="en-US"/>
        </w:rPr>
        <w:t>202</w:t>
      </w:r>
      <w:r>
        <w:rPr>
          <w:rFonts w:eastAsia="Calibri"/>
          <w:b/>
          <w:szCs w:val="24"/>
          <w:lang w:eastAsia="en-US"/>
        </w:rPr>
        <w:t>3</w:t>
      </w:r>
      <w:r w:rsidRPr="005C4154">
        <w:rPr>
          <w:rFonts w:eastAsia="Calibri"/>
          <w:b/>
          <w:szCs w:val="24"/>
          <w:lang w:eastAsia="en-US"/>
        </w:rPr>
        <w:t>)</w:t>
      </w:r>
      <w:r>
        <w:rPr>
          <w:rFonts w:eastAsia="Calibri"/>
          <w:b/>
          <w:szCs w:val="24"/>
          <w:lang w:eastAsia="en-US"/>
        </w:rPr>
        <w:t>0370</w:t>
      </w:r>
    </w:p>
    <w:p w14:paraId="244A4554" w14:textId="2D0DE4CE" w:rsidR="00E733D8" w:rsidRDefault="00E733D8" w:rsidP="00E733D8">
      <w:pPr>
        <w:widowControl/>
        <w:spacing w:after="200"/>
        <w:rPr>
          <w:rFonts w:eastAsiaTheme="minorHAnsi"/>
          <w:b/>
          <w:noProof/>
          <w:szCs w:val="22"/>
          <w:lang w:eastAsia="en-US"/>
        </w:rPr>
      </w:pPr>
      <w:r w:rsidRPr="005C4154">
        <w:rPr>
          <w:rFonts w:eastAsia="Calibri"/>
          <w:b/>
          <w:szCs w:val="24"/>
          <w:lang w:eastAsia="en-US"/>
        </w:rPr>
        <w:t xml:space="preserve">Stališče Evropskega parlamenta, sprejeto v prvi obravnavi </w:t>
      </w:r>
      <w:r w:rsidRPr="006B036B">
        <w:rPr>
          <w:rFonts w:eastAsia="Calibri"/>
          <w:b/>
          <w:szCs w:val="24"/>
          <w:lang w:eastAsia="en-US"/>
        </w:rPr>
        <w:t>2</w:t>
      </w:r>
      <w:r>
        <w:rPr>
          <w:rFonts w:eastAsia="Calibri"/>
          <w:b/>
          <w:szCs w:val="24"/>
          <w:lang w:eastAsia="en-US"/>
        </w:rPr>
        <w:t>8. februarja</w:t>
      </w:r>
      <w:r w:rsidRPr="005C4154">
        <w:rPr>
          <w:rFonts w:eastAsia="Calibri"/>
          <w:b/>
          <w:szCs w:val="24"/>
          <w:lang w:eastAsia="en-US"/>
        </w:rPr>
        <w:t xml:space="preserve"> </w:t>
      </w:r>
      <w:r w:rsidRPr="006B036B">
        <w:rPr>
          <w:rFonts w:eastAsia="Calibri"/>
          <w:b/>
          <w:szCs w:val="24"/>
          <w:lang w:eastAsia="en-US"/>
        </w:rPr>
        <w:t>2024</w:t>
      </w:r>
      <w:r w:rsidRPr="005C4154">
        <w:rPr>
          <w:rFonts w:eastAsia="Calibri"/>
          <w:b/>
          <w:szCs w:val="24"/>
          <w:lang w:eastAsia="en-US"/>
        </w:rPr>
        <w:t xml:space="preserve"> z namenom sprejetja Uredbe (EU) </w:t>
      </w:r>
      <w:r w:rsidRPr="006B036B">
        <w:rPr>
          <w:rFonts w:eastAsia="Calibri"/>
          <w:b/>
          <w:szCs w:val="24"/>
          <w:lang w:eastAsia="en-US"/>
        </w:rPr>
        <w:t>2024</w:t>
      </w:r>
      <w:r w:rsidRPr="005C4154">
        <w:rPr>
          <w:rFonts w:eastAsia="Calibri"/>
          <w:b/>
          <w:szCs w:val="24"/>
          <w:lang w:eastAsia="en-US"/>
        </w:rPr>
        <w:t xml:space="preserve">/... Evropskega parlamenta in Sveta </w:t>
      </w:r>
      <w:r w:rsidR="003C0631">
        <w:rPr>
          <w:rFonts w:eastAsiaTheme="minorHAnsi"/>
          <w:b/>
          <w:noProof/>
          <w:szCs w:val="22"/>
          <w:lang w:eastAsia="en-US"/>
        </w:rPr>
        <w:t>o spremembi u</w:t>
      </w:r>
      <w:r w:rsidRPr="00E733D8">
        <w:rPr>
          <w:rFonts w:eastAsiaTheme="minorHAnsi"/>
          <w:b/>
          <w:noProof/>
          <w:szCs w:val="22"/>
          <w:lang w:eastAsia="en-US"/>
        </w:rPr>
        <w:t>redb (EU) št. 1379/2013, (EU) št. 167/2013 in (EU) št. 168/2013 v zvezi z nekaterimi zahtevami glede poročanja</w:t>
      </w:r>
    </w:p>
    <w:p w14:paraId="090F71DB" w14:textId="1B0594D2" w:rsidR="00310154" w:rsidRPr="005C4154" w:rsidRDefault="00310154" w:rsidP="00310154">
      <w:pPr>
        <w:widowControl/>
        <w:spacing w:before="120" w:after="120"/>
        <w:rPr>
          <w:b/>
          <w:szCs w:val="24"/>
          <w:lang w:eastAsia="en-US"/>
        </w:rPr>
      </w:pPr>
      <w:r w:rsidRPr="00310154">
        <w:rPr>
          <w:bCs/>
          <w:i/>
        </w:rPr>
        <w:t>(Ker je bil dosežen spo</w:t>
      </w:r>
      <w:bookmarkStart w:id="8" w:name="_GoBack"/>
      <w:bookmarkEnd w:id="8"/>
      <w:r w:rsidRPr="00310154">
        <w:rPr>
          <w:bCs/>
          <w:i/>
        </w:rPr>
        <w:t>razum med Parlamentom in Svetom, je stališče Parlamenta enako končnemu zakonodajnemu aktu, Uredbi (EU) 2024/</w:t>
      </w:r>
      <w:r>
        <w:rPr>
          <w:bCs/>
          <w:i/>
        </w:rPr>
        <w:t>2838</w:t>
      </w:r>
      <w:r w:rsidRPr="00310154">
        <w:rPr>
          <w:bCs/>
          <w:i/>
        </w:rPr>
        <w:t>.)</w:t>
      </w:r>
    </w:p>
    <w:sectPr w:rsidR="00310154" w:rsidRPr="005C4154" w:rsidSect="00C35B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DF1920" w14:textId="77777777" w:rsidR="00212C26" w:rsidRPr="00AA7C2C" w:rsidRDefault="00212C26">
      <w:r w:rsidRPr="00AA7C2C">
        <w:separator/>
      </w:r>
    </w:p>
  </w:endnote>
  <w:endnote w:type="continuationSeparator" w:id="0">
    <w:p w14:paraId="7CEC10C1" w14:textId="77777777" w:rsidR="00212C26" w:rsidRPr="00AA7C2C" w:rsidRDefault="00212C26">
      <w:r w:rsidRPr="00AA7C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77761" w14:textId="77777777" w:rsidR="0020146C" w:rsidRPr="00187E10" w:rsidRDefault="00E733D8" w:rsidP="00F734B5">
    <w:pPr>
      <w:pStyle w:val="EPFooter"/>
    </w:pPr>
    <w:r w:rsidRPr="00187E10">
      <w:tab/>
    </w:r>
    <w:r w:rsidRPr="00187E10">
      <w:fldChar w:fldCharType="begin"/>
    </w:r>
    <w:r w:rsidRPr="00187E10">
      <w:instrText xml:space="preserve"> PAGE </w:instrText>
    </w:r>
    <w:r w:rsidRPr="00187E10">
      <w:fldChar w:fldCharType="separate"/>
    </w:r>
    <w:r>
      <w:rPr>
        <w:noProof/>
      </w:rPr>
      <w:t>8</w:t>
    </w:r>
    <w:r w:rsidRPr="00187E10">
      <w:fldChar w:fldCharType="end"/>
    </w:r>
    <w:r w:rsidRPr="00187E10">
      <w:t>/</w:t>
    </w:r>
    <w:r w:rsidRPr="00187E10">
      <w:fldChar w:fldCharType="begin"/>
    </w:r>
    <w:r w:rsidRPr="00187E10">
      <w:instrText xml:space="preserve"> NUMPAGES </w:instrText>
    </w:r>
    <w:r w:rsidRPr="00187E10">
      <w:fldChar w:fldCharType="separate"/>
    </w:r>
    <w:r>
      <w:rPr>
        <w:noProof/>
      </w:rPr>
      <w:t>9</w:t>
    </w:r>
    <w:r w:rsidRPr="00187E10">
      <w:rPr>
        <w:noProof/>
      </w:rPr>
      <w:fldChar w:fldCharType="end"/>
    </w:r>
    <w:r w:rsidRPr="00187E10">
      <w:tab/>
    </w:r>
  </w:p>
  <w:p w14:paraId="718BC018" w14:textId="77777777" w:rsidR="0020146C" w:rsidRPr="00187E10" w:rsidRDefault="00E733D8">
    <w:pPr>
      <w:pStyle w:val="EPFooter2"/>
    </w:pPr>
    <w:r w:rsidRPr="00187E10">
      <w:fldChar w:fldCharType="begin"/>
    </w:r>
    <w:r w:rsidRPr="00187E10">
      <w:instrText xml:space="preserve"> DOCPROPERTY "&lt;Extension&gt;" </w:instrText>
    </w:r>
    <w:r w:rsidRPr="00187E10">
      <w:fldChar w:fldCharType="separate"/>
    </w:r>
    <w:r>
      <w:t>SL</w:t>
    </w:r>
    <w:r w:rsidRPr="00187E10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277CF" w14:textId="6AAC1541" w:rsidR="0020146C" w:rsidRPr="00E733D8" w:rsidRDefault="00310154" w:rsidP="00E733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3FF45" w14:textId="045B0CA5" w:rsidR="0020146C" w:rsidRPr="00E733D8" w:rsidRDefault="00310154" w:rsidP="00E733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80CC13" w14:textId="77777777" w:rsidR="00212C26" w:rsidRPr="00AA7C2C" w:rsidRDefault="00212C26">
      <w:r w:rsidRPr="00AA7C2C">
        <w:separator/>
      </w:r>
    </w:p>
  </w:footnote>
  <w:footnote w:type="continuationSeparator" w:id="0">
    <w:p w14:paraId="6B1BF426" w14:textId="77777777" w:rsidR="00212C26" w:rsidRPr="00AA7C2C" w:rsidRDefault="00212C26">
      <w:r w:rsidRPr="00AA7C2C">
        <w:continuationSeparator/>
      </w:r>
    </w:p>
  </w:footnote>
  <w:footnote w:id="1">
    <w:p w14:paraId="5FBFFBBE" w14:textId="77777777" w:rsidR="00A760C0" w:rsidRPr="00E733D8" w:rsidRDefault="00A760C0" w:rsidP="00AA7C2C">
      <w:pPr>
        <w:pStyle w:val="FootnoteText"/>
        <w:ind w:left="567" w:hanging="567"/>
        <w:rPr>
          <w:sz w:val="24"/>
          <w:lang w:val="sl-SI"/>
        </w:rPr>
      </w:pPr>
      <w:r w:rsidRPr="00E733D8">
        <w:rPr>
          <w:rStyle w:val="FootnoteReference"/>
          <w:sz w:val="24"/>
          <w:lang w:val="sl-SI"/>
        </w:rPr>
        <w:footnoteRef/>
      </w:r>
      <w:r w:rsidR="00AA7C2C" w:rsidRPr="00E733D8">
        <w:rPr>
          <w:sz w:val="24"/>
          <w:lang w:val="sl-SI"/>
        </w:rPr>
        <w:t xml:space="preserve"> </w:t>
      </w:r>
      <w:r w:rsidR="00AA7C2C" w:rsidRPr="00E733D8">
        <w:rPr>
          <w:sz w:val="24"/>
          <w:lang w:val="sl-SI"/>
        </w:rPr>
        <w:tab/>
      </w:r>
      <w:r w:rsidRPr="00E733D8">
        <w:rPr>
          <w:sz w:val="24"/>
          <w:lang w:val="sl-SI"/>
        </w:rPr>
        <w:t>Še ni objavljeno v Uradnem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77B23" w14:textId="77777777" w:rsidR="00734C5C" w:rsidRDefault="003101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FD493F" w14:textId="77777777" w:rsidR="00734C5C" w:rsidRDefault="003101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3CC9D" w14:textId="77777777" w:rsidR="00734C5C" w:rsidRDefault="003101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SL"/>
    <w:docVar w:name="dvnumam" w:val="0"/>
    <w:docVar w:name="dvpe" w:val="758.217"/>
    <w:docVar w:name="dvrapporteur" w:val="Poročevalka: "/>
    <w:docVar w:name="dvstar" w:val="***I"/>
    <w:docVar w:name="dvtitre" w:val="Zakonodajna resolucija Evropskega parlamenta z dne xx. februarja 2024 o predlogu uredbe Evropskega parlamenta in Sveta_x0009_o spremembi Uredbe (EU) št. 1379/2013, Uredbe (EU) št. 167/2013 in Uredbe (EU) št. 168/2013 Evropskega parlamenta in Sveta v zvezi z nekaterimi zahtevami glede poročanja(COM(2023)0643 – C9-0388/2023 – 2023/0370(COD))"/>
  </w:docVars>
  <w:rsids>
    <w:rsidRoot w:val="00212C2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2C26"/>
    <w:rsid w:val="002767FF"/>
    <w:rsid w:val="002B18FE"/>
    <w:rsid w:val="002B5493"/>
    <w:rsid w:val="00310154"/>
    <w:rsid w:val="00343214"/>
    <w:rsid w:val="00361C00"/>
    <w:rsid w:val="00395FA1"/>
    <w:rsid w:val="003C063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410"/>
    <w:rsid w:val="00A1687D"/>
    <w:rsid w:val="00A43E52"/>
    <w:rsid w:val="00A4678D"/>
    <w:rsid w:val="00A760C0"/>
    <w:rsid w:val="00A778C7"/>
    <w:rsid w:val="00AA7C2C"/>
    <w:rsid w:val="00AB441E"/>
    <w:rsid w:val="00AB6293"/>
    <w:rsid w:val="00AB730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1A6E"/>
    <w:rsid w:val="00C941CB"/>
    <w:rsid w:val="00CA5678"/>
    <w:rsid w:val="00CC2357"/>
    <w:rsid w:val="00CF071A"/>
    <w:rsid w:val="00D058B8"/>
    <w:rsid w:val="00D56C11"/>
    <w:rsid w:val="00D834A0"/>
    <w:rsid w:val="00D872DF"/>
    <w:rsid w:val="00D91E21"/>
    <w:rsid w:val="00DA7FCD"/>
    <w:rsid w:val="00E115B7"/>
    <w:rsid w:val="00E365E1"/>
    <w:rsid w:val="00E733D8"/>
    <w:rsid w:val="00E820A4"/>
    <w:rsid w:val="00EB006A"/>
    <w:rsid w:val="00EB4772"/>
    <w:rsid w:val="00ED169E"/>
    <w:rsid w:val="00ED4235"/>
    <w:rsid w:val="00EF662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54E0A6"/>
  <w15:chartTrackingRefBased/>
  <w15:docId w15:val="{4CE5E8AC-F363-42E4-814C-7688ABE4B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760C0"/>
    <w:pPr>
      <w:spacing w:before="480" w:after="240"/>
    </w:pPr>
  </w:style>
  <w:style w:type="paragraph" w:customStyle="1" w:styleId="NormalBold">
    <w:name w:val="NormalBold"/>
    <w:basedOn w:val="Normal"/>
    <w:rsid w:val="00A760C0"/>
    <w:rPr>
      <w:b/>
    </w:rPr>
  </w:style>
  <w:style w:type="paragraph" w:customStyle="1" w:styleId="NormalHanging12a">
    <w:name w:val="NormalHanging12a"/>
    <w:basedOn w:val="Normal"/>
    <w:rsid w:val="00A760C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115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15B7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AB730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730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B730F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AB73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B730F"/>
    <w:rPr>
      <w:b/>
      <w:bCs/>
      <w:lang w:val="sl-SI"/>
    </w:rPr>
  </w:style>
  <w:style w:type="character" w:styleId="Hyperlink">
    <w:name w:val="Hyperlink"/>
    <w:basedOn w:val="DefaultParagraphFont"/>
    <w:uiPriority w:val="99"/>
    <w:rsid w:val="00AB730F"/>
    <w:rPr>
      <w:color w:val="0563C1" w:themeColor="hyperlink"/>
      <w:u w:val="single"/>
    </w:rPr>
  </w:style>
  <w:style w:type="paragraph" w:customStyle="1" w:styleId="EPFooter2">
    <w:name w:val="EPFooter2"/>
    <w:basedOn w:val="Normal"/>
    <w:next w:val="Normal"/>
    <w:rsid w:val="00E733D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E733D8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rsid w:val="00E733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733D8"/>
    <w:rPr>
      <w:sz w:val="24"/>
      <w:lang w:val="sl-SI"/>
    </w:rPr>
  </w:style>
  <w:style w:type="paragraph" w:styleId="Footer">
    <w:name w:val="footer"/>
    <w:basedOn w:val="Normal"/>
    <w:link w:val="FooterChar"/>
    <w:rsid w:val="00E733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733D8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1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A81B-278E-4387-8FEA-5398566AE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2024-12-19T12:49:00Z</dcterms:created>
  <dcterms:modified xsi:type="dcterms:W3CDTF">2024-12-19T12:49:00Z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