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73756" w14:paraId="6887A318" w14:textId="77777777" w:rsidTr="0010095E">
        <w:trPr>
          <w:trHeight w:hRule="exact" w:val="1418"/>
        </w:trPr>
        <w:tc>
          <w:tcPr>
            <w:tcW w:w="6804" w:type="dxa"/>
            <w:shd w:val="clear" w:color="auto" w:fill="auto"/>
            <w:vAlign w:val="center"/>
          </w:tcPr>
          <w:p w14:paraId="1DFAB016" w14:textId="77777777" w:rsidR="00751A4A" w:rsidRPr="00E97D06" w:rsidRDefault="00CA60EC" w:rsidP="0010095E">
            <w:pPr>
              <w:pStyle w:val="EPName"/>
            </w:pPr>
            <w:r w:rsidRPr="00E97D06">
              <w:t>Europa-Parlamentet</w:t>
            </w:r>
          </w:p>
          <w:p w14:paraId="3541F444" w14:textId="77777777" w:rsidR="00751A4A" w:rsidRPr="00573756" w:rsidRDefault="00817416" w:rsidP="00756632">
            <w:pPr>
              <w:pStyle w:val="EPTerm"/>
              <w:rPr>
                <w:rStyle w:val="HideTWBExt"/>
                <w:noProof w:val="0"/>
                <w:vanish w:val="0"/>
                <w:color w:val="auto"/>
              </w:rPr>
            </w:pPr>
            <w:r w:rsidRPr="00573756">
              <w:t>2019-2024</w:t>
            </w:r>
          </w:p>
        </w:tc>
        <w:tc>
          <w:tcPr>
            <w:tcW w:w="2268" w:type="dxa"/>
            <w:shd w:val="clear" w:color="auto" w:fill="auto"/>
          </w:tcPr>
          <w:p w14:paraId="3E4497FD" w14:textId="77777777" w:rsidR="00751A4A" w:rsidRPr="00E97D06" w:rsidRDefault="00187494" w:rsidP="0010095E">
            <w:pPr>
              <w:pStyle w:val="EPLogo"/>
            </w:pPr>
            <w:r w:rsidRPr="00E97D06">
              <w:rPr>
                <w:noProof/>
                <w:lang w:val="en-GB"/>
              </w:rPr>
              <w:drawing>
                <wp:inline distT="0" distB="0" distL="0" distR="0" wp14:anchorId="5B4720CF" wp14:editId="52C2969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688B5EC" w14:textId="77777777" w:rsidR="00D058B8" w:rsidRPr="00573756" w:rsidRDefault="00D058B8" w:rsidP="004C5D52">
      <w:pPr>
        <w:pStyle w:val="LineTop"/>
      </w:pPr>
    </w:p>
    <w:p w14:paraId="35B7EF49" w14:textId="77777777" w:rsidR="00680577" w:rsidRPr="00573756" w:rsidRDefault="00CA60EC" w:rsidP="00680577">
      <w:pPr>
        <w:pStyle w:val="EPBodyTA1"/>
      </w:pPr>
      <w:r w:rsidRPr="00573756">
        <w:t>VEDTAGNE TEKSTER</w:t>
      </w:r>
    </w:p>
    <w:p w14:paraId="6C63811C" w14:textId="77777777" w:rsidR="00D058B8" w:rsidRPr="00573756" w:rsidRDefault="00D058B8" w:rsidP="00D058B8">
      <w:pPr>
        <w:pStyle w:val="LineBottom"/>
      </w:pPr>
    </w:p>
    <w:p w14:paraId="405CF4DA" w14:textId="7F37679B" w:rsidR="00CA60EC" w:rsidRPr="005655F7" w:rsidRDefault="00CA60EC" w:rsidP="00CA60EC">
      <w:pPr>
        <w:pStyle w:val="ATHeading1"/>
      </w:pPr>
      <w:bookmarkStart w:id="0" w:name="TANumber"/>
      <w:r w:rsidRPr="005655F7">
        <w:t>P9_TA(2024)0</w:t>
      </w:r>
      <w:r w:rsidR="005655F7">
        <w:t>104</w:t>
      </w:r>
      <w:bookmarkEnd w:id="0"/>
    </w:p>
    <w:p w14:paraId="492A1567" w14:textId="77777777" w:rsidR="00CA60EC" w:rsidRPr="005655F7" w:rsidRDefault="00CA60EC" w:rsidP="00CA60EC">
      <w:pPr>
        <w:pStyle w:val="ATHeading2"/>
      </w:pPr>
      <w:bookmarkStart w:id="1" w:name="title"/>
      <w:r w:rsidRPr="005655F7">
        <w:t>Gennemførelsen af den fælles udenrigs- og sikkerhedspolitik – årlig betænkning 2023</w:t>
      </w:r>
      <w:bookmarkEnd w:id="1"/>
    </w:p>
    <w:p w14:paraId="6E83F1D2" w14:textId="77777777" w:rsidR="00CA60EC" w:rsidRPr="00E97D06" w:rsidRDefault="00CA60EC" w:rsidP="00CA60EC">
      <w:pPr>
        <w:rPr>
          <w:i/>
          <w:vanish/>
        </w:rPr>
      </w:pPr>
      <w:r w:rsidRPr="00E97D06">
        <w:rPr>
          <w:i/>
        </w:rPr>
        <w:fldChar w:fldCharType="begin"/>
      </w:r>
      <w:r w:rsidRPr="00E97D06">
        <w:rPr>
          <w:i/>
        </w:rPr>
        <w:instrText xml:space="preserve"> TC"(</w:instrText>
      </w:r>
      <w:bookmarkStart w:id="2" w:name="DocNumber"/>
      <w:r w:rsidRPr="00E97D06">
        <w:rPr>
          <w:i/>
        </w:rPr>
        <w:instrText>A9-0389/2023</w:instrText>
      </w:r>
      <w:bookmarkEnd w:id="2"/>
      <w:r w:rsidRPr="00E97D06">
        <w:rPr>
          <w:i/>
        </w:rPr>
        <w:instrText xml:space="preserve"> - Ordfører: David McAllister)"\l3 \n&gt; \* MERGEFORMAT </w:instrText>
      </w:r>
      <w:r w:rsidRPr="00E97D06">
        <w:rPr>
          <w:i/>
        </w:rPr>
        <w:fldChar w:fldCharType="end"/>
      </w:r>
    </w:p>
    <w:p w14:paraId="56E10A96" w14:textId="77777777" w:rsidR="00CA60EC" w:rsidRPr="005655F7" w:rsidRDefault="00CA60EC" w:rsidP="00CA60EC">
      <w:pPr>
        <w:rPr>
          <w:vanish/>
        </w:rPr>
      </w:pPr>
      <w:bookmarkStart w:id="3" w:name="Commission"/>
      <w:r w:rsidRPr="00573756">
        <w:rPr>
          <w:vanish/>
        </w:rPr>
        <w:t>Udenrigsudvalget</w:t>
      </w:r>
      <w:bookmarkEnd w:id="3"/>
    </w:p>
    <w:p w14:paraId="125FFBBB" w14:textId="77777777" w:rsidR="00CA60EC" w:rsidRPr="005655F7" w:rsidRDefault="00CA60EC" w:rsidP="00CA60EC">
      <w:pPr>
        <w:rPr>
          <w:vanish/>
        </w:rPr>
      </w:pPr>
      <w:bookmarkStart w:id="4" w:name="PE"/>
      <w:r w:rsidRPr="005655F7">
        <w:rPr>
          <w:vanish/>
        </w:rPr>
        <w:t>PE752.694</w:t>
      </w:r>
      <w:bookmarkEnd w:id="4"/>
    </w:p>
    <w:p w14:paraId="0748E33E" w14:textId="77777777" w:rsidR="00CA60EC" w:rsidRPr="005655F7" w:rsidRDefault="00CA60EC" w:rsidP="00CA60EC">
      <w:pPr>
        <w:pStyle w:val="ATHeading3"/>
      </w:pPr>
      <w:bookmarkStart w:id="5" w:name="Sujet"/>
      <w:r w:rsidRPr="005655F7">
        <w:t xml:space="preserve">Europa-Parlamentets beslutning af </w:t>
      </w:r>
      <w:r w:rsidR="00E97D06" w:rsidRPr="005655F7">
        <w:t>28</w:t>
      </w:r>
      <w:r w:rsidRPr="005655F7">
        <w:t>. f</w:t>
      </w:r>
      <w:r w:rsidR="00371BE6" w:rsidRPr="005655F7">
        <w:t>e</w:t>
      </w:r>
      <w:r w:rsidRPr="005655F7">
        <w:t>bruar 2024 om gennemførelsen af den fælles udenrigs- og sikkerhedspolitik – årlig betænkning 2023</w:t>
      </w:r>
      <w:bookmarkEnd w:id="5"/>
      <w:r w:rsidRPr="005655F7">
        <w:t xml:space="preserve"> </w:t>
      </w:r>
      <w:bookmarkStart w:id="6" w:name="References"/>
      <w:r w:rsidRPr="005655F7">
        <w:t>(2023/2117(INI))</w:t>
      </w:r>
      <w:bookmarkEnd w:id="6"/>
    </w:p>
    <w:p w14:paraId="12427EBE" w14:textId="77777777" w:rsidR="001A3F0B" w:rsidRPr="005655F7" w:rsidRDefault="001A3F0B" w:rsidP="001A3F0B">
      <w:pPr>
        <w:pStyle w:val="EPComma"/>
      </w:pPr>
      <w:bookmarkStart w:id="7" w:name="TextBodyBegin"/>
      <w:bookmarkEnd w:id="7"/>
      <w:r w:rsidRPr="00E97D06">
        <w:rPr>
          <w:i/>
        </w:rPr>
        <w:t>Europa-Parlamentet</w:t>
      </w:r>
      <w:r w:rsidRPr="00573756">
        <w:t>,</w:t>
      </w:r>
    </w:p>
    <w:p w14:paraId="1C0501DD" w14:textId="77777777" w:rsidR="001A3F0B" w:rsidRPr="005655F7" w:rsidRDefault="001A3F0B" w:rsidP="001A3F0B">
      <w:pPr>
        <w:pStyle w:val="NormalHanging12a"/>
      </w:pPr>
      <w:r w:rsidRPr="005655F7">
        <w:t>–</w:t>
      </w:r>
      <w:r w:rsidRPr="005655F7">
        <w:tab/>
        <w:t>der henviser til traktaten om Den Europæiske Union (TEU), særlig artikel 21 og 36,</w:t>
      </w:r>
    </w:p>
    <w:p w14:paraId="07252FAA" w14:textId="77777777" w:rsidR="001A3F0B" w:rsidRPr="005655F7" w:rsidRDefault="001A3F0B" w:rsidP="001A3F0B">
      <w:pPr>
        <w:pStyle w:val="NormalHanging12a"/>
      </w:pPr>
      <w:r w:rsidRPr="005655F7">
        <w:t>–</w:t>
      </w:r>
      <w:r w:rsidRPr="005655F7">
        <w:tab/>
        <w:t>der henviser til rapporten af 15. juni 2023 fra næstformanden for Kommissionen/Unionens højtstående repræsentant for udenrigsanliggender og sikkerhedspolitik (HR/NF) med titlen "FUSP-rapport – vores prioriteter for 2023",</w:t>
      </w:r>
    </w:p>
    <w:p w14:paraId="38A23EF6" w14:textId="77777777" w:rsidR="001A3F0B" w:rsidRPr="005655F7" w:rsidRDefault="001A3F0B" w:rsidP="001A3F0B">
      <w:pPr>
        <w:pStyle w:val="NormalHanging12a"/>
      </w:pPr>
      <w:r w:rsidRPr="005655F7">
        <w:t>–</w:t>
      </w:r>
      <w:r w:rsidRPr="005655F7">
        <w:tab/>
        <w:t>der henviser til "Et strategisk kompas for sikkerhed og forsvar – For en Europæisk Union, der beskytter sine borgere, værdier og interesser og bidrager til international fred og sikkerhed", godkendt af Det Europæiske Råd den 24. marts 2022,</w:t>
      </w:r>
    </w:p>
    <w:p w14:paraId="435631AB" w14:textId="01E94DD4" w:rsidR="001A3F0B" w:rsidRDefault="001A3F0B" w:rsidP="001A3F0B">
      <w:pPr>
        <w:pStyle w:val="NormalHanging12a"/>
      </w:pPr>
      <w:r w:rsidRPr="005655F7">
        <w:rPr>
          <w:b/>
          <w:i/>
        </w:rPr>
        <w:t>–</w:t>
      </w:r>
      <w:r w:rsidRPr="005655F7">
        <w:rPr>
          <w:b/>
          <w:i/>
        </w:rPr>
        <w:tab/>
      </w:r>
      <w:r w:rsidRPr="005655F7">
        <w:t>der henviser til NATO's nye strategiske koncept, som blev vedtaget af stats- og regeringschefer på NATO-topmødet i Madrid den 29. juni 2022,</w:t>
      </w:r>
    </w:p>
    <w:p w14:paraId="6E5B7EC0" w14:textId="71E5B99F" w:rsidR="004D2E72" w:rsidRDefault="004D2E72" w:rsidP="001A3F0B">
      <w:pPr>
        <w:pStyle w:val="NormalHanging12a"/>
      </w:pPr>
      <w:r w:rsidRPr="004D2E72">
        <w:t>–</w:t>
      </w:r>
      <w:r w:rsidRPr="004D2E72">
        <w:tab/>
        <w:t>der henviser til konklusionerne fra Det Europæiske Råds møde den 1. februar 2024,</w:t>
      </w:r>
    </w:p>
    <w:p w14:paraId="150F07EB" w14:textId="5F8AC2E3" w:rsidR="004D2E72" w:rsidRPr="004D2E72" w:rsidRDefault="004D2E72" w:rsidP="001A3F0B">
      <w:pPr>
        <w:pStyle w:val="NormalHanging12a"/>
      </w:pPr>
      <w:r w:rsidRPr="004D2E72">
        <w:t>–</w:t>
      </w:r>
      <w:r w:rsidRPr="004D2E72">
        <w:tab/>
        <w:t>der henviser til konklusionerne fra Det Europæiske Råds møde den 14. og 15. december 2023,</w:t>
      </w:r>
    </w:p>
    <w:p w14:paraId="5CBC3FD7" w14:textId="77777777" w:rsidR="001A3F0B" w:rsidRPr="005655F7" w:rsidRDefault="001A3F0B" w:rsidP="001A3F0B">
      <w:pPr>
        <w:pStyle w:val="NormalHanging12a"/>
      </w:pPr>
      <w:r w:rsidRPr="005655F7">
        <w:t>–</w:t>
      </w:r>
      <w:r w:rsidRPr="005655F7">
        <w:tab/>
        <w:t>der henviser til konklusionerne fra Det Europæiske Råds møde den 29. og 30. juni 2023,</w:t>
      </w:r>
    </w:p>
    <w:p w14:paraId="3CEA0953" w14:textId="77777777" w:rsidR="001A3F0B" w:rsidRPr="005655F7" w:rsidRDefault="001A3F0B" w:rsidP="001A3F0B">
      <w:pPr>
        <w:pStyle w:val="NormalHanging12a"/>
      </w:pPr>
      <w:r w:rsidRPr="005655F7">
        <w:t>–</w:t>
      </w:r>
      <w:r w:rsidRPr="005655F7">
        <w:tab/>
        <w:t>der henviser til konklusionerne fra Det Europæiske Råds møde den 23. og 24. juni 2022,</w:t>
      </w:r>
    </w:p>
    <w:p w14:paraId="79749668" w14:textId="77777777" w:rsidR="001A3F0B" w:rsidRPr="005655F7" w:rsidRDefault="001A3F0B" w:rsidP="001A3F0B">
      <w:pPr>
        <w:pStyle w:val="NormalHanging12a"/>
      </w:pPr>
      <w:r w:rsidRPr="005655F7">
        <w:t>–</w:t>
      </w:r>
      <w:r w:rsidRPr="005655F7">
        <w:tab/>
        <w:t>der henviser til konklusionerne fra Det Europæiske Råds møde den 24. og 25. marts 2022,</w:t>
      </w:r>
    </w:p>
    <w:p w14:paraId="08BB0B25" w14:textId="77777777" w:rsidR="001A3F0B" w:rsidRPr="00573756" w:rsidRDefault="001A3F0B" w:rsidP="001A3F0B">
      <w:pPr>
        <w:pStyle w:val="NormalHanging12a"/>
      </w:pPr>
      <w:r w:rsidRPr="005655F7">
        <w:t>–</w:t>
      </w:r>
      <w:r w:rsidRPr="005655F7">
        <w:tab/>
        <w:t>der henviser til Rådets afgørelse (FUSP) 2021/509 af 22. marts 2021 om oprettelse af en europæisk fredsfacilitet og om ophævelse af afgørelse (FUSP) 2015/528</w:t>
      </w:r>
      <w:r w:rsidRPr="00E97D06">
        <w:rPr>
          <w:rStyle w:val="FootnoteReference"/>
        </w:rPr>
        <w:footnoteReference w:id="1"/>
      </w:r>
      <w:r w:rsidRPr="00E97D06">
        <w:t>,</w:t>
      </w:r>
    </w:p>
    <w:p w14:paraId="0AA74B8F" w14:textId="77777777" w:rsidR="001A3F0B" w:rsidRPr="005655F7" w:rsidRDefault="001A3F0B" w:rsidP="001A3F0B">
      <w:pPr>
        <w:pStyle w:val="NormalHanging12a"/>
      </w:pPr>
      <w:r w:rsidRPr="005655F7">
        <w:t>–</w:t>
      </w:r>
      <w:r w:rsidRPr="005655F7">
        <w:tab/>
        <w:t>der henviser til Kommissionens forslag af 20. juni 2023 til Europa-Parlamentets og Rådets forordning om oprettelse af Ukraine-faciliteten (COM(2023)0338),</w:t>
      </w:r>
    </w:p>
    <w:p w14:paraId="4F0A5A81" w14:textId="77777777" w:rsidR="001A3F0B" w:rsidRPr="005655F7" w:rsidRDefault="001A3F0B" w:rsidP="001A3F0B">
      <w:pPr>
        <w:pStyle w:val="NormalHanging12a"/>
      </w:pPr>
      <w:r w:rsidRPr="005655F7">
        <w:lastRenderedPageBreak/>
        <w:t>–</w:t>
      </w:r>
      <w:r w:rsidRPr="005655F7">
        <w:tab/>
        <w:t>der henviser til den fælles meddelelse fra Kommissionen og Unionens højtstående repræsentant for udenrigsanliggender og sikkerhedspolitik til Europa-Parlamentet, Rådet, Det Europæiske Økonomiske og Sociale Udvalg, Regionsudvalget og Den Europæiske Investeringsbank fra den 1. december 2021 med titlen "Global Gateway" (JOIN(2021)0030),</w:t>
      </w:r>
    </w:p>
    <w:p w14:paraId="5B3EF17C" w14:textId="15515037" w:rsidR="001A3F0B" w:rsidRPr="005655F7" w:rsidRDefault="001A3F0B" w:rsidP="001A3F0B">
      <w:pPr>
        <w:pStyle w:val="NormalHanging12a"/>
      </w:pPr>
      <w:r w:rsidRPr="005655F7">
        <w:t>–</w:t>
      </w:r>
      <w:r w:rsidRPr="005655F7">
        <w:tab/>
        <w:t xml:space="preserve">der henviser til Kommissionens meddelelse af </w:t>
      </w:r>
      <w:r w:rsidR="004D2E72" w:rsidRPr="004D2E72">
        <w:t xml:space="preserve">8. november 2023 </w:t>
      </w:r>
      <w:r w:rsidRPr="005655F7">
        <w:t xml:space="preserve">med titlen "Meddelelse om EU's udvidelsespolitik </w:t>
      </w:r>
      <w:r w:rsidR="004D2E72" w:rsidRPr="004D2E72">
        <w:t>2023</w:t>
      </w:r>
      <w:r w:rsidRPr="005655F7">
        <w:t>" (</w:t>
      </w:r>
      <w:r w:rsidR="004D2E72" w:rsidRPr="004D2E72">
        <w:t>COM(2023)0690</w:t>
      </w:r>
      <w:r w:rsidRPr="005655F7">
        <w:t>),</w:t>
      </w:r>
    </w:p>
    <w:p w14:paraId="18C30E19" w14:textId="77777777" w:rsidR="001A3F0B" w:rsidRPr="005655F7" w:rsidRDefault="001A3F0B" w:rsidP="001A3F0B">
      <w:pPr>
        <w:pStyle w:val="NormalHanging12a"/>
        <w:rPr>
          <w:szCs w:val="22"/>
        </w:rPr>
      </w:pPr>
      <w:r w:rsidRPr="005655F7">
        <w:t>–</w:t>
      </w:r>
      <w:r w:rsidRPr="005655F7">
        <w:tab/>
        <w:t>der henviser til udvidelsesrapporterne 2023 og til vækstplanen for landene på Vestbalkan, som Kommissionen forelagde den 8. november 2023,</w:t>
      </w:r>
    </w:p>
    <w:p w14:paraId="0E0085B7" w14:textId="7B6A46B5" w:rsidR="001A3F0B" w:rsidRDefault="001A3F0B" w:rsidP="001A3F0B">
      <w:pPr>
        <w:pStyle w:val="NormalHanging12a"/>
      </w:pPr>
      <w:r w:rsidRPr="005655F7">
        <w:t>–</w:t>
      </w:r>
      <w:r w:rsidRPr="005655F7">
        <w:tab/>
        <w:t>der henviser til sin henstilling af 23. november 2022 til Rådet, Kommissionen og næstformanden for Kommissionen/Unionens højtstående repræsentant for udenrigsanliggender og sikkerhedspolitik om EU's nye udvidelsesstrategi</w:t>
      </w:r>
      <w:r w:rsidRPr="005655F7">
        <w:rPr>
          <w:rStyle w:val="FootnoteReference"/>
          <w:szCs w:val="22"/>
        </w:rPr>
        <w:footnoteReference w:id="2"/>
      </w:r>
      <w:r w:rsidRPr="005655F7">
        <w:t>,</w:t>
      </w:r>
    </w:p>
    <w:p w14:paraId="372786B0" w14:textId="5904EADF" w:rsidR="004D2E72" w:rsidRDefault="004D2E72" w:rsidP="001A3F0B">
      <w:pPr>
        <w:pStyle w:val="NormalHanging12a"/>
        <w:rPr>
          <w:szCs w:val="22"/>
        </w:rPr>
      </w:pPr>
      <w:r w:rsidRPr="004D2E72">
        <w:rPr>
          <w:szCs w:val="22"/>
        </w:rPr>
        <w:t>–</w:t>
      </w:r>
      <w:r w:rsidRPr="004D2E72">
        <w:rPr>
          <w:szCs w:val="22"/>
        </w:rPr>
        <w:tab/>
        <w:t>der henviser til konklusionerne fra Det Europæiske Råds møde den 15. december 2023 vedrørende afgørelsen om at indlede tiltrædelsesforhandlinger med Ukraine og Republikken Moldova, indledningen af tiltrædelsesforhandlinger med Bosnien-Hercegovina, når medlemskabskriterierne er opfyldt i tilstrækkelig grad, og tildelingen af status som kandidatland til Georgien, ud fra den forståelse at de relevante skridt, der er fastsat i Kommissionens meddelelse af 8. november 2023 om EU's udvidelsespolitik 2023 (COM(2023)0690), er blevet taget,</w:t>
      </w:r>
    </w:p>
    <w:p w14:paraId="2CB34368" w14:textId="05B1F6E5" w:rsidR="004D2E72" w:rsidRPr="005655F7" w:rsidRDefault="004D2E72" w:rsidP="001A3F0B">
      <w:pPr>
        <w:pStyle w:val="NormalHanging12a"/>
        <w:rPr>
          <w:szCs w:val="22"/>
        </w:rPr>
      </w:pPr>
      <w:r w:rsidRPr="004D2E72">
        <w:rPr>
          <w:szCs w:val="22"/>
        </w:rPr>
        <w:t>–</w:t>
      </w:r>
      <w:r w:rsidRPr="004D2E72">
        <w:rPr>
          <w:szCs w:val="22"/>
        </w:rPr>
        <w:tab/>
        <w:t>der henviser til erklæring af 16. februar 2024 fra Unionens højtstående repræsentant for udenrigsanliggender og sikkerhedspolitik om en planlagt israelsk militæroperation i Rafah,</w:t>
      </w:r>
    </w:p>
    <w:p w14:paraId="45166C89" w14:textId="77777777" w:rsidR="001A3F0B" w:rsidRPr="005655F7" w:rsidRDefault="001A3F0B" w:rsidP="001A3F0B">
      <w:pPr>
        <w:pStyle w:val="NormalHanging12a"/>
      </w:pPr>
      <w:r w:rsidRPr="005655F7">
        <w:t>–</w:t>
      </w:r>
      <w:r w:rsidRPr="005655F7">
        <w:tab/>
        <w:t>der henviser til den fælles meddelelse fra Kommissionen og Unionens højtstående repræsentant for udenrigsanliggender og sikkerhedspolitik af 7. juni 2023 til Europa-Parlamentet og Rådet med titlen "En ny dagsorden for forbindelserne mellem EU og Latinamerika og Caribien" (JOIN(2023)0017),</w:t>
      </w:r>
    </w:p>
    <w:p w14:paraId="084EA04F" w14:textId="77777777" w:rsidR="001A3F0B" w:rsidRPr="005655F7" w:rsidRDefault="001A3F0B" w:rsidP="001A3F0B">
      <w:pPr>
        <w:pStyle w:val="NormalHanging12a"/>
      </w:pPr>
      <w:r w:rsidRPr="005655F7">
        <w:t>–</w:t>
      </w:r>
      <w:r w:rsidRPr="005655F7">
        <w:tab/>
        <w:t>der henviser til De Forenede Nationers Generalforsamlings resolution af 23. februar 2023 med titlen "Grundsætninger i De Forenede Nationers pagt som grundlag for en altomfattende, retfærdig og varig fred i Ukraine" (A/RES/ES-11/6) og til De Forenede Nationers Generalforsamlings tidligere resolutioner om aggressionen mod Ukraine,</w:t>
      </w:r>
    </w:p>
    <w:p w14:paraId="4B68B6B0" w14:textId="77777777" w:rsidR="001A3F0B" w:rsidRPr="005655F7" w:rsidRDefault="001A3F0B" w:rsidP="001A3F0B">
      <w:pPr>
        <w:pStyle w:val="NormalHanging12a"/>
      </w:pPr>
      <w:r w:rsidRPr="005655F7">
        <w:t>–</w:t>
      </w:r>
      <w:r w:rsidRPr="005655F7">
        <w:tab/>
        <w:t>der henviser til De Forenede Nationers Generalforsamlings resolution af 7. april 2022 med titlen "Suspendering af Den Russiske Føderations plads i Menneskerettighedsrådet" (A/RES/ES-11/3),</w:t>
      </w:r>
    </w:p>
    <w:p w14:paraId="0B355C6D" w14:textId="77777777" w:rsidR="001A3F0B" w:rsidRPr="005655F7" w:rsidRDefault="001A3F0B" w:rsidP="001A3F0B">
      <w:pPr>
        <w:pStyle w:val="NormalHanging12a"/>
      </w:pPr>
      <w:r w:rsidRPr="005655F7">
        <w:t>–</w:t>
      </w:r>
      <w:r w:rsidRPr="005655F7">
        <w:tab/>
        <w:t>der henviser til resolutionen med titlen "Ændring af vores samfund: 2030-dagsordenen for bæredygtig udvikling" (2030-dagsordenen) (A/RES/70/1), som De Forenede Nationers Generalforsamling vedtog den 25. september 2015 på FN-topmødet om bæredygtig udvikling i New York, og som indeholder verdensmålene for bæredygtig udvikling,</w:t>
      </w:r>
    </w:p>
    <w:p w14:paraId="192776F3" w14:textId="77777777" w:rsidR="001A3F0B" w:rsidRPr="005655F7" w:rsidRDefault="001A3F0B" w:rsidP="001A3F0B">
      <w:pPr>
        <w:pStyle w:val="NormalHanging12a"/>
      </w:pPr>
      <w:r w:rsidRPr="005655F7">
        <w:t>–</w:t>
      </w:r>
      <w:r w:rsidRPr="005655F7">
        <w:tab/>
        <w:t xml:space="preserve">der henviser til Rådets afgørelse (FUSP) 2023/162 af 23. januar 2023 om Den </w:t>
      </w:r>
      <w:r w:rsidRPr="005655F7">
        <w:lastRenderedPageBreak/>
        <w:t>Europæiske Unions mission i Armenien (EUMA)</w:t>
      </w:r>
      <w:r w:rsidRPr="005655F7">
        <w:rPr>
          <w:rStyle w:val="FootnoteReference"/>
        </w:rPr>
        <w:footnoteReference w:id="3"/>
      </w:r>
      <w:r w:rsidRPr="005655F7">
        <w:t>,</w:t>
      </w:r>
    </w:p>
    <w:p w14:paraId="1A0B0858" w14:textId="77777777" w:rsidR="001A3F0B" w:rsidRPr="005655F7" w:rsidRDefault="001A3F0B" w:rsidP="001A3F0B">
      <w:pPr>
        <w:pStyle w:val="NormalHanging12a"/>
      </w:pPr>
      <w:r w:rsidRPr="005655F7">
        <w:t>–</w:t>
      </w:r>
      <w:r w:rsidRPr="005655F7">
        <w:tab/>
        <w:t>der henviser til Rådets afgørelse (FUSP) 2022/1970 af 17. oktober 2022</w:t>
      </w:r>
      <w:r w:rsidRPr="005655F7">
        <w:rPr>
          <w:rStyle w:val="FootnoteReference"/>
        </w:rPr>
        <w:footnoteReference w:id="4"/>
      </w:r>
      <w:r w:rsidRPr="005655F7">
        <w:t xml:space="preserve"> og 2022/2507 af 19. december 2022</w:t>
      </w:r>
      <w:r w:rsidRPr="005655F7">
        <w:rPr>
          <w:rStyle w:val="FootnoteReference"/>
        </w:rPr>
        <w:footnoteReference w:id="5"/>
      </w:r>
      <w:r w:rsidRPr="005655F7">
        <w:t xml:space="preserve"> om ændring af afgørelse 2010/452/FUSP om Den Europæiske Unions observatørmission i Georgien, EUMM Georgia,</w:t>
      </w:r>
    </w:p>
    <w:p w14:paraId="344BD70F" w14:textId="77777777" w:rsidR="001A3F0B" w:rsidRPr="005655F7" w:rsidRDefault="001A3F0B" w:rsidP="001A3F0B">
      <w:pPr>
        <w:pStyle w:val="NormalHanging12a"/>
      </w:pPr>
      <w:r w:rsidRPr="005655F7">
        <w:t>–</w:t>
      </w:r>
      <w:r w:rsidRPr="005655F7">
        <w:tab/>
        <w:t>der henviser til sine beslutninger af 15. marts 2023 om forbindelserne mellem EU og Armenien</w:t>
      </w:r>
      <w:r w:rsidRPr="005655F7">
        <w:rPr>
          <w:rStyle w:val="FootnoteReference"/>
        </w:rPr>
        <w:footnoteReference w:id="6"/>
      </w:r>
      <w:r w:rsidRPr="005655F7">
        <w:t xml:space="preserve"> og om forbindelserne mellem EU og Aserbajdsjan</w:t>
      </w:r>
      <w:r w:rsidRPr="005655F7">
        <w:rPr>
          <w:rStyle w:val="FootnoteReference"/>
        </w:rPr>
        <w:footnoteReference w:id="7"/>
      </w:r>
      <w:r w:rsidRPr="005655F7">
        <w:t>, til sin beslutning af 19. januar 2023 om de humanitære konsekvenser af blokaden i Nagorno-Karabakh</w:t>
      </w:r>
      <w:r w:rsidRPr="005655F7">
        <w:rPr>
          <w:rStyle w:val="FootnoteReference"/>
        </w:rPr>
        <w:footnoteReference w:id="8"/>
      </w:r>
      <w:r w:rsidRPr="005655F7">
        <w:t xml:space="preserve"> og til sin beslutning af 5. oktober 2023 om situationen i Nagorno-Karabakh efter Aserbajdsjans angreb og de fortsatte trusler mod Armenien</w:t>
      </w:r>
      <w:r w:rsidRPr="005655F7">
        <w:rPr>
          <w:rStyle w:val="FootnoteReference"/>
        </w:rPr>
        <w:footnoteReference w:id="9"/>
      </w:r>
      <w:r w:rsidRPr="005655F7">
        <w:t>,</w:t>
      </w:r>
    </w:p>
    <w:p w14:paraId="5C86320A" w14:textId="77777777" w:rsidR="001A3F0B" w:rsidRPr="005655F7" w:rsidRDefault="001A3F0B" w:rsidP="001A3F0B">
      <w:pPr>
        <w:pStyle w:val="NormalHanging12a"/>
      </w:pPr>
      <w:r w:rsidRPr="005655F7">
        <w:t>–</w:t>
      </w:r>
      <w:r w:rsidRPr="005655F7">
        <w:tab/>
        <w:t>der henviser til sin beslutning af 18. april 2023 om gennemførelsen af en civil FSFP og anden EU-bistand inden for civil sikkerhed</w:t>
      </w:r>
      <w:r w:rsidRPr="005655F7">
        <w:rPr>
          <w:rStyle w:val="FootnoteReference"/>
        </w:rPr>
        <w:footnoteReference w:id="10"/>
      </w:r>
      <w:r w:rsidRPr="005655F7">
        <w:t>,</w:t>
      </w:r>
    </w:p>
    <w:p w14:paraId="233A9070" w14:textId="77777777" w:rsidR="001A3F0B" w:rsidRPr="005655F7" w:rsidRDefault="001A3F0B" w:rsidP="001A3F0B">
      <w:pPr>
        <w:pStyle w:val="NormalHanging12a"/>
      </w:pPr>
      <w:r w:rsidRPr="005655F7">
        <w:t>–</w:t>
      </w:r>
      <w:r w:rsidRPr="005655F7">
        <w:tab/>
        <w:t>der henviser til sin henstilling af 5. oktober 2022 til Rådet, Kommissionen og næstformanden for Kommissionen/Unionens højtstående repræsentant for udenrigsanliggender og sikkerhedspolitik om EU's strategiske forbindelser til og partnerskab med Afrikas Horn</w:t>
      </w:r>
      <w:r w:rsidRPr="005655F7">
        <w:rPr>
          <w:rStyle w:val="FootnoteReference"/>
        </w:rPr>
        <w:footnoteReference w:id="11"/>
      </w:r>
      <w:r w:rsidRPr="005655F7">
        <w:t>,</w:t>
      </w:r>
    </w:p>
    <w:p w14:paraId="18C3D442" w14:textId="77777777" w:rsidR="001A3F0B" w:rsidRPr="005655F7" w:rsidRDefault="001A3F0B" w:rsidP="001A3F0B">
      <w:pPr>
        <w:pStyle w:val="NormalHanging12a"/>
        <w:rPr>
          <w:b/>
          <w:i/>
        </w:rPr>
      </w:pPr>
      <w:r w:rsidRPr="005655F7">
        <w:t>–</w:t>
      </w:r>
      <w:r w:rsidRPr="005655F7">
        <w:rPr>
          <w:b/>
          <w:i/>
        </w:rPr>
        <w:tab/>
      </w:r>
      <w:r w:rsidRPr="005655F7">
        <w:t>der henviser til sin beslutning af 15. juni 2023 om forværringen af de grundlæggende frihedsrettigheder i Hongkong, navnlig sagen om Jimmy Lai</w:t>
      </w:r>
      <w:r w:rsidRPr="005655F7">
        <w:rPr>
          <w:rStyle w:val="FootnoteReference"/>
        </w:rPr>
        <w:footnoteReference w:id="12"/>
      </w:r>
      <w:r w:rsidRPr="005655F7">
        <w:t>,</w:t>
      </w:r>
    </w:p>
    <w:p w14:paraId="2BB2AAF7" w14:textId="77777777" w:rsidR="001A3F0B" w:rsidRPr="005655F7" w:rsidRDefault="001A3F0B" w:rsidP="001A3F0B">
      <w:pPr>
        <w:pStyle w:val="NormalHanging12a"/>
      </w:pPr>
      <w:r w:rsidRPr="005655F7">
        <w:t>–</w:t>
      </w:r>
      <w:r w:rsidRPr="005655F7">
        <w:tab/>
        <w:t>der henviser til midtvejsrevisionen for instrumentet for naboskab, udviklingssamarbejde og internationalt samarbejde – et globalt Europa,</w:t>
      </w:r>
    </w:p>
    <w:p w14:paraId="0055880C" w14:textId="77777777" w:rsidR="001A3F0B" w:rsidRPr="005655F7" w:rsidRDefault="001A3F0B" w:rsidP="001A3F0B">
      <w:pPr>
        <w:pStyle w:val="NormalHanging12a"/>
      </w:pPr>
      <w:r w:rsidRPr="005655F7">
        <w:t>–</w:t>
      </w:r>
      <w:r w:rsidRPr="005655F7">
        <w:tab/>
        <w:t>der henviser til beslutning af 1. juni 2023 om udenlandsk indblanding, herunder spredning af desinformation, i alle demokratiske processer i Den Europæiske Union</w:t>
      </w:r>
      <w:r w:rsidRPr="005655F7">
        <w:rPr>
          <w:rStyle w:val="FootnoteReference"/>
        </w:rPr>
        <w:footnoteReference w:id="13"/>
      </w:r>
      <w:r w:rsidRPr="005655F7">
        <w:t xml:space="preserve"> og til sin beslutning af 9. marts 2022 om udenlandsk indblanding, herunder spredning af desinformation, i alle demokratiske processer i Den Europæiske Union</w:t>
      </w:r>
      <w:r w:rsidRPr="005655F7">
        <w:rPr>
          <w:rStyle w:val="FootnoteReference"/>
        </w:rPr>
        <w:footnoteReference w:id="14"/>
      </w:r>
      <w:r w:rsidRPr="005655F7">
        <w:t>,</w:t>
      </w:r>
    </w:p>
    <w:p w14:paraId="6C50DE51" w14:textId="77777777" w:rsidR="001A3F0B" w:rsidRPr="005655F7" w:rsidRDefault="001A3F0B" w:rsidP="001A3F0B">
      <w:pPr>
        <w:pStyle w:val="NormalHanging12a"/>
      </w:pPr>
      <w:r w:rsidRPr="005655F7">
        <w:t>–</w:t>
      </w:r>
      <w:r w:rsidRPr="005655F7">
        <w:tab/>
        <w:t>der henviser til sine beslutninger om tilfælde af krænkelser af menneskerettighederne, demokratiet og retsstatsprincippet vedtaget i henhold til forretningsordenens artikel 144,</w:t>
      </w:r>
    </w:p>
    <w:p w14:paraId="756DBED6" w14:textId="77777777" w:rsidR="001A3F0B" w:rsidRPr="005655F7" w:rsidRDefault="001A3F0B" w:rsidP="001A3F0B">
      <w:pPr>
        <w:pStyle w:val="NormalHanging12a"/>
      </w:pPr>
      <w:r w:rsidRPr="005655F7">
        <w:t>–</w:t>
      </w:r>
      <w:r w:rsidRPr="005655F7">
        <w:tab/>
        <w:t>der henviser til EU's handlingsplan om ligestilling mellem kønnene og styrkelse af kvinders indflydelse og status i EU's optræden udadtil 2021-2025 (kønshandlingsplan III) og til EU's handlingsplan for kvinder, fred og sikkerhed 2019-2024,</w:t>
      </w:r>
    </w:p>
    <w:p w14:paraId="0E3F183F" w14:textId="77777777" w:rsidR="001A3F0B" w:rsidRPr="005655F7" w:rsidRDefault="001A3F0B" w:rsidP="001A3F0B">
      <w:pPr>
        <w:pStyle w:val="NormalHanging12a"/>
      </w:pPr>
      <w:r w:rsidRPr="005655F7">
        <w:t>–</w:t>
      </w:r>
      <w:r w:rsidRPr="005655F7">
        <w:tab/>
        <w:t xml:space="preserve">der henviser til Rådets gennemførelsesafgørelse (EU) 2022/382 af 4. marts 2022 om </w:t>
      </w:r>
      <w:r w:rsidRPr="005655F7">
        <w:lastRenderedPageBreak/>
        <w:t>konstatering af massetilstrømning af fordrevne personer fra Ukraine som omhandlet i artikel 5 i direktiv 2001/55/EF og deraf følgende indførelse af midlertidig beskyttelse</w:t>
      </w:r>
      <w:r w:rsidRPr="005655F7">
        <w:rPr>
          <w:rStyle w:val="FootnoteReference"/>
        </w:rPr>
        <w:footnoteReference w:id="15"/>
      </w:r>
      <w:r w:rsidRPr="005655F7">
        <w:t>, som medførte midlertidig beskyttelse af mennesker, der flygter fra Ruslands angrebskrig mod Ukraine,</w:t>
      </w:r>
    </w:p>
    <w:p w14:paraId="2591F025" w14:textId="77777777" w:rsidR="001A3F0B" w:rsidRPr="005655F7" w:rsidRDefault="001A3F0B" w:rsidP="001A3F0B">
      <w:pPr>
        <w:pStyle w:val="NormalHanging12a"/>
      </w:pPr>
      <w:r w:rsidRPr="005655F7">
        <w:t>–</w:t>
      </w:r>
      <w:r w:rsidRPr="005655F7">
        <w:tab/>
        <w:t>der henviser til Europarådets erklæring af 16.-17. maj 2023 med titlen "Reykjavik Declaration – United around our values" (Reykjavikerklæringen – forenet omkring vores værdier),</w:t>
      </w:r>
    </w:p>
    <w:p w14:paraId="6AB68B50" w14:textId="77777777" w:rsidR="001A3F0B" w:rsidRPr="005655F7" w:rsidRDefault="001A3F0B" w:rsidP="001A3F0B">
      <w:pPr>
        <w:pStyle w:val="NormalHanging12a"/>
      </w:pPr>
      <w:r w:rsidRPr="005655F7">
        <w:t>–</w:t>
      </w:r>
      <w:r w:rsidRPr="005655F7">
        <w:tab/>
        <w:t>der henviser til erklæringen om Belarus' fremtidige medlemskab af Den Europæiske Union, til erklæringen fra de demokratiske kræfter i Belarus om solidaritet med det ukrainske folk og til den politiske erklæring fra de demokratiske kræfter i Belarus, som alle blev vedtaget på New Belarus-konferencen den 6. august 2023,</w:t>
      </w:r>
    </w:p>
    <w:p w14:paraId="780B6E06" w14:textId="77777777" w:rsidR="001A3F0B" w:rsidRPr="005655F7" w:rsidRDefault="001A3F0B" w:rsidP="001A3F0B">
      <w:pPr>
        <w:pStyle w:val="NormalHanging12a"/>
      </w:pPr>
      <w:r w:rsidRPr="005655F7">
        <w:t>–</w:t>
      </w:r>
      <w:r w:rsidRPr="005655F7">
        <w:tab/>
        <w:t>der henviser til sin beslutning af 13. juli 2023 om henstillinger om reform af Europa-Parlamentets regler om gennemsigtighed, integritet, ansvarlighed og bekæmpelse af korruption</w:t>
      </w:r>
      <w:r w:rsidRPr="005655F7">
        <w:rPr>
          <w:rStyle w:val="FootnoteReference"/>
        </w:rPr>
        <w:footnoteReference w:id="16"/>
      </w:r>
      <w:r w:rsidRPr="005655F7">
        <w:t>,</w:t>
      </w:r>
    </w:p>
    <w:p w14:paraId="6988E6F2" w14:textId="77777777" w:rsidR="001A3F0B" w:rsidRPr="005655F7" w:rsidRDefault="001A3F0B" w:rsidP="001A3F0B">
      <w:pPr>
        <w:pStyle w:val="NormalHanging12a"/>
      </w:pPr>
      <w:r w:rsidRPr="005655F7">
        <w:t>–</w:t>
      </w:r>
      <w:r w:rsidRPr="005655F7">
        <w:tab/>
        <w:t>der henviser til rapport af 9. maj 2022 om det endelige resultat af konferencen om Europas fremtid,</w:t>
      </w:r>
    </w:p>
    <w:p w14:paraId="4410BB0A" w14:textId="17596811" w:rsidR="001A3F0B" w:rsidRDefault="001A3F0B" w:rsidP="001A3F0B">
      <w:pPr>
        <w:pStyle w:val="NormalHanging12a"/>
      </w:pPr>
      <w:r w:rsidRPr="005655F7">
        <w:t>–</w:t>
      </w:r>
      <w:r w:rsidRPr="005655F7">
        <w:tab/>
        <w:t>der henviser til undersøgelsen med titlen "Qualified majority voting in common foreign and security policy – A cost of non-Europe report" (beslutningstagning med kvalificeret flertal i forbindelse med den fælles udenrigs- og sikkerhedspolitik – en rapport om omkostningerne ved manglende EU-tiltag), som blev offentliggjort af Generaldirektoratet for Parlamentarisk Forskning den 28. august 2023</w:t>
      </w:r>
      <w:r w:rsidRPr="005655F7">
        <w:rPr>
          <w:rStyle w:val="FootnoteReference"/>
        </w:rPr>
        <w:footnoteReference w:id="17"/>
      </w:r>
      <w:r w:rsidRPr="005655F7">
        <w:t>,</w:t>
      </w:r>
    </w:p>
    <w:p w14:paraId="5BFA027B" w14:textId="518FAD4D" w:rsidR="004D2E72" w:rsidRPr="005655F7" w:rsidRDefault="004D2E72" w:rsidP="001A3F0B">
      <w:pPr>
        <w:pStyle w:val="NormalHanging12a"/>
      </w:pPr>
      <w:r w:rsidRPr="004D2E72">
        <w:t>–</w:t>
      </w:r>
      <w:r w:rsidRPr="004D2E72">
        <w:tab/>
        <w:t>der henviser til sin henstilling fra februar 1999 om oprettelse af et europæisk civilt fredskorps</w:t>
      </w:r>
      <w:r>
        <w:rPr>
          <w:rStyle w:val="FootnoteReference"/>
        </w:rPr>
        <w:footnoteReference w:id="18"/>
      </w:r>
      <w:r w:rsidRPr="004D2E72">
        <w:t>,</w:t>
      </w:r>
    </w:p>
    <w:p w14:paraId="50E44267" w14:textId="77777777" w:rsidR="001A3F0B" w:rsidRPr="005655F7" w:rsidRDefault="001A3F0B" w:rsidP="001A3F0B">
      <w:pPr>
        <w:pStyle w:val="NormalHanging12a"/>
      </w:pPr>
      <w:r w:rsidRPr="005655F7">
        <w:t>–</w:t>
      </w:r>
      <w:r w:rsidRPr="005655F7">
        <w:tab/>
        <w:t>der henviser til forretningsordenens artikel 54,</w:t>
      </w:r>
    </w:p>
    <w:p w14:paraId="5FD4461A" w14:textId="77777777" w:rsidR="001A3F0B" w:rsidRPr="005655F7" w:rsidRDefault="001A3F0B" w:rsidP="001A3F0B">
      <w:pPr>
        <w:pStyle w:val="NormalHanging12a"/>
      </w:pPr>
      <w:r w:rsidRPr="005655F7">
        <w:t>–</w:t>
      </w:r>
      <w:r w:rsidRPr="005655F7">
        <w:tab/>
        <w:t>der henviser til betænkning fra Udenrigsudvalget (A9-0389/2023),</w:t>
      </w:r>
    </w:p>
    <w:p w14:paraId="6D9247BB" w14:textId="77777777" w:rsidR="001A3F0B" w:rsidRPr="005655F7" w:rsidRDefault="001A3F0B" w:rsidP="001A3F0B">
      <w:pPr>
        <w:pStyle w:val="NormalHanging12a"/>
      </w:pPr>
      <w:r w:rsidRPr="005655F7">
        <w:t>A.</w:t>
      </w:r>
      <w:r w:rsidRPr="005655F7">
        <w:tab/>
        <w:t>der henviser til, at den regelbaserede internationale orden i stigende grad udfordres af autokratiske aktører, som arbejder alene eller sammen med andre, og som forsøger at påvirke eller underminere multilaterale organisationer, at oprette konkurrerende organisationer, at forårsage destabilisering gennem en tilbagevenden til en indflydelsessfæretankegang og at true den regelbaserede internationale orden samt den globale og regionale sikkerhed;</w:t>
      </w:r>
    </w:p>
    <w:p w14:paraId="1FD6CD8B" w14:textId="77777777" w:rsidR="001A3F0B" w:rsidRPr="005655F7" w:rsidRDefault="001A3F0B" w:rsidP="001A3F0B">
      <w:pPr>
        <w:pStyle w:val="NormalHanging12a"/>
      </w:pPr>
      <w:r w:rsidRPr="005655F7">
        <w:t>B.</w:t>
      </w:r>
      <w:r w:rsidRPr="005655F7">
        <w:tab/>
        <w:t>der henviser til, at disse i tiltagende grad autokratiske aktører også udfordrer menneskerettighedernes universalitet og underminerer demokratiske standarder på verdensplan; der henviser til, at EU og ligesindede partnere bør forsvare den regelbaserede internationale orden som en højt prioriteret opgave;</w:t>
      </w:r>
    </w:p>
    <w:p w14:paraId="0E9803AC" w14:textId="77777777" w:rsidR="001A3F0B" w:rsidRPr="005655F7" w:rsidRDefault="001A3F0B" w:rsidP="001A3F0B">
      <w:pPr>
        <w:pStyle w:val="NormalHanging12a"/>
      </w:pPr>
      <w:r w:rsidRPr="005655F7">
        <w:lastRenderedPageBreak/>
        <w:t>C.</w:t>
      </w:r>
      <w:r w:rsidRPr="005655F7">
        <w:tab/>
        <w:t>der henviser til, at Ruslands angrebskrig mod Ukraine og følgerne heraf, herunder økonomisk usikkerhed, fødevareusikkerhed og høje energipriser, har øget ustabiliteten i EU's umiddelbare naboskabsområde og således foranlediget EU til at give sin udvidelsespolitik, som har vist sig at være Unionens mest effektive udenrigspolitiske instrument, fornyet prioritet;</w:t>
      </w:r>
    </w:p>
    <w:p w14:paraId="78D19D78" w14:textId="3A867063" w:rsidR="001A3F0B" w:rsidRPr="005655F7" w:rsidRDefault="001A3F0B" w:rsidP="001A3F0B">
      <w:pPr>
        <w:pStyle w:val="NormalHanging12a"/>
      </w:pPr>
      <w:r w:rsidRPr="005655F7">
        <w:t>D.</w:t>
      </w:r>
      <w:r w:rsidRPr="005655F7">
        <w:tab/>
        <w:t xml:space="preserve">der henviser til, at </w:t>
      </w:r>
      <w:r w:rsidR="00E6574B" w:rsidRPr="00E6574B">
        <w:t xml:space="preserve">Det Europæiske Råd den 14. og 15. december </w:t>
      </w:r>
      <w:r w:rsidRPr="005655F7">
        <w:t>2023</w:t>
      </w:r>
      <w:r w:rsidR="00E6574B">
        <w:t xml:space="preserve"> </w:t>
      </w:r>
      <w:r w:rsidR="00E6574B" w:rsidRPr="00E6574B">
        <w:t>godkendte den udvidelsespakke</w:t>
      </w:r>
      <w:r w:rsidRPr="005655F7">
        <w:t xml:space="preserve">, som blev præsenteret </w:t>
      </w:r>
      <w:r w:rsidR="00E6574B" w:rsidRPr="00E6574B">
        <w:t xml:space="preserve">af Kommissionen </w:t>
      </w:r>
      <w:r w:rsidRPr="005655F7">
        <w:t xml:space="preserve">den 8. november 2023, </w:t>
      </w:r>
      <w:r w:rsidR="00E6574B" w:rsidRPr="00E6574B">
        <w:t xml:space="preserve">og derved </w:t>
      </w:r>
      <w:r w:rsidRPr="005655F7">
        <w:t xml:space="preserve">anbefalede at indlede tiltrædelsesforhandlinger med Ukraine og Republikken Moldova, at indlede tiltrædelsesforhandlinger med Bosnien-Hercegovina, når medlemskabskriterierne er opfyldt i tilstrækkelig grad, samt at give Georgien status som kandidatland ud fra en forståelse af, at der stadig skal gennemføres visse skridt; der henviser til, at </w:t>
      </w:r>
      <w:r w:rsidR="00E6574B" w:rsidRPr="00E6574B">
        <w:t xml:space="preserve">vækstplanen </w:t>
      </w:r>
      <w:r w:rsidRPr="005655F7">
        <w:t>for landene på Vestbalkan er designet til at fremme den økonomiske integration mellem landene på Vestbalkan og udligne de socioøkonomiske forskelle mellem Unionen og vores partnere inden udgangen af dette årti; der henviser til, at der vil blive udløst midler efter gennemførelse af individuelle reformdagsordener; der henviser til, at udvidelsespolitikken skal være reguleret af Københavnskriterierne og fortsat bør være en meritbaseret proces; der henviser til, at EU skal fremskynde sin udvidelsespolitik, mens tiltrædelseslandene fortsat arbejder på at reformere og nå de nødvendige benchmarks; der henviser til, at klare budskaber og en klar vej mod integrationen af kandidatlande er af helt afgørende betydning for at holde det proeuropæiske perspektiv i live; der henviser til, at landene på Vestbalkan skal fokusere på konfliktløsning, forsoning, overensstemmelse med den fælles udenrigs- og sikkerhedspolitik (FUSP), gensidigt samarbejde og reformer for at opnå fælles sikkerhed og stabilitet i regionen;</w:t>
      </w:r>
    </w:p>
    <w:p w14:paraId="1C930972" w14:textId="77777777" w:rsidR="001A3F0B" w:rsidRPr="005655F7" w:rsidRDefault="001A3F0B" w:rsidP="001A3F0B">
      <w:pPr>
        <w:pStyle w:val="NormalHanging12a"/>
      </w:pPr>
      <w:r w:rsidRPr="005655F7">
        <w:t>E.</w:t>
      </w:r>
      <w:r w:rsidRPr="005655F7">
        <w:tab/>
        <w:t>der henviser til, at stabilitet i Østersøen og Sortehavet er afgørende for Europas sikkerhed, herunder energisikkerheden, som det fastslås i EU's strategiske kompas og af NATO, og derfor kræver omfattende strategier og meningsfyldte foranstaltninger; der henviser til, at Unionen ikke kan opfattes som en vellykket og troværdig global aktør, hvis den ikke kan skabe sikkerhed i sit umiddelbare naboskabsområde;</w:t>
      </w:r>
    </w:p>
    <w:p w14:paraId="4FDE0FD6" w14:textId="381685EE" w:rsidR="001A3F0B" w:rsidRDefault="001A3F0B" w:rsidP="001A3F0B">
      <w:pPr>
        <w:pStyle w:val="NormalHanging12a"/>
      </w:pPr>
      <w:r w:rsidRPr="005655F7">
        <w:t>F.</w:t>
      </w:r>
      <w:r w:rsidRPr="005655F7">
        <w:tab/>
        <w:t>der henviser til, at Rådet har forlænget den midlertidige beskyttelse af personer, der flygter fra Ruslands angrebskrig mod Ukraine, fra den 4. marts 2024 til den 4. marts 2025;</w:t>
      </w:r>
    </w:p>
    <w:p w14:paraId="531CC929" w14:textId="107674AF" w:rsidR="00E6574B" w:rsidRPr="005655F7" w:rsidRDefault="00E6570D" w:rsidP="001A3F0B">
      <w:pPr>
        <w:pStyle w:val="NormalHanging12a"/>
      </w:pPr>
      <w:r>
        <w:t>G</w:t>
      </w:r>
      <w:r w:rsidR="00E6574B" w:rsidRPr="00E6574B">
        <w:t>.</w:t>
      </w:r>
      <w:r w:rsidR="00E6574B" w:rsidRPr="00E6574B">
        <w:tab/>
        <w:t>der henviser til, at Rådet den 1. februar 2024 nåede til enighed om en revision af den flerårige finansielle ramme (FFR) for 2021-2027, herunder en Ukrainefacilitet til en værdi af 50 mia. EUR, med henblik på at yde sammenhængende, forudsigelig og fleksibel støtte til genopretning, genopbygning og modernisering af Ukraine i perioden 2024-2027;</w:t>
      </w:r>
    </w:p>
    <w:p w14:paraId="15127224" w14:textId="52925B4F" w:rsidR="001A3F0B" w:rsidRPr="005655F7" w:rsidRDefault="001521E5" w:rsidP="001A3F0B">
      <w:pPr>
        <w:pStyle w:val="NormalHanging12a"/>
      </w:pPr>
      <w:r>
        <w:t>H</w:t>
      </w:r>
      <w:r w:rsidR="001A3F0B" w:rsidRPr="005655F7">
        <w:t>.</w:t>
      </w:r>
      <w:r w:rsidR="001A3F0B" w:rsidRPr="005655F7">
        <w:tab/>
        <w:t>der henviser til, at den russiske angrebskrig har understreget NATO's rolle som hjørnestenen i sine medlemmers kollektive forsvar og endnu en gang har bekræftet uundværligheden af et stærkt transatlantisk bånd; der henviser til, at NATO's beslutning om at afsætte mindst 2 % af bruttonationalproduktet til forsvarsudgifter kun er blevet gennemført af nogle få NATO-medlemmer i EU; der henviser til, at Ruslands planer om at afmontere den euro-atlantiske sikkerhedsstruktur slog fuldstændig fejl takket være Ukraines heroiske forsvar samt de NATO-allieredes hurtige og resolutte reaktion;</w:t>
      </w:r>
    </w:p>
    <w:p w14:paraId="7FB18A0B" w14:textId="53C5BB44" w:rsidR="001A3F0B" w:rsidRDefault="001521E5" w:rsidP="001A3F0B">
      <w:pPr>
        <w:pStyle w:val="NormalHanging12a"/>
      </w:pPr>
      <w:r>
        <w:t>I</w:t>
      </w:r>
      <w:r w:rsidR="001A3F0B" w:rsidRPr="005655F7">
        <w:t>.</w:t>
      </w:r>
      <w:r w:rsidR="001A3F0B" w:rsidRPr="005655F7">
        <w:tab/>
        <w:t xml:space="preserve">der henviser til, at Ruslands angrebskrig mod Ukraine har fremhævet behovet for mere ambitiøs, troværdig, strategisk og forenet EU-handling på verdensscenen og for, at </w:t>
      </w:r>
      <w:r w:rsidR="001A3F0B" w:rsidRPr="005655F7">
        <w:lastRenderedPageBreak/>
        <w:t>medlemsstaterne viser den fornødne politiske vilje til at styrke FUSP og omdanne den til en fuldt udviklet europæisk politik;</w:t>
      </w:r>
    </w:p>
    <w:p w14:paraId="31B2176A" w14:textId="26F5AC8C" w:rsidR="00E6574B" w:rsidRDefault="001521E5" w:rsidP="001A3F0B">
      <w:pPr>
        <w:pStyle w:val="NormalHanging12a"/>
      </w:pPr>
      <w:r>
        <w:t>J</w:t>
      </w:r>
      <w:r w:rsidR="00E6574B" w:rsidRPr="00E6574B">
        <w:t>.</w:t>
      </w:r>
      <w:r w:rsidR="00E6574B" w:rsidRPr="00E6574B">
        <w:tab/>
        <w:t>der henviser til, at Sakharovprisen for tankefrihed i 2021 blev tildelt den russiske oppositionspolitiker Aleksej Navalnyj; der henviser til, at han siden februar 2021 havde været fængslet under umenneskelige forhold og senest i Yamalo-Nenets i det vestlige Sibirien, hvor han blev myrdet den 16. februar 2024, og at præsident Putin og de russiske myndigheder bærer det endelige ansvar herfor; der henviser til, at dette viser Putins totalitære regimes grusomme og ubarmhjertige karakter; der henviser til, at mordet på Navalnyj bør være et klart signal til EU om at øge dets støtte til Ukraine og styrke dets værktøjer til at forsvare demokrati og menneskerettigheder både i og uden for EU;</w:t>
      </w:r>
    </w:p>
    <w:p w14:paraId="66EB265C" w14:textId="790D8162" w:rsidR="00E6574B" w:rsidRPr="005655F7" w:rsidRDefault="001521E5" w:rsidP="001A3F0B">
      <w:pPr>
        <w:pStyle w:val="NormalHanging12a"/>
      </w:pPr>
      <w:r>
        <w:t>K</w:t>
      </w:r>
      <w:r w:rsidR="00E6574B" w:rsidRPr="00E6574B">
        <w:t>.</w:t>
      </w:r>
      <w:r w:rsidR="00E6574B" w:rsidRPr="00E6574B">
        <w:tab/>
        <w:t>der henviser til, at Hamas' terrorangreb mod Israel har sat fokus på den ustabile og dynamiske sikkerhedssituation i Mellemøsten og behovet for, at EU og andre internationale aktører påtager sig et større ansvar og bistår regeringerne og civilsamfundsorganisationerne i regionen med at opnå varig og holdbar fred, navnlig ved fortsat at støtte en tostatsløsning mellem Israel og Palæstina; der henviser til, at 1 139 israelere og udenlandske statsborgere blev dræbt, og at 240 personer blev taget som gidsler under Hamas' foragtelige terrorangreb den 7. oktober 2023; der henviser til, at titusindvis af uskyldige palæstinensere og hundredvis af FN-ansatte, ansatte i sundhedssektoren og journalister er blevet dræbt i Gazastriben som følge af den israelske regerings reaktion; der henviser til, at det fortsatte bombardement og den tvungne evakuering af palæstinensere til den sydlige del af Gazastriben har skabt en alvorlig humanitær situation i hastig forværring; der henviser til, at israelske styrker og bosættere har dræbt mindst 330 palæstinensere på Vestbredden siden den 7. oktober 2023; der henviser til, at Den Internationale Domstol i sin foreløbige afgørelse har pålagt Israel at gennemføre foreløbige foranstaltninger i sagen om anvendelsen af konventionen om forebyggelse af og straf for folkedrab i Gazastriben (Sydafrika mod Israel);</w:t>
      </w:r>
    </w:p>
    <w:p w14:paraId="5909C653" w14:textId="41464054" w:rsidR="001A3F0B" w:rsidRPr="005655F7" w:rsidRDefault="001521E5" w:rsidP="001A3F0B">
      <w:pPr>
        <w:pStyle w:val="NormalHanging12a"/>
      </w:pPr>
      <w:r>
        <w:t>L</w:t>
      </w:r>
      <w:r w:rsidR="001A3F0B" w:rsidRPr="005655F7">
        <w:t>.</w:t>
      </w:r>
      <w:r w:rsidR="001A3F0B" w:rsidRPr="005655F7">
        <w:tab/>
        <w:t xml:space="preserve">der henviser til, at der er et presserende behov for at </w:t>
      </w:r>
      <w:r w:rsidR="00E41069" w:rsidRPr="00E41069">
        <w:t xml:space="preserve">styrke </w:t>
      </w:r>
      <w:r w:rsidR="001A3F0B" w:rsidRPr="005655F7">
        <w:t xml:space="preserve">EU's og EU-medlemsstaternes </w:t>
      </w:r>
      <w:r w:rsidR="00E41069" w:rsidRPr="00E41069">
        <w:t>kapaciteter</w:t>
      </w:r>
      <w:r w:rsidR="001A3F0B" w:rsidRPr="005655F7">
        <w:t xml:space="preserve">, herunder på det forsvarspolitiske område, hvilket vil gøre det muligt for Unionen </w:t>
      </w:r>
      <w:r w:rsidR="00E41069" w:rsidRPr="00E41069">
        <w:t xml:space="preserve">bedre </w:t>
      </w:r>
      <w:r w:rsidR="001A3F0B" w:rsidRPr="005655F7">
        <w:t>at forsvare sine interesser uden uhensigtsmæssig afhængighed af tredjestater</w:t>
      </w:r>
      <w:r w:rsidR="00E41069" w:rsidRPr="00E41069">
        <w:t>, men i tæt samarbejde med sine allierede</w:t>
      </w:r>
      <w:r w:rsidR="001A3F0B" w:rsidRPr="005655F7">
        <w:t>, fremme sine værdier og styrke sit bidrag til global multilateralisme, fredelig konfliktløsning og udvikling af demokrati, retsstatsprincippet og grundlæggende rettigheder på verdensplan;</w:t>
      </w:r>
    </w:p>
    <w:p w14:paraId="670A4195" w14:textId="3F1EBA19" w:rsidR="001A3F0B" w:rsidRPr="005655F7" w:rsidRDefault="001521E5" w:rsidP="001A3F0B">
      <w:pPr>
        <w:pStyle w:val="NormalHanging12a"/>
      </w:pPr>
      <w:r>
        <w:t>M</w:t>
      </w:r>
      <w:r w:rsidR="001A3F0B" w:rsidRPr="005655F7">
        <w:t>.</w:t>
      </w:r>
      <w:r w:rsidR="001A3F0B" w:rsidRPr="005655F7">
        <w:tab/>
        <w:t>der henviser til, at den øgede ustabilitet og volatilitet i det internationale miljø udgør et trusselskompleks mod Unionens sikkerhed og stabilitet; der henviser til, at EU er nødt til at styrke de transatlantiske forbindelser som en reaktion på dette og opbygge strategiske partnerskaber baseret på respekt og gensidig tillid med ligesindede partnere i det globale syd;</w:t>
      </w:r>
    </w:p>
    <w:p w14:paraId="0F82CC65" w14:textId="1FE443F6" w:rsidR="001A3F0B" w:rsidRDefault="001521E5" w:rsidP="001A3F0B">
      <w:pPr>
        <w:pStyle w:val="NormalHanging12a"/>
      </w:pPr>
      <w:r>
        <w:t>N</w:t>
      </w:r>
      <w:r w:rsidR="001A3F0B" w:rsidRPr="005655F7">
        <w:t>.</w:t>
      </w:r>
      <w:r w:rsidR="001A3F0B" w:rsidRPr="005655F7">
        <w:tab/>
        <w:t xml:space="preserve">der henviser til, at Aserbajdsjan den 19. september 2023 indledte en uprovokeret militær offensiv </w:t>
      </w:r>
      <w:r w:rsidR="00E41069" w:rsidRPr="00E41069">
        <w:t xml:space="preserve">for med magt at genvinde kontrollen over sit internationalt anerkendte område </w:t>
      </w:r>
      <w:r w:rsidR="001A3F0B" w:rsidRPr="005655F7">
        <w:t xml:space="preserve">mod Nagorno-Karabakh, </w:t>
      </w:r>
      <w:r w:rsidR="00E41069" w:rsidRPr="00E41069">
        <w:t xml:space="preserve">hvilket </w:t>
      </w:r>
      <w:r w:rsidR="001A3F0B" w:rsidRPr="005655F7">
        <w:t xml:space="preserve">endte med </w:t>
      </w:r>
      <w:r w:rsidR="00E41069" w:rsidRPr="00E41069">
        <w:t>udvandringen af den armenske befolkning fra dette område</w:t>
      </w:r>
      <w:r w:rsidR="001A3F0B" w:rsidRPr="005655F7">
        <w:t>; der henviser til, at de genopblussede fjendtligheder i det sydlige Kaukasus er grund til alvorlig bekymring og gør det nødvendigt, at EU involverer sig mere proaktivt i regionen;</w:t>
      </w:r>
      <w:r w:rsidR="00E41069">
        <w:t xml:space="preserve"> </w:t>
      </w:r>
      <w:r w:rsidR="00E41069" w:rsidRPr="00E41069">
        <w:t>der henviser til, at alle statslige institutioner i den såkaldte "Republikken Nagorno-Karabakh" er blevet opløst pr. 1. januar 2024;</w:t>
      </w:r>
      <w:r w:rsidR="00E41069">
        <w:t xml:space="preserve"> </w:t>
      </w:r>
      <w:r w:rsidR="00E41069" w:rsidRPr="00E41069">
        <w:t xml:space="preserve">der henviser til, at </w:t>
      </w:r>
      <w:r w:rsidR="00E41069" w:rsidRPr="00E41069">
        <w:lastRenderedPageBreak/>
        <w:t>udsigterne til en normalisering af forbindelserne mellem Armenien og Aserbajdsjan fortsat er skrøbelige, hvorfor EU bør støtte og tilskynde begge parter til at nå frem til en historisk fredaftale, herunder ved at tilbyde udsigt til tættere integration med EU, hvis de beslutter sig for at forfølge denne vej;</w:t>
      </w:r>
    </w:p>
    <w:p w14:paraId="49BDC15E" w14:textId="02EEF17F" w:rsidR="00757805" w:rsidRDefault="001521E5" w:rsidP="001A3F0B">
      <w:pPr>
        <w:pStyle w:val="NormalHanging12a"/>
      </w:pPr>
      <w:r>
        <w:t>O</w:t>
      </w:r>
      <w:r w:rsidR="00757805" w:rsidRPr="00757805">
        <w:t>.</w:t>
      </w:r>
      <w:r w:rsidR="00757805" w:rsidRPr="00757805">
        <w:tab/>
        <w:t>der henviser til, at Israel har en internationalt anerkendt ret til at forsvare sig mod den terrortrussel, som Hamas udgør i Gazastriben; der henviser til, at Hamas' terrorangreb mod Israel den 7. oktober 2023 har understreget den ustabile sikkerhedssituation i Mellemøsten; der henviser til, at risikoen for eskalering i regionen er den højeste i årtier, hvilket forstærker behovet for, at EU og andre internationale aktører påtager sig et større ansvar for en varig og holdbar fred, navnlig ved at prøve at få opbakning til en tostatsløsning mellem Israel og Palæstina;</w:t>
      </w:r>
    </w:p>
    <w:p w14:paraId="6CCE554D" w14:textId="3CCC2BC8" w:rsidR="00757805" w:rsidRPr="00757805" w:rsidRDefault="001521E5" w:rsidP="001A3F0B">
      <w:pPr>
        <w:pStyle w:val="NormalHanging12a"/>
      </w:pPr>
      <w:r>
        <w:t>P</w:t>
      </w:r>
      <w:r w:rsidR="0086509B">
        <w:t>.</w:t>
      </w:r>
      <w:r w:rsidR="00757805" w:rsidRPr="00A97436">
        <w:tab/>
        <w:t>der henviser til, at der er behov for en omfattende fredsopbygningstilgang med inddragelse af civile specialister med henblik på at gennemføre praktiske fredsforanstaltninger; der henviser til, at lokale og internationale ikkestatslige organisationer udfører afgørende aktiviteter med henblik på at forebygge konflikter og løse konflikter fredeligt, og at det er af allerstørste betydning at få mest muligt ud af deres erfaringer;</w:t>
      </w:r>
    </w:p>
    <w:p w14:paraId="27E7FB4F" w14:textId="68ECC536" w:rsidR="001A3F0B" w:rsidRPr="005655F7" w:rsidRDefault="001521E5" w:rsidP="001A3F0B">
      <w:pPr>
        <w:pStyle w:val="NormalHanging12a"/>
      </w:pPr>
      <w:r>
        <w:t>Q</w:t>
      </w:r>
      <w:r w:rsidR="001A3F0B" w:rsidRPr="005655F7">
        <w:t>.</w:t>
      </w:r>
      <w:r w:rsidR="001A3F0B" w:rsidRPr="005655F7">
        <w:tab/>
        <w:t>der henviser til, at voksende ustabilitet i EU's sydlige naboskabsområde og Middelhavsområdet som helhed, samt i Sahel og Afrika syd for Sahara, udgør alvorlige udfordringer for Unionens sikkerhed og stabilitet og for dens evne til at blive en afgørende aktør på den internationale scene;</w:t>
      </w:r>
    </w:p>
    <w:p w14:paraId="09A0DD85" w14:textId="5E5689DF" w:rsidR="001A3F0B" w:rsidRPr="005655F7" w:rsidRDefault="001521E5" w:rsidP="001A3F0B">
      <w:pPr>
        <w:pStyle w:val="NormalHanging12a"/>
      </w:pPr>
      <w:r>
        <w:t>R</w:t>
      </w:r>
      <w:r w:rsidR="001A3F0B" w:rsidRPr="005655F7">
        <w:t>.</w:t>
      </w:r>
      <w:r w:rsidR="001A3F0B" w:rsidRPr="005655F7">
        <w:tab/>
        <w:t>der henviser til, at spændingerne i den indopacifiske region har en stigende relevans, især med tanke på Den Kinesiske Folkerepubliks stadig mere selvhævdende holdning over for Taiwan;</w:t>
      </w:r>
    </w:p>
    <w:p w14:paraId="7B5EE64B" w14:textId="38F42760" w:rsidR="001A3F0B" w:rsidRPr="005655F7" w:rsidRDefault="001521E5" w:rsidP="001A3F0B">
      <w:pPr>
        <w:pStyle w:val="NormalHanging12a"/>
      </w:pPr>
      <w:r>
        <w:t>S</w:t>
      </w:r>
      <w:r w:rsidR="001A3F0B" w:rsidRPr="005655F7">
        <w:t>.</w:t>
      </w:r>
      <w:r w:rsidR="001A3F0B" w:rsidRPr="005655F7">
        <w:tab/>
        <w:t>der henviser til, at nedgangen i mediefriheden, de igangværende angreb på journalister, spredningen af desinformation og udenlandsk indblanding truer EU's demokratier og sikkerhed; der henviser til, at EU skal samarbejde med ligesindede partnere for at forsvare mediefriheden og ytringsfriheden og for at imødegå desinformation og udenlandsk indblanding i tredjelande;</w:t>
      </w:r>
    </w:p>
    <w:p w14:paraId="02B5C72E" w14:textId="09974EEB" w:rsidR="001A3F0B" w:rsidRPr="005655F7" w:rsidRDefault="001521E5" w:rsidP="001A3F0B">
      <w:pPr>
        <w:pStyle w:val="NormalHanging12a"/>
      </w:pPr>
      <w:r>
        <w:t>T</w:t>
      </w:r>
      <w:r w:rsidR="001A3F0B" w:rsidRPr="005655F7">
        <w:t>.</w:t>
      </w:r>
      <w:r w:rsidR="001A3F0B" w:rsidRPr="005655F7">
        <w:tab/>
        <w:t>der henviser til, at konsekvenserne af klimaforandringerne har en stadig mere alvorlig indvirkning på forskellige aspekter af menneskelivet, herunder den geopolitiske orden og den globale sikkerhed og stabilitet; der henviser til, at det er af afgørende betydning, at bekæmpelsen af klimaforandringer, som kræver klimahandling, hjælper de mennesker, der er konfronteret med de alvorligste konsekvenser;</w:t>
      </w:r>
    </w:p>
    <w:p w14:paraId="12A6F3F9" w14:textId="0CBB33F6" w:rsidR="001A3F0B" w:rsidRPr="005655F7" w:rsidRDefault="001521E5" w:rsidP="001A3F0B">
      <w:pPr>
        <w:pStyle w:val="NormalHanging12a"/>
      </w:pPr>
      <w:r>
        <w:t>U</w:t>
      </w:r>
      <w:r w:rsidR="001A3F0B" w:rsidRPr="005655F7">
        <w:t>.</w:t>
      </w:r>
      <w:r w:rsidR="001A3F0B" w:rsidRPr="005655F7">
        <w:tab/>
        <w:t>der henviser til, at EU's udenrigs- og sikkerhedspolitik i betragtning af sammenbruddet af vigtige aftaler om våbenkontrol og nedrustning, men også i betragtning af nye teknologier, bør fokusere på våbenkontrol og ikkespredning;</w:t>
      </w:r>
    </w:p>
    <w:p w14:paraId="29EA5D25" w14:textId="77777777" w:rsidR="001A3F0B" w:rsidRPr="005655F7" w:rsidRDefault="001A3F0B" w:rsidP="001A3F0B">
      <w:pPr>
        <w:pStyle w:val="NormalHanging12a"/>
      </w:pPr>
      <w:r w:rsidRPr="005655F7">
        <w:t>1.</w:t>
      </w:r>
      <w:r w:rsidRPr="005655F7">
        <w:tab/>
        <w:t xml:space="preserve">fremhæver, at dets beslutninger om gennemførelsen af FUSP er en central del af dets bidrag til formuleringen af EU's udenrigspolitik; understreger, at disse beslutninger er praktiske resultater af den styrkede ret til indsigelse på det udenrigspolitiske område, som Lissabontraktaten giver Europa-Parlamentet; erindrer om, at 2023-beslutningen er den sidste beslutning om gennemførelsen af FUSP i denne valgperiode og har til formål at fungere som en vejledning for den næste udgave af EU's udøvende magt, når denne fastsætter udenrigspolitiske prioriteter for den næste valgperiode og herefter </w:t>
      </w:r>
      <w:r w:rsidRPr="005655F7">
        <w:lastRenderedPageBreak/>
        <w:t>gennemfører dem; fremhæver, at EU i et til stadighed ustabilt internationalt miljø er nødt til at tackle talrige udenrigspolitiske udfordringer, som påvirker Unionen direkte og indirekte, samtidig, f.eks. den igangværende russiske angrebskrig mod Ukraine, en tiltagende konkurrence mellem stormagterne, som potentielt kan ændre den globale magtbalance, konstante forsøg på at underminere den multilaterale regelbaserede internationale orden og en voksende række af kriser uden for og i EU; tror i høj grad på, at Unionen for at kunne forblive relevant på den internationale scene og være i stand til effektivt at forsvare sine interesser og værdier er nødt til at frisætte medlemsstaternes politiske vilje til at nå udenrigspolitiske mål gennem instrumenter på EU-plan, øge kapaciteter, samarbejde med ligesindede partnere og regionale organisationer og fokusere på at komme med et konkurrencedygtigt tilbud til det globale syd, idet den så effektivt som muligt gør brug af alle de ressourcer, politikker og værktøjer, den har til rådighed, som led i den integrerede tilgang; fremhæver, at for at kunne fungere som en global aktør i det nuværende globale miljø er Unionen nødt til at føre en beslutsom, disciplineret og selvhævdende udenrigspolitik, der opfylder dens egne strategiske målsætninger, og fortsætte med på proaktiv vis at fastlægge, hævde og forsvare sine interesser i verden;</w:t>
      </w:r>
    </w:p>
    <w:p w14:paraId="1F041C13" w14:textId="77777777" w:rsidR="001A3F0B" w:rsidRPr="005655F7" w:rsidRDefault="001A3F0B" w:rsidP="001A3F0B">
      <w:pPr>
        <w:pStyle w:val="NormalHanging12a"/>
      </w:pPr>
      <w:bookmarkStart w:id="8" w:name="_Hlk144544239"/>
      <w:r w:rsidRPr="005655F7">
        <w:t>2.</w:t>
      </w:r>
      <w:r w:rsidRPr="005655F7">
        <w:tab/>
        <w:t>understreger, at Unionens evne til at optræde som en global udenrigspolitisk aktør, en pålidelig international partner og en troværdig sikkerheds- og forsvarsaktør afhænger af en udvikling og styrkelse af dens foranstaltninger udadtil på FUSP-området samt af dens evne til proaktivt at fastlægge, hævde og forsvare sine interesser i verden uden uhensigtsmæssig afhængighed af tredjelandes ressourcer, hvilket kunne gøre Unionen sårbar over for intern splittelse, af fornyet styrkelse af eksisterende partnerskaber og skabelse af nye og af den politiske vilje til at tage mere initiativ og ansvar på den globale scene, mens den på effektiv vis beskytter, forsvarer og fremmer sine værdier; understreger endvidere, at medlemsstaterne må gøre det muligt for EU at tale med én tunge og således øge troværdigheden og bevare kohærensen; bekræfter atter, at det i forbindelse hermed er afgørende at styrke samhørigheden og solidariteten ved yderligere at udvikle en fælles forståelse af truslerne;</w:t>
      </w:r>
    </w:p>
    <w:p w14:paraId="7BB5D140" w14:textId="77777777" w:rsidR="001A3F0B" w:rsidRPr="005655F7" w:rsidRDefault="001A3F0B" w:rsidP="001A3F0B">
      <w:pPr>
        <w:pStyle w:val="NormalHanging12a"/>
      </w:pPr>
      <w:r w:rsidRPr="005655F7">
        <w:t>3.</w:t>
      </w:r>
      <w:r w:rsidRPr="005655F7">
        <w:tab/>
        <w:t>minder om, at EU's optræden udadtil skal bygge på de værdier og principper, der er omhandlet i artikel 2, artikel 3, stk. 5, og artikel 21 i traktaten om Den Europæiske Union, og som har ligget til grund for EU's egen oprettelse, udvikling og udvidelse, herunder demokrati, retsstatsprincippet, menneskerettighedernes og de grundlæggende frihedsrettigheders universalitet og udelelighed, respekt for den menneskelige værdighed, principperne om lighed og solidaritet samt respekt for principperne i FN-pagten, Helsingforsslutakten, den europæiske menneskerettighedskonvention og folkeretten; beklager, at Unionen indimellem ikke lykkes med disse mål, hvilket har en negativ indvirkning på dens interesser, sikkerhed og internationale omdømme; understreger, at den ambitiøse forpligtelse i Unionens eksterne menneskerettighedspolitik kræver, at den er konsekvent og eksemplarisk;</w:t>
      </w:r>
    </w:p>
    <w:p w14:paraId="092987FA" w14:textId="77777777" w:rsidR="001A3F0B" w:rsidRPr="005655F7" w:rsidRDefault="001A3F0B" w:rsidP="001A3F0B">
      <w:pPr>
        <w:pStyle w:val="NormalHanging12a"/>
      </w:pPr>
      <w:r w:rsidRPr="005655F7">
        <w:t>4.</w:t>
      </w:r>
      <w:r w:rsidRPr="005655F7">
        <w:tab/>
        <w:t>mener, at EU skal udforme sin FUSP i overensstemmelse dermed og på grundlag af følgende fire målsætninger:</w:t>
      </w:r>
    </w:p>
    <w:p w14:paraId="195241E3" w14:textId="77777777" w:rsidR="001A3F0B" w:rsidRPr="005655F7" w:rsidRDefault="001A3F0B" w:rsidP="001A3F0B">
      <w:pPr>
        <w:pStyle w:val="NormalHanging12a"/>
        <w:ind w:left="0" w:firstLine="567"/>
        <w:rPr>
          <w:bCs/>
        </w:rPr>
      </w:pPr>
      <w:r w:rsidRPr="005655F7">
        <w:t>a)</w:t>
      </w:r>
      <w:r w:rsidRPr="005655F7">
        <w:tab/>
        <w:t>håndtering af konsekvenserne af Ruslands angrebskrig mod Ukraine</w:t>
      </w:r>
    </w:p>
    <w:p w14:paraId="03B6608F" w14:textId="77777777" w:rsidR="001A3F0B" w:rsidRPr="005655F7" w:rsidRDefault="001A3F0B" w:rsidP="001A3F0B">
      <w:pPr>
        <w:pStyle w:val="NormalHanging12a"/>
        <w:ind w:left="1437" w:hanging="870"/>
        <w:rPr>
          <w:bCs/>
        </w:rPr>
      </w:pPr>
      <w:r w:rsidRPr="005655F7">
        <w:t>b)</w:t>
      </w:r>
      <w:r w:rsidRPr="005655F7">
        <w:tab/>
        <w:t>gradvis tilpasning af EU's strukturer, instrumenter, kapaciteter, fonde og beslutningsprocedurer</w:t>
      </w:r>
    </w:p>
    <w:p w14:paraId="06A2FF2E" w14:textId="77777777" w:rsidR="001A3F0B" w:rsidRPr="005655F7" w:rsidRDefault="001A3F0B" w:rsidP="001A3F0B">
      <w:pPr>
        <w:pStyle w:val="NormalHanging12a"/>
        <w:ind w:firstLine="0"/>
        <w:rPr>
          <w:bCs/>
        </w:rPr>
      </w:pPr>
      <w:r w:rsidRPr="005655F7">
        <w:t>c)</w:t>
      </w:r>
      <w:r w:rsidRPr="005655F7">
        <w:tab/>
        <w:t>styrkelse og forsvar af regelbaseret multilateralisme</w:t>
      </w:r>
    </w:p>
    <w:p w14:paraId="36244826" w14:textId="77777777" w:rsidR="001A3F0B" w:rsidRPr="005655F7" w:rsidRDefault="001A3F0B" w:rsidP="001A3F0B">
      <w:pPr>
        <w:pStyle w:val="NormalHanging12a"/>
        <w:ind w:left="1437" w:hanging="870"/>
        <w:rPr>
          <w:bCs/>
        </w:rPr>
      </w:pPr>
      <w:r w:rsidRPr="005655F7">
        <w:lastRenderedPageBreak/>
        <w:t>d)</w:t>
      </w:r>
      <w:r w:rsidRPr="005655F7">
        <w:tab/>
        <w:t>hævdelse af interesser gennem udvikling af robuste strategiske alliancer og ligesindede partnerskaber;</w:t>
      </w:r>
    </w:p>
    <w:bookmarkEnd w:id="8"/>
    <w:p w14:paraId="28F0BBBD" w14:textId="77777777" w:rsidR="001A3F0B" w:rsidRPr="005655F7" w:rsidRDefault="001A3F0B" w:rsidP="001A3F0B">
      <w:pPr>
        <w:pStyle w:val="NormalHanging12a"/>
        <w:rPr>
          <w:b/>
          <w:i/>
        </w:rPr>
      </w:pPr>
      <w:r w:rsidRPr="005655F7">
        <w:rPr>
          <w:b/>
          <w:i/>
        </w:rPr>
        <w:t>Håndtering af konsekvenserne af Ruslands angrebskrig mod Ukraine</w:t>
      </w:r>
    </w:p>
    <w:p w14:paraId="365F04A6" w14:textId="77777777" w:rsidR="001A3F0B" w:rsidRPr="005655F7" w:rsidRDefault="001A3F0B" w:rsidP="001A3F0B">
      <w:pPr>
        <w:pStyle w:val="NormalHanging12a"/>
      </w:pPr>
      <w:r w:rsidRPr="005655F7">
        <w:t>5.</w:t>
      </w:r>
      <w:r w:rsidRPr="005655F7">
        <w:tab/>
        <w:t>er bekymret over, at den ulovlige, uprovokerede og uberettigede russiske angrebskrig mod Ukraine, der er gjort mulig af og støttes af det illegitime Lukasjenkoregime i Belarus og regimet i Iran, har bragt krig tilbage til det europæiske kontinent; gentager i de skarpeste vendinger sin fordømmelse af det russiske lederskabs handlinger, som omfatter brud på folkeretten, krænkelse af anerkendte grænser, ulovlig overførsel og deportation af beskyttede personer og børn, besættelse af land og alvorlige krigsforbrydelser; forlanger, at Rusland og dets stedfortræderstyrker standser al militær aktion, og at det russiske lederskab øjeblikkeligt og betingelsesløst trækker sine tropper tilbage fra Ukraines internationalt anerkendte territorium og fra ethvert andet land, hvis territorium, eller dele deraf, det ulovligt besætter; fordømmer ethvert hybridangreb, som Rusland udfører i Ukraine, og fordømmer udtrykkeligt udbredelsen af Ruslands propaganda om landets krig i Ukraine;</w:t>
      </w:r>
    </w:p>
    <w:p w14:paraId="7642169D" w14:textId="77777777" w:rsidR="001A3F0B" w:rsidRPr="005655F7" w:rsidRDefault="001A3F0B" w:rsidP="001A3F0B">
      <w:pPr>
        <w:pStyle w:val="NormalHanging12a"/>
      </w:pPr>
      <w:r w:rsidRPr="005655F7">
        <w:t>6.</w:t>
      </w:r>
      <w:r w:rsidRPr="005655F7">
        <w:tab/>
        <w:t>fordømmer den rolle, som Aleksandr Lukasjenkos illegitime regime spiller ved de facto at overgive national suverænitet til Kreml for at fastholde grebet om Belarus;</w:t>
      </w:r>
    </w:p>
    <w:p w14:paraId="606A7BB8" w14:textId="77777777" w:rsidR="001A3F0B" w:rsidRPr="005655F7" w:rsidRDefault="001A3F0B" w:rsidP="001A3F0B">
      <w:pPr>
        <w:pStyle w:val="NormalHanging12a"/>
      </w:pPr>
      <w:r w:rsidRPr="005655F7">
        <w:t>7.</w:t>
      </w:r>
      <w:r w:rsidRPr="005655F7">
        <w:tab/>
        <w:t xml:space="preserve">gentager, at Georgien oplevede russisk militær aggression helt tilbage i august 2008; fordømmer på det kraftigste Ruslands fortsatte ulovlige besættelse af de georgiske regioner Abkhasien og Tskhinvali/Sydossetien og fordømmer tilsvarende undermineringen af </w:t>
      </w:r>
      <w:r w:rsidR="00231A9C" w:rsidRPr="00231A9C">
        <w:t xml:space="preserve">Republikken </w:t>
      </w:r>
      <w:r w:rsidRPr="005655F7">
        <w:t>Moldovas suverænitet og territoriale integritet i form af tilstedeværelsen af russiske tropper i Transnistrien; gentager sin støtte til Georgiens og Moldovas suverænitet og territoriale integritet og understreger, at Ruslands ondsindede forsøg på med tvang at ændre suveræne europæiske staters grænser udgør en alvorlig trussel mod EU's sikkerhed; tilskynder EU og medlemsstaterne til at styrke sikkerhedssamarbejdet med Ukraine, Georgien og Republikken Moldova, navnlig med hensyn til at bekæmpe hybride trusler og desinformation samt inden for cybersikkerhed;</w:t>
      </w:r>
    </w:p>
    <w:p w14:paraId="70193741" w14:textId="77777777" w:rsidR="001A3F0B" w:rsidRPr="005655F7" w:rsidRDefault="001A3F0B" w:rsidP="001A3F0B">
      <w:pPr>
        <w:pStyle w:val="NormalHanging12a"/>
      </w:pPr>
      <w:r w:rsidRPr="005655F7">
        <w:t>8.</w:t>
      </w:r>
      <w:r w:rsidRPr="005655F7">
        <w:tab/>
        <w:t>hylder det modige ukrainske folk, der tappert forsvarer ikke blot deres land, suverænitet, uafhængighed og territoriale integritet, men også de europæiske værdier og den europæiske sikkerhed, og som opretholder normerne og principperne i FN-pagten og Helsingforsslutakten; udtrykker sin respekt og taknemmelighed for den støtte, som enkeltpersoner og civilsamfundsorganisationer yder til det ukrainske folk; roser handlingerne fra de borgere fra Georgien og Belarus, som aktivt støtter Ukraines kamp; glæder sig over forlængelsen af den midlertidige beskyttelse af personer, der flygter fra Ruslands angrebskrig mod Ukraine;</w:t>
      </w:r>
    </w:p>
    <w:p w14:paraId="1269AAA8" w14:textId="77777777" w:rsidR="001A3F0B" w:rsidRPr="005655F7" w:rsidRDefault="001A3F0B" w:rsidP="001A3F0B">
      <w:pPr>
        <w:pStyle w:val="NormalHanging12a"/>
      </w:pPr>
      <w:r w:rsidRPr="005655F7">
        <w:t>9.</w:t>
      </w:r>
      <w:r w:rsidRPr="005655F7">
        <w:tab/>
        <w:t>fremhæver, at Ruslands angrebskrig mod Ukraine destabiliserer og truer de østlige nabolandes og det vestlige Balkans sikkerhed og stabilitet, hvilket igen sætter EU's egen sikkerhed på spil; mener, at EU derfor bør prioritere reform af sin naboskabspolitik og fremskynde udvidelsesprocessen sideløbende med de institutionelle reformer og beslutningstagningsreformer, der er nødvendige for at sikre Unionens integrationskapacitet;</w:t>
      </w:r>
    </w:p>
    <w:p w14:paraId="7AC4B430" w14:textId="77777777" w:rsidR="001A3F0B" w:rsidRPr="005655F7" w:rsidRDefault="001A3F0B" w:rsidP="001A3F0B">
      <w:pPr>
        <w:pStyle w:val="NormalHanging12a"/>
      </w:pPr>
      <w:r w:rsidRPr="005655F7">
        <w:t>10.</w:t>
      </w:r>
      <w:r w:rsidRPr="005655F7">
        <w:tab/>
        <w:t>opfordrer til en mere aktiv kommunikationsstrategi for at fremme kendskab til den rolle og de fordele, som en udvidelse med lande på Vestbalkan og i Det Østlige Partnerskab vil have, samt for at promovere EU's økonomiske og tekniske bistand;</w:t>
      </w:r>
      <w:r w:rsidR="00231A9C">
        <w:t xml:space="preserve"> </w:t>
      </w:r>
      <w:r w:rsidR="00231A9C" w:rsidRPr="00231A9C">
        <w:t xml:space="preserve">minder i denne forbindelse om, at EU allerede er den største handelspartner og den største leverandør af </w:t>
      </w:r>
      <w:r w:rsidR="00231A9C" w:rsidRPr="00231A9C">
        <w:lastRenderedPageBreak/>
        <w:t>investeringer og finansiel bistand på Vestbalkan; bemærker, at der allerede var indgået forpligtelser for mere end 6,5 mia. EUR fra IPA III frem til udgangen af 2023, og at EU mobiliserede 16,6 mia. EUR i investeringer til regionen inden for tidsrammen 2021-2023;</w:t>
      </w:r>
    </w:p>
    <w:p w14:paraId="67418860" w14:textId="77777777" w:rsidR="001A3F0B" w:rsidRPr="005655F7" w:rsidRDefault="001A3F0B" w:rsidP="001A3F0B">
      <w:pPr>
        <w:pStyle w:val="NormalHanging12a"/>
      </w:pPr>
      <w:r w:rsidRPr="005655F7">
        <w:t>11.</w:t>
      </w:r>
      <w:r w:rsidRPr="005655F7">
        <w:tab/>
        <w:t>bemærker med særlig bekymring den afsmittende effekt af den russiske aggression mod Ukraine, især i de sydlige nabolande, Middelhavsområdet som helhed, Sydkaukasus, Centralasien, Afrika og Mellemøsten; beklager den ondsindede russiske indflydelse samt landets hybride krigsførelse og desinformationskampagner i disse regioner og opfordrer til øget EU-engagement og -bistand;</w:t>
      </w:r>
    </w:p>
    <w:p w14:paraId="5819BD4A" w14:textId="77777777" w:rsidR="001A3F0B" w:rsidRPr="005655F7" w:rsidRDefault="001A3F0B" w:rsidP="001A3F0B">
      <w:pPr>
        <w:pStyle w:val="NormalHanging12a"/>
      </w:pPr>
      <w:r w:rsidRPr="005655F7">
        <w:t>12.</w:t>
      </w:r>
      <w:r w:rsidRPr="005655F7">
        <w:tab/>
        <w:t>glæder sig over det tredje møde i det europæiske politiske fællesskab som en platform for drøftelser, dialog og samarbejde med partnerlande; opfordrer til en tæt inddragelse af Europa-Parlamentet i klarlæggelsen af dette fællesskabs anvendelsesområde og fremtidige arbejde; understreger, at en vis grad af tilpasning til demokratiske værdier og principper er afgørende for, at dette format kan blive en succes og have sammenhængskraft i fremtiden; gentager, at det europæiske politiske fællesskab under ingen omstændigheder må blive et påskud for forsinkelser af udvidelseslandenes tiltrædelse af EU;</w:t>
      </w:r>
    </w:p>
    <w:p w14:paraId="6E7FA7BB" w14:textId="77777777" w:rsidR="001A3F0B" w:rsidRPr="005655F7" w:rsidRDefault="001A3F0B" w:rsidP="001A3F0B">
      <w:pPr>
        <w:pStyle w:val="NormalHanging12a"/>
      </w:pPr>
      <w:r w:rsidRPr="005655F7">
        <w:t>13.</w:t>
      </w:r>
      <w:r w:rsidRPr="005655F7">
        <w:tab/>
        <w:t>gentager behovet for, at medlemsstaterne foretager kollektive og velkoordinerede investeringer i forsvar, og opfordrer til fuld og hurtig gennemførelse af det strategiske kompas – med integration af erfaringerne fra Ruslands angrebskrig mod Ukraine – med henblik på at opnå en ægte europæisk forsvarsunion, som er interoperabel med og supplerer NATO-alliancen, og som kan handle uafhængigt, når der er behov for det;</w:t>
      </w:r>
    </w:p>
    <w:p w14:paraId="3252A7B2" w14:textId="77777777" w:rsidR="001A3F0B" w:rsidRPr="005655F7" w:rsidRDefault="001A3F0B" w:rsidP="001A3F0B">
      <w:pPr>
        <w:pStyle w:val="NormalHanging12a"/>
      </w:pPr>
      <w:r w:rsidRPr="005655F7">
        <w:t>14.</w:t>
      </w:r>
      <w:r w:rsidRPr="005655F7">
        <w:tab/>
        <w:t>fremhæver navnlig behovet for at samarbejde yderligere med NATO om oprettelsen af kapaciteten til hurtig deployering og opfordrer indtrængende medlemsstaterne til at sikre, at Den Militære Planlægnings- og Gennemførelseskapacitet er fuldt ud operationel senest i 2025; opfordrer på det kraftigste HR/NF til at fremlægge forslag til Rådets beslutning om en EU-kapacitet til hurtig deployering til at beskytte Unionens værdier og tjene Unionens interesser generelt, til at respondere på øjeblikkelige trusler og til at reagere hurtigt på krisesituationer uden for Unionen, herunder i ufremkommelige miljøer og i alle stadier af en konfliktcyklus; understreger, at EU-kapaciteten til hurtig deployering bør oprettes som en styrke, der er permanent til rådighed og træner sammen med henblik på at blive en stående styrke;</w:t>
      </w:r>
    </w:p>
    <w:p w14:paraId="27F82DC2" w14:textId="04C52CC0" w:rsidR="001A3F0B" w:rsidRPr="005655F7" w:rsidRDefault="001A3F0B" w:rsidP="001A3F0B">
      <w:pPr>
        <w:pStyle w:val="NormalHanging12a"/>
      </w:pPr>
      <w:r w:rsidRPr="005655F7">
        <w:t>15.</w:t>
      </w:r>
      <w:r w:rsidRPr="005655F7">
        <w:tab/>
        <w:t>understreger behovet for at øge produktionen af militær ammunition i EU, hvilket bør opnås gennem øget industrielt samarbejde og fælles produktion; gentager det presserende behov for at nå benchmarket på 35 % europæiske kollaborative indkøb af forsvarsmateriel og benchmarket på 20 % europæisk kollaborativ forsvarsforskning og -teknologi som aftalt mellem alle medlemsstaterne inden for Det Europæiske Forsvarsagentur; opfordrer til, at EU's Efterretnings- og Situationscenter og Tjenesten for EU's Optræden Udadtils (EU-Udenrigstjenestens) kriseberedskabscenter styrkes gennem oprettelse af et system af automatiske efterretningsstrømme fra medlemsstaterne til EU-Udenrigstjenesten og til EU's Efterretnings- og Situationscenter vedrørende udenrigs- og sikkerhedsanliggender, der finder sted uden for EU;</w:t>
      </w:r>
    </w:p>
    <w:p w14:paraId="77003A00" w14:textId="77777777" w:rsidR="001A3F0B" w:rsidRPr="005655F7" w:rsidRDefault="001A3F0B" w:rsidP="001A3F0B">
      <w:pPr>
        <w:pStyle w:val="NormalHanging12a"/>
      </w:pPr>
      <w:r w:rsidRPr="005655F7">
        <w:t>16.</w:t>
      </w:r>
      <w:r w:rsidRPr="005655F7">
        <w:tab/>
        <w:t xml:space="preserve">glæder sig over den yderligere finansiering til den europæiske fredsfacilitet og opfordrer medlemsstaterne til at forbedre facilitetens handleevne gennem bæredygtig og passende finansiering; </w:t>
      </w:r>
      <w:r w:rsidR="00231A9C" w:rsidRPr="00231A9C">
        <w:t xml:space="preserve">glæder sig i denne forbindelse over konklusionerne fra samlingen i Rådet for Udenrigsanliggender den 22. januar 2024 og konklusionerne fra Det Europæiske </w:t>
      </w:r>
      <w:r w:rsidR="00231A9C" w:rsidRPr="00231A9C">
        <w:lastRenderedPageBreak/>
        <w:t xml:space="preserve">Råds møde den 1. februar 2024, der tyder på en aftale om de nærmere bestemmelser og det samlede finansielle loft for en ny "bistandsfond for Ukraine"; forventer, at den endelige afgørelse bliver truffet på Det Europæiske Råds møde den 21.-22. marts 2024; </w:t>
      </w:r>
      <w:r w:rsidRPr="005655F7">
        <w:t>glæder sig over beslutningerne om at indføre forordningen om støtte til produktion af ammunition og forordningen om oprettelse af instrumentet til styrkelse af den europæiske forsvarsindustri gennem fælles indkøb med henblik på at styrke den europæiske forsvarskapacitet; gentager sin opfordring til, at der hurtigst muligt påbegyndes drøftelser med henblik på etablering af endnu en finansiel facilitet uden om EU-budgettet, som skal vedrøre hele livscyklen for militære kapaciteter på EU-plan;</w:t>
      </w:r>
    </w:p>
    <w:p w14:paraId="5EBDF9A0" w14:textId="5F2F461B" w:rsidR="001A3F0B" w:rsidRPr="005655F7" w:rsidRDefault="001A3F0B" w:rsidP="001A3F0B">
      <w:pPr>
        <w:pStyle w:val="NormalHanging12a"/>
      </w:pPr>
      <w:r w:rsidRPr="005655F7">
        <w:t>17.</w:t>
      </w:r>
      <w:r w:rsidRPr="005655F7">
        <w:tab/>
        <w:t xml:space="preserve">bemærker, at EU's reaktion på den russiske angrebskrig mod Ukraine bliver overvåget nøje af autokratiske aktører over hele verden og vil have en afgørende indflydelse på udformningen af deres adfærd på den internationale scene; roser Rådet og medlemsstaterne for den beslutsomme reaktion på Ruslands angrebskrig mod Ukraine; glæder sig over mobiliseringen af hidtil usete beløb af makroøkonomisk, finansiel, økonomisk og humanitær bistand til Ukraine, </w:t>
      </w:r>
      <w:r w:rsidR="009E3854" w:rsidRPr="009E3854">
        <w:t xml:space="preserve">vedtagelsen i samklang med ligesindede partnere af tolv sanktionspakker, som sandsynligvis vil have en ødelæggende indvirkning på den russiske økonomi, og </w:t>
      </w:r>
      <w:r w:rsidRPr="005655F7">
        <w:t xml:space="preserve">leveringen af våben og ammunition fra medlemsstaterne, som også var mulig takket være den europæiske fredsfacilitet; er imidlertid bekymret over, at Ungarn stadig blokerer den ottende tranche af den europæiske fredsfacilitet, som er bestemt til Ukraine; opfordrer til, at Den Russiske Føderation isoleres og presses yderligere gennem en styrket anvendelse af restriktive foranstaltninger, også mod Belarus; </w:t>
      </w:r>
      <w:r w:rsidR="009E3854" w:rsidRPr="009E3854">
        <w:t>opfordrer til at styrke den diplomatiske offensiv over for alle de stater, der undlod at stemme eller ikke deltog i afstemningen om FN's Generalforsamlings resolutioner af 1</w:t>
      </w:r>
      <w:r w:rsidR="0086509B">
        <w:t>3</w:t>
      </w:r>
      <w:bookmarkStart w:id="9" w:name="_GoBack"/>
      <w:bookmarkEnd w:id="9"/>
      <w:r w:rsidR="009E3854" w:rsidRPr="009E3854">
        <w:t xml:space="preserve">. oktober 2022 og 2. marts 2023; </w:t>
      </w:r>
      <w:r w:rsidRPr="005655F7">
        <w:t>opfordrer til proaktivt diplomati med tredjelande sammen med ligesindede partnere, især USA, Canada og Det Forenede Kongerige, for at minimere omgåelsen af disse sanktioner og lukke alle resterende retlige smuthuller for at sætte en stopper for denne omgåelse; beklager</w:t>
      </w:r>
      <w:r w:rsidR="009E3854" w:rsidRPr="009E3854">
        <w:t>, at EU's tolvte pakke af sanktioner forlænger afviklingsperioderne for import af specifikke stålprodukter</w:t>
      </w:r>
      <w:r w:rsidRPr="005655F7">
        <w:t>;</w:t>
      </w:r>
    </w:p>
    <w:p w14:paraId="391E510F" w14:textId="77777777" w:rsidR="001A3F0B" w:rsidRPr="005655F7" w:rsidRDefault="001A3F0B" w:rsidP="001A3F0B">
      <w:pPr>
        <w:pStyle w:val="NormalHanging12a"/>
      </w:pPr>
      <w:r w:rsidRPr="005655F7">
        <w:t>18.</w:t>
      </w:r>
      <w:r w:rsidRPr="005655F7">
        <w:tab/>
        <w:t>glæder sig over den vilje, som Unionen og de fleste medlemsstater har udvist i deres bestræbelser på at opnå fuld energiuafhængighed fra Den Russiske Føderation; gentager sin opfordring til en øjeblikkelig og fuldstændig embargo mod russisk import af fossile brændstoffer og produkter fremstillet med russisk råolie; opfordrer indtrængende Kommissionen og Rådet til at forbedre overvågningskapaciteterne for fossile brændstoffer for at forhindre reeksport; udtrykker bekymring over, at visse medlemsstater i det seneste år har øget deres import af russisk naturgas og LNG;</w:t>
      </w:r>
    </w:p>
    <w:p w14:paraId="5B186F6F" w14:textId="77777777" w:rsidR="001A3F0B" w:rsidRPr="005655F7" w:rsidRDefault="001A3F0B" w:rsidP="001A3F0B">
      <w:pPr>
        <w:pStyle w:val="NormalHanging12a"/>
      </w:pPr>
      <w:r w:rsidRPr="005655F7">
        <w:t>19.</w:t>
      </w:r>
      <w:r w:rsidRPr="005655F7">
        <w:tab/>
        <w:t>minder om, at en konsekvent og ensartet anvendelse af restriktive foranstaltninger i alle medlemsstater er en forudsætning for troværdigheden og effektiviteten af EU's optræden udadtil; opfordrer alle tredjelande, især EU-kandidatlandene, til at udvise utvetydigt engagement i folkeretten og EU's strategiske interesser og værdier og til at tilpasse sig EU's restriktive foranstaltninger over for Rusland; anmoder Kommissionen om kritisk at vurdere EU-bistanden til tredjelande, som aktivt støtter den russiske aggression mod Ukraine, og opfordrer indtrængende Rådet til at indføre restriktive foranstaltninger over for tredjelande, der muliggør Ruslands invasion af Ukraine, hvad enten det sker ved at fremme sanktionsomgåelse eller ved at yde direkte militær bistand, som eksempelvis Iran</w:t>
      </w:r>
      <w:r w:rsidR="009E3854">
        <w:t xml:space="preserve"> </w:t>
      </w:r>
      <w:r w:rsidR="009E3854" w:rsidRPr="009E3854">
        <w:t>eller DPRK</w:t>
      </w:r>
      <w:r w:rsidRPr="005655F7">
        <w:t>;</w:t>
      </w:r>
    </w:p>
    <w:p w14:paraId="5377DE00" w14:textId="397374F0" w:rsidR="001A3F0B" w:rsidRPr="005655F7" w:rsidRDefault="001A3F0B" w:rsidP="001A3F0B">
      <w:pPr>
        <w:pStyle w:val="NormalHanging12a"/>
      </w:pPr>
      <w:r w:rsidRPr="005655F7">
        <w:t>20.</w:t>
      </w:r>
      <w:r w:rsidRPr="005655F7">
        <w:tab/>
        <w:t xml:space="preserve">tilskynder Kommissionen, HR/NF og medlemsstaterne til at mobilisere international støtte til den fredsplan, Ukraine har fremlagt, og til at engagere sig i </w:t>
      </w:r>
      <w:r w:rsidRPr="005655F7">
        <w:lastRenderedPageBreak/>
        <w:t xml:space="preserve">sikkerhedsforpligtelser over for Ukraine som anbefalet i Kyiv Security Compact; </w:t>
      </w:r>
      <w:r w:rsidR="009E3854" w:rsidRPr="009E3854">
        <w:t xml:space="preserve">glæder sig over de bilaterale sikkerhedsaftaler, der er indgået mellem henholdsvis Det Forenede Kongerige, Tyskland og Frankrig og Ukraine, og som opfylder G7's tilsagn af 12. juli 2023 om at afskrække fra ethvert nyt russisk angreb på Ukraine inden for en overskuelig fremtid; </w:t>
      </w:r>
      <w:r w:rsidRPr="005655F7">
        <w:t>understreger nødvendigheden af, at EU-institutionerne og medlemsstaterne snarest muligt stiller sig i spidsen for oprettelsen af en særlig international domstol til retsforfølgelse af aggressionen</w:t>
      </w:r>
      <w:r w:rsidR="009E3854" w:rsidRPr="009E3854">
        <w:t>, forbrydelser, der udgør folkedrab,</w:t>
      </w:r>
      <w:r w:rsidRPr="005655F7">
        <w:t xml:space="preserve"> og krigsforbrydelserne mod Ukraine, herunder den konfliktrelaterede seksuelle vold, der er begået af Den Russiske </w:t>
      </w:r>
      <w:r w:rsidR="009E3854" w:rsidRPr="009E3854">
        <w:t xml:space="preserve">Føderation </w:t>
      </w:r>
      <w:r w:rsidRPr="005655F7">
        <w:t xml:space="preserve">og </w:t>
      </w:r>
      <w:r w:rsidR="009E3854" w:rsidRPr="009E3854">
        <w:t xml:space="preserve">dens </w:t>
      </w:r>
      <w:r w:rsidRPr="005655F7">
        <w:t>forbundsfæller, navnlig Belarus</w:t>
      </w:r>
      <w:r w:rsidR="009E3854" w:rsidRPr="009E3854">
        <w:t>, herunder deres politiske og militære ledelse</w:t>
      </w:r>
      <w:r w:rsidRPr="005655F7">
        <w:t xml:space="preserve">; opfordrer Kommissionen og Rådet til at udpege det russiske statsfinansierede private militærselskab Wagnergruppen som en terrororganisation; glæder sig over det nyetablerede Internationale Center for Retsforfølgning af Aggressionsforbrydelsen mod Ukraine, som Den Europæiske Unions Agentur for Strafferetligt Samarbejde (Eurojust) er vært for, og som vil lette sagsopbygningen til fremtidige retssager; opfordrer indtrængende Kommissionen til at lokalisere og kortlægge de immobiliserede russiske aktiver og til at udarbejde et juridisk holdbart og effektivt forslag til at bruge disse aktiver til at finansiere </w:t>
      </w:r>
      <w:r w:rsidR="00B452AA" w:rsidRPr="00B452AA">
        <w:t xml:space="preserve">forsvaret og </w:t>
      </w:r>
      <w:r w:rsidRPr="005655F7">
        <w:t>genopbygningen af Ukraine samt til at sikre, at dette juridisk holdbare forslag udarbejdes i tæt koordinering med partnerlandene i G7; fremhæver, at minerydning og rydning af ueksploderet ammunition er forudsætninger for genopbygningen af Ukraine, herunder landets landbrugsproduktion, som er afgørende for dets økonomi og for den globale fødevaresikkerhed; fremhæver, at dette arbejde vil kræve omfattende og langsigtet finansiering;</w:t>
      </w:r>
    </w:p>
    <w:p w14:paraId="388C7653" w14:textId="77777777" w:rsidR="001A3F0B" w:rsidRPr="005655F7" w:rsidRDefault="001A3F0B" w:rsidP="001A3F0B">
      <w:pPr>
        <w:pStyle w:val="NormalHanging12a"/>
      </w:pPr>
      <w:r w:rsidRPr="005655F7">
        <w:t>21.</w:t>
      </w:r>
      <w:r w:rsidRPr="005655F7">
        <w:tab/>
        <w:t>glæder sig over den hurtige oprettelse og succesfulde implementering af Den Europæiske Unions militære bistandsmission til støtte for Ukraine og foreslår, at EU overvejer at styrke den; noterer sig, at denne mission er et håndgribeligt bevis på EU's urokkelige støtte til landets suverænitet og territoriale integritet; opfordrer til, at der arbejdes hen imod oprettelse af andre internationale missioner med henblik på at sikre retten til fri sejlads og støtte humanitære korridorer og sikker passage af ukrainsk korn;</w:t>
      </w:r>
    </w:p>
    <w:p w14:paraId="7FA41D33" w14:textId="7A07E3C0" w:rsidR="001A3F0B" w:rsidRPr="005655F7" w:rsidRDefault="001A3F0B" w:rsidP="001A3F0B">
      <w:pPr>
        <w:pStyle w:val="NormalHanging12a"/>
      </w:pPr>
      <w:r w:rsidRPr="005655F7">
        <w:t>22.</w:t>
      </w:r>
      <w:r w:rsidRPr="005655F7">
        <w:tab/>
        <w:t xml:space="preserve">opfordrer medlemsstaterne til at bevare den beslutsomhed og enhed, de allerede har demonstreret, og yde Ukraine yderligere politisk, humanitær, militær, infrastrukturrelateret, økonomisk og finansiel støtte til at vinde krigen; bifalder i denne henseende den bistand, som medlemsstaterne har ydet, både individuelt og gennem EU-instrumenterne, herunder Kommissionens forslag om at oprette Ukrainefaciliteten; </w:t>
      </w:r>
      <w:r w:rsidR="00744817" w:rsidRPr="00744817">
        <w:t xml:space="preserve">glæder sig over den interinstitutionelle aftale, der blev indgået den 6. februar 2024, og som sikrer forudsigelig finansiel støtte til Ukraine på 50 mia. EUR i perioden 2024-2027 for at bidrage til landets genopretning, genopbygning og modernisering; </w:t>
      </w:r>
      <w:r w:rsidRPr="005655F7">
        <w:t>understreger behovet for fuld gennemsigtighed i gennemførelsen af faciliteten; opfordrer medlemsstaterne til at fortsætte med at yde den militære bistand, som Ukraine skal bruge for at fjerne de russiske styrker fra landets territorium; opfordrer indtrængende medlemsstaterne til at producere ammunition og levere den til Ukraines væbnede styrker sammen med andre nødvendige ressourcer til Ukraines servicering af sit militære hardware; opfordrer medlemsstaterne til at fortsætte med at yde økonomisk og politisk støtte til civilsamfundet i og omkring Ukraine;</w:t>
      </w:r>
    </w:p>
    <w:p w14:paraId="56011F91" w14:textId="77777777" w:rsidR="001A3F0B" w:rsidRPr="005655F7" w:rsidRDefault="001A3F0B" w:rsidP="001A3F0B">
      <w:pPr>
        <w:pStyle w:val="NormalHanging12a"/>
      </w:pPr>
      <w:r w:rsidRPr="005655F7">
        <w:t>23.</w:t>
      </w:r>
      <w:r w:rsidRPr="005655F7">
        <w:tab/>
        <w:t xml:space="preserve">insisterer på, at EU ikke vedvarende kan forlade sig på en ad hoc-mobilisering, og minder i denne sammenhæng om behovet for at forbedre og klart definere EU's kapacitet til at handle som reaktion på globale kriser på en bæredygtig måde; understreger i denne forbindelse, at EU bør fortsætte med at udvikle sine egne autonome og modstandsdygtige instrumenter i sin optræden udadtil og som en del af </w:t>
      </w:r>
      <w:r w:rsidRPr="005655F7">
        <w:lastRenderedPageBreak/>
        <w:t>FUSP; minder om, at det strategiske kompas udstikker en ambitiøs retning og giver EU værktøjerne til både at være en effektiv sikkerhedsleverandør og en mere assertiv global aktør, og opfordrer derfor til, at det hurtigt implementeres fuldt ud; opfordrer EU-institutionerne til at styrke deres kapacitet til strategisk fremsynethed med henblik på at forberede sig på fremtidige udfordringer;</w:t>
      </w:r>
    </w:p>
    <w:p w14:paraId="0424E934" w14:textId="77777777" w:rsidR="001A3F0B" w:rsidRPr="005655F7" w:rsidRDefault="001A3F0B" w:rsidP="001A3F0B">
      <w:pPr>
        <w:pStyle w:val="NormalHanging12a"/>
      </w:pPr>
      <w:r w:rsidRPr="005655F7">
        <w:t>24.</w:t>
      </w:r>
      <w:r w:rsidRPr="005655F7">
        <w:tab/>
        <w:t>opfordrer til en mere dynamisk og konsekvent brug af den globale EU-ordning for menneskerettighedssanktioner (EU's Magnitskij-lov), som fortsat er underudnyttet i EU's udenrigspolitiske værktøjskasse; glæder sig over HR/NF's forslag om en sanktionsordning til bekæmpelse af korruption, som kan gøre det muligt for EU målrettet at skride ind over for alvorlige korruptionshandlinger på verdensplan; fastholder, at korruption har en verificerbar indvirkning på menneskerettighedssituationen og underminerer statslige institutioners funktion og retsstatsprincippet; opfordrer i denne forbindelse: til, at Rådet hurtigt vedtager den foreslåede sanktionsordning til bekæmpelse af korruption;</w:t>
      </w:r>
    </w:p>
    <w:p w14:paraId="1713161B" w14:textId="77777777" w:rsidR="001A3F0B" w:rsidRPr="005655F7" w:rsidRDefault="001A3F0B" w:rsidP="001A3F0B">
      <w:pPr>
        <w:pStyle w:val="NormalHanging12a"/>
        <w:ind w:left="0" w:firstLine="0"/>
        <w:rPr>
          <w:b/>
          <w:i/>
        </w:rPr>
      </w:pPr>
      <w:r w:rsidRPr="005655F7">
        <w:rPr>
          <w:b/>
          <w:i/>
        </w:rPr>
        <w:t>Gradvis tilpasning af EU's strukturer, instrumenter, kapaciteter, fonde og beslutningsprocedurer</w:t>
      </w:r>
    </w:p>
    <w:p w14:paraId="5243D5B6" w14:textId="77777777" w:rsidR="001A3F0B" w:rsidRPr="005655F7" w:rsidRDefault="001A3F0B" w:rsidP="001A3F0B">
      <w:pPr>
        <w:pStyle w:val="NormalHanging12a"/>
      </w:pPr>
      <w:r w:rsidRPr="005655F7">
        <w:t>25.</w:t>
      </w:r>
      <w:r w:rsidRPr="005655F7">
        <w:tab/>
        <w:t>anerkender, at kravet om enstemmighed tvinger medlemsstaterne til at arbejde hårdt for at finde frem til kompromiser og opnå enhed, og at dette er baggrunden for EU's politiske styrke på verdensscenen; påpeger imidlertid, at afvejningen mellem idealet om enhed og de høje omkostninger ved enstemmighed i form af troværdighed bør vurderes kritisk, især med tanke på et udvidet EU's effektive funktion; beklager i denne forbindelse, at individuelle medlemsstater har brugt deres vetoret til at udvande aftaler, forsinke beslutningstagning eller helt forpurre en fælles politik;</w:t>
      </w:r>
    </w:p>
    <w:p w14:paraId="0F6A8109" w14:textId="77777777" w:rsidR="001A3F0B" w:rsidRPr="005655F7" w:rsidRDefault="001A3F0B" w:rsidP="001A3F0B">
      <w:pPr>
        <w:pStyle w:val="NormalHanging12a"/>
      </w:pPr>
      <w:r w:rsidRPr="005655F7">
        <w:t>26.</w:t>
      </w:r>
      <w:r w:rsidRPr="005655F7">
        <w:tab/>
        <w:t>minder medlemsstaterne om at overholde principperne i traktaterne, navnlig artikel 24 og artikel 42, stk. 7, i TEU, og artikel 222 i traktaten om Den Europæiske Unions funktionsmåde, hvori medlemsstaterne opfordres til aktivt og uforbeholdent at støtte Den Europæiske Unions udenrigs- og sikkerhedspolitik i en ånd af loyalitet og gensidig solidaritet; understreger, at betingelserne for aktivering af artikel 42, stk. 7, i TEU og betingelserne for støtte aldrig er blevet klart defineret; anser det for nødvendigt hurtigst muligt at udvikle en solidaritetspolitikstrategi og operationelle gennemførelsesforanstaltninger for klausulen om gensidig bistand i artikel 42, stk. 7, i TEU;</w:t>
      </w:r>
    </w:p>
    <w:p w14:paraId="03E4E88D" w14:textId="77777777" w:rsidR="001A3F0B" w:rsidRPr="005655F7" w:rsidRDefault="001A3F0B" w:rsidP="001A3F0B">
      <w:pPr>
        <w:pStyle w:val="NormalHanging12a"/>
      </w:pPr>
      <w:r w:rsidRPr="005655F7">
        <w:t>27.</w:t>
      </w:r>
      <w:r w:rsidRPr="005655F7">
        <w:tab/>
        <w:t>beklager, at potentialet for hurtig, effektiv og slagkraftig handling inden for udenrigs-, sikkerheds- og forsvarsområdet, som bl.a. forefindes i passerellebestemmelserne i TEU, kun er blevet brugt i et meget begrænset omfang; gentager sin opfordring til Rådet om gradvist at gå over til afstemninger med kvalificeret flertal for beslutninger inden for FUSP, der ikke har indvirkning på militær- eller forsvarsområdet; anerkender bekymringerne hos nogle medlemsstater, som frygter en nedsat evne til at påvirke udenrigs- og sikkerhedspolitikken på EU-plan; erkender, at fremskridt hen imod anvendelsen af ​kvalificeret flertal kun kan ske gradvist og bygge på dannelsen af en europæisk strategisk kultur; opfordrer i denne sammenhæng til:</w:t>
      </w:r>
    </w:p>
    <w:p w14:paraId="7FBA1820" w14:textId="77777777" w:rsidR="001A3F0B" w:rsidRPr="005655F7" w:rsidRDefault="001A3F0B" w:rsidP="001A3F0B">
      <w:pPr>
        <w:pStyle w:val="NormalHanging12a"/>
        <w:ind w:left="1437" w:hanging="870"/>
        <w:rPr>
          <w:bCs/>
        </w:rPr>
      </w:pPr>
      <w:r w:rsidRPr="005655F7">
        <w:t>a)</w:t>
      </w:r>
      <w:r w:rsidRPr="005655F7">
        <w:tab/>
        <w:t>indførelse af afstemninger med kvalificeret flertal på udpegede prioriterede områder såsom den globale EU-ordning for menneskerettighedssanktioner (EU's Magnitskij-lov) og i forbindelse med spørgsmål vedrørende vedtagelsen og gennemførelsen af den næste EU-handlingsplan for menneskerettigheder og demokrati i overensstemmelse med artikel 22, stk. 1, i TEU</w:t>
      </w:r>
    </w:p>
    <w:p w14:paraId="213C7897" w14:textId="77777777" w:rsidR="001A3F0B" w:rsidRPr="005655F7" w:rsidRDefault="001A3F0B" w:rsidP="001A3F0B">
      <w:pPr>
        <w:pStyle w:val="NormalHanging12a"/>
        <w:ind w:left="1437" w:hanging="870"/>
        <w:rPr>
          <w:bCs/>
        </w:rPr>
      </w:pPr>
      <w:r w:rsidRPr="005655F7">
        <w:lastRenderedPageBreak/>
        <w:t>b)</w:t>
      </w:r>
      <w:r w:rsidRPr="005655F7">
        <w:tab/>
        <w:t>anvendelse af traktaternes passerellebestemmelser, bortset fra ved oprettelse af militære missioner eller operationer med et eksekutivt mandat under den fælles sikkerheds- og forsvarspolitik (FSFP), for hvilke der stadig bør kræves enstemmighed</w:t>
      </w:r>
    </w:p>
    <w:p w14:paraId="27EB012A" w14:textId="77777777" w:rsidR="001A3F0B" w:rsidRPr="005655F7" w:rsidRDefault="001A3F0B" w:rsidP="001A3F0B">
      <w:pPr>
        <w:pStyle w:val="NormalHanging12a"/>
        <w:ind w:left="1437" w:hanging="870"/>
        <w:rPr>
          <w:bCs/>
        </w:rPr>
      </w:pPr>
      <w:r w:rsidRPr="005655F7">
        <w:t>c)</w:t>
      </w:r>
      <w:r w:rsidRPr="005655F7">
        <w:tab/>
        <w:t>brug af konstruktiv undladelse i overensstemmelse med artikel 31, stk. 1, i TEU, indtil afstemninger med kvalificeret flertal kan anvendes fuldt ud på beslutninger uden militære eller forsvarsmæssige implikationer</w:t>
      </w:r>
    </w:p>
    <w:p w14:paraId="7D986698" w14:textId="77777777" w:rsidR="001A3F0B" w:rsidRPr="005655F7" w:rsidRDefault="001A3F0B" w:rsidP="001A3F0B">
      <w:pPr>
        <w:pStyle w:val="NormalHanging12a"/>
        <w:ind w:left="1437" w:hanging="870"/>
        <w:rPr>
          <w:bCs/>
        </w:rPr>
      </w:pPr>
      <w:r w:rsidRPr="005655F7">
        <w:t>d)</w:t>
      </w:r>
      <w:r w:rsidRPr="005655F7">
        <w:tab/>
        <w:t>en mere effektiv anvendelse af de integrerede ordninger for politisk kriserespons og oprettelse af et sikkerhedsråd bestående af ministre fra medlemsstaterne med henblik på at kunne reagere hurtigt i nødsituationer og udvikle en integreret tilgang til konflikter og kriser</w:t>
      </w:r>
    </w:p>
    <w:p w14:paraId="5AA4DA37" w14:textId="77777777" w:rsidR="001A3F0B" w:rsidRPr="005655F7" w:rsidRDefault="001A3F0B" w:rsidP="001A3F0B">
      <w:pPr>
        <w:pStyle w:val="NormalHanging12a"/>
        <w:ind w:left="1437" w:hanging="870"/>
        <w:rPr>
          <w:bCs/>
        </w:rPr>
      </w:pPr>
      <w:r w:rsidRPr="005655F7">
        <w:t>e)</w:t>
      </w:r>
      <w:r w:rsidRPr="005655F7">
        <w:tab/>
        <w:t>revision af traktaterne efter artikel 48 i TEU med det formål bl.a. at sikre afstemning med kvalificeret flertal med hensyn til anliggender vedrørende FUSP</w:t>
      </w:r>
    </w:p>
    <w:p w14:paraId="015459B5" w14:textId="77777777" w:rsidR="001A3F0B" w:rsidRPr="005655F7" w:rsidRDefault="001A3F0B" w:rsidP="001A3F0B">
      <w:pPr>
        <w:pStyle w:val="NormalHanging12a"/>
        <w:ind w:left="1437" w:hanging="870"/>
        <w:rPr>
          <w:bCs/>
        </w:rPr>
      </w:pPr>
      <w:r w:rsidRPr="005655F7">
        <w:t>f)</w:t>
      </w:r>
      <w:r w:rsidRPr="005655F7">
        <w:tab/>
        <w:t>regelmæssig revision af de trusselsanalyser, der understøtter det strategiske kompas for sikkerhed og forsvar, for at give medlemsstaterne mulighed for at nå til enighed om og definere en fælles trusselsopfattelse;</w:t>
      </w:r>
    </w:p>
    <w:p w14:paraId="1C02338C" w14:textId="77777777" w:rsidR="001A3F0B" w:rsidRPr="005655F7" w:rsidRDefault="001A3F0B" w:rsidP="001A3F0B">
      <w:pPr>
        <w:pStyle w:val="NormalHanging12a"/>
      </w:pPr>
      <w:r w:rsidRPr="005655F7">
        <w:t>28.</w:t>
      </w:r>
      <w:r w:rsidRPr="005655F7">
        <w:tab/>
        <w:t xml:space="preserve">gentager, at Europa-Parlamentet spiller en integreret rolle i FUSP og yder et særligt bidrag hertil i kraft af sit parlamentariske diplomati og sine særskilte instrumenter, kanaler og kontakter, herunder dets demokratistøtteprogrammer, som har et stort potentiale til at engagere centrale politiske interessenter og fremme demokratisk regeringsførelse; understreger navnlig merværdien af parlamentarisk diplomati i forbindelse med den russiske angrebskrig mod Ukraine og fremhæver i denne sammenhæng det værdifulde samarbejde på politisk og teknisk niveau mellem Ukraines Verkhovna Rada og Europa-Parlamentet; </w:t>
      </w:r>
    </w:p>
    <w:p w14:paraId="1B803D95" w14:textId="77777777" w:rsidR="001A3F0B" w:rsidRPr="005655F7" w:rsidRDefault="001A3F0B" w:rsidP="001A3F0B">
      <w:pPr>
        <w:pStyle w:val="NormalHanging12a"/>
      </w:pPr>
      <w:r w:rsidRPr="005655F7">
        <w:t>29.</w:t>
      </w:r>
      <w:r w:rsidRPr="005655F7">
        <w:tab/>
        <w:t>understreger betydningen af parlamentarisk diplomati, som bør gennemføres gennem de eksisterende kanaler såsom Europa-Parlamentets Udenrigsudvalg, officielle delegationer og demokratistøtteaktiviteter, f.eks. regelmæssige parlamentariske dialoger med partnerlande; insisterer på, at EU's udenrigs- og sikkerhedspolitik skal orienteres mod formålene kriseforebyggelse, samarbejde om regionalt sikkerhedssamarbejde, den globale klima- og miljøindsats, styrkelse af menneskerettigheder og sikring af gennemførelsen af verdensmålene for bæredygtig udvikling i FN's 2030-dagsorden; opfordrer til yderligere udvikling af EU's forebyggende diplomati, herunder fredsmægling og dialog, som et proaktivt udenrigspolitisk værktøj; opfordrer indtrængende EU-Udenrigstjenesten til at gennemføre øvelser i "indhøstede erfaringer" og analysere tidligere europæiske diplomatiske bestræbelser og resultaterne heraf samt det arbejde, der er udført af de særlige repræsentanter og særlige udsendinge; insisterer på, at det er nødvendigt at styrke det parlamentariske diplomati med partnere i Latinamerika, Afrika og Asien for at bidrage til EU's mål om at styrke forbindelserne med ligesindede partnere for at løse fælles geopolitiske, økonomiske, sociale og miljømæssige udfordringer;</w:t>
      </w:r>
    </w:p>
    <w:p w14:paraId="21C73331" w14:textId="77777777" w:rsidR="001A3F0B" w:rsidRPr="005655F7" w:rsidRDefault="001A3F0B" w:rsidP="001A3F0B">
      <w:pPr>
        <w:pStyle w:val="NormalHanging12a"/>
      </w:pPr>
      <w:r w:rsidRPr="005655F7">
        <w:t>30.</w:t>
      </w:r>
      <w:r w:rsidRPr="005655F7">
        <w:tab/>
        <w:t>opfordrer til yderligere præcisering af funktionen af, formatet for repræsentation og ansvarligheden af Team Europe-tilgangen for at sikre en effektiv fordeling af midler og undgå overlapninger i EU's udenrigs- og sikkerhedspolitik; insisterer på, at Europa-Parlamentet er en del af Team Europe og bør behandles som sådan;</w:t>
      </w:r>
    </w:p>
    <w:p w14:paraId="7203A784" w14:textId="77777777" w:rsidR="001A3F0B" w:rsidRPr="005655F7" w:rsidRDefault="001A3F0B" w:rsidP="001A3F0B">
      <w:pPr>
        <w:pStyle w:val="NormalHanging12a"/>
      </w:pPr>
      <w:r w:rsidRPr="005655F7">
        <w:lastRenderedPageBreak/>
        <w:t>31.</w:t>
      </w:r>
      <w:r w:rsidRPr="005655F7">
        <w:tab/>
        <w:t>fremhæver nødvendigheden af at opdatere erklæringen fra 2010 om politisk ansvarlighed som rammen for forbindelserne mellem EU-Udenrigstjenesten og Europa-Parlamentet; mener, at Europa-Parlamentet har brug for midlerne til at udnytte sine instrumenter til at modvirke demokratiets globale tilbageskridt, herunder gennem valgobservation, mægling, konfliktforebyggelse og styrket kommunikation på lokalt plan om demokrati og parlamentarisk diplomati; fremhæver Europa-Parlamentets komplementære rolle i EU's diplomati;</w:t>
      </w:r>
    </w:p>
    <w:p w14:paraId="113E6ACE" w14:textId="77777777" w:rsidR="001A3F0B" w:rsidRPr="005655F7" w:rsidRDefault="001A3F0B" w:rsidP="001A3F0B">
      <w:pPr>
        <w:pStyle w:val="NormalHanging12a"/>
      </w:pPr>
      <w:r w:rsidRPr="005655F7">
        <w:t>32.</w:t>
      </w:r>
      <w:r w:rsidRPr="005655F7">
        <w:tab/>
        <w:t>fremhæver HR/NF's rolle som brobygger mellem FUSP og EU's eksterne forbindelser med henblik på at sikre det højeste niveau af koordinering og sammenhæng i EU's optræden udadtil; beklager ikke desto mindre, at der i nogle tilfælde er mangel på klarhed i EU's eksterne repræsentation; understreger behovet for klart at definere kompetencerne hos HR/NF, formanden for Kommissionen og formanden for Det Europæiske Råd med hensyn til EU's optræden udadtil og repræsentation;</w:t>
      </w:r>
    </w:p>
    <w:p w14:paraId="229415AA" w14:textId="77777777" w:rsidR="001A3F0B" w:rsidRPr="005655F7" w:rsidRDefault="001A3F0B" w:rsidP="001A3F0B">
      <w:pPr>
        <w:pStyle w:val="NormalHanging12a"/>
      </w:pPr>
      <w:r w:rsidRPr="005655F7">
        <w:t>33.</w:t>
      </w:r>
      <w:r w:rsidRPr="005655F7">
        <w:tab/>
        <w:t>mener, at der er behov for et stærkere institutionaliseret parlamentarisk tilsyn med EU's optræden udadtil, herunder regelmæssig og rettidig, men sikker, adgang til fortrolig information, briefinger i Europa-Parlamentet og hurtigere kanaler til kommunikation med EU-Udenrigstjenesten; minder i denne forbindelse om Europa-Parlamentets ret til information om FUSP-spørgsmål i henhold til artikel 36 i TEU; glæder sig over etableringen af den geopolitiske dialog på højt plan og tilskynder til mere åbne diskussioner, herunder ved at fortsætte de regelmæssige konsultationer med medlemmer af Kommissionen og EU-Udenrigstjenesten og ved at inddrage Europa-Parlamentet i gennemførelsen af den europæiske fredsfacilitet, det strategiske kompas og Global Gateway-initiativet;</w:t>
      </w:r>
    </w:p>
    <w:p w14:paraId="260FD069" w14:textId="77777777" w:rsidR="001A3F0B" w:rsidRPr="005655F7" w:rsidRDefault="001A3F0B" w:rsidP="001A3F0B">
      <w:pPr>
        <w:pStyle w:val="NormalHanging12a"/>
      </w:pPr>
      <w:r w:rsidRPr="005655F7">
        <w:t>34.</w:t>
      </w:r>
      <w:r w:rsidRPr="005655F7">
        <w:tab/>
        <w:t>bekræfter, at Europa-Parlamentet bør gøre fuld brug af sine tilsyns- og budgetbeføjelser i forbindelse med Unionens beslutninger om internationale anliggender; opfordrer til en ændring af strukturen af FUSP-budgettet i form af indførelse af én budgetpost pr. civil FSFP-mission med henblik på at give mulighed for bedre kontrol og øget gennemsigtighed;</w:t>
      </w:r>
    </w:p>
    <w:p w14:paraId="47BB01B8" w14:textId="77777777" w:rsidR="001A3F0B" w:rsidRPr="005655F7" w:rsidRDefault="001A3F0B" w:rsidP="001A3F0B">
      <w:pPr>
        <w:pStyle w:val="NormalHanging12a"/>
      </w:pPr>
      <w:r w:rsidRPr="005655F7">
        <w:t>35.</w:t>
      </w:r>
      <w:r w:rsidRPr="005655F7">
        <w:tab/>
        <w:t>beklager, at FUSP-budgettet for civile FSFP-missioner kun er steget marginalt fra den flerårige finansielle ramme (FFR) 2014-2020 til FFR 2021-2027, selv om antallet af missioner og de opgaver, de udfører, er øget, sikkerhedsmiljøet er blevet mere udfordrende, og omkostningerne ved operationerne er steget; opfordrer indtrængende medlemsstaterne til at afsætte tilstrækkelige midler til FUSP i betragtning af behovet for at forsvare fred, demokrati og retsstaten og til at sikre bedre koordination med andre politikområder; opfordrer i denne forbindelse til en passende justering af FFR'en og til øget finansiering af EU's optræden udadtil;</w:t>
      </w:r>
    </w:p>
    <w:p w14:paraId="6C3DC4CF" w14:textId="77777777" w:rsidR="001A3F0B" w:rsidRPr="005655F7" w:rsidRDefault="001A3F0B" w:rsidP="001A3F0B">
      <w:pPr>
        <w:pStyle w:val="NormalHanging12a"/>
      </w:pPr>
      <w:r w:rsidRPr="005655F7">
        <w:t>36.</w:t>
      </w:r>
      <w:r w:rsidRPr="005655F7">
        <w:tab/>
        <w:t xml:space="preserve">gentager endvidere, at EU og medlemsstaterne er nødt til at integrere demokratistøtte yderligere i programmeringen af EU's finansielle instrumenter, og understreger i denne forbindelse behovet for at udstyre relevante EU-delegationer med passende midler til at øge aktiviteterne inden for offentlighedsdiplomati og udvikle deres strategiske kommunikationskapaciteter til at bekæmpe desinformation og propaganda; opfordrer til at styrke EU-Udenrigstjenesten – både dens hovedkvarter og dens EU-delegationer – med passende økonomiske og personalemæssige ressourcer, således at EU kan være bedre forberedt på aktuelle og nye globale udfordringer såsom stigende ustabilitet, mere selvhævdende autoritarisme og klimakrisen; opfordrer Kommissionen og EU-Udenrigstjenesten til at føre en </w:t>
      </w:r>
      <w:r w:rsidR="00744817" w:rsidRPr="00744817">
        <w:t xml:space="preserve">feministisk </w:t>
      </w:r>
      <w:r w:rsidRPr="005655F7">
        <w:t xml:space="preserve">udenrigs- og sikkerhedspolitik, der er i overensstemmelse med Europa-Parlamentets beslutning af 10. marts 2022 om EU's </w:t>
      </w:r>
      <w:r w:rsidRPr="005655F7">
        <w:lastRenderedPageBreak/>
        <w:t>kønshandlingsplan III</w:t>
      </w:r>
      <w:r w:rsidRPr="005655F7">
        <w:rPr>
          <w:rStyle w:val="FootnoteReference"/>
        </w:rPr>
        <w:footnoteReference w:id="19"/>
      </w:r>
      <w:r w:rsidRPr="005655F7">
        <w:t>;</w:t>
      </w:r>
    </w:p>
    <w:p w14:paraId="18B438A8" w14:textId="77777777" w:rsidR="001A3F0B" w:rsidRPr="005655F7" w:rsidRDefault="001A3F0B" w:rsidP="001A3F0B">
      <w:pPr>
        <w:pStyle w:val="NormalHanging12a"/>
      </w:pPr>
      <w:r w:rsidRPr="005655F7">
        <w:t>37.</w:t>
      </w:r>
      <w:r w:rsidRPr="005655F7">
        <w:tab/>
        <w:t>glæder sig over gennemførelsen af pilotprojektet "Mod oprettelsen af et europæisk diplomatisk akademi"; opfordrer til etablering af en permanent struktur understøttet af de nødvendige ressourcer; opfordrer til at udforske og træffe beslutning om adgangsveje til EU-Udenrigstjenesten for dem, der dimitterer fra dette akademi, hvilket kan bidrage til fuld udvikling af et selvstyrende EU-diplomati formet af en fælles diplomatisk kultur ud fra et EU-perspektiv; gentager sin opfordring til Kommissionen om at oprette et permanent uddannelsesprogram vedrørende EU's optræden udadtil og FUSP for juniordiplomater fra EU-kandidatlande, hvor juniordiplomaterne bor på uddannelsesstedet;</w:t>
      </w:r>
    </w:p>
    <w:p w14:paraId="54EE3775" w14:textId="77777777" w:rsidR="001A3F0B" w:rsidRPr="005655F7" w:rsidRDefault="001A3F0B" w:rsidP="001A3F0B">
      <w:pPr>
        <w:pStyle w:val="NormalHanging12a"/>
        <w:rPr>
          <w:b/>
          <w:i/>
        </w:rPr>
      </w:pPr>
      <w:r w:rsidRPr="005655F7">
        <w:rPr>
          <w:b/>
          <w:i/>
        </w:rPr>
        <w:t>Styrkelse og forsvar af regelbaseret multilateralisme</w:t>
      </w:r>
    </w:p>
    <w:p w14:paraId="51D266B5" w14:textId="77777777" w:rsidR="001A3F0B" w:rsidRPr="005655F7" w:rsidRDefault="001A3F0B" w:rsidP="001A3F0B">
      <w:pPr>
        <w:pStyle w:val="NormalHanging12a"/>
      </w:pPr>
      <w:r w:rsidRPr="005655F7">
        <w:t>38.</w:t>
      </w:r>
      <w:r w:rsidRPr="005655F7">
        <w:tab/>
        <w:t>fremhæver, at multilaterale fora, navnlig FN og dets agenturer, skal betragtes som EU's foretrukne samarbejdsform; udtrykker i denne henseende bekymring for den stigende brug af eksklusive samarbejdsformer, der vidner om en øget konkurrence mellem stormagter; bemærker samtidig, at internationale institutioner og normer i stigende grad instrumentaliseres, og peger i denne sammenhæng på uenigheder inden for WTO og WHO; understreger, at denne tendens sætter Unionen i en vanskelig situation, hvor den skal afveje behovet for at appellere til bred og inklusiv multilateralisme og samtidig prioritere at samarbejde med udvalgte ligesindede partnere; opfordrer medlemsstaterne til at styrke inklusive former for multilateral forvaltning og tilskynder i denne sammenhæng Kommissionen, EU-Udenrigstjenesten og Rådet til at optrappe det interinstitutionelle samarbejde med multilaterale organisationer, der er uløseligt forbundet med det internationale regelbaserede system og håndteringen af globale fællesgoder, herunder FN og dets agenturer, Organisationen for Sikkerhed og Samarbejde i Europa (OSCE), WHO, WTO og NATO;</w:t>
      </w:r>
    </w:p>
    <w:p w14:paraId="0FBB1A7A" w14:textId="77777777" w:rsidR="001A3F0B" w:rsidRPr="005655F7" w:rsidRDefault="001A3F0B" w:rsidP="001A3F0B">
      <w:pPr>
        <w:pStyle w:val="NormalHanging12a"/>
      </w:pPr>
      <w:r w:rsidRPr="005655F7">
        <w:t>39.</w:t>
      </w:r>
      <w:r w:rsidRPr="005655F7">
        <w:tab/>
        <w:t>bemærker nødvendigheden af at sikre enhed, sammenhæng og komplementaritet i indsatsen mellem EU og NATO for at opretholde international fred og sikkerhed; understreger, at NATO fortsat er hjørnestenen i den europæiske sikkerhed, og opfordrer til, at samarbejdet mellem NATO og EU styrkes yderligere, samtidig med at den europæiske søjle i NATO også styrkes, bl.a. ved konsekvent at leve op til NATO's benchmark for forsvarsudgifter på 2 % af bruttonationalproduktet; opfordrer til et øget samarbejde med NATO om bekæmpelse af desinformation og hybridtrusler fra tredjelande;</w:t>
      </w:r>
    </w:p>
    <w:p w14:paraId="17F3834E" w14:textId="77777777" w:rsidR="001A3F0B" w:rsidRPr="005655F7" w:rsidRDefault="001A3F0B" w:rsidP="001A3F0B">
      <w:pPr>
        <w:pStyle w:val="NormalHanging12a"/>
      </w:pPr>
      <w:r w:rsidRPr="005655F7">
        <w:t>40.</w:t>
      </w:r>
      <w:r w:rsidRPr="005655F7">
        <w:tab/>
        <w:t xml:space="preserve">opfordrer EU-institutionerne og medlemsstaterne til aktivt at støtte en omfattende institutionel reform af de multilaterale institutioner, først og fremmest FN-systemet og især FN's Sikkerhedsråd, som bør omfatte foranstaltninger, der tager sigte på at begrænse brugen af veto, fremme regional repræsentation, gøre udøvende magtorganer ansvarlige over for de forsamlinger, der vælger dem, og ændre sammensætningen af Sikkerhedsrådets medlemmer til bedre at afspejle den geopolitiske virkelighed, herunder ved at oprette et permanent sæde til EU; opfordrer Kommissionen til at fokusere på at sikre EU's strategiske uundværlighed i en stadig mere multipolar verden; opfordrer EU-institutionerne til at sikre, at EU taler med én stemme i FN, navnlig i Sikkerhedsrådet; opfordrer til at sikre en fortsat dialog med Det Forenede Kongerige med henblik på at bevare samarbejdet i Sikkerhedsrådet; opfordrer alle FN's </w:t>
      </w:r>
      <w:r w:rsidRPr="005655F7">
        <w:lastRenderedPageBreak/>
        <w:t>medlemslande til at tage skridt til at tilbagekalde Ruslands vetoret i Sikkerhedsrådet;</w:t>
      </w:r>
    </w:p>
    <w:p w14:paraId="7400F7A9" w14:textId="77777777" w:rsidR="001A3F0B" w:rsidRPr="005655F7" w:rsidRDefault="001A3F0B" w:rsidP="001A3F0B">
      <w:pPr>
        <w:pStyle w:val="NormalHanging12a"/>
      </w:pPr>
      <w:r w:rsidRPr="005655F7">
        <w:t>41.</w:t>
      </w:r>
      <w:r w:rsidRPr="005655F7">
        <w:tab/>
        <w:t>opfordrer HR/NF til at fremme en overbevisende, holdbar og målrettet demokratisk fortælling, der viser, at demokrati gavner enkeltpersoner og samfund over hele kloden og kan modstå autokratisk pres og indflydelse; beklager, at Folkerepublikken Kina, Rusland, Iran og andre totalitære eller autoritære regimer bruger informationsmanipulation og ondsindet indblanding som gængse instrumenter til at lægge pres på multilaterale institutioner og demokratiske værdier og normer, udhule kontrollen med magtmisbrug, øge forekomsten og alvoren af menneskerettighedskrænkelser, begrænse civilsamfundets, uafhængige mediers og demokratiske oppositionsbevægelsers råderum og sprede antivestlig desinformation; opfordrer i denne forbindelse til at investere i strategisk kommunikation og i bekæmpelse af udenlandsk indblanding og spredning af desinformation og glæder sig over EU-Udenrigstjenestens engagement med FN om en global adfærdskodeks for informationsintegritet;</w:t>
      </w:r>
    </w:p>
    <w:p w14:paraId="642A14AA" w14:textId="77777777" w:rsidR="001A3F0B" w:rsidRDefault="001A3F0B" w:rsidP="001A3F0B">
      <w:pPr>
        <w:pStyle w:val="NormalHanging12a"/>
      </w:pPr>
      <w:r w:rsidRPr="005655F7">
        <w:t>42.</w:t>
      </w:r>
      <w:r w:rsidRPr="005655F7">
        <w:tab/>
        <w:t xml:space="preserve">fremhæver det stigende fænomen med grænseoverskridende trusler mod menneskerettighedsforkæmpere og politiske aktivister fra deres landes nationale myndigheder eller fra stedfortrædere; opfordrer Kommissionen og medlemsstaterne til at sørge for, at udenlandske menneskerettighedsforkæmpere og aktivister, der er bosat i EU, har passende økonomiske og andre midler, der kan sætte dem i stand til at fortsætte deres arbejde på afstand og uden frygt for gengældelse; roser det ufortrødne arbejde, som verden over udføres af civilsamfundsorganisationer og menneskerettighedsforkæmpere, og opfordrer EU til at øge støtten til civilsamfundet og menneskerettighedsforkæmperne; udtrykker sin alvorlige bekymring over det stigende antal angreb på forskellige minoriteter verden over, herunder LGBTIQ-personer og religiøse minoriteter som f.eks. kristne; understreger behovet for at medtage intersektionalitet i alle EU-tiltag, herunder i gennemførelsen af FUSP, for at fremme fuldgyldig ligestilling mellem kønnene; </w:t>
      </w:r>
    </w:p>
    <w:p w14:paraId="3D67AAC7" w14:textId="10CA0CEB" w:rsidR="00744817" w:rsidRPr="005655F7" w:rsidRDefault="001521E5" w:rsidP="001A3F0B">
      <w:pPr>
        <w:pStyle w:val="NormalHanging12a"/>
      </w:pPr>
      <w:r>
        <w:t>43</w:t>
      </w:r>
      <w:r w:rsidR="00744817" w:rsidRPr="00744817">
        <w:t>.</w:t>
      </w:r>
      <w:r w:rsidR="00744817" w:rsidRPr="00744817">
        <w:tab/>
        <w:t>fordømmer på det kraftigste drabet den 16. februar 2024 på Aleksej Navalnyj, en fremtrædende russisk politisk figur og modtager af Sakharovprisen i 2021, som blev fængslet i en straffekoloni og udsat for mishandling, herunder tortur, vilkårlig afstraffelse og psykisk pres; opfordrer til bedre vilkår for politiske fanger i Rusland i overensstemmelse med landets internationale forpligtelser; fordømmer det russiske regimes optrapning af menneskerettighedskrænkelser og den vedvarende undertrykkelse af regeringskritikere, menneskerettighedsforkæmpere og uafhængige journalister; opfordrer indtrængende EU og dets medlemsstater til at yde bistand til russiske menneskerettighedsforkæmpere, prodemokratiske aktivister og uafhængige journalister i og uden for Rusland; opfordrer indtrængende Rådet til at vedtage restriktive foranstaltninger over for dem, der er ansvarlige for drabet på Aleksej Navalnyj og for den vilkårlige retsforfølgning og tortur af folk, der demonstrerer mod krigen</w:t>
      </w:r>
      <w:r w:rsidR="00744817">
        <w:t>;</w:t>
      </w:r>
    </w:p>
    <w:p w14:paraId="4D0F7925" w14:textId="1D59F1A8" w:rsidR="001A3F0B" w:rsidRPr="005655F7" w:rsidRDefault="001521E5" w:rsidP="001A3F0B">
      <w:pPr>
        <w:pStyle w:val="NormalHanging12a"/>
      </w:pPr>
      <w:r>
        <w:t>44</w:t>
      </w:r>
      <w:r w:rsidR="001A3F0B" w:rsidRPr="005655F7">
        <w:t>.</w:t>
      </w:r>
      <w:r w:rsidR="001A3F0B" w:rsidRPr="005655F7">
        <w:tab/>
        <w:t>anerkender, at flere aktører i det globale syd er ved at blive mere selvhævdende; understreger i denne sammenhæng, at udtrykket "det globale syd" giver indtryk af en grad af enhed, selv om der i virkeligheden er tale om en meget forskelligartet gruppe af aktører, der er karakteriseret ved divergerende forhåbninger og alliancer; erkender disse aktørers internationale gennemslagskraft;</w:t>
      </w:r>
    </w:p>
    <w:p w14:paraId="65A76D03" w14:textId="1E988509" w:rsidR="001A3F0B" w:rsidRDefault="001521E5" w:rsidP="001A3F0B">
      <w:pPr>
        <w:pStyle w:val="NormalHanging12a"/>
      </w:pPr>
      <w:r>
        <w:t>45</w:t>
      </w:r>
      <w:r w:rsidR="001A3F0B" w:rsidRPr="005655F7">
        <w:t>.</w:t>
      </w:r>
      <w:r w:rsidR="001A3F0B" w:rsidRPr="005655F7">
        <w:tab/>
        <w:t xml:space="preserve">minder om, at EU er den førende globale donor af officiel udviklingsbistand; understreger, at EU skal forblive en pålidelig allieret i udviklingssamarbejdet verden over; udtrykker sin bekymring over, at EU møder øget skepsis og manglende </w:t>
      </w:r>
      <w:r w:rsidR="001A3F0B" w:rsidRPr="005655F7">
        <w:lastRenderedPageBreak/>
        <w:t>engagement; opfordrer EU til at imødekomme partnerlandenes forventninger og hurtigt levere resultater vedrørende de politiske aftaler med dem for at vise, at EU er en vigtig og strategisk partner, og at det internationale regelbaserede system kan løse de aktuelle udfordringer; tilskynder i denne forbindelse til en stærkere politisk tilstedeværelse i lande, hvor EU's fodaftryk overvejende har bestået af udviklingssamarbejde; fremhæver især betydningen af EU's tilstedeværelse i Afrika og opfordrer Kommissionen og medlemsstaterne til at konsolidere den politiske dialog på nationalt og regionalt plan samt at yde en bred vifte af teknisk støtte, herunder finansiering på regerings- og lokalsamfundsplan, således at der opnås større effektivitet og synlighed; understreger, at det er vigtigt at indgå politiske aftaler med tredjelande baseret på fælles europæiske værdier og grundlæggende rettigheder;</w:t>
      </w:r>
    </w:p>
    <w:p w14:paraId="630DED7F" w14:textId="01EC8823" w:rsidR="00744817" w:rsidRPr="005655F7" w:rsidRDefault="001521E5" w:rsidP="001A3F0B">
      <w:pPr>
        <w:pStyle w:val="NormalHanging12a"/>
      </w:pPr>
      <w:r>
        <w:t>46</w:t>
      </w:r>
      <w:r w:rsidR="00744817" w:rsidRPr="00744817">
        <w:t>.</w:t>
      </w:r>
      <w:r w:rsidR="00744817" w:rsidRPr="00744817">
        <w:tab/>
        <w:t>opfordrer Rådet til at igangsætte projektet med at oprette et europæisk civilt fredskorps, som skal samle ekspertise fra institutionelle og ikkeinstitutionelle aktører inden for konfliktforebyggelse, fredelig konfliktløsning og forsoning, med henblik på at gøre EU's civile krisestyring mere troværdig, sammenhængende, effektiv, fleksibel og synlig;</w:t>
      </w:r>
    </w:p>
    <w:p w14:paraId="285D0013" w14:textId="5C347D4A" w:rsidR="001A3F0B" w:rsidRPr="005655F7" w:rsidRDefault="001521E5" w:rsidP="001A3F0B">
      <w:pPr>
        <w:pStyle w:val="NormalHanging12a"/>
      </w:pPr>
      <w:r>
        <w:t>47</w:t>
      </w:r>
      <w:r w:rsidR="001A3F0B" w:rsidRPr="005655F7">
        <w:t>.</w:t>
      </w:r>
      <w:r w:rsidR="001A3F0B" w:rsidRPr="005655F7">
        <w:tab/>
        <w:t>minder om, at EU bør være en mere selvbevidst global aktør for fred og menneskelig sikkerhed; bemærker, at effektivt udviklingssamarbejde og en ambitiøs handelspolitik også er afgørende for at tackle de grundlæggende årsager til migration og andre udfordringer, som Unionen er konfronteret med;</w:t>
      </w:r>
    </w:p>
    <w:p w14:paraId="12D891B3" w14:textId="64B7639C" w:rsidR="001A3F0B" w:rsidRPr="005655F7" w:rsidRDefault="001521E5" w:rsidP="001A3F0B">
      <w:pPr>
        <w:pStyle w:val="NormalHanging12a"/>
      </w:pPr>
      <w:r>
        <w:t>48</w:t>
      </w:r>
      <w:r w:rsidR="001A3F0B" w:rsidRPr="005655F7">
        <w:t>.</w:t>
      </w:r>
      <w:r w:rsidR="001A3F0B" w:rsidRPr="005655F7">
        <w:tab/>
        <w:t>opfordrer Kommissionen til effektivt og hurtigt at bruge Global Gateway som et bæredygtigt alternativ til Kinas "ét bælte, én vej"-initiativ og som et instrument til at øge EU's tilstedeværelse og synlighed verden over ved hjælp af infrastruktur- og telekommunikationsinvesteringer, der skaber merværdi nationalt i partnerlandene og muliggør deres socioøkonomiske udvikling i tråd med verdensmålene for bæredygtig udvikling og Parisaftalen, samtidig med at der tages hensyn til EU's velstands- og sikkerhedsmæssige interesser; minder om, at Global Gateway skal forstås som et strategisk koncept med integration af udenrigs-, økonomi- og udviklingspolitik; understreger i denne forbindelse, at koordination med internationale finansielle institutioner, en veldefineret inddragelse af den private sektor samt skræddersyet strategisk kommunikation er afgørende for, at dette instrument kan nå det ønskede omfang; glæder sig i denne forbindelse over det første Global Gateway-forum på højt niveau, som Kommissionens formand, Ursula von der Leyen, var vært for i oktober 2023; insisterer på, at Europa-Parlamentet bør inddrages tættere i beslutningsprocessen for at sikre gennemsigtig styring og sikre, at Global Gateway er ordentligt koordineret med G7-partnerskabet for globale infrastrukturinvesteringer;</w:t>
      </w:r>
    </w:p>
    <w:p w14:paraId="195A4DBB" w14:textId="6A754ECE" w:rsidR="001A3F0B" w:rsidRPr="005655F7" w:rsidRDefault="001521E5" w:rsidP="001A3F0B">
      <w:pPr>
        <w:pStyle w:val="NormalHanging12a"/>
      </w:pPr>
      <w:r>
        <w:t>49</w:t>
      </w:r>
      <w:r w:rsidR="001A3F0B" w:rsidRPr="005655F7">
        <w:t>.</w:t>
      </w:r>
      <w:r w:rsidR="001A3F0B" w:rsidRPr="005655F7">
        <w:tab/>
        <w:t>bemærker, at EU-investeringerne og -bistanden bør fokusere på fælles mål på det mest passende indsatsniveau og med klar synlighed i modtagerlandene samt på skræddersyede investeringer, der imødekommer vores partneres behov som defineret gennem et mere proaktivt og konstruktivt samarbejde med dem;</w:t>
      </w:r>
    </w:p>
    <w:p w14:paraId="3864C046" w14:textId="315D2DB2" w:rsidR="001A3F0B" w:rsidRPr="005655F7" w:rsidRDefault="001521E5" w:rsidP="001A3F0B">
      <w:pPr>
        <w:pStyle w:val="NormalHanging12a"/>
      </w:pPr>
      <w:r>
        <w:t>50</w:t>
      </w:r>
      <w:r w:rsidR="001A3F0B" w:rsidRPr="005655F7">
        <w:t>.</w:t>
      </w:r>
      <w:r w:rsidR="001A3F0B" w:rsidRPr="005655F7">
        <w:tab/>
        <w:t>opfordrer til multilaterale løsninger til at tackle nye udfordringer og realiteter såsom cybersikkerhed, bioteknologi og kunstig intelligens; insisterer på, at multilateralismen skal være i centrum med henblik på en effektiv opretholdelse af orden i det ydre rum, og på behovet for at uddybe nuværende initiativer og iværksætte nye for at opretholde den fredelige anvendelse af det ydre rum;</w:t>
      </w:r>
    </w:p>
    <w:p w14:paraId="0C30FFE5" w14:textId="77777777" w:rsidR="001A3F0B" w:rsidRPr="005655F7" w:rsidRDefault="001A3F0B" w:rsidP="001A3F0B">
      <w:pPr>
        <w:pStyle w:val="NormalHanging12a"/>
        <w:ind w:left="0" w:firstLine="0"/>
        <w:rPr>
          <w:b/>
          <w:i/>
        </w:rPr>
      </w:pPr>
      <w:r w:rsidRPr="005655F7">
        <w:rPr>
          <w:b/>
          <w:i/>
        </w:rPr>
        <w:t>Hævdelse af interesser gennem udvikling af robuste strategiske alliancer og ligesindede partnerskaber</w:t>
      </w:r>
    </w:p>
    <w:p w14:paraId="4ED5AC16" w14:textId="5EAEDEFA" w:rsidR="001A3F0B" w:rsidRPr="005655F7" w:rsidRDefault="001521E5" w:rsidP="001A3F0B">
      <w:pPr>
        <w:pStyle w:val="NormalHanging12a"/>
      </w:pPr>
      <w:r>
        <w:lastRenderedPageBreak/>
        <w:t>51</w:t>
      </w:r>
      <w:r w:rsidR="001A3F0B" w:rsidRPr="005655F7">
        <w:t>.</w:t>
      </w:r>
      <w:r w:rsidR="001A3F0B" w:rsidRPr="005655F7">
        <w:tab/>
        <w:t>understreger behovet for at opbygge strategisk solidaritet mellem ligesindede partnere som den bedste reaktion på et farligere og mere uforudsigeligt sikkerhedsmiljø; fremhæver behovet for at styrke de eksisterende partnerskaber med lande, der deler vores værdier, navnlig vedrørende spørgsmål som strategiske afhængigheder, økonomisk tvang, politisk indblanding og desinformation, og fremhæver betydningen af at opbygge nye alliancer, bl.a. i det globale syd, under hensyntagen til gensidige behov og interesser med henblik på at skabe reelle og afbalancerede partnerskaber;</w:t>
      </w:r>
      <w:r w:rsidR="00744817">
        <w:t xml:space="preserve"> </w:t>
      </w:r>
      <w:r w:rsidR="00744817" w:rsidRPr="00744817">
        <w:t>mener, at "mere for mere"-princippet bør integreres fuldt ud i forbindelserne med tredjelande, hvorved EU vil udvikle stærkere partnerskaber med dem, der deler principperne i FUSP og FSFP og Unionens grundlæggende værdier; mener omvendt, at "mindre for mindre"-princippet bør anvendes over for tredjelande, der åbenlyst tilsidesætter menneskerettighederne og folkeretten, og på dem, der sætter andre tredjelande i stand til at begå disse krænkelser; minder om, at niveauet og intensiteten af EU's engagement bør tilpasses tilsvarende, navnlig når det gælder udviklingssamarbejde, handelsfordele og adgang til EU-programmer;</w:t>
      </w:r>
    </w:p>
    <w:p w14:paraId="7637B529" w14:textId="75AD0A70" w:rsidR="001A3F0B" w:rsidRPr="005655F7" w:rsidRDefault="001521E5" w:rsidP="001A3F0B">
      <w:pPr>
        <w:pStyle w:val="NormalHanging12a"/>
      </w:pPr>
      <w:r>
        <w:t>52</w:t>
      </w:r>
      <w:r w:rsidR="001A3F0B" w:rsidRPr="005655F7">
        <w:t>.</w:t>
      </w:r>
      <w:r w:rsidR="001A3F0B" w:rsidRPr="005655F7">
        <w:tab/>
        <w:t>understreger vigtigheden af et stærkt og strategisk transatlantisk samarbejde – herunder mellem NATO og EU – baseret på fælles værdier, interesser og mål og på princippet om partnerskab mellem ligeværdige; opfordrer Kommissionen til at knytte tættere bånd med vigtige partnere i både USA og Canada for at kunne imødegå globale udfordringer, der påvirker vores fælles værdier, interesser, sikkerhed og velstand; opfordrer indtrængende Kommissionen og HR/NF til at engagere sig tæt med begge partnere ved at intensivere og konsolidere de allerede etablerede samarbejdsmekanismer, herunder Handels- og Teknologirådet mellem EU og USA; understreger især behovet for at gøre fremskridt med vigtige udenrigspolitiske sager, herunder vores respektive forbindelser med Kina, Europas østlige og sydlige naboskab, Afrika, Latinamerika og Caribien samt den indopacifiske region; henleder i forbindelse med sidstnævnte opmærksomheden på den særlige dialog mellem USA og EU om sikkerhed og forsvar og den indopacifiske region med henblik på at udvikle et tættere og mere ambitiøst samarbejde og fremhæver den første fælles flådeøvelse mellem EU og USA nogensinde i det nordvestlige Indiske Ocean i marts 2023; opfordrer til et stærkere transatlantisk samarbejde om handel og om at bekæmpe udfordringer forårsaget af hurtige teknologiske ændringer og tiltagende cybertrusler;</w:t>
      </w:r>
    </w:p>
    <w:p w14:paraId="522DD8AF" w14:textId="0A7660EE" w:rsidR="001A3F0B" w:rsidRPr="005655F7" w:rsidRDefault="001521E5" w:rsidP="001A3F0B">
      <w:pPr>
        <w:pStyle w:val="NormalHanging12a"/>
      </w:pPr>
      <w:r>
        <w:t>53</w:t>
      </w:r>
      <w:r w:rsidR="001A3F0B" w:rsidRPr="005655F7">
        <w:t>.</w:t>
      </w:r>
      <w:r w:rsidR="001A3F0B" w:rsidRPr="005655F7">
        <w:tab/>
        <w:t>minder om, at USA er EU's vigtigste allierede; gentager sin anmodning om, at der regelmæssigt afholdes topmøder mellem EU og USA med henblik på at give vedvarende fremdrift til det uundværlige transatlantiske samarbejde; gentager sin støtte til oprettelsen af et transatlantisk politisk råd, der kan fungere som et forum for en regelmæssig og effektiv institutionel dialog mellem EU og USA om udenrigs- og sikkerhedspolitik; opfordrer Repræsentanternes Hus til at oprette en stående kongresdelegation til Den Transatlantiske Dialog mellem Lovgivere (TLD) i overensstemmelse med den fælles erklæring fra 1999 om etableringen af TLD mellem Den Amerikanske Kongres og Europa-Parlamentet, da dette ville fremme vores kapacitet til politisk dialog og samarbejde;</w:t>
      </w:r>
    </w:p>
    <w:p w14:paraId="43DE95E7" w14:textId="7A712FD9" w:rsidR="001A3F0B" w:rsidRPr="005655F7" w:rsidRDefault="001521E5" w:rsidP="001A3F0B">
      <w:pPr>
        <w:pStyle w:val="NormalHanging12a"/>
      </w:pPr>
      <w:r>
        <w:t>54</w:t>
      </w:r>
      <w:r w:rsidR="001A3F0B" w:rsidRPr="005655F7">
        <w:t>.</w:t>
      </w:r>
      <w:r w:rsidR="001A3F0B" w:rsidRPr="005655F7">
        <w:tab/>
        <w:t>opfordrer EU og USA til at gøre afgørende fremskridt i forhandlingerne om at styrke de internationale forsyningskæder for kritiske mineraler med henblik på at finde gensidigt acceptable løsninger til at tackle de diskriminerende virkninger af den amerikanske lov om inflationsreduktion;</w:t>
      </w:r>
    </w:p>
    <w:p w14:paraId="4D29A113" w14:textId="63458A2C" w:rsidR="001A3F0B" w:rsidRPr="005655F7" w:rsidRDefault="001521E5" w:rsidP="001A3F0B">
      <w:pPr>
        <w:pStyle w:val="NormalHanging12a"/>
      </w:pPr>
      <w:r>
        <w:t>55</w:t>
      </w:r>
      <w:r w:rsidR="001A3F0B" w:rsidRPr="005655F7">
        <w:t>.</w:t>
      </w:r>
      <w:r w:rsidR="001A3F0B" w:rsidRPr="005655F7">
        <w:tab/>
        <w:t xml:space="preserve">glæder sig over indgåelsen af Windsorrammen og minder om vigtigheden af handels- og samarbejdsaftalen mellem EU og Det Forenede Kongerige for et stærkt og </w:t>
      </w:r>
      <w:r w:rsidR="001A3F0B" w:rsidRPr="005655F7">
        <w:lastRenderedPageBreak/>
        <w:t>konstruktivt partnerskab med Det Forenede Kongerige; fremhæver den afgørende og flerlagede betydning af Nordirlandprotokollen og Windsorrammen for de langsigtede forbindelser med Det Forenede Kongerige;</w:t>
      </w:r>
    </w:p>
    <w:p w14:paraId="51152DCB" w14:textId="7DD29B03" w:rsidR="001A3F0B" w:rsidRPr="005655F7" w:rsidRDefault="001521E5" w:rsidP="001A3F0B">
      <w:pPr>
        <w:pStyle w:val="NormalHanging12a"/>
      </w:pPr>
      <w:r>
        <w:t>56</w:t>
      </w:r>
      <w:r w:rsidR="001A3F0B" w:rsidRPr="005655F7">
        <w:t>.</w:t>
      </w:r>
      <w:r w:rsidR="001A3F0B" w:rsidRPr="005655F7">
        <w:tab/>
        <w:t>beklager, at handels- og samarbejdsaftalen mellem EU og Det Forenede Kongerige ikke indeholder bestemmelser om samarbejde om udenrigspolitik og forsvar; opfordrer i denne forbindelse til en større involvering af Det Forenede Kongerige i europæiske sikkerheds- og forsvarsprojekter og til et mere struktureret og regelmæssigt samarbejde med Det Forenede Kongerige på udenrigsområdet, som kan bygge videre på de konstruktive erfaringer fra EU-UK-samarbejdet om at imødegå Ruslands angrebskrig mod Ukraine, herunder vedtagelsen og overvågningen af sanktioner; glæder sig over de fælles missioner til tredjelande gennemført af repræsentanter for EU og for Det Forenede Kongerige med henblik på at forhindre omgåelsen af sanktioner; fremhæver de fælles interesser og kollektive ansvar og opfordrer til mere permanente former for koordination med hensyn til udenrigs- og sikkerhedspolitikken i forskellige regioner; glæder sig over Det Forenede Kongeriges deltagelse i det europæiske politiske fællesskab</w:t>
      </w:r>
      <w:r w:rsidR="00744817">
        <w:t xml:space="preserve"> </w:t>
      </w:r>
      <w:r w:rsidR="00744817" w:rsidRPr="00744817">
        <w:t>og dets værtsskab for dets fjerde topmøde; er overbevist om, at det europæiske politiske fællesskab kan fremme tilliden mellem Det Forenede Kongerige og EU, fremme en tættere dialog om fælles udfordringer, navnlig vedrørende sikkerhed, og fungere som en rugemaskine for konkrete samarbejdsprojekter</w:t>
      </w:r>
      <w:r w:rsidR="001A3F0B" w:rsidRPr="005655F7">
        <w:t>;</w:t>
      </w:r>
    </w:p>
    <w:p w14:paraId="348AA10F" w14:textId="1391CAE9" w:rsidR="001A3F0B" w:rsidRPr="005655F7" w:rsidRDefault="001521E5" w:rsidP="001A3F0B">
      <w:pPr>
        <w:pStyle w:val="NormalHanging12a"/>
      </w:pPr>
      <w:r>
        <w:t>57</w:t>
      </w:r>
      <w:r w:rsidR="001A3F0B" w:rsidRPr="005655F7">
        <w:t>.</w:t>
      </w:r>
      <w:r w:rsidR="001A3F0B" w:rsidRPr="005655F7">
        <w:tab/>
        <w:t xml:space="preserve">glæder sig både over oprettelsen af den rådgivende gruppe for Belarus-EU-anliggender, der skal muliggøre en fortsat dialog mellem EU og belarusiske demokratiske kræfter, og den igangværende støtte til russiske menneskerettighedsforkæmpere og til uafhængige medier i og uden for Rusland; </w:t>
      </w:r>
      <w:r w:rsidR="00744817" w:rsidRPr="00744817">
        <w:t>er chokeret over Sakharovprismodtageren</w:t>
      </w:r>
      <w:r>
        <w:t xml:space="preserve"> fra 2021</w:t>
      </w:r>
      <w:r w:rsidR="00744817" w:rsidRPr="00744817">
        <w:t xml:space="preserve"> Aleksej Navalnyjs død; Navalnyj blev anholdt og dømt på et tvivlsomt og politisk motiveret grundlag og ofrede sit liv for at forsvare demokratiet og modsætte sig undertrykkelse og korruption i Rusland; opfordrer det russiske regime til straks at kaste lys over omstændighederne omkring Aleksej Navalnyjs død; </w:t>
      </w:r>
      <w:r w:rsidR="001A3F0B" w:rsidRPr="005655F7">
        <w:t>gentager sin støtte til den belarusiske demokratiske opposition, alle politiske fanger og de modige aktivister og journalister i Belarus, som fortsætter med at yde modstand mod den illegitime leders regime og regimets medvirken til den russiske angrebskrig mod Ukraine på trods af den igangværende undertrykkelse, og som har udtrykt ønske om at opnå demokratisk udvikling i Belarus og belarusisk medlemskab af EU, bl.a. på konferencen om det nye Belarus, der blev afholdt i Warszawa i august 2023; understreger, at sådanne bestræbelser viser civilsamfundets grundlæggende rolle i styrkelsen af demokratiet;</w:t>
      </w:r>
    </w:p>
    <w:p w14:paraId="45518DE5" w14:textId="5B221A32" w:rsidR="001A3F0B" w:rsidRDefault="001521E5" w:rsidP="001A3F0B">
      <w:pPr>
        <w:pStyle w:val="NormalHanging12a"/>
      </w:pPr>
      <w:r>
        <w:t>58</w:t>
      </w:r>
      <w:r w:rsidR="001A3F0B" w:rsidRPr="005655F7">
        <w:t>.</w:t>
      </w:r>
      <w:r w:rsidR="001A3F0B" w:rsidRPr="005655F7">
        <w:tab/>
        <w:t>fordømmer Lukasjenkoregimets aktive rolle i støtten til Ruslands angrebskrig mod Ukraine; understreger det presserende behov for, at sanktionerne mod Rusland også finder anvendelse på Belarus, da Lukasjenkos regime er fuldt ud medskyldigt i de begåede krigsforbrydelser, f.eks. bortførelsen af tusindvis af ukrainske børn;</w:t>
      </w:r>
    </w:p>
    <w:p w14:paraId="64BD750A" w14:textId="03663CDA" w:rsidR="00744817" w:rsidRPr="005655F7" w:rsidRDefault="001521E5" w:rsidP="001A3F0B">
      <w:pPr>
        <w:pStyle w:val="NormalHanging12a"/>
      </w:pPr>
      <w:r>
        <w:t>59</w:t>
      </w:r>
      <w:r w:rsidR="00744817" w:rsidRPr="00744817">
        <w:t>.</w:t>
      </w:r>
      <w:r w:rsidR="00744817" w:rsidRPr="00744817">
        <w:tab/>
        <w:t>er chokeret og forfærdet over mordet på Sakharovprismodtageren fra 2021 og den russiske oppositionspolitiker, Aleksej Navalnyj, som ofrede sit liv for at forsvare demokratiet og modsætte sig undertrykkelse og korruption i Rusland;</w:t>
      </w:r>
    </w:p>
    <w:p w14:paraId="533FDB38" w14:textId="468E7106" w:rsidR="001A3F0B" w:rsidRDefault="001521E5" w:rsidP="001A3F0B">
      <w:pPr>
        <w:pStyle w:val="NormalHanging12a"/>
      </w:pPr>
      <w:r>
        <w:t>60</w:t>
      </w:r>
      <w:r w:rsidR="001A3F0B" w:rsidRPr="005655F7">
        <w:t>.</w:t>
      </w:r>
      <w:r w:rsidR="001A3F0B" w:rsidRPr="005655F7">
        <w:tab/>
      </w:r>
      <w:r w:rsidR="00744817" w:rsidRPr="00744817">
        <w:t xml:space="preserve">glæder sig over </w:t>
      </w:r>
      <w:r w:rsidR="001A3F0B" w:rsidRPr="005655F7">
        <w:t xml:space="preserve">udvidelsespakken 2023 og </w:t>
      </w:r>
      <w:r w:rsidR="00744817" w:rsidRPr="00744817">
        <w:t xml:space="preserve">vækstplanen </w:t>
      </w:r>
      <w:r w:rsidR="001A3F0B" w:rsidRPr="005655F7">
        <w:t xml:space="preserve">for landene på Vestbalkan, </w:t>
      </w:r>
      <w:r w:rsidR="00744817" w:rsidRPr="00744817">
        <w:t>som omfatter en facilitet på 6 mia. EUR i tilskud og lån til at fremskynde den socioøkonomiske konvergens med EU mellem 2024 og 2027; bekræfter, at det er i færd med at behandle forslaget om reform- og vækstfaciliteten for Vestbalkan og vil samarbejde med Rådet for at sikre en hurtig ratifikation</w:t>
      </w:r>
      <w:r w:rsidR="00744817">
        <w:t xml:space="preserve">; </w:t>
      </w:r>
      <w:r w:rsidR="001A3F0B" w:rsidRPr="005655F7">
        <w:t xml:space="preserve">opfordrer Rådet til at udvise et oprigtigt politisk engagement i EU-medlemskabsperspektivet for landene på </w:t>
      </w:r>
      <w:r w:rsidR="001A3F0B" w:rsidRPr="005655F7">
        <w:lastRenderedPageBreak/>
        <w:t>Vestbalkan; bemærker, at dette bør omfatte at gøre fremskridt med tiltrædelsesforhandlingerne med Albanien, Montenegro og Nordmakedonien; støtter bestræbelserne på som en højt prioriteret opgave at opnå de relevante forfatningsændringer i Nordmakedonien og opfordrer alle politiske kræfter til at spille en konstruktiv rolle i denne henseende; anmoder navnlig regeringerne i de medlemsstater, der stillede dette yderligere krav til Nordmakedonien, om at gøre deres yderste for at støtte disse bestræbelser; beklager de uberettigede forsinkelser i Nordmakedoniens og Albaniens tiltrædelsesprocesser og minder om, at kandidatlandene bør vurderes på grundlag af deres egne resultater med hensyn til at opfylde de objektive tiltrædelseskriterier, herunder deres gennemførelse af EU-relaterede reformer og tilpasningen af deres politik til FUSP, f.eks. de holdninger og restriktive foranstaltninger, der er vedtaget som en reaktion på Ruslands angrebskrig mod Ukraine; glæder sig over, at de fleste af landene på Vestbalkan er på linje med FUSP, og opfordrer Beograd til hurtigt også at komme det, især med tanke på at Serbien er et af de meget få europæiske lande, der endnu ikke er på linje med de sanktioner, der er vedtaget som en reaktion på Ruslands angrebskrig mod Ukraine; minder om, at der først kan gås videre med tiltrædelsen, når landet tilslutter sig EU's sanktioner mod Rusland og gør betydelige fremskridt med de EU-relaterede reformer; er fortsat meget bekymret over de serbiske myndigheders destabiliserende indflydelse på hele regionen;</w:t>
      </w:r>
    </w:p>
    <w:p w14:paraId="53C9E456" w14:textId="03E2F8BB" w:rsidR="001E2D5C" w:rsidRDefault="001521E5" w:rsidP="001A3F0B">
      <w:pPr>
        <w:pStyle w:val="NormalHanging12a"/>
      </w:pPr>
      <w:r>
        <w:t>61</w:t>
      </w:r>
      <w:r w:rsidR="001E2D5C" w:rsidRPr="001E2D5C">
        <w:t>.</w:t>
      </w:r>
      <w:r w:rsidR="001E2D5C" w:rsidRPr="001E2D5C">
        <w:tab/>
        <w:t>noterer sig de foreløbige resultater og konklusioner fra den internationale valgobservationsmission (I-EOM) under OSCE's Kontor for Demokratiske Institutioner og Menneskerettigheder om Serbiens tidlige parlamentsvalg den 17. december 2023; glæder sig over den høje valgdeltagelse, men er bekymret over de uregelmæssigheder og proceduremæssige mangler, der rapporteres om; understreger, at det er centralt for Serbiens EU-tiltrædelsesproces, at landets demokratiske institutioner fungerer korrekt, og opfordrer de kompetente myndigheder til at foretage en ordentlig undersøgelse og følge op på I-EOM's anbefalinger; tilskynder Serbiens politiske lederskab til at sikre en konstruktiv og inklusiv dialog på tværs af det politiske spektrum og til at gennemføre de reformer, der er nødvendige for, at Serbien kan gøre fremskridt på vejen mod tiltrædelse af EU;</w:t>
      </w:r>
    </w:p>
    <w:p w14:paraId="03498DCA" w14:textId="01E422B6" w:rsidR="001E2D5C" w:rsidRPr="00A01E76" w:rsidRDefault="001521E5" w:rsidP="001A3F0B">
      <w:pPr>
        <w:pStyle w:val="NormalHanging12a"/>
      </w:pPr>
      <w:r>
        <w:t>62</w:t>
      </w:r>
      <w:r w:rsidR="001E2D5C" w:rsidRPr="00A01E76">
        <w:t>.</w:t>
      </w:r>
      <w:r w:rsidR="001E2D5C" w:rsidRPr="00A01E76">
        <w:tab/>
      </w:r>
      <w:r w:rsidR="00A01E76" w:rsidRPr="00A97436">
        <w:t xml:space="preserve">er stærkt bekymret over en offentlig erklæring fra præsident Vučić i februar 2024, der udtrykkeligt støtter eventuelle militære foranstaltninger fra </w:t>
      </w:r>
      <w:r w:rsidR="00B108AB">
        <w:t xml:space="preserve">Folkerepublikken </w:t>
      </w:r>
      <w:r w:rsidR="00A01E76" w:rsidRPr="00A97436">
        <w:t xml:space="preserve">Kinas side mod Taiwan i modstrid med </w:t>
      </w:r>
      <w:r w:rsidR="00A01E76">
        <w:t>Unionens</w:t>
      </w:r>
      <w:r w:rsidR="00A01E76" w:rsidRPr="00A97436">
        <w:t xml:space="preserve"> politik til støtte for status quo i Taiwanstrædet og advarer mod ensidige foranstaltninger, navnlig med magt eller tvang;</w:t>
      </w:r>
    </w:p>
    <w:p w14:paraId="37D129FE" w14:textId="58966190" w:rsidR="001A3F0B" w:rsidRDefault="001521E5" w:rsidP="001A3F0B">
      <w:pPr>
        <w:pStyle w:val="NormalHanging12a"/>
      </w:pPr>
      <w:r>
        <w:t>63</w:t>
      </w:r>
      <w:r w:rsidR="001A3F0B" w:rsidRPr="005655F7">
        <w:t>.</w:t>
      </w:r>
      <w:r w:rsidR="001A3F0B" w:rsidRPr="005655F7">
        <w:tab/>
        <w:t>beklager, at store politiske spændinger og polarisering i Montenegro har forsinket fremskridtene med de EU-relaterede reformer og kastet landet ud i en dyb politisk og institutionel krise, der har standset Montenegros EU-tiltrædelsesproces; hilser den nye regeringsdannelse velkommen og understreger vigtigheden af</w:t>
      </w:r>
      <w:r w:rsidR="006965F3">
        <w:t>,</w:t>
      </w:r>
      <w:r w:rsidR="001A3F0B" w:rsidRPr="005655F7">
        <w:t xml:space="preserve"> at </w:t>
      </w:r>
      <w:r w:rsidR="006965F3" w:rsidRPr="006965F3">
        <w:t xml:space="preserve">regeringen er </w:t>
      </w:r>
      <w:r w:rsidR="001A3F0B" w:rsidRPr="005655F7">
        <w:t>i stand til og engageret i at gøre fremskridt med de EU-relaterede reformer og holde Montenegro solidt på EU's strategiske vej;</w:t>
      </w:r>
    </w:p>
    <w:p w14:paraId="3A19D579" w14:textId="511B051E" w:rsidR="006965F3" w:rsidRPr="005655F7" w:rsidRDefault="001521E5" w:rsidP="001A3F0B">
      <w:pPr>
        <w:pStyle w:val="NormalHanging12a"/>
      </w:pPr>
      <w:r>
        <w:t>64</w:t>
      </w:r>
      <w:r w:rsidR="006965F3" w:rsidRPr="006965F3">
        <w:t>.</w:t>
      </w:r>
      <w:r w:rsidR="006965F3" w:rsidRPr="006965F3">
        <w:tab/>
        <w:t xml:space="preserve">beklager, at det serbiske parlaments- og lokalvalg, som blev afholdt den 17. december 2023, afveg fra internationale standarder og Serbiens forpligtelser vedrørende frie og retfærdige valg på grund af magthavernes vedvarende og systematiske misbrug af institutioner og medier til at opnå en urimelig og uberettiget fordel; mener, at dette valg ikke kan anses for at være blevet afholdt på rimelige vilkår; er stærkt foruroliget over rapporter om det udbredte og systematiske omfang af svindel, som kompromitterede integriteten af valget i Serbien; bemærker, at IEOM anførte, at valget blev afviklet gnidningsløst, men at dagen var præget af en række proceduremæssige svigt, herunder </w:t>
      </w:r>
      <w:r w:rsidR="006965F3" w:rsidRPr="006965F3">
        <w:lastRenderedPageBreak/>
        <w:t>den inkonsekvente anvendelse af sikkerhedsforanstaltninger under stemmeafgivningen og -optællingen, hyppige tilfælde af for stor trængsel, brud på stemmehemmeligheden og talrige tilfælde af stemmeafgivning i grupper, og var domineret af præsident Vučićs afgørende indblanding sammen med regeringspartiets systemiske fordele; giver udtryk for sin alvorlige bekymring over disse uregelmæssigheder og valgmiljøet i det hele taget, som ikke levede op til de standarder, der forventes af et EU-kandidatland; minder de serbiske myndigheder om, at det i forbindelse med Serbiens EU-tiltrædelsesproces og metoden for EU-tiltrædelse er af central betydning, at landets demokratiske institutioner er velfungerende; opfordrer til en uafhængig international undersøgelse foretaget af respekterede internationale juridiske eksperter og institutioner af uregelmæssighederne i forbindelse med parlaments‑, regional‑ og kommunalvalget, med særligt fokus på valget til Beograds byråd, eftersom visse påstande – herunder påstandene om organiseret vælgermigration på lokalt plan – ligger uden for rammerne af OSCE/ODIHR's rapporter;</w:t>
      </w:r>
    </w:p>
    <w:p w14:paraId="6E44C42C" w14:textId="08E7C2B1" w:rsidR="001A3F0B" w:rsidRPr="005655F7" w:rsidRDefault="001521E5" w:rsidP="001A3F0B">
      <w:pPr>
        <w:pStyle w:val="NormalHanging12a"/>
      </w:pPr>
      <w:r>
        <w:t>65</w:t>
      </w:r>
      <w:r w:rsidR="001A3F0B" w:rsidRPr="005655F7">
        <w:t>.</w:t>
      </w:r>
      <w:r w:rsidR="001A3F0B" w:rsidRPr="005655F7">
        <w:tab/>
        <w:t xml:space="preserve">glæder sig over </w:t>
      </w:r>
      <w:r w:rsidR="006965F3" w:rsidRPr="006965F3">
        <w:t>Det Europæiske Råds afgørelse</w:t>
      </w:r>
      <w:r w:rsidR="006965F3">
        <w:t xml:space="preserve"> </w:t>
      </w:r>
      <w:r w:rsidR="001A3F0B" w:rsidRPr="005655F7">
        <w:t xml:space="preserve">om at indlede tiltrædelsesforhandlinger med Bosnien-Hercegovina, når medlemskabskriterierne er opfyldt i tilstrækkelig grad; </w:t>
      </w:r>
      <w:r w:rsidR="006965F3" w:rsidRPr="006965F3">
        <w:t>afventer med spænding Kommissionens statusrapport, som forventes at foreligge senest i marts 2024;</w:t>
      </w:r>
      <w:r w:rsidR="006965F3">
        <w:t xml:space="preserve"> </w:t>
      </w:r>
      <w:r w:rsidR="001A3F0B" w:rsidRPr="005655F7">
        <w:t xml:space="preserve">opfordrer indtrængende landets politiske ledere til at gennemføre det betydelige antal reformer, herunder valgreformerne, i overensstemmelse med de indenlandske og internationale domstoles afgørelser for at sikre principperne om lighed og forbud mod forskelsbehandling for alle borgere og konstituerende folkeslag som nedfældet i forfatningen og med fuld efterlevelse af dommene fra de indenlandske og internationale domstole, herunder alle Den Europæiske Menneskerettighedsdomstols afgørelser vedrørende Bosnien-Hercegovina; </w:t>
      </w:r>
      <w:r w:rsidR="006965F3" w:rsidRPr="006965F3">
        <w:t xml:space="preserve">fordømmer den tilbagevendende opildnende retorik fra ledelsen af Republika Srpska-enheden og deres separatistiske love og politikker, herunder fejringen af den forfatningsstridige Republika Srpska-dag den 9. januar 2024; opfordrer medlemsstaterne og repræsentanterne for det internationale samfund i Bosnien-Hercegovina til at fremme og støtte gennemførelsen af disse afgørelser; </w:t>
      </w:r>
      <w:r w:rsidR="001A3F0B" w:rsidRPr="005655F7">
        <w:t>gentager sin opfordring til målrettede sanktioner mod destabiliserende aktører i Bosnien-Hercegovina, navnlig Milorad Dodik</w:t>
      </w:r>
      <w:r w:rsidR="006965F3" w:rsidRPr="006965F3">
        <w:t>, samt andre højtstående embedsmænd i Republika Srpska og serbiske embedsmænd, der yder politisk og materiel støtte til separatistiske politikker; opfordrer alle medlemsstaterne til at sikre, at sådanne sanktioner kan vedtages af Rådet, og til at pålægge dem bilateralt eller i samråd med andre medlemsstater, hvis det ikke er muligt at vedtage dem i Rådet</w:t>
      </w:r>
      <w:r w:rsidR="001A3F0B" w:rsidRPr="005655F7">
        <w:t>; glæder sig over den indgåede aftale om at forlænge mandatet til EU-styrken i Bosnien-Hercegovinas operation Althea til den 2. november 2024 og minder om, at denne mission stadig spiller en afgørende rolle for sikkerheden og stabiliteten i Bosnien-Hercegovina;</w:t>
      </w:r>
      <w:r w:rsidR="006965F3">
        <w:t xml:space="preserve"> </w:t>
      </w:r>
      <w:r w:rsidR="006965F3" w:rsidRPr="006965F3">
        <w:t>opfordrer indtrængende EU's militære mission til aktivt at forebygge ulovlige parader og andre provokationer samt trusler mod alle, der arbejder for at hjælpe ofrene for folkedrab og investerer i forsoning mellem etniske grupper og en fredelig fremtid for landet;</w:t>
      </w:r>
    </w:p>
    <w:p w14:paraId="5F26C717" w14:textId="3E24BF3E" w:rsidR="001A3F0B" w:rsidRPr="005655F7" w:rsidRDefault="001521E5" w:rsidP="001A3F0B">
      <w:pPr>
        <w:pStyle w:val="NormalHanging12a"/>
      </w:pPr>
      <w:r>
        <w:t>66</w:t>
      </w:r>
      <w:r w:rsidR="001A3F0B" w:rsidRPr="005655F7">
        <w:t>.</w:t>
      </w:r>
      <w:r w:rsidR="001A3F0B" w:rsidRPr="005655F7">
        <w:tab/>
        <w:t>glæder sig over, at den uprovokerede angrebskrig mod Ukraine har tilskyndet EU til at omprioritere sin udvidelsespolitik; bekræfter på ny, at tempoet i udvidelsesprocessen afhænger af både de enkelte landes evne til at opfylde tiltrædelseskriterierne og engagementet fra de politiske ledere i landene på Vestbalkan og EU-medlemsstaterne; er bekymret over den stigende etnonationalisme på Vestbalkan; opfordrer EU-Udenrigstjenesten til nøje at overvåge situationen for at forhindre spændinger; understreger betydningen af de demokratistøtteaktiviteter, der fremmes af Europa-Parlamentet, såsom Jean Monnet-dialogen og den parlamentariske dialogproces;</w:t>
      </w:r>
    </w:p>
    <w:p w14:paraId="6DB0A7FA" w14:textId="22C9772E" w:rsidR="001A3F0B" w:rsidRPr="005655F7" w:rsidRDefault="001521E5" w:rsidP="001A3F0B">
      <w:pPr>
        <w:pStyle w:val="NormalHanging12a"/>
      </w:pPr>
      <w:r>
        <w:lastRenderedPageBreak/>
        <w:t>67</w:t>
      </w:r>
      <w:r w:rsidR="001A3F0B" w:rsidRPr="005655F7">
        <w:t>.</w:t>
      </w:r>
      <w:r w:rsidR="001A3F0B" w:rsidRPr="005655F7">
        <w:tab/>
        <w:t>glæder sig over den seneste tids signaler vedrørende den fremskyndede tidsplan for kandidatlandene; opfordrer til, at det sikres, at de igangværende og fremtidige tiltrædelsesforhandlinger ikke bliver forsinket på grund af særlige nationale interesser eller et behov for at reformere traktaterne; gentager behovet for at fortsætte arbejdet med tiltrædelse af nye medlemsstater sideløbende med uddybningen af EU; understreger betydningen af finansielle instrumenter såsom instrumentet til førtiltrædelsesbistand III med henblik på at styrke partnerskabet mellem EU og kandidatlandene; opfordrer til udvikling af en sammenhængende strategi for gradvis integration af alle kandidatlande, herunder i sektorpolitikker og som observatører i EU's forskellige institutioner; er stadig dybt bekymret over beretninger om, at kommissæren med ansvar for naboskabspolitik og udvidelse bevidst forsøger at omgå og undergrave det centrale fokus på demokratiske reformer og retsstatsreformer i EU-tiltrædelseslande; opfordrer indtrængende Kommissionen til at indlede en uafhængig og uvildig undersøgelse af, om den adfærd, som kommissæren med ansvar for naboskabspolitik og udvidelse udviser, og de politikker, han fremmer, udgør en overtrædelse af adfærdskodeksen for medlemmer af Kommissionen og af kommissærens forpligtelser i henhold til traktaterne;</w:t>
      </w:r>
    </w:p>
    <w:p w14:paraId="2D290DDE" w14:textId="25EDE865" w:rsidR="001A3F0B" w:rsidRPr="005655F7" w:rsidRDefault="001521E5" w:rsidP="001A3F0B">
      <w:pPr>
        <w:pStyle w:val="NormalHanging12a"/>
      </w:pPr>
      <w:r>
        <w:t>68</w:t>
      </w:r>
      <w:r w:rsidR="001A3F0B" w:rsidRPr="005655F7">
        <w:t>.</w:t>
      </w:r>
      <w:r w:rsidR="001A3F0B" w:rsidRPr="005655F7">
        <w:tab/>
        <w:t>bemærker Vestbalkans strategiske betydning i dagens geopolitiske kontekst samt for sikkerheden og stabiliteten i EU som helhed; gentager behovet for større europæisk tilstedeværelse og synlighed i regionen for at aflede udenlandske ondartede påvirkninger og deres hybride aktiviteter;</w:t>
      </w:r>
    </w:p>
    <w:p w14:paraId="1B05D4CB" w14:textId="32F92583" w:rsidR="001A3F0B" w:rsidRPr="005655F7" w:rsidRDefault="001521E5" w:rsidP="001A3F0B">
      <w:pPr>
        <w:pStyle w:val="NormalHanging12a"/>
      </w:pPr>
      <w:r>
        <w:t>69</w:t>
      </w:r>
      <w:r w:rsidR="001A3F0B" w:rsidRPr="005655F7">
        <w:t>.</w:t>
      </w:r>
      <w:r w:rsidR="001A3F0B" w:rsidRPr="005655F7">
        <w:tab/>
        <w:t>fordømmer det terrorangreb, der blev udført den 24. september 2023 mod kosovoalbanske politifolk i Banjska i det nordlige Kosovo, og andre provokationer; understreger igen sin holdning som vedtaget i sin beslutning af 19. oktober 2023</w:t>
      </w:r>
      <w:r w:rsidR="001A3F0B" w:rsidRPr="005655F7">
        <w:rPr>
          <w:rStyle w:val="FootnoteReference"/>
        </w:rPr>
        <w:footnoteReference w:id="20"/>
      </w:r>
      <w:r w:rsidR="001A3F0B" w:rsidRPr="005655F7">
        <w:t>; opfordrer i denne forbindelse indtrængende alle parter om at arbejde på at deeskalere situationen og undgå retorik og handlinger, der kan føre til yderligere spændinger; følger den igangværende efterforskning tæt og gentager, at de gerningsmænd, der er ansvarlige for dette, skal drages til ansvar og stilles for retten; opfordrer Kommissionen og Rådet til at træffe foranstaltninger mod den serbiske regering, hvis efterforskningen viser, at den serbiske stat var direkte involveret i ovennævnte angreb eller de voldelige angreb, der fandt sted i det nordlige Kosovo i maj 2023, eller hvis de serbiske myndigheder ikke er villige til at samarbejde fuldt ud;</w:t>
      </w:r>
    </w:p>
    <w:p w14:paraId="49C12CBD" w14:textId="1B20DC9F" w:rsidR="001A3F0B" w:rsidRDefault="001521E5" w:rsidP="001A3F0B">
      <w:pPr>
        <w:pStyle w:val="NormalHanging12a"/>
      </w:pPr>
      <w:r>
        <w:t>70</w:t>
      </w:r>
      <w:r w:rsidR="001A3F0B" w:rsidRPr="005655F7">
        <w:t>.</w:t>
      </w:r>
      <w:r w:rsidR="001A3F0B" w:rsidRPr="005655F7">
        <w:tab/>
        <w:t>støtter normaliseringen af forbindelserne mellem Kosovo og Serbien og udviklingen af den EU-støttede dialog mellem Beograd og Pristina; opfordrer Kosovo og Serbien til at indgå i dialogen i god tro og i kompromisets ånd med henblik på at opnå en omfattende, juridisk bindende aftale om normalisering af deres forbindelser, som er baseret på gensidig anerkendelse, i overensstemmelse med folkeretten og uden yderligere forsinkelse; minder om, at en manglende fremgang i normaliseringen af forbindelserne vil have en negativ indvirkning på begge landes EU-integration; beklager de restriktive foranstaltninger, som Rådet har truffet over for Kosovo, og opfordrer til, at de omgående ophæves; opfordrer EU til at anlægge en afbalanceret tilgang til mægling mellem parterne med henblik på at overvinde det nuværende dødvande; minder om, at hvis dialogen mislykkes, vil det også få konsekvenser for EU's rolle som en troværdig udenrigspolitisk aktør;</w:t>
      </w:r>
    </w:p>
    <w:p w14:paraId="77DAA609" w14:textId="36261306" w:rsidR="00A35F5D" w:rsidRPr="005655F7" w:rsidRDefault="001521E5" w:rsidP="001A3F0B">
      <w:pPr>
        <w:pStyle w:val="NormalHanging12a"/>
      </w:pPr>
      <w:r>
        <w:lastRenderedPageBreak/>
        <w:t>71</w:t>
      </w:r>
      <w:r w:rsidR="00A35F5D" w:rsidRPr="00A35F5D">
        <w:t>.</w:t>
      </w:r>
      <w:r w:rsidR="00A35F5D" w:rsidRPr="00A35F5D">
        <w:tab/>
        <w:t>beklager de talrige uregelmæssigheder, som observatører rapporterede om under det tidlige parlamentsvalg i Serbien den 17. december 2023, herunder, men ikke begrænset til, misbrug af offentlige ressourcer, pres på ansatte i den offentlige sektor, intimidering og pres på vælgerne, køb af stemmer og overtagelse af medier; opfordrer til en hurtig uafhængig undersøgelse af disse uregelmæssigheder; opfordrer på denne baggrund de serbiske myndigheder til at følge op på henstillingerne fra den internationale valgobservationsmission; er bekymret over den dybe polarisering i det serbiske samfund og de seneste voldelige episoder, herunder den serbiske efterretningstjenestes rapporterede prygling af en oppositionspolitiker;</w:t>
      </w:r>
    </w:p>
    <w:p w14:paraId="12DE22F5" w14:textId="34E8DE43" w:rsidR="001A3F0B" w:rsidRPr="005655F7" w:rsidRDefault="001521E5" w:rsidP="001A3F0B">
      <w:pPr>
        <w:pStyle w:val="NormalHanging12a"/>
      </w:pPr>
      <w:r>
        <w:t>72</w:t>
      </w:r>
      <w:r w:rsidR="001A3F0B" w:rsidRPr="005655F7">
        <w:t>.</w:t>
      </w:r>
      <w:r w:rsidR="001A3F0B" w:rsidRPr="005655F7">
        <w:tab/>
        <w:t xml:space="preserve">glæder sig over </w:t>
      </w:r>
      <w:r w:rsidR="006965F3" w:rsidRPr="006965F3">
        <w:t xml:space="preserve">Det Europæiske Råds afgørelse </w:t>
      </w:r>
      <w:r w:rsidR="001A3F0B" w:rsidRPr="005655F7">
        <w:t xml:space="preserve">om at indlede tiltrædelsesforhandlinger med Ukraine og Republikken Moldova; opfordrer Rådet til at vedtage </w:t>
      </w:r>
      <w:r w:rsidR="006965F3" w:rsidRPr="006965F3">
        <w:t>de respektive forhandlingsrammer</w:t>
      </w:r>
      <w:r w:rsidR="001A3F0B" w:rsidRPr="005655F7">
        <w:t xml:space="preserve">, når </w:t>
      </w:r>
      <w:r w:rsidR="006965F3" w:rsidRPr="006965F3">
        <w:t xml:space="preserve">de relevante skridt, der er fastsat i Kommissionens respektive henstillinger </w:t>
      </w:r>
      <w:r w:rsidR="001A3F0B" w:rsidRPr="005655F7">
        <w:t xml:space="preserve">af </w:t>
      </w:r>
      <w:r w:rsidR="006965F3" w:rsidRPr="006965F3">
        <w:t>8. november 2023, er taget</w:t>
      </w:r>
      <w:r w:rsidR="001A3F0B" w:rsidRPr="005655F7">
        <w:t>; ser positivt på anbefalingen om også at indlede tiltrædelsesforhandlinger med Bosnien-Hercegovina, når medlemskabskriterierne er opfyldt i tilstrækkelig grad; hilser Kosovos ansøgning om EU-medlemskab velkommen og beder Kommissionen om at besvare den; minder om, at Kosovos ansøgning om at blive betragtet som et kandidatland vil blive vurderet på grundlag af landets egne resultater og dets succes med at opfylde Københavnskriterierne for EU-medlemskab; glæder sig dog over visumfritagelsen for Kosovos borgere;</w:t>
      </w:r>
    </w:p>
    <w:p w14:paraId="6EEFD1BD" w14:textId="48BD291E" w:rsidR="001A3F0B" w:rsidRPr="005655F7" w:rsidRDefault="001521E5" w:rsidP="001A3F0B">
      <w:pPr>
        <w:pStyle w:val="NormalHanging12a"/>
      </w:pPr>
      <w:r>
        <w:t>73</w:t>
      </w:r>
      <w:r w:rsidR="001A3F0B" w:rsidRPr="005655F7">
        <w:t>.</w:t>
      </w:r>
      <w:r w:rsidR="001A3F0B" w:rsidRPr="005655F7">
        <w:tab/>
        <w:t xml:space="preserve">ser positivt på </w:t>
      </w:r>
      <w:r w:rsidR="00E271EA" w:rsidRPr="00E271EA">
        <w:t xml:space="preserve">Det Europæiske Råds afgørelse </w:t>
      </w:r>
      <w:r w:rsidR="001A3F0B" w:rsidRPr="005655F7">
        <w:t xml:space="preserve">om at give Georgien status som kandidatland under forudsætning af, at der tages </w:t>
      </w:r>
      <w:r w:rsidR="00E271EA" w:rsidRPr="00E271EA">
        <w:t xml:space="preserve">de relevante </w:t>
      </w:r>
      <w:r w:rsidR="001A3F0B" w:rsidRPr="005655F7">
        <w:t>skridt</w:t>
      </w:r>
      <w:r w:rsidR="00E271EA" w:rsidRPr="00E271EA">
        <w:t>, der er fastsat i Kommissionens henstilling af 8. november 2023, herunder henstillingerne om</w:t>
      </w:r>
      <w:r w:rsidR="001A3F0B" w:rsidRPr="005655F7">
        <w:t xml:space="preserve"> at bekæmpe desinformation, tilslutte sig FUSP, forbedre gennemførelsen af parlamentarisk tilsyn, tackle politisk polarisering, fremme afvikling af oligarki og bekæmpe korruption; </w:t>
      </w:r>
      <w:r w:rsidR="00610211" w:rsidRPr="00610211">
        <w:t xml:space="preserve">gentager sine opfordringer til at løslade den tidligere præsident Mikheil Saakashvili af humanitære årsager og opfordrer præsident Salome Zourabichvili til at bruge sin forfatningsmæssige ret til at benåde ham, hvilket ville bidrage til at reducere den politiske polarisering i landet; </w:t>
      </w:r>
      <w:r w:rsidR="001A3F0B" w:rsidRPr="005655F7">
        <w:t>fremhæver det georgiske folks legitime europæiske ambitioner og understreger derfor vigtigheden af EU-støtte til landet med et fokus på civilsamfundsaktører, der arbejder for integration af Georgien i EU; peger på den potentielt stabiliserende rolle, som Georgien kan spille i Sydkaukasus;</w:t>
      </w:r>
    </w:p>
    <w:p w14:paraId="014E3D78" w14:textId="1BDF3F63" w:rsidR="001A3F0B" w:rsidRPr="005655F7" w:rsidRDefault="001521E5" w:rsidP="001A3F0B">
      <w:pPr>
        <w:pStyle w:val="NormalHanging12a"/>
      </w:pPr>
      <w:r>
        <w:t>74</w:t>
      </w:r>
      <w:r w:rsidR="001A3F0B" w:rsidRPr="005655F7">
        <w:t>.</w:t>
      </w:r>
      <w:r w:rsidR="001A3F0B" w:rsidRPr="005655F7">
        <w:tab/>
        <w:t>opfordrer EU-institutionerne og medlemsstaterne til at tage afgørende skridt for at sikre, at Rusland opfylder sine forpligtelser i henhold til den EU-formidlede våbenhvileaftale af 12. august 2008, navnlig at trække alle sine militær- og sikkerhedsstyrker tilbage fra de besatte områder i Georgien for at tillade udsendelse af internationale sikkerhedsmekanismer på stedet og give EU's observatørmission uhindret adgang til de russisk besatte georgiske regioner i Abkhasien og Tskhinvali-regionen/Sydossetien; opfordrer EU-institutionerne og medlemsstaterne til yderligere at styrke EU's observatørmissions kapacitet og yderligere udvide dets mandat; opfordrer endvidere EU-institutionerne og medlemsstaterne til at bruge udtrykket "besættelse" med hensyn til de georgiske regioner i Abkhasien og Tskhinvali-regionen/Sydossetien, der er ulovligt besat af og under effektiv kontrol af Rusland, således som det fremgår af de respektive domme fra Den Europæiske Menneskerettighedsdomstol og undersøgelsen fra Den Internationale Straffedomstol;</w:t>
      </w:r>
    </w:p>
    <w:p w14:paraId="3198D72C" w14:textId="5E8F8A7C" w:rsidR="001A3F0B" w:rsidRPr="005655F7" w:rsidRDefault="001521E5" w:rsidP="001A3F0B">
      <w:pPr>
        <w:pStyle w:val="NormalHanging12a"/>
      </w:pPr>
      <w:r>
        <w:t>75</w:t>
      </w:r>
      <w:r w:rsidR="001A3F0B" w:rsidRPr="005655F7">
        <w:t>.</w:t>
      </w:r>
      <w:r w:rsidR="001A3F0B" w:rsidRPr="005655F7">
        <w:tab/>
        <w:t xml:space="preserve">mener, at Ukraines og Republikken Moldovas tiltrædelse af EU vil være en geostrategisk investering i et forenet og stærkt Europa; glæder sig over støttepakken og iværksættelsen af den civile EU-partnerskabsmission i Republikken Moldova; roser de fremskridt, der allerede er gjort med reformerne, og opfordrer indtrængende </w:t>
      </w:r>
      <w:r w:rsidR="001A3F0B" w:rsidRPr="005655F7">
        <w:lastRenderedPageBreak/>
        <w:t>Kommissionen til at fremlægge en ambitiøs køreplan for tiltrædelsesforhandlingerne, så de kan begynde hurtigst muligt, samt for Ukraines og Moldovas gradvise integration i EU's politikker og programmer; understreger udvidelsesprocessens kompleksitet og resultatbaserede karakter, som kræver, at der træffes foranstaltninger støt og rettidigt; insisterer endvidere på, at der skal gøres en løbende indsats for at tilpasse de eksisterende tiltrædelsesværktøjer og opbygge retsgrundlaget for instrumentet til førtiltrædelsesbistand III;</w:t>
      </w:r>
      <w:r w:rsidR="00416AFA">
        <w:t xml:space="preserve"> </w:t>
      </w:r>
      <w:r w:rsidR="00416AFA" w:rsidRPr="00416AFA">
        <w:t>ser frem til Det Europæiske Råds drøftelse af interne reformer vedrørende udvidelse på dets kommende møder med henblik på senest i sommeren 2024 at vedtage konklusioner om en køreplan for det fremtidige arbejde;</w:t>
      </w:r>
    </w:p>
    <w:p w14:paraId="4F837DC3" w14:textId="43C0A8DD" w:rsidR="001A3F0B" w:rsidRPr="005655F7" w:rsidRDefault="001521E5" w:rsidP="001A3F0B">
      <w:pPr>
        <w:pStyle w:val="NormalHanging12a"/>
      </w:pPr>
      <w:r>
        <w:t>76</w:t>
      </w:r>
      <w:r w:rsidR="001A3F0B" w:rsidRPr="005655F7">
        <w:t>.</w:t>
      </w:r>
      <w:r w:rsidR="001A3F0B" w:rsidRPr="005655F7">
        <w:tab/>
        <w:t>gentager, at det er nødvendigt at genoverveje den multilaterale politik for Det Østlige Partnerskab for at genoprette det regionale engagement og den regionale demokratiske reformdagsorden, herunder gennem Den Parlamentariske Forsamling Euronest;</w:t>
      </w:r>
    </w:p>
    <w:p w14:paraId="027C91D3" w14:textId="135F431F" w:rsidR="001A3F0B" w:rsidRPr="005655F7" w:rsidRDefault="001521E5" w:rsidP="001A3F0B">
      <w:pPr>
        <w:pStyle w:val="NormalHanging12a"/>
      </w:pPr>
      <w:r>
        <w:t>77</w:t>
      </w:r>
      <w:r w:rsidR="001A3F0B" w:rsidRPr="005655F7">
        <w:t>.</w:t>
      </w:r>
      <w:r w:rsidR="001A3F0B" w:rsidRPr="005655F7">
        <w:tab/>
      </w:r>
      <w:r w:rsidR="00416AFA" w:rsidRPr="00416AFA">
        <w:t xml:space="preserve">beklager, at Aserbajdsjan valgte en militær løsning frem for diplomati med hensyn til Nagorno-Karabakh, samtidig med at landet anerkender, at Nagorno-Karabakh er internationalt anerkendt som aserbajdsjansk område; </w:t>
      </w:r>
      <w:r w:rsidR="001A3F0B" w:rsidRPr="005655F7">
        <w:t>fordømmer i de skarpeste vendinger Aserbajdsjans på forhånd planlagte og uberettigede angreb på armenierne i Nagorno-Karabakh og de mennesker, der er blevet i regionen; opfordrer de aserbajdsjanske myndigheder til at gøre det muligt for de armenske indbyggere at vende sikkert tilbage til Nagorno-Karabakh og til at stille solide garantier vedrørende beskyttelsen af deres rettigheder; kræver beskyttelse af den armenske kulturelle, historiske og religiøse arv i Nagorno-Karabakh i overensstemmelse med UNESCO's standarder og Aserbajdsjans internationale forpligtelser; udtrykker beklagelse over, at Bakus offensiv udgjorde en grov krænkelse af folkeretten og menneskerettighederne og en klar overtrædelse af den trilaterale våbenhvileerklæring af 9. november 2020 og af de tilsagn, som Aserbajdsjan gav under de forhandlinger, hvor EU optrådte som mægler; mener, at en oprigtig dialog mellem Aserbajdsjan og Armenien er den eneste bæredygtige vej frem, og opfordrer EU og medlemsstaterne til at støtte sådanne bestræbelser; støtter de igangværende fredsforhandlinger mellem Armenien og Aserbajdsjan, som er blevet alvorligt hæmmet af den nylige militæroperation mod Nagorno-Karabakh</w:t>
      </w:r>
      <w:r w:rsidR="0072304F">
        <w:t>,</w:t>
      </w:r>
      <w:r w:rsidR="001A3F0B" w:rsidRPr="005655F7">
        <w:t xml:space="preserve"> </w:t>
      </w:r>
      <w:r w:rsidR="00416AFA" w:rsidRPr="00416AFA">
        <w:t>som har ført til udvandringen af den armenske befolkning</w:t>
      </w:r>
      <w:r w:rsidR="001A3F0B" w:rsidRPr="005655F7">
        <w:t>; fremhæver, at en værdig og varig regional fred, der opretholder suverænitet, uafhængighed og territorial integritet for begge lande, er en forudsætning for stabilitet i området;</w:t>
      </w:r>
      <w:r w:rsidR="00416AFA">
        <w:t xml:space="preserve"> </w:t>
      </w:r>
      <w:r w:rsidR="00416AFA" w:rsidRPr="00416AFA">
        <w:t>er bekymret over visse lederes og regionale magters forsøg på at udnytte den nuværende situation på en måde, der kan udgøre en trussel for de skrøbelige udsigter til fred; advarer om, at enhver bestræbelse på at nå mål ved at anvende magt og krænke nabolandenes territoriale integritet bør imødegås med en beslutsom reaktion fra EU's og det internationale samfunds side;</w:t>
      </w:r>
    </w:p>
    <w:p w14:paraId="7FF2FDB3" w14:textId="489EA8EB" w:rsidR="001A3F0B" w:rsidRPr="005655F7" w:rsidRDefault="001521E5" w:rsidP="001A3F0B">
      <w:pPr>
        <w:pStyle w:val="NormalHanging12a"/>
      </w:pPr>
      <w:r>
        <w:t>78</w:t>
      </w:r>
      <w:r w:rsidR="001A3F0B" w:rsidRPr="005655F7">
        <w:t>.</w:t>
      </w:r>
      <w:r w:rsidR="001A3F0B" w:rsidRPr="005655F7">
        <w:tab/>
        <w:t>opfordrer EU's civile mission i Armenien (EUMA) til nøje at overvåge udviklingen i sikkerhedssituationen på stedet, sørge for gennemsigtig rapportering til Europa-Parlamentet og bidrage aktivt til konfliktløsningsbestræbelserne; opfordrer EU og medlemsstaterne til at styrke EUMA's mandat, øge dens størrelse, forlænge dens varighed og også placere observatører langs grænsen til Tyrkiet; opfordrer Aserbajdsjan til at tillade EUMA's tilstedeværelse på sin side af grænsen og i Nagorno-Karabakh;</w:t>
      </w:r>
    </w:p>
    <w:p w14:paraId="27FBC91F" w14:textId="4338CFD7" w:rsidR="001A3F0B" w:rsidRPr="005655F7" w:rsidRDefault="001521E5" w:rsidP="001A3F0B">
      <w:pPr>
        <w:pStyle w:val="NormalHanging12a"/>
      </w:pPr>
      <w:r>
        <w:t>79</w:t>
      </w:r>
      <w:r w:rsidR="001A3F0B" w:rsidRPr="005655F7">
        <w:t>.</w:t>
      </w:r>
      <w:r w:rsidR="001A3F0B" w:rsidRPr="005655F7">
        <w:tab/>
        <w:t xml:space="preserve">opfordrer HR/NF og EU-Udenrigstjenesten til yderligere at støtte Armenien gennem den europæiske fredsfacilitet, særligt med henblik på at styrke landets kapacitet til at forsvare sig mod hybride trusler for at udvide dets sikkerhedsområde ud over Den Kollektive Sikkerhedspagt; glæder sig over etableringen af den politiske og sikkerhedsmæssige dialog mellem EU og Armenien og dens </w:t>
      </w:r>
      <w:r w:rsidR="00D31608" w:rsidRPr="00D31608">
        <w:t xml:space="preserve">andet </w:t>
      </w:r>
      <w:r w:rsidR="001A3F0B" w:rsidRPr="005655F7">
        <w:t xml:space="preserve">møde den </w:t>
      </w:r>
      <w:r w:rsidR="00D31608" w:rsidRPr="00D31608">
        <w:t xml:space="preserve">15. </w:t>
      </w:r>
      <w:r w:rsidR="00D31608" w:rsidRPr="00D31608">
        <w:lastRenderedPageBreak/>
        <w:t xml:space="preserve">november </w:t>
      </w:r>
      <w:r w:rsidR="001A3F0B" w:rsidRPr="005655F7">
        <w:t>2023;</w:t>
      </w:r>
    </w:p>
    <w:p w14:paraId="015F75DE" w14:textId="758A446B" w:rsidR="001A3F0B" w:rsidRPr="005655F7" w:rsidRDefault="001521E5" w:rsidP="001A3F0B">
      <w:pPr>
        <w:pStyle w:val="NormalHanging12a"/>
      </w:pPr>
      <w:r>
        <w:t>80</w:t>
      </w:r>
      <w:r w:rsidR="001A3F0B" w:rsidRPr="005655F7">
        <w:t>.</w:t>
      </w:r>
      <w:r w:rsidR="001A3F0B" w:rsidRPr="005655F7">
        <w:tab/>
        <w:t xml:space="preserve">fremhæver, at de mange advarsler fra Europa-Parlamentet om situationen ikke har ført til nogen ændring af EU's politik vedrørende Aserbajdsjan; fastholder, at enhver uddybning af EU's forbindelser med Aserbajdsjan fortsat skal være betinget af, at landet gør væsentlige fremskridt med hensyn til respekten for menneskerettighederne, retsstatsprincippet, demokratiet og de grundlæggende frihedsrettigheder, herunder beskyttelsen af etniske minoriteter; </w:t>
      </w:r>
      <w:r w:rsidR="00D31608" w:rsidRPr="00D31608">
        <w:t xml:space="preserve">udtrykker i denne forbindelse sin alvorlige bekymring over den nylige forværring af undertrykkelsen af uafhængige journalister og menneskerettighedsforkæmpere i Aserbajdsjan; </w:t>
      </w:r>
      <w:r w:rsidR="001A3F0B" w:rsidRPr="005655F7">
        <w:t>opfordrer endvidere EU til straks at indføre sanktioner over for Aserbajdsjan og til at suspendere aftalememorandummet om et strategisk partnerskab på energiområdet;</w:t>
      </w:r>
      <w:r w:rsidR="00D31608">
        <w:t xml:space="preserve"> </w:t>
      </w:r>
      <w:r w:rsidR="00D31608" w:rsidRPr="00D31608">
        <w:t>sætter endvidere spørgsmålstegn ved, om Aserbajdsjan er egnet som vært for COP29 i 2024, samtidig med at landet planlægger at øge sin produktion af fossile brændstoffer med en tredjedel i løbet af det næste årti;</w:t>
      </w:r>
    </w:p>
    <w:p w14:paraId="463983B0" w14:textId="5AEC73B8" w:rsidR="001A3F0B" w:rsidRPr="005655F7" w:rsidRDefault="001521E5" w:rsidP="001A3F0B">
      <w:pPr>
        <w:pStyle w:val="NormalHanging12a"/>
      </w:pPr>
      <w:r>
        <w:t>81</w:t>
      </w:r>
      <w:r w:rsidR="001A3F0B" w:rsidRPr="005655F7">
        <w:t>.</w:t>
      </w:r>
      <w:r w:rsidR="001A3F0B" w:rsidRPr="005655F7">
        <w:tab/>
        <w:t xml:space="preserve">gentager sin støtte til Armeniens demokratisk valgte regering og sin fulde respekt for landets suverænitet, demokrati og territoriale integritet; roser premierminister Nikol Pashinyans erklæring om, at Armenien ikke vil lade sig trække ind i en ny krig mod Aserbajdsjan, og hans nylige opfordringer til genoptagelse af fredsforhandlingerne med Aserbajdsjan på højeste niveau; fordømmer Ruslands indblanding i Armenien, som har til formål at sprede uro; opfordrer til, at EU styrker sit engagement i Sydkaukasus; glæder sig over Armeniens </w:t>
      </w:r>
      <w:r w:rsidR="00D31608" w:rsidRPr="00D31608">
        <w:t xml:space="preserve">ratifikation af </w:t>
      </w:r>
      <w:r w:rsidR="001A3F0B" w:rsidRPr="005655F7">
        <w:t>Romstatutten for Den Internationale Straffedomstol;</w:t>
      </w:r>
    </w:p>
    <w:p w14:paraId="277DE011" w14:textId="3C2052C7" w:rsidR="001A3F0B" w:rsidRPr="005655F7" w:rsidRDefault="001521E5" w:rsidP="001A3F0B">
      <w:pPr>
        <w:pStyle w:val="NormalHanging12a"/>
      </w:pPr>
      <w:r>
        <w:t>82</w:t>
      </w:r>
      <w:r w:rsidR="001A3F0B" w:rsidRPr="005655F7">
        <w:t>.</w:t>
      </w:r>
      <w:r w:rsidR="001A3F0B" w:rsidRPr="005655F7">
        <w:tab/>
        <w:t>er fortsat bekymret over, at Tyrkiets regering ikke har vendt den negative tendens til forringelse af demokratiet, retsstatsprincippet, de grundlæggende rettigheder og domstolenes uafhængighed, at Tyrkiets udenrigspolitik fortsat er i strid med EU's prioriteter under FUSP, og at Tyrkiet ikke har tilsluttet sig EU-sanktionerne mod Rusland;</w:t>
      </w:r>
      <w:r w:rsidR="00D31608">
        <w:t xml:space="preserve"> </w:t>
      </w:r>
      <w:r w:rsidR="00D31608" w:rsidRPr="00D31608">
        <w:t>er stærkt uenigt i og udtrykker sin skuffelse over de udtalelser fra Tyrkiets præsident, hvori han hævder, at Hamas ikke er en terrororganisation;</w:t>
      </w:r>
    </w:p>
    <w:p w14:paraId="2309A50C" w14:textId="3F147C94" w:rsidR="001A3F0B" w:rsidRPr="005655F7" w:rsidRDefault="001521E5" w:rsidP="001A3F0B">
      <w:pPr>
        <w:pStyle w:val="NormalHanging12a"/>
      </w:pPr>
      <w:r>
        <w:t>83</w:t>
      </w:r>
      <w:r w:rsidR="001A3F0B" w:rsidRPr="005655F7">
        <w:t>.</w:t>
      </w:r>
      <w:r w:rsidR="001A3F0B" w:rsidRPr="005655F7">
        <w:tab/>
        <w:t>understreger, at uden en drastisk kursændring fra den tyrkiske regerings side kan Tyrkiets EU-tiltrædelsesproces ikke genoptages; opfordrer EU og den tyrkiske regering til at bevæge sig i retning af et tættere, mere dynamisk og strategisk partnerskab med tanke på den centrale rolle, som Tyrkiet spiller i regionen, og landets betydning som NATO-allieret; anbefaler, at der indledes en refleksionsproces for at finde frem til en parallel og realistisk ramme for forbindelserne mellem EU og Tyrkiet, der omfatter alle de involverede parters interesser, og som kan knytte Tyrkiet til EU i stedet for at skubbe landet mod Rusland eller Iran;</w:t>
      </w:r>
    </w:p>
    <w:p w14:paraId="440D9207" w14:textId="0984C470" w:rsidR="001A3F0B" w:rsidRPr="005655F7" w:rsidRDefault="001521E5" w:rsidP="001A3F0B">
      <w:pPr>
        <w:pStyle w:val="NormalHanging12a"/>
      </w:pPr>
      <w:r>
        <w:t>84</w:t>
      </w:r>
      <w:r w:rsidR="001A3F0B" w:rsidRPr="005655F7">
        <w:t>.</w:t>
      </w:r>
      <w:r w:rsidR="001A3F0B" w:rsidRPr="005655F7">
        <w:tab/>
        <w:t xml:space="preserve">glæder sig over den delvise nedtrapning af spændingerne i det østlige Middelhavsområde og Det Ægæiske Hav og opfordrer Tyrkiet til at arbejde på en konstruktiv, ikke assertiv eller aggressiv, tilgang sammen med sine partnere i disse regioner; </w:t>
      </w:r>
      <w:r w:rsidR="00003E27" w:rsidRPr="00003E27">
        <w:t xml:space="preserve">glæder sig i den forbindelse over Tyrkiets </w:t>
      </w:r>
      <w:r w:rsidR="00003E27">
        <w:t xml:space="preserve">og Ungarns </w:t>
      </w:r>
      <w:r w:rsidR="00003E27" w:rsidRPr="00003E27">
        <w:t xml:space="preserve">stærkt forsinkede afgørelse om endelig at godkende Sveriges tiltrædelse af NATO </w:t>
      </w:r>
      <w:r w:rsidR="001A3F0B" w:rsidRPr="005655F7">
        <w:t>og opfordrer indtrængende de nationale tyrkiske myndigheder til at arbejde tæt sammen med EU's sanktionsudsending;</w:t>
      </w:r>
    </w:p>
    <w:p w14:paraId="57A7FA1F" w14:textId="4570BED9" w:rsidR="001A3F0B" w:rsidRPr="005655F7" w:rsidRDefault="001521E5" w:rsidP="001A3F0B">
      <w:pPr>
        <w:pStyle w:val="NormalHanging12a"/>
      </w:pPr>
      <w:r>
        <w:t>85</w:t>
      </w:r>
      <w:r w:rsidR="001A3F0B" w:rsidRPr="005655F7">
        <w:t>.</w:t>
      </w:r>
      <w:r w:rsidR="001A3F0B" w:rsidRPr="005655F7">
        <w:tab/>
        <w:t xml:space="preserve">fordømmer den tyrkisk-cypriotiske sides påbegyndelse af ulovligt byggearbejde i stødpudezonen nær landsbyen Pyla/Pile i Cypern, hvor der bor både tyrkisk- og græsk-cyprioter, samt angrebene på FN's fredsbevarende styrker og skaderne på FN's køretøjer den 18. august 2023; opfordrer til, at stødpudezonens status og mandatet for FN's </w:t>
      </w:r>
      <w:r w:rsidR="001A3F0B" w:rsidRPr="005655F7">
        <w:lastRenderedPageBreak/>
        <w:t xml:space="preserve">fredsbevarende styrke i Cypern respekteres; minder om, at trusler mod FN's fredsbevarende styrkers sikkerhed og skader på FN's ejendom udgør forbrydelser i henhold til folkeretten; opfordrer indtrængende Tyrkiet og de tyrkisk-cypriotiske ledere til at ophøre med og omgøre alle sådanne unilaterale aktiviteter og undgå yderligere handlinger og provokationer, der ikke er befordrende for genoptagelsen af de FN-ledede forhandlinger; glæder sig over den forståelse, parterne er nået frem til for at finde en vej frem vedrørende Pyla/Pile-vejen i Cypern og for at stabilisere situationen, og opfordrer til deltagelse i fredelige forhandlinger og en reel dialogproces; </w:t>
      </w:r>
    </w:p>
    <w:p w14:paraId="62336076" w14:textId="3C9CF26C" w:rsidR="001A3F0B" w:rsidRPr="005655F7" w:rsidRDefault="001521E5" w:rsidP="001A3F0B">
      <w:pPr>
        <w:pStyle w:val="NormalHanging12a"/>
      </w:pPr>
      <w:r>
        <w:t>86</w:t>
      </w:r>
      <w:r w:rsidR="001A3F0B" w:rsidRPr="005655F7">
        <w:t>.</w:t>
      </w:r>
      <w:r w:rsidR="001A3F0B" w:rsidRPr="005655F7">
        <w:tab/>
        <w:t xml:space="preserve">beklager, at det mere end 25 år efter lanceringen af Barcelonaprocessen ikke er lykkedes at skabe et område med fælles velstand, stabilitet og frihed med middelhavslandene i det sydlige naboskab; tilskynder HR/NF og Kommissionen til at styrke EU's naboskabs sydlige dimension, herunder gennem øget dialog og styrket konditionalitet knyttet til udbetalingen af midler, og til at sikre tilstrækkelige ressourcer til en rettidig og effektiv gennemførelse af den nye dagsorden for Middelhavsområdet; understreger de sydlige nabolandes vigtige rolle i styring af migrationen på grundlag af principperne om </w:t>
      </w:r>
      <w:r w:rsidR="00003326" w:rsidRPr="00003326">
        <w:t xml:space="preserve">migranters og flygtninges menneskerettigheder som nedfældet i folkeretten samt regional og national lovgivning, om </w:t>
      </w:r>
      <w:r w:rsidR="001A3F0B" w:rsidRPr="005655F7">
        <w:t xml:space="preserve">solidaritet, balance og delt ansvar mellem landene; understreger vigtigheden af </w:t>
      </w:r>
      <w:r w:rsidR="00003326" w:rsidRPr="00003326">
        <w:t xml:space="preserve">samarbejde </w:t>
      </w:r>
      <w:r w:rsidR="001A3F0B" w:rsidRPr="005655F7">
        <w:t xml:space="preserve">med disse lande for at afbøde </w:t>
      </w:r>
      <w:r w:rsidR="00003326" w:rsidRPr="00003326">
        <w:t xml:space="preserve">de grundlæggende årsager til migration, </w:t>
      </w:r>
      <w:r w:rsidR="001A3F0B" w:rsidRPr="005655F7">
        <w:t>konsekvenserne af irregulær migration, menneskehandel og smugling af ulovlige våben og kulturgenstande; påpeger, at mange af landene i det sydlige naboskab har rige energiressourcer og kan bidrage mere til diversificeringen af energiforsyningen i europæiske lande;</w:t>
      </w:r>
    </w:p>
    <w:p w14:paraId="6808699A" w14:textId="6C0CE429" w:rsidR="001A3F0B" w:rsidRPr="005655F7" w:rsidRDefault="001521E5" w:rsidP="001A3F0B">
      <w:pPr>
        <w:pStyle w:val="NormalHanging12a"/>
      </w:pPr>
      <w:r>
        <w:t>87</w:t>
      </w:r>
      <w:r w:rsidR="001A3F0B" w:rsidRPr="005655F7">
        <w:t>.</w:t>
      </w:r>
      <w:r w:rsidR="001A3F0B" w:rsidRPr="005655F7">
        <w:tab/>
        <w:t>noterer sig den politiske aftale om en omfattende partnerskabspakke med Tunesien; minder om, at dette aftalememorandum kommer med betingelser og opfordrer indtrængende Kommissionen til at sikre overholdelse af disse; beklager dog, at aftalememorandummet ikke omfatter de menneskerettighedsforpligtelser, som EU forventer i sine aftaler med tredjelande; mener endvidere, at forbindelserne mellem EU og Tunesien bør baseres på rammerne i associeringsaftalen mellem EU og Tunesien og på respekt for demokrati, menneskerettigheder og retsstatsprincippet, og at der bør være fuldt parlamentarisk tilsyn vedrørende gennemførelsen af associeringsaftalen og udbetalingen af EU-midler til Tunesien; er af den klare opfattelse, at overførslen af EU-midler bør være betinget af Tunesiens overholdelse af menneskerettighedsstandarderne og omfatte bestemmelser om konditionalitet og ansvarlighed; opfordrer Kommissionen til at fremlægge en mekanisme, der kan sikre overholdelse i denne henseende, og i forbindelse hermed undersøge alle de relevante muligheder;</w:t>
      </w:r>
    </w:p>
    <w:p w14:paraId="25C837E0" w14:textId="4599EB4F" w:rsidR="001A3F0B" w:rsidRPr="005655F7" w:rsidRDefault="001521E5" w:rsidP="001A3F0B">
      <w:pPr>
        <w:pStyle w:val="NormalHanging12a"/>
      </w:pPr>
      <w:r>
        <w:t>88</w:t>
      </w:r>
      <w:r w:rsidR="001A3F0B" w:rsidRPr="005655F7">
        <w:t>.</w:t>
      </w:r>
      <w:r w:rsidR="001A3F0B" w:rsidRPr="005655F7">
        <w:tab/>
        <w:t>er stærkt bekymret over den tunesiske ledelses skred i en autoritær retning, tilbageholdelsen af personer fra oppositionen og civilsamfundet og forfølgelsen af flygtninge og asylansøgere og opfordrer indtrængende de tunesiske myndigheder til at respektere den humanitære folkeret og migranternes rettigheder; fordømmer endvidere de tunesiske myndigheders beslutning om at nægte delegationen fra Europa-Parlamentets Udenrigsudvalg indrejse og opfordrer indtrængende de tunesiske myndigheder til at tillade en åben politisk dialog;</w:t>
      </w:r>
    </w:p>
    <w:p w14:paraId="0D145AAE" w14:textId="3CE51DA0" w:rsidR="001A3F0B" w:rsidRPr="005655F7" w:rsidRDefault="001521E5" w:rsidP="001A3F0B">
      <w:pPr>
        <w:pStyle w:val="NormalHanging12a"/>
      </w:pPr>
      <w:r>
        <w:t>89</w:t>
      </w:r>
      <w:r w:rsidR="001A3F0B" w:rsidRPr="005655F7">
        <w:t>.</w:t>
      </w:r>
      <w:r w:rsidR="001A3F0B" w:rsidRPr="005655F7">
        <w:tab/>
        <w:t xml:space="preserve">fremhæver nødvendigheden af at engagere sig mere strategisk med Golflandene, navnlig vedrørende fremme af det regionale sikkerhedssamarbejde, klimahandling, menneskerettigheder og bekæmpelse af korruption; glæder sig over genoptagelsen af diplomatiske forbindelser mellem Kongeriget Saudi-Arabien og Den Islamiske Republik Iran; glæder sig også over den foreslåede etablering af en struktureret sikkerhedsdialog mellem EU og Golfstaternes Samarbejdsråd; minder i denne </w:t>
      </w:r>
      <w:r w:rsidR="001A3F0B" w:rsidRPr="005655F7">
        <w:lastRenderedPageBreak/>
        <w:t>henseende om behovet for fuld gennemsigtighed og ansvarlighed i det strategiske partnerskab mellem EU og Golflandene; opfordrer EU og medlemsstaterne til fortsat at fremhæve respekt for menneskerettighederne og kønsligestilling samt gradvis tilnærmelse af værdier, navnlig når der reageres på den russiske angrebskrig mod Ukraine og konsekvenserne heraf;</w:t>
      </w:r>
    </w:p>
    <w:p w14:paraId="60E77191" w14:textId="3CAE5A7E" w:rsidR="001A3F0B" w:rsidRPr="005655F7" w:rsidRDefault="001521E5" w:rsidP="001A3F0B">
      <w:pPr>
        <w:pStyle w:val="NormalHanging12a"/>
      </w:pPr>
      <w:r>
        <w:t>90</w:t>
      </w:r>
      <w:r w:rsidR="001A3F0B" w:rsidRPr="005655F7">
        <w:t>.</w:t>
      </w:r>
      <w:r w:rsidR="001A3F0B" w:rsidRPr="005655F7">
        <w:tab/>
        <w:t>understreger, at FUSP sigter mod at udvikle og konsolidere demokrati, retsstatsprincippet og respekt for menneskerettighederne og de grundlæggende frihedsrettigheder, og at disse mål ikke deles af Kongeriget Saudi-Arabien; bemærker, at Kongeriget Saudi-Arabien fortsat kommunikerer med EU inden for rammerne af en regelmæssig dialog om menneskerettigheder; fordømmer dog landets vedholdende krænkelse af menneskerettigheder, især anvendelsen af dødsstraffe og henrettelser samt begrænsningerne af borgerlige og politiske rettigheder og af ytringsfrihed, og opfordrer til afskaffelse af dødsstraffen;</w:t>
      </w:r>
    </w:p>
    <w:p w14:paraId="29FCB5E6" w14:textId="07D265AC" w:rsidR="001A3F0B" w:rsidRPr="005655F7" w:rsidRDefault="001521E5" w:rsidP="001A3F0B">
      <w:pPr>
        <w:pStyle w:val="NormalHanging12a"/>
      </w:pPr>
      <w:r>
        <w:t>91</w:t>
      </w:r>
      <w:r w:rsidR="001A3F0B" w:rsidRPr="005655F7">
        <w:t>.</w:t>
      </w:r>
      <w:r w:rsidR="001A3F0B" w:rsidRPr="005655F7">
        <w:tab/>
        <w:t>fordømmer de iranske politi- og sikkerhedsstyrkers, herunder Den Islamiske Revolutionsgardes, brutale magtanvendelse ved demonstrationer efter drabet på Jina Mahsa Amini og torturen af og drabene på mange andre, der modsatte sig regimet; opfordrer til yderligere restriktive foranstaltninger over for Den Islamiske Revolutionsgarde, dens hjælpestyrker og alle, som er ansvarlige for menneskerettighedskrænkelserne i forbindelse med fredelige protester, herunder de højest rangerende embedsmænd; opfordrer Rådet til at udpege Den Islamiske Revolutionsgarde og dens hjælpestyrker, herunder Irans moralpoliti, den paramilitære Basij-milits og Quds-styrken, som en terrorenhed;</w:t>
      </w:r>
    </w:p>
    <w:p w14:paraId="5EDAF372" w14:textId="2D933F6B" w:rsidR="001A3F0B" w:rsidRPr="005655F7" w:rsidRDefault="001521E5" w:rsidP="001A3F0B">
      <w:pPr>
        <w:pStyle w:val="NormalHanging12a"/>
      </w:pPr>
      <w:r>
        <w:t>92</w:t>
      </w:r>
      <w:r w:rsidR="001A3F0B" w:rsidRPr="005655F7">
        <w:t>.</w:t>
      </w:r>
      <w:r w:rsidR="001A3F0B" w:rsidRPr="005655F7">
        <w:tab/>
        <w:t>gentager sin støtte til den fredelige modstandsbevægelse i hele Iran, der protesterer mod den systemiske og tiltagende undertrykkelse af kvinder og de alvorlige krænkelser af menneskerettighederne og de grundlæggende frihedsrettigheder; fordømmer det iranske regime for dets kampagne bestående af chikane, overvågning, kidnapninger og dødstrusler mod iranske aktivister og for dets systematiske diskrimination mod kvinder gennem love og regler, der stærkt begrænser deres frihedsrettigheder; opfordrer til, at der oprettes en international undersøgelses- og ansvarlighedsmekanisme for menneskerettighedskrænkelser begået af den iranske regering;</w:t>
      </w:r>
    </w:p>
    <w:p w14:paraId="10BA53C7" w14:textId="28C0C9C3" w:rsidR="001A3F0B" w:rsidRPr="005655F7" w:rsidRDefault="001521E5" w:rsidP="001A3F0B">
      <w:pPr>
        <w:pStyle w:val="NormalHanging12a"/>
      </w:pPr>
      <w:r>
        <w:t>93</w:t>
      </w:r>
      <w:r w:rsidR="001A3F0B" w:rsidRPr="005655F7">
        <w:t>.</w:t>
      </w:r>
      <w:r w:rsidR="001A3F0B" w:rsidRPr="005655F7">
        <w:tab/>
        <w:t>fordømmer det iranske regime for at levere militært udstyr til Rusland i forbindelse med sidstnævntes brutale og ulovlige aggression over for Ukraine; understreger, at Den Islamiske Republik Iran bidrager til krigsforbrydelser i Ukraine, eftersom udstyret bruges til målrettet at angribe civile og civil infrastruktur, og opfordrer til en solid reaktion fra EU's side på Irans involvering i Ruslands krig; fordømmer Irans sponsorering af udpegede terrorgrupper, herunder Hizbollah, Hamas</w:t>
      </w:r>
      <w:r w:rsidR="00EE157D">
        <w:t>,</w:t>
      </w:r>
      <w:r w:rsidR="001A3F0B" w:rsidRPr="005655F7">
        <w:t xml:space="preserve"> Palæstinensisk Islamisk Jihad</w:t>
      </w:r>
      <w:r w:rsidR="00E74ED0">
        <w:t xml:space="preserve"> </w:t>
      </w:r>
      <w:r w:rsidR="00E74ED0" w:rsidRPr="00E74ED0">
        <w:t>og houthierne; fordømmer houthiernes ulovlige, uacceptable og dybt destabiliserende angreb på kommercielle fartøjer i transit gennem Det Røde Hav ved hjælp af missiler, små både og forsøg på kapring; understreger, at disse angreb har forårsaget betydelige forstyrrelser i den globale handel, da rederierne er tvunget til at omlægge en stor del af trafikken i Det Røde Hav til at gå rundt om Afrikas sydspids; opfordrer til en kollektiv indsats og tilskynder til øget EU-engagement og internationalt samarbejde; glæder sig i denne forbindelse over medlemsstaternes beslutning om at iværksætte en maritim FSFP-operation under navnet ASPIDES for at beskytte handelsfartøjer ved at styrke den maritime situationsbevidsthed og ledsage fartøjer for at afskrække fra angreb og sikre fri sejlads på en af verdens mest kritiske vandveje; opfordrer til, at disse ulovlige angreb bringes til ophør øjeblikkeligt, og at ulovligt tilbageholdte fartøjer og besætninger bliver frigivet</w:t>
      </w:r>
      <w:r w:rsidR="001A3F0B" w:rsidRPr="005655F7">
        <w:t xml:space="preserve">; udtrykker bekymring over </w:t>
      </w:r>
      <w:r w:rsidR="00E74ED0" w:rsidRPr="00E74ED0">
        <w:t xml:space="preserve">Irans </w:t>
      </w:r>
      <w:r w:rsidR="001A3F0B" w:rsidRPr="005655F7">
        <w:lastRenderedPageBreak/>
        <w:t>aktiviteters destabiliserende effekt på Mellemøsten og udsigten til fred mellem Israel og Palæstina; understreger, at det er nødvendigt at håndtere og imødegå Irans videre ondsindede og destabiliserende aktiviteter i og uden for Mellemøsten; modsætter sig på det kraftigste Irans gidseldiplomati og kræver, at alle europæiske statsborgere, der tilbageholdes i Iran, løslades og får lov til at forlade landet; opfordrer regimet i Teheran til at ophøre med sin intimiderings- og undertrykkelseskampagne over for iranske diasporagrupper i EU og verden over; opfordrer medlemsstaternes regeringer til at være opmærksomme på de specifikke grænseoverskridende undertrykkelsesstrategier, der anvendes af Iran;</w:t>
      </w:r>
    </w:p>
    <w:p w14:paraId="572CBA54" w14:textId="07090746" w:rsidR="001A3F0B" w:rsidRPr="005655F7" w:rsidRDefault="00EE157D" w:rsidP="001A3F0B">
      <w:pPr>
        <w:pStyle w:val="NormalHanging12a"/>
      </w:pPr>
      <w:r>
        <w:t>94</w:t>
      </w:r>
      <w:r w:rsidR="001A3F0B" w:rsidRPr="005655F7">
        <w:t>.</w:t>
      </w:r>
      <w:r w:rsidR="001A3F0B" w:rsidRPr="005655F7">
        <w:tab/>
        <w:t>udtrykker dyb bekymring over Den Islamiske Republiks fortsatte berigelse af uran op til 60 % renhed og dens gentagne overtrædelser af den fælles omfattende handlingsplan (JCPOA); tilskynder til genoptagelse af forhandlinger om JCPOA-traktaten;</w:t>
      </w:r>
    </w:p>
    <w:p w14:paraId="69F51BD4" w14:textId="671B53BF" w:rsidR="001A3F0B" w:rsidRDefault="00EE157D" w:rsidP="001A3F0B">
      <w:pPr>
        <w:pStyle w:val="NormalHanging12a"/>
      </w:pPr>
      <w:r>
        <w:t>95</w:t>
      </w:r>
      <w:r w:rsidR="001A3F0B" w:rsidRPr="005655F7">
        <w:t>.</w:t>
      </w:r>
      <w:r w:rsidR="001A3F0B" w:rsidRPr="005655F7">
        <w:tab/>
        <w:t xml:space="preserve">fordømmer i de skarpeste vendinger Hamas' afskyelige terrorangreb mod Israel; </w:t>
      </w:r>
      <w:r w:rsidR="009B2060" w:rsidRPr="009B2060">
        <w:t>opfordrer til omgående og betingelsesløs løsladelse af alle gidsler, der er blevet taget til fange af terrorgruppen Hamas, og til, at ligene af afdøde gidsler udleveres;</w:t>
      </w:r>
      <w:r w:rsidR="009B2060">
        <w:t xml:space="preserve"> </w:t>
      </w:r>
      <w:r w:rsidR="001A3F0B" w:rsidRPr="005655F7">
        <w:t>anerkender Israels ret til selvforsvar, som er nedfældet i og begrænset af folkeretten, og at Israels handlinger derfor skal være i nøje overensstemmelse med den humanitære folkeret</w:t>
      </w:r>
      <w:r w:rsidR="009B2060" w:rsidRPr="009B2060">
        <w:t>, hvilket indebærer, at alle parter til enhver tid skal skelne mellem kæmpende og civile, at angrebene kun må rettes direkte mod militære mål, og at civile og civil infrastruktur ikke må være mål for angreb; fordømmer det israelske militærs uforholdsmæssigt voldsomme modtræk, som har forårsaget civile tab af hidtil uhørt omfang</w:t>
      </w:r>
      <w:r w:rsidR="001A3F0B" w:rsidRPr="005655F7">
        <w:t xml:space="preserve">; er meget bekymret over den ekstremt forringede humanitære situation i Gazastriben og opfordrer til </w:t>
      </w:r>
      <w:r w:rsidR="009B2060" w:rsidRPr="009B2060">
        <w:t>en permanent våbenhvile</w:t>
      </w:r>
      <w:r w:rsidR="001A3F0B" w:rsidRPr="005655F7">
        <w:t xml:space="preserve">, så der kan ydes hjælp til de civile i Gazastriben; opfordrer indtrængende det internationale samfund til at fortsætte og øge sin humanitære bistand til civilbefolkningen i området og gentager, at der fortsat skal ydes humanitær EU-bistand; opfordrer indtrængende </w:t>
      </w:r>
      <w:r w:rsidR="009B2060" w:rsidRPr="009B2060">
        <w:t>de israelske myndigheder til at sikre fortsat adgang for humanitær bistand</w:t>
      </w:r>
      <w:r w:rsidR="009B2060">
        <w:t xml:space="preserve"> </w:t>
      </w:r>
      <w:r w:rsidR="001A3F0B" w:rsidRPr="005655F7">
        <w:t>til Gazastriben</w:t>
      </w:r>
      <w:r w:rsidR="009B2060">
        <w:t xml:space="preserve"> </w:t>
      </w:r>
      <w:r w:rsidR="009B2060" w:rsidRPr="009B2060">
        <w:t>med fokus på uafbrudt levering af essentielle materialer såsom brændstof, fødevarer, vand, medicinsk udstyr og husly i overensstemmelse med folkeretten</w:t>
      </w:r>
      <w:r w:rsidR="001A3F0B" w:rsidRPr="005655F7">
        <w:t>; beklager, at Den Palæstinensiske Myndighed ikke har afholdt valg siden 2005, hvilket hæmmer dens troværdighed, og forventer, at der snart afholdes valg;</w:t>
      </w:r>
    </w:p>
    <w:p w14:paraId="01D66BEC" w14:textId="621C6EE1" w:rsidR="003D7B9F" w:rsidRDefault="00EE157D" w:rsidP="001A3F0B">
      <w:pPr>
        <w:pStyle w:val="NormalHanging12a"/>
      </w:pPr>
      <w:r>
        <w:t>96</w:t>
      </w:r>
      <w:r w:rsidR="003D7B9F" w:rsidRPr="003D7B9F">
        <w:t>.</w:t>
      </w:r>
      <w:r w:rsidR="003D7B9F" w:rsidRPr="003D7B9F">
        <w:tab/>
        <w:t>opfordrer medlemsstaterne til at støtte ICJ og kræve, at Israel omgående efterkommer de retligt bindende kendelser, som domstolen har afsagt;</w:t>
      </w:r>
    </w:p>
    <w:p w14:paraId="401C3CF0" w14:textId="4D61F5ED" w:rsidR="00287768" w:rsidRPr="005655F7" w:rsidRDefault="00EE157D" w:rsidP="001A3F0B">
      <w:pPr>
        <w:pStyle w:val="NormalHanging12a"/>
      </w:pPr>
      <w:r>
        <w:t>97</w:t>
      </w:r>
      <w:r w:rsidR="00287768" w:rsidRPr="00287768">
        <w:t>.</w:t>
      </w:r>
      <w:r w:rsidR="00287768" w:rsidRPr="00287768">
        <w:tab/>
        <w:t>beklager, at Hamas og dets allierede i stigende grad forsøger at udbrede konflikten til en langt større kampplads for at lægge pres på Israel, efterhånden som landoffensiven i Gaza intensiveres; er således bekymret over, at Iran og dets allierede presser på for en regional krig; er yderst bekymret over krigens potentiale til at eskalere og dens indvirkning på regionen som helhed, navnlig situationen ved den israelsk-libanesiske grænse, da krigere, der støtter Hizbollah, affyrer raketter ind i Israel; understreger vigtigheden af at dæmpe spændingerne i regionen;</w:t>
      </w:r>
    </w:p>
    <w:p w14:paraId="7B3982C2" w14:textId="33D3E953" w:rsidR="001A3F0B" w:rsidRDefault="00EE157D" w:rsidP="001A3F0B">
      <w:pPr>
        <w:pStyle w:val="NormalHanging12a"/>
      </w:pPr>
      <w:r>
        <w:t>98</w:t>
      </w:r>
      <w:r w:rsidR="001A3F0B" w:rsidRPr="005655F7">
        <w:t>.</w:t>
      </w:r>
      <w:r w:rsidR="001A3F0B" w:rsidRPr="005655F7">
        <w:tab/>
        <w:t xml:space="preserve">gentager sin urokkelige støtte til en forhandlet tostatsløsning for Israel og Palæstina på grundlag af grænsedragningen fra 1967 med to suveræne, demokratiske stater som fredelige naboer og Jerusalem som hovedstad for begge; opfordrer EU-Udenrigstjenesten og medlemsstaterne til at tage et europæisk initiativ til at få tostatsløsningen tilbage på sporet; </w:t>
      </w:r>
      <w:r w:rsidR="00C764F5" w:rsidRPr="00C764F5">
        <w:t xml:space="preserve">opfordrer i den forbindelse NF/HR og den særlige repræsentant for fredsprocessen i Mellemøsten til at samle international støtte til "fredsdagen" for fredsprocessen i Mellemøsten, der blev lanceret i New York på FN's </w:t>
      </w:r>
      <w:r w:rsidR="00C764F5" w:rsidRPr="00C764F5">
        <w:lastRenderedPageBreak/>
        <w:t xml:space="preserve">Generalforsamling i september 2023; er klar over, at de internationale aktører, herunder USA, FN, EU og arabiske stater, for at få forhandlingerne genoptaget er nødt til at supplere hinandens bestræbelser, så de bliver konstruktive; </w:t>
      </w:r>
      <w:r w:rsidR="001A3F0B" w:rsidRPr="005655F7">
        <w:t xml:space="preserve">minder om, at bosættelser i de besatte palæstinensiske områder er ulovlige i henhold til folkeretten; </w:t>
      </w:r>
      <w:r w:rsidR="00A5604F" w:rsidRPr="00A5604F">
        <w:t xml:space="preserve">fordømmer på det kraftigste stigningen i voldshandlinger begået af ekstremistiske bosættere mod palæstinensere; </w:t>
      </w:r>
      <w:r w:rsidR="001A3F0B" w:rsidRPr="005655F7">
        <w:t>opfordrer til et øjeblikkeligt ophør af bosættelsespolitikken</w:t>
      </w:r>
      <w:r w:rsidR="00A5604F">
        <w:t xml:space="preserve"> </w:t>
      </w:r>
      <w:r w:rsidR="00A5604F" w:rsidRPr="00A5604F">
        <w:t>samt ophør af besættelsen af de palæstinensiske territorier</w:t>
      </w:r>
      <w:r w:rsidR="001A3F0B" w:rsidRPr="005655F7">
        <w:t xml:space="preserve">, som er </w:t>
      </w:r>
      <w:r w:rsidR="00A5604F" w:rsidRPr="00A5604F">
        <w:t xml:space="preserve">store hindringer </w:t>
      </w:r>
      <w:r w:rsidR="001A3F0B" w:rsidRPr="005655F7">
        <w:t xml:space="preserve">for gennemførligheden af tostatsløsningen; </w:t>
      </w:r>
      <w:r w:rsidR="00A5604F" w:rsidRPr="00A5604F">
        <w:t>opfordrer til, at der indføres restriktive foranstaltninger over for ekstremistiske bosættere, der krænker menneskerettighederne og folkeretten</w:t>
      </w:r>
      <w:r w:rsidR="00A5604F">
        <w:t xml:space="preserve">; </w:t>
      </w:r>
      <w:r w:rsidR="00C764F5" w:rsidRPr="00C764F5">
        <w:t xml:space="preserve">støtter en retfærdig, levedygtig og aftalt løsning på spørgsmålet om palæstinensiske flygtninge; </w:t>
      </w:r>
      <w:r w:rsidR="001A3F0B" w:rsidRPr="005655F7">
        <w:t>understreger, at fortsat støtte til FN's Hjælpeorganisation for Palæstinaflygtninge i Mellemøsten fortsat er et centralt element i EU's strategi for at bidrage til stabilitet og fred i Mellemøsten;</w:t>
      </w:r>
      <w:r w:rsidR="00C764F5">
        <w:t xml:space="preserve"> </w:t>
      </w:r>
      <w:r w:rsidR="00C764F5" w:rsidRPr="00C764F5">
        <w:t>noterer sig med bekymring de påstande, som Israel for nylig har fremsat mod 12 ansatte i FN's Hjælpeorganisation for Palæstinaflygtninge i Mellemøsten (UNRWA); glæder sig over FN's øjeblikkelige og beslutsomme reaktion på påstandene, herunder den øjeblikkelige afskedigelse af de pågældende ansatte og iværksættelsen af to særskilte undersøgelser af sagen, som FN's Interne Overvågningskontor (OIOS) og den uafhængige evalueringsgruppe under ledelse af den tidligere franske minister Catherine Colonna og tre europæiske organisationer foretager; opfordrer i den forbindelse Israel til at arbejde tæt sammen med og fremlægge al nødvendig dokumentation for OIOS og den uafhængige evalueringsgruppe; glæder sig over Kommissionens beslutning om ikke at suspendere finansieringen til UNRWA, før FN har meddelt resultatet af undersøgelserne og de foranstaltninger, FN vil træffe; opfordrer indtrængende alle donorlande, der har suspenderet deres finansiering til UNRWA på grund af påstandene, til at genoverveje deres beslutning i lyset af UNRWA's øjeblikkelige reaktion på påstandene og dennes afgørende rolle med hensyn til at yde livsvigtig bistand til de to millioner mennesker i Gazastriben, som er afhængige af den for at kunne overleve under en af de største og mest komplekse humanitære kriser i verden;</w:t>
      </w:r>
    </w:p>
    <w:p w14:paraId="47F9DF9F" w14:textId="40801359" w:rsidR="00021FB4" w:rsidRPr="005655F7" w:rsidRDefault="00EE157D" w:rsidP="001A3F0B">
      <w:pPr>
        <w:pStyle w:val="NormalHanging12a"/>
      </w:pPr>
      <w:r>
        <w:t>99</w:t>
      </w:r>
      <w:r w:rsidR="00021FB4" w:rsidRPr="00021FB4">
        <w:t>.</w:t>
      </w:r>
      <w:r w:rsidR="00021FB4" w:rsidRPr="00021FB4">
        <w:tab/>
        <w:t>gentager EU's kraftige opbakning til arbejdet i Den Internationale Straffedomstol (ICC) og Den Internationale Domstol; opfordrer til, at de ansvarlige for terrorhandlinger og krænkelser af folkeretten drages til ansvar, og opfordrer med henblik herpå til, at alle eventuelle krigsforbrydelser efterforskes; gentager, at forsætlige angreb på civile udgør alvorlige krænkelser af folkeretten, og at det samme gælder for tvangsforflyttelse af befolkninger; kræver retfærdighed for ofrene for Hamas' terrorangreb, som omfattede massemord og seksuel tortur, både den 7. oktober 2023 og siden da; noterer sig, at Sydafrika har anlagt sag mod Israel ved Den Internationale Domstol;</w:t>
      </w:r>
    </w:p>
    <w:p w14:paraId="685A3825" w14:textId="63AAD3DE" w:rsidR="001A3F0B" w:rsidRPr="005655F7" w:rsidRDefault="00EE157D" w:rsidP="001A3F0B">
      <w:pPr>
        <w:pStyle w:val="NormalHanging12a"/>
      </w:pPr>
      <w:r>
        <w:t>100</w:t>
      </w:r>
      <w:r w:rsidR="001A3F0B" w:rsidRPr="005655F7">
        <w:t>.</w:t>
      </w:r>
      <w:r w:rsidR="001A3F0B" w:rsidRPr="005655F7">
        <w:tab/>
        <w:t>anerkender, at Ruslands angrebskrig mod Ukraine indebærer både udfordringer og muligheder for staterne i Centralasien, som traditionelt har opretholdt tætte forbindelser med Rusland; er bekymret over det russiske og kinesiske pres, der udøves i regionen, og fremhæver behovet for at øge EU's tilstedeværelse i Centralasien som en reaktion på dette; understreger EU's interesse i øgede økonomiske forbindelser og forstærkede politiske bånd med landene i Centralasien, delvist for at tackle omgåelsen af sanktioner mod Rusland og Belarus; opfordrer disse landes nationale myndigheder, navnlig Kasakhstans, Kirgisistans og Usbekistans, til at arbejde tæt sammen med EU, navnlig EU's sanktionsudsending, og minder i den forbindelse om relevansen af et tættere samarbejde med OSCE;</w:t>
      </w:r>
    </w:p>
    <w:p w14:paraId="6828E464" w14:textId="2B8EC6C3" w:rsidR="001A3F0B" w:rsidRPr="005655F7" w:rsidRDefault="00EE157D" w:rsidP="001A3F0B">
      <w:pPr>
        <w:pStyle w:val="NormalHanging12a"/>
      </w:pPr>
      <w:r>
        <w:t>101</w:t>
      </w:r>
      <w:r w:rsidR="001A3F0B" w:rsidRPr="005655F7">
        <w:t>.</w:t>
      </w:r>
      <w:r w:rsidR="001A3F0B" w:rsidRPr="005655F7">
        <w:tab/>
        <w:t xml:space="preserve">opfordrer Kommissionen og medlemsstaterne til fortsat at fremme politiske og økonomiske reformer, der styrker retsstatsprincippet, demokratiet, god regeringsførelse </w:t>
      </w:r>
      <w:r w:rsidR="001A3F0B" w:rsidRPr="005655F7">
        <w:lastRenderedPageBreak/>
        <w:t xml:space="preserve">og respekten for menneskerettighederne, </w:t>
      </w:r>
      <w:r w:rsidR="00E05D4C" w:rsidRPr="00E05D4C">
        <w:t xml:space="preserve">herunder i forbindelse med den generelle toldpræferenceordning (GSP) og GSP+, hvor det er relevant, </w:t>
      </w:r>
      <w:r w:rsidR="001A3F0B" w:rsidRPr="005655F7">
        <w:t>og til at tilskynde til gode naboskabsforbindelser; gentager, at alle landene i Centralasien skal forpligte sig til at opretholde FN-pagten, især principperne om respekt for alle landes uafhængighed, suverænitet og territoriale integritet;</w:t>
      </w:r>
    </w:p>
    <w:p w14:paraId="03CEC153" w14:textId="1F6BFBE3" w:rsidR="001A3F0B" w:rsidRPr="005655F7" w:rsidRDefault="00EE157D" w:rsidP="001A3F0B">
      <w:pPr>
        <w:pStyle w:val="NormalHanging12a"/>
      </w:pPr>
      <w:r>
        <w:t>102</w:t>
      </w:r>
      <w:r w:rsidR="001A3F0B" w:rsidRPr="005655F7">
        <w:t>.</w:t>
      </w:r>
      <w:r w:rsidR="001A3F0B" w:rsidRPr="005655F7">
        <w:tab/>
        <w:t xml:space="preserve">glæder sig over resultaterne af det andet økonomiske forum mellem EU og Centralasien i Almaty i maj 2023 og det andet møde mellem formanden for Det Europæiske Råd og statscheferne for alle fem centralasiatiske lande i juni 2023; </w:t>
      </w:r>
      <w:r w:rsidR="007E0C9D" w:rsidRPr="007E0C9D">
        <w:t xml:space="preserve">opfordrer til, at disse møder på højt plan og erklæringer følges op med konkrete tiltag; glæder sig i denne forbindelse over, at det første topmøde mellem EU og Centralasien er planlagt til afholdelse i år; glæder sig over, at godkendelsen af den fælles køreplan med henblik på at uddybe forbindelserne mellem EU og Centralasien, der fungerer som en strategisk plan for at fremme dialog og samarbejde på specifikke områder, herunder opbygning af kulturel, social og økonomisk robusthed; </w:t>
      </w:r>
      <w:r w:rsidR="001A3F0B" w:rsidRPr="005655F7">
        <w:t>opfordrer indtrængende Kommissionen og medlemsstaterne til at undertegne den udvidede partnerskabs- og samarbejdsaftale med Kirgisistan, afslutte det forberedende arbejde med henblik på at undertegne den udvidede partnerskabs- og samarbejdsaftale med Usbekistan og hurtigt gøre fremskridt i de igangværende forhandlinger om en udvidet partnerskabs- og samarbejdsaftale med Tadsjikistan;</w:t>
      </w:r>
    </w:p>
    <w:p w14:paraId="2DDB3D55" w14:textId="0CAAED2A" w:rsidR="001A3F0B" w:rsidRPr="005655F7" w:rsidRDefault="00EE157D" w:rsidP="001A3F0B">
      <w:pPr>
        <w:pStyle w:val="NormalHanging12a"/>
      </w:pPr>
      <w:r>
        <w:t>103</w:t>
      </w:r>
      <w:r w:rsidR="001A3F0B" w:rsidRPr="005655F7">
        <w:t>.</w:t>
      </w:r>
      <w:r w:rsidR="001A3F0B" w:rsidRPr="005655F7">
        <w:tab/>
        <w:t>minder om, at de centralasiatiske lande er vigtige leverandører af råstoffer og energi; er af den opfattelse, at EU har en stor interesse i at genoplive midterkorridoren, ikke kun som en regional økonomisk zone, men også som et alternativ til den nye eurasiske landbro, som går gennem sanktioneret russisk og belarusisk territorium; understreger betydningen af at fremme regional integration langs midterkorridoren, også med henblik på at tiltrække finansiering til infrastrukturprojekter under Global Gateway;</w:t>
      </w:r>
    </w:p>
    <w:p w14:paraId="4ECCB7DA" w14:textId="1459127E" w:rsidR="001A3F0B" w:rsidRPr="005655F7" w:rsidRDefault="00EE157D" w:rsidP="001A3F0B">
      <w:pPr>
        <w:pStyle w:val="NormalHanging12a"/>
      </w:pPr>
      <w:r>
        <w:t>104</w:t>
      </w:r>
      <w:r w:rsidR="001A3F0B" w:rsidRPr="005655F7">
        <w:t>.</w:t>
      </w:r>
      <w:r w:rsidR="001A3F0B" w:rsidRPr="005655F7">
        <w:tab/>
        <w:t>gentager sin ikkeanerkendelse af den afghanske de facto-regering; er bekymret over den alvorlige økonomiske og humanitære situation i Afghanistan samt af krænkelsen af kvinders og pigers rettigheder i landet; fordømmer den drastiske reduktion af Verdensfødevareprogrammets kapacitet til at yde fødevarehjælp til den afghanske befolkning og opfordrer Kommissionen og medlemsstaterne til at sikre, at der ydes kritisk humanitær bistand til den afghanske befolkning, og til at sikre yderligere finansiering til nødhjælp; opfordrer HR/NF til at fremsætte idéen om retsforfølgelse af Talibanledere ved Den Internationale Straffedomstol for deres forbrydelser mod kvinder og piger;</w:t>
      </w:r>
    </w:p>
    <w:p w14:paraId="1EB5F519" w14:textId="38272206" w:rsidR="001A3F0B" w:rsidRPr="005655F7" w:rsidRDefault="00EE157D" w:rsidP="001A3F0B">
      <w:pPr>
        <w:pStyle w:val="NormalHanging12a"/>
      </w:pPr>
      <w:r>
        <w:t>105</w:t>
      </w:r>
      <w:r w:rsidR="001A3F0B" w:rsidRPr="005655F7">
        <w:t>.</w:t>
      </w:r>
      <w:r w:rsidR="001A3F0B" w:rsidRPr="005655F7">
        <w:tab/>
        <w:t>støtter de fem centrale benchmarks, der blev vedtaget af Rådet den 21. september 2021, og som tjener som vejledende principper for fremtidigt engagement med Taliban, men mener, at der er behov for en stor indsats for så vidt angår udarbejdelsen af en langsigtet strategi for håndtering af den menneskerettighedskrise og kønsapartheid, som finder sted i Afghanistan i dag; understreger, at EU's evakueringsprogram for mennesker i Afghanistan, der arbejdede for europæiske missioner, regnede med europæisk beskyttelse og stadig er i overhængende fare, ikke kan afsluttes, så længe der stadig er folk, der opfylder kriterierne, i landet;</w:t>
      </w:r>
    </w:p>
    <w:p w14:paraId="45887DD3" w14:textId="50510723" w:rsidR="001A3F0B" w:rsidRPr="005655F7" w:rsidRDefault="00EE157D" w:rsidP="001A3F0B">
      <w:pPr>
        <w:pStyle w:val="NormalHanging12a"/>
      </w:pPr>
      <w:r>
        <w:t>106</w:t>
      </w:r>
      <w:r w:rsidR="001A3F0B" w:rsidRPr="005655F7">
        <w:t>.</w:t>
      </w:r>
      <w:r w:rsidR="001A3F0B" w:rsidRPr="005655F7">
        <w:tab/>
        <w:t xml:space="preserve">beklager Den Russiske Føderations veto på mødet i FN's Sikkerhedsråd den 11. juli 2023 i forbindelse med fornyelsen af FN's Sikkerhedsråds resolution 2672(2023) vedrørende den grænseoverskridende ydelse af humanitær bistand til folk i det nordvestlige Syrien via Bab al-Hawa, hvilket bragte over 4 millioner mennesker, som er afhængige af humanitær bistand for at få opfyldt deres basale behov for fødevarer, </w:t>
      </w:r>
      <w:r w:rsidR="001A3F0B" w:rsidRPr="005655F7">
        <w:lastRenderedPageBreak/>
        <w:t>medicin og andre livsnødvendige forsyninger, i fare; noterer sig Syriens reintegration i Den Arabiske Liga; mener, at en normalisering ikke kan finde sted med det nuværende syriske regime, og understreger, at den syriske politiske proces er fastlåst;</w:t>
      </w:r>
    </w:p>
    <w:p w14:paraId="204FD4E8" w14:textId="3316B29A" w:rsidR="001A3F0B" w:rsidRPr="005655F7" w:rsidRDefault="00EE157D" w:rsidP="001A3F0B">
      <w:pPr>
        <w:pStyle w:val="NormalHanging12a"/>
      </w:pPr>
      <w:r>
        <w:t>107</w:t>
      </w:r>
      <w:r w:rsidR="001A3F0B" w:rsidRPr="005655F7">
        <w:t>.</w:t>
      </w:r>
      <w:r w:rsidR="001A3F0B" w:rsidRPr="005655F7">
        <w:tab/>
        <w:t xml:space="preserve">gentager, at en fredelig, fri, forbundet, åben, stabil og regelbaseret indopacifisk region er en vital europæisk interesse; er bekymret over, at stormagtskonkurrence skaber begrænsninger for EU's evne til at fremme multilateralisme i regionen; påpeger i denne forbindelse, at Asien-Europa-mødet stadig er hæmmet på grund af de geopolitiske spændinger med Rusland; anerkender HR/NF's bestræbelser på at engagere sig i regionen, f.eks. med hans </w:t>
      </w:r>
      <w:r w:rsidR="007E0C9D" w:rsidRPr="007E0C9D">
        <w:t xml:space="preserve">organisering af det tredje </w:t>
      </w:r>
      <w:r w:rsidR="001A3F0B" w:rsidRPr="005655F7">
        <w:t xml:space="preserve">EU-Indo Pacific Ministerial Forum (den EU-indopacifiske regions ministerforum) den </w:t>
      </w:r>
      <w:r w:rsidR="007E0C9D" w:rsidRPr="007E0C9D">
        <w:t xml:space="preserve">2. februar 2024 </w:t>
      </w:r>
      <w:r w:rsidR="001A3F0B" w:rsidRPr="005655F7">
        <w:t>samt HR/NF's deltagelse i Sammenslutningen af Sydøstasiatiske Nationers (ASEAN's) Regional Forum den 14. juli 2023; opfordrer EU til aktivt at støtte ministerforummet om samarbejde i den indopacifiske region som en årlig begivenhed;</w:t>
      </w:r>
    </w:p>
    <w:p w14:paraId="31A7862C" w14:textId="08CE8ECC" w:rsidR="001A3F0B" w:rsidRPr="005655F7" w:rsidRDefault="00EE157D" w:rsidP="001A3F0B">
      <w:pPr>
        <w:pStyle w:val="NormalHanging12a"/>
      </w:pPr>
      <w:r>
        <w:t>108</w:t>
      </w:r>
      <w:r w:rsidR="001A3F0B" w:rsidRPr="005655F7">
        <w:t>.</w:t>
      </w:r>
      <w:r w:rsidR="001A3F0B" w:rsidRPr="005655F7">
        <w:tab/>
        <w:t>tilskynder til tættere politiske bånd med ligesindede partnere i tråd med EU's strategi for samarbejde i den indopacifiske region, især med Japan, Sydkorea, Australien, New Zealand, Taiwan og ASEAN-medlemsstaterne, herunder vedrørende maritim sikkerhed, ikkespredning og modstandsdygtighed over for hybride trusler; glæder sig over EU-Udenrigstjenestens indsats for kapacitetsopbygning i den indopacifiske region, der sigter mod at skabe modstandsdygtighed mod udenlandsk informationsmanipulation og indblanding; fremhæver behovet for at styrke de mellemfolkelige forbindelser med vores partnere, navnlig ungdomsudvekslinger, medborgerskab og samarbejde med tænketanke; understreger, at bevarelse af fred, stabilitet og fri sejlads i den indopacifiske region fortsat er af afgørende betydning for EU og EU-medlemsstaternes interesser;</w:t>
      </w:r>
    </w:p>
    <w:p w14:paraId="02D3212D" w14:textId="63B0A244" w:rsidR="001A3F0B" w:rsidRPr="005655F7" w:rsidRDefault="00EE157D" w:rsidP="001A3F0B">
      <w:pPr>
        <w:pStyle w:val="NormalHanging12a"/>
      </w:pPr>
      <w:r>
        <w:t>109</w:t>
      </w:r>
      <w:r w:rsidR="001A3F0B" w:rsidRPr="005655F7">
        <w:t>.</w:t>
      </w:r>
      <w:r w:rsidR="001A3F0B" w:rsidRPr="005655F7">
        <w:tab/>
        <w:t xml:space="preserve">opfordrer </w:t>
      </w:r>
      <w:r w:rsidR="007E0C9D" w:rsidRPr="007E0C9D">
        <w:t xml:space="preserve">DPRK </w:t>
      </w:r>
      <w:r w:rsidR="001A3F0B" w:rsidRPr="005655F7">
        <w:t xml:space="preserve">til at opgive sine programmer for masseødelæggelsesvåben og ballistiske missiler på fuldstændig, kontrollerbar og uigenkaldelig vis; beklager i allerhøjeste grad de igangværende forbrydelser mod menneskeheden og opfordrer indtrængende landets myndigheder til at iværksætte en reformproces, hvorved alle menneskerettigheder respekteres og beskyttes; understreger det presserende behov for, at EU og det internationale samfund forhindrer militært samarbejde og våbenudveksling mellem Rusland og </w:t>
      </w:r>
      <w:r w:rsidR="007E0C9D" w:rsidRPr="007E0C9D">
        <w:t>DPRK</w:t>
      </w:r>
      <w:r w:rsidR="001A3F0B" w:rsidRPr="005655F7">
        <w:t>;</w:t>
      </w:r>
    </w:p>
    <w:p w14:paraId="78AC70FE" w14:textId="4B1A84B5" w:rsidR="001A3F0B" w:rsidRPr="005655F7" w:rsidRDefault="00EE157D" w:rsidP="001A3F0B">
      <w:pPr>
        <w:pStyle w:val="NormalHanging12a"/>
      </w:pPr>
      <w:r>
        <w:t>110</w:t>
      </w:r>
      <w:r w:rsidR="001A3F0B" w:rsidRPr="005655F7">
        <w:t>.</w:t>
      </w:r>
      <w:r w:rsidR="001A3F0B" w:rsidRPr="005655F7">
        <w:tab/>
        <w:t xml:space="preserve">noterer sig, at geopolitiske udfordringer har styrket </w:t>
      </w:r>
      <w:r w:rsidR="007E0C9D" w:rsidRPr="007E0C9D">
        <w:t xml:space="preserve">Indiens </w:t>
      </w:r>
      <w:r w:rsidR="001A3F0B" w:rsidRPr="005655F7">
        <w:t xml:space="preserve">og </w:t>
      </w:r>
      <w:r w:rsidR="007E0C9D" w:rsidRPr="007E0C9D">
        <w:t xml:space="preserve">EU's </w:t>
      </w:r>
      <w:r w:rsidR="001A3F0B" w:rsidRPr="005655F7">
        <w:t xml:space="preserve">fælles interesse i at garantere sikkerhed, velstand og bæredygtig udvikling; </w:t>
      </w:r>
      <w:r w:rsidR="007E0C9D" w:rsidRPr="007E0C9D">
        <w:t xml:space="preserve">fremhæver den fuldstændige gennemførelse af EU-strategien for Indien fra 2018 og EU-Indien-køreplanen frem til 2025 i tæt samordning med medlemsstaternes egne tiltag til et aktivt engagement med Indien; </w:t>
      </w:r>
      <w:r w:rsidR="001A3F0B" w:rsidRPr="005655F7">
        <w:t xml:space="preserve">roser skabelsen af Handels- og Teknologirådet mellem EU og Indien; </w:t>
      </w:r>
      <w:r w:rsidR="007E0C9D" w:rsidRPr="007E0C9D">
        <w:t xml:space="preserve">tilskynder </w:t>
      </w:r>
      <w:r w:rsidR="001A3F0B" w:rsidRPr="005655F7">
        <w:t xml:space="preserve">til </w:t>
      </w:r>
      <w:r w:rsidR="007E0C9D" w:rsidRPr="007E0C9D">
        <w:t xml:space="preserve">en uddybning af forbindelserne </w:t>
      </w:r>
      <w:r w:rsidR="001A3F0B" w:rsidRPr="005655F7">
        <w:t xml:space="preserve">mellem Indien og EU </w:t>
      </w:r>
      <w:r w:rsidR="007E0C9D" w:rsidRPr="007E0C9D">
        <w:t>som strategiske partnere;</w:t>
      </w:r>
      <w:r w:rsidR="007E0C9D">
        <w:t xml:space="preserve"> </w:t>
      </w:r>
      <w:r w:rsidR="007E0C9D" w:rsidRPr="007E0C9D">
        <w:t xml:space="preserve">opfordrer i denne forbindelse til, at tilsagnet om at afholde regelmæssige dialoger på flere niveauer og topmøder opretholdes </w:t>
      </w:r>
      <w:r w:rsidR="001A3F0B" w:rsidRPr="005655F7">
        <w:t xml:space="preserve">for at bevare de bilaterale forbindelser højt på dagsordenen; </w:t>
      </w:r>
      <w:r w:rsidR="007E0C9D" w:rsidRPr="007E0C9D">
        <w:t>tilskynder desuden til en mere struktureret interparlamentarisk dialog mellem Europa-Parlamentet og dets indiske modpart; mener, at en sådan dialog vil bidrage til koordineringen af holdninger og initiativer i multilaterale fora, navnlig FN, Verdenshandelsorganisationen og G20;</w:t>
      </w:r>
      <w:r w:rsidR="007E0C9D">
        <w:t xml:space="preserve"> </w:t>
      </w:r>
      <w:r w:rsidR="001A3F0B" w:rsidRPr="005655F7">
        <w:t>fremhæver betydningen af en vellykket afslutning af forhandlingerne om en frihandelsaftale mellem EU og Indien under hensyntagen til følsomme spørgsmål på begge sider; udtrykker håb om, at Indien vil bringe sin holdning til Ruslands invasion af Ukraine på linje med det transatlantiske fællesskabs, og opfordrer Rådet og HR/NF til at gøre en diplomatisk indsats i denne henseende;</w:t>
      </w:r>
      <w:r w:rsidR="007E0C9D">
        <w:t xml:space="preserve"> </w:t>
      </w:r>
      <w:r w:rsidR="007E0C9D" w:rsidRPr="007E0C9D">
        <w:t xml:space="preserve">minder i denne forbindelse om, at enhver uddybning af partnerskabet bør </w:t>
      </w:r>
      <w:r w:rsidR="007E0C9D" w:rsidRPr="007E0C9D">
        <w:lastRenderedPageBreak/>
        <w:t>baseres på værdierne frihed, demokrati, pluralisme, retsstaten, ligestilling, respekt for menneskerettighederne, bæredygtig udvikling og en forpligtelse til at fremme en inkluderende regelbaseret global orden;</w:t>
      </w:r>
    </w:p>
    <w:p w14:paraId="0A77C294" w14:textId="5361EBDE" w:rsidR="001A3F0B" w:rsidRPr="005655F7" w:rsidRDefault="00EE157D" w:rsidP="001A3F0B">
      <w:pPr>
        <w:pStyle w:val="NormalHanging12a"/>
      </w:pPr>
      <w:r>
        <w:t>111</w:t>
      </w:r>
      <w:r w:rsidR="001A3F0B" w:rsidRPr="005655F7">
        <w:t>.</w:t>
      </w:r>
      <w:r w:rsidR="001A3F0B" w:rsidRPr="005655F7">
        <w:tab/>
        <w:t>udtrykker dyb bekymring over de seneste ændringer i Kinas indenlandske og militære holdning siden den 20. nationale kongres i Kinas kommunistparti; mener, at Kinas tiltagende selvhævdelse, delvist gennem en politik med økonomisk tvang, fortsat er en af de største geopolitiske udfordringer i det 21. århundrede; har det synspunkt, at Kina viser, at landet har både hensigt om og i stigende grad også den økonomiske, diplomatiske, militære og teknologiske magt til at tippe den internationale regelbaserede orden; fastholder, at dette kræver et flerdimensionelt svar, gennem hvilket EU bevarer sit selektive samarbejde med Kina vedrørende en række hovedspørgsmål, samtidig med at Unionen nedbringer risikoen ved forholdet ved gradvist at mindske den økonomiske afhængighed i vigtige sektorer i overensstemmelse med sin økonomiske sikkerhedsstrategi; bemærker, at et reelt engagement med Kina i stigende grad er vanskeligt på grund af den mere fremtrædende konkurrence og omfanget af den systemiske rivalisering; understreger, at Kina fortsat er vigtig på mange politikområder, herunder klimaforandringer; advarer om, at den fortsatte vækst i det kinesisk-russiske strategiske partnerskab, herunder inden for overførsel af teknologi og militær kapacitet</w:t>
      </w:r>
      <w:r w:rsidR="00223389">
        <w:t xml:space="preserve"> </w:t>
      </w:r>
      <w:r w:rsidR="00223389" w:rsidRPr="00223389">
        <w:t>og samarbejde i den arktiske region</w:t>
      </w:r>
      <w:r w:rsidR="001A3F0B" w:rsidRPr="005655F7">
        <w:t>, kan øge Kinas evne til at bruge tvang over for EU's partnere i Asien og resten af verden; gentager sin opfordring til en mere assertiv EU-Kina-strategi, der former forbindelserne med Kina efter EU's interesser og fuldt ud tager højde for de udfordringer, der følger af Kinas opstigning som global aktør;</w:t>
      </w:r>
    </w:p>
    <w:p w14:paraId="2F706D60" w14:textId="6E35CDBB" w:rsidR="001A3F0B" w:rsidRPr="005655F7" w:rsidRDefault="00EE157D" w:rsidP="001A3F0B">
      <w:pPr>
        <w:pStyle w:val="NormalHanging12a"/>
      </w:pPr>
      <w:r>
        <w:t>112</w:t>
      </w:r>
      <w:r w:rsidR="001A3F0B" w:rsidRPr="005655F7">
        <w:t>.</w:t>
      </w:r>
      <w:r w:rsidR="001A3F0B" w:rsidRPr="005655F7">
        <w:tab/>
        <w:t>fordømmer hybride krigshandlinger såsom cyberangreb, desinformationskampagner og overvågning eller udspionering af kinesiske statsborgere i EU; opfordrer indtrængende Kina til omgående at sætte en stopper for disse skadelige handlinger og for sin manipulation af oplysninger og indblanding i valghandlinger og opfordrer Kommissionen og medlemsstaterne til hurtigst muligt at gennemføre initiativer relateret til udenlandsk indblanding i alle demokratiske processer i EU, herunder desinformation, som foreslået af Europa-Parlamentet; fordømmer sanktionerne mod medlemmer af Europa-Parlamentet (og andre EU-enheder)</w:t>
      </w:r>
      <w:r w:rsidR="00223389">
        <w:t>,</w:t>
      </w:r>
      <w:r w:rsidR="001A3F0B" w:rsidRPr="005655F7">
        <w:t xml:space="preserve"> nationale parlamenter</w:t>
      </w:r>
      <w:r w:rsidR="00223389" w:rsidRPr="00223389">
        <w:t>, europæiske tænketanke og forskere</w:t>
      </w:r>
      <w:r w:rsidR="001A3F0B" w:rsidRPr="005655F7">
        <w:t xml:space="preserve"> og opfordrer til, at de omgående og betingelsesløst ophæves;</w:t>
      </w:r>
    </w:p>
    <w:p w14:paraId="0720CBE7" w14:textId="4A2C210A" w:rsidR="001A3F0B" w:rsidRPr="005655F7" w:rsidRDefault="00EE157D" w:rsidP="001A3F0B">
      <w:pPr>
        <w:pStyle w:val="NormalHanging12a"/>
      </w:pPr>
      <w:r>
        <w:t>113</w:t>
      </w:r>
      <w:r w:rsidR="001A3F0B" w:rsidRPr="005655F7">
        <w:t>.</w:t>
      </w:r>
      <w:r w:rsidR="001A3F0B" w:rsidRPr="005655F7">
        <w:tab/>
        <w:t xml:space="preserve">fordømmer det kinesiske statsstyrede tvangsarbejdssystem og dets krænkelser af menneskerettighederne, som FN's Højkommissariat for Menneskerettigheder har sagt kan udgøre forbrydelser mod menneskeheden med høj risiko for folkemord i Xinjiang, og forbrydelserne mod menneskeheden i Tibet og Indre Mongoliet samt de undertrykkende politikker mod andre etniske minoriteter; minder om, at EU's "ét-Kina-politik" fortsat er en hjørnesten i forholdet mellem EU og Kina;  </w:t>
      </w:r>
      <w:r w:rsidR="00A83099" w:rsidRPr="00A83099">
        <w:t xml:space="preserve">gentager sin fordømmelse af Kinas overtrædelse af dets internationale forpligtelser, dets overtrædelser af den kinesisk-britiske og den kinesisk-portugisiske fælleserklæring, den internationale konvention om borgerlige og politiske rettigheder, </w:t>
      </w:r>
      <w:r w:rsidR="001A3F0B" w:rsidRPr="005655F7">
        <w:t xml:space="preserve">princippet om "ét land, to systemer"  </w:t>
      </w:r>
      <w:r w:rsidR="00A83099" w:rsidRPr="00A83099">
        <w:t xml:space="preserve">og Hongkongs forfatning samt undertrykkelsen af </w:t>
      </w:r>
      <w:r w:rsidR="001A3F0B" w:rsidRPr="005655F7">
        <w:t xml:space="preserve">Den </w:t>
      </w:r>
      <w:r w:rsidR="00652C58">
        <w:t>s</w:t>
      </w:r>
      <w:r w:rsidR="001A3F0B" w:rsidRPr="005655F7">
        <w:t xml:space="preserve">ærlige </w:t>
      </w:r>
      <w:r w:rsidR="00652C58">
        <w:t>a</w:t>
      </w:r>
      <w:r w:rsidR="001A3F0B" w:rsidRPr="005655F7">
        <w:t xml:space="preserve">dministrative </w:t>
      </w:r>
      <w:r w:rsidR="00652C58">
        <w:t>r</w:t>
      </w:r>
      <w:r w:rsidR="001A3F0B" w:rsidRPr="005655F7">
        <w:t>egion</w:t>
      </w:r>
      <w:r w:rsidR="0072304F">
        <w:t>s</w:t>
      </w:r>
      <w:r w:rsidR="001A3F0B" w:rsidRPr="005655F7">
        <w:t xml:space="preserve"> </w:t>
      </w:r>
      <w:r w:rsidR="00A83099" w:rsidRPr="00A83099">
        <w:t>selvstyre og af oppositionsledere, herunder medlemmer af civilsamfundet og deres familiemedlemmer</w:t>
      </w:r>
      <w:r w:rsidR="001A3F0B" w:rsidRPr="005655F7">
        <w:t xml:space="preserve">; opfordrer Kommissionen til at vurdere Hongkongs </w:t>
      </w:r>
      <w:r w:rsidR="008D08EF" w:rsidRPr="008D08EF">
        <w:t xml:space="preserve">og Macaos </w:t>
      </w:r>
      <w:r w:rsidR="001A3F0B" w:rsidRPr="005655F7">
        <w:t>status som selvstyrende i lyset af Kinas overtrædelser af den kinesisk-britiske og den kinesisk-portugisiske fælleserklæring og den hårde linje imod Hongkongs autonomi;</w:t>
      </w:r>
    </w:p>
    <w:p w14:paraId="103B1019" w14:textId="19FC5C8B" w:rsidR="001A3F0B" w:rsidRPr="005655F7" w:rsidRDefault="00EE157D" w:rsidP="001A3F0B">
      <w:pPr>
        <w:pStyle w:val="NormalHanging12a"/>
      </w:pPr>
      <w:r>
        <w:t>114</w:t>
      </w:r>
      <w:r w:rsidR="001A3F0B" w:rsidRPr="005655F7">
        <w:t>.</w:t>
      </w:r>
      <w:r w:rsidR="001A3F0B" w:rsidRPr="005655F7">
        <w:tab/>
        <w:t xml:space="preserve">understreget behovet for sikre en samlet europæisk tilgang, når Kina bruger sin økonomiske indflydelse til at lukke munden på modstandere af sine </w:t>
      </w:r>
      <w:r w:rsidR="001A3F0B" w:rsidRPr="005655F7">
        <w:lastRenderedPageBreak/>
        <w:t>menneskerettighedskrænkelser; opfordrer indtrængende Kina til at undersøge og forhindre krænkelser af menneskerettighederne og folkeretten; minder om, at Kina som permanent medlem af FN's Sikkerhedsråd har et særligt ansvar med hensyn til verdenserklæringen om menneskerettighederne; er bekymret over kristnes og andre religiøse minoriteters situation, herunder deres religionsfrihed i Kina, idet de er konfronteret med vedvarende forfølgelse;</w:t>
      </w:r>
    </w:p>
    <w:p w14:paraId="44E544E1" w14:textId="01770728" w:rsidR="001A3F0B" w:rsidRPr="005655F7" w:rsidRDefault="00EE157D" w:rsidP="001A3F0B">
      <w:pPr>
        <w:pStyle w:val="NormalHanging12a"/>
      </w:pPr>
      <w:r>
        <w:t>115</w:t>
      </w:r>
      <w:r w:rsidR="001A3F0B" w:rsidRPr="005655F7">
        <w:t>.</w:t>
      </w:r>
      <w:r w:rsidR="001A3F0B" w:rsidRPr="005655F7">
        <w:tab/>
        <w:t xml:space="preserve">fordømmer den stigende tendens til grænseoverskridende undertrykkelse fra Kinas side og opfordrer de EU-medlemsstater, der endnu ikke har gjort det, til at suspendere deres udleveringsaftaler med Kina og Hongkong og til at lukke alle resterende ulovlige kinesiske "politistationer" på deres områder; </w:t>
      </w:r>
      <w:r w:rsidR="008E295E" w:rsidRPr="008E295E">
        <w:t xml:space="preserve">udtrykker bekymring over aftalen om "styrkelse af retshåndhævelsessamarbejdet og fælles patruljeringer", der blev undertegnet af det kinesiske ministerium for offentlig sikkerhed og det ungarske indenrigsministerium den 16. februar 2024; opfordrer den ungarske regering til omgående og fuldt ud at offentliggøre alle detaljer i aftalen og dens potentielle negative indvirkning på Den Europæiske Unions fælles sikkerhed og suverænitet; </w:t>
      </w:r>
      <w:r w:rsidR="001A3F0B" w:rsidRPr="005655F7">
        <w:t>opfordrer EU-Udenrigstjenesten til nøje at overvåge retssagerne mod politiske fanger i Hongkong og til at opfordre til løsladelse af sådanne politiske fanger, herunder grundlæggeren af Apple Daily, Jimmy Lai;</w:t>
      </w:r>
    </w:p>
    <w:p w14:paraId="2A90559D" w14:textId="4E5A4805" w:rsidR="001A3F0B" w:rsidRPr="005655F7" w:rsidRDefault="00EE157D" w:rsidP="001A3F0B">
      <w:pPr>
        <w:pStyle w:val="NormalHanging12a"/>
      </w:pPr>
      <w:r>
        <w:t>116</w:t>
      </w:r>
      <w:r w:rsidR="001A3F0B" w:rsidRPr="005655F7">
        <w:t>.</w:t>
      </w:r>
      <w:r w:rsidR="001A3F0B" w:rsidRPr="005655F7">
        <w:tab/>
        <w:t>noterer sig BRIKS-landenes seneste topmøde, som blev afholdt i Johannesburg i august 2023, og Kinas geopolitiske mål med hensyn til BRIKS-landene</w:t>
      </w:r>
      <w:r w:rsidR="008E295E">
        <w:t xml:space="preserve"> </w:t>
      </w:r>
      <w:r w:rsidR="008E295E" w:rsidRPr="008E295E">
        <w:t>samt Kinas narrativer inden for rammerne af landets initiativer vedrørende global udvikling, global sikkerhed og global civilisation</w:t>
      </w:r>
      <w:r w:rsidR="001A3F0B" w:rsidRPr="005655F7">
        <w:t xml:space="preserve">; fremhæver behovet for, at EU og medlemsstaterne øger dialogen og samarbejdet med nogle medlemmer af BRIKS+ for at imødegå </w:t>
      </w:r>
      <w:r w:rsidR="008E295E" w:rsidRPr="008E295E">
        <w:t xml:space="preserve">Ruslands ondsindede handlinger og </w:t>
      </w:r>
      <w:r w:rsidR="001A3F0B" w:rsidRPr="005655F7">
        <w:t>Kinas stigende globale indflydelse;</w:t>
      </w:r>
    </w:p>
    <w:p w14:paraId="7E3134C2" w14:textId="7889D463" w:rsidR="001A3F0B" w:rsidRPr="005655F7" w:rsidRDefault="00EE157D" w:rsidP="001A3F0B">
      <w:pPr>
        <w:pStyle w:val="NormalHanging12a"/>
      </w:pPr>
      <w:r>
        <w:t>117</w:t>
      </w:r>
      <w:r w:rsidR="001A3F0B" w:rsidRPr="005655F7">
        <w:t>.</w:t>
      </w:r>
      <w:r w:rsidR="001A3F0B" w:rsidRPr="005655F7">
        <w:tab/>
        <w:t>opfordrer indtrængende EU og Kina til at intensivere dialogen og det tætte samarbejde om bekæmpelse af ulovligt, urapporteret og ureguleret fiskeri og mere generelt om bæredygtig udnyttelse af havets biologiske ressourcer og forvaltningen af havene; opfordrer EU til at styrke samarbejdet med Det Forenede Kongerige, USA, Japan og andre nøgleaktører inden for fiskeri- og havpolitik og bruge sine diplomatiske værktøjer til at tilskynde Kina til at gøre fremskridt med de nødvendige reformer af sin fiskeriforvaltningsramme;</w:t>
      </w:r>
    </w:p>
    <w:p w14:paraId="40C1F6AE" w14:textId="5AA5C6D6" w:rsidR="001A3F0B" w:rsidRPr="005655F7" w:rsidRDefault="00EE157D" w:rsidP="001A3F0B">
      <w:pPr>
        <w:pStyle w:val="NormalHanging12a"/>
      </w:pPr>
      <w:r>
        <w:t>118</w:t>
      </w:r>
      <w:r w:rsidR="001A3F0B" w:rsidRPr="005655F7">
        <w:t>.</w:t>
      </w:r>
      <w:r w:rsidR="001A3F0B" w:rsidRPr="005655F7">
        <w:tab/>
        <w:t>fordømmer på det kraftigste Kinas fortsatte militære provokationer mod Taiwan og gentager sin håndfaste afvisning af enhver ensidig ændring af status quo i Taiwanstrædet</w:t>
      </w:r>
      <w:r w:rsidR="00A74B9A">
        <w:t xml:space="preserve">, </w:t>
      </w:r>
      <w:r w:rsidR="00A74B9A" w:rsidRPr="00A74B9A">
        <w:t>der truer den regionale stabilitet; opfordrer EU og dets medlemsstater til gennem en klar og tydelig tilkendegivelse at sikre, at ethvert forsøg på ensidigt at ændre status quo i Taiwanstrædet, særlig ved brug af magt eller tvang ikke kan accepteres og vil have høje omkostninger</w:t>
      </w:r>
      <w:r w:rsidR="001A3F0B" w:rsidRPr="005655F7">
        <w:t xml:space="preserve">; fremhæver, at der ikke er grundlag for Kinas territorialkrav i folkeretten; fordømmer endvidere Kinas blokering af Taiwans deltagelse i multilaterale organisationer; opfordrer Kommissionen og medlemsstaterne til at støtte Taiwans meningsfulde deltagelse i relevante internationale organisationer såsom WHO, Organisationen for International Civil Luftfart og FN's rammekonvention om klimaændringer; gentager, at Taiwan er en afgørende EU-partner og en demokratisk allieret i den indopacifiske region; anerkender Taiwans betydning for at sikre globale forsyningskæder, navnlig inden for den højteknologiske sektor, og opfordrer indtrængende EU og EU-medlemsstaterne til at indlede et tættere samarbejde med Taiwan; glæder sig over de besøg i Taiwan, som siden 2021 er blevet gennemført af en række officielle delegationer fra Europa-Parlamentets udvalg, og </w:t>
      </w:r>
      <w:r w:rsidR="00A74B9A" w:rsidRPr="00A74B9A">
        <w:t>tilskynder til yderligere udvekslinger mellem EU og Taiwan</w:t>
      </w:r>
      <w:r w:rsidR="00A74B9A">
        <w:t xml:space="preserve">; </w:t>
      </w:r>
      <w:r w:rsidR="001A3F0B" w:rsidRPr="005655F7">
        <w:t xml:space="preserve">opfordrer Kommissionen til straks at </w:t>
      </w:r>
      <w:r w:rsidR="001A3F0B" w:rsidRPr="005655F7">
        <w:lastRenderedPageBreak/>
        <w:t>træffe forberedende foranstaltninger til forhandlinger om en bilateral investeringsaftale med Taiwan;</w:t>
      </w:r>
    </w:p>
    <w:p w14:paraId="6C2142F5" w14:textId="6E3FBFB6" w:rsidR="001A3F0B" w:rsidRPr="005655F7" w:rsidRDefault="00EE157D" w:rsidP="001A3F0B">
      <w:pPr>
        <w:pStyle w:val="NormalHanging12a"/>
      </w:pPr>
      <w:r>
        <w:t>119</w:t>
      </w:r>
      <w:r w:rsidR="001A3F0B" w:rsidRPr="005655F7">
        <w:t>.</w:t>
      </w:r>
      <w:r w:rsidR="001A3F0B" w:rsidRPr="005655F7">
        <w:tab/>
        <w:t>fordømmer den kinesiske præsidents udtalelser om, at Kina aldrig vil give afkald på retten til at bruge magt med hensyn til Taiwan</w:t>
      </w:r>
      <w:r w:rsidR="00341DF6">
        <w:t xml:space="preserve"> </w:t>
      </w:r>
      <w:r w:rsidR="00341DF6" w:rsidRPr="00341DF6">
        <w:t>og opfordrer Kinas lederskab til at udvise forsigtighed og tilbageholdenhed i kølvandet på præsident- og parlamentsvalget i Taiwan</w:t>
      </w:r>
      <w:r w:rsidR="001A3F0B" w:rsidRPr="005655F7">
        <w:t>; bemærker, at hverken Taiwan eller Kina er underordnet den anden; udtrykker alvorlig bekymring over Kinas brug af fjendtlig desinformation til at undergrave tilliden til Taiwans demokrati og regeringsførelse; opfordrer EU og EU-medlemsstaterne til at samarbejde med internationale partnere om at bidrage til at opretholde demokratiet i Taiwan og holde landet frit for udenlandsk indblanding og udenlandske trusler og understreger, at kun Taiwans demokratisk valgte regering kan repræsentere den taiwanske befolkning på den internationale scene; gør opmærksom på behovet for også at fokusere på forebyggende diplomati for at undgå en eskalering i Taiwanstrædet;</w:t>
      </w:r>
    </w:p>
    <w:p w14:paraId="5312915C" w14:textId="1495FBE2" w:rsidR="001A3F0B" w:rsidRPr="005655F7" w:rsidRDefault="00EE157D" w:rsidP="001A3F0B">
      <w:pPr>
        <w:pStyle w:val="NormalHanging12a"/>
      </w:pPr>
      <w:r>
        <w:t>120</w:t>
      </w:r>
      <w:r w:rsidR="001A3F0B" w:rsidRPr="005655F7">
        <w:t>.</w:t>
      </w:r>
      <w:r w:rsidR="001A3F0B" w:rsidRPr="005655F7">
        <w:tab/>
        <w:t xml:space="preserve">bemærker, at Kina i det seneste årti har fokuseret på at styrke sin indflydelse i den indopacifiske region gennem øget bistand, udvikling, diplomati og sikkerhedssamarbejde; fremhæver, at der er behov for ressourcesammenlægning for effektivt at styrke EU's politiske fodaftryk og gøre EU gældende som en pålidelig og strategisk partner i Stillehavsområdet; </w:t>
      </w:r>
      <w:r w:rsidR="00341DF6" w:rsidRPr="00341DF6">
        <w:t xml:space="preserve">udtrykker bekymring over Kinas forsøg på at dominere nærliggende havområder, herunder Det Sydkinesiske Hav og Det Østkinesiske Hav, hvilket i alvorlig grad kan påvirke den regionale magtbalance og påvirke EU's økonomiske og politiske interesser negativt; opfordrer i denne forbindelse indtrængende Kina til at standse enhver militær aktion og ethvert pres rettet mod den filippinske flåde og de besatte øer i Det Sydkinesiske Hav; </w:t>
      </w:r>
      <w:r w:rsidR="001A3F0B" w:rsidRPr="005655F7">
        <w:t xml:space="preserve">tilskynder medlemsstaterne til at stå sammen og engagere sig med østater i Stillehavet og Organisationen af Stater i Afrika, Caribien og Stillehavet på ministerplan; understreger, at en seriøs opfølgning af </w:t>
      </w:r>
      <w:r w:rsidR="00341DF6" w:rsidRPr="00341DF6">
        <w:t>COP28</w:t>
      </w:r>
      <w:r w:rsidR="00341DF6">
        <w:t xml:space="preserve"> </w:t>
      </w:r>
      <w:r w:rsidR="001A3F0B" w:rsidRPr="005655F7">
        <w:t>er helt centralt for landene i regionen, og opfordrer derfor indtrængende EU-Udenrigstjenesten til at fremme den globale støtte til en bæredygtig grøn omstilling og til at styrke sit klimadiplomati for at konsolidere samarbejdet om foranstaltninger til tilpasning til og modvirkning af klimaændringer;</w:t>
      </w:r>
    </w:p>
    <w:p w14:paraId="0A5F670B" w14:textId="58ECCC31" w:rsidR="001A3F0B" w:rsidRPr="005655F7" w:rsidRDefault="00EE157D" w:rsidP="001A3F0B">
      <w:pPr>
        <w:pStyle w:val="NormalHanging12a"/>
      </w:pPr>
      <w:r>
        <w:t>121</w:t>
      </w:r>
      <w:r w:rsidR="001A3F0B" w:rsidRPr="005655F7">
        <w:t>.</w:t>
      </w:r>
      <w:r w:rsidR="001A3F0B" w:rsidRPr="005655F7">
        <w:tab/>
        <w:t>understreger, at ASEAN er en yderst vigtig allieret med hensyn til at styrke regelbaseret multilateralisme; opfordrer til tæt samarbejde i tråd med den fælles erklæring fra EU's og ASEAN's ledere af 14. december 2022 for at kunne forme den regionale dynamik på en bedre måde end de binære begrænsninger fra den kinesiske og amerikanske konkurrence; understreger endvidere i denne forbindelse vigtigheden af at bevare retten til fri sejlads i Det Sydkinesiske Hav og Det Østkinesiske Hav; minder om behovet for fuldt ud at gennemføre EU-ASEAN-handlingsplanen 2023-2027;</w:t>
      </w:r>
    </w:p>
    <w:p w14:paraId="0900C4B3" w14:textId="48F32221" w:rsidR="001A3F0B" w:rsidRPr="005655F7" w:rsidRDefault="00EE157D" w:rsidP="001A3F0B">
      <w:pPr>
        <w:pStyle w:val="NormalHanging12a"/>
      </w:pPr>
      <w:r>
        <w:t>122</w:t>
      </w:r>
      <w:r w:rsidR="001A3F0B" w:rsidRPr="005655F7">
        <w:t>.</w:t>
      </w:r>
      <w:r w:rsidR="001A3F0B" w:rsidRPr="005655F7">
        <w:tab/>
        <w:t xml:space="preserve">roser, at </w:t>
      </w:r>
      <w:r w:rsidR="003E4A90" w:rsidRPr="003E4A90">
        <w:t xml:space="preserve">Samoaaftalen </w:t>
      </w:r>
      <w:r w:rsidR="001A3F0B" w:rsidRPr="005655F7">
        <w:t xml:space="preserve">og dens regionale protokoller er blevet undertegnet, og at den vil give mulighed for et enestående regionalt fokus på landene i Afrika, Caribien og Stillehavet, og opfordrer til en hurtig ratificering fra såvel Organisationen af Stater i Afrika, Caribien og Stillehavet som EU; opfordrer indtrængende Kommissionen og HR/NF til at sikre, at der følges op på topmødet mellem EU og Den Afrikanske Union fra februar 2022 for at uddybe samarbejdet om initiativer af fælles interesse og for at imødekomme behovene hos partnerlandene i Afrika; </w:t>
      </w:r>
      <w:r w:rsidR="003E4A90" w:rsidRPr="003E4A90">
        <w:t xml:space="preserve">opfordrer til, at det udsatte tredje ministermøde mellem EU og Den Afrikanske Union finder sted så hurtigt som muligt; </w:t>
      </w:r>
      <w:r w:rsidR="001A3F0B" w:rsidRPr="005655F7">
        <w:t xml:space="preserve">fremhæver, at EU bør forfølge geografiske prioriteter på bilateralt plan med fokus på centrale afrikanske partnere, men også på regionalt plan med fokus på gennemførelsen af regionale strategier for Sahel og kyststaterne, De Store Søers Område og Afrikas Horn; glæder sig i denne forbindelse over operation Atalanta, der som EU's første </w:t>
      </w:r>
      <w:r w:rsidR="001A3F0B" w:rsidRPr="005655F7">
        <w:lastRenderedPageBreak/>
        <w:t>flådeoperation med den særlige opgave at beskytte FN's verdensfødevareprograms fartøjer er blevet en vellykket operation til bekæmpelse af piratvirksomhed; tilskynder Rådet og medlemsstaterne til at overveje at udvide den geografiske rækkevidde af operation Atalanta;</w:t>
      </w:r>
    </w:p>
    <w:p w14:paraId="7D86C73D" w14:textId="32712DEC" w:rsidR="001A3F0B" w:rsidRPr="005655F7" w:rsidRDefault="00EE157D" w:rsidP="001A3F0B">
      <w:pPr>
        <w:pStyle w:val="NormalHanging12a"/>
      </w:pPr>
      <w:r>
        <w:t>123</w:t>
      </w:r>
      <w:r w:rsidR="001A3F0B" w:rsidRPr="005655F7">
        <w:t>.</w:t>
      </w:r>
      <w:r w:rsidR="001A3F0B" w:rsidRPr="005655F7">
        <w:tab/>
        <w:t xml:space="preserve">lægger særlig vægt på at styrke sikkerhedssamarbejdet med lande i Guineabugten med henblik på at styrke deres integration og intraregionale solidaritet; </w:t>
      </w:r>
      <w:r w:rsidR="003E4A90" w:rsidRPr="003E4A90">
        <w:t xml:space="preserve">glæder sig i denne forbindelse over iværksættelsen af EU's sikkerheds- og forsvarsinitiativ til støtte for vestafrikanske lande i Guineabugten for en indledende periode på to år i tæt samarbejde med Elfenbenskysten, Ghana, Togo og Benin; </w:t>
      </w:r>
      <w:r w:rsidR="001A3F0B" w:rsidRPr="005655F7">
        <w:t>udtrykker dyb bekymring over forværringen af stabiliteten i Sahel, som forværredes af militærkuppet i Niger og opløsningen af demokratiske institutioner; anerkender ikke og vil ikke anerkende de myndigheder, som er en følge af kuppet i Niger; gentager sin meget klare opfordring til fuld og omgående genoprettelse af den forfatningsmæssige orden og tilslutter sig fuldt ud erklæringerne fra Det Økonomiske Fællesskab af Vestafrikanske Stater og dets afrikanske og internationale partnere i denne henseende;</w:t>
      </w:r>
    </w:p>
    <w:p w14:paraId="3696628D" w14:textId="3AFB79B9" w:rsidR="001A3F0B" w:rsidRPr="005655F7" w:rsidRDefault="00EE157D" w:rsidP="001A3F0B">
      <w:pPr>
        <w:pStyle w:val="NormalHanging12a"/>
      </w:pPr>
      <w:r>
        <w:t>124</w:t>
      </w:r>
      <w:r w:rsidR="001A3F0B" w:rsidRPr="005655F7">
        <w:t>.</w:t>
      </w:r>
      <w:r w:rsidR="001A3F0B" w:rsidRPr="005655F7">
        <w:tab/>
        <w:t>fordømmer Ruslands indblanding i Afrika, navnlig gennem Wagnergruppens øgede tilstedeværelse på kontinentet, og fordømmer på det kraftigste de begåede overgreb og forbrydelser; minder om, at stabiliteten i Sahel har direkte konsekvenser for sikkerheden og stabiliteten af de europæiske ydre grænser i Middelhavet; opfordrer EU til at øge ressourcerne og forbedre samarbejdet med vores partnere med henblik på at bekæmpe menneskehandel via Middelhavet og Belarus og optrævle de kriminelle netværk, som anvendes til menneskehandel; mener, at EU's politik vedrørende Sahel ikke har givet de forventede resultater, og noterer sig HR/NF's meddelelse om at revidere EU's strategi vedrørende Sahel;</w:t>
      </w:r>
    </w:p>
    <w:p w14:paraId="424F8A92" w14:textId="5C797084" w:rsidR="001A3F0B" w:rsidRPr="005655F7" w:rsidRDefault="00EE157D" w:rsidP="001A3F0B">
      <w:pPr>
        <w:pStyle w:val="NormalHanging12a"/>
      </w:pPr>
      <w:r>
        <w:t>125</w:t>
      </w:r>
      <w:r w:rsidR="001A3F0B" w:rsidRPr="005655F7">
        <w:t>.</w:t>
      </w:r>
      <w:r w:rsidR="001A3F0B" w:rsidRPr="005655F7">
        <w:tab/>
        <w:t>understreger behovet for at tilpasse den nuværende tilgang for at bevare indflydelse og opfordrer til en styrkelse af EU's engagement og støtte til regionen; glæder sig over Kommissionens udarbejdelse af en "ny strategisk tilgang" til partnerskabet med Afrika, som tager højde for den nye geopolitiske situation, og opfordrer indtrængende Kommissionen og Rådet til at udvikle et partnerskab, som gavner begge parter og fokuserer på fælles spørgsmål for Europa og Afrika; glæder sig over investeringspakken Global Gateway EU-Afrika på 150 mia. EUR, som har til formål at støtte afrikanske partnere i at udvikle en stærk, inkluderende, grøn og digital genopretning og omstilling; mener, at indsatsen for at bekæmpe desinformation og bedre vise EU's støtte til Afrika hurtigst muligt skal øges og forbedres;</w:t>
      </w:r>
    </w:p>
    <w:p w14:paraId="0083EA98" w14:textId="39DE6EA4" w:rsidR="001A3F0B" w:rsidRDefault="00EE157D" w:rsidP="001A3F0B">
      <w:pPr>
        <w:pStyle w:val="NormalHanging12a"/>
      </w:pPr>
      <w:r>
        <w:t>126</w:t>
      </w:r>
      <w:r w:rsidR="001A3F0B" w:rsidRPr="005655F7">
        <w:t>.</w:t>
      </w:r>
      <w:r w:rsidR="001A3F0B" w:rsidRPr="005655F7">
        <w:tab/>
        <w:t>understreger, at adgang til sikkert drikkevand er en af de største udfordringer i det 21. århundrede, især fordi næsten 60 % af grundvandsressourcerne krydser politiske territoriale grænser; fremhæver, at vandknaphed kan føre til meget alvorlige konflikter, hvis der ikke opstilles planer for en integreret og delt anvendelse af vandstrømmene; fremhæver behovet for, at EU vedtager en strategi for at fremme teknologiske og geopolitiske løsninger i områder, der er ramt af vandknaphed og derfor har et stort destabiliserende potentiale; opfordrer lande, der er beliggende i de vigtigste områder med konflikter relateret til vand, til at underskrive Helsinkivandkonventionen fra 1992 om beskyttelse og udnyttelse af grænseoverskridende vandløb og internationale søer;</w:t>
      </w:r>
    </w:p>
    <w:p w14:paraId="0F8979F6" w14:textId="20CF69B1" w:rsidR="003E4A90" w:rsidRDefault="00EE157D" w:rsidP="001A3F0B">
      <w:pPr>
        <w:pStyle w:val="NormalHanging12a"/>
      </w:pPr>
      <w:r>
        <w:t>127</w:t>
      </w:r>
      <w:r w:rsidR="003E4A90" w:rsidRPr="003E4A90">
        <w:t>.</w:t>
      </w:r>
      <w:r w:rsidR="003E4A90" w:rsidRPr="003E4A90">
        <w:tab/>
        <w:t>fordømmer de handlinger, som Venezuelas Nicolas Maduro har foretaget, og som udgør en direkte trussel mod Guyanas suverænitet; opfordrer det internationale samfund til at indlede drøftelser for at finde frem til en diplomatisk løsning, der respekterer Den Internationale Domstols (ICJ) jurisdiktion angående denne langvarige tvist;</w:t>
      </w:r>
    </w:p>
    <w:p w14:paraId="16B09482" w14:textId="2481948F" w:rsidR="003E4A90" w:rsidRDefault="00EE157D" w:rsidP="001A3F0B">
      <w:pPr>
        <w:pStyle w:val="NormalHanging12a"/>
      </w:pPr>
      <w:r>
        <w:lastRenderedPageBreak/>
        <w:t>128</w:t>
      </w:r>
      <w:r w:rsidR="003E4A90" w:rsidRPr="003E4A90">
        <w:t>.</w:t>
      </w:r>
      <w:r w:rsidR="003E4A90" w:rsidRPr="003E4A90">
        <w:tab/>
        <w:t>fordømmer det autoritære regime under Daniel Ortega og Rosario Murillo, som systematisk undergraver Nicaraguas demokratiske strukturer, herunder magtens tredeling, valgsystemet og respekten for menneskerettighederne; minder om, at regimet i Nicaragua opretholder stærke bånd til andre autokratier såsom dem i Iran, Venezuela og Cuba, samtidig med at det konsekvent demonstrerer sin støtte til Kreml ved bl.a. at tillade en russisk militær tilstedeværelse i Nicaragua; opfordrer til løsladelse af alle politiske fanger, herunder flere katolske biskopper og præster, som er blevet tilbageholdt i et forsøg på at bringe systemkritikere til tavshed, til en tilbagevenden til retsstatsprincippet og til, at EU fremmer en dialog mellem regimet og oppositionen; fordømmer de fortsatte psykiske og fysiske overgreb, som alle tilbageholdte udsættes for af politiet og fængselsmyndighederne, og situationen med tilbageholdelse i isolation, som nogle af dem udsættes for, uden adgang til deres advokater, familier eller lægehjælp; minder det nicaraguanske regime om dets ansvar for at sikre, at fængselsforholdene er i overensstemmelse med dets internationale menneskerettighedsforpligtelser og med standarder som FN's minimumsstandardregler for behandling af fanger (Nelson Mandela-reglerne);</w:t>
      </w:r>
    </w:p>
    <w:p w14:paraId="090B347E" w14:textId="472A3FBC" w:rsidR="003E4A90" w:rsidRPr="005655F7" w:rsidRDefault="00EE157D" w:rsidP="001A3F0B">
      <w:pPr>
        <w:pStyle w:val="NormalHanging12a"/>
      </w:pPr>
      <w:r>
        <w:t>129</w:t>
      </w:r>
      <w:r w:rsidR="003E4A90" w:rsidRPr="003E4A90">
        <w:t>.</w:t>
      </w:r>
      <w:r w:rsidR="003E4A90" w:rsidRPr="003E4A90">
        <w:tab/>
        <w:t>mener, at EU's politiske tilgang til Cuba er konstruktiv, men kritisk, som nedfældet i aftalen om politisk dialog og samarbejde i 2016; beklager, at det cubanske regime i årtier vedvarende har ignoreret og tilsidesat disse principper og rettigheder; fordømmer på det kraftigste de systematiske menneskerettighedskrænkelser og overgreb, som er taget til i den seneste tid, mod bl.a. de tusindvis af politiske fanger, demonstranter, politiske systemkritikere, religiøse ledere, menneskerettighedsaktivister og uafhængige kunstnere, og som bliver begået af det cubanske regime; opfordrer indtrængende de cubanske myndigheder til omgående at sætte en stopper for undertrykkelsespolitikken; bemærker, at den fjerde menneskerettighedsdialog fandt sted i Cuba i november 2023, men fordømmer, at ingen uafhængige civilsamfundsorganisationer deltog; konkluderer derfor, at denne øvelse ikke gav nogen håndgribelige resultater; mener, at EU anser dialogen for at være et mål i sig selv og ikke et instrument til at forbedre levevilkårene for de cubanske borgere, der har oplevet alvorlig fødevaremangel og alvorlige sundhedskriser, der har ført til en omfattende udvandring; forkaster, at det cubanske regime i øjeblikket forbyder besøg på stedet som led i en tilsynsmekanisme, der er tilgængelig for upartiske internationale aktører såsom Den Europæiske Union; fordømmer i lyset heraf på det kraftigste, at det cubanske regime nægtede en delegation fra Europa-Parlamentet at besøge landet;</w:t>
      </w:r>
    </w:p>
    <w:p w14:paraId="5FCB7DBE" w14:textId="254758A1" w:rsidR="001A3F0B" w:rsidRPr="005655F7" w:rsidRDefault="00EE157D" w:rsidP="001A3F0B">
      <w:pPr>
        <w:pStyle w:val="NormalHanging12a"/>
      </w:pPr>
      <w:r>
        <w:t>130</w:t>
      </w:r>
      <w:r w:rsidR="001A3F0B" w:rsidRPr="005655F7">
        <w:t>.</w:t>
      </w:r>
      <w:r w:rsidR="001A3F0B" w:rsidRPr="005655F7">
        <w:tab/>
        <w:t xml:space="preserve">bemærker, at EU bør være særligt interesseret i at genoplive sit partnerskab med landene i Latinamerika og Caribien; bemærker, at EU's engagement i regionen er gået tilbage i de seneste årtier, hvilket har skabt et tomrum for udenlandske ondsindede aktører; opfordrer indtrængende de latinamerikanske lande til at indtage en stærkere holdning i fordømmelsen af Ruslands aggression mod Ukraine; udtrykker bekymring over den stigende organiserede kriminalitet og narkohandel i Latinamerika, som også har konsekvenser for EU; </w:t>
      </w:r>
      <w:r w:rsidR="003E4A90" w:rsidRPr="003E4A90">
        <w:t xml:space="preserve">fordømmer på det kraftigste den vold og de kriminelle angreb, der udføres af væbnede grupper, som er involveret i narkotikahandel i og omkring Ecuador; </w:t>
      </w:r>
      <w:r w:rsidR="001A3F0B" w:rsidRPr="005655F7">
        <w:t>opfordrer til en væsentlig forøgelse af det biregionale samarbejde for at bekæmpe dette fænomen;</w:t>
      </w:r>
    </w:p>
    <w:p w14:paraId="1CA3C887" w14:textId="7010A01B" w:rsidR="001A3F0B" w:rsidRPr="005655F7" w:rsidRDefault="00EE157D" w:rsidP="001A3F0B">
      <w:pPr>
        <w:pStyle w:val="NormalHanging12a"/>
      </w:pPr>
      <w:r>
        <w:t>131</w:t>
      </w:r>
      <w:r w:rsidR="001A3F0B" w:rsidRPr="005655F7">
        <w:t>.</w:t>
      </w:r>
      <w:r w:rsidR="001A3F0B" w:rsidRPr="005655F7">
        <w:tab/>
        <w:t xml:space="preserve">noterer sig topmødet den 17. og 18. juli 2023 mellem EU og Sammenslutningen af Latinamerikanske og Caribiske Stater og håber, at det vil forbedre de biregionale forbindelser, især med tanke på Kinas og Ruslands stigende indflydelse i Latinamerika og Caribien; opfordrer medlemsstaterne og EU-Udenrigstjenesten til at føre proaktivt diplomati i regionen med stor vægt på at forsvare den multilaterale globale orden, </w:t>
      </w:r>
      <w:r w:rsidR="001A3F0B" w:rsidRPr="005655F7">
        <w:lastRenderedPageBreak/>
        <w:t xml:space="preserve">folkeretten og respekt for demokrati og menneskerettigheder; glæder sig over </w:t>
      </w:r>
      <w:r w:rsidR="009E2214" w:rsidRPr="009E2214">
        <w:t xml:space="preserve">undertegnelsen </w:t>
      </w:r>
      <w:r w:rsidR="001A3F0B" w:rsidRPr="005655F7">
        <w:t xml:space="preserve">af  den </w:t>
      </w:r>
      <w:r w:rsidR="009E2214" w:rsidRPr="009E2214">
        <w:t xml:space="preserve">nye </w:t>
      </w:r>
      <w:r w:rsidR="001A3F0B" w:rsidRPr="005655F7">
        <w:t>avancerede rammeaftale mellem EU og Chile</w:t>
      </w:r>
      <w:r w:rsidR="009E2214" w:rsidRPr="009E2214">
        <w:t>, som består af en politisk del og en samarbejdsdel samt en handels- og investeringsdel,</w:t>
      </w:r>
      <w:r w:rsidR="001A3F0B" w:rsidRPr="005655F7">
        <w:t xml:space="preserve"> og opfordrer til fremskridt i retning af undertegnelse og ratificering af </w:t>
      </w:r>
      <w:r w:rsidR="009E2214" w:rsidRPr="009E2214">
        <w:t xml:space="preserve">den globale aftale </w:t>
      </w:r>
      <w:r w:rsidR="001A3F0B" w:rsidRPr="005655F7">
        <w:t xml:space="preserve">mellem EU og Mexico; opfordrer Kommissionen og </w:t>
      </w:r>
      <w:r w:rsidR="009E2214" w:rsidRPr="009E2214">
        <w:t xml:space="preserve">det </w:t>
      </w:r>
      <w:r w:rsidR="001A3F0B" w:rsidRPr="005655F7">
        <w:t xml:space="preserve">belgiske </w:t>
      </w:r>
      <w:r w:rsidR="009E2214" w:rsidRPr="009E2214">
        <w:t xml:space="preserve">formandskab </w:t>
      </w:r>
      <w:r w:rsidR="001A3F0B" w:rsidRPr="005655F7">
        <w:t xml:space="preserve">for Rådet til resolut at gøre fremskridt og indgå aftalen med MERCOSUR inden udgangen af den nuværende valgperiode, samtidig med at de fastholder det højeste ambitionsniveau med hensyn til håndhævelsen af bæredygtighedsbestemmelserne; </w:t>
      </w:r>
      <w:r w:rsidR="009E2214" w:rsidRPr="009E2214">
        <w:t xml:space="preserve">glæder sig også over afslutningen af </w:t>
      </w:r>
      <w:r w:rsidR="001A3F0B" w:rsidRPr="005655F7">
        <w:t>ratifikationsprocessen for associeringsaftalen mellem EU og Mellemamerika;</w:t>
      </w:r>
    </w:p>
    <w:p w14:paraId="5250B490" w14:textId="524D63EB" w:rsidR="001A3F0B" w:rsidRPr="005655F7" w:rsidRDefault="00EE157D" w:rsidP="001A3F0B">
      <w:pPr>
        <w:pStyle w:val="NormalHanging12a"/>
      </w:pPr>
      <w:r>
        <w:t>132</w:t>
      </w:r>
      <w:r w:rsidR="001A3F0B" w:rsidRPr="005655F7">
        <w:t>.</w:t>
      </w:r>
      <w:r w:rsidR="001A3F0B" w:rsidRPr="005655F7">
        <w:tab/>
        <w:t>understreger vigtigheden af at knytte endnu stærkere forbindelser med Norge, som er EU's tættest associerede partner som følge af aftalen om Det Europæiske Økonomiske Samarbejdsområde</w:t>
      </w:r>
      <w:r w:rsidR="00836D66" w:rsidRPr="00836D66">
        <w:t>; glæder sig over afslutningen af de uddybende drøftelser med Schweiz og opfordrer til</w:t>
      </w:r>
      <w:r w:rsidR="001A3F0B" w:rsidRPr="005655F7">
        <w:t xml:space="preserve">, at </w:t>
      </w:r>
      <w:r w:rsidR="00836D66" w:rsidRPr="00836D66">
        <w:t xml:space="preserve">der gøres </w:t>
      </w:r>
      <w:r w:rsidR="001A3F0B" w:rsidRPr="005655F7">
        <w:t>fremskridt i forhandlingerne om en ny aftale</w:t>
      </w:r>
      <w:r w:rsidR="00836D66" w:rsidRPr="00836D66">
        <w:t xml:space="preserve">; glæder sig over resultatet af </w:t>
      </w:r>
      <w:r w:rsidR="001A3F0B" w:rsidRPr="005655F7">
        <w:t xml:space="preserve">forhandlingerne om </w:t>
      </w:r>
      <w:r w:rsidR="00836D66" w:rsidRPr="00836D66">
        <w:t xml:space="preserve">en associeringsaftale mellem EU og </w:t>
      </w:r>
      <w:r w:rsidR="001A3F0B" w:rsidRPr="005655F7">
        <w:t xml:space="preserve">Andorra og San Marino; noterer sig suspenderingen af forhandlingerne om en associeringsaftale med Monaco; </w:t>
      </w:r>
    </w:p>
    <w:p w14:paraId="7D2BEA20" w14:textId="7DFF1A7D" w:rsidR="001A3F0B" w:rsidRPr="005655F7" w:rsidRDefault="00EE157D" w:rsidP="001A3F0B">
      <w:pPr>
        <w:pStyle w:val="NormalHanging12a"/>
      </w:pPr>
      <w:r>
        <w:t>133</w:t>
      </w:r>
      <w:r w:rsidR="001A3F0B" w:rsidRPr="005655F7">
        <w:t>.</w:t>
      </w:r>
      <w:r w:rsidR="001A3F0B" w:rsidRPr="005655F7">
        <w:tab/>
        <w:t>opfordrer til et stærkere EU-engagement i Arktis, da dette område er af central geostrategisk betydning for EU med tanke på konsekvenserne af klimaforandringerne, den industrielle og økonomiske konkurrence, sikkerhedstruslerne – bl.a. som følge af den russiske militære ekspansion i Arktis – retten til fri sejlads og navigationssikkerheden; bemærker, at NATO har understreget Arktis' betydning, navnlig på grund af udvidelsen af mulige sejlruter, adgang til naturressourcer, klimabevarelse og territoriale krav, som alt sammen kan føre til øgede geopolitiske spændinger; fremhæver, at EU's engagement i regionen skal omfatte samarbejde med lokale partnere, herunder oprindelige folk;</w:t>
      </w:r>
    </w:p>
    <w:p w14:paraId="18C1CA75" w14:textId="3EA831BC" w:rsidR="001A3F0B" w:rsidRPr="005655F7" w:rsidRDefault="00EE157D" w:rsidP="001A3F0B">
      <w:pPr>
        <w:pStyle w:val="NormalHanging12a"/>
      </w:pPr>
      <w:r>
        <w:t>134</w:t>
      </w:r>
      <w:r w:rsidR="001A3F0B" w:rsidRPr="005655F7">
        <w:t>.</w:t>
      </w:r>
      <w:r w:rsidR="001A3F0B" w:rsidRPr="005655F7">
        <w:tab/>
        <w:t>opfordrer til øget støtte til EU-strategien for maritim sikkerhed, da retten til fri sejlads i stigende grad udgør en udfordring; insisterer på, at retten til fri sejlads til enhver tid skal respekteres, og at konfliktnedtrapning og forebyggelse af væbnede konflikter og militære hændelser skal prioriteres;</w:t>
      </w:r>
    </w:p>
    <w:p w14:paraId="5D80B5A8" w14:textId="5588CABE" w:rsidR="001A3F0B" w:rsidRPr="005655F7" w:rsidRDefault="00EE157D" w:rsidP="001A3F0B">
      <w:pPr>
        <w:pStyle w:val="NormalHanging12a"/>
      </w:pPr>
      <w:r>
        <w:t>135</w:t>
      </w:r>
      <w:r w:rsidR="001A3F0B" w:rsidRPr="005655F7">
        <w:t>.</w:t>
      </w:r>
      <w:r w:rsidR="001A3F0B" w:rsidRPr="005655F7">
        <w:tab/>
        <w:t>fremhæver, at den sydlige polarregion bør betragtes som et nyt interesseområde på grund af skiftende geopolitiske dynamikker; understreger betydningen af multilateralt samarbejde i behandlingen af beskyttede havområder; opfordrer EU til at udarbejde en hensigtsmæssig EU-dagsorden for polarområdet, som sigter mod at integrere Unionens regionale ambitioner i FUSP, og som omfatter medlemsstaternes betydelige interesser inden for forskning, bevaring af havenes ressourcer, fiskeri, regional fred og regelbaseret multilateralisme; opfordrer til en forbedret dialog mellem EU og Kina vedrørende Antarktis;</w:t>
      </w:r>
    </w:p>
    <w:p w14:paraId="2DC5CEFD" w14:textId="77777777" w:rsidR="001A3F0B" w:rsidRPr="005655F7" w:rsidRDefault="001A3F0B" w:rsidP="001A3F0B">
      <w:pPr>
        <w:pStyle w:val="NormalHanging12a"/>
        <w:jc w:val="center"/>
      </w:pPr>
      <w:r w:rsidRPr="005655F7">
        <w:t>°</w:t>
      </w:r>
    </w:p>
    <w:p w14:paraId="18A29B66" w14:textId="77777777" w:rsidR="001A3F0B" w:rsidRPr="005655F7" w:rsidRDefault="001A3F0B" w:rsidP="001A3F0B">
      <w:pPr>
        <w:pStyle w:val="NormalHanging12a"/>
        <w:jc w:val="center"/>
      </w:pPr>
      <w:r w:rsidRPr="005655F7">
        <w:t>°</w:t>
      </w:r>
      <w:r w:rsidRPr="005655F7">
        <w:tab/>
        <w:t>°</w:t>
      </w:r>
    </w:p>
    <w:p w14:paraId="31306994" w14:textId="7BD6C5DE" w:rsidR="001A3F0B" w:rsidRPr="005655F7" w:rsidRDefault="00EE157D" w:rsidP="001A3F0B">
      <w:pPr>
        <w:pStyle w:val="NormalHanging12a"/>
      </w:pPr>
      <w:r>
        <w:t>136</w:t>
      </w:r>
      <w:r w:rsidR="001A3F0B" w:rsidRPr="005655F7">
        <w:t>.</w:t>
      </w:r>
      <w:r w:rsidR="001A3F0B" w:rsidRPr="005655F7">
        <w:tab/>
        <w:t>pålægger sin formand at sende denne beslutning til Det Europæiske Råd, Rådet, Kommissionen, næstformanden for Kommissionen/Unionens højtstående repræsentant for udenrigsanliggender og sikkerhedspolitik og medlemsstaternes regeringer og nationale parlamenter.</w:t>
      </w:r>
    </w:p>
    <w:p w14:paraId="294F1E38" w14:textId="77777777" w:rsidR="001A3F0B" w:rsidRPr="005655F7" w:rsidRDefault="001A3F0B" w:rsidP="001A3F0B">
      <w:pPr>
        <w:pStyle w:val="ListParagraph"/>
        <w:ind w:left="360"/>
      </w:pPr>
    </w:p>
    <w:sectPr w:rsidR="001A3F0B" w:rsidRPr="005655F7" w:rsidSect="0085764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F86C82" w14:textId="77777777" w:rsidR="00CA60EC" w:rsidRPr="0085764F" w:rsidRDefault="00CA60EC">
      <w:r w:rsidRPr="0085764F">
        <w:separator/>
      </w:r>
    </w:p>
  </w:endnote>
  <w:endnote w:type="continuationSeparator" w:id="0">
    <w:p w14:paraId="760D4F2F" w14:textId="77777777" w:rsidR="00CA60EC" w:rsidRPr="0085764F" w:rsidRDefault="00CA60EC">
      <w:r w:rsidRPr="008576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C2E60E" w14:textId="77777777" w:rsidR="00CA60EC" w:rsidRPr="0085764F" w:rsidRDefault="00CA60EC">
      <w:r w:rsidRPr="0085764F">
        <w:separator/>
      </w:r>
    </w:p>
  </w:footnote>
  <w:footnote w:type="continuationSeparator" w:id="0">
    <w:p w14:paraId="6E687A70" w14:textId="77777777" w:rsidR="00CA60EC" w:rsidRPr="0085764F" w:rsidRDefault="00CA60EC">
      <w:r w:rsidRPr="0085764F">
        <w:continuationSeparator/>
      </w:r>
    </w:p>
  </w:footnote>
  <w:footnote w:id="1">
    <w:p w14:paraId="7D573286" w14:textId="77777777" w:rsidR="001A3F0B" w:rsidRPr="0085764F" w:rsidRDefault="001A3F0B" w:rsidP="0085764F">
      <w:pPr>
        <w:pStyle w:val="FootnoteText"/>
        <w:ind w:left="567" w:hanging="567"/>
        <w:rPr>
          <w:sz w:val="24"/>
          <w:lang w:val="da-DK"/>
        </w:rPr>
      </w:pPr>
      <w:r w:rsidRPr="0085764F">
        <w:rPr>
          <w:rStyle w:val="FootnoteReference"/>
          <w:sz w:val="24"/>
          <w:lang w:val="da-DK"/>
        </w:rPr>
        <w:footnoteRef/>
      </w:r>
      <w:r w:rsidR="0085764F" w:rsidRPr="0085764F">
        <w:rPr>
          <w:sz w:val="24"/>
          <w:lang w:val="da-DK"/>
        </w:rPr>
        <w:t xml:space="preserve"> </w:t>
      </w:r>
      <w:r w:rsidR="0085764F" w:rsidRPr="0085764F">
        <w:rPr>
          <w:sz w:val="24"/>
          <w:lang w:val="da-DK"/>
        </w:rPr>
        <w:tab/>
      </w:r>
      <w:r w:rsidRPr="0085764F">
        <w:rPr>
          <w:sz w:val="24"/>
          <w:lang w:val="da-DK"/>
        </w:rPr>
        <w:t>EUT L 102 af 24.3.2021, s. 14.</w:t>
      </w:r>
    </w:p>
  </w:footnote>
  <w:footnote w:id="2">
    <w:p w14:paraId="153A3B23" w14:textId="77777777" w:rsidR="001A3F0B" w:rsidRPr="0085764F" w:rsidRDefault="001A3F0B" w:rsidP="0085764F">
      <w:pPr>
        <w:pStyle w:val="FootnoteText"/>
        <w:ind w:left="567" w:hanging="567"/>
        <w:rPr>
          <w:sz w:val="24"/>
          <w:lang w:val="da-DK"/>
        </w:rPr>
      </w:pPr>
      <w:r w:rsidRPr="0085764F">
        <w:rPr>
          <w:rStyle w:val="FootnoteReference"/>
          <w:sz w:val="24"/>
          <w:lang w:val="da-DK"/>
        </w:rPr>
        <w:footnoteRef/>
      </w:r>
      <w:r w:rsidR="0085764F" w:rsidRPr="0085764F">
        <w:rPr>
          <w:sz w:val="24"/>
          <w:lang w:val="da-DK"/>
        </w:rPr>
        <w:t xml:space="preserve"> </w:t>
      </w:r>
      <w:r w:rsidR="0085764F" w:rsidRPr="0085764F">
        <w:rPr>
          <w:sz w:val="24"/>
          <w:lang w:val="da-DK"/>
        </w:rPr>
        <w:tab/>
      </w:r>
      <w:r w:rsidRPr="0085764F">
        <w:rPr>
          <w:sz w:val="24"/>
          <w:lang w:val="da-DK"/>
        </w:rPr>
        <w:t>EUT C 167 af 11.5.2023, s. 105.</w:t>
      </w:r>
    </w:p>
  </w:footnote>
  <w:footnote w:id="3">
    <w:p w14:paraId="75FB7C50" w14:textId="77777777" w:rsidR="001A3F0B" w:rsidRPr="0085764F" w:rsidRDefault="001A3F0B" w:rsidP="0085764F">
      <w:pPr>
        <w:pStyle w:val="FootnoteText"/>
        <w:ind w:left="567" w:hanging="567"/>
        <w:rPr>
          <w:sz w:val="24"/>
          <w:lang w:val="da-DK"/>
        </w:rPr>
      </w:pPr>
      <w:r w:rsidRPr="0085764F">
        <w:rPr>
          <w:rStyle w:val="FootnoteReference"/>
          <w:sz w:val="24"/>
          <w:lang w:val="da-DK"/>
        </w:rPr>
        <w:footnoteRef/>
      </w:r>
      <w:r w:rsidR="0085764F" w:rsidRPr="0085764F">
        <w:rPr>
          <w:sz w:val="24"/>
          <w:lang w:val="da-DK"/>
        </w:rPr>
        <w:t xml:space="preserve"> </w:t>
      </w:r>
      <w:r w:rsidR="0085764F" w:rsidRPr="0085764F">
        <w:rPr>
          <w:sz w:val="24"/>
          <w:lang w:val="da-DK"/>
        </w:rPr>
        <w:tab/>
      </w:r>
      <w:r w:rsidRPr="0085764F">
        <w:rPr>
          <w:sz w:val="24"/>
          <w:lang w:val="da-DK"/>
        </w:rPr>
        <w:t>EUT L 22 af 24.1.2023, s. 29.</w:t>
      </w:r>
    </w:p>
  </w:footnote>
  <w:footnote w:id="4">
    <w:p w14:paraId="4BDCF7A8" w14:textId="77777777" w:rsidR="001A3F0B" w:rsidRPr="0085764F" w:rsidRDefault="001A3F0B" w:rsidP="0085764F">
      <w:pPr>
        <w:pStyle w:val="FootnoteText"/>
        <w:ind w:left="567" w:hanging="567"/>
        <w:rPr>
          <w:sz w:val="24"/>
          <w:lang w:val="da-DK"/>
        </w:rPr>
      </w:pPr>
      <w:r w:rsidRPr="0085764F">
        <w:rPr>
          <w:rStyle w:val="FootnoteReference"/>
          <w:sz w:val="24"/>
          <w:lang w:val="da-DK"/>
        </w:rPr>
        <w:footnoteRef/>
      </w:r>
      <w:r w:rsidR="0085764F" w:rsidRPr="0085764F">
        <w:rPr>
          <w:sz w:val="24"/>
          <w:lang w:val="da-DK"/>
        </w:rPr>
        <w:t xml:space="preserve"> </w:t>
      </w:r>
      <w:r w:rsidR="0085764F" w:rsidRPr="0085764F">
        <w:rPr>
          <w:sz w:val="24"/>
          <w:lang w:val="da-DK"/>
        </w:rPr>
        <w:tab/>
      </w:r>
      <w:r w:rsidRPr="0085764F">
        <w:rPr>
          <w:sz w:val="24"/>
          <w:lang w:val="da-DK"/>
        </w:rPr>
        <w:t>EUT L 270 af 18.10.2022, s. 93.</w:t>
      </w:r>
    </w:p>
  </w:footnote>
  <w:footnote w:id="5">
    <w:p w14:paraId="7715C5C3" w14:textId="77777777" w:rsidR="001A3F0B" w:rsidRPr="005655F7" w:rsidRDefault="001A3F0B" w:rsidP="0085764F">
      <w:pPr>
        <w:pStyle w:val="FootnoteText"/>
        <w:ind w:left="567" w:hanging="567"/>
        <w:rPr>
          <w:sz w:val="24"/>
          <w:lang w:val="fi-FI"/>
        </w:rPr>
      </w:pPr>
      <w:r w:rsidRPr="0085764F">
        <w:rPr>
          <w:rStyle w:val="FootnoteReference"/>
          <w:sz w:val="24"/>
          <w:lang w:val="da-DK"/>
        </w:rPr>
        <w:footnoteRef/>
      </w:r>
      <w:r w:rsidR="0085764F" w:rsidRPr="005655F7">
        <w:rPr>
          <w:sz w:val="24"/>
          <w:lang w:val="fi-FI"/>
        </w:rPr>
        <w:t xml:space="preserve"> </w:t>
      </w:r>
      <w:r w:rsidR="0085764F" w:rsidRPr="005655F7">
        <w:rPr>
          <w:sz w:val="24"/>
          <w:lang w:val="fi-FI"/>
        </w:rPr>
        <w:tab/>
      </w:r>
      <w:r w:rsidRPr="005655F7">
        <w:rPr>
          <w:sz w:val="24"/>
          <w:lang w:val="fi-FI"/>
        </w:rPr>
        <w:t>EUT L 325 af 20.12.2022, s. 110.</w:t>
      </w:r>
    </w:p>
  </w:footnote>
  <w:footnote w:id="6">
    <w:p w14:paraId="1950D2F6" w14:textId="5E71A09B" w:rsidR="001A3F0B" w:rsidRPr="005655F7" w:rsidRDefault="001A3F0B" w:rsidP="0085764F">
      <w:pPr>
        <w:pStyle w:val="FootnoteText"/>
        <w:ind w:left="567" w:hanging="567"/>
        <w:rPr>
          <w:sz w:val="24"/>
          <w:lang w:val="fi-FI"/>
        </w:rPr>
      </w:pPr>
      <w:r w:rsidRPr="0085764F">
        <w:rPr>
          <w:rStyle w:val="FootnoteReference"/>
          <w:sz w:val="24"/>
          <w:lang w:val="da-DK"/>
        </w:rPr>
        <w:footnoteRef/>
      </w:r>
      <w:r w:rsidR="0085764F" w:rsidRPr="005655F7">
        <w:rPr>
          <w:sz w:val="24"/>
          <w:lang w:val="fi-FI"/>
        </w:rPr>
        <w:t xml:space="preserve"> </w:t>
      </w:r>
      <w:r w:rsidR="0085764F" w:rsidRPr="005655F7">
        <w:rPr>
          <w:sz w:val="24"/>
          <w:lang w:val="fi-FI"/>
        </w:rPr>
        <w:tab/>
      </w:r>
      <w:r w:rsidRPr="005655F7">
        <w:rPr>
          <w:sz w:val="24"/>
          <w:lang w:val="fi-FI"/>
        </w:rPr>
        <w:t xml:space="preserve">EUT C, C/2023/404, 23.11.2023, </w:t>
      </w:r>
      <w:hyperlink r:id="rId1" w:history="1">
        <w:r w:rsidR="00062F9B" w:rsidRPr="00062F9B">
          <w:rPr>
            <w:rStyle w:val="Hyperlink"/>
            <w:sz w:val="24"/>
            <w:lang w:val="fi-FI"/>
          </w:rPr>
          <w:t>ELI: http://data.europa.eu/eli/C/2023/404/oj</w:t>
        </w:r>
      </w:hyperlink>
      <w:r w:rsidRPr="005655F7">
        <w:rPr>
          <w:sz w:val="24"/>
          <w:lang w:val="fi-FI"/>
        </w:rPr>
        <w:t>.</w:t>
      </w:r>
    </w:p>
  </w:footnote>
  <w:footnote w:id="7">
    <w:p w14:paraId="4CB9EA6D" w14:textId="13B5F323" w:rsidR="001A3F0B" w:rsidRPr="005655F7" w:rsidRDefault="001A3F0B" w:rsidP="0085764F">
      <w:pPr>
        <w:pStyle w:val="FootnoteText"/>
        <w:ind w:left="567" w:hanging="567"/>
        <w:rPr>
          <w:sz w:val="24"/>
          <w:lang w:val="fi-FI"/>
        </w:rPr>
      </w:pPr>
      <w:r w:rsidRPr="0085764F">
        <w:rPr>
          <w:rStyle w:val="FootnoteReference"/>
          <w:sz w:val="24"/>
          <w:lang w:val="da-DK"/>
        </w:rPr>
        <w:footnoteRef/>
      </w:r>
      <w:r w:rsidR="0085764F" w:rsidRPr="005655F7">
        <w:rPr>
          <w:sz w:val="24"/>
          <w:lang w:val="fi-FI"/>
        </w:rPr>
        <w:t xml:space="preserve"> </w:t>
      </w:r>
      <w:r w:rsidR="0085764F" w:rsidRPr="005655F7">
        <w:rPr>
          <w:sz w:val="24"/>
          <w:lang w:val="fi-FI"/>
        </w:rPr>
        <w:tab/>
      </w:r>
      <w:r w:rsidRPr="005655F7">
        <w:rPr>
          <w:sz w:val="24"/>
          <w:lang w:val="fi-FI"/>
        </w:rPr>
        <w:t xml:space="preserve">EUT C, C/2023/405, 23.11.2023, </w:t>
      </w:r>
      <w:hyperlink r:id="rId2" w:history="1">
        <w:r w:rsidR="00062F9B" w:rsidRPr="00062F9B">
          <w:rPr>
            <w:rStyle w:val="Hyperlink"/>
            <w:sz w:val="24"/>
            <w:lang w:val="fi-FI"/>
          </w:rPr>
          <w:t>ELI: http://data.europa.eu/eli/C/2023/405/oj</w:t>
        </w:r>
      </w:hyperlink>
      <w:r w:rsidR="00062F9B" w:rsidRPr="00062F9B">
        <w:rPr>
          <w:sz w:val="24"/>
          <w:lang w:val="fi-FI"/>
        </w:rPr>
        <w:t>.</w:t>
      </w:r>
    </w:p>
  </w:footnote>
  <w:footnote w:id="8">
    <w:p w14:paraId="1363473E" w14:textId="77777777" w:rsidR="001A3F0B" w:rsidRPr="0085764F" w:rsidRDefault="001A3F0B" w:rsidP="0085764F">
      <w:pPr>
        <w:pStyle w:val="FootnoteText"/>
        <w:ind w:left="567" w:hanging="567"/>
        <w:rPr>
          <w:sz w:val="24"/>
          <w:lang w:val="da-DK"/>
        </w:rPr>
      </w:pPr>
      <w:r w:rsidRPr="0085764F">
        <w:rPr>
          <w:rStyle w:val="FootnoteReference"/>
          <w:sz w:val="24"/>
          <w:lang w:val="da-DK"/>
        </w:rPr>
        <w:footnoteRef/>
      </w:r>
      <w:r w:rsidR="0085764F" w:rsidRPr="0085764F">
        <w:rPr>
          <w:sz w:val="24"/>
          <w:lang w:val="da-DK"/>
        </w:rPr>
        <w:t xml:space="preserve"> </w:t>
      </w:r>
      <w:r w:rsidR="0085764F" w:rsidRPr="0085764F">
        <w:rPr>
          <w:sz w:val="24"/>
          <w:lang w:val="da-DK"/>
        </w:rPr>
        <w:tab/>
      </w:r>
      <w:r w:rsidRPr="0085764F">
        <w:rPr>
          <w:sz w:val="24"/>
          <w:lang w:val="da-DK"/>
        </w:rPr>
        <w:t>EUT C 214 af 16.6.2023, s. 104.</w:t>
      </w:r>
    </w:p>
  </w:footnote>
  <w:footnote w:id="9">
    <w:p w14:paraId="62B0E1B9" w14:textId="77777777" w:rsidR="001A3F0B" w:rsidRPr="0085764F" w:rsidRDefault="001A3F0B" w:rsidP="0085764F">
      <w:pPr>
        <w:pStyle w:val="FootnoteText"/>
        <w:ind w:left="567" w:hanging="567"/>
        <w:rPr>
          <w:sz w:val="24"/>
          <w:lang w:val="da-DK"/>
        </w:rPr>
      </w:pPr>
      <w:r w:rsidRPr="0085764F">
        <w:rPr>
          <w:rStyle w:val="FootnoteReference"/>
          <w:sz w:val="24"/>
          <w:lang w:val="da-DK"/>
        </w:rPr>
        <w:footnoteRef/>
      </w:r>
      <w:r w:rsidR="0085764F" w:rsidRPr="0085764F">
        <w:rPr>
          <w:sz w:val="24"/>
          <w:lang w:val="da-DK"/>
        </w:rPr>
        <w:t xml:space="preserve"> </w:t>
      </w:r>
      <w:r w:rsidR="0085764F" w:rsidRPr="0085764F">
        <w:rPr>
          <w:sz w:val="24"/>
          <w:lang w:val="da-DK"/>
        </w:rPr>
        <w:tab/>
      </w:r>
      <w:r w:rsidRPr="0085764F">
        <w:rPr>
          <w:sz w:val="24"/>
          <w:lang w:val="da-DK"/>
        </w:rPr>
        <w:t>Vedtagne tekster, P9_TA(2023)0356.</w:t>
      </w:r>
    </w:p>
  </w:footnote>
  <w:footnote w:id="10">
    <w:p w14:paraId="36D06BFF" w14:textId="77777777" w:rsidR="001A3F0B" w:rsidRPr="0085764F" w:rsidRDefault="001A3F0B" w:rsidP="0085764F">
      <w:pPr>
        <w:pStyle w:val="FootnoteText"/>
        <w:ind w:left="567" w:hanging="567"/>
        <w:rPr>
          <w:sz w:val="24"/>
          <w:lang w:val="da-DK"/>
        </w:rPr>
      </w:pPr>
      <w:r w:rsidRPr="0085764F">
        <w:rPr>
          <w:rStyle w:val="FootnoteReference"/>
          <w:sz w:val="24"/>
          <w:lang w:val="da-DK"/>
        </w:rPr>
        <w:footnoteRef/>
      </w:r>
      <w:r w:rsidR="0085764F" w:rsidRPr="0085764F">
        <w:rPr>
          <w:sz w:val="24"/>
          <w:lang w:val="da-DK"/>
        </w:rPr>
        <w:t xml:space="preserve"> </w:t>
      </w:r>
      <w:r w:rsidR="0085764F" w:rsidRPr="0085764F">
        <w:rPr>
          <w:sz w:val="24"/>
          <w:lang w:val="da-DK"/>
        </w:rPr>
        <w:tab/>
      </w:r>
      <w:r w:rsidRPr="0085764F">
        <w:rPr>
          <w:sz w:val="24"/>
          <w:lang w:val="da-DK"/>
        </w:rPr>
        <w:t>Vedtagne tekster, P9_TA(2023)0106.</w:t>
      </w:r>
    </w:p>
  </w:footnote>
  <w:footnote w:id="11">
    <w:p w14:paraId="74CBDDCA" w14:textId="77777777" w:rsidR="001A3F0B" w:rsidRPr="0085764F" w:rsidRDefault="001A3F0B" w:rsidP="0085764F">
      <w:pPr>
        <w:pStyle w:val="FootnoteText"/>
        <w:ind w:left="567" w:hanging="567"/>
        <w:rPr>
          <w:sz w:val="24"/>
          <w:lang w:val="da-DK"/>
        </w:rPr>
      </w:pPr>
      <w:r w:rsidRPr="0085764F">
        <w:rPr>
          <w:rStyle w:val="FootnoteReference"/>
          <w:sz w:val="24"/>
          <w:lang w:val="da-DK"/>
        </w:rPr>
        <w:footnoteRef/>
      </w:r>
      <w:r w:rsidR="0085764F" w:rsidRPr="0085764F">
        <w:rPr>
          <w:sz w:val="24"/>
          <w:lang w:val="da-DK"/>
        </w:rPr>
        <w:t xml:space="preserve"> </w:t>
      </w:r>
      <w:r w:rsidR="0085764F" w:rsidRPr="0085764F">
        <w:rPr>
          <w:sz w:val="24"/>
          <w:lang w:val="da-DK"/>
        </w:rPr>
        <w:tab/>
      </w:r>
      <w:r w:rsidRPr="0085764F">
        <w:rPr>
          <w:sz w:val="24"/>
          <w:lang w:val="da-DK"/>
        </w:rPr>
        <w:t>EUT C 132 af 14.4.2023, s. 115.</w:t>
      </w:r>
    </w:p>
  </w:footnote>
  <w:footnote w:id="12">
    <w:p w14:paraId="4C088B83" w14:textId="77777777" w:rsidR="001A3F0B" w:rsidRPr="0085764F" w:rsidRDefault="001A3F0B" w:rsidP="0085764F">
      <w:pPr>
        <w:pStyle w:val="FootnoteText"/>
        <w:ind w:left="567" w:hanging="567"/>
        <w:rPr>
          <w:sz w:val="24"/>
          <w:lang w:val="da-DK"/>
        </w:rPr>
      </w:pPr>
      <w:r w:rsidRPr="0085764F">
        <w:rPr>
          <w:rStyle w:val="FootnoteReference"/>
          <w:sz w:val="24"/>
          <w:lang w:val="da-DK"/>
        </w:rPr>
        <w:footnoteRef/>
      </w:r>
      <w:r w:rsidR="0085764F" w:rsidRPr="0085764F">
        <w:rPr>
          <w:sz w:val="24"/>
          <w:lang w:val="da-DK"/>
        </w:rPr>
        <w:t xml:space="preserve"> </w:t>
      </w:r>
      <w:r w:rsidR="0085764F" w:rsidRPr="0085764F">
        <w:rPr>
          <w:sz w:val="24"/>
          <w:lang w:val="da-DK"/>
        </w:rPr>
        <w:tab/>
      </w:r>
      <w:r w:rsidRPr="0085764F">
        <w:rPr>
          <w:sz w:val="24"/>
          <w:lang w:val="da-DK"/>
        </w:rPr>
        <w:t>Vedtagne tekster, P9_TA(2023)0242.</w:t>
      </w:r>
    </w:p>
  </w:footnote>
  <w:footnote w:id="13">
    <w:p w14:paraId="7EDD079D" w14:textId="77777777" w:rsidR="001A3F0B" w:rsidRPr="0085764F" w:rsidRDefault="001A3F0B" w:rsidP="0085764F">
      <w:pPr>
        <w:pStyle w:val="FootnoteText"/>
        <w:ind w:left="567" w:hanging="567"/>
        <w:rPr>
          <w:sz w:val="24"/>
          <w:lang w:val="da-DK"/>
        </w:rPr>
      </w:pPr>
      <w:r w:rsidRPr="0085764F">
        <w:rPr>
          <w:rStyle w:val="FootnoteReference"/>
          <w:sz w:val="24"/>
          <w:lang w:val="da-DK"/>
        </w:rPr>
        <w:footnoteRef/>
      </w:r>
      <w:r w:rsidR="0085764F" w:rsidRPr="0085764F">
        <w:rPr>
          <w:sz w:val="24"/>
          <w:lang w:val="da-DK"/>
        </w:rPr>
        <w:t xml:space="preserve"> </w:t>
      </w:r>
      <w:r w:rsidR="0085764F" w:rsidRPr="0085764F">
        <w:rPr>
          <w:sz w:val="24"/>
          <w:lang w:val="da-DK"/>
        </w:rPr>
        <w:tab/>
      </w:r>
      <w:r w:rsidRPr="0085764F">
        <w:rPr>
          <w:sz w:val="24"/>
          <w:lang w:val="da-DK"/>
        </w:rPr>
        <w:t>Vedtagne tekster, P9_TA(2023)0219.</w:t>
      </w:r>
    </w:p>
  </w:footnote>
  <w:footnote w:id="14">
    <w:p w14:paraId="007A08E0" w14:textId="77777777" w:rsidR="001A3F0B" w:rsidRPr="0085764F" w:rsidRDefault="001A3F0B" w:rsidP="0085764F">
      <w:pPr>
        <w:pStyle w:val="FootnoteText"/>
        <w:ind w:left="567" w:hanging="567"/>
        <w:rPr>
          <w:sz w:val="24"/>
          <w:lang w:val="da-DK"/>
        </w:rPr>
      </w:pPr>
      <w:r w:rsidRPr="0085764F">
        <w:rPr>
          <w:rStyle w:val="FootnoteReference"/>
          <w:sz w:val="24"/>
          <w:lang w:val="da-DK"/>
        </w:rPr>
        <w:footnoteRef/>
      </w:r>
      <w:r w:rsidR="0085764F" w:rsidRPr="0085764F">
        <w:rPr>
          <w:sz w:val="24"/>
          <w:lang w:val="da-DK"/>
        </w:rPr>
        <w:t xml:space="preserve"> </w:t>
      </w:r>
      <w:r w:rsidR="0085764F" w:rsidRPr="0085764F">
        <w:rPr>
          <w:sz w:val="24"/>
          <w:lang w:val="da-DK"/>
        </w:rPr>
        <w:tab/>
      </w:r>
      <w:r w:rsidRPr="0085764F">
        <w:rPr>
          <w:sz w:val="24"/>
          <w:lang w:val="da-DK"/>
        </w:rPr>
        <w:t>EUT C 347 af 9.9.2022, s. 61.</w:t>
      </w:r>
    </w:p>
  </w:footnote>
  <w:footnote w:id="15">
    <w:p w14:paraId="64B33025" w14:textId="77777777" w:rsidR="001A3F0B" w:rsidRPr="0085764F" w:rsidRDefault="001A3F0B" w:rsidP="0085764F">
      <w:pPr>
        <w:pStyle w:val="FootnoteText"/>
        <w:ind w:left="567" w:hanging="567"/>
        <w:rPr>
          <w:sz w:val="24"/>
          <w:lang w:val="da-DK"/>
        </w:rPr>
      </w:pPr>
      <w:r w:rsidRPr="0085764F">
        <w:rPr>
          <w:rStyle w:val="FootnoteReference"/>
          <w:sz w:val="24"/>
          <w:lang w:val="da-DK"/>
        </w:rPr>
        <w:footnoteRef/>
      </w:r>
      <w:r w:rsidR="0085764F" w:rsidRPr="0085764F">
        <w:rPr>
          <w:sz w:val="24"/>
          <w:lang w:val="da-DK"/>
        </w:rPr>
        <w:t xml:space="preserve"> </w:t>
      </w:r>
      <w:r w:rsidR="0085764F" w:rsidRPr="0085764F">
        <w:rPr>
          <w:sz w:val="24"/>
          <w:lang w:val="da-DK"/>
        </w:rPr>
        <w:tab/>
      </w:r>
      <w:r w:rsidRPr="0085764F">
        <w:rPr>
          <w:sz w:val="24"/>
          <w:lang w:val="da-DK"/>
        </w:rPr>
        <w:t>EUT L 71 af 4.3.2022, s. 1.</w:t>
      </w:r>
    </w:p>
  </w:footnote>
  <w:footnote w:id="16">
    <w:p w14:paraId="494AF32E" w14:textId="77777777" w:rsidR="001A3F0B" w:rsidRPr="0085764F" w:rsidRDefault="001A3F0B" w:rsidP="0085764F">
      <w:pPr>
        <w:pStyle w:val="FootnoteText"/>
        <w:ind w:left="567" w:hanging="567"/>
        <w:rPr>
          <w:sz w:val="24"/>
          <w:lang w:val="da-DK"/>
        </w:rPr>
      </w:pPr>
      <w:r w:rsidRPr="0085764F">
        <w:rPr>
          <w:rStyle w:val="FootnoteReference"/>
          <w:sz w:val="24"/>
          <w:lang w:val="da-DK"/>
        </w:rPr>
        <w:footnoteRef/>
      </w:r>
      <w:r w:rsidR="0085764F" w:rsidRPr="0085764F">
        <w:rPr>
          <w:sz w:val="24"/>
          <w:lang w:val="da-DK"/>
        </w:rPr>
        <w:t xml:space="preserve"> </w:t>
      </w:r>
      <w:r w:rsidR="0085764F" w:rsidRPr="0085764F">
        <w:rPr>
          <w:sz w:val="24"/>
          <w:lang w:val="da-DK"/>
        </w:rPr>
        <w:tab/>
      </w:r>
      <w:r w:rsidRPr="0085764F">
        <w:rPr>
          <w:sz w:val="24"/>
          <w:lang w:val="da-DK"/>
        </w:rPr>
        <w:t>Vedtagne tekster, P9_TA(2023)0292.</w:t>
      </w:r>
    </w:p>
  </w:footnote>
  <w:footnote w:id="17">
    <w:p w14:paraId="5B5FF4B1" w14:textId="77777777" w:rsidR="001A3F0B" w:rsidRPr="0085764F" w:rsidRDefault="001A3F0B" w:rsidP="0085764F">
      <w:pPr>
        <w:pStyle w:val="FootnoteText"/>
        <w:ind w:left="567" w:hanging="567"/>
        <w:rPr>
          <w:sz w:val="24"/>
          <w:lang w:val="da-DK"/>
        </w:rPr>
      </w:pPr>
      <w:r w:rsidRPr="0085764F">
        <w:rPr>
          <w:rStyle w:val="FootnoteReference"/>
          <w:sz w:val="24"/>
          <w:lang w:val="da-DK"/>
        </w:rPr>
        <w:footnoteRef/>
      </w:r>
      <w:r w:rsidR="0085764F" w:rsidRPr="0085764F">
        <w:rPr>
          <w:sz w:val="24"/>
          <w:lang w:val="da-DK"/>
        </w:rPr>
        <w:t xml:space="preserve"> </w:t>
      </w:r>
      <w:r w:rsidR="0085764F" w:rsidRPr="0085764F">
        <w:rPr>
          <w:sz w:val="24"/>
          <w:lang w:val="da-DK"/>
        </w:rPr>
        <w:tab/>
      </w:r>
      <w:r w:rsidRPr="0085764F">
        <w:rPr>
          <w:sz w:val="24"/>
          <w:lang w:val="da-DK"/>
        </w:rPr>
        <w:t>Undersøgelsen "Qualified majority voting in common foreign and security policy – A cost of non-Europe report", Europa-Parlamentet, Generaldirektoratet for Parlamentarisk Forskning, den 28. august 2023.</w:t>
      </w:r>
    </w:p>
  </w:footnote>
  <w:footnote w:id="18">
    <w:p w14:paraId="0FF84C06" w14:textId="09244D89" w:rsidR="004D2E72" w:rsidRPr="00A97436" w:rsidRDefault="004D2E72" w:rsidP="00A97436">
      <w:pPr>
        <w:pStyle w:val="FootnoteText"/>
        <w:ind w:left="567" w:hanging="567"/>
        <w:rPr>
          <w:sz w:val="24"/>
          <w:lang w:val="da-DK"/>
        </w:rPr>
      </w:pPr>
      <w:r w:rsidRPr="00A97436">
        <w:rPr>
          <w:rStyle w:val="FootnoteReference"/>
          <w:sz w:val="24"/>
        </w:rPr>
        <w:footnoteRef/>
      </w:r>
      <w:r w:rsidRPr="00A97436">
        <w:rPr>
          <w:sz w:val="24"/>
          <w:lang w:val="da-DK"/>
        </w:rPr>
        <w:t xml:space="preserve"> </w:t>
      </w:r>
      <w:r w:rsidRPr="00A97436">
        <w:rPr>
          <w:sz w:val="24"/>
          <w:lang w:val="da-DK"/>
        </w:rPr>
        <w:tab/>
        <w:t>EFT C 150 af 28.5.1999, s. 164.</w:t>
      </w:r>
    </w:p>
  </w:footnote>
  <w:footnote w:id="19">
    <w:p w14:paraId="0B3B00FF" w14:textId="77777777" w:rsidR="001A3F0B" w:rsidRPr="0085764F" w:rsidRDefault="001A3F0B" w:rsidP="0085764F">
      <w:pPr>
        <w:pStyle w:val="FootnoteText"/>
        <w:ind w:left="567" w:hanging="567"/>
        <w:rPr>
          <w:sz w:val="24"/>
          <w:lang w:val="da-DK"/>
        </w:rPr>
      </w:pPr>
      <w:r w:rsidRPr="0085764F">
        <w:rPr>
          <w:rStyle w:val="FootnoteReference"/>
          <w:sz w:val="24"/>
          <w:lang w:val="da-DK"/>
        </w:rPr>
        <w:footnoteRef/>
      </w:r>
      <w:r w:rsidR="0085764F" w:rsidRPr="0085764F">
        <w:rPr>
          <w:sz w:val="24"/>
          <w:lang w:val="da-DK"/>
        </w:rPr>
        <w:t xml:space="preserve"> </w:t>
      </w:r>
      <w:r w:rsidR="0085764F" w:rsidRPr="0085764F">
        <w:rPr>
          <w:sz w:val="24"/>
          <w:lang w:val="da-DK"/>
        </w:rPr>
        <w:tab/>
      </w:r>
      <w:r w:rsidRPr="0085764F">
        <w:rPr>
          <w:sz w:val="24"/>
          <w:lang w:val="da-DK"/>
        </w:rPr>
        <w:t>EUT C 347 af 9.9.2022, s. 150.</w:t>
      </w:r>
    </w:p>
  </w:footnote>
  <w:footnote w:id="20">
    <w:p w14:paraId="71A1F02E" w14:textId="77777777" w:rsidR="001A3F0B" w:rsidRPr="0085764F" w:rsidRDefault="001A3F0B" w:rsidP="0085764F">
      <w:pPr>
        <w:pStyle w:val="FootnoteText"/>
        <w:ind w:left="567" w:hanging="567"/>
        <w:rPr>
          <w:sz w:val="24"/>
          <w:lang w:val="da-DK"/>
        </w:rPr>
      </w:pPr>
      <w:r w:rsidRPr="0085764F">
        <w:rPr>
          <w:rStyle w:val="FootnoteReference"/>
          <w:sz w:val="24"/>
          <w:lang w:val="da-DK"/>
        </w:rPr>
        <w:footnoteRef/>
      </w:r>
      <w:r w:rsidR="0085764F" w:rsidRPr="0085764F">
        <w:rPr>
          <w:sz w:val="24"/>
          <w:lang w:val="da-DK"/>
        </w:rPr>
        <w:t xml:space="preserve"> </w:t>
      </w:r>
      <w:r w:rsidR="0085764F" w:rsidRPr="0085764F">
        <w:rPr>
          <w:sz w:val="24"/>
          <w:lang w:val="da-DK"/>
        </w:rPr>
        <w:tab/>
      </w:r>
      <w:r w:rsidRPr="0085764F">
        <w:rPr>
          <w:sz w:val="24"/>
          <w:lang w:val="da-DK"/>
        </w:rPr>
        <w:t>Europa-Parlamentets beslutning af 19. oktober 2023 om den seneste udvikling i dialogen mellem Serbien og Kosovo, herunder situationen i de nordlige kommuner i Kosovo (vedtagne tekster, P9_TA(2023)0372).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9/2023"/>
    <w:docVar w:name="dvlangue" w:val="DA"/>
    <w:docVar w:name="dvnumam" w:val="0"/>
    <w:docVar w:name="dvpe" w:val="752.694"/>
    <w:docVar w:name="dvrapporteur" w:val="Ordfører: "/>
    <w:docVar w:name="dvtitre" w:val="Europa-Parlamentets beslutning af xx. fabruar 2024 om gennemførelsen af den fælles udenrigs- og sikkerhedspolitik – årlig betænkning 2023(2023/2117(INI))"/>
  </w:docVars>
  <w:rsids>
    <w:rsidRoot w:val="00CA60EC"/>
    <w:rsid w:val="00002272"/>
    <w:rsid w:val="00003326"/>
    <w:rsid w:val="00003E27"/>
    <w:rsid w:val="00021FB4"/>
    <w:rsid w:val="00062F9B"/>
    <w:rsid w:val="00064002"/>
    <w:rsid w:val="000677B9"/>
    <w:rsid w:val="000831BA"/>
    <w:rsid w:val="000A42CC"/>
    <w:rsid w:val="000E7DD9"/>
    <w:rsid w:val="0010095E"/>
    <w:rsid w:val="00125B37"/>
    <w:rsid w:val="001521E5"/>
    <w:rsid w:val="00162FAA"/>
    <w:rsid w:val="00187494"/>
    <w:rsid w:val="001A3F0B"/>
    <w:rsid w:val="001E2D5C"/>
    <w:rsid w:val="001F32AE"/>
    <w:rsid w:val="00223389"/>
    <w:rsid w:val="00231A9C"/>
    <w:rsid w:val="002767FF"/>
    <w:rsid w:val="00287768"/>
    <w:rsid w:val="002B18FE"/>
    <w:rsid w:val="002B5493"/>
    <w:rsid w:val="00341DF6"/>
    <w:rsid w:val="00343214"/>
    <w:rsid w:val="00361C00"/>
    <w:rsid w:val="00371BE6"/>
    <w:rsid w:val="00395FA1"/>
    <w:rsid w:val="003D7B9F"/>
    <w:rsid w:val="003E15D4"/>
    <w:rsid w:val="003E4A90"/>
    <w:rsid w:val="00411CCE"/>
    <w:rsid w:val="0041666E"/>
    <w:rsid w:val="00416AFA"/>
    <w:rsid w:val="00421060"/>
    <w:rsid w:val="00471C19"/>
    <w:rsid w:val="004867E3"/>
    <w:rsid w:val="00494A28"/>
    <w:rsid w:val="004C0004"/>
    <w:rsid w:val="004C5D52"/>
    <w:rsid w:val="004D2E72"/>
    <w:rsid w:val="0050519A"/>
    <w:rsid w:val="005072A1"/>
    <w:rsid w:val="00514517"/>
    <w:rsid w:val="00545827"/>
    <w:rsid w:val="00560270"/>
    <w:rsid w:val="005655F7"/>
    <w:rsid w:val="00573756"/>
    <w:rsid w:val="005C2568"/>
    <w:rsid w:val="006037C0"/>
    <w:rsid w:val="00610211"/>
    <w:rsid w:val="00652C58"/>
    <w:rsid w:val="006631B6"/>
    <w:rsid w:val="00680577"/>
    <w:rsid w:val="006876F9"/>
    <w:rsid w:val="006965F3"/>
    <w:rsid w:val="006F74FA"/>
    <w:rsid w:val="0072304F"/>
    <w:rsid w:val="00731ADD"/>
    <w:rsid w:val="00734777"/>
    <w:rsid w:val="00744817"/>
    <w:rsid w:val="00747932"/>
    <w:rsid w:val="00751A4A"/>
    <w:rsid w:val="00756632"/>
    <w:rsid w:val="00757805"/>
    <w:rsid w:val="00762C74"/>
    <w:rsid w:val="00786EC0"/>
    <w:rsid w:val="007D1690"/>
    <w:rsid w:val="007E0C9D"/>
    <w:rsid w:val="007E22AD"/>
    <w:rsid w:val="00817416"/>
    <w:rsid w:val="00836D66"/>
    <w:rsid w:val="00842779"/>
    <w:rsid w:val="0085764F"/>
    <w:rsid w:val="0086509B"/>
    <w:rsid w:val="00865F67"/>
    <w:rsid w:val="00881A7B"/>
    <w:rsid w:val="008840E5"/>
    <w:rsid w:val="00887B3E"/>
    <w:rsid w:val="008C2AC6"/>
    <w:rsid w:val="008D08EF"/>
    <w:rsid w:val="008E295E"/>
    <w:rsid w:val="00930C23"/>
    <w:rsid w:val="0093193B"/>
    <w:rsid w:val="009509D8"/>
    <w:rsid w:val="00950B64"/>
    <w:rsid w:val="00981893"/>
    <w:rsid w:val="009B2060"/>
    <w:rsid w:val="009E2214"/>
    <w:rsid w:val="009E3854"/>
    <w:rsid w:val="00A01E76"/>
    <w:rsid w:val="00A1687D"/>
    <w:rsid w:val="00A35F5D"/>
    <w:rsid w:val="00A41F47"/>
    <w:rsid w:val="00A43E52"/>
    <w:rsid w:val="00A4678D"/>
    <w:rsid w:val="00A5604F"/>
    <w:rsid w:val="00A74B9A"/>
    <w:rsid w:val="00A778C7"/>
    <w:rsid w:val="00A83099"/>
    <w:rsid w:val="00A97436"/>
    <w:rsid w:val="00AB441E"/>
    <w:rsid w:val="00AB6293"/>
    <w:rsid w:val="00AE0928"/>
    <w:rsid w:val="00AF3B82"/>
    <w:rsid w:val="00B108AB"/>
    <w:rsid w:val="00B12E95"/>
    <w:rsid w:val="00B22876"/>
    <w:rsid w:val="00B452AA"/>
    <w:rsid w:val="00B558F0"/>
    <w:rsid w:val="00BD48FE"/>
    <w:rsid w:val="00BD7BD8"/>
    <w:rsid w:val="00BE6ADC"/>
    <w:rsid w:val="00C05BFE"/>
    <w:rsid w:val="00C23CD4"/>
    <w:rsid w:val="00C61C0C"/>
    <w:rsid w:val="00C764F5"/>
    <w:rsid w:val="00C941CB"/>
    <w:rsid w:val="00CA60EC"/>
    <w:rsid w:val="00CC2357"/>
    <w:rsid w:val="00CF071A"/>
    <w:rsid w:val="00D058B8"/>
    <w:rsid w:val="00D31608"/>
    <w:rsid w:val="00D56C11"/>
    <w:rsid w:val="00D834A0"/>
    <w:rsid w:val="00D872DF"/>
    <w:rsid w:val="00D91E21"/>
    <w:rsid w:val="00DA7FCD"/>
    <w:rsid w:val="00DD69D0"/>
    <w:rsid w:val="00E05D4C"/>
    <w:rsid w:val="00E271EA"/>
    <w:rsid w:val="00E365E1"/>
    <w:rsid w:val="00E41069"/>
    <w:rsid w:val="00E6570D"/>
    <w:rsid w:val="00E6574B"/>
    <w:rsid w:val="00E74ED0"/>
    <w:rsid w:val="00E820A4"/>
    <w:rsid w:val="00E97D06"/>
    <w:rsid w:val="00EB006A"/>
    <w:rsid w:val="00EB4772"/>
    <w:rsid w:val="00ED0F9D"/>
    <w:rsid w:val="00ED169E"/>
    <w:rsid w:val="00ED3074"/>
    <w:rsid w:val="00ED4235"/>
    <w:rsid w:val="00EE157D"/>
    <w:rsid w:val="00F04346"/>
    <w:rsid w:val="00F075DC"/>
    <w:rsid w:val="00F149E9"/>
    <w:rsid w:val="00F5134D"/>
    <w:rsid w:val="00F73BE5"/>
    <w:rsid w:val="00F74202"/>
    <w:rsid w:val="00F87713"/>
    <w:rsid w:val="00FA2883"/>
    <w:rsid w:val="00FB313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4CB689"/>
  <w15:chartTrackingRefBased/>
  <w15:docId w15:val="{3F91FAF5-4BCD-439F-9BD7-E18161537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A3F0B"/>
    <w:pPr>
      <w:spacing w:after="240"/>
      <w:ind w:left="567" w:hanging="567"/>
    </w:pPr>
  </w:style>
  <w:style w:type="paragraph" w:customStyle="1" w:styleId="EPComma">
    <w:name w:val="EPComma"/>
    <w:basedOn w:val="Normal"/>
    <w:rsid w:val="001A3F0B"/>
    <w:pPr>
      <w:spacing w:before="480" w:after="240"/>
    </w:pPr>
  </w:style>
  <w:style w:type="paragraph" w:styleId="ListParagraph">
    <w:name w:val="List Paragraph"/>
    <w:basedOn w:val="Normal"/>
    <w:uiPriority w:val="34"/>
    <w:qFormat/>
    <w:rsid w:val="001A3F0B"/>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rsid w:val="001A3F0B"/>
    <w:rPr>
      <w:sz w:val="24"/>
      <w:lang w:val="da-DK"/>
    </w:rPr>
  </w:style>
  <w:style w:type="paragraph" w:styleId="BalloonText">
    <w:name w:val="Balloon Text"/>
    <w:basedOn w:val="Normal"/>
    <w:link w:val="BalloonTextChar"/>
    <w:rsid w:val="00E97D06"/>
    <w:rPr>
      <w:rFonts w:ascii="Segoe UI" w:hAnsi="Segoe UI" w:cs="Segoe UI"/>
      <w:sz w:val="18"/>
      <w:szCs w:val="18"/>
    </w:rPr>
  </w:style>
  <w:style w:type="character" w:customStyle="1" w:styleId="BalloonTextChar">
    <w:name w:val="Balloon Text Char"/>
    <w:basedOn w:val="DefaultParagraphFont"/>
    <w:link w:val="BalloonText"/>
    <w:rsid w:val="00E97D06"/>
    <w:rPr>
      <w:rFonts w:ascii="Segoe UI" w:hAnsi="Segoe UI" w:cs="Segoe UI"/>
      <w:sz w:val="18"/>
      <w:szCs w:val="18"/>
      <w:lang w:val="da-DK"/>
    </w:rPr>
  </w:style>
  <w:style w:type="character" w:styleId="CommentReference">
    <w:name w:val="annotation reference"/>
    <w:basedOn w:val="DefaultParagraphFont"/>
    <w:rsid w:val="001E2D5C"/>
    <w:rPr>
      <w:sz w:val="16"/>
      <w:szCs w:val="16"/>
    </w:rPr>
  </w:style>
  <w:style w:type="paragraph" w:styleId="CommentText">
    <w:name w:val="annotation text"/>
    <w:basedOn w:val="Normal"/>
    <w:link w:val="CommentTextChar"/>
    <w:rsid w:val="001E2D5C"/>
    <w:rPr>
      <w:sz w:val="20"/>
    </w:rPr>
  </w:style>
  <w:style w:type="character" w:customStyle="1" w:styleId="CommentTextChar">
    <w:name w:val="Comment Text Char"/>
    <w:basedOn w:val="DefaultParagraphFont"/>
    <w:link w:val="CommentText"/>
    <w:rsid w:val="001E2D5C"/>
    <w:rPr>
      <w:lang w:val="da-DK"/>
    </w:rPr>
  </w:style>
  <w:style w:type="paragraph" w:styleId="CommentSubject">
    <w:name w:val="annotation subject"/>
    <w:basedOn w:val="CommentText"/>
    <w:next w:val="CommentText"/>
    <w:link w:val="CommentSubjectChar"/>
    <w:rsid w:val="001E2D5C"/>
    <w:rPr>
      <w:b/>
      <w:bCs/>
    </w:rPr>
  </w:style>
  <w:style w:type="character" w:customStyle="1" w:styleId="CommentSubjectChar">
    <w:name w:val="Comment Subject Char"/>
    <w:basedOn w:val="CommentTextChar"/>
    <w:link w:val="CommentSubject"/>
    <w:rsid w:val="001E2D5C"/>
    <w:rPr>
      <w:b/>
      <w:bCs/>
      <w:lang w:val="da-DK"/>
    </w:rPr>
  </w:style>
  <w:style w:type="character" w:styleId="Hyperlink">
    <w:name w:val="Hyperlink"/>
    <w:basedOn w:val="DefaultParagraphFont"/>
    <w:uiPriority w:val="99"/>
    <w:rsid w:val="00062F9B"/>
    <w:rPr>
      <w:color w:val="0563C1" w:themeColor="hyperlink"/>
      <w:u w:val="single"/>
    </w:rPr>
  </w:style>
  <w:style w:type="character" w:styleId="FollowedHyperlink">
    <w:name w:val="FollowedHyperlink"/>
    <w:basedOn w:val="DefaultParagraphFont"/>
    <w:rsid w:val="00062F9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048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ELI:%20http://data.europa.eu/eli/C/2023/405/oj" TargetMode="External"/><Relationship Id="rId1" Type="http://schemas.openxmlformats.org/officeDocument/2006/relationships/hyperlink" Target="ELI:%20http://data.europa.eu/eli/C/2023/40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5A0CB0-69DF-403C-9BFB-EB7809084B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38</Pages>
  <Words>20289</Words>
  <Characters>115653</Characters>
  <Application>Microsoft Office Word</Application>
  <DocSecurity>0</DocSecurity>
  <Lines>963</Lines>
  <Paragraphs>271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135671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ZINOCKER Marianne</cp:lastModifiedBy>
  <cp:revision>2</cp:revision>
  <cp:lastPrinted>2004-11-19T15:42:00Z</cp:lastPrinted>
  <dcterms:created xsi:type="dcterms:W3CDTF">2024-03-26T11:08:00Z</dcterms:created>
  <dcterms:modified xsi:type="dcterms:W3CDTF">2024-03-26T11:08:00Z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A9-0389/2023</vt:lpwstr>
  </property>
  <property fmtid="{D5CDD505-2E9C-101B-9397-08002B2CF9AE}" pid="4" name="&lt;Type&gt;">
    <vt:lpwstr>RR</vt:lpwstr>
  </property>
</Properties>
</file>